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DD" w:rsidRDefault="00175D55" w:rsidP="00ED2E21">
      <w:pPr>
        <w:jc w:val="center"/>
        <w:rPr>
          <w:b/>
          <w:bCs/>
          <w:sz w:val="28"/>
          <w:szCs w:val="28"/>
          <w:lang w:eastAsia="en-US"/>
        </w:rPr>
      </w:pPr>
      <w:r w:rsidRPr="00ED2E21">
        <w:rPr>
          <w:bCs/>
          <w:sz w:val="28"/>
          <w:szCs w:val="28"/>
          <w:lang w:eastAsia="en-US"/>
        </w:rPr>
        <w:t xml:space="preserve">Ministru kabineta sēdes </w:t>
      </w:r>
      <w:proofErr w:type="spellStart"/>
      <w:r w:rsidRPr="00ED2E21">
        <w:rPr>
          <w:bCs/>
          <w:sz w:val="28"/>
          <w:szCs w:val="28"/>
          <w:lang w:eastAsia="en-US"/>
        </w:rPr>
        <w:t>protokollēmuma</w:t>
      </w:r>
      <w:proofErr w:type="spellEnd"/>
      <w:r w:rsidRPr="00ED2E21">
        <w:rPr>
          <w:bCs/>
          <w:sz w:val="28"/>
          <w:szCs w:val="28"/>
          <w:lang w:eastAsia="en-US"/>
        </w:rPr>
        <w:t xml:space="preserve"> projekta</w:t>
      </w:r>
    </w:p>
    <w:p w:rsidR="009329EC" w:rsidRDefault="00ED2E21" w:rsidP="00A42C90">
      <w:pPr>
        <w:jc w:val="center"/>
        <w:rPr>
          <w:bCs/>
          <w:sz w:val="28"/>
          <w:szCs w:val="28"/>
          <w:lang w:eastAsia="en-US"/>
        </w:rPr>
      </w:pPr>
      <w:r w:rsidRPr="00ED2E21">
        <w:rPr>
          <w:b/>
          <w:sz w:val="28"/>
          <w:szCs w:val="28"/>
        </w:rPr>
        <w:t>„</w:t>
      </w:r>
      <w:r w:rsidR="009B65DD" w:rsidRPr="006935E9">
        <w:rPr>
          <w:b/>
          <w:sz w:val="28"/>
        </w:rPr>
        <w:t>Par Ministru kabineta</w:t>
      </w:r>
      <w:r w:rsidR="009B65DD">
        <w:rPr>
          <w:b/>
          <w:sz w:val="28"/>
        </w:rPr>
        <w:t xml:space="preserve"> </w:t>
      </w:r>
      <w:r w:rsidR="009B65DD" w:rsidRPr="006935E9">
        <w:rPr>
          <w:rStyle w:val="spelle"/>
          <w:b/>
          <w:sz w:val="28"/>
          <w:szCs w:val="28"/>
        </w:rPr>
        <w:t xml:space="preserve">2009.gada 6.oktobra sēdes </w:t>
      </w:r>
      <w:proofErr w:type="spellStart"/>
      <w:r w:rsidR="009B65DD" w:rsidRPr="006935E9">
        <w:rPr>
          <w:rStyle w:val="spelle"/>
          <w:b/>
          <w:sz w:val="28"/>
          <w:szCs w:val="28"/>
        </w:rPr>
        <w:t>protokollēmuma</w:t>
      </w:r>
      <w:proofErr w:type="spellEnd"/>
      <w:r w:rsidR="009B65DD" w:rsidRPr="006935E9">
        <w:rPr>
          <w:rStyle w:val="spelle"/>
          <w:b/>
          <w:sz w:val="28"/>
          <w:szCs w:val="28"/>
        </w:rPr>
        <w:t xml:space="preserve"> </w:t>
      </w:r>
      <w:r w:rsidR="009B65DD" w:rsidRPr="006935E9">
        <w:rPr>
          <w:b/>
          <w:sz w:val="28"/>
          <w:szCs w:val="28"/>
        </w:rPr>
        <w:t>(prot. Nr.67 23.</w:t>
      </w:r>
      <w:r w:rsidR="009B65DD" w:rsidRPr="006935E9">
        <w:rPr>
          <w:b/>
          <w:bCs/>
          <w:sz w:val="28"/>
          <w:szCs w:val="28"/>
        </w:rPr>
        <w:t>§) „Noteikumu projekts „Grozījums Ministru kabineta 2005.gada 27.decembra noteikumos Nr.1043 „Katastrofu medicīnas centra sniegt</w:t>
      </w:r>
      <w:r w:rsidR="009B65DD">
        <w:rPr>
          <w:b/>
          <w:bCs/>
          <w:sz w:val="28"/>
          <w:szCs w:val="28"/>
        </w:rPr>
        <w:t>o maksas pakalpojumu cenrādis””</w:t>
      </w:r>
      <w:r w:rsidR="009B65DD" w:rsidRPr="006935E9">
        <w:rPr>
          <w:b/>
          <w:bCs/>
          <w:sz w:val="28"/>
          <w:szCs w:val="28"/>
        </w:rPr>
        <w:t xml:space="preserve"> 2.punktā </w:t>
      </w:r>
      <w:r w:rsidR="009B65DD" w:rsidRPr="006935E9">
        <w:rPr>
          <w:b/>
          <w:bCs/>
          <w:sz w:val="28"/>
        </w:rPr>
        <w:t>dotā uzdevuma izpildi</w:t>
      </w:r>
      <w:r w:rsidRPr="00ED2E21">
        <w:rPr>
          <w:b/>
          <w:bCs/>
          <w:sz w:val="28"/>
          <w:szCs w:val="28"/>
        </w:rPr>
        <w:t>”</w:t>
      </w:r>
      <w:r w:rsidR="00175D55" w:rsidRPr="00ED2E21">
        <w:rPr>
          <w:sz w:val="28"/>
          <w:szCs w:val="28"/>
        </w:rPr>
        <w:t xml:space="preserve"> </w:t>
      </w:r>
      <w:r w:rsidR="00175D55" w:rsidRPr="00ED2E21">
        <w:rPr>
          <w:bCs/>
          <w:sz w:val="28"/>
          <w:szCs w:val="28"/>
          <w:lang w:eastAsia="en-US"/>
        </w:rPr>
        <w:t xml:space="preserve">sākotnējās ietekmes </w:t>
      </w:r>
      <w:r w:rsidR="009B65DD">
        <w:rPr>
          <w:bCs/>
          <w:sz w:val="28"/>
          <w:szCs w:val="28"/>
          <w:lang w:eastAsia="en-US"/>
        </w:rPr>
        <w:t>(</w:t>
      </w:r>
      <w:proofErr w:type="spellStart"/>
      <w:r w:rsidR="009B65DD">
        <w:rPr>
          <w:bCs/>
          <w:sz w:val="28"/>
          <w:szCs w:val="28"/>
          <w:lang w:eastAsia="en-US"/>
        </w:rPr>
        <w:t>ex-ante</w:t>
      </w:r>
      <w:proofErr w:type="spellEnd"/>
      <w:r w:rsidR="009B65DD">
        <w:rPr>
          <w:bCs/>
          <w:sz w:val="28"/>
          <w:szCs w:val="28"/>
          <w:lang w:eastAsia="en-US"/>
        </w:rPr>
        <w:t xml:space="preserve">) </w:t>
      </w:r>
      <w:r w:rsidR="00175D55" w:rsidRPr="00ED2E21">
        <w:rPr>
          <w:bCs/>
          <w:sz w:val="28"/>
          <w:szCs w:val="28"/>
          <w:lang w:eastAsia="en-US"/>
        </w:rPr>
        <w:t>novērtējuma ziņojums</w:t>
      </w:r>
    </w:p>
    <w:p w:rsidR="008B069E" w:rsidRDefault="00175D55" w:rsidP="00A42C90">
      <w:pPr>
        <w:jc w:val="center"/>
        <w:rPr>
          <w:bCs/>
          <w:sz w:val="28"/>
          <w:szCs w:val="28"/>
          <w:lang w:eastAsia="en-US"/>
        </w:rPr>
      </w:pPr>
      <w:r w:rsidRPr="00ED2E21">
        <w:rPr>
          <w:bCs/>
          <w:sz w:val="28"/>
          <w:szCs w:val="28"/>
          <w:lang w:eastAsia="en-US"/>
        </w:rPr>
        <w:t>(anotācija)</w:t>
      </w:r>
    </w:p>
    <w:p w:rsidR="009329EC" w:rsidRPr="00CD1318" w:rsidRDefault="009329EC" w:rsidP="00A42C90">
      <w:pPr>
        <w:jc w:val="center"/>
        <w:rPr>
          <w:bCs/>
          <w:sz w:val="28"/>
          <w:szCs w:val="28"/>
          <w:lang w:eastAsia="en-US"/>
        </w:rPr>
      </w:pP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9811ED" w:rsidTr="00EE3CF2">
        <w:trPr>
          <w:tblCellSpacing w:w="0" w:type="dxa"/>
          <w:jc w:val="center"/>
        </w:trPr>
        <w:tc>
          <w:tcPr>
            <w:tcW w:w="9523" w:type="dxa"/>
            <w:gridSpan w:val="3"/>
            <w:vAlign w:val="center"/>
          </w:tcPr>
          <w:p w:rsidR="00175D55" w:rsidRPr="009811ED" w:rsidRDefault="00175D55" w:rsidP="005436C7">
            <w:pPr>
              <w:spacing w:before="75" w:after="75"/>
              <w:jc w:val="center"/>
              <w:rPr>
                <w:lang w:eastAsia="en-US"/>
              </w:rPr>
            </w:pPr>
            <w:r w:rsidRPr="009811ED">
              <w:rPr>
                <w:b/>
                <w:bCs/>
                <w:lang w:eastAsia="en-US"/>
              </w:rPr>
              <w:t> I. Tiesību akta projekta izstrādes nepieciešamība</w:t>
            </w:r>
          </w:p>
        </w:tc>
      </w:tr>
      <w:tr w:rsidR="00175D55" w:rsidRPr="009811ED" w:rsidTr="00EE3CF2">
        <w:trPr>
          <w:trHeight w:val="63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1.</w:t>
            </w:r>
          </w:p>
        </w:tc>
        <w:tc>
          <w:tcPr>
            <w:tcW w:w="2694" w:type="dxa"/>
          </w:tcPr>
          <w:p w:rsidR="00175D55" w:rsidRPr="009811ED" w:rsidRDefault="00175D55" w:rsidP="005436C7">
            <w:pPr>
              <w:spacing w:before="75" w:after="75"/>
              <w:rPr>
                <w:lang w:eastAsia="en-US"/>
              </w:rPr>
            </w:pPr>
            <w:r w:rsidRPr="009811ED">
              <w:rPr>
                <w:lang w:eastAsia="en-US"/>
              </w:rPr>
              <w:t>Pamatojums</w:t>
            </w:r>
          </w:p>
        </w:tc>
        <w:tc>
          <w:tcPr>
            <w:tcW w:w="6146" w:type="dxa"/>
          </w:tcPr>
          <w:p w:rsidR="004D1EFD" w:rsidRPr="009811ED" w:rsidRDefault="004D1EFD" w:rsidP="00ED2E21">
            <w:pPr>
              <w:spacing w:before="75" w:after="75"/>
              <w:jc w:val="both"/>
            </w:pPr>
            <w:r w:rsidRPr="009811ED">
              <w:t>Ministru kabineta 2009.gada 6.oktobra sēdē (prot.Nr.67 23.§)  Veselības ministrijai tika dots uzdevums – izvērtēt Katastrofu medicīnas centra sniegtos publiskos maksas pakalpojumus</w:t>
            </w:r>
            <w:r w:rsidRPr="009811ED">
              <w:rPr>
                <w:bCs/>
              </w:rPr>
              <w:t xml:space="preserve">, </w:t>
            </w:r>
            <w:r w:rsidRPr="009811ED">
              <w:t>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p>
        </w:tc>
      </w:tr>
      <w:tr w:rsidR="00175D55" w:rsidRPr="009811ED" w:rsidTr="00EE3CF2">
        <w:trPr>
          <w:trHeight w:val="472"/>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2.</w:t>
            </w:r>
          </w:p>
        </w:tc>
        <w:tc>
          <w:tcPr>
            <w:tcW w:w="2694" w:type="dxa"/>
          </w:tcPr>
          <w:p w:rsidR="00175D55" w:rsidRPr="009811ED" w:rsidRDefault="00175D55" w:rsidP="005436C7">
            <w:pPr>
              <w:spacing w:before="75" w:after="75"/>
              <w:rPr>
                <w:lang w:eastAsia="en-US"/>
              </w:rPr>
            </w:pPr>
            <w:r w:rsidRPr="009811ED">
              <w:rPr>
                <w:lang w:eastAsia="en-US"/>
              </w:rPr>
              <w:t> Pašreizējā situācija un problēmas</w:t>
            </w:r>
          </w:p>
        </w:tc>
        <w:tc>
          <w:tcPr>
            <w:tcW w:w="6146" w:type="dxa"/>
          </w:tcPr>
          <w:p w:rsidR="00951EAE" w:rsidRPr="009811ED" w:rsidRDefault="009B65DD" w:rsidP="000216DA">
            <w:pPr>
              <w:jc w:val="both"/>
            </w:pPr>
            <w:r>
              <w:t xml:space="preserve">Pildot </w:t>
            </w:r>
            <w:r w:rsidR="00A8039A" w:rsidRPr="009811ED">
              <w:t xml:space="preserve">Ministru kabineta 2009.gada 6.oktobra sēdes protokola Nr.67 </w:t>
            </w:r>
            <w:r w:rsidRPr="009811ED">
              <w:t>23.§</w:t>
            </w:r>
            <w:r>
              <w:t xml:space="preserve"> </w:t>
            </w:r>
            <w:r w:rsidR="00A8039A" w:rsidRPr="009811ED">
              <w:t xml:space="preserve">2.punktā uzdoto, Veselības ministrija bija secinājusi, ka daži </w:t>
            </w:r>
            <w:r w:rsidR="002A43A6">
              <w:t>Katastrofu medicīnas centra</w:t>
            </w:r>
            <w:r w:rsidR="00A8039A" w:rsidRPr="009811ED">
              <w:t xml:space="preserve"> </w:t>
            </w:r>
            <w:r w:rsidR="002A43A6">
              <w:t xml:space="preserve">(Neatliekamās medicīniskās palīdzības dienests ar 2009.gada 1.decembri atbilstoši Ministru kabineta 2009.gada 9.novembra rīkojumam Nr.766) </w:t>
            </w:r>
            <w:r w:rsidR="00A8039A" w:rsidRPr="009811ED">
              <w:t xml:space="preserve">maksas pakalpojumi varētu atbilst valsts nodevas objektam atbilstoši šobrīd spēkā esošajai likuma „Par nodokļiem un </w:t>
            </w:r>
            <w:r w:rsidR="009811ED" w:rsidRPr="009811ED">
              <w:t>nodevām” 1.panta otrā punkta redakcijai</w:t>
            </w:r>
            <w:r w:rsidR="00A8039A" w:rsidRPr="009811ED">
              <w:t xml:space="preserve">. </w:t>
            </w:r>
            <w:r>
              <w:t xml:space="preserve">Taču jāņem vērā, ka </w:t>
            </w:r>
            <w:r w:rsidR="009811ED" w:rsidRPr="009811ED">
              <w:t>Finanšu ministrijas izstrādātā koncepcija „Par valsts nodevu un maksas pakalpojumu nošķiršanu un valsts nodevu plānošanas, uzskaites un kontroles sistēmas pilnveidošanu” (valsts sekretāru 2010.ga</w:t>
            </w:r>
            <w:r>
              <w:t xml:space="preserve">da 23.septembra sanāksmes prot. </w:t>
            </w:r>
            <w:r w:rsidR="009811ED" w:rsidRPr="009811ED">
              <w:t xml:space="preserve">Nr.37, 12.§, VSS-1116) netika virzīta pieņemšanai uz Ministru kabinetu, bet gan atsaukta </w:t>
            </w:r>
            <w:r>
              <w:t>valsts sekretāru 2011.gada 7</w:t>
            </w:r>
            <w:r w:rsidR="00A8039A" w:rsidRPr="009811ED">
              <w:t xml:space="preserve">.aprīļa sanāksmē (prot. Nr.14, 26.§, VSS-1116). Ņemot vērā iepriekš minēto, Veselības ministrija izstrādāja un Ministru kabineta 2011.gada 12.aprīļa sēdē </w:t>
            </w:r>
            <w:r w:rsidR="00951EAE" w:rsidRPr="009811ED">
              <w:t xml:space="preserve">(prot. Nr.24) </w:t>
            </w:r>
            <w:r w:rsidR="00A8039A" w:rsidRPr="009811ED">
              <w:t xml:space="preserve">tika atbalstīts </w:t>
            </w:r>
            <w:r w:rsidR="00951EAE" w:rsidRPr="009811ED">
              <w:t xml:space="preserve">Ministru kabineta sēdes </w:t>
            </w:r>
            <w:proofErr w:type="spellStart"/>
            <w:r w:rsidR="00951EAE" w:rsidRPr="009811ED">
              <w:t>protokollēmuma</w:t>
            </w:r>
            <w:proofErr w:type="spellEnd"/>
            <w:r w:rsidR="00951EAE" w:rsidRPr="009811ED">
              <w:t xml:space="preserve"> projekts „Par Ministru kabineta 2009.gada 6.oktobra sēdes </w:t>
            </w:r>
            <w:proofErr w:type="spellStart"/>
            <w:r w:rsidR="00951EAE" w:rsidRPr="009811ED">
              <w:t>protokollēmumā</w:t>
            </w:r>
            <w:proofErr w:type="spellEnd"/>
            <w:r w:rsidR="00951EAE" w:rsidRPr="009811ED">
              <w:t xml:space="preserve"> (prot. Nr.67 23.§) "Noteikumu projekts </w:t>
            </w:r>
            <w:r w:rsidR="00951EAE" w:rsidRPr="009811ED">
              <w:lastRenderedPageBreak/>
              <w:t xml:space="preserve">"Grozījums Ministru kabineta 2005.gada 27.decembra noteikumos Nr.1043 "Katastrofu medicīnas centra sniegto maksas pakalpojumu cenrādis""" dotā uzdevuma izpildi „(TA-469, 23.§), kas paredzēja </w:t>
            </w:r>
            <w:r>
              <w:t>2.punktā dotā uzdevuma</w:t>
            </w:r>
            <w:r w:rsidR="00951EAE" w:rsidRPr="009811ED">
              <w:t xml:space="preserve"> izpildes termiņu pagarināt līdz 2011.gada 31.decembrim, </w:t>
            </w:r>
            <w:r w:rsidR="00E45BD3" w:rsidRPr="009811ED">
              <w:t>ņemot vērā</w:t>
            </w:r>
            <w:r w:rsidR="00E45BD3">
              <w:t xml:space="preserve">, ka netika pieņemts lēmums par </w:t>
            </w:r>
            <w:r w:rsidR="00E45BD3" w:rsidRPr="009811ED">
              <w:t>valsts nodevas un maksas pakalpojumu nošķiršanu un definējumu, kam pakārtojama arī normatīvā bāze.</w:t>
            </w:r>
          </w:p>
          <w:p w:rsidR="00B12349" w:rsidRPr="009811ED" w:rsidRDefault="00B12349" w:rsidP="000216DA">
            <w:pPr>
              <w:jc w:val="both"/>
            </w:pPr>
            <w:r w:rsidRPr="009811ED">
              <w:t xml:space="preserve">Šobrīd Finanšu ministrija </w:t>
            </w:r>
            <w:r>
              <w:t xml:space="preserve">atkārtoti no jauna </w:t>
            </w:r>
            <w:r w:rsidRPr="009811ED">
              <w:t xml:space="preserve">ir izstrādājusi </w:t>
            </w:r>
            <w:r w:rsidRPr="009811ED">
              <w:rPr>
                <w:rFonts w:eastAsia="Calibri"/>
              </w:rPr>
              <w:t xml:space="preserve">informatīvā ziņojuma „Par valsts (pašvaldību) nodevu un maksas pakalpojumu nošķiršanu un nodevu sistēmas pilnveidošanu” projektu (valsts sekretāru 2011.gada 27.oktobra prot. Nr.42, 9.§, VSS-1193) </w:t>
            </w:r>
            <w:r>
              <w:rPr>
                <w:rFonts w:eastAsia="Calibri"/>
              </w:rPr>
              <w:t xml:space="preserve">(turpmāk – informatīvā ziņojuma projekts) </w:t>
            </w:r>
            <w:r w:rsidRPr="009811ED">
              <w:rPr>
                <w:rFonts w:eastAsia="Calibri"/>
              </w:rPr>
              <w:t xml:space="preserve">un Ministru kabineta sēdes </w:t>
            </w:r>
            <w:proofErr w:type="spellStart"/>
            <w:r w:rsidRPr="009811ED">
              <w:rPr>
                <w:rFonts w:eastAsia="Calibri"/>
              </w:rPr>
              <w:t>protokollēmuma</w:t>
            </w:r>
            <w:proofErr w:type="spellEnd"/>
            <w:r w:rsidRPr="009811ED">
              <w:rPr>
                <w:rFonts w:eastAsia="Calibri"/>
              </w:rPr>
              <w:t xml:space="preserve"> projektu, kas atrodas starpministriju saskaņošanas stadijā. Minētais</w:t>
            </w:r>
            <w:r>
              <w:rPr>
                <w:rFonts w:eastAsia="Calibri"/>
              </w:rPr>
              <w:t xml:space="preserve"> informatīvā ziņojuma</w:t>
            </w:r>
            <w:r w:rsidRPr="009811ED">
              <w:rPr>
                <w:rFonts w:eastAsia="Calibri"/>
              </w:rPr>
              <w:t xml:space="preserve"> projekts paredz </w:t>
            </w:r>
            <w:r w:rsidRPr="009811ED">
              <w:t xml:space="preserve">precizēt likumā „Par nodokļiem un nodevām” ietverto valsts un pašvaldību nodevas un nodokļa definīciju </w:t>
            </w:r>
            <w:r w:rsidRPr="009811ED">
              <w:rPr>
                <w:b/>
              </w:rPr>
              <w:t xml:space="preserve">- </w:t>
            </w:r>
            <w:r w:rsidRPr="009811ED">
              <w:t xml:space="preserve">valsts nodeva </w:t>
            </w:r>
            <w:r w:rsidRPr="009811ED">
              <w:rPr>
                <w:b/>
              </w:rPr>
              <w:t>-</w:t>
            </w:r>
            <w:r w:rsidRPr="009811ED">
              <w:t xml:space="preserve"> maksājums valsts budžetā par šajā likumā noteikto un par citos normatīvajos aktos noteiktu juridisku darbību veikšanu, lai īstenotu ar uzraudzību, regulēšanu un kontroli saistītas valsts pārvaldes funkcijas, bez kuru izpildes persona nevar sasniegt savu m</w:t>
            </w:r>
            <w:r w:rsidR="00AE44D5">
              <w:t xml:space="preserve">ērķi. </w:t>
            </w:r>
            <w:r>
              <w:rPr>
                <w:rFonts w:eastAsia="Calibri"/>
              </w:rPr>
              <w:t>Informatīvā ziņojuma</w:t>
            </w:r>
            <w:r w:rsidRPr="009811ED">
              <w:rPr>
                <w:rFonts w:eastAsia="Calibri"/>
              </w:rPr>
              <w:t xml:space="preserve"> projekt</w:t>
            </w:r>
            <w:r>
              <w:rPr>
                <w:rFonts w:eastAsia="Calibri"/>
              </w:rPr>
              <w:t>ā</w:t>
            </w:r>
            <w:r w:rsidRPr="009811ED">
              <w:t xml:space="preserve"> tiek minēts, ka nepieciešams pakāpeniski pārskatīt spēkā esošās valsts nodevas, izvērtējot to efektivitāti un lietderību, sašaurinot šobrīd noteikto nodevu objektu loku. Savukārt, </w:t>
            </w:r>
            <w:r w:rsidRPr="001041B8">
              <w:t>jaunas valsts nodevas nosakāmas tikai speciālam mērķim -</w:t>
            </w:r>
            <w:r w:rsidRPr="009811ED">
              <w:t xml:space="preserve"> sasniegt kādu konkrētu politikas rezultātu atsevišķā darbības jomā ar mērķi regulēt aizsargāt, attīstīt, kontrolēt un uzraudzīt. </w:t>
            </w:r>
            <w:r w:rsidR="00AE44D5">
              <w:t xml:space="preserve">Turklāt valsts nodevas apmērs var būtiski pārsniegt ar pakalpojumu sniegšanu saistītās faktiskās izmaksas. Valsts nodevas mērķis būs personu darbību regulēšana, </w:t>
            </w:r>
            <w:r w:rsidR="00AE44D5" w:rsidRPr="009811ED">
              <w:rPr>
                <w:lang w:eastAsia="en-US"/>
              </w:rPr>
              <w:t>kā arī l</w:t>
            </w:r>
            <w:r w:rsidR="00AE44D5">
              <w:rPr>
                <w:lang w:eastAsia="en-US"/>
              </w:rPr>
              <w:t>ielāku valsts budžeta ieņēmumu nodrošināšana</w:t>
            </w:r>
            <w:r w:rsidR="00AE44D5" w:rsidRPr="009811ED">
              <w:rPr>
                <w:lang w:eastAsia="en-US"/>
              </w:rPr>
              <w:t>.</w:t>
            </w:r>
            <w:r w:rsidR="00AE44D5">
              <w:rPr>
                <w:lang w:eastAsia="en-US"/>
              </w:rPr>
              <w:t xml:space="preserve"> </w:t>
            </w:r>
            <w:r w:rsidRPr="009811ED">
              <w:t>Līdz ar to nosakot, ka valsts nodevai, atšķirībā no nodokļa, pamatmērķis nav fiskālā funkcija, un tā nav saistīta ar valstij radušos vispārī</w:t>
            </w:r>
            <w:r w:rsidR="00AE44D5">
              <w:t xml:space="preserve">go izdevumu segšanu. </w:t>
            </w:r>
            <w:r w:rsidRPr="009811ED">
              <w:rPr>
                <w:lang w:eastAsia="en-US"/>
              </w:rPr>
              <w:t>Valsts nodevas gadījumā tās apmēram jāsedz izmaksas par sniegto pakalpojumu, taču nodevas apmērs var būt lielāks nekā izmaksas, jo tās mērķis ir sasniegt noteiktu politikas rezult</w:t>
            </w:r>
            <w:r w:rsidR="00AE44D5">
              <w:rPr>
                <w:lang w:eastAsia="en-US"/>
              </w:rPr>
              <w:t xml:space="preserve">ātu kādā konkrētā darbības jomā. </w:t>
            </w:r>
            <w:r w:rsidRPr="009811ED">
              <w:rPr>
                <w:lang w:eastAsia="en-US"/>
              </w:rPr>
              <w:t xml:space="preserve">Šobrīd Ministru kabineta sēdes </w:t>
            </w:r>
            <w:proofErr w:type="spellStart"/>
            <w:r w:rsidRPr="009811ED">
              <w:rPr>
                <w:lang w:eastAsia="en-US"/>
              </w:rPr>
              <w:t>protokollēmuma</w:t>
            </w:r>
            <w:proofErr w:type="spellEnd"/>
            <w:r w:rsidRPr="009811ED">
              <w:rPr>
                <w:lang w:eastAsia="en-US"/>
              </w:rPr>
              <w:t xml:space="preserve"> „</w:t>
            </w:r>
            <w:r w:rsidRPr="009811ED">
              <w:t>Informatīvais ziņojums „Par valsts (pašvaldību) nodevu un maksas pakalpojumu nošķiršanu un nodevu sistēmas pilnveidošanu”</w:t>
            </w:r>
            <w:r w:rsidRPr="009811ED">
              <w:rPr>
                <w:lang w:eastAsia="en-US"/>
              </w:rPr>
              <w:t xml:space="preserve"> projekta 2.punkts paredz, ka </w:t>
            </w:r>
            <w:r w:rsidRPr="009811ED">
              <w:t>Finanšu ministrija lī</w:t>
            </w:r>
            <w:r>
              <w:t>dz 2012.gada 15.maijam izstrādā</w:t>
            </w:r>
            <w:r w:rsidRPr="009811ED">
              <w:rPr>
                <w:lang w:eastAsia="en-US"/>
              </w:rPr>
              <w:t xml:space="preserve"> grozījumus likumā „Par nodokļiem un nodevām”, precizējot </w:t>
            </w:r>
            <w:r w:rsidRPr="009811ED">
              <w:t>nodokļa, valsts nodevas, pašvaldības nodevas definīciju, definējot nodevu administrējošo institūciju, kā arī nosakot nodevu iekasēšanas un administrēšanas kārtību.</w:t>
            </w:r>
            <w:r>
              <w:rPr>
                <w:lang w:eastAsia="en-US"/>
              </w:rPr>
              <w:t xml:space="preserve"> </w:t>
            </w:r>
            <w:r>
              <w:t>Informatīvā ziņojuma</w:t>
            </w:r>
            <w:r w:rsidRPr="009811ED">
              <w:t xml:space="preserve"> </w:t>
            </w:r>
            <w:r w:rsidRPr="009811ED">
              <w:lastRenderedPageBreak/>
              <w:t>projekts paredz, ka pēc atbilstošu grozījumu izstrādes likumā „Par nodokļiem un nodevām” pieņemšanas, nozaru ministrijām tiks dots uzdevums izvērtēt to padotībā esošo budžeta iestāžu maksas pakalpojumus, to atbilstību valsts nodevas jaunajam definējumam, ņemot vērā noteiktus kritērijus. Taču jāņem vērā, ka grozījumiem likumā „Par nodokļiem un nodevām” ir jāgūst atbalsts arī Saeimā.</w:t>
            </w:r>
          </w:p>
          <w:p w:rsidR="009329EC" w:rsidRPr="009811ED" w:rsidRDefault="00B12349" w:rsidP="00AE44D5">
            <w:pPr>
              <w:jc w:val="both"/>
            </w:pPr>
            <w:r>
              <w:t xml:space="preserve">Ņemot vērā to, ka informatīvā ziņojuma projekts </w:t>
            </w:r>
            <w:r w:rsidRPr="009811ED">
              <w:t xml:space="preserve">vēl atrodas </w:t>
            </w:r>
            <w:r w:rsidR="00AE44D5">
              <w:t xml:space="preserve">starpministriju </w:t>
            </w:r>
            <w:r w:rsidRPr="009811ED">
              <w:t>saskaņošanas stadijā</w:t>
            </w:r>
            <w:r>
              <w:t xml:space="preserve"> un Veselības ministrija pirms tik svarīga konceptuāla jautājuma izdiskutēšanas Ministru kabinetā, nevar iesniegt priekšlikumus par tiem Neatliekamās medicīniskās palīdzības dienesta maksas pakalpojumiem, kuri varētu atbilst valsts nodevas definējumam</w:t>
            </w:r>
            <w:r w:rsidR="005A676C" w:rsidRPr="009811ED">
              <w:rPr>
                <w:rFonts w:eastAsia="Calibri"/>
              </w:rPr>
              <w:t xml:space="preserve">, </w:t>
            </w:r>
            <w:r w:rsidR="00426677">
              <w:t>un virzīt priekšlikumus par izmaiņām Neatliekamās medicīniskās palīdzība dienesta cenrādī, kā arī likumā „Par nodokļiem un nodevām” un Ārstniecības likumā,</w:t>
            </w:r>
            <w:r w:rsidR="00426677" w:rsidRPr="009811ED">
              <w:rPr>
                <w:rFonts w:eastAsia="Calibri"/>
              </w:rPr>
              <w:t xml:space="preserve"> </w:t>
            </w:r>
            <w:r w:rsidR="00AE44D5" w:rsidRPr="001041B8">
              <w:rPr>
                <w:rFonts w:eastAsia="Calibri"/>
              </w:rPr>
              <w:t>nepieciešams</w:t>
            </w:r>
            <w:r w:rsidR="00AE44D5">
              <w:rPr>
                <w:rFonts w:eastAsia="Calibri"/>
              </w:rPr>
              <w:t xml:space="preserve"> noteikt, ka </w:t>
            </w:r>
            <w:r w:rsidR="005A676C" w:rsidRPr="009811ED">
              <w:t xml:space="preserve">Ministru kabineta 2009.gada 6.oktobra sēdes protokola Nr.67 </w:t>
            </w:r>
            <w:r w:rsidR="009B65DD">
              <w:t xml:space="preserve">23.§ </w:t>
            </w:r>
            <w:r w:rsidR="005A676C" w:rsidRPr="009811ED">
              <w:t xml:space="preserve">2.punktā </w:t>
            </w:r>
            <w:r w:rsidR="00AE44D5">
              <w:t>dotais uzdevums tiks izpildīts divu mēnešu laikā pēc informatīvajā ziņojumā minēto likumprojektu pieņemšanas Saeimā.</w:t>
            </w:r>
          </w:p>
        </w:tc>
      </w:tr>
      <w:tr w:rsidR="00175D55" w:rsidRPr="009811ED" w:rsidTr="00EE3CF2">
        <w:trPr>
          <w:trHeight w:val="944"/>
          <w:tblCellSpacing w:w="0" w:type="dxa"/>
          <w:jc w:val="center"/>
        </w:trPr>
        <w:tc>
          <w:tcPr>
            <w:tcW w:w="683" w:type="dxa"/>
          </w:tcPr>
          <w:p w:rsidR="00175D55" w:rsidRPr="009811ED" w:rsidRDefault="00175D55" w:rsidP="005436C7">
            <w:pPr>
              <w:spacing w:before="75" w:after="75"/>
              <w:rPr>
                <w:lang w:eastAsia="en-US"/>
              </w:rPr>
            </w:pPr>
            <w:r w:rsidRPr="009811ED">
              <w:rPr>
                <w:lang w:eastAsia="en-US"/>
              </w:rPr>
              <w:lastRenderedPageBreak/>
              <w:t> 3.</w:t>
            </w:r>
          </w:p>
        </w:tc>
        <w:tc>
          <w:tcPr>
            <w:tcW w:w="2694" w:type="dxa"/>
          </w:tcPr>
          <w:p w:rsidR="00175D55" w:rsidRPr="009811ED" w:rsidRDefault="00175D55" w:rsidP="005436C7">
            <w:pPr>
              <w:spacing w:before="75" w:after="75"/>
              <w:rPr>
                <w:lang w:eastAsia="en-US"/>
              </w:rPr>
            </w:pPr>
            <w:r w:rsidRPr="009811ED">
              <w:rPr>
                <w:lang w:eastAsia="en-US"/>
              </w:rPr>
              <w:t> Saistītie politikas ietekmes novērtējumi un pētījumi</w:t>
            </w:r>
          </w:p>
        </w:tc>
        <w:tc>
          <w:tcPr>
            <w:tcW w:w="6146" w:type="dxa"/>
          </w:tcPr>
          <w:p w:rsidR="00175D55" w:rsidRPr="009811ED" w:rsidRDefault="00530EB4" w:rsidP="005436C7">
            <w:pPr>
              <w:spacing w:before="75" w:after="75"/>
              <w:rPr>
                <w:lang w:eastAsia="en-US"/>
              </w:rPr>
            </w:pPr>
            <w:r w:rsidRPr="009811ED">
              <w:t>Projekts šo jomu neskar.</w:t>
            </w:r>
          </w:p>
        </w:tc>
      </w:tr>
      <w:tr w:rsidR="00175D55" w:rsidRPr="009811ED" w:rsidTr="00EE3CF2">
        <w:trPr>
          <w:trHeight w:val="384"/>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4.</w:t>
            </w:r>
          </w:p>
        </w:tc>
        <w:tc>
          <w:tcPr>
            <w:tcW w:w="2694" w:type="dxa"/>
          </w:tcPr>
          <w:p w:rsidR="00175D55" w:rsidRPr="009811ED" w:rsidRDefault="00175D55" w:rsidP="005436C7">
            <w:pPr>
              <w:spacing w:before="75" w:after="75"/>
              <w:rPr>
                <w:lang w:eastAsia="en-US"/>
              </w:rPr>
            </w:pPr>
            <w:r w:rsidRPr="009811ED">
              <w:rPr>
                <w:lang w:eastAsia="en-US"/>
              </w:rPr>
              <w:t> Tiesiskā regulējuma mērķis un būtība</w:t>
            </w:r>
          </w:p>
        </w:tc>
        <w:tc>
          <w:tcPr>
            <w:tcW w:w="6146" w:type="dxa"/>
          </w:tcPr>
          <w:p w:rsidR="009B65DD" w:rsidRDefault="00175D55" w:rsidP="007270AD">
            <w:pPr>
              <w:spacing w:before="75" w:after="75"/>
              <w:jc w:val="both"/>
              <w:rPr>
                <w:bCs/>
              </w:rPr>
            </w:pPr>
            <w:r w:rsidRPr="009811ED">
              <w:t>Ministru kabine</w:t>
            </w:r>
            <w:r w:rsidR="00530EB4" w:rsidRPr="009811ED">
              <w:t xml:space="preserve">ta sēdes </w:t>
            </w:r>
            <w:proofErr w:type="spellStart"/>
            <w:r w:rsidR="00530EB4" w:rsidRPr="009811ED">
              <w:t>protokollēmuma</w:t>
            </w:r>
            <w:proofErr w:type="spellEnd"/>
            <w:r w:rsidR="00530EB4" w:rsidRPr="009811ED">
              <w:t xml:space="preserve"> projekts „Par </w:t>
            </w:r>
            <w:r w:rsidR="00530EB4" w:rsidRPr="009811ED">
              <w:rPr>
                <w:rStyle w:val="spelle"/>
              </w:rPr>
              <w:t xml:space="preserve">Ministru kabineta 2009.gada 6.oktobra sēdes </w:t>
            </w:r>
            <w:proofErr w:type="spellStart"/>
            <w:r w:rsidR="00530EB4" w:rsidRPr="009811ED">
              <w:rPr>
                <w:rStyle w:val="spelle"/>
              </w:rPr>
              <w:t>protokollēmuma</w:t>
            </w:r>
            <w:proofErr w:type="spellEnd"/>
            <w:r w:rsidR="00530EB4" w:rsidRPr="009811ED">
              <w:rPr>
                <w:rStyle w:val="spelle"/>
              </w:rPr>
              <w:t xml:space="preserve"> </w:t>
            </w:r>
            <w:r w:rsidR="00530EB4" w:rsidRPr="009811ED">
              <w:t>(prot. Nr.67 23.</w:t>
            </w:r>
            <w:r w:rsidR="00530EB4" w:rsidRPr="009811ED">
              <w:rPr>
                <w:bCs/>
              </w:rPr>
              <w:t xml:space="preserve">§) „Noteikumu projekts „Grozījums Ministru kabineta 2005.gada 27.decembra noteikumos Nr.1043 „Katastrofu medicīnas centra sniegto maksas pakalpojumu cenrādis”” 2.punktā dotā uzdevuma izpildi” (turpmāk – Ministru kabineta sēdes </w:t>
            </w:r>
            <w:proofErr w:type="spellStart"/>
            <w:r w:rsidR="00530EB4" w:rsidRPr="009811ED">
              <w:rPr>
                <w:bCs/>
              </w:rPr>
              <w:t>protokollēmuma</w:t>
            </w:r>
            <w:proofErr w:type="spellEnd"/>
            <w:r w:rsidR="00530EB4" w:rsidRPr="009811ED">
              <w:rPr>
                <w:bCs/>
              </w:rPr>
              <w:t xml:space="preserve"> projekts) pare</w:t>
            </w:r>
            <w:r w:rsidR="00AE44D5">
              <w:rPr>
                <w:bCs/>
              </w:rPr>
              <w:t xml:space="preserve">dz, ka 2.punktā </w:t>
            </w:r>
            <w:r w:rsidR="00AE44D5" w:rsidRPr="00390116">
              <w:rPr>
                <w:bCs/>
              </w:rPr>
              <w:t xml:space="preserve">dotais uzdevums tiks izpildīts divu mēnešu laikā </w:t>
            </w:r>
            <w:r w:rsidR="00AE44D5" w:rsidRPr="00390116">
              <w:t>pēc Finanšu ministrijas izstrādātajā informatīvajā ziņojumā „Par valsts (pašvaldību) nodevu un maksas pakalpojumu nošķiršanu un nodevu sistēmas pilnveidošanu” minēto likumprojektu pieņemšanas Saeimā.</w:t>
            </w:r>
          </w:p>
          <w:p w:rsidR="009329EC" w:rsidRPr="009811ED" w:rsidRDefault="004D1EFD" w:rsidP="00530EB4">
            <w:pPr>
              <w:spacing w:before="75" w:after="75"/>
              <w:jc w:val="both"/>
            </w:pPr>
            <w:r w:rsidRPr="009811ED">
              <w:rPr>
                <w:bCs/>
              </w:rPr>
              <w:t xml:space="preserve">Ministru kabineta sēdes </w:t>
            </w:r>
            <w:proofErr w:type="spellStart"/>
            <w:r w:rsidRPr="009811ED">
              <w:rPr>
                <w:bCs/>
              </w:rPr>
              <w:t>protokollēmuma</w:t>
            </w:r>
            <w:proofErr w:type="spellEnd"/>
            <w:r w:rsidRPr="009811ED">
              <w:rPr>
                <w:bCs/>
              </w:rPr>
              <w:t xml:space="preserve"> projekts</w:t>
            </w:r>
            <w:r w:rsidRPr="009811ED">
              <w:t xml:space="preserve"> pilnībā atrisinās anotācijas I sadaļas 2.punktā minētās problēmas.</w:t>
            </w:r>
          </w:p>
        </w:tc>
      </w:tr>
      <w:tr w:rsidR="00175D55" w:rsidRPr="009811ED" w:rsidTr="00EE3CF2">
        <w:trPr>
          <w:trHeight w:val="69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5.</w:t>
            </w:r>
          </w:p>
        </w:tc>
        <w:tc>
          <w:tcPr>
            <w:tcW w:w="2694" w:type="dxa"/>
          </w:tcPr>
          <w:p w:rsidR="00175D55" w:rsidRPr="009811ED" w:rsidRDefault="00175D55" w:rsidP="005436C7">
            <w:pPr>
              <w:spacing w:before="75" w:after="75"/>
              <w:rPr>
                <w:lang w:eastAsia="en-US"/>
              </w:rPr>
            </w:pPr>
            <w:r w:rsidRPr="009811ED">
              <w:rPr>
                <w:lang w:eastAsia="en-US"/>
              </w:rPr>
              <w:t> Projekta izstrādē iesaistītās institūcijas</w:t>
            </w:r>
          </w:p>
        </w:tc>
        <w:tc>
          <w:tcPr>
            <w:tcW w:w="6146" w:type="dxa"/>
          </w:tcPr>
          <w:p w:rsidR="00175D55" w:rsidRPr="009811ED" w:rsidRDefault="00530EB4" w:rsidP="005436C7">
            <w:pPr>
              <w:spacing w:before="75" w:after="75"/>
              <w:jc w:val="both"/>
              <w:rPr>
                <w:lang w:eastAsia="en-US"/>
              </w:rPr>
            </w:pPr>
            <w:r w:rsidRPr="009811ED">
              <w:t>Projekts šo jomu neskar.</w:t>
            </w:r>
          </w:p>
        </w:tc>
      </w:tr>
      <w:tr w:rsidR="00175D55" w:rsidRPr="009811ED" w:rsidTr="00EE3CF2">
        <w:trPr>
          <w:trHeight w:val="134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6.</w:t>
            </w:r>
          </w:p>
        </w:tc>
        <w:tc>
          <w:tcPr>
            <w:tcW w:w="2694" w:type="dxa"/>
          </w:tcPr>
          <w:p w:rsidR="00175D55" w:rsidRPr="009811ED" w:rsidRDefault="00175D55" w:rsidP="005436C7">
            <w:pPr>
              <w:spacing w:before="75" w:after="75"/>
              <w:rPr>
                <w:lang w:eastAsia="en-US"/>
              </w:rPr>
            </w:pPr>
            <w:r w:rsidRPr="009811ED">
              <w:rPr>
                <w:lang w:eastAsia="en-US"/>
              </w:rPr>
              <w:t> Iemesli, kādēļ netika nodrošināta sabiedrības līdzdalība</w:t>
            </w:r>
          </w:p>
        </w:tc>
        <w:tc>
          <w:tcPr>
            <w:tcW w:w="6146" w:type="dxa"/>
          </w:tcPr>
          <w:p w:rsidR="009329EC" w:rsidRPr="009811ED" w:rsidRDefault="00530EB4" w:rsidP="008006DE">
            <w:pPr>
              <w:spacing w:before="75" w:after="75"/>
              <w:jc w:val="both"/>
            </w:pPr>
            <w:r w:rsidRPr="009811ED">
              <w:t xml:space="preserve">Sabiedrības līdzdalība Ministru kabineta sēdes </w:t>
            </w:r>
            <w:proofErr w:type="spellStart"/>
            <w:r w:rsidRPr="009811ED">
              <w:t>protokollēmuma</w:t>
            </w:r>
            <w:proofErr w:type="spellEnd"/>
            <w:r w:rsidRPr="009811ED">
              <w:t xml:space="preserve"> projekta izstrādē nebija nepieciešama, jo Ministru kabineta sēdes </w:t>
            </w:r>
            <w:proofErr w:type="spellStart"/>
            <w:r w:rsidRPr="009811ED">
              <w:t>protokollēmumos</w:t>
            </w:r>
            <w:proofErr w:type="spellEnd"/>
            <w:r w:rsidRPr="009811ED">
              <w:t xml:space="preserve"> dotie uzdevumi un to izpildes termiņi ir tieši saistoši tikai Veselības ministrijai. Sabiedrības līdzdalība šo uzdevumu izpildes termiņu neietekmē.</w:t>
            </w:r>
          </w:p>
        </w:tc>
      </w:tr>
      <w:tr w:rsidR="00175D55" w:rsidRPr="009811ED" w:rsidTr="00EE3CF2">
        <w:trPr>
          <w:tblCellSpacing w:w="0" w:type="dxa"/>
          <w:jc w:val="center"/>
        </w:trPr>
        <w:tc>
          <w:tcPr>
            <w:tcW w:w="683" w:type="dxa"/>
          </w:tcPr>
          <w:p w:rsidR="00175D55" w:rsidRPr="009811ED" w:rsidRDefault="00175D55" w:rsidP="005436C7">
            <w:pPr>
              <w:spacing w:before="75" w:after="75"/>
              <w:rPr>
                <w:lang w:eastAsia="en-US"/>
              </w:rPr>
            </w:pPr>
            <w:r w:rsidRPr="009811ED">
              <w:rPr>
                <w:lang w:eastAsia="en-US"/>
              </w:rPr>
              <w:lastRenderedPageBreak/>
              <w:t> 7.</w:t>
            </w:r>
          </w:p>
        </w:tc>
        <w:tc>
          <w:tcPr>
            <w:tcW w:w="2694" w:type="dxa"/>
          </w:tcPr>
          <w:p w:rsidR="00175D55" w:rsidRPr="009811ED" w:rsidRDefault="00175D55" w:rsidP="005436C7">
            <w:pPr>
              <w:spacing w:before="75" w:after="75"/>
              <w:rPr>
                <w:lang w:eastAsia="en-US"/>
              </w:rPr>
            </w:pPr>
            <w:r w:rsidRPr="009811ED">
              <w:rPr>
                <w:lang w:eastAsia="en-US"/>
              </w:rPr>
              <w:t> Cita informācija</w:t>
            </w:r>
          </w:p>
        </w:tc>
        <w:tc>
          <w:tcPr>
            <w:tcW w:w="6146" w:type="dxa"/>
          </w:tcPr>
          <w:p w:rsidR="00175D55" w:rsidRPr="009811ED" w:rsidRDefault="00175D55" w:rsidP="005436C7">
            <w:pPr>
              <w:spacing w:before="75" w:after="75"/>
              <w:rPr>
                <w:lang w:eastAsia="en-US"/>
              </w:rPr>
            </w:pPr>
            <w:r w:rsidRPr="009811ED">
              <w:rPr>
                <w:lang w:eastAsia="en-US"/>
              </w:rPr>
              <w:t>Nav.</w:t>
            </w:r>
          </w:p>
        </w:tc>
      </w:tr>
    </w:tbl>
    <w:p w:rsidR="009329EC" w:rsidRDefault="009329EC" w:rsidP="00A42C90">
      <w:pPr>
        <w:pStyle w:val="naisf"/>
        <w:spacing w:before="0" w:after="0"/>
        <w:ind w:firstLine="0"/>
        <w:jc w:val="center"/>
        <w:rPr>
          <w:sz w:val="28"/>
          <w:szCs w:val="28"/>
        </w:rPr>
      </w:pPr>
    </w:p>
    <w:p w:rsidR="009329EC" w:rsidRDefault="009329EC" w:rsidP="00A42C90">
      <w:pPr>
        <w:pStyle w:val="naisf"/>
        <w:spacing w:before="0" w:after="0"/>
        <w:ind w:firstLine="0"/>
        <w:jc w:val="center"/>
        <w:rPr>
          <w:sz w:val="28"/>
          <w:szCs w:val="28"/>
        </w:rPr>
      </w:pPr>
    </w:p>
    <w:p w:rsidR="000216DA" w:rsidRDefault="000216DA" w:rsidP="00A42C90">
      <w:pPr>
        <w:pStyle w:val="naisf"/>
        <w:spacing w:before="0" w:after="0"/>
        <w:ind w:firstLine="0"/>
        <w:jc w:val="center"/>
        <w:rPr>
          <w:i/>
          <w:sz w:val="28"/>
          <w:szCs w:val="28"/>
        </w:rPr>
      </w:pPr>
      <w:r w:rsidRPr="00FE18A1">
        <w:rPr>
          <w:sz w:val="28"/>
          <w:szCs w:val="28"/>
        </w:rPr>
        <w:t xml:space="preserve">Anotācijas </w:t>
      </w:r>
      <w:r w:rsidR="00155C97" w:rsidRPr="00FE18A1">
        <w:rPr>
          <w:sz w:val="28"/>
          <w:szCs w:val="28"/>
        </w:rPr>
        <w:t>II</w:t>
      </w:r>
      <w:r w:rsidR="00D32FF1" w:rsidRPr="00FE18A1">
        <w:rPr>
          <w:sz w:val="28"/>
          <w:szCs w:val="28"/>
        </w:rPr>
        <w:t>.</w:t>
      </w:r>
      <w:r w:rsidR="00FE18A1" w:rsidRPr="00FE18A1">
        <w:rPr>
          <w:sz w:val="28"/>
          <w:szCs w:val="28"/>
        </w:rPr>
        <w:t xml:space="preserve"> – VI</w:t>
      </w:r>
      <w:r w:rsidR="008B261A">
        <w:rPr>
          <w:sz w:val="28"/>
          <w:szCs w:val="28"/>
        </w:rPr>
        <w:t>I</w:t>
      </w:r>
      <w:r w:rsidR="00FE18A1" w:rsidRPr="00FE18A1">
        <w:rPr>
          <w:sz w:val="28"/>
          <w:szCs w:val="28"/>
        </w:rPr>
        <w:t>.</w:t>
      </w:r>
      <w:r w:rsidR="00FE18A1">
        <w:rPr>
          <w:sz w:val="28"/>
          <w:szCs w:val="28"/>
        </w:rPr>
        <w:t xml:space="preserve"> </w:t>
      </w:r>
      <w:r w:rsidRPr="00FE18A1">
        <w:rPr>
          <w:sz w:val="28"/>
          <w:szCs w:val="28"/>
        </w:rPr>
        <w:t xml:space="preserve">sadaļa – </w:t>
      </w:r>
      <w:r w:rsidR="00392D05" w:rsidRPr="00FE18A1">
        <w:rPr>
          <w:i/>
          <w:sz w:val="28"/>
          <w:szCs w:val="28"/>
        </w:rPr>
        <w:t>projekts šīs jomas neskar.</w:t>
      </w:r>
    </w:p>
    <w:p w:rsidR="009329EC" w:rsidRDefault="009329EC" w:rsidP="00A42C90">
      <w:pPr>
        <w:pStyle w:val="naisf"/>
        <w:spacing w:before="0" w:after="0"/>
        <w:ind w:firstLine="0"/>
        <w:jc w:val="center"/>
        <w:rPr>
          <w:i/>
          <w:sz w:val="28"/>
          <w:szCs w:val="28"/>
        </w:rPr>
      </w:pPr>
    </w:p>
    <w:p w:rsidR="009329EC" w:rsidRDefault="009329EC" w:rsidP="00A42C90">
      <w:pPr>
        <w:pStyle w:val="naisf"/>
        <w:spacing w:before="0" w:after="0"/>
        <w:ind w:firstLine="0"/>
        <w:jc w:val="center"/>
        <w:rPr>
          <w:i/>
          <w:sz w:val="28"/>
          <w:szCs w:val="28"/>
        </w:rPr>
      </w:pPr>
    </w:p>
    <w:p w:rsidR="009329EC" w:rsidRPr="00FE18A1" w:rsidRDefault="009329EC" w:rsidP="00A42C90">
      <w:pPr>
        <w:pStyle w:val="naisf"/>
        <w:spacing w:before="0" w:after="0"/>
        <w:ind w:firstLine="0"/>
        <w:jc w:val="center"/>
        <w:rPr>
          <w:i/>
          <w:sz w:val="28"/>
          <w:szCs w:val="28"/>
        </w:rPr>
      </w:pPr>
    </w:p>
    <w:p w:rsidR="00EE3CF2" w:rsidRPr="00FE18A1" w:rsidRDefault="00EE3CF2" w:rsidP="00CD1318">
      <w:pPr>
        <w:jc w:val="center"/>
        <w:rPr>
          <w:i/>
          <w:sz w:val="28"/>
          <w:szCs w:val="28"/>
        </w:rPr>
      </w:pPr>
    </w:p>
    <w:p w:rsidR="00647699" w:rsidRPr="00CD1318" w:rsidRDefault="00392D05" w:rsidP="009329EC">
      <w:pPr>
        <w:jc w:val="center"/>
        <w:rPr>
          <w:sz w:val="28"/>
          <w:szCs w:val="28"/>
        </w:rPr>
      </w:pPr>
      <w:r>
        <w:rPr>
          <w:sz w:val="28"/>
          <w:szCs w:val="28"/>
        </w:rPr>
        <w:t>Veselības ministre</w:t>
      </w:r>
      <w:r w:rsidR="00175D55">
        <w:rPr>
          <w:sz w:val="28"/>
          <w:szCs w:val="28"/>
        </w:rPr>
        <w:t xml:space="preserve"> </w:t>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sidRPr="009476A9">
        <w:rPr>
          <w:sz w:val="28"/>
          <w:szCs w:val="28"/>
        </w:rPr>
        <w:tab/>
      </w:r>
      <w:proofErr w:type="spellStart"/>
      <w:r>
        <w:rPr>
          <w:sz w:val="28"/>
          <w:szCs w:val="28"/>
        </w:rPr>
        <w:t>I.Circene</w:t>
      </w:r>
      <w:proofErr w:type="spellEnd"/>
    </w:p>
    <w:p w:rsidR="00CD1318" w:rsidRDefault="00CD1318" w:rsidP="00175D55"/>
    <w:p w:rsidR="00EE3CF2" w:rsidRDefault="00EE3CF2" w:rsidP="00175D55"/>
    <w:p w:rsidR="00EE3CF2" w:rsidRDefault="00EE3CF2" w:rsidP="00175D55"/>
    <w:p w:rsidR="00EE3CF2" w:rsidRDefault="00EE3CF2" w:rsidP="00175D55"/>
    <w:p w:rsidR="00EE3CF2" w:rsidRDefault="00EE3CF2" w:rsidP="00175D55"/>
    <w:p w:rsidR="00AE44D5" w:rsidRDefault="00AE44D5" w:rsidP="00175D55">
      <w:r>
        <w:t>27.01.2012     10:58</w:t>
      </w:r>
    </w:p>
    <w:p w:rsidR="00175D55" w:rsidRPr="009476A9" w:rsidRDefault="008075C6" w:rsidP="00175D55">
      <w:r>
        <w:t>9</w:t>
      </w:r>
      <w:r w:rsidR="00AE44D5">
        <w:t>37</w:t>
      </w:r>
    </w:p>
    <w:p w:rsidR="00175D55" w:rsidRPr="009476A9" w:rsidRDefault="00175D55" w:rsidP="00175D55">
      <w:r w:rsidRPr="009476A9">
        <w:t>Ž.Zvaigzne</w:t>
      </w:r>
    </w:p>
    <w:p w:rsidR="00175D55" w:rsidRPr="009476A9" w:rsidRDefault="00175D55" w:rsidP="00175D55">
      <w:r w:rsidRPr="009476A9">
        <w:t>67876041, Zanete.Zvaigzne@vm.gov.lv</w:t>
      </w:r>
    </w:p>
    <w:p w:rsidR="00646DDB" w:rsidRPr="009476A9" w:rsidRDefault="00646DDB" w:rsidP="00646DDB">
      <w:pPr>
        <w:jc w:val="both"/>
        <w:rPr>
          <w:sz w:val="22"/>
          <w:szCs w:val="22"/>
        </w:rPr>
      </w:pPr>
    </w:p>
    <w:p w:rsidR="0095487B" w:rsidRPr="009476A9" w:rsidRDefault="0095487B">
      <w:pPr>
        <w:rPr>
          <w:rFonts w:ascii="Arial" w:hAnsi="Arial" w:cs="Arial"/>
          <w:sz w:val="17"/>
          <w:szCs w:val="17"/>
        </w:rPr>
      </w:pPr>
    </w:p>
    <w:sectPr w:rsidR="0095487B" w:rsidRPr="009476A9"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EC" w:rsidRDefault="009329EC" w:rsidP="000B5C6F">
      <w:r>
        <w:separator/>
      </w:r>
    </w:p>
  </w:endnote>
  <w:endnote w:type="continuationSeparator" w:id="0">
    <w:p w:rsidR="009329EC" w:rsidRDefault="009329EC"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EC" w:rsidRPr="009B65DD" w:rsidRDefault="00AE44D5" w:rsidP="009329EC">
    <w:pPr>
      <w:pStyle w:val="Footer"/>
      <w:jc w:val="both"/>
    </w:pPr>
    <w:r>
      <w:t>VMAnot_270112</w:t>
    </w:r>
    <w:r w:rsidR="009329EC">
      <w:t>_NMPD</w:t>
    </w:r>
    <w:r w:rsidR="009329EC" w:rsidRPr="009B65DD">
      <w:t xml:space="preserve">; </w:t>
    </w:r>
    <w:bookmarkStart w:id="0" w:name="OLE_LINK1"/>
    <w:bookmarkStart w:id="1" w:name="OLE_LINK2"/>
    <w:r w:rsidR="009329EC" w:rsidRPr="009B65DD">
      <w:rPr>
        <w:bCs/>
        <w:lang w:eastAsia="en-US"/>
      </w:rPr>
      <w:t xml:space="preserve">Ministru kabineta sēdes </w:t>
    </w:r>
    <w:proofErr w:type="spellStart"/>
    <w:r w:rsidR="009329EC" w:rsidRPr="009B65DD">
      <w:rPr>
        <w:bCs/>
        <w:lang w:eastAsia="en-US"/>
      </w:rPr>
      <w:t>protokollēmuma</w:t>
    </w:r>
    <w:proofErr w:type="spellEnd"/>
    <w:r w:rsidR="009329EC" w:rsidRPr="009B65DD">
      <w:rPr>
        <w:bCs/>
        <w:lang w:eastAsia="en-US"/>
      </w:rPr>
      <w:t xml:space="preserve"> projekta</w:t>
    </w:r>
    <w:r w:rsidR="009329EC">
      <w:rPr>
        <w:bCs/>
        <w:lang w:eastAsia="en-US"/>
      </w:rPr>
      <w:t xml:space="preserve"> </w:t>
    </w:r>
    <w:r w:rsidR="009329EC" w:rsidRPr="009B65DD">
      <w:t xml:space="preserve">„Par Ministru kabineta </w:t>
    </w:r>
    <w:r w:rsidR="009329EC" w:rsidRPr="009B65DD">
      <w:rPr>
        <w:rStyle w:val="spelle"/>
      </w:rPr>
      <w:t xml:space="preserve">2009.gada 6.oktobra sēdes </w:t>
    </w:r>
    <w:proofErr w:type="spellStart"/>
    <w:r w:rsidR="009329EC" w:rsidRPr="009B65DD">
      <w:rPr>
        <w:rStyle w:val="spelle"/>
      </w:rPr>
      <w:t>protokollēmuma</w:t>
    </w:r>
    <w:proofErr w:type="spellEnd"/>
    <w:r w:rsidR="009329EC" w:rsidRPr="009B65DD">
      <w:rPr>
        <w:rStyle w:val="spelle"/>
      </w:rPr>
      <w:t xml:space="preserve"> </w:t>
    </w:r>
    <w:r w:rsidR="009329EC" w:rsidRPr="009B65DD">
      <w:t>(prot. Nr.67 23.</w:t>
    </w:r>
    <w:r w:rsidR="009329EC" w:rsidRPr="009B65DD">
      <w:rPr>
        <w:bCs/>
      </w:rPr>
      <w:t>§) „Noteikumu projekts „Grozījums Ministru kabineta 2005.gada 27.decembra noteikumos Nr.1043 „Katastrofu medicīnas centra sniegto maksas pakalpojumu cenrādis”” 2.punktā dotā uzdevuma izpildi”</w:t>
    </w:r>
    <w:r w:rsidR="009329EC" w:rsidRPr="009B65DD">
      <w:t xml:space="preserve"> </w:t>
    </w:r>
    <w:r w:rsidR="009329EC" w:rsidRPr="009B65DD">
      <w:rPr>
        <w:bCs/>
        <w:lang w:eastAsia="en-US"/>
      </w:rPr>
      <w:t>sākotnējās ietekmes (</w:t>
    </w:r>
    <w:proofErr w:type="spellStart"/>
    <w:r w:rsidR="009329EC" w:rsidRPr="009B65DD">
      <w:rPr>
        <w:bCs/>
        <w:lang w:eastAsia="en-US"/>
      </w:rPr>
      <w:t>ex-ante</w:t>
    </w:r>
    <w:proofErr w:type="spellEnd"/>
    <w:r w:rsidR="009329EC" w:rsidRPr="009B65DD">
      <w:rPr>
        <w:bCs/>
        <w:lang w:eastAsia="en-US"/>
      </w:rPr>
      <w:t>) novērtējuma ziņojums</w:t>
    </w:r>
    <w:r w:rsidR="009329EC">
      <w:rPr>
        <w:bCs/>
        <w:lang w:eastAsia="en-US"/>
      </w:rPr>
      <w:t xml:space="preserve"> </w:t>
    </w:r>
    <w:r w:rsidR="009329EC" w:rsidRPr="009B65DD">
      <w:rPr>
        <w:bCs/>
        <w:lang w:eastAsia="en-US"/>
      </w:rPr>
      <w:t>(anotācija)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EC" w:rsidRDefault="009329EC" w:rsidP="009B65DD">
    <w:pPr>
      <w:jc w:val="both"/>
    </w:pPr>
  </w:p>
  <w:p w:rsidR="009329EC" w:rsidRPr="009B65DD" w:rsidRDefault="00AE44D5" w:rsidP="009B65DD">
    <w:pPr>
      <w:jc w:val="both"/>
      <w:rPr>
        <w:bCs/>
        <w:lang w:eastAsia="en-US"/>
      </w:rPr>
    </w:pPr>
    <w:r>
      <w:t>VMAnot_270112</w:t>
    </w:r>
    <w:r w:rsidR="009329EC">
      <w:t>_NMPD</w:t>
    </w:r>
    <w:r w:rsidR="009329EC" w:rsidRPr="009B65DD">
      <w:t xml:space="preserve">; </w:t>
    </w:r>
    <w:bookmarkStart w:id="2" w:name="OLE_LINK4"/>
    <w:bookmarkStart w:id="3" w:name="OLE_LINK5"/>
    <w:bookmarkStart w:id="4" w:name="OLE_LINK6"/>
    <w:r w:rsidR="009329EC" w:rsidRPr="009B65DD">
      <w:rPr>
        <w:bCs/>
        <w:lang w:eastAsia="en-US"/>
      </w:rPr>
      <w:t xml:space="preserve">Ministru kabineta sēdes </w:t>
    </w:r>
    <w:proofErr w:type="spellStart"/>
    <w:r w:rsidR="009329EC" w:rsidRPr="009B65DD">
      <w:rPr>
        <w:bCs/>
        <w:lang w:eastAsia="en-US"/>
      </w:rPr>
      <w:t>protokollēmuma</w:t>
    </w:r>
    <w:proofErr w:type="spellEnd"/>
    <w:r w:rsidR="009329EC" w:rsidRPr="009B65DD">
      <w:rPr>
        <w:bCs/>
        <w:lang w:eastAsia="en-US"/>
      </w:rPr>
      <w:t xml:space="preserve"> projekta</w:t>
    </w:r>
    <w:r w:rsidR="009329EC">
      <w:rPr>
        <w:bCs/>
        <w:lang w:eastAsia="en-US"/>
      </w:rPr>
      <w:t xml:space="preserve"> </w:t>
    </w:r>
    <w:r w:rsidR="009329EC" w:rsidRPr="009B65DD">
      <w:t xml:space="preserve">„Par Ministru kabineta </w:t>
    </w:r>
    <w:r w:rsidR="009329EC" w:rsidRPr="009B65DD">
      <w:rPr>
        <w:rStyle w:val="spelle"/>
      </w:rPr>
      <w:t xml:space="preserve">2009.gada 6.oktobra sēdes </w:t>
    </w:r>
    <w:proofErr w:type="spellStart"/>
    <w:r w:rsidR="009329EC" w:rsidRPr="009B65DD">
      <w:rPr>
        <w:rStyle w:val="spelle"/>
      </w:rPr>
      <w:t>protokollēmuma</w:t>
    </w:r>
    <w:proofErr w:type="spellEnd"/>
    <w:r w:rsidR="009329EC" w:rsidRPr="009B65DD">
      <w:rPr>
        <w:rStyle w:val="spelle"/>
      </w:rPr>
      <w:t xml:space="preserve"> </w:t>
    </w:r>
    <w:r w:rsidR="009329EC" w:rsidRPr="009B65DD">
      <w:t>(prot. Nr.67 23.</w:t>
    </w:r>
    <w:r w:rsidR="009329EC" w:rsidRPr="009B65DD">
      <w:rPr>
        <w:bCs/>
      </w:rPr>
      <w:t>§) „Noteikumu projekts „Grozījums Ministru kabineta 2005.gada 27.decembra noteikumos Nr.1043 „Katastrofu medicīnas centra sniegto maksas pakalpojumu cenrādis”” 2.punktā dotā uzdevuma izpildi”</w:t>
    </w:r>
    <w:r w:rsidR="009329EC" w:rsidRPr="009B65DD">
      <w:t xml:space="preserve"> </w:t>
    </w:r>
    <w:r w:rsidR="009329EC" w:rsidRPr="009B65DD">
      <w:rPr>
        <w:bCs/>
        <w:lang w:eastAsia="en-US"/>
      </w:rPr>
      <w:t>sākotnējās ietekmes (</w:t>
    </w:r>
    <w:proofErr w:type="spellStart"/>
    <w:r w:rsidR="009329EC" w:rsidRPr="009B65DD">
      <w:rPr>
        <w:bCs/>
        <w:lang w:eastAsia="en-US"/>
      </w:rPr>
      <w:t>ex-ante</w:t>
    </w:r>
    <w:proofErr w:type="spellEnd"/>
    <w:r w:rsidR="009329EC" w:rsidRPr="009B65DD">
      <w:rPr>
        <w:bCs/>
        <w:lang w:eastAsia="en-US"/>
      </w:rPr>
      <w:t>) novērtējuma ziņojums</w:t>
    </w:r>
    <w:r w:rsidR="009329EC">
      <w:rPr>
        <w:bCs/>
        <w:lang w:eastAsia="en-US"/>
      </w:rPr>
      <w:t xml:space="preserve"> </w:t>
    </w:r>
    <w:r w:rsidR="009329EC" w:rsidRPr="009B65DD">
      <w:rPr>
        <w:bCs/>
        <w:lang w:eastAsia="en-US"/>
      </w:rPr>
      <w:t>(anotācija)</w:t>
    </w:r>
  </w:p>
  <w:bookmarkEnd w:id="2"/>
  <w:bookmarkEnd w:id="3"/>
  <w:bookmarkEnd w:id="4"/>
  <w:p w:rsidR="009329EC" w:rsidRPr="009B65DD" w:rsidRDefault="009329EC" w:rsidP="009B65DD">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EC" w:rsidRDefault="009329EC" w:rsidP="000B5C6F">
      <w:r>
        <w:separator/>
      </w:r>
    </w:p>
  </w:footnote>
  <w:footnote w:type="continuationSeparator" w:id="0">
    <w:p w:rsidR="009329EC" w:rsidRDefault="009329EC"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EC" w:rsidRDefault="005F5735" w:rsidP="00D639CD">
    <w:pPr>
      <w:pStyle w:val="Header"/>
      <w:framePr w:wrap="around" w:vAnchor="text" w:hAnchor="margin" w:xAlign="center" w:y="1"/>
      <w:rPr>
        <w:rStyle w:val="PageNumber"/>
      </w:rPr>
    </w:pPr>
    <w:r>
      <w:rPr>
        <w:rStyle w:val="PageNumber"/>
      </w:rPr>
      <w:fldChar w:fldCharType="begin"/>
    </w:r>
    <w:r w:rsidR="009329EC">
      <w:rPr>
        <w:rStyle w:val="PageNumber"/>
      </w:rPr>
      <w:instrText xml:space="preserve">PAGE  </w:instrText>
    </w:r>
    <w:r>
      <w:rPr>
        <w:rStyle w:val="PageNumber"/>
      </w:rPr>
      <w:fldChar w:fldCharType="end"/>
    </w:r>
  </w:p>
  <w:p w:rsidR="009329EC" w:rsidRDefault="00932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EC" w:rsidRDefault="005F5735" w:rsidP="00D639CD">
    <w:pPr>
      <w:pStyle w:val="Header"/>
      <w:framePr w:wrap="around" w:vAnchor="text" w:hAnchor="margin" w:xAlign="center" w:y="1"/>
      <w:rPr>
        <w:rStyle w:val="PageNumber"/>
      </w:rPr>
    </w:pPr>
    <w:r>
      <w:rPr>
        <w:rStyle w:val="PageNumber"/>
      </w:rPr>
      <w:fldChar w:fldCharType="begin"/>
    </w:r>
    <w:r w:rsidR="009329EC">
      <w:rPr>
        <w:rStyle w:val="PageNumber"/>
      </w:rPr>
      <w:instrText xml:space="preserve">PAGE  </w:instrText>
    </w:r>
    <w:r>
      <w:rPr>
        <w:rStyle w:val="PageNumber"/>
      </w:rPr>
      <w:fldChar w:fldCharType="separate"/>
    </w:r>
    <w:r w:rsidR="00AE44D5">
      <w:rPr>
        <w:rStyle w:val="PageNumber"/>
        <w:noProof/>
      </w:rPr>
      <w:t>4</w:t>
    </w:r>
    <w:r>
      <w:rPr>
        <w:rStyle w:val="PageNumber"/>
      </w:rPr>
      <w:fldChar w:fldCharType="end"/>
    </w:r>
  </w:p>
  <w:p w:rsidR="009329EC" w:rsidRDefault="00932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5FF1"/>
    <w:rsid w:val="00065F2C"/>
    <w:rsid w:val="00074A14"/>
    <w:rsid w:val="000943E8"/>
    <w:rsid w:val="000A7490"/>
    <w:rsid w:val="000B5106"/>
    <w:rsid w:val="000B5C6F"/>
    <w:rsid w:val="000B67AA"/>
    <w:rsid w:val="000C0D34"/>
    <w:rsid w:val="000C474F"/>
    <w:rsid w:val="000C5706"/>
    <w:rsid w:val="000E3265"/>
    <w:rsid w:val="000F0C1D"/>
    <w:rsid w:val="00115191"/>
    <w:rsid w:val="001354E0"/>
    <w:rsid w:val="00135721"/>
    <w:rsid w:val="00155ADC"/>
    <w:rsid w:val="00155C97"/>
    <w:rsid w:val="00174984"/>
    <w:rsid w:val="00175D55"/>
    <w:rsid w:val="001762E7"/>
    <w:rsid w:val="00183AA3"/>
    <w:rsid w:val="001929B0"/>
    <w:rsid w:val="001A6A77"/>
    <w:rsid w:val="001B3894"/>
    <w:rsid w:val="001D7A37"/>
    <w:rsid w:val="001F5D42"/>
    <w:rsid w:val="00204442"/>
    <w:rsid w:val="0020452B"/>
    <w:rsid w:val="0020756C"/>
    <w:rsid w:val="00210477"/>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A43A6"/>
    <w:rsid w:val="002B2890"/>
    <w:rsid w:val="002E25B0"/>
    <w:rsid w:val="002E2D81"/>
    <w:rsid w:val="002F4EC2"/>
    <w:rsid w:val="00315481"/>
    <w:rsid w:val="00327691"/>
    <w:rsid w:val="00341FA5"/>
    <w:rsid w:val="00353D7A"/>
    <w:rsid w:val="00357751"/>
    <w:rsid w:val="003808B9"/>
    <w:rsid w:val="00382421"/>
    <w:rsid w:val="003838FB"/>
    <w:rsid w:val="00387A83"/>
    <w:rsid w:val="00387E99"/>
    <w:rsid w:val="00390B94"/>
    <w:rsid w:val="00392D05"/>
    <w:rsid w:val="003A7948"/>
    <w:rsid w:val="003A7FBD"/>
    <w:rsid w:val="003B7BD2"/>
    <w:rsid w:val="003C0710"/>
    <w:rsid w:val="003E52CC"/>
    <w:rsid w:val="003F3FBD"/>
    <w:rsid w:val="0041535A"/>
    <w:rsid w:val="00425A8A"/>
    <w:rsid w:val="00426677"/>
    <w:rsid w:val="00434F77"/>
    <w:rsid w:val="0045420F"/>
    <w:rsid w:val="0046589C"/>
    <w:rsid w:val="0047233A"/>
    <w:rsid w:val="00477E22"/>
    <w:rsid w:val="004B267E"/>
    <w:rsid w:val="004D1EFD"/>
    <w:rsid w:val="004E5E04"/>
    <w:rsid w:val="004F0324"/>
    <w:rsid w:val="004F6695"/>
    <w:rsid w:val="00506EAC"/>
    <w:rsid w:val="005117BD"/>
    <w:rsid w:val="0051343C"/>
    <w:rsid w:val="00530EB4"/>
    <w:rsid w:val="0053494D"/>
    <w:rsid w:val="00536A45"/>
    <w:rsid w:val="00537A63"/>
    <w:rsid w:val="00541590"/>
    <w:rsid w:val="005436C7"/>
    <w:rsid w:val="0054438E"/>
    <w:rsid w:val="00545D75"/>
    <w:rsid w:val="0055183C"/>
    <w:rsid w:val="0055718B"/>
    <w:rsid w:val="00560B41"/>
    <w:rsid w:val="00564AB0"/>
    <w:rsid w:val="0057083D"/>
    <w:rsid w:val="005754E6"/>
    <w:rsid w:val="005851C8"/>
    <w:rsid w:val="0059350D"/>
    <w:rsid w:val="005A3CAD"/>
    <w:rsid w:val="005A676C"/>
    <w:rsid w:val="005C193F"/>
    <w:rsid w:val="005C2C34"/>
    <w:rsid w:val="005D369B"/>
    <w:rsid w:val="005D5E38"/>
    <w:rsid w:val="005F5735"/>
    <w:rsid w:val="0062319A"/>
    <w:rsid w:val="00626611"/>
    <w:rsid w:val="00644E39"/>
    <w:rsid w:val="00645F64"/>
    <w:rsid w:val="00646DDB"/>
    <w:rsid w:val="00647699"/>
    <w:rsid w:val="00666DC0"/>
    <w:rsid w:val="006A4280"/>
    <w:rsid w:val="006A6BD6"/>
    <w:rsid w:val="006B71B7"/>
    <w:rsid w:val="006C3FDE"/>
    <w:rsid w:val="006E0816"/>
    <w:rsid w:val="006E3D62"/>
    <w:rsid w:val="006E76A4"/>
    <w:rsid w:val="00701092"/>
    <w:rsid w:val="00703AEE"/>
    <w:rsid w:val="00710DB6"/>
    <w:rsid w:val="007270AD"/>
    <w:rsid w:val="00744052"/>
    <w:rsid w:val="00744EC6"/>
    <w:rsid w:val="00745676"/>
    <w:rsid w:val="0074780D"/>
    <w:rsid w:val="00752327"/>
    <w:rsid w:val="00755FB1"/>
    <w:rsid w:val="007603B1"/>
    <w:rsid w:val="0076233A"/>
    <w:rsid w:val="007626D4"/>
    <w:rsid w:val="00764D20"/>
    <w:rsid w:val="00771EB7"/>
    <w:rsid w:val="00774ECF"/>
    <w:rsid w:val="007849C9"/>
    <w:rsid w:val="007950DD"/>
    <w:rsid w:val="007A0BFC"/>
    <w:rsid w:val="007A3BC0"/>
    <w:rsid w:val="007A5926"/>
    <w:rsid w:val="007B054B"/>
    <w:rsid w:val="007B21A1"/>
    <w:rsid w:val="007C4EDA"/>
    <w:rsid w:val="007D21FF"/>
    <w:rsid w:val="007E3C5B"/>
    <w:rsid w:val="007E5254"/>
    <w:rsid w:val="007F4197"/>
    <w:rsid w:val="008006DE"/>
    <w:rsid w:val="008075C6"/>
    <w:rsid w:val="00813311"/>
    <w:rsid w:val="00825BBA"/>
    <w:rsid w:val="00835470"/>
    <w:rsid w:val="0083659B"/>
    <w:rsid w:val="008376D9"/>
    <w:rsid w:val="00843DE9"/>
    <w:rsid w:val="00846D00"/>
    <w:rsid w:val="00855E80"/>
    <w:rsid w:val="00855EF5"/>
    <w:rsid w:val="00860DA3"/>
    <w:rsid w:val="00870067"/>
    <w:rsid w:val="0087041A"/>
    <w:rsid w:val="0087279F"/>
    <w:rsid w:val="0087446B"/>
    <w:rsid w:val="00891BD9"/>
    <w:rsid w:val="00891C80"/>
    <w:rsid w:val="00893519"/>
    <w:rsid w:val="008A279F"/>
    <w:rsid w:val="008A4534"/>
    <w:rsid w:val="008A4BA8"/>
    <w:rsid w:val="008B069E"/>
    <w:rsid w:val="008B1D6C"/>
    <w:rsid w:val="008B261A"/>
    <w:rsid w:val="008B308B"/>
    <w:rsid w:val="008B6C9B"/>
    <w:rsid w:val="008C6A6C"/>
    <w:rsid w:val="008D5826"/>
    <w:rsid w:val="00902270"/>
    <w:rsid w:val="00906254"/>
    <w:rsid w:val="00922FC3"/>
    <w:rsid w:val="00926CF4"/>
    <w:rsid w:val="00931B86"/>
    <w:rsid w:val="009329EC"/>
    <w:rsid w:val="009476A9"/>
    <w:rsid w:val="00951EAE"/>
    <w:rsid w:val="0095487B"/>
    <w:rsid w:val="0096656C"/>
    <w:rsid w:val="00967BBC"/>
    <w:rsid w:val="009811ED"/>
    <w:rsid w:val="00992A2E"/>
    <w:rsid w:val="00995EA5"/>
    <w:rsid w:val="009B65DD"/>
    <w:rsid w:val="009C2C0C"/>
    <w:rsid w:val="009C2FFD"/>
    <w:rsid w:val="009D0535"/>
    <w:rsid w:val="009D53AE"/>
    <w:rsid w:val="009D598F"/>
    <w:rsid w:val="009E40CB"/>
    <w:rsid w:val="009F2E91"/>
    <w:rsid w:val="00A25DB6"/>
    <w:rsid w:val="00A35C38"/>
    <w:rsid w:val="00A42C90"/>
    <w:rsid w:val="00A4377A"/>
    <w:rsid w:val="00A43A21"/>
    <w:rsid w:val="00A5360E"/>
    <w:rsid w:val="00A6116C"/>
    <w:rsid w:val="00A61906"/>
    <w:rsid w:val="00A62E1A"/>
    <w:rsid w:val="00A7448B"/>
    <w:rsid w:val="00A747C5"/>
    <w:rsid w:val="00A8039A"/>
    <w:rsid w:val="00A82FD5"/>
    <w:rsid w:val="00A841F1"/>
    <w:rsid w:val="00A84E68"/>
    <w:rsid w:val="00A86499"/>
    <w:rsid w:val="00AA3DA3"/>
    <w:rsid w:val="00AB1BB6"/>
    <w:rsid w:val="00AC03AB"/>
    <w:rsid w:val="00AC0E70"/>
    <w:rsid w:val="00AC5091"/>
    <w:rsid w:val="00AD4DA9"/>
    <w:rsid w:val="00AE44D5"/>
    <w:rsid w:val="00AE6CB6"/>
    <w:rsid w:val="00AF2ED3"/>
    <w:rsid w:val="00B05850"/>
    <w:rsid w:val="00B12349"/>
    <w:rsid w:val="00B1638B"/>
    <w:rsid w:val="00B1730A"/>
    <w:rsid w:val="00B27618"/>
    <w:rsid w:val="00B4181E"/>
    <w:rsid w:val="00B469CE"/>
    <w:rsid w:val="00B471F7"/>
    <w:rsid w:val="00B50D1E"/>
    <w:rsid w:val="00B50FBA"/>
    <w:rsid w:val="00B51A43"/>
    <w:rsid w:val="00B544DE"/>
    <w:rsid w:val="00B61981"/>
    <w:rsid w:val="00B6677A"/>
    <w:rsid w:val="00B77E1C"/>
    <w:rsid w:val="00B83048"/>
    <w:rsid w:val="00B8679A"/>
    <w:rsid w:val="00B95A01"/>
    <w:rsid w:val="00BA3FB1"/>
    <w:rsid w:val="00BC00BF"/>
    <w:rsid w:val="00BD1CBE"/>
    <w:rsid w:val="00BF0986"/>
    <w:rsid w:val="00BF2BAD"/>
    <w:rsid w:val="00C02018"/>
    <w:rsid w:val="00C062CA"/>
    <w:rsid w:val="00C214C7"/>
    <w:rsid w:val="00C26542"/>
    <w:rsid w:val="00C92AAC"/>
    <w:rsid w:val="00C975D8"/>
    <w:rsid w:val="00CA191E"/>
    <w:rsid w:val="00CC7DF1"/>
    <w:rsid w:val="00CD0666"/>
    <w:rsid w:val="00CD1318"/>
    <w:rsid w:val="00CD6515"/>
    <w:rsid w:val="00CE0C65"/>
    <w:rsid w:val="00CF499B"/>
    <w:rsid w:val="00CF530C"/>
    <w:rsid w:val="00D1386F"/>
    <w:rsid w:val="00D32FF1"/>
    <w:rsid w:val="00D34CC8"/>
    <w:rsid w:val="00D639CD"/>
    <w:rsid w:val="00D66735"/>
    <w:rsid w:val="00D863DD"/>
    <w:rsid w:val="00DC0B7D"/>
    <w:rsid w:val="00DC4FFD"/>
    <w:rsid w:val="00DD7600"/>
    <w:rsid w:val="00DE06E0"/>
    <w:rsid w:val="00DF2581"/>
    <w:rsid w:val="00DF5039"/>
    <w:rsid w:val="00E01F6E"/>
    <w:rsid w:val="00E04E21"/>
    <w:rsid w:val="00E20EA4"/>
    <w:rsid w:val="00E246BB"/>
    <w:rsid w:val="00E45BD3"/>
    <w:rsid w:val="00E50DDB"/>
    <w:rsid w:val="00E51BD4"/>
    <w:rsid w:val="00E520DC"/>
    <w:rsid w:val="00E92D1A"/>
    <w:rsid w:val="00E95B6C"/>
    <w:rsid w:val="00E95F48"/>
    <w:rsid w:val="00EA13C5"/>
    <w:rsid w:val="00EA1FE8"/>
    <w:rsid w:val="00EB131B"/>
    <w:rsid w:val="00ED17FC"/>
    <w:rsid w:val="00ED2E21"/>
    <w:rsid w:val="00ED7D35"/>
    <w:rsid w:val="00EE3CF2"/>
    <w:rsid w:val="00EE56BF"/>
    <w:rsid w:val="00F01979"/>
    <w:rsid w:val="00F0297E"/>
    <w:rsid w:val="00F131E7"/>
    <w:rsid w:val="00F33B8F"/>
    <w:rsid w:val="00F40791"/>
    <w:rsid w:val="00F43FDE"/>
    <w:rsid w:val="00F54001"/>
    <w:rsid w:val="00F552A3"/>
    <w:rsid w:val="00F57CF1"/>
    <w:rsid w:val="00F715FA"/>
    <w:rsid w:val="00F7379F"/>
    <w:rsid w:val="00F801F8"/>
    <w:rsid w:val="00FA7AB3"/>
    <w:rsid w:val="00FC2965"/>
    <w:rsid w:val="00FE187E"/>
    <w:rsid w:val="00FE18A1"/>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392D05"/>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944</Words>
  <Characters>6818</Characters>
  <Application>Microsoft Office Word</Application>
  <DocSecurity>0</DocSecurity>
  <Lines>174</Lines>
  <Paragraphs>38</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2009.gada 6.oktobra sēdes protokollēmuma (prot. Nr.67 23.§) „Noteikumu projekts „Grozījums Ministru kabineta 2005.gada 27.decembra noteikumos Nr.1043 „Katastrofu medicīnas centra snieg</vt:lpstr>
    </vt:vector>
  </TitlesOfParts>
  <Company>Veselības ministrija</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2009.gada 6.oktobra sēdes protokollēmuma (prot. Nr.67 23.§) „Noteikumu projekts „Grozījums Ministru kabineta 2005.gada 27.decembra noteikumos Nr.1043 „Katastrofu medicīnas centra sniegto maksas pakalpojumu cenrādis”” 2.punktā dotā uzdevuma izpildi” sākotnējās ietekmes (ex-ante) novērtējuma ziņojums (anotācija)</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15</cp:revision>
  <cp:lastPrinted>2011-12-01T12:45:00Z</cp:lastPrinted>
  <dcterms:created xsi:type="dcterms:W3CDTF">2011-12-01T08:46:00Z</dcterms:created>
  <dcterms:modified xsi:type="dcterms:W3CDTF">2012-01-27T08:58:00Z</dcterms:modified>
</cp:coreProperties>
</file>