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B" w:rsidRDefault="00A03639" w:rsidP="00A03639">
      <w:pPr>
        <w:jc w:val="center"/>
        <w:rPr>
          <w:b/>
          <w:bCs/>
          <w:sz w:val="28"/>
          <w:szCs w:val="28"/>
        </w:rPr>
      </w:pPr>
      <w:r w:rsidRPr="004036DD">
        <w:rPr>
          <w:b/>
          <w:bCs/>
          <w:sz w:val="28"/>
          <w:szCs w:val="28"/>
        </w:rPr>
        <w:t>Ministru kabineta n</w:t>
      </w:r>
      <w:r w:rsidR="00414EEC" w:rsidRPr="004036DD">
        <w:rPr>
          <w:b/>
          <w:bCs/>
          <w:sz w:val="28"/>
          <w:szCs w:val="28"/>
        </w:rPr>
        <w:t>oteikum</w:t>
      </w:r>
      <w:r w:rsidR="004511BE" w:rsidRPr="004036DD">
        <w:rPr>
          <w:b/>
          <w:bCs/>
          <w:sz w:val="28"/>
          <w:szCs w:val="28"/>
        </w:rPr>
        <w:t>u</w:t>
      </w:r>
      <w:r w:rsidR="00414EEC" w:rsidRPr="004036DD">
        <w:rPr>
          <w:b/>
          <w:bCs/>
          <w:sz w:val="28"/>
          <w:szCs w:val="28"/>
        </w:rPr>
        <w:t xml:space="preserve"> </w:t>
      </w:r>
      <w:r w:rsidR="00DC5AAF" w:rsidRPr="004036DD">
        <w:rPr>
          <w:b/>
          <w:bCs/>
          <w:sz w:val="28"/>
          <w:szCs w:val="28"/>
        </w:rPr>
        <w:t xml:space="preserve">projekta </w:t>
      </w:r>
    </w:p>
    <w:p w:rsidR="007D2457" w:rsidRPr="004036DD" w:rsidRDefault="00DC5AAF" w:rsidP="00A03639">
      <w:pPr>
        <w:jc w:val="center"/>
        <w:rPr>
          <w:b/>
          <w:sz w:val="28"/>
          <w:szCs w:val="28"/>
        </w:rPr>
      </w:pPr>
      <w:r w:rsidRPr="004036DD">
        <w:rPr>
          <w:b/>
          <w:bCs/>
          <w:sz w:val="28"/>
          <w:szCs w:val="28"/>
        </w:rPr>
        <w:t>„</w:t>
      </w:r>
      <w:r w:rsidR="00775CE6" w:rsidRPr="004036DD">
        <w:rPr>
          <w:b/>
          <w:sz w:val="28"/>
          <w:szCs w:val="28"/>
        </w:rPr>
        <w:t>Grozījum</w:t>
      </w:r>
      <w:r w:rsidR="00F416F8">
        <w:rPr>
          <w:b/>
          <w:sz w:val="28"/>
          <w:szCs w:val="28"/>
        </w:rPr>
        <w:t>i</w:t>
      </w:r>
      <w:r w:rsidR="00775CE6" w:rsidRPr="004036DD">
        <w:rPr>
          <w:b/>
          <w:sz w:val="28"/>
          <w:szCs w:val="28"/>
        </w:rPr>
        <w:t xml:space="preserve"> Ministru kabineta 20</w:t>
      </w:r>
      <w:r w:rsidR="000D3996" w:rsidRPr="004036DD">
        <w:rPr>
          <w:b/>
          <w:sz w:val="28"/>
          <w:szCs w:val="28"/>
        </w:rPr>
        <w:t>10</w:t>
      </w:r>
      <w:r w:rsidR="00775CE6" w:rsidRPr="004036DD">
        <w:rPr>
          <w:b/>
          <w:sz w:val="28"/>
          <w:szCs w:val="28"/>
        </w:rPr>
        <w:t xml:space="preserve">.gada </w:t>
      </w:r>
      <w:r w:rsidR="000D3996" w:rsidRPr="004036DD">
        <w:rPr>
          <w:b/>
          <w:sz w:val="28"/>
          <w:szCs w:val="28"/>
        </w:rPr>
        <w:t>6</w:t>
      </w:r>
      <w:r w:rsidR="00775CE6" w:rsidRPr="004036DD">
        <w:rPr>
          <w:b/>
          <w:sz w:val="28"/>
          <w:szCs w:val="28"/>
        </w:rPr>
        <w:t>.jūlija noteikumos Nr.</w:t>
      </w:r>
      <w:r w:rsidR="000D3996" w:rsidRPr="004036DD">
        <w:rPr>
          <w:b/>
          <w:sz w:val="28"/>
          <w:szCs w:val="28"/>
        </w:rPr>
        <w:t>608</w:t>
      </w:r>
      <w:r w:rsidR="00775CE6" w:rsidRPr="004036DD">
        <w:rPr>
          <w:b/>
          <w:sz w:val="28"/>
          <w:szCs w:val="28"/>
        </w:rPr>
        <w:t xml:space="preserve"> „Noteikumi par peldvietu ūdens monitoringu, kvalitātes nodrošināšanu un prasībām sabiedrības informēšanai”</w:t>
      </w:r>
      <w:r w:rsidR="007D2457" w:rsidRPr="004036DD">
        <w:rPr>
          <w:b/>
          <w:sz w:val="28"/>
          <w:szCs w:val="28"/>
        </w:rPr>
        <w:t xml:space="preserve">” </w:t>
      </w:r>
    </w:p>
    <w:p w:rsidR="00E412E2" w:rsidRPr="004036DD" w:rsidRDefault="00414EEC" w:rsidP="00414EEC">
      <w:pPr>
        <w:ind w:firstLine="720"/>
        <w:jc w:val="center"/>
        <w:rPr>
          <w:b/>
          <w:bCs/>
          <w:sz w:val="28"/>
          <w:szCs w:val="28"/>
        </w:rPr>
      </w:pPr>
      <w:r w:rsidRPr="004036DD">
        <w:rPr>
          <w:b/>
          <w:bCs/>
          <w:sz w:val="28"/>
          <w:szCs w:val="28"/>
        </w:rPr>
        <w:t xml:space="preserve"> </w:t>
      </w:r>
      <w:r w:rsidR="00775CE6" w:rsidRPr="004036DD">
        <w:rPr>
          <w:b/>
          <w:bCs/>
          <w:sz w:val="28"/>
          <w:szCs w:val="28"/>
        </w:rPr>
        <w:t>sākotnējās ietekmes novērtējuma ziņojums (</w:t>
      </w:r>
      <w:r w:rsidR="00E412E2" w:rsidRPr="004036DD">
        <w:rPr>
          <w:b/>
          <w:bCs/>
          <w:sz w:val="28"/>
          <w:szCs w:val="28"/>
        </w:rPr>
        <w:t>anotācija</w:t>
      </w:r>
      <w:r w:rsidR="00775CE6" w:rsidRPr="004036DD">
        <w:rPr>
          <w:b/>
          <w:bCs/>
          <w:sz w:val="28"/>
          <w:szCs w:val="28"/>
        </w:rPr>
        <w:t>)</w:t>
      </w:r>
      <w:r w:rsidR="00E412E2" w:rsidRPr="004036DD">
        <w:rPr>
          <w:b/>
          <w:bCs/>
          <w:sz w:val="28"/>
          <w:szCs w:val="28"/>
        </w:rPr>
        <w:t xml:space="preserve"> </w:t>
      </w:r>
    </w:p>
    <w:p w:rsidR="00127158" w:rsidRPr="004036DD" w:rsidRDefault="00127158" w:rsidP="00414EEC">
      <w:pPr>
        <w:ind w:firstLine="720"/>
        <w:jc w:val="center"/>
        <w:rPr>
          <w:b/>
          <w:bCs/>
          <w:sz w:val="28"/>
          <w:szCs w:val="28"/>
        </w:rPr>
      </w:pPr>
    </w:p>
    <w:p w:rsidR="00BC60C6" w:rsidRPr="004036DD" w:rsidRDefault="00BC60C6" w:rsidP="0057104C">
      <w:pPr>
        <w:spacing w:after="120"/>
        <w:ind w:firstLine="709"/>
        <w:rPr>
          <w:iCs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835"/>
        <w:gridCol w:w="5811"/>
      </w:tblGrid>
      <w:tr w:rsidR="0057104C" w:rsidRPr="004036DD" w:rsidTr="00127158">
        <w:tc>
          <w:tcPr>
            <w:tcW w:w="9072" w:type="dxa"/>
            <w:gridSpan w:val="3"/>
          </w:tcPr>
          <w:p w:rsidR="0057104C" w:rsidRPr="004036DD" w:rsidRDefault="0057104C" w:rsidP="00BC2AFA">
            <w:pPr>
              <w:spacing w:before="200" w:after="120"/>
              <w:jc w:val="center"/>
              <w:rPr>
                <w:b/>
              </w:rPr>
            </w:pPr>
            <w:r w:rsidRPr="004036DD">
              <w:rPr>
                <w:b/>
              </w:rPr>
              <w:t xml:space="preserve">I. </w:t>
            </w:r>
            <w:r w:rsidR="00BC2AFA" w:rsidRPr="004036DD">
              <w:rPr>
                <w:b/>
              </w:rPr>
              <w:t>Tiesību akta projekta izstrādes nepieciešamība</w:t>
            </w:r>
          </w:p>
        </w:tc>
      </w:tr>
      <w:tr w:rsidR="00BC2AFA" w:rsidRPr="004036DD" w:rsidTr="00127158">
        <w:trPr>
          <w:trHeight w:val="701"/>
        </w:trPr>
        <w:tc>
          <w:tcPr>
            <w:tcW w:w="426" w:type="dxa"/>
          </w:tcPr>
          <w:p w:rsidR="00BC2AFA" w:rsidRPr="004036DD" w:rsidRDefault="00BC2AFA" w:rsidP="00BC2AFA">
            <w:pPr>
              <w:pStyle w:val="BodyText"/>
              <w:spacing w:after="120"/>
              <w:rPr>
                <w:sz w:val="24"/>
                <w:szCs w:val="24"/>
                <w:lang w:val="lv-LV"/>
              </w:rPr>
            </w:pPr>
            <w:r w:rsidRPr="004036DD">
              <w:rPr>
                <w:sz w:val="24"/>
                <w:szCs w:val="24"/>
                <w:lang w:val="lv-LV"/>
              </w:rPr>
              <w:t>1. </w:t>
            </w:r>
          </w:p>
          <w:p w:rsidR="00BC2AFA" w:rsidRPr="004036DD" w:rsidRDefault="00BC2AFA" w:rsidP="00EB65A4">
            <w:pPr>
              <w:pStyle w:val="BodyText"/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Pamatojums</w:t>
            </w:r>
          </w:p>
        </w:tc>
        <w:tc>
          <w:tcPr>
            <w:tcW w:w="5811" w:type="dxa"/>
          </w:tcPr>
          <w:p w:rsidR="00BC2AFA" w:rsidRPr="00F42B77" w:rsidRDefault="00F42B77" w:rsidP="00355BB8">
            <w:pPr>
              <w:jc w:val="both"/>
              <w:rPr>
                <w:b/>
              </w:rPr>
            </w:pPr>
            <w:r w:rsidRPr="00F42B77">
              <w:rPr>
                <w:iCs/>
              </w:rPr>
              <w:t>Eiropas Parlamenta un Padomes direktīv</w:t>
            </w:r>
            <w:r>
              <w:rPr>
                <w:iCs/>
              </w:rPr>
              <w:t>a</w:t>
            </w:r>
            <w:r w:rsidRPr="00F42B77">
              <w:rPr>
                <w:iCs/>
              </w:rPr>
              <w:t xml:space="preserve"> 2006/7/EK (2006.gada 15.februāris) par peldvietu ūdens kvalitātes pārvaldību un direktīvas 76/160/EEK atcelšanu (turpmāk – direktīva) un Eiropas Komisijas 2010.gada 28.septembra vēstule</w:t>
            </w:r>
            <w:r w:rsidR="00002F92">
              <w:rPr>
                <w:iCs/>
              </w:rPr>
              <w:t xml:space="preserve"> </w:t>
            </w:r>
            <w:r w:rsidR="00355BB8" w:rsidRPr="00F42B77">
              <w:rPr>
                <w:iCs/>
              </w:rPr>
              <w:t>Latvijas pārstāvniecībai Eiropas Savienībā</w:t>
            </w:r>
            <w:r w:rsidR="00355BB8">
              <w:rPr>
                <w:iCs/>
              </w:rPr>
              <w:t xml:space="preserve"> </w:t>
            </w:r>
            <w:r w:rsidR="00002F92">
              <w:rPr>
                <w:iCs/>
              </w:rPr>
              <w:t>Nr.</w:t>
            </w:r>
            <w:r w:rsidR="00D6102C">
              <w:rPr>
                <w:iCs/>
              </w:rPr>
              <w:t>ENV.A.</w:t>
            </w:r>
            <w:r w:rsidR="00A725ED">
              <w:rPr>
                <w:iCs/>
              </w:rPr>
              <w:t>1/NM/mm/ARES(2010)</w:t>
            </w:r>
            <w:r w:rsidR="00002F92">
              <w:rPr>
                <w:iCs/>
              </w:rPr>
              <w:t>635034</w:t>
            </w:r>
            <w:r w:rsidRPr="00F42B77">
              <w:rPr>
                <w:iCs/>
              </w:rPr>
              <w:t xml:space="preserve"> </w:t>
            </w:r>
            <w:r w:rsidR="00A11EAC">
              <w:rPr>
                <w:iCs/>
              </w:rPr>
              <w:t>„Par</w:t>
            </w:r>
            <w:r w:rsidR="00A11EAC" w:rsidRPr="00F42B77">
              <w:rPr>
                <w:iCs/>
              </w:rPr>
              <w:t xml:space="preserve"> </w:t>
            </w:r>
            <w:r w:rsidR="00A11EAC">
              <w:rPr>
                <w:iCs/>
              </w:rPr>
              <w:t>D</w:t>
            </w:r>
            <w:r w:rsidR="00A11EAC" w:rsidRPr="00F42B77">
              <w:rPr>
                <w:iCs/>
              </w:rPr>
              <w:t>irektīv</w:t>
            </w:r>
            <w:r w:rsidR="00A11EAC">
              <w:rPr>
                <w:iCs/>
              </w:rPr>
              <w:t>as</w:t>
            </w:r>
            <w:r w:rsidR="00A11EAC" w:rsidRPr="00F42B77">
              <w:rPr>
                <w:iCs/>
              </w:rPr>
              <w:t xml:space="preserve"> 2006/7/EK par peldvietu </w:t>
            </w:r>
            <w:r w:rsidR="00A11EAC">
              <w:rPr>
                <w:iCs/>
              </w:rPr>
              <w:t>ūdens kvalitātes pārvaldību un D</w:t>
            </w:r>
            <w:r w:rsidR="00A11EAC" w:rsidRPr="00F42B77">
              <w:rPr>
                <w:iCs/>
              </w:rPr>
              <w:t>irektīvas 76/160/EEK atcelšanu</w:t>
            </w:r>
            <w:r w:rsidR="00A11EAC">
              <w:rPr>
                <w:iCs/>
              </w:rPr>
              <w:t xml:space="preserve"> Latvijas tiesību aktos” </w:t>
            </w:r>
            <w:r w:rsidR="00505AB3">
              <w:rPr>
                <w:iCs/>
              </w:rPr>
              <w:t xml:space="preserve">(turpmāk – Eiropas </w:t>
            </w:r>
            <w:r w:rsidR="006B3B50">
              <w:rPr>
                <w:iCs/>
              </w:rPr>
              <w:t>K</w:t>
            </w:r>
            <w:r w:rsidR="00505AB3">
              <w:rPr>
                <w:iCs/>
              </w:rPr>
              <w:t>omisijas vēstule)</w:t>
            </w:r>
            <w:r w:rsidR="0097632D">
              <w:rPr>
                <w:iCs/>
              </w:rPr>
              <w:t>.</w:t>
            </w:r>
            <w:r w:rsidRPr="00F42B77">
              <w:rPr>
                <w:iCs/>
              </w:rPr>
              <w:t xml:space="preserve"> 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2.</w:t>
            </w: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Pašreizējā situācija un problēmas</w:t>
            </w:r>
          </w:p>
        </w:tc>
        <w:tc>
          <w:tcPr>
            <w:tcW w:w="5811" w:type="dxa"/>
          </w:tcPr>
          <w:p w:rsidR="00F90942" w:rsidRPr="00E23553" w:rsidRDefault="00F90942" w:rsidP="00F90942">
            <w:pPr>
              <w:jc w:val="both"/>
            </w:pPr>
            <w:r w:rsidRPr="00E23553">
              <w:t>2010.gadā Latvijas pārstāvniecība Eiropas Savienībā saņēma Eiropas Komisijas vēstuli, kurā bija norādīts uz trūkumiem n</w:t>
            </w:r>
            <w:r w:rsidR="006B3B50" w:rsidRPr="00E23553">
              <w:t>acionālajos tiesību aktos, jo</w:t>
            </w:r>
            <w:r w:rsidRPr="00E23553">
              <w:t xml:space="preserve"> nav pārņemtas vai nav pilnībā ieviestas šādas direktīvas prasības:</w:t>
            </w:r>
          </w:p>
          <w:p w:rsidR="00E23553" w:rsidRPr="00030D01" w:rsidRDefault="00E23553" w:rsidP="00F90942">
            <w:pPr>
              <w:jc w:val="both"/>
            </w:pPr>
            <w:r w:rsidRPr="00030D01">
              <w:t>1</w:t>
            </w:r>
            <w:r w:rsidR="00471741" w:rsidRPr="00030D01">
              <w:t>) 1.panta 3.punkta nosacījumi peldvietām uz kurām attiecina direktīvas prasības</w:t>
            </w:r>
            <w:r w:rsidRPr="00030D01">
              <w:t>;</w:t>
            </w:r>
          </w:p>
          <w:p w:rsidR="00E23553" w:rsidRPr="00030D01" w:rsidRDefault="00E23553" w:rsidP="00F90942">
            <w:pPr>
              <w:jc w:val="both"/>
            </w:pPr>
            <w:r w:rsidRPr="00030D01">
              <w:t xml:space="preserve">2) </w:t>
            </w:r>
            <w:r w:rsidRPr="00030D01">
              <w:rPr>
                <w:iCs/>
              </w:rPr>
              <w:t>2.panta 3.punkta prasības attiec</w:t>
            </w:r>
            <w:r w:rsidR="006C5741" w:rsidRPr="00030D01">
              <w:rPr>
                <w:iCs/>
              </w:rPr>
              <w:t>ībā uz</w:t>
            </w:r>
            <w:r w:rsidRPr="00030D01">
              <w:rPr>
                <w:iCs/>
              </w:rPr>
              <w:t xml:space="preserve"> patstāvīgu peldēšanās aizliegumu vai ieteikumu nepeldēties;</w:t>
            </w:r>
          </w:p>
          <w:p w:rsidR="00EA029F" w:rsidRPr="00E23553" w:rsidRDefault="006C5741" w:rsidP="00F90942">
            <w:pPr>
              <w:jc w:val="both"/>
            </w:pPr>
            <w:r>
              <w:t>3</w:t>
            </w:r>
            <w:r w:rsidR="00EA029F" w:rsidRPr="00E23553">
              <w:t>)    3.panta 1.punktā noteiktā prasība, ka peldūdeņi tiek identificēti katru gadu.</w:t>
            </w:r>
          </w:p>
          <w:p w:rsidR="00F90942" w:rsidRPr="00E23553" w:rsidRDefault="006C5741" w:rsidP="00F90942">
            <w:pPr>
              <w:jc w:val="both"/>
            </w:pPr>
            <w:r>
              <w:t>4</w:t>
            </w:r>
            <w:r w:rsidR="008F6EB3" w:rsidRPr="00E23553">
              <w:t>)</w:t>
            </w:r>
            <w:r w:rsidR="004D7A68" w:rsidRPr="00E23553">
              <w:t xml:space="preserve"> 3.panta 7.p</w:t>
            </w:r>
            <w:r w:rsidR="00F90942" w:rsidRPr="00E23553">
              <w:t>unktā noteiktā prasība attiecībā uz  peldvietu ūdens paraugu ņemšanu peldvietu ūdens kvalitātes informācijas kopuma papildināšanai pēc ārkārtas situācijām</w:t>
            </w:r>
            <w:r w:rsidR="00547340" w:rsidRPr="00E23553">
              <w:t>;</w:t>
            </w:r>
          </w:p>
          <w:p w:rsidR="00F90942" w:rsidRPr="00E23553" w:rsidRDefault="006C5741" w:rsidP="00F90942">
            <w:pPr>
              <w:jc w:val="both"/>
            </w:pPr>
            <w:r>
              <w:t>5</w:t>
            </w:r>
            <w:r w:rsidR="008F6EB3" w:rsidRPr="00E23553">
              <w:t>)</w:t>
            </w:r>
            <w:r w:rsidR="004D7A68" w:rsidRPr="00E23553">
              <w:t xml:space="preserve">   2.panta 7.</w:t>
            </w:r>
            <w:r w:rsidR="00F90942" w:rsidRPr="00E23553">
              <w:t>punktā noteiktie pārvaldības pasākumi attiecībā uz peldvietu ūden</w:t>
            </w:r>
            <w:r w:rsidR="00A82A3B" w:rsidRPr="00E23553">
              <w:t>s kvalit</w:t>
            </w:r>
            <w:r w:rsidR="00D72048" w:rsidRPr="00E23553">
              <w:t>āti</w:t>
            </w:r>
            <w:r w:rsidR="00547340" w:rsidRPr="00E23553">
              <w:t>;</w:t>
            </w:r>
          </w:p>
          <w:p w:rsidR="00F90942" w:rsidRPr="00E23553" w:rsidRDefault="006C5741" w:rsidP="00F90942">
            <w:pPr>
              <w:jc w:val="both"/>
            </w:pPr>
            <w:r>
              <w:t>6</w:t>
            </w:r>
            <w:r w:rsidR="008F6EB3" w:rsidRPr="00E23553">
              <w:t>)</w:t>
            </w:r>
            <w:r w:rsidR="004D7A68" w:rsidRPr="00E23553">
              <w:t xml:space="preserve"> 2.panta 8.</w:t>
            </w:r>
            <w:r w:rsidR="000837CC" w:rsidRPr="00E23553">
              <w:t>punktā noteiktā</w:t>
            </w:r>
            <w:r w:rsidR="00F90942" w:rsidRPr="00E23553">
              <w:t xml:space="preserve"> jēdziena „īstermiņa piesārņojums”</w:t>
            </w:r>
            <w:r w:rsidR="000837CC" w:rsidRPr="00E23553">
              <w:t xml:space="preserve"> definīcija</w:t>
            </w:r>
            <w:r w:rsidR="00F90942" w:rsidRPr="00E23553">
              <w:t>, attiecībā uz to, ka īstermiņa piesārņojuma iete</w:t>
            </w:r>
            <w:r w:rsidR="00547340" w:rsidRPr="00E23553">
              <w:t xml:space="preserve">kme ir ne ilgāka par </w:t>
            </w:r>
            <w:r w:rsidR="009628C9" w:rsidRPr="00E23553">
              <w:t xml:space="preserve">aptuveni </w:t>
            </w:r>
            <w:r w:rsidR="00547340" w:rsidRPr="00E23553">
              <w:t>72 stundām;</w:t>
            </w:r>
          </w:p>
          <w:p w:rsidR="00F90942" w:rsidRPr="00E23553" w:rsidRDefault="006C5741" w:rsidP="00F90942">
            <w:pPr>
              <w:jc w:val="both"/>
            </w:pPr>
            <w:r>
              <w:t>7</w:t>
            </w:r>
            <w:r w:rsidR="008F6EB3" w:rsidRPr="00E23553">
              <w:t>)</w:t>
            </w:r>
            <w:r w:rsidR="004D7A68" w:rsidRPr="00E23553">
              <w:t xml:space="preserve"> 5.panta 4.</w:t>
            </w:r>
            <w:r w:rsidR="00F90942" w:rsidRPr="00E23553">
              <w:t xml:space="preserve">punkta </w:t>
            </w:r>
            <w:r w:rsidR="00F02303" w:rsidRPr="00E23553">
              <w:t>(</w:t>
            </w:r>
            <w:r w:rsidR="00F90942" w:rsidRPr="00E23553">
              <w:t>a</w:t>
            </w:r>
            <w:r w:rsidR="00F02303" w:rsidRPr="00E23553">
              <w:t>)</w:t>
            </w:r>
            <w:r w:rsidR="00F90942" w:rsidRPr="00E23553">
              <w:t xml:space="preserve"> apakšpunkt</w:t>
            </w:r>
            <w:r w:rsidR="00F02303" w:rsidRPr="00E23553">
              <w:t>a</w:t>
            </w:r>
            <w:r w:rsidR="00F90942" w:rsidRPr="00E23553">
              <w:t xml:space="preserve"> </w:t>
            </w:r>
            <w:r w:rsidR="00F02303" w:rsidRPr="00E23553">
              <w:t>(</w:t>
            </w:r>
            <w:r w:rsidR="00F90942" w:rsidRPr="00E23553">
              <w:t>i</w:t>
            </w:r>
            <w:r w:rsidR="00F02303" w:rsidRPr="00E23553">
              <w:t>) punkta</w:t>
            </w:r>
            <w:r w:rsidR="00F90942" w:rsidRPr="00E23553">
              <w:t xml:space="preserve"> noteiktā prasība pārvaldības pasākumiem, ja peldvietas ūdens ir klasificēts kā zemas kvalitātes</w:t>
            </w:r>
            <w:r w:rsidR="00547340" w:rsidRPr="00E23553">
              <w:t>;</w:t>
            </w:r>
          </w:p>
          <w:p w:rsidR="00F90942" w:rsidRPr="00E23553" w:rsidRDefault="006C5741" w:rsidP="00F90942">
            <w:pPr>
              <w:jc w:val="both"/>
            </w:pPr>
            <w:r>
              <w:t>8</w:t>
            </w:r>
            <w:r w:rsidR="004D7A68" w:rsidRPr="00E23553">
              <w:t>) 2.panta 12.</w:t>
            </w:r>
            <w:r w:rsidR="00F90942" w:rsidRPr="00E23553">
              <w:t xml:space="preserve">punktā  noteiktās zilaļģu izplatīšanās pazīmes un 8. panta 2. punktā </w:t>
            </w:r>
            <w:r w:rsidR="00A82A3B" w:rsidRPr="00E23553">
              <w:t xml:space="preserve">noteiktās </w:t>
            </w:r>
            <w:r w:rsidR="00F90942" w:rsidRPr="00E23553">
              <w:t>prasības peldvietu ūdens pārvaldības p</w:t>
            </w:r>
            <w:r w:rsidR="00A82A3B" w:rsidRPr="00E23553">
              <w:t>a</w:t>
            </w:r>
            <w:r w:rsidR="00F90942" w:rsidRPr="00E23553">
              <w:t>sākumiem zilaļģu izplatīšanās gadījumā</w:t>
            </w:r>
            <w:r w:rsidR="00547340" w:rsidRPr="00E23553">
              <w:t>;</w:t>
            </w:r>
          </w:p>
          <w:p w:rsidR="00F90942" w:rsidRPr="00E23553" w:rsidRDefault="006C5741" w:rsidP="00F90942">
            <w:pPr>
              <w:jc w:val="both"/>
            </w:pPr>
            <w:r>
              <w:t>9</w:t>
            </w:r>
            <w:r w:rsidR="004D7A68" w:rsidRPr="00E23553">
              <w:t>) 7.</w:t>
            </w:r>
            <w:r w:rsidR="00F90942" w:rsidRPr="00E23553">
              <w:t xml:space="preserve">pantā noteiktās prasības atbilstīgiem un laicīgiem </w:t>
            </w:r>
            <w:r w:rsidR="00F90942" w:rsidRPr="00E23553">
              <w:lastRenderedPageBreak/>
              <w:t xml:space="preserve">pasākumiem sabiedrības informēšanai </w:t>
            </w:r>
            <w:r w:rsidR="004D7A68" w:rsidRPr="00E23553">
              <w:t>neparedzētu situāciju gadījumos;</w:t>
            </w:r>
          </w:p>
          <w:p w:rsidR="00F90942" w:rsidRPr="00E23553" w:rsidRDefault="006C5741" w:rsidP="00F90942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  <w:r w:rsidR="001853D0" w:rsidRPr="00E23553">
              <w:rPr>
                <w:b w:val="0"/>
                <w:bCs/>
                <w:sz w:val="24"/>
                <w:szCs w:val="24"/>
              </w:rPr>
              <w:t>)</w:t>
            </w:r>
            <w:r w:rsidR="00F90942" w:rsidRPr="00E23553">
              <w:rPr>
                <w:b w:val="0"/>
                <w:bCs/>
                <w:sz w:val="24"/>
                <w:szCs w:val="24"/>
              </w:rPr>
              <w:t xml:space="preserve"> 9.panta 1.punktā noteiktā prasība pārvaldības pasākumiem attiecībā uz gadījumiem, kad peldvietu ūdens apraksts liecina par </w:t>
            </w:r>
            <w:r w:rsidR="00C80D2B" w:rsidRPr="00E23553">
              <w:rPr>
                <w:b w:val="0"/>
                <w:bCs/>
                <w:sz w:val="24"/>
                <w:szCs w:val="24"/>
              </w:rPr>
              <w:t>iespējamu</w:t>
            </w:r>
            <w:r w:rsidR="00F90942" w:rsidRPr="00E23553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F90942" w:rsidRPr="00E23553">
              <w:rPr>
                <w:b w:val="0"/>
                <w:bCs/>
                <w:sz w:val="24"/>
                <w:szCs w:val="24"/>
              </w:rPr>
              <w:t>makroaļģu</w:t>
            </w:r>
            <w:proofErr w:type="spellEnd"/>
            <w:r w:rsidR="00F90942" w:rsidRPr="00E23553">
              <w:rPr>
                <w:b w:val="0"/>
                <w:bCs/>
                <w:sz w:val="24"/>
                <w:szCs w:val="24"/>
              </w:rPr>
              <w:t xml:space="preserve"> vai jūras fitoplanktona </w:t>
            </w:r>
            <w:r w:rsidR="00A82A3B" w:rsidRPr="00E23553">
              <w:rPr>
                <w:b w:val="0"/>
                <w:bCs/>
                <w:sz w:val="24"/>
                <w:szCs w:val="24"/>
              </w:rPr>
              <w:t>pārmērīg</w:t>
            </w:r>
            <w:r w:rsidR="00C80D2B" w:rsidRPr="00E23553">
              <w:rPr>
                <w:b w:val="0"/>
                <w:bCs/>
                <w:sz w:val="24"/>
                <w:szCs w:val="24"/>
              </w:rPr>
              <w:t>u</w:t>
            </w:r>
            <w:r w:rsidR="00A82A3B" w:rsidRPr="00E23553">
              <w:rPr>
                <w:b w:val="0"/>
                <w:bCs/>
                <w:sz w:val="24"/>
                <w:szCs w:val="24"/>
              </w:rPr>
              <w:t xml:space="preserve"> </w:t>
            </w:r>
            <w:r w:rsidR="00F90942" w:rsidRPr="00E23553">
              <w:rPr>
                <w:b w:val="0"/>
                <w:bCs/>
                <w:sz w:val="24"/>
                <w:szCs w:val="24"/>
              </w:rPr>
              <w:t>izplatī</w:t>
            </w:r>
            <w:r w:rsidR="00D92A36">
              <w:rPr>
                <w:b w:val="0"/>
                <w:bCs/>
                <w:sz w:val="24"/>
                <w:szCs w:val="24"/>
              </w:rPr>
              <w:t>šano</w:t>
            </w:r>
            <w:r w:rsidR="00C80D2B" w:rsidRPr="00E23553">
              <w:rPr>
                <w:b w:val="0"/>
                <w:bCs/>
                <w:sz w:val="24"/>
                <w:szCs w:val="24"/>
              </w:rPr>
              <w:t>s</w:t>
            </w:r>
            <w:r w:rsidR="00547340" w:rsidRPr="00E23553">
              <w:rPr>
                <w:b w:val="0"/>
                <w:bCs/>
                <w:sz w:val="24"/>
                <w:szCs w:val="24"/>
              </w:rPr>
              <w:t>;</w:t>
            </w:r>
          </w:p>
          <w:p w:rsidR="00F90942" w:rsidRPr="00E23553" w:rsidRDefault="006C5741" w:rsidP="00F90942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</w:t>
            </w:r>
            <w:r w:rsidR="001853D0" w:rsidRPr="00E23553">
              <w:rPr>
                <w:b w:val="0"/>
                <w:bCs/>
                <w:sz w:val="24"/>
                <w:szCs w:val="24"/>
              </w:rPr>
              <w:t>)</w:t>
            </w:r>
            <w:r w:rsidR="00F90942" w:rsidRPr="00E23553">
              <w:rPr>
                <w:b w:val="0"/>
                <w:bCs/>
                <w:sz w:val="24"/>
                <w:szCs w:val="24"/>
              </w:rPr>
              <w:t xml:space="preserve"> 9.panta 2.punktā noteiktā prasība pārvaldības pasākumiem gadījumos, kad peldvietu ūdens ir piesārņots ar stiklu, plastmasu, naftas produktiem vai jebkura cita veida atkritumiem</w:t>
            </w:r>
            <w:r w:rsidR="00547340" w:rsidRPr="00E23553">
              <w:rPr>
                <w:b w:val="0"/>
                <w:bCs/>
                <w:sz w:val="24"/>
                <w:szCs w:val="24"/>
              </w:rPr>
              <w:t>;</w:t>
            </w:r>
          </w:p>
          <w:p w:rsidR="00F90942" w:rsidRPr="00E23553" w:rsidRDefault="006C5741" w:rsidP="00F90942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  <w:r w:rsidR="001853D0" w:rsidRPr="00E23553">
              <w:rPr>
                <w:b w:val="0"/>
                <w:bCs/>
                <w:sz w:val="24"/>
                <w:szCs w:val="24"/>
              </w:rPr>
              <w:t>)</w:t>
            </w:r>
            <w:r w:rsidR="00F90942" w:rsidRPr="00E23553">
              <w:rPr>
                <w:b w:val="0"/>
                <w:bCs/>
                <w:sz w:val="24"/>
                <w:szCs w:val="24"/>
              </w:rPr>
              <w:t xml:space="preserve"> 12.panta 1.punkta (c) apakšpunkta trešais ievilkums attiecībā uz sabiedrības informēšanu par peldūdens piesārņojumu vai tā draudiem peldūdens īstermiņa piesārņojuma gadījumā</w:t>
            </w:r>
            <w:r w:rsidR="00547340" w:rsidRPr="00E23553">
              <w:rPr>
                <w:b w:val="0"/>
                <w:bCs/>
                <w:sz w:val="24"/>
                <w:szCs w:val="24"/>
              </w:rPr>
              <w:t>;</w:t>
            </w:r>
          </w:p>
          <w:p w:rsidR="00F90942" w:rsidRPr="00E23553" w:rsidRDefault="001853D0" w:rsidP="00F90942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E23553">
              <w:rPr>
                <w:b w:val="0"/>
                <w:bCs/>
                <w:sz w:val="24"/>
                <w:szCs w:val="24"/>
              </w:rPr>
              <w:t>1</w:t>
            </w:r>
            <w:r w:rsidR="006C5741">
              <w:rPr>
                <w:b w:val="0"/>
                <w:bCs/>
                <w:sz w:val="24"/>
                <w:szCs w:val="24"/>
              </w:rPr>
              <w:t>3</w:t>
            </w:r>
            <w:r w:rsidRPr="00E23553">
              <w:rPr>
                <w:b w:val="0"/>
                <w:bCs/>
                <w:sz w:val="24"/>
                <w:szCs w:val="24"/>
              </w:rPr>
              <w:t>)</w:t>
            </w:r>
            <w:r w:rsidR="00994605" w:rsidRPr="00E23553">
              <w:rPr>
                <w:b w:val="0"/>
                <w:bCs/>
                <w:sz w:val="24"/>
                <w:szCs w:val="24"/>
              </w:rPr>
              <w:t xml:space="preserve"> </w:t>
            </w:r>
            <w:r w:rsidR="00F90942" w:rsidRPr="00E23553">
              <w:rPr>
                <w:b w:val="0"/>
                <w:bCs/>
                <w:sz w:val="24"/>
                <w:szCs w:val="24"/>
              </w:rPr>
              <w:t xml:space="preserve">12.panta 2.punkta (b) apakšpunktā noteiktās prasības informācijas </w:t>
            </w:r>
            <w:r w:rsidR="00A82A3B" w:rsidRPr="00E23553">
              <w:rPr>
                <w:b w:val="0"/>
                <w:bCs/>
                <w:sz w:val="24"/>
                <w:szCs w:val="24"/>
              </w:rPr>
              <w:t xml:space="preserve">izplatīšanai </w:t>
            </w:r>
            <w:r w:rsidR="00F90942" w:rsidRPr="00E23553">
              <w:rPr>
                <w:b w:val="0"/>
                <w:bCs/>
                <w:sz w:val="24"/>
                <w:szCs w:val="24"/>
              </w:rPr>
              <w:t>par peldvietu ūdens klasifikāciju pēdējo trīs gadu laikā</w:t>
            </w:r>
            <w:r w:rsidR="00547340" w:rsidRPr="00E23553">
              <w:rPr>
                <w:b w:val="0"/>
                <w:bCs/>
                <w:sz w:val="24"/>
                <w:szCs w:val="24"/>
              </w:rPr>
              <w:t>;</w:t>
            </w:r>
          </w:p>
          <w:p w:rsidR="00F90942" w:rsidRPr="00E23553" w:rsidRDefault="001853D0" w:rsidP="00F90942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E23553">
              <w:rPr>
                <w:b w:val="0"/>
                <w:bCs/>
                <w:sz w:val="24"/>
                <w:szCs w:val="24"/>
              </w:rPr>
              <w:t>1</w:t>
            </w:r>
            <w:r w:rsidR="006C5741">
              <w:rPr>
                <w:b w:val="0"/>
                <w:bCs/>
                <w:sz w:val="24"/>
                <w:szCs w:val="24"/>
              </w:rPr>
              <w:t>4</w:t>
            </w:r>
            <w:r w:rsidRPr="00E23553">
              <w:rPr>
                <w:b w:val="0"/>
                <w:bCs/>
                <w:sz w:val="24"/>
                <w:szCs w:val="24"/>
              </w:rPr>
              <w:t>)</w:t>
            </w:r>
            <w:r w:rsidR="00F90942" w:rsidRPr="00E23553">
              <w:rPr>
                <w:b w:val="0"/>
                <w:bCs/>
                <w:sz w:val="24"/>
                <w:szCs w:val="24"/>
              </w:rPr>
              <w:t xml:space="preserve"> 12.panta 2.punkta (c) apakšpunktā noteiktās prasības informācijas </w:t>
            </w:r>
            <w:r w:rsidR="00A82A3B" w:rsidRPr="00E23553">
              <w:rPr>
                <w:b w:val="0"/>
                <w:bCs/>
                <w:sz w:val="24"/>
                <w:szCs w:val="24"/>
              </w:rPr>
              <w:t xml:space="preserve">izplatīšanai </w:t>
            </w:r>
            <w:r w:rsidR="00F90942" w:rsidRPr="00E23553">
              <w:rPr>
                <w:b w:val="0"/>
                <w:bCs/>
                <w:sz w:val="24"/>
                <w:szCs w:val="24"/>
              </w:rPr>
              <w:t xml:space="preserve">par veiktajiem pasākumiem, lai novērstu peldētāju pakļaušanu piesārņojumam un </w:t>
            </w:r>
            <w:r w:rsidR="003F2EA4" w:rsidRPr="00E23553">
              <w:rPr>
                <w:b w:val="0"/>
                <w:bCs/>
                <w:sz w:val="24"/>
                <w:szCs w:val="24"/>
              </w:rPr>
              <w:t>analizētu</w:t>
            </w:r>
            <w:r w:rsidR="00F90942" w:rsidRPr="00E23553">
              <w:rPr>
                <w:b w:val="0"/>
                <w:bCs/>
                <w:sz w:val="24"/>
                <w:szCs w:val="24"/>
              </w:rPr>
              <w:t xml:space="preserve"> zemas kvalitātes peldūdeņu piesārņojuma cēloņus</w:t>
            </w:r>
            <w:r w:rsidR="00547340" w:rsidRPr="00E23553">
              <w:rPr>
                <w:b w:val="0"/>
                <w:bCs/>
                <w:sz w:val="24"/>
                <w:szCs w:val="24"/>
              </w:rPr>
              <w:t>;</w:t>
            </w:r>
          </w:p>
          <w:p w:rsidR="00F90942" w:rsidRPr="00E23553" w:rsidRDefault="001853D0" w:rsidP="00F90942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E23553">
              <w:rPr>
                <w:b w:val="0"/>
                <w:bCs/>
                <w:sz w:val="24"/>
                <w:szCs w:val="24"/>
              </w:rPr>
              <w:t>1</w:t>
            </w:r>
            <w:r w:rsidR="006C5741">
              <w:rPr>
                <w:b w:val="0"/>
                <w:bCs/>
                <w:sz w:val="24"/>
                <w:szCs w:val="24"/>
              </w:rPr>
              <w:t>5</w:t>
            </w:r>
            <w:r w:rsidRPr="00E23553">
              <w:rPr>
                <w:b w:val="0"/>
                <w:bCs/>
                <w:sz w:val="24"/>
                <w:szCs w:val="24"/>
              </w:rPr>
              <w:t>)</w:t>
            </w:r>
            <w:r w:rsidR="009C0DCC" w:rsidRPr="00E23553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F90942" w:rsidRPr="00E23553">
              <w:rPr>
                <w:b w:val="0"/>
                <w:bCs/>
                <w:sz w:val="24"/>
                <w:szCs w:val="24"/>
              </w:rPr>
              <w:t>V.pielikuma</w:t>
            </w:r>
            <w:proofErr w:type="spellEnd"/>
            <w:r w:rsidR="00F90942" w:rsidRPr="00E23553">
              <w:rPr>
                <w:b w:val="0"/>
                <w:bCs/>
                <w:sz w:val="24"/>
                <w:szCs w:val="24"/>
              </w:rPr>
              <w:t xml:space="preserve"> 3.punkta 3.paragrāfs attiecībā uz dezinfekcijas metožu pielietošanu un sterila aprīkojuma nepieciešamību peldūdens parauga ņemšanai</w:t>
            </w:r>
            <w:r w:rsidR="00547340" w:rsidRPr="00E23553">
              <w:rPr>
                <w:b w:val="0"/>
                <w:bCs/>
                <w:sz w:val="24"/>
                <w:szCs w:val="24"/>
              </w:rPr>
              <w:t>;</w:t>
            </w:r>
          </w:p>
          <w:p w:rsidR="00F90942" w:rsidRPr="00E23553" w:rsidRDefault="009C0DCC" w:rsidP="00F90942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E23553">
              <w:rPr>
                <w:b w:val="0"/>
                <w:bCs/>
                <w:sz w:val="24"/>
                <w:szCs w:val="24"/>
              </w:rPr>
              <w:t>1</w:t>
            </w:r>
            <w:r w:rsidR="006C5741">
              <w:rPr>
                <w:b w:val="0"/>
                <w:bCs/>
                <w:sz w:val="24"/>
                <w:szCs w:val="24"/>
              </w:rPr>
              <w:t>6</w:t>
            </w:r>
            <w:r w:rsidRPr="00E23553">
              <w:rPr>
                <w:b w:val="0"/>
                <w:bCs/>
                <w:sz w:val="24"/>
                <w:szCs w:val="24"/>
              </w:rPr>
              <w:t xml:space="preserve">) </w:t>
            </w:r>
            <w:r w:rsidR="00F90942" w:rsidRPr="00E23553">
              <w:rPr>
                <w:b w:val="0"/>
                <w:bCs/>
                <w:sz w:val="24"/>
                <w:szCs w:val="24"/>
              </w:rPr>
              <w:t>2.panta 5.punktā minētā definīcija „piesārņojums”</w:t>
            </w:r>
            <w:r w:rsidR="00547340" w:rsidRPr="00E23553">
              <w:rPr>
                <w:b w:val="0"/>
                <w:bCs/>
                <w:sz w:val="24"/>
                <w:szCs w:val="24"/>
              </w:rPr>
              <w:t>;</w:t>
            </w:r>
          </w:p>
          <w:p w:rsidR="00F90942" w:rsidRPr="00E23553" w:rsidRDefault="009C0DCC" w:rsidP="00F90942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E23553">
              <w:rPr>
                <w:b w:val="0"/>
                <w:bCs/>
                <w:sz w:val="24"/>
                <w:szCs w:val="24"/>
              </w:rPr>
              <w:t>1</w:t>
            </w:r>
            <w:r w:rsidR="006C5741">
              <w:rPr>
                <w:b w:val="0"/>
                <w:bCs/>
                <w:sz w:val="24"/>
                <w:szCs w:val="24"/>
              </w:rPr>
              <w:t>7</w:t>
            </w:r>
            <w:r w:rsidRPr="00E23553">
              <w:rPr>
                <w:b w:val="0"/>
                <w:bCs/>
                <w:sz w:val="24"/>
                <w:szCs w:val="24"/>
              </w:rPr>
              <w:t>)</w:t>
            </w:r>
            <w:r w:rsidR="00F90942" w:rsidRPr="00E23553">
              <w:rPr>
                <w:b w:val="0"/>
                <w:bCs/>
                <w:sz w:val="24"/>
                <w:szCs w:val="24"/>
              </w:rPr>
              <w:t xml:space="preserve"> 5.panta 2.punkta prasības par pirmo peldvietu ūdens klasificēšanu  </w:t>
            </w:r>
            <w:r w:rsidR="00F90942" w:rsidRPr="00E23553">
              <w:rPr>
                <w:b w:val="0"/>
                <w:sz w:val="24"/>
                <w:szCs w:val="24"/>
              </w:rPr>
              <w:t>atbilstoši tā kvalitātei</w:t>
            </w:r>
            <w:r w:rsidR="00547340" w:rsidRPr="00E23553">
              <w:rPr>
                <w:b w:val="0"/>
                <w:sz w:val="24"/>
                <w:szCs w:val="24"/>
              </w:rPr>
              <w:t>.</w:t>
            </w:r>
          </w:p>
          <w:p w:rsidR="00850EBF" w:rsidRPr="00E23553" w:rsidRDefault="00A82A3B" w:rsidP="00A82A3B">
            <w:pPr>
              <w:pStyle w:val="Title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E23553">
              <w:rPr>
                <w:b w:val="0"/>
                <w:sz w:val="24"/>
                <w:szCs w:val="24"/>
              </w:rPr>
              <w:t>Šo nepilnību novēršanai ir nepieciešams veikt grozījum</w:t>
            </w:r>
            <w:r w:rsidR="00512CEF" w:rsidRPr="00E23553">
              <w:rPr>
                <w:b w:val="0"/>
                <w:sz w:val="24"/>
                <w:szCs w:val="24"/>
              </w:rPr>
              <w:t>us 2010.gada 6.jūlija Ministru k</w:t>
            </w:r>
            <w:r w:rsidRPr="00E23553">
              <w:rPr>
                <w:b w:val="0"/>
                <w:sz w:val="24"/>
                <w:szCs w:val="24"/>
              </w:rPr>
              <w:t>abineta noteikumos Nr.608 „Noteikumi par peldvietu ūdens monitoringu, kvalitātes nodrošināšanu un prasībām sabiedrības informēšanai”</w:t>
            </w:r>
            <w:r w:rsidR="00681E98" w:rsidRPr="00E23553">
              <w:rPr>
                <w:b w:val="0"/>
                <w:sz w:val="24"/>
                <w:szCs w:val="24"/>
              </w:rPr>
              <w:t xml:space="preserve"> (turpmāk – noteikumi)</w:t>
            </w:r>
            <w:r w:rsidR="00547340" w:rsidRPr="00E23553">
              <w:rPr>
                <w:b w:val="0"/>
                <w:sz w:val="24"/>
                <w:szCs w:val="24"/>
              </w:rPr>
              <w:t>.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lastRenderedPageBreak/>
              <w:t>3.</w:t>
            </w: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Saistītie politikas ietekmes novērtējumi un pētījumi</w:t>
            </w:r>
          </w:p>
        </w:tc>
        <w:tc>
          <w:tcPr>
            <w:tcW w:w="5811" w:type="dxa"/>
          </w:tcPr>
          <w:p w:rsidR="00BC2AFA" w:rsidRPr="004036DD" w:rsidRDefault="00902E87" w:rsidP="001F6D2D">
            <w:pPr>
              <w:jc w:val="both"/>
            </w:pPr>
            <w:r w:rsidRPr="00F575E6">
              <w:t>Nav</w:t>
            </w:r>
            <w:r>
              <w:t xml:space="preserve"> veikti</w:t>
            </w:r>
          </w:p>
        </w:tc>
      </w:tr>
      <w:tr w:rsidR="00BC2AFA" w:rsidRPr="00030D01" w:rsidTr="00127158">
        <w:tc>
          <w:tcPr>
            <w:tcW w:w="426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4.</w:t>
            </w: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Tiesiskā regulējuma mērķis un būtība</w:t>
            </w:r>
          </w:p>
        </w:tc>
        <w:tc>
          <w:tcPr>
            <w:tcW w:w="5811" w:type="dxa"/>
          </w:tcPr>
          <w:p w:rsidR="000F56EF" w:rsidRPr="00030D01" w:rsidRDefault="007652B9" w:rsidP="000B05BD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bCs/>
                <w:sz w:val="24"/>
                <w:szCs w:val="24"/>
              </w:rPr>
              <w:t>Ministru kabineta noteikumu projekt</w:t>
            </w:r>
            <w:r w:rsidR="00D90264" w:rsidRPr="00030D01">
              <w:rPr>
                <w:b w:val="0"/>
                <w:bCs/>
                <w:sz w:val="24"/>
                <w:szCs w:val="24"/>
              </w:rPr>
              <w:t>s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„Grozījumi</w:t>
            </w:r>
            <w:r w:rsidR="00512CEF" w:rsidRPr="00030D01">
              <w:rPr>
                <w:b w:val="0"/>
                <w:sz w:val="24"/>
                <w:szCs w:val="24"/>
              </w:rPr>
              <w:t xml:space="preserve"> Ministru k</w:t>
            </w:r>
            <w:r w:rsidR="006E2E15" w:rsidRPr="00030D01">
              <w:rPr>
                <w:b w:val="0"/>
                <w:sz w:val="24"/>
                <w:szCs w:val="24"/>
              </w:rPr>
              <w:t>abineta</w:t>
            </w:r>
            <w:r w:rsidR="006E2E15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Pr="00030D01">
              <w:rPr>
                <w:b w:val="0"/>
                <w:sz w:val="24"/>
                <w:szCs w:val="24"/>
              </w:rPr>
              <w:t>2010.gada  6.jūlija noteikumos Nr.608 „Noteikumi par peldvietu ūdens monitoringu, kvalitātes nodrošināšanu un prasībām sabiedrības informēšanai”” (turpmāk - noteikumu projekts)</w:t>
            </w:r>
            <w:r w:rsidR="00BE7EC0" w:rsidRPr="00030D01">
              <w:rPr>
                <w:b w:val="0"/>
                <w:sz w:val="24"/>
                <w:szCs w:val="24"/>
              </w:rPr>
              <w:t xml:space="preserve"> </w:t>
            </w:r>
            <w:r w:rsidR="00BE7EC0" w:rsidRPr="00030D01">
              <w:rPr>
                <w:b w:val="0"/>
                <w:bCs/>
                <w:sz w:val="24"/>
                <w:szCs w:val="24"/>
              </w:rPr>
              <w:t>paredz</w:t>
            </w:r>
            <w:r w:rsidR="006B41D4" w:rsidRPr="00030D01">
              <w:rPr>
                <w:b w:val="0"/>
                <w:sz w:val="24"/>
                <w:szCs w:val="24"/>
              </w:rPr>
              <w:t>,</w:t>
            </w:r>
            <w:r w:rsidRPr="00030D01">
              <w:rPr>
                <w:b w:val="0"/>
                <w:sz w:val="24"/>
                <w:szCs w:val="24"/>
              </w:rPr>
              <w:t xml:space="preserve"> 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D90264" w:rsidRPr="00030D01">
              <w:rPr>
                <w:b w:val="0"/>
                <w:bCs/>
                <w:sz w:val="24"/>
                <w:szCs w:val="24"/>
              </w:rPr>
              <w:t xml:space="preserve">atbilstoši direktīvas </w:t>
            </w:r>
            <w:r w:rsidR="0002607E" w:rsidRPr="00030D01">
              <w:rPr>
                <w:b w:val="0"/>
                <w:bCs/>
                <w:sz w:val="24"/>
                <w:szCs w:val="24"/>
              </w:rPr>
              <w:t xml:space="preserve">1.panta 3.punkta, 2.panta 3.punkta un </w:t>
            </w:r>
            <w:r w:rsidR="00D90264" w:rsidRPr="00030D01">
              <w:rPr>
                <w:b w:val="0"/>
                <w:bCs/>
                <w:sz w:val="24"/>
                <w:szCs w:val="24"/>
              </w:rPr>
              <w:t>3.panta</w:t>
            </w:r>
            <w:r w:rsidR="0002607E" w:rsidRPr="00030D01">
              <w:rPr>
                <w:b w:val="0"/>
                <w:bCs/>
                <w:sz w:val="24"/>
                <w:szCs w:val="24"/>
              </w:rPr>
              <w:t xml:space="preserve"> 1.punkta prasībām</w:t>
            </w:r>
            <w:r w:rsidR="003B0721" w:rsidRPr="00030D01">
              <w:rPr>
                <w:b w:val="0"/>
                <w:bCs/>
                <w:sz w:val="24"/>
                <w:szCs w:val="24"/>
              </w:rPr>
              <w:t>,</w:t>
            </w:r>
            <w:r w:rsidR="0002607E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7463D7" w:rsidRPr="00030D01">
              <w:rPr>
                <w:b w:val="0"/>
                <w:bCs/>
                <w:sz w:val="24"/>
                <w:szCs w:val="24"/>
              </w:rPr>
              <w:t>noteikumu 6</w:t>
            </w:r>
            <w:r w:rsidR="0006588F" w:rsidRPr="00030D01">
              <w:rPr>
                <w:b w:val="0"/>
                <w:bCs/>
                <w:sz w:val="24"/>
                <w:szCs w:val="24"/>
              </w:rPr>
              <w:t>.</w:t>
            </w:r>
            <w:r w:rsidR="007463D7" w:rsidRPr="00030D01">
              <w:rPr>
                <w:b w:val="0"/>
                <w:bCs/>
                <w:sz w:val="24"/>
                <w:szCs w:val="24"/>
                <w:vertAlign w:val="superscript"/>
              </w:rPr>
              <w:t>2</w:t>
            </w:r>
            <w:r w:rsidR="0006588F" w:rsidRPr="00030D01">
              <w:rPr>
                <w:b w:val="0"/>
                <w:bCs/>
                <w:sz w:val="24"/>
                <w:szCs w:val="24"/>
              </w:rPr>
              <w:t xml:space="preserve">punktā noteikt, ka </w:t>
            </w:r>
            <w:r w:rsidR="0002607E" w:rsidRPr="00030D01">
              <w:rPr>
                <w:b w:val="0"/>
                <w:bCs/>
                <w:sz w:val="24"/>
                <w:szCs w:val="24"/>
              </w:rPr>
              <w:t>Veselības inspekcija, pamatojoties</w:t>
            </w:r>
            <w:r w:rsidR="00EA029F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02607E" w:rsidRPr="00030D01">
              <w:rPr>
                <w:b w:val="0"/>
                <w:sz w:val="24"/>
                <w:szCs w:val="24"/>
              </w:rPr>
              <w:t xml:space="preserve">uz </w:t>
            </w:r>
            <w:r w:rsidR="000230C2" w:rsidRPr="00030D01">
              <w:rPr>
                <w:b w:val="0"/>
                <w:sz w:val="24"/>
                <w:szCs w:val="24"/>
              </w:rPr>
              <w:t>pašvaldību</w:t>
            </w:r>
            <w:r w:rsidR="0002607E" w:rsidRPr="00030D01">
              <w:rPr>
                <w:b w:val="0"/>
                <w:sz w:val="24"/>
                <w:szCs w:val="24"/>
              </w:rPr>
              <w:t xml:space="preserve"> sniegto informāciju, </w:t>
            </w:r>
            <w:r w:rsidR="003B0721" w:rsidRPr="00030D01">
              <w:rPr>
                <w:b w:val="0"/>
                <w:sz w:val="24"/>
                <w:szCs w:val="24"/>
              </w:rPr>
              <w:t xml:space="preserve">katru gadu </w:t>
            </w:r>
            <w:r w:rsidR="0002607E" w:rsidRPr="00030D01">
              <w:rPr>
                <w:b w:val="0"/>
                <w:sz w:val="24"/>
                <w:szCs w:val="24"/>
              </w:rPr>
              <w:t>veic</w:t>
            </w:r>
            <w:r w:rsidR="0002607E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3B0721" w:rsidRPr="00030D01">
              <w:rPr>
                <w:b w:val="0"/>
                <w:bCs/>
                <w:sz w:val="24"/>
                <w:szCs w:val="24"/>
              </w:rPr>
              <w:t>visu peldūdeņu identificēšanu</w:t>
            </w:r>
            <w:r w:rsidR="0002607E" w:rsidRPr="00030D01">
              <w:rPr>
                <w:b w:val="0"/>
                <w:bCs/>
                <w:sz w:val="24"/>
                <w:szCs w:val="24"/>
              </w:rPr>
              <w:t>, ņemot vērā peldētāj</w:t>
            </w:r>
            <w:r w:rsidR="00B2752E" w:rsidRPr="00030D01">
              <w:rPr>
                <w:b w:val="0"/>
                <w:bCs/>
                <w:sz w:val="24"/>
                <w:szCs w:val="24"/>
              </w:rPr>
              <w:t xml:space="preserve">u skaitu un </w:t>
            </w:r>
            <w:r w:rsidR="003B0721" w:rsidRPr="00030D01">
              <w:rPr>
                <w:b w:val="0"/>
                <w:bCs/>
                <w:sz w:val="24"/>
                <w:szCs w:val="24"/>
              </w:rPr>
              <w:t>p</w:t>
            </w:r>
            <w:r w:rsidR="003B0721" w:rsidRPr="00030D01">
              <w:rPr>
                <w:b w:val="0"/>
                <w:iCs/>
                <w:sz w:val="24"/>
                <w:szCs w:val="24"/>
              </w:rPr>
              <w:t>atstāvīgu peldēšanās aizliegumu vai ieteikumu nepeldēties</w:t>
            </w:r>
            <w:r w:rsidR="003B0721" w:rsidRPr="00030D01">
              <w:rPr>
                <w:b w:val="0"/>
                <w:bCs/>
                <w:sz w:val="24"/>
                <w:szCs w:val="24"/>
              </w:rPr>
              <w:t>.</w:t>
            </w:r>
            <w:r w:rsidR="0099051A" w:rsidRPr="00030D01">
              <w:rPr>
                <w:b w:val="0"/>
                <w:bCs/>
                <w:sz w:val="24"/>
                <w:szCs w:val="24"/>
              </w:rPr>
              <w:t xml:space="preserve"> At</w:t>
            </w:r>
            <w:r w:rsidR="00EA029F" w:rsidRPr="00030D01">
              <w:rPr>
                <w:b w:val="0"/>
                <w:bCs/>
                <w:sz w:val="24"/>
                <w:szCs w:val="24"/>
              </w:rPr>
              <w:t xml:space="preserve">bilstoši </w:t>
            </w:r>
            <w:r w:rsidR="00B317EB" w:rsidRPr="00030D01">
              <w:rPr>
                <w:b w:val="0"/>
                <w:bCs/>
                <w:sz w:val="24"/>
                <w:szCs w:val="24"/>
              </w:rPr>
              <w:t>3</w:t>
            </w:r>
            <w:r w:rsidR="0099051A" w:rsidRPr="00030D01">
              <w:rPr>
                <w:b w:val="0"/>
                <w:bCs/>
                <w:sz w:val="24"/>
                <w:szCs w:val="24"/>
              </w:rPr>
              <w:t xml:space="preserve">.panta </w:t>
            </w:r>
            <w:r w:rsidR="00D90264" w:rsidRPr="00030D01">
              <w:rPr>
                <w:b w:val="0"/>
                <w:bCs/>
                <w:sz w:val="24"/>
                <w:szCs w:val="24"/>
              </w:rPr>
              <w:t>7.</w:t>
            </w:r>
            <w:r w:rsidR="006B41D4" w:rsidRPr="00030D01">
              <w:rPr>
                <w:b w:val="0"/>
                <w:bCs/>
                <w:sz w:val="24"/>
                <w:szCs w:val="24"/>
              </w:rPr>
              <w:t>p</w:t>
            </w:r>
            <w:r w:rsidR="00B83B75" w:rsidRPr="00030D01">
              <w:rPr>
                <w:b w:val="0"/>
                <w:bCs/>
                <w:sz w:val="24"/>
                <w:szCs w:val="24"/>
              </w:rPr>
              <w:t>unktam</w:t>
            </w:r>
            <w:r w:rsidR="006B41D4" w:rsidRPr="00030D01">
              <w:rPr>
                <w:b w:val="0"/>
                <w:bCs/>
                <w:sz w:val="24"/>
                <w:szCs w:val="24"/>
              </w:rPr>
              <w:t>,</w:t>
            </w:r>
            <w:r w:rsidR="000F56EF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D90264" w:rsidRPr="00030D01">
              <w:rPr>
                <w:b w:val="0"/>
                <w:bCs/>
                <w:sz w:val="24"/>
                <w:szCs w:val="24"/>
              </w:rPr>
              <w:t xml:space="preserve">noteikumu 9.punktu papildināt ar prasībām par </w:t>
            </w:r>
            <w:r w:rsidR="000F56EF" w:rsidRPr="00030D01">
              <w:rPr>
                <w:b w:val="0"/>
                <w:bCs/>
                <w:sz w:val="24"/>
                <w:szCs w:val="24"/>
              </w:rPr>
              <w:t>monitoringa kalendāra plānā iekļauto peldvietu kontroles atsākšanu pēc iespējas īsāk</w:t>
            </w:r>
            <w:r w:rsidR="00B83B75" w:rsidRPr="00030D01">
              <w:rPr>
                <w:b w:val="0"/>
                <w:bCs/>
                <w:sz w:val="24"/>
                <w:szCs w:val="24"/>
              </w:rPr>
              <w:t xml:space="preserve">ā </w:t>
            </w:r>
            <w:r w:rsidR="00B83B75" w:rsidRPr="00030D01">
              <w:rPr>
                <w:b w:val="0"/>
                <w:bCs/>
                <w:sz w:val="24"/>
                <w:szCs w:val="24"/>
              </w:rPr>
              <w:lastRenderedPageBreak/>
              <w:t>laikā pēc ārkārtas situācijas, lai aizvietotu paraugus, kas iztrūkst ārkārtas situācijas dēļ</w:t>
            </w:r>
            <w:r w:rsidR="00A7107E" w:rsidRPr="00030D01">
              <w:rPr>
                <w:b w:val="0"/>
                <w:bCs/>
                <w:sz w:val="24"/>
                <w:szCs w:val="24"/>
              </w:rPr>
              <w:t>.</w:t>
            </w:r>
          </w:p>
          <w:p w:rsidR="002A0764" w:rsidRPr="00030D01" w:rsidRDefault="008D763A" w:rsidP="000B05BD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bCs/>
                <w:sz w:val="24"/>
                <w:szCs w:val="24"/>
              </w:rPr>
              <w:t>At</w:t>
            </w:r>
            <w:r w:rsidR="00B83B75" w:rsidRPr="00030D01">
              <w:rPr>
                <w:b w:val="0"/>
                <w:bCs/>
                <w:sz w:val="24"/>
                <w:szCs w:val="24"/>
              </w:rPr>
              <w:t>bilstoši direktīvas 2.panta 8.punktam</w:t>
            </w:r>
            <w:r w:rsidR="00A7107E" w:rsidRPr="00030D01">
              <w:rPr>
                <w:b w:val="0"/>
                <w:bCs/>
                <w:sz w:val="24"/>
                <w:szCs w:val="24"/>
              </w:rPr>
              <w:t>,</w:t>
            </w:r>
            <w:r w:rsidR="00B83B75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D90264" w:rsidRPr="00030D01">
              <w:rPr>
                <w:b w:val="0"/>
                <w:bCs/>
                <w:sz w:val="24"/>
                <w:szCs w:val="24"/>
              </w:rPr>
              <w:t>noteikumu</w:t>
            </w:r>
            <w:r w:rsidR="00DC52CC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Pr="00030D01">
              <w:rPr>
                <w:b w:val="0"/>
                <w:bCs/>
                <w:sz w:val="24"/>
                <w:szCs w:val="24"/>
              </w:rPr>
              <w:t>10.3.apakšpunkt</w:t>
            </w:r>
            <w:r w:rsidR="004F58F8" w:rsidRPr="00030D01">
              <w:rPr>
                <w:b w:val="0"/>
                <w:bCs/>
                <w:sz w:val="24"/>
                <w:szCs w:val="24"/>
              </w:rPr>
              <w:t>ā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DC52CC" w:rsidRPr="00030D01">
              <w:rPr>
                <w:b w:val="0"/>
                <w:bCs/>
                <w:sz w:val="24"/>
                <w:szCs w:val="24"/>
              </w:rPr>
              <w:t>t</w:t>
            </w:r>
            <w:r w:rsidR="000F56EF" w:rsidRPr="00030D01">
              <w:rPr>
                <w:b w:val="0"/>
                <w:bCs/>
                <w:sz w:val="24"/>
                <w:szCs w:val="24"/>
              </w:rPr>
              <w:t>iek definēts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D90264" w:rsidRPr="00030D01">
              <w:rPr>
                <w:b w:val="0"/>
                <w:bCs/>
                <w:sz w:val="24"/>
                <w:szCs w:val="24"/>
              </w:rPr>
              <w:t xml:space="preserve">termins </w:t>
            </w:r>
            <w:r w:rsidR="00A7107E" w:rsidRPr="00030D01">
              <w:rPr>
                <w:b w:val="0"/>
                <w:bCs/>
                <w:sz w:val="24"/>
                <w:szCs w:val="24"/>
              </w:rPr>
              <w:t>„</w:t>
            </w:r>
            <w:r w:rsidR="002A0764" w:rsidRPr="00030D01">
              <w:rPr>
                <w:b w:val="0"/>
                <w:bCs/>
                <w:sz w:val="24"/>
                <w:szCs w:val="24"/>
              </w:rPr>
              <w:t>īstermiņa piesārņojums</w:t>
            </w:r>
            <w:r w:rsidR="00A7107E" w:rsidRPr="00030D01">
              <w:rPr>
                <w:b w:val="0"/>
                <w:bCs/>
                <w:sz w:val="24"/>
                <w:szCs w:val="24"/>
              </w:rPr>
              <w:t>”</w:t>
            </w:r>
            <w:r w:rsidR="000F56EF" w:rsidRPr="00030D01">
              <w:rPr>
                <w:b w:val="0"/>
                <w:bCs/>
                <w:sz w:val="24"/>
                <w:szCs w:val="24"/>
              </w:rPr>
              <w:t xml:space="preserve">, nosakot, ka šāds piesārņojums 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 neietekmē ūdens kvalitāti ilgāk par </w:t>
            </w:r>
            <w:r w:rsidR="009628C9" w:rsidRPr="00030D01">
              <w:rPr>
                <w:b w:val="0"/>
                <w:bCs/>
                <w:sz w:val="24"/>
                <w:szCs w:val="24"/>
              </w:rPr>
              <w:t xml:space="preserve">aptuveni 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72 stundām un tam ir skaidri nosakāmi iemesli. </w:t>
            </w:r>
            <w:r w:rsidR="000F56EF" w:rsidRPr="00030D01">
              <w:rPr>
                <w:b w:val="0"/>
                <w:bCs/>
                <w:sz w:val="24"/>
                <w:szCs w:val="24"/>
              </w:rPr>
              <w:t xml:space="preserve">Rīcībai īstermiņa piesārņojuma gadījumos 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 Veselības inspekcija izstrādā procedūras</w:t>
            </w:r>
            <w:r w:rsidR="000F56EF" w:rsidRPr="00030D01">
              <w:rPr>
                <w:b w:val="0"/>
                <w:bCs/>
                <w:sz w:val="24"/>
                <w:szCs w:val="24"/>
              </w:rPr>
              <w:t xml:space="preserve">. </w:t>
            </w:r>
            <w:r w:rsidR="00B13A43" w:rsidRPr="00030D01">
              <w:rPr>
                <w:b w:val="0"/>
                <w:bCs/>
                <w:sz w:val="24"/>
                <w:szCs w:val="24"/>
              </w:rPr>
              <w:t>Saskaņā ar direk</w:t>
            </w:r>
            <w:r w:rsidR="00C54B57" w:rsidRPr="00030D01">
              <w:rPr>
                <w:b w:val="0"/>
                <w:bCs/>
                <w:sz w:val="24"/>
                <w:szCs w:val="24"/>
              </w:rPr>
              <w:t xml:space="preserve">tīvas </w:t>
            </w:r>
            <w:proofErr w:type="spellStart"/>
            <w:r w:rsidR="00C54B57" w:rsidRPr="00030D01">
              <w:rPr>
                <w:b w:val="0"/>
                <w:bCs/>
                <w:sz w:val="24"/>
                <w:szCs w:val="24"/>
              </w:rPr>
              <w:t>IV.</w:t>
            </w:r>
            <w:r w:rsidR="00B13A43" w:rsidRPr="00030D01">
              <w:rPr>
                <w:b w:val="0"/>
                <w:bCs/>
                <w:sz w:val="24"/>
                <w:szCs w:val="24"/>
              </w:rPr>
              <w:t>pielikuma</w:t>
            </w:r>
            <w:proofErr w:type="spellEnd"/>
            <w:r w:rsidR="00B13A43" w:rsidRPr="00030D01">
              <w:rPr>
                <w:b w:val="0"/>
                <w:bCs/>
                <w:sz w:val="24"/>
                <w:szCs w:val="24"/>
              </w:rPr>
              <w:t xml:space="preserve"> 4.punktu </w:t>
            </w:r>
            <w:r w:rsidR="00C54B57" w:rsidRPr="00030D01">
              <w:rPr>
                <w:b w:val="0"/>
                <w:bCs/>
                <w:sz w:val="24"/>
                <w:szCs w:val="24"/>
              </w:rPr>
              <w:t xml:space="preserve">noteikumu </w:t>
            </w:r>
            <w:r w:rsidR="008375A0" w:rsidRPr="00030D01">
              <w:rPr>
                <w:b w:val="0"/>
                <w:bCs/>
                <w:sz w:val="24"/>
                <w:szCs w:val="24"/>
              </w:rPr>
              <w:t xml:space="preserve">10.3.apašpunktā 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tiek noteikts, ka Veselības inspekcija ņem papildus paraugu, lai noteiktu īstermiņa piesārņojuma beigas, </w:t>
            </w:r>
            <w:r w:rsidR="000F56EF" w:rsidRPr="00030D01">
              <w:rPr>
                <w:b w:val="0"/>
                <w:bCs/>
                <w:sz w:val="24"/>
                <w:szCs w:val="24"/>
              </w:rPr>
              <w:t xml:space="preserve">kuru neiekļauj peldvietu ūdens kvalitātes informācijas kopumā. 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0F56EF" w:rsidRPr="00030D01">
              <w:rPr>
                <w:b w:val="0"/>
                <w:bCs/>
                <w:sz w:val="24"/>
                <w:szCs w:val="24"/>
              </w:rPr>
              <w:t>Peldvietu ūdens kvalitātes informācijas kopuma papildināšanai ūdens paraugu Veselības inspekcija ņem 7 dienas pēc īstermiņa piesārņojuma beigām.</w:t>
            </w:r>
          </w:p>
          <w:p w:rsidR="008B4C64" w:rsidRPr="00030D01" w:rsidRDefault="008B4C64" w:rsidP="000B05BD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bCs/>
                <w:sz w:val="24"/>
                <w:szCs w:val="24"/>
              </w:rPr>
              <w:t>Atbilstoši direktīva</w:t>
            </w:r>
            <w:r w:rsidR="00873B0F" w:rsidRPr="00030D01">
              <w:rPr>
                <w:b w:val="0"/>
                <w:bCs/>
                <w:sz w:val="24"/>
                <w:szCs w:val="24"/>
              </w:rPr>
              <w:t>s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2.</w:t>
            </w:r>
            <w:r w:rsidR="00873B0F" w:rsidRPr="00030D01">
              <w:rPr>
                <w:b w:val="0"/>
                <w:bCs/>
                <w:sz w:val="24"/>
                <w:szCs w:val="24"/>
              </w:rPr>
              <w:t>p</w:t>
            </w:r>
            <w:r w:rsidRPr="00030D01">
              <w:rPr>
                <w:b w:val="0"/>
                <w:bCs/>
                <w:sz w:val="24"/>
                <w:szCs w:val="24"/>
              </w:rPr>
              <w:t>anta 5.</w:t>
            </w:r>
            <w:r w:rsidR="00873B0F" w:rsidRPr="00030D01">
              <w:rPr>
                <w:b w:val="0"/>
                <w:bCs/>
                <w:sz w:val="24"/>
                <w:szCs w:val="24"/>
              </w:rPr>
              <w:t>p</w:t>
            </w:r>
            <w:r w:rsidRPr="00030D01">
              <w:rPr>
                <w:b w:val="0"/>
                <w:bCs/>
                <w:sz w:val="24"/>
                <w:szCs w:val="24"/>
              </w:rPr>
              <w:t>unktam</w:t>
            </w:r>
            <w:r w:rsidR="00887857" w:rsidRPr="00030D01">
              <w:rPr>
                <w:b w:val="0"/>
                <w:bCs/>
                <w:sz w:val="24"/>
                <w:szCs w:val="24"/>
              </w:rPr>
              <w:t>,</w:t>
            </w:r>
            <w:r w:rsidR="00C54B57" w:rsidRPr="00030D01">
              <w:rPr>
                <w:b w:val="0"/>
                <w:bCs/>
                <w:sz w:val="24"/>
                <w:szCs w:val="24"/>
              </w:rPr>
              <w:t xml:space="preserve"> noteikumi tiek papildināti</w:t>
            </w:r>
            <w:r w:rsidR="0001178D" w:rsidRPr="00030D01">
              <w:rPr>
                <w:b w:val="0"/>
                <w:bCs/>
                <w:sz w:val="24"/>
                <w:szCs w:val="24"/>
              </w:rPr>
              <w:t xml:space="preserve"> ar</w:t>
            </w:r>
            <w:r w:rsidR="009E056D" w:rsidRPr="00030D01">
              <w:rPr>
                <w:b w:val="0"/>
                <w:bCs/>
                <w:sz w:val="24"/>
                <w:szCs w:val="24"/>
              </w:rPr>
              <w:t xml:space="preserve"> 6.</w:t>
            </w:r>
            <w:r w:rsidR="009E056D" w:rsidRPr="00030D01">
              <w:rPr>
                <w:b w:val="0"/>
                <w:bCs/>
                <w:sz w:val="24"/>
                <w:szCs w:val="24"/>
                <w:vertAlign w:val="superscript"/>
              </w:rPr>
              <w:t>1</w:t>
            </w:r>
            <w:r w:rsidR="009E056D" w:rsidRPr="00030D01">
              <w:rPr>
                <w:b w:val="0"/>
                <w:bCs/>
                <w:sz w:val="24"/>
                <w:szCs w:val="24"/>
              </w:rPr>
              <w:t>punkt</w:t>
            </w:r>
            <w:r w:rsidR="0001178D" w:rsidRPr="00030D01">
              <w:rPr>
                <w:b w:val="0"/>
                <w:bCs/>
                <w:sz w:val="24"/>
                <w:szCs w:val="24"/>
              </w:rPr>
              <w:t>u, kurā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tiek noteikta definīcija peldūdens piesārņojumam.</w:t>
            </w:r>
          </w:p>
          <w:p w:rsidR="004E2B14" w:rsidRPr="00030D01" w:rsidRDefault="00C22E0E" w:rsidP="000B05BD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bCs/>
                <w:sz w:val="24"/>
                <w:szCs w:val="24"/>
              </w:rPr>
              <w:t>Atbilstoši direktīvas 7.pantam</w:t>
            </w:r>
            <w:r w:rsidR="00887857" w:rsidRPr="00030D01">
              <w:rPr>
                <w:b w:val="0"/>
                <w:bCs/>
                <w:sz w:val="24"/>
                <w:szCs w:val="24"/>
              </w:rPr>
              <w:t>,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n</w:t>
            </w:r>
            <w:r w:rsidR="00C54B57" w:rsidRPr="00030D01">
              <w:rPr>
                <w:b w:val="0"/>
                <w:bCs/>
                <w:sz w:val="24"/>
                <w:szCs w:val="24"/>
              </w:rPr>
              <w:t>oteikumu</w:t>
            </w:r>
            <w:r w:rsidR="00D744B3" w:rsidRPr="00030D01">
              <w:rPr>
                <w:b w:val="0"/>
                <w:bCs/>
                <w:sz w:val="24"/>
                <w:szCs w:val="24"/>
              </w:rPr>
              <w:t xml:space="preserve"> 23.punktā</w:t>
            </w:r>
            <w:r w:rsidR="000F56EF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4E2B14" w:rsidRPr="00030D01">
              <w:rPr>
                <w:b w:val="0"/>
                <w:bCs/>
                <w:sz w:val="24"/>
                <w:szCs w:val="24"/>
              </w:rPr>
              <w:t>tiek</w:t>
            </w:r>
            <w:r w:rsidR="000F56EF" w:rsidRPr="00030D01">
              <w:rPr>
                <w:b w:val="0"/>
                <w:bCs/>
                <w:sz w:val="24"/>
                <w:szCs w:val="24"/>
              </w:rPr>
              <w:t xml:space="preserve"> uzskaitīti pasākumi</w:t>
            </w:r>
            <w:r w:rsidR="007652B9" w:rsidRPr="00030D01">
              <w:rPr>
                <w:b w:val="0"/>
                <w:bCs/>
                <w:sz w:val="24"/>
                <w:szCs w:val="24"/>
              </w:rPr>
              <w:t xml:space="preserve"> peldvietu ūdens pārvaldībai attiecībā uz peldvietu ūdens kvalitāti</w:t>
            </w:r>
            <w:r w:rsidR="000F56EF" w:rsidRPr="00030D01">
              <w:rPr>
                <w:b w:val="0"/>
                <w:bCs/>
                <w:sz w:val="24"/>
                <w:szCs w:val="24"/>
              </w:rPr>
              <w:t xml:space="preserve"> atbi</w:t>
            </w:r>
            <w:r w:rsidR="004E2B14" w:rsidRPr="00030D01">
              <w:rPr>
                <w:b w:val="0"/>
                <w:bCs/>
                <w:sz w:val="24"/>
                <w:szCs w:val="24"/>
              </w:rPr>
              <w:t>lstoši direktīvas nosacījumiem.</w:t>
            </w:r>
          </w:p>
          <w:p w:rsidR="00AF36A7" w:rsidRPr="00030D01" w:rsidRDefault="00962997" w:rsidP="000B05BD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bCs/>
                <w:sz w:val="24"/>
                <w:szCs w:val="24"/>
              </w:rPr>
              <w:t xml:space="preserve">Atbilstoši direktīvas 5.panta 4.punkta </w:t>
            </w:r>
            <w:r w:rsidR="00887857" w:rsidRPr="00030D01">
              <w:rPr>
                <w:b w:val="0"/>
                <w:bCs/>
                <w:sz w:val="24"/>
                <w:szCs w:val="24"/>
              </w:rPr>
              <w:t>(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a) apakšpunkta </w:t>
            </w:r>
            <w:r w:rsidR="00887857" w:rsidRPr="00030D01">
              <w:rPr>
                <w:b w:val="0"/>
                <w:bCs/>
                <w:sz w:val="24"/>
                <w:szCs w:val="24"/>
              </w:rPr>
              <w:t>(</w:t>
            </w:r>
            <w:r w:rsidRPr="00030D01">
              <w:rPr>
                <w:b w:val="0"/>
                <w:bCs/>
                <w:sz w:val="24"/>
                <w:szCs w:val="24"/>
              </w:rPr>
              <w:t>i</w:t>
            </w:r>
            <w:r w:rsidR="00887857" w:rsidRPr="00030D01">
              <w:rPr>
                <w:b w:val="0"/>
                <w:bCs/>
                <w:sz w:val="24"/>
                <w:szCs w:val="24"/>
              </w:rPr>
              <w:t>)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punktam, 8.pa</w:t>
            </w:r>
            <w:r w:rsidR="004E2B14" w:rsidRPr="00030D01">
              <w:rPr>
                <w:b w:val="0"/>
                <w:bCs/>
                <w:sz w:val="24"/>
                <w:szCs w:val="24"/>
              </w:rPr>
              <w:t>nta 2.punktam, 9.panta 1.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un 2.punktam</w:t>
            </w:r>
            <w:r w:rsidR="00EA079D" w:rsidRPr="00030D01">
              <w:rPr>
                <w:b w:val="0"/>
                <w:bCs/>
                <w:sz w:val="24"/>
                <w:szCs w:val="24"/>
              </w:rPr>
              <w:t>,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 n</w:t>
            </w:r>
            <w:r w:rsidR="0058032D" w:rsidRPr="00030D01">
              <w:rPr>
                <w:b w:val="0"/>
                <w:bCs/>
                <w:sz w:val="24"/>
                <w:szCs w:val="24"/>
              </w:rPr>
              <w:t>oteikumu</w:t>
            </w:r>
            <w:r w:rsidR="004E1ED8" w:rsidRPr="00030D01">
              <w:rPr>
                <w:b w:val="0"/>
                <w:bCs/>
                <w:sz w:val="24"/>
                <w:szCs w:val="24"/>
              </w:rPr>
              <w:t xml:space="preserve"> 24. un 25.punkts, 20.1. un 26.4.apakšpunkts</w:t>
            </w:r>
            <w:r w:rsidR="007652B9" w:rsidRPr="00030D01">
              <w:rPr>
                <w:b w:val="0"/>
                <w:bCs/>
                <w:sz w:val="24"/>
                <w:szCs w:val="24"/>
              </w:rPr>
              <w:t xml:space="preserve"> arī</w:t>
            </w:r>
            <w:r w:rsidR="000F56EF" w:rsidRPr="00030D01">
              <w:rPr>
                <w:b w:val="0"/>
                <w:bCs/>
                <w:sz w:val="24"/>
                <w:szCs w:val="24"/>
              </w:rPr>
              <w:t xml:space="preserve"> paredz</w:t>
            </w:r>
            <w:r w:rsidR="007652B9" w:rsidRPr="00030D01">
              <w:rPr>
                <w:b w:val="0"/>
                <w:bCs/>
                <w:sz w:val="24"/>
                <w:szCs w:val="24"/>
              </w:rPr>
              <w:t>, ka Veselības inspekcija</w:t>
            </w:r>
            <w:r w:rsidR="008601B2" w:rsidRPr="00030D01">
              <w:rPr>
                <w:b w:val="0"/>
                <w:bCs/>
                <w:sz w:val="24"/>
                <w:szCs w:val="24"/>
              </w:rPr>
              <w:t>,</w:t>
            </w:r>
            <w:r w:rsidR="0045489A" w:rsidRPr="00030D01">
              <w:rPr>
                <w:b w:val="0"/>
                <w:bCs/>
                <w:sz w:val="24"/>
                <w:szCs w:val="24"/>
              </w:rPr>
              <w:t xml:space="preserve"> gadījumos, ja peldvietas ūdens tiek klasificēts kā zemas kvalitātes,</w:t>
            </w:r>
            <w:r w:rsidR="007652B9" w:rsidRPr="00030D01">
              <w:rPr>
                <w:b w:val="0"/>
                <w:bCs/>
                <w:sz w:val="24"/>
                <w:szCs w:val="24"/>
              </w:rPr>
              <w:t xml:space="preserve"> neparedzētās situācijās, </w:t>
            </w:r>
            <w:r w:rsidR="000B05BD" w:rsidRPr="00030D01">
              <w:rPr>
                <w:b w:val="0"/>
                <w:bCs/>
                <w:sz w:val="24"/>
                <w:szCs w:val="24"/>
              </w:rPr>
              <w:t>zilaļģu izplatīšanās gadījum</w:t>
            </w:r>
            <w:r w:rsidR="00E87088" w:rsidRPr="00030D01">
              <w:rPr>
                <w:b w:val="0"/>
                <w:bCs/>
                <w:sz w:val="24"/>
                <w:szCs w:val="24"/>
              </w:rPr>
              <w:t>os</w:t>
            </w:r>
            <w:r w:rsidR="000B05BD" w:rsidRPr="00030D01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="005C168D" w:rsidRPr="00030D01">
              <w:rPr>
                <w:b w:val="0"/>
                <w:bCs/>
                <w:sz w:val="24"/>
                <w:szCs w:val="24"/>
              </w:rPr>
              <w:t>makroaļģu</w:t>
            </w:r>
            <w:proofErr w:type="spellEnd"/>
            <w:r w:rsidR="00E87088" w:rsidRPr="00030D01">
              <w:rPr>
                <w:b w:val="0"/>
                <w:bCs/>
                <w:sz w:val="24"/>
                <w:szCs w:val="24"/>
              </w:rPr>
              <w:t xml:space="preserve"> un fitoplanktona savairošanās </w:t>
            </w:r>
            <w:r w:rsidR="000B05BD" w:rsidRPr="00030D01">
              <w:rPr>
                <w:b w:val="0"/>
                <w:bCs/>
                <w:sz w:val="24"/>
                <w:szCs w:val="24"/>
              </w:rPr>
              <w:t>gadījumos</w:t>
            </w:r>
            <w:r w:rsidR="00E87088" w:rsidRPr="00030D01">
              <w:rPr>
                <w:b w:val="0"/>
                <w:bCs/>
                <w:sz w:val="24"/>
                <w:szCs w:val="24"/>
              </w:rPr>
              <w:t xml:space="preserve">, </w:t>
            </w:r>
            <w:r w:rsidR="000B05BD" w:rsidRPr="00030D01">
              <w:rPr>
                <w:b w:val="0"/>
                <w:bCs/>
                <w:sz w:val="24"/>
                <w:szCs w:val="24"/>
              </w:rPr>
              <w:t>peldvietu ūdens piesārņošanas gadījum</w:t>
            </w:r>
            <w:r w:rsidR="00EA079D" w:rsidRPr="00030D01">
              <w:rPr>
                <w:b w:val="0"/>
                <w:bCs/>
                <w:sz w:val="24"/>
                <w:szCs w:val="24"/>
              </w:rPr>
              <w:t>os</w:t>
            </w:r>
            <w:r w:rsidR="000B05BD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EA079D" w:rsidRPr="00030D01">
              <w:rPr>
                <w:b w:val="0"/>
                <w:bCs/>
                <w:sz w:val="24"/>
                <w:szCs w:val="24"/>
              </w:rPr>
              <w:t>(</w:t>
            </w:r>
            <w:r w:rsidR="000B05BD" w:rsidRPr="00030D01">
              <w:rPr>
                <w:b w:val="0"/>
                <w:bCs/>
                <w:sz w:val="24"/>
                <w:szCs w:val="24"/>
              </w:rPr>
              <w:t>ar naftas produktiem, stiklu</w:t>
            </w:r>
            <w:r w:rsidR="00EA079D" w:rsidRPr="00030D01">
              <w:rPr>
                <w:b w:val="0"/>
                <w:bCs/>
                <w:sz w:val="24"/>
                <w:szCs w:val="24"/>
              </w:rPr>
              <w:t>,</w:t>
            </w:r>
            <w:r w:rsidR="000B05BD" w:rsidRPr="00030D01">
              <w:rPr>
                <w:b w:val="0"/>
                <w:bCs/>
                <w:sz w:val="24"/>
                <w:szCs w:val="24"/>
              </w:rPr>
              <w:t xml:space="preserve"> plastmasu</w:t>
            </w:r>
            <w:r w:rsidR="00EA079D" w:rsidRPr="00030D01">
              <w:rPr>
                <w:b w:val="0"/>
                <w:bCs/>
                <w:sz w:val="24"/>
                <w:szCs w:val="24"/>
              </w:rPr>
              <w:t xml:space="preserve">, </w:t>
            </w:r>
            <w:r w:rsidR="000B05BD" w:rsidRPr="00030D01">
              <w:rPr>
                <w:b w:val="0"/>
                <w:bCs/>
                <w:sz w:val="24"/>
                <w:szCs w:val="24"/>
              </w:rPr>
              <w:t xml:space="preserve">virsmas aktīvām vielām </w:t>
            </w:r>
            <w:r w:rsidR="00EA079D" w:rsidRPr="00030D01">
              <w:rPr>
                <w:b w:val="0"/>
                <w:bCs/>
                <w:sz w:val="24"/>
                <w:szCs w:val="24"/>
              </w:rPr>
              <w:t>vai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 citiem peldošiem atkritumiem</w:t>
            </w:r>
            <w:r w:rsidR="00EA079D" w:rsidRPr="00030D01">
              <w:rPr>
                <w:b w:val="0"/>
                <w:bCs/>
                <w:sz w:val="24"/>
                <w:szCs w:val="24"/>
              </w:rPr>
              <w:t>)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, </w:t>
            </w:r>
            <w:r w:rsidR="008601B2" w:rsidRPr="00030D01">
              <w:rPr>
                <w:b w:val="0"/>
                <w:bCs/>
                <w:sz w:val="24"/>
                <w:szCs w:val="24"/>
              </w:rPr>
              <w:t xml:space="preserve">nekavējoties </w:t>
            </w:r>
            <w:r w:rsidR="002A0764" w:rsidRPr="00030D01">
              <w:rPr>
                <w:b w:val="0"/>
                <w:bCs/>
                <w:sz w:val="24"/>
                <w:szCs w:val="24"/>
              </w:rPr>
              <w:t>veic pasākumus sabiedrības informēšanai</w:t>
            </w:r>
            <w:r w:rsidR="008601B2" w:rsidRPr="00030D01">
              <w:rPr>
                <w:b w:val="0"/>
                <w:bCs/>
                <w:sz w:val="24"/>
                <w:szCs w:val="24"/>
              </w:rPr>
              <w:t>,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 peldēšanās aizlieguma noteikšanai, kā arī citus piemērotus pārvaldības</w:t>
            </w:r>
            <w:r w:rsidR="008601B2" w:rsidRPr="00030D01">
              <w:rPr>
                <w:b w:val="0"/>
                <w:bCs/>
                <w:sz w:val="24"/>
                <w:szCs w:val="24"/>
              </w:rPr>
              <w:t xml:space="preserve"> pasākumus</w:t>
            </w:r>
            <w:r w:rsidR="00AF36A7" w:rsidRPr="00030D01">
              <w:rPr>
                <w:b w:val="0"/>
                <w:bCs/>
                <w:sz w:val="24"/>
                <w:szCs w:val="24"/>
              </w:rPr>
              <w:t>.</w:t>
            </w:r>
          </w:p>
          <w:p w:rsidR="00BE16E6" w:rsidRPr="00030D01" w:rsidRDefault="00AF36A7" w:rsidP="000B05BD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bCs/>
                <w:sz w:val="24"/>
                <w:szCs w:val="24"/>
              </w:rPr>
              <w:t xml:space="preserve">Saskaņā ar direktīvas 2.panta </w:t>
            </w:r>
            <w:r w:rsidR="002A0764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47092E" w:rsidRPr="00030D01">
              <w:rPr>
                <w:b w:val="0"/>
                <w:bCs/>
                <w:sz w:val="24"/>
                <w:szCs w:val="24"/>
              </w:rPr>
              <w:t xml:space="preserve">12.punktu noteikumu </w:t>
            </w:r>
            <w:r w:rsidR="00314BB1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47092E" w:rsidRPr="00030D01">
              <w:rPr>
                <w:b w:val="0"/>
                <w:bCs/>
                <w:sz w:val="24"/>
                <w:szCs w:val="24"/>
              </w:rPr>
              <w:t>24.punktā tiek</w:t>
            </w:r>
            <w:r w:rsidR="00EC26AE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noteikta zilaļģu izplatīšanās </w:t>
            </w:r>
            <w:r w:rsidR="005C168D" w:rsidRPr="00030D01">
              <w:rPr>
                <w:b w:val="0"/>
                <w:bCs/>
                <w:sz w:val="24"/>
                <w:szCs w:val="24"/>
              </w:rPr>
              <w:t>definīcija</w:t>
            </w:r>
            <w:r w:rsidR="002A1499" w:rsidRPr="00030D01">
              <w:rPr>
                <w:b w:val="0"/>
                <w:bCs/>
                <w:sz w:val="24"/>
                <w:szCs w:val="24"/>
              </w:rPr>
              <w:t xml:space="preserve">, kā </w:t>
            </w:r>
            <w:r w:rsidR="008A33BA" w:rsidRPr="00030D01">
              <w:rPr>
                <w:b w:val="0"/>
                <w:bCs/>
                <w:sz w:val="24"/>
                <w:szCs w:val="24"/>
              </w:rPr>
              <w:t>zilaļģu vairošanās putu vai zilaļģu „paklāja” veidā.</w:t>
            </w:r>
            <w:r w:rsidR="00FB0CEF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5C168D" w:rsidRPr="00030D01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AC336B" w:rsidRPr="00030D01" w:rsidRDefault="005C168D" w:rsidP="000B05BD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bCs/>
                <w:sz w:val="24"/>
                <w:szCs w:val="24"/>
              </w:rPr>
              <w:t>Noteikumu</w:t>
            </w:r>
            <w:r w:rsidR="00314BB1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840625" w:rsidRPr="00030D01">
              <w:rPr>
                <w:b w:val="0"/>
                <w:bCs/>
                <w:sz w:val="24"/>
                <w:szCs w:val="24"/>
              </w:rPr>
              <w:t>29.2., 29.4.</w:t>
            </w:r>
            <w:r w:rsidR="0038293F" w:rsidRPr="00030D01">
              <w:rPr>
                <w:b w:val="0"/>
                <w:bCs/>
                <w:sz w:val="24"/>
                <w:szCs w:val="24"/>
              </w:rPr>
              <w:t xml:space="preserve">, </w:t>
            </w:r>
            <w:r w:rsidR="00314BB1" w:rsidRPr="00030D01">
              <w:rPr>
                <w:b w:val="0"/>
                <w:bCs/>
                <w:sz w:val="24"/>
                <w:szCs w:val="24"/>
              </w:rPr>
              <w:t>29.6.</w:t>
            </w:r>
            <w:r w:rsidR="0025650A" w:rsidRPr="00030D01">
              <w:rPr>
                <w:b w:val="0"/>
                <w:bCs/>
                <w:sz w:val="24"/>
                <w:szCs w:val="24"/>
              </w:rPr>
              <w:t>4. un 30.4.3</w:t>
            </w:r>
            <w:r w:rsidR="00314BB1" w:rsidRPr="00030D01">
              <w:rPr>
                <w:b w:val="0"/>
                <w:bCs/>
                <w:sz w:val="24"/>
                <w:szCs w:val="24"/>
              </w:rPr>
              <w:t>.apakšpunktā</w:t>
            </w:r>
            <w:r w:rsidR="00AC336B" w:rsidRPr="00030D01">
              <w:rPr>
                <w:b w:val="0"/>
                <w:bCs/>
                <w:sz w:val="24"/>
                <w:szCs w:val="24"/>
              </w:rPr>
              <w:t xml:space="preserve"> arī tiek precizēti pasākumi sabiedrības informēšanai</w:t>
            </w:r>
            <w:r w:rsidR="001C2206">
              <w:rPr>
                <w:b w:val="0"/>
                <w:bCs/>
                <w:sz w:val="24"/>
                <w:szCs w:val="24"/>
              </w:rPr>
              <w:t>,</w:t>
            </w:r>
            <w:r w:rsidR="00274A00" w:rsidRPr="00030D01">
              <w:rPr>
                <w:b w:val="0"/>
                <w:bCs/>
                <w:sz w:val="24"/>
                <w:szCs w:val="24"/>
              </w:rPr>
              <w:t xml:space="preserve"> atbilstoši direktīvas 12.</w:t>
            </w:r>
            <w:r w:rsidR="0026658E" w:rsidRPr="00030D01">
              <w:rPr>
                <w:b w:val="0"/>
                <w:bCs/>
                <w:sz w:val="24"/>
                <w:szCs w:val="24"/>
              </w:rPr>
              <w:t>p</w:t>
            </w:r>
            <w:r w:rsidR="00AC336B" w:rsidRPr="00030D01">
              <w:rPr>
                <w:b w:val="0"/>
                <w:bCs/>
                <w:sz w:val="24"/>
                <w:szCs w:val="24"/>
              </w:rPr>
              <w:t xml:space="preserve">antam, nosakot, ka </w:t>
            </w:r>
            <w:r w:rsidR="0026658E" w:rsidRPr="00030D01">
              <w:rPr>
                <w:b w:val="0"/>
                <w:bCs/>
                <w:sz w:val="24"/>
                <w:szCs w:val="24"/>
              </w:rPr>
              <w:t>sabiedrībai peldvietā tiek nodrošināta viegli pieejama informācija, lai brīdinātu, kad ir paredzams īstermiņa piesārņoj</w:t>
            </w:r>
            <w:r w:rsidR="00274A00" w:rsidRPr="00030D01">
              <w:rPr>
                <w:b w:val="0"/>
                <w:bCs/>
                <w:sz w:val="24"/>
                <w:szCs w:val="24"/>
              </w:rPr>
              <w:t>ums vai ir iespējami tā draudi, kā arī</w:t>
            </w:r>
            <w:r w:rsidR="0026658E" w:rsidRPr="00030D01">
              <w:rPr>
                <w:b w:val="0"/>
                <w:bCs/>
                <w:sz w:val="24"/>
                <w:szCs w:val="24"/>
              </w:rPr>
              <w:t xml:space="preserve"> tiek precizēts </w:t>
            </w:r>
            <w:r w:rsidR="00274A00" w:rsidRPr="00030D01">
              <w:rPr>
                <w:b w:val="0"/>
                <w:bCs/>
                <w:sz w:val="24"/>
                <w:szCs w:val="24"/>
              </w:rPr>
              <w:t>sabiedrībai pieejamais informācijas apjoms.</w:t>
            </w:r>
          </w:p>
          <w:p w:rsidR="00F5000B" w:rsidRPr="00030D01" w:rsidRDefault="00390AA0" w:rsidP="000B05BD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bCs/>
                <w:sz w:val="24"/>
                <w:szCs w:val="24"/>
              </w:rPr>
              <w:t xml:space="preserve">Atbilstoši direktīvas </w:t>
            </w:r>
            <w:proofErr w:type="spellStart"/>
            <w:r w:rsidR="005C168D" w:rsidRPr="00030D01">
              <w:rPr>
                <w:b w:val="0"/>
                <w:bCs/>
                <w:sz w:val="24"/>
                <w:szCs w:val="24"/>
              </w:rPr>
              <w:t>V.pielikuma</w:t>
            </w:r>
            <w:proofErr w:type="spellEnd"/>
            <w:r w:rsidR="00F5000B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Pr="00030D01">
              <w:rPr>
                <w:b w:val="0"/>
                <w:bCs/>
                <w:sz w:val="24"/>
                <w:szCs w:val="24"/>
              </w:rPr>
              <w:t>3.p</w:t>
            </w:r>
            <w:r w:rsidR="00F5000B" w:rsidRPr="00030D01">
              <w:rPr>
                <w:b w:val="0"/>
                <w:bCs/>
                <w:sz w:val="24"/>
                <w:szCs w:val="24"/>
              </w:rPr>
              <w:t>unkta</w:t>
            </w:r>
            <w:r w:rsidRPr="00030D01">
              <w:rPr>
                <w:b w:val="0"/>
                <w:bCs/>
                <w:sz w:val="24"/>
                <w:szCs w:val="24"/>
              </w:rPr>
              <w:t xml:space="preserve"> 3.p</w:t>
            </w:r>
            <w:r w:rsidR="00272BC6" w:rsidRPr="00030D01">
              <w:rPr>
                <w:b w:val="0"/>
                <w:bCs/>
                <w:sz w:val="24"/>
                <w:szCs w:val="24"/>
              </w:rPr>
              <w:t>aragrāfa prasībām, noteikumu 2.pielikuma 3.3.apakšpunktā</w:t>
            </w:r>
            <w:r w:rsidR="00F5000B" w:rsidRPr="00030D01">
              <w:rPr>
                <w:b w:val="0"/>
                <w:bCs/>
                <w:sz w:val="24"/>
                <w:szCs w:val="24"/>
              </w:rPr>
              <w:t xml:space="preserve"> tiek precizētas prasības peldūdens parauga noņemšanai, </w:t>
            </w:r>
            <w:r w:rsidR="00F5000B" w:rsidRPr="00030D01">
              <w:rPr>
                <w:b w:val="0"/>
                <w:bCs/>
                <w:sz w:val="24"/>
                <w:szCs w:val="24"/>
              </w:rPr>
              <w:lastRenderedPageBreak/>
              <w:t>pielietojot trauku un instrumentu dezinfekciju.</w:t>
            </w:r>
          </w:p>
          <w:p w:rsidR="00D15CD7" w:rsidRPr="00030D01" w:rsidRDefault="00586624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bCs/>
                <w:sz w:val="24"/>
                <w:szCs w:val="24"/>
              </w:rPr>
              <w:t>Saskaņā ar direktīvas 5.p</w:t>
            </w:r>
            <w:r w:rsidR="00F5000B" w:rsidRPr="00030D01">
              <w:rPr>
                <w:b w:val="0"/>
                <w:bCs/>
                <w:sz w:val="24"/>
                <w:szCs w:val="24"/>
              </w:rPr>
              <w:t xml:space="preserve">anta </w:t>
            </w:r>
            <w:r w:rsidRPr="00030D01">
              <w:rPr>
                <w:b w:val="0"/>
                <w:bCs/>
                <w:sz w:val="24"/>
                <w:szCs w:val="24"/>
              </w:rPr>
              <w:t>2.</w:t>
            </w:r>
            <w:r w:rsidR="00F5000B" w:rsidRPr="00030D01">
              <w:rPr>
                <w:b w:val="0"/>
                <w:bCs/>
                <w:sz w:val="24"/>
                <w:szCs w:val="24"/>
              </w:rPr>
              <w:t>pun</w:t>
            </w:r>
            <w:r w:rsidR="00BE744D" w:rsidRPr="00030D01">
              <w:rPr>
                <w:b w:val="0"/>
                <w:bCs/>
                <w:sz w:val="24"/>
                <w:szCs w:val="24"/>
              </w:rPr>
              <w:t>kta prasībām, noteikum</w:t>
            </w:r>
            <w:r w:rsidR="00F5000B" w:rsidRPr="00030D01">
              <w:rPr>
                <w:b w:val="0"/>
                <w:bCs/>
                <w:sz w:val="24"/>
                <w:szCs w:val="24"/>
              </w:rPr>
              <w:t xml:space="preserve">i tiek papildināti ar </w:t>
            </w:r>
            <w:r w:rsidR="0038293F" w:rsidRPr="00030D01">
              <w:rPr>
                <w:b w:val="0"/>
                <w:bCs/>
                <w:sz w:val="24"/>
                <w:szCs w:val="24"/>
              </w:rPr>
              <w:t>40.punktu</w:t>
            </w:r>
            <w:r w:rsidR="00DB50CD" w:rsidRPr="00030D01">
              <w:rPr>
                <w:b w:val="0"/>
                <w:bCs/>
                <w:sz w:val="24"/>
                <w:szCs w:val="24"/>
              </w:rPr>
              <w:t>, kurā tiek noteikts</w:t>
            </w:r>
            <w:r w:rsidR="00F5000B" w:rsidRPr="00030D01">
              <w:rPr>
                <w:b w:val="0"/>
                <w:bCs/>
                <w:sz w:val="24"/>
                <w:szCs w:val="24"/>
              </w:rPr>
              <w:t>, ka peldvietu</w:t>
            </w:r>
            <w:r w:rsidR="00B87DD1" w:rsidRPr="00030D01">
              <w:rPr>
                <w:b w:val="0"/>
                <w:bCs/>
                <w:sz w:val="24"/>
                <w:szCs w:val="24"/>
              </w:rPr>
              <w:t xml:space="preserve"> </w:t>
            </w:r>
            <w:r w:rsidR="00F5000B" w:rsidRPr="00030D01">
              <w:rPr>
                <w:b w:val="0"/>
                <w:sz w:val="24"/>
                <w:szCs w:val="24"/>
              </w:rPr>
              <w:t>klasificēšanu</w:t>
            </w:r>
            <w:r w:rsidR="00BE02CE" w:rsidRPr="00030D01">
              <w:rPr>
                <w:b w:val="0"/>
                <w:sz w:val="24"/>
                <w:szCs w:val="24"/>
              </w:rPr>
              <w:t>,</w:t>
            </w:r>
            <w:r w:rsidR="00F5000B" w:rsidRPr="00030D01">
              <w:rPr>
                <w:b w:val="0"/>
                <w:sz w:val="24"/>
                <w:szCs w:val="24"/>
              </w:rPr>
              <w:t xml:space="preserve"> </w:t>
            </w:r>
            <w:r w:rsidR="00B87DD1" w:rsidRPr="00030D01">
              <w:rPr>
                <w:b w:val="0"/>
                <w:sz w:val="24"/>
                <w:szCs w:val="24"/>
              </w:rPr>
              <w:t>atbilstoši t</w:t>
            </w:r>
            <w:r w:rsidR="00F5000B" w:rsidRPr="00030D01">
              <w:rPr>
                <w:b w:val="0"/>
                <w:sz w:val="24"/>
                <w:szCs w:val="24"/>
              </w:rPr>
              <w:t>o</w:t>
            </w:r>
            <w:r w:rsidR="00B87DD1" w:rsidRPr="00030D01">
              <w:rPr>
                <w:b w:val="0"/>
                <w:sz w:val="24"/>
                <w:szCs w:val="24"/>
              </w:rPr>
              <w:t xml:space="preserve"> kvalitātei</w:t>
            </w:r>
            <w:r w:rsidR="00BE02CE" w:rsidRPr="00030D01">
              <w:rPr>
                <w:b w:val="0"/>
                <w:sz w:val="24"/>
                <w:szCs w:val="24"/>
              </w:rPr>
              <w:t>,</w:t>
            </w:r>
            <w:r w:rsidR="00B87DD1" w:rsidRPr="00030D01">
              <w:rPr>
                <w:b w:val="0"/>
                <w:sz w:val="24"/>
                <w:szCs w:val="24"/>
              </w:rPr>
              <w:t xml:space="preserve"> Veselības inspekcija pirmo reizi veic ne vēlāk kā līdz 2015.gada peldsezonas beigām</w:t>
            </w:r>
            <w:r w:rsidR="00F5000B" w:rsidRPr="00030D01">
              <w:rPr>
                <w:b w:val="0"/>
                <w:bCs/>
                <w:sz w:val="24"/>
                <w:szCs w:val="24"/>
              </w:rPr>
              <w:t>.</w:t>
            </w:r>
          </w:p>
          <w:p w:rsidR="00042DB4" w:rsidRPr="00030D01" w:rsidRDefault="00042DB4">
            <w:pPr>
              <w:pStyle w:val="Title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030D01">
              <w:rPr>
                <w:b w:val="0"/>
                <w:sz w:val="24"/>
                <w:szCs w:val="24"/>
              </w:rPr>
              <w:t>Direktīvas 2.panta 7.punkta prasības tiek pārņemtas, noteikumus papildinot ar 28.</w:t>
            </w:r>
            <w:r w:rsidRPr="00030D01">
              <w:rPr>
                <w:b w:val="0"/>
                <w:sz w:val="24"/>
                <w:szCs w:val="24"/>
                <w:vertAlign w:val="superscript"/>
              </w:rPr>
              <w:t>1</w:t>
            </w:r>
            <w:r w:rsidRPr="00030D01">
              <w:rPr>
                <w:b w:val="0"/>
                <w:sz w:val="24"/>
                <w:szCs w:val="24"/>
              </w:rPr>
              <w:t>punktu, kurā tiek noteikti pārvaldības pasākumi attiecībā uz peldvietu ūdens kvalitāti.</w:t>
            </w:r>
          </w:p>
          <w:p w:rsidR="008A7CD1" w:rsidRPr="00030D01" w:rsidRDefault="000121B2" w:rsidP="00DF1E5A">
            <w:pPr>
              <w:pStyle w:val="BodyText"/>
              <w:rPr>
                <w:iCs/>
                <w:sz w:val="24"/>
                <w:szCs w:val="24"/>
                <w:lang w:val="lv-LV"/>
              </w:rPr>
            </w:pPr>
            <w:r w:rsidRPr="00030D01">
              <w:rPr>
                <w:bCs/>
                <w:sz w:val="24"/>
                <w:szCs w:val="24"/>
                <w:lang w:val="lv-LV"/>
              </w:rPr>
              <w:t xml:space="preserve">Noteikumu </w:t>
            </w:r>
            <w:r w:rsidR="00C1094B" w:rsidRPr="00030D01">
              <w:rPr>
                <w:bCs/>
                <w:sz w:val="24"/>
                <w:szCs w:val="24"/>
                <w:lang w:val="lv-LV"/>
              </w:rPr>
              <w:t>p</w:t>
            </w:r>
            <w:r w:rsidRPr="00030D01">
              <w:rPr>
                <w:iCs/>
                <w:sz w:val="24"/>
                <w:szCs w:val="24"/>
                <w:lang w:val="lv-LV"/>
              </w:rPr>
              <w:t>rojekts</w:t>
            </w:r>
            <w:r w:rsidR="00DF1CB9" w:rsidRPr="00030D01">
              <w:rPr>
                <w:iCs/>
                <w:sz w:val="24"/>
                <w:szCs w:val="24"/>
                <w:lang w:val="lv-LV"/>
              </w:rPr>
              <w:t xml:space="preserve"> pilnībā atrisinās</w:t>
            </w:r>
            <w:r w:rsidRPr="00030D01">
              <w:rPr>
                <w:iCs/>
                <w:sz w:val="24"/>
                <w:szCs w:val="24"/>
                <w:lang w:val="lv-LV"/>
              </w:rPr>
              <w:t xml:space="preserve"> šīs nodaļas 2.punktā minētās problēmas.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6850EA" w:rsidP="00346ACC">
            <w:pPr>
              <w:pStyle w:val="Footer"/>
              <w:spacing w:after="120"/>
            </w:pPr>
            <w:r w:rsidRPr="004036DD">
              <w:lastRenderedPageBreak/>
              <w:t>5.</w:t>
            </w:r>
          </w:p>
        </w:tc>
        <w:tc>
          <w:tcPr>
            <w:tcW w:w="2835" w:type="dxa"/>
          </w:tcPr>
          <w:p w:rsidR="00BC2AFA" w:rsidRPr="004036DD" w:rsidRDefault="006850EA" w:rsidP="00346ACC">
            <w:pPr>
              <w:pStyle w:val="Footer"/>
              <w:spacing w:after="120"/>
            </w:pPr>
            <w:r w:rsidRPr="004036DD">
              <w:t>Projekta izstrādē iesaistītās institūcijas</w:t>
            </w:r>
          </w:p>
        </w:tc>
        <w:tc>
          <w:tcPr>
            <w:tcW w:w="5811" w:type="dxa"/>
          </w:tcPr>
          <w:p w:rsidR="00BC2AFA" w:rsidRPr="004036DD" w:rsidRDefault="00C933A4" w:rsidP="00236DD5">
            <w:r w:rsidRPr="004036DD">
              <w:t>Veselības inspekcija</w:t>
            </w:r>
          </w:p>
        </w:tc>
      </w:tr>
      <w:tr w:rsidR="00FA3CF0" w:rsidRPr="004036DD" w:rsidTr="00127158">
        <w:tc>
          <w:tcPr>
            <w:tcW w:w="426" w:type="dxa"/>
          </w:tcPr>
          <w:p w:rsidR="00FA3CF0" w:rsidRPr="004036DD" w:rsidRDefault="00FA3CF0" w:rsidP="00346ACC">
            <w:pPr>
              <w:pStyle w:val="Footer"/>
              <w:spacing w:after="120"/>
            </w:pPr>
            <w:r w:rsidRPr="004036DD">
              <w:t>6.</w:t>
            </w:r>
          </w:p>
        </w:tc>
        <w:tc>
          <w:tcPr>
            <w:tcW w:w="2835" w:type="dxa"/>
          </w:tcPr>
          <w:p w:rsidR="00FA3CF0" w:rsidRPr="004036DD" w:rsidRDefault="00FA3CF0" w:rsidP="00346ACC">
            <w:pPr>
              <w:pStyle w:val="Footer"/>
              <w:spacing w:after="120"/>
            </w:pPr>
            <w:r w:rsidRPr="004036DD">
              <w:t>Iemesli, kādēļ netika nodrošināta sabiedrības līdzdalība</w:t>
            </w:r>
          </w:p>
        </w:tc>
        <w:tc>
          <w:tcPr>
            <w:tcW w:w="5811" w:type="dxa"/>
          </w:tcPr>
          <w:p w:rsidR="00FA3CF0" w:rsidRPr="004036DD" w:rsidRDefault="00F90942" w:rsidP="008158EC">
            <w:pPr>
              <w:autoSpaceDE w:val="0"/>
              <w:autoSpaceDN w:val="0"/>
              <w:adjustRightInd w:val="0"/>
              <w:jc w:val="both"/>
            </w:pPr>
            <w:r>
              <w:t>Noteikumu projekts neievieš jaunas prasības, bet veic</w:t>
            </w:r>
            <w:r w:rsidR="001D60A9">
              <w:t xml:space="preserve"> esošo normu</w:t>
            </w:r>
            <w:r>
              <w:t xml:space="preserve"> tehniskus precizējumus, nodrošinot direktīvas prasību pilnīgu pārņemšanu nacionālajos tiesību aktos</w:t>
            </w:r>
            <w:r w:rsidR="00D15CD7">
              <w:t>.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FA3CF0" w:rsidP="00346ACC">
            <w:pPr>
              <w:pStyle w:val="Footer"/>
              <w:tabs>
                <w:tab w:val="clear" w:pos="4153"/>
                <w:tab w:val="clear" w:pos="8306"/>
              </w:tabs>
              <w:spacing w:after="120"/>
            </w:pPr>
            <w:r w:rsidRPr="004036DD">
              <w:t>7.</w:t>
            </w:r>
          </w:p>
        </w:tc>
        <w:tc>
          <w:tcPr>
            <w:tcW w:w="2835" w:type="dxa"/>
          </w:tcPr>
          <w:p w:rsidR="00BC2AFA" w:rsidRPr="004036DD" w:rsidRDefault="00FA3CF0" w:rsidP="00346ACC">
            <w:pPr>
              <w:pStyle w:val="Footer"/>
              <w:tabs>
                <w:tab w:val="clear" w:pos="4153"/>
                <w:tab w:val="clear" w:pos="8306"/>
              </w:tabs>
              <w:spacing w:after="120"/>
            </w:pPr>
            <w:r w:rsidRPr="004036DD">
              <w:t>Cita informācija</w:t>
            </w:r>
          </w:p>
        </w:tc>
        <w:tc>
          <w:tcPr>
            <w:tcW w:w="5811" w:type="dxa"/>
          </w:tcPr>
          <w:p w:rsidR="00A06629" w:rsidRPr="004036DD" w:rsidRDefault="0043219F" w:rsidP="00FA3CF0">
            <w:pPr>
              <w:jc w:val="both"/>
              <w:rPr>
                <w:bCs/>
              </w:rPr>
            </w:pPr>
            <w:r w:rsidRPr="004036DD">
              <w:rPr>
                <w:rStyle w:val="Strong"/>
                <w:b w:val="0"/>
              </w:rPr>
              <w:t>Nav</w:t>
            </w:r>
          </w:p>
        </w:tc>
      </w:tr>
    </w:tbl>
    <w:p w:rsidR="00A06629" w:rsidRPr="004036DD" w:rsidRDefault="00A06629" w:rsidP="00866388"/>
    <w:p w:rsidR="00890D9F" w:rsidRPr="004036DD" w:rsidRDefault="00890D9F" w:rsidP="00866388"/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4535"/>
        <w:gridCol w:w="4111"/>
      </w:tblGrid>
      <w:tr w:rsidR="0057104C" w:rsidRPr="004036DD" w:rsidTr="00127158">
        <w:tc>
          <w:tcPr>
            <w:tcW w:w="9072" w:type="dxa"/>
            <w:gridSpan w:val="3"/>
          </w:tcPr>
          <w:p w:rsidR="0057104C" w:rsidRPr="004036DD" w:rsidRDefault="00801292" w:rsidP="00801292">
            <w:pPr>
              <w:spacing w:before="200" w:after="120"/>
              <w:jc w:val="center"/>
            </w:pPr>
            <w:r w:rsidRPr="004036DD">
              <w:rPr>
                <w:b/>
              </w:rPr>
              <w:t>II. Tiesību akta projekta ietekme uz sabiedrību</w:t>
            </w:r>
            <w:r w:rsidR="0057104C" w:rsidRPr="004036DD">
              <w:rPr>
                <w:b/>
              </w:rPr>
              <w:t xml:space="preserve"> </w:t>
            </w:r>
          </w:p>
        </w:tc>
      </w:tr>
      <w:tr w:rsidR="00801292" w:rsidRPr="004036DD" w:rsidTr="00127158">
        <w:tc>
          <w:tcPr>
            <w:tcW w:w="426" w:type="dxa"/>
          </w:tcPr>
          <w:p w:rsidR="00801292" w:rsidRPr="004036DD" w:rsidRDefault="00801292" w:rsidP="008B5D94">
            <w:pPr>
              <w:spacing w:after="120"/>
            </w:pPr>
            <w:r w:rsidRPr="004036DD">
              <w:t>1.</w:t>
            </w:r>
          </w:p>
        </w:tc>
        <w:tc>
          <w:tcPr>
            <w:tcW w:w="4535" w:type="dxa"/>
          </w:tcPr>
          <w:p w:rsidR="00801292" w:rsidRPr="001A6E94" w:rsidRDefault="00801292" w:rsidP="008B5D94">
            <w:pPr>
              <w:spacing w:after="120"/>
            </w:pPr>
            <w:r w:rsidRPr="001A6E94">
              <w:t xml:space="preserve">Sabiedrības </w:t>
            </w:r>
            <w:proofErr w:type="spellStart"/>
            <w:r w:rsidRPr="001A6E94">
              <w:t>mērķgrupa</w:t>
            </w:r>
            <w:proofErr w:type="spellEnd"/>
          </w:p>
        </w:tc>
        <w:tc>
          <w:tcPr>
            <w:tcW w:w="4111" w:type="dxa"/>
          </w:tcPr>
          <w:p w:rsidR="00801292" w:rsidRPr="001A6E94" w:rsidRDefault="001A6E94" w:rsidP="00FB6F7E">
            <w:pPr>
              <w:jc w:val="both"/>
            </w:pPr>
            <w:r w:rsidRPr="001A6E94">
              <w:t>Veselības inspekcija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2.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 xml:space="preserve">Citas sabiedrības grupas (bez </w:t>
            </w:r>
            <w:proofErr w:type="spellStart"/>
            <w:r w:rsidRPr="004036DD">
              <w:t>mērķgrupas</w:t>
            </w:r>
            <w:proofErr w:type="spellEnd"/>
            <w:r w:rsidRPr="004036DD">
              <w:t>), kuras tiesiskais regulējums arī ietekmē vai varētu ietekmēt</w:t>
            </w:r>
          </w:p>
        </w:tc>
        <w:tc>
          <w:tcPr>
            <w:tcW w:w="4111" w:type="dxa"/>
          </w:tcPr>
          <w:p w:rsidR="00B06828" w:rsidRPr="002A3692" w:rsidRDefault="00F62D46" w:rsidP="001E4D33">
            <w:pPr>
              <w:spacing w:after="120"/>
              <w:jc w:val="both"/>
            </w:pPr>
            <w:r w:rsidRPr="00913775">
              <w:t xml:space="preserve">Pašvaldības sniegs viņu rīcībā esošo informāciju par </w:t>
            </w:r>
            <w:r w:rsidR="00F43F25" w:rsidRPr="00913775">
              <w:t xml:space="preserve">pašvaldības teritorijā esošajām peldvietām (par peldvietu apmeklējumu, par </w:t>
            </w:r>
            <w:r w:rsidRPr="00913775">
              <w:t>veiktajiem labiekārtošanas pasākumiem peldvietā</w:t>
            </w:r>
            <w:r w:rsidR="00F43F25" w:rsidRPr="00913775">
              <w:t xml:space="preserve"> </w:t>
            </w:r>
            <w:proofErr w:type="spellStart"/>
            <w:r w:rsidR="00F43F25" w:rsidRPr="00913775">
              <w:t>u.c</w:t>
            </w:r>
            <w:proofErr w:type="spellEnd"/>
            <w:r w:rsidR="00F43F25" w:rsidRPr="00913775">
              <w:t>). Informācijas sniegšanai p</w:t>
            </w:r>
            <w:r w:rsidR="00914B0F" w:rsidRPr="00913775">
              <w:t>ar peldvietām nebūs nepieciešams</w:t>
            </w:r>
            <w:r w:rsidR="00F43F25" w:rsidRPr="00913775">
              <w:t xml:space="preserve"> papildus </w:t>
            </w:r>
            <w:r w:rsidR="00914B0F" w:rsidRPr="00913775">
              <w:t>finansējums</w:t>
            </w:r>
            <w:r w:rsidR="00F43F25" w:rsidRPr="00913775">
              <w:t xml:space="preserve"> no pašvaldību budžet</w:t>
            </w:r>
            <w:r w:rsidR="001E4D33">
              <w:t>a. I</w:t>
            </w:r>
            <w:r w:rsidR="002A3692" w:rsidRPr="00913775">
              <w:t xml:space="preserve">nformācija </w:t>
            </w:r>
            <w:r w:rsidR="001E4D33">
              <w:t xml:space="preserve">no pašvaldībām </w:t>
            </w:r>
            <w:r w:rsidR="002A3692" w:rsidRPr="00913775">
              <w:t xml:space="preserve">nepieciešama, lai Veselības inspekcija varētu identificēt peldvietas, jo tikai pašvaldības var sniegt precīzu informāciju par </w:t>
            </w:r>
            <w:r w:rsidR="00F43F25" w:rsidRPr="00913775">
              <w:t xml:space="preserve"> </w:t>
            </w:r>
            <w:r w:rsidR="002A3692" w:rsidRPr="00913775">
              <w:t>peldvietas apmeklējuma tendencēm, plānotajiem vai veiktajiem labiekārtošanas darbiem.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3.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 xml:space="preserve">Tiesiskā regulējuma finansiālā ietekme </w:t>
            </w:r>
          </w:p>
        </w:tc>
        <w:tc>
          <w:tcPr>
            <w:tcW w:w="4111" w:type="dxa"/>
          </w:tcPr>
          <w:p w:rsidR="00B06828" w:rsidRPr="004036DD" w:rsidRDefault="00D15CD7" w:rsidP="00D15CD7">
            <w:pPr>
              <w:spacing w:after="120"/>
              <w:jc w:val="both"/>
            </w:pPr>
            <w:r>
              <w:t>Noteikumu p</w:t>
            </w:r>
            <w:r w:rsidR="002E6EFB" w:rsidRPr="00920E90">
              <w:t>rojekts šo jomu neskar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4.</w:t>
            </w:r>
          </w:p>
        </w:tc>
        <w:tc>
          <w:tcPr>
            <w:tcW w:w="4535" w:type="dxa"/>
          </w:tcPr>
          <w:p w:rsidR="00B06828" w:rsidRPr="004036DD" w:rsidRDefault="00B06828" w:rsidP="00145986">
            <w:pPr>
              <w:spacing w:after="120"/>
            </w:pPr>
            <w:r w:rsidRPr="004036DD">
              <w:t xml:space="preserve">Tiesiskā regulējuma nefinansiālā ietekme </w:t>
            </w:r>
          </w:p>
        </w:tc>
        <w:tc>
          <w:tcPr>
            <w:tcW w:w="4111" w:type="dxa"/>
          </w:tcPr>
          <w:p w:rsidR="0079069C" w:rsidRPr="004036DD" w:rsidRDefault="00665C32" w:rsidP="00665C32">
            <w:pPr>
              <w:pStyle w:val="Heading1"/>
              <w:jc w:val="both"/>
            </w:pPr>
            <w:r>
              <w:t>Ar n</w:t>
            </w:r>
            <w:r w:rsidR="00D15CD7">
              <w:t>oteikumu p</w:t>
            </w:r>
            <w:r w:rsidR="00D15CD7" w:rsidRPr="00920E90">
              <w:t>rojekt</w:t>
            </w:r>
            <w:r>
              <w:t>u tiek precizēta Veselības inspekcijas rīcība, nodrošinot atbilstošus pārvaldības pasākumus attiecībā uz peldūdens kvalitāti.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5.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>Administratīvās procedūras raksturojums</w:t>
            </w:r>
          </w:p>
        </w:tc>
        <w:tc>
          <w:tcPr>
            <w:tcW w:w="4111" w:type="dxa"/>
          </w:tcPr>
          <w:p w:rsidR="00F70B6E" w:rsidRPr="00913775" w:rsidRDefault="008C6CE2" w:rsidP="00D85ED9">
            <w:pPr>
              <w:autoSpaceDE w:val="0"/>
              <w:autoSpaceDN w:val="0"/>
              <w:adjustRightInd w:val="0"/>
              <w:jc w:val="both"/>
            </w:pPr>
            <w:r w:rsidRPr="00913775">
              <w:t>Ar noteikumu projektu tiek noteikts</w:t>
            </w:r>
            <w:r w:rsidR="00665C32" w:rsidRPr="00913775">
              <w:t xml:space="preserve">, ka Veselības inspekcija </w:t>
            </w:r>
            <w:r w:rsidR="00F70B6E" w:rsidRPr="00913775">
              <w:t xml:space="preserve">katru gadu </w:t>
            </w:r>
            <w:r w:rsidR="00410D1E" w:rsidRPr="00913775">
              <w:t xml:space="preserve">aptaujā </w:t>
            </w:r>
            <w:r w:rsidR="00410D1E" w:rsidRPr="00913775">
              <w:lastRenderedPageBreak/>
              <w:t xml:space="preserve">pašvaldības (izsūtot vēstules, kurās </w:t>
            </w:r>
            <w:r w:rsidR="004142EB" w:rsidRPr="00913775">
              <w:t>lūdz sniegt informāciju par konkrētas pašvaldības</w:t>
            </w:r>
            <w:r w:rsidR="00410D1E" w:rsidRPr="00913775">
              <w:t xml:space="preserve"> teritorijā esošajām peldvietām</w:t>
            </w:r>
            <w:r w:rsidR="004142EB" w:rsidRPr="00913775">
              <w:t xml:space="preserve"> - par peldvietu apmeklējumu tendencēm, kā arī veiktajiem labiekārtošanas pasākumiem peldvietā, lai veicinātu peldēšanos</w:t>
            </w:r>
            <w:r w:rsidR="00410D1E" w:rsidRPr="00913775">
              <w:t xml:space="preserve">) un </w:t>
            </w:r>
            <w:r w:rsidR="004142EB" w:rsidRPr="00913775">
              <w:t xml:space="preserve">līdz 1.decembrim identificē </w:t>
            </w:r>
            <w:r w:rsidR="00F70B6E" w:rsidRPr="00913775">
              <w:t xml:space="preserve">visus peldvietu ūdeņus, ņemot vērā </w:t>
            </w:r>
            <w:r w:rsidR="002F13B3" w:rsidRPr="00913775">
              <w:t xml:space="preserve">pašvaldību </w:t>
            </w:r>
            <w:r w:rsidR="00F70B6E" w:rsidRPr="00913775">
              <w:t>sn</w:t>
            </w:r>
            <w:r w:rsidR="002731F7" w:rsidRPr="00913775">
              <w:t>iegto informāciju par peldvietu, kā arī</w:t>
            </w:r>
            <w:r w:rsidR="00F70B6E" w:rsidRPr="00913775">
              <w:t xml:space="preserve"> izvērtējot peldētāju skaitu un patstāvīga peldēšanās aizlieguma vai ie</w:t>
            </w:r>
            <w:r w:rsidR="001E4D33">
              <w:t>teikuma nepeldēties piemērojumu konkrētajā peldvietā.</w:t>
            </w:r>
          </w:p>
          <w:p w:rsidR="00B06828" w:rsidRPr="002F13B3" w:rsidRDefault="00F70B6E" w:rsidP="00D85ED9">
            <w:pPr>
              <w:autoSpaceDE w:val="0"/>
              <w:autoSpaceDN w:val="0"/>
              <w:adjustRightInd w:val="0"/>
              <w:jc w:val="both"/>
            </w:pPr>
            <w:r w:rsidRPr="00913775">
              <w:t xml:space="preserve">Tiek </w:t>
            </w:r>
            <w:r w:rsidR="004F7890">
              <w:t xml:space="preserve">arī </w:t>
            </w:r>
            <w:r w:rsidRPr="00913775">
              <w:t xml:space="preserve">noteikts, ka Veselības inspekcija </w:t>
            </w:r>
            <w:r w:rsidR="00665C32" w:rsidRPr="00913775">
              <w:t>peldūdens īstermiņa piesārņojuma gadījumos izstrādā procedūras rīcībai un piesārņojuma novēršanai, kā arī tiek noteikts, ka īstermiņa piesārņojums ilgst</w:t>
            </w:r>
            <w:r w:rsidR="00665C32" w:rsidRPr="002F13B3">
              <w:t xml:space="preserve"> ne ilgāk par </w:t>
            </w:r>
            <w:r w:rsidR="00D4671F" w:rsidRPr="002F13B3">
              <w:t xml:space="preserve">aptuveni </w:t>
            </w:r>
            <w:r w:rsidR="00665C32" w:rsidRPr="002F13B3">
              <w:t>72 stundām.</w:t>
            </w:r>
          </w:p>
          <w:p w:rsidR="00D2241C" w:rsidRPr="002F13B3" w:rsidRDefault="00D2241C" w:rsidP="00D2241C">
            <w:pPr>
              <w:autoSpaceDE w:val="0"/>
              <w:autoSpaceDN w:val="0"/>
              <w:adjustRightInd w:val="0"/>
              <w:jc w:val="both"/>
            </w:pPr>
            <w:r w:rsidRPr="002F13B3">
              <w:t xml:space="preserve">Noteikumu projekts arī nosaka, ka peldvietas ūdens pārvaldības pasākumi ietver šādus pasākumus: a) monitoringa kalendāra izstrādāšana; b) peldvietas ūdens monitorings; c) peldvietas ūdens kvalitātes novērtēšana un klasificēšana; d) peldvietas ūdens apraksta izstrādāšana un uzturēšana; e) piesārņojuma identificēšana un novērtēšana, kas varētu ietekmēt peldvietas ūdeni un radīt risku peldētāju veselībai; f) informācijas sniegšana sabiedrībai; g) pasākumi, lai novērstu peldētāju saskari ar piesārņojumu; h) pasākumi, lai samazinātu piesārņojuma risku. </w:t>
            </w:r>
          </w:p>
          <w:p w:rsidR="00D2241C" w:rsidRPr="002F13B3" w:rsidRDefault="00D2241C" w:rsidP="00D2241C">
            <w:pPr>
              <w:autoSpaceDE w:val="0"/>
              <w:autoSpaceDN w:val="0"/>
              <w:adjustRightInd w:val="0"/>
              <w:jc w:val="both"/>
            </w:pPr>
            <w:r w:rsidRPr="002F13B3">
              <w:rPr>
                <w:bCs/>
              </w:rPr>
              <w:t xml:space="preserve">Noteikumu projektā arī tiek precizēts, ka sabiedrība tiek brīdināta gadījumos kad ir paredzams īstermiņa piesārņojums vai ir iespējami tā draudi. Nepieciešamības gadījumā sabiedrības informēšanai medijos tiks izplatīta arī informācija par  </w:t>
            </w:r>
            <w:r w:rsidRPr="002F13B3">
              <w:t xml:space="preserve">peldvietas ūdens kvalitātes novērtēšanas un klasificēšanas rezultātiem pēdējo trīs gadu laikā, </w:t>
            </w:r>
            <w:r w:rsidR="009359E0">
              <w:t>kā arī peldvietas ūdens apraksts</w:t>
            </w:r>
            <w:r w:rsidRPr="002F13B3">
              <w:t xml:space="preserve">, par zemas kvalitātes peldvietu ūdens piesārņojuma cēloņiem, avotiem </w:t>
            </w:r>
            <w:r w:rsidRPr="002F13B3">
              <w:lastRenderedPageBreak/>
              <w:t xml:space="preserve">un veiktajiem pasākumiem, </w:t>
            </w:r>
            <w:r w:rsidR="00AA27E0" w:rsidRPr="002F13B3">
              <w:t>ar mērķi novērst</w:t>
            </w:r>
            <w:r w:rsidRPr="002F13B3">
              <w:t xml:space="preserve"> piesārņojuma cēloņus un ierobežot peldētāju nonākšanu saskarē ar piesārņojumu</w:t>
            </w:r>
            <w:r w:rsidR="00464343" w:rsidRPr="002F13B3">
              <w:t>.</w:t>
            </w:r>
          </w:p>
          <w:p w:rsidR="00D2241C" w:rsidRPr="002F13B3" w:rsidRDefault="00D2241C" w:rsidP="00D2241C">
            <w:pPr>
              <w:autoSpaceDE w:val="0"/>
              <w:autoSpaceDN w:val="0"/>
              <w:adjustRightInd w:val="0"/>
              <w:jc w:val="both"/>
            </w:pPr>
            <w:r w:rsidRPr="002F13B3">
              <w:rPr>
                <w:bCs/>
              </w:rPr>
              <w:t xml:space="preserve">Noteikumu projektā arī ir paredzēts, ka  peldvietu ūdens </w:t>
            </w:r>
            <w:r w:rsidRPr="002F13B3">
              <w:t>klasificēšanu</w:t>
            </w:r>
            <w:r w:rsidR="009359E0">
              <w:t>,</w:t>
            </w:r>
            <w:r w:rsidRPr="002F13B3">
              <w:t xml:space="preserve"> atbilstoši tā kvalitātei</w:t>
            </w:r>
            <w:r w:rsidR="009359E0">
              <w:t>,</w:t>
            </w:r>
            <w:r w:rsidRPr="002F13B3">
              <w:t xml:space="preserve"> Veselības inspekcija pirmo reizi veic ne vēlāk kā līdz 2015.gada peldsezonas beigām.</w:t>
            </w:r>
          </w:p>
          <w:p w:rsidR="00D2241C" w:rsidRPr="002F13B3" w:rsidRDefault="00D2241C" w:rsidP="00D224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13B3">
              <w:rPr>
                <w:bCs/>
              </w:rPr>
              <w:t>Noteikumi projektā noteikts, ka</w:t>
            </w:r>
            <w:r w:rsidR="009359E0">
              <w:rPr>
                <w:bCs/>
              </w:rPr>
              <w:t>,</w:t>
            </w:r>
            <w:r w:rsidRPr="002F13B3">
              <w:rPr>
                <w:bCs/>
              </w:rPr>
              <w:t xml:space="preserve">  lai novērstu ūdens parauga nejaušu piesārņošanu, parauga ņēmējs pielieto aseptiska parauga ņemšanas tehniku, kas ļauj saglabāt parauga trauka sterilitāti</w:t>
            </w:r>
            <w:r w:rsidR="00080E07" w:rsidRPr="002F13B3">
              <w:rPr>
                <w:bCs/>
              </w:rPr>
              <w:t>.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lastRenderedPageBreak/>
              <w:t>6.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 xml:space="preserve">Administratīvo izmaksu monetārs novērtējums </w:t>
            </w:r>
          </w:p>
        </w:tc>
        <w:tc>
          <w:tcPr>
            <w:tcW w:w="4111" w:type="dxa"/>
          </w:tcPr>
          <w:p w:rsidR="00B06828" w:rsidRPr="004036DD" w:rsidRDefault="00D15CD7" w:rsidP="00EB65A4">
            <w:pPr>
              <w:spacing w:after="120"/>
              <w:jc w:val="both"/>
              <w:rPr>
                <w:bCs/>
              </w:rPr>
            </w:pPr>
            <w:r>
              <w:t>Noteikumu p</w:t>
            </w:r>
            <w:r w:rsidRPr="00920E90">
              <w:t>rojekts šo jomu neskar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7.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>Cita informācija</w:t>
            </w:r>
          </w:p>
        </w:tc>
        <w:tc>
          <w:tcPr>
            <w:tcW w:w="4111" w:type="dxa"/>
          </w:tcPr>
          <w:p w:rsidR="00B06828" w:rsidRPr="004036DD" w:rsidRDefault="00B06828" w:rsidP="00EB65A4">
            <w:pPr>
              <w:spacing w:after="120"/>
              <w:jc w:val="both"/>
              <w:rPr>
                <w:bCs/>
              </w:rPr>
            </w:pPr>
            <w:r w:rsidRPr="004036DD">
              <w:rPr>
                <w:bCs/>
              </w:rPr>
              <w:t>Nav</w:t>
            </w:r>
          </w:p>
        </w:tc>
      </w:tr>
    </w:tbl>
    <w:p w:rsidR="00E04DEE" w:rsidRPr="004036DD" w:rsidRDefault="00E04DEE"/>
    <w:p w:rsidR="00437FC7" w:rsidRPr="004036DD" w:rsidRDefault="00437FC7"/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3543"/>
        <w:gridCol w:w="5103"/>
      </w:tblGrid>
      <w:tr w:rsidR="00D632E0" w:rsidRPr="004036DD" w:rsidTr="00127158">
        <w:trPr>
          <w:tblCellSpacing w:w="0" w:type="dxa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V. Tiesību akta projekta atbilstība Latvijas Republikas starptautiskajām saistībām</w:t>
            </w:r>
          </w:p>
        </w:tc>
      </w:tr>
      <w:tr w:rsidR="00D632E0" w:rsidRPr="004036DD" w:rsidTr="0012715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Saistības pret Eiropas Savienību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2A3527" w:rsidP="002A3527">
            <w:pPr>
              <w:spacing w:before="100" w:beforeAutospacing="1" w:after="100" w:afterAutospacing="1"/>
              <w:jc w:val="both"/>
            </w:pPr>
            <w:r w:rsidRPr="004036DD">
              <w:t>Eiropas Parlamenta un Padomes Direktīvas 2006/7/EK (2006.gada 15.februāris) par peldvietu ūdens kvalitātes pārvaldību un Direktīvas 76/160/</w:t>
            </w:r>
            <w:smartTag w:uri="schemas-tilde-lv/tildestengine" w:element="currency2">
              <w:smartTagPr>
                <w:attr w:name="currency_id" w:val="14"/>
                <w:attr w:name="currency_key" w:val="EEK"/>
                <w:attr w:name="currency_value" w:val="1"/>
                <w:attr w:name="currency_text" w:val="EEK"/>
              </w:smartTagPr>
              <w:r w:rsidRPr="004036DD">
                <w:t>EEK</w:t>
              </w:r>
            </w:smartTag>
            <w:r w:rsidRPr="004036DD">
              <w:t xml:space="preserve"> atcelšanu</w:t>
            </w:r>
          </w:p>
        </w:tc>
      </w:tr>
      <w:tr w:rsidR="00D632E0" w:rsidRPr="004036DD" w:rsidTr="0012715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2.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Citas starptautiskās saistības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FE6B88">
            <w:pPr>
              <w:spacing w:before="100" w:beforeAutospacing="1" w:after="100" w:afterAutospacing="1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</w:tr>
      <w:tr w:rsidR="00D632E0" w:rsidRPr="004036DD" w:rsidTr="0012715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3.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</w:t>
            </w:r>
            <w:r w:rsidR="0061709D" w:rsidRPr="004036DD">
              <w:t>Nav</w:t>
            </w:r>
          </w:p>
        </w:tc>
      </w:tr>
    </w:tbl>
    <w:p w:rsidR="00763050" w:rsidRPr="004036DD" w:rsidRDefault="00763050" w:rsidP="0047328D">
      <w:pPr>
        <w:tabs>
          <w:tab w:val="left" w:pos="1305"/>
        </w:tabs>
      </w:pP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1"/>
        <w:gridCol w:w="1601"/>
        <w:gridCol w:w="2902"/>
        <w:gridCol w:w="2828"/>
      </w:tblGrid>
      <w:tr w:rsidR="00D632E0" w:rsidRPr="004036DD" w:rsidTr="00127158">
        <w:trPr>
          <w:trHeight w:val="523"/>
          <w:tblCellSpacing w:w="0" w:type="dxa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FE6B8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1.tabula</w:t>
            </w:r>
          </w:p>
          <w:p w:rsidR="00D632E0" w:rsidRPr="004036DD" w:rsidRDefault="00D632E0" w:rsidP="00FE6B88">
            <w:pPr>
              <w:spacing w:before="100" w:beforeAutospacing="1" w:after="100" w:afterAutospacing="1"/>
              <w:jc w:val="center"/>
            </w:pPr>
            <w:r w:rsidRPr="004036DD">
              <w:rPr>
                <w:b/>
              </w:rPr>
              <w:t>Tiesību akta projekta atbilstība ES tiesību aktiem</w:t>
            </w:r>
          </w:p>
        </w:tc>
      </w:tr>
      <w:tr w:rsidR="00D632E0" w:rsidRPr="004036DD" w:rsidTr="00127158">
        <w:trPr>
          <w:trHeight w:val="125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Attiecīgā ES tiesību akta datums, numurs un nosaukums</w:t>
            </w:r>
          </w:p>
        </w:tc>
        <w:tc>
          <w:tcPr>
            <w:tcW w:w="7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2A3527">
            <w:pPr>
              <w:spacing w:before="100" w:beforeAutospacing="1" w:after="100" w:afterAutospacing="1"/>
            </w:pPr>
            <w:r w:rsidRPr="004036DD">
              <w:t> </w:t>
            </w:r>
            <w:r w:rsidR="002A3527" w:rsidRPr="004036DD">
              <w:t>Eiropas Parlamenta un Padomes Direktīvas 2006/7/EK (2006.gada 15.februāris) par peldvietu ūdens kvalitātes pārvaldību un Direktīvas 76/160/</w:t>
            </w:r>
            <w:smartTag w:uri="schemas-tilde-lv/tildestengine" w:element="currency2">
              <w:smartTagPr>
                <w:attr w:name="currency_text" w:val="EEK"/>
                <w:attr w:name="currency_value" w:val="1"/>
                <w:attr w:name="currency_key" w:val="EEK"/>
                <w:attr w:name="currency_id" w:val="14"/>
              </w:smartTagPr>
              <w:r w:rsidR="002A3527" w:rsidRPr="004036DD">
                <w:t>EEK</w:t>
              </w:r>
            </w:smartTag>
            <w:r w:rsidR="002A3527" w:rsidRPr="004036DD">
              <w:t xml:space="preserve"> atcelšanu.</w:t>
            </w:r>
          </w:p>
        </w:tc>
      </w:tr>
      <w:tr w:rsidR="00D632E0" w:rsidRPr="004036DD" w:rsidTr="00127158">
        <w:trPr>
          <w:trHeight w:val="163"/>
          <w:tblCellSpacing w:w="0" w:type="dxa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3" w:lineRule="atLeast"/>
            </w:pPr>
            <w:r w:rsidRPr="004036DD">
              <w:t>  </w:t>
            </w:r>
          </w:p>
        </w:tc>
      </w:tr>
      <w:tr w:rsidR="00D632E0" w:rsidRPr="004036DD" w:rsidTr="00127158">
        <w:trPr>
          <w:trHeight w:val="165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A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B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C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D</w:t>
            </w:r>
          </w:p>
        </w:tc>
      </w:tr>
      <w:tr w:rsidR="00D632E0" w:rsidRPr="004036DD" w:rsidTr="00127158">
        <w:trPr>
          <w:trHeight w:val="97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7162B0">
            <w:pPr>
              <w:spacing w:before="100" w:beforeAutospacing="1" w:after="100" w:afterAutospacing="1"/>
              <w:ind w:left="142"/>
            </w:pPr>
            <w:r w:rsidRPr="004036DD">
              <w:t>Attiecīgā ES tiesību akta panta numurs (uzskaitot katru tiesību akta</w:t>
            </w:r>
            <w:r w:rsidRPr="004036DD">
              <w:br/>
              <w:t>vienību – pantu, daļu, punktu, apakšpunktu)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A00743" w:rsidP="007162B0">
            <w:pPr>
              <w:spacing w:before="100" w:beforeAutospacing="1" w:after="100" w:afterAutospacing="1"/>
              <w:ind w:left="87"/>
            </w:pPr>
            <w:r w:rsidRPr="004036DD">
              <w:t>Projekta vienība, kas pārņem vai ievieš katru šīs tabulas A ailē minēto ES tiesību akta vienību</w:t>
            </w:r>
            <w:r>
              <w:t xml:space="preserve">, vai tiesību akts, kur attiecīgā </w:t>
            </w:r>
            <w:r>
              <w:lastRenderedPageBreak/>
              <w:t>ES tiesību akta vienība pārņemta vai ieviesta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587" w:rsidRPr="004036DD" w:rsidRDefault="00371587" w:rsidP="00371587">
            <w:pPr>
              <w:spacing w:before="100" w:beforeAutospacing="1" w:after="100" w:afterAutospacing="1"/>
              <w:ind w:left="45"/>
            </w:pPr>
            <w:r w:rsidRPr="004036DD">
              <w:lastRenderedPageBreak/>
              <w:t>Informācija par to, vai šīs tabulas A ailē minētās ES tiesību akta vienības tiek pārņemtas vai ieviestas pilnībā vai daļēji.</w:t>
            </w:r>
          </w:p>
          <w:p w:rsidR="00371587" w:rsidRPr="004036DD" w:rsidRDefault="00371587" w:rsidP="00371587">
            <w:pPr>
              <w:spacing w:before="100" w:beforeAutospacing="1" w:after="100" w:afterAutospacing="1"/>
              <w:ind w:left="45"/>
            </w:pPr>
            <w:r w:rsidRPr="004036DD">
              <w:t> </w:t>
            </w:r>
          </w:p>
          <w:p w:rsidR="00371587" w:rsidRPr="004036DD" w:rsidRDefault="00371587" w:rsidP="00371587">
            <w:pPr>
              <w:spacing w:before="100" w:beforeAutospacing="1" w:after="100" w:afterAutospacing="1"/>
              <w:ind w:left="45"/>
            </w:pPr>
            <w:r w:rsidRPr="004036DD">
              <w:t xml:space="preserve">Ja attiecīgā ES tiesību akta vienība tiek </w:t>
            </w:r>
            <w:r>
              <w:t xml:space="preserve">pārņemta vai </w:t>
            </w:r>
            <w:r>
              <w:lastRenderedPageBreak/>
              <w:t xml:space="preserve">ieviesta daļēji, </w:t>
            </w:r>
            <w:r w:rsidRPr="004036DD">
              <w:t>sniedz attiecīgu skaidrojumu, kā arī precīzi norāda, kad un kādā veidā ES tiesību akta vienība tiks pārņemta vai ieviesta pilnībā.</w:t>
            </w:r>
          </w:p>
          <w:p w:rsidR="00D632E0" w:rsidRPr="004036DD" w:rsidRDefault="00371587" w:rsidP="00371587">
            <w:pPr>
              <w:spacing w:before="100" w:beforeAutospacing="1" w:after="100" w:afterAutospacing="1"/>
              <w:ind w:left="45"/>
            </w:pPr>
            <w:r w:rsidRPr="004036DD">
              <w:t>Norāda institūciju, kas ir atbildīga par šo saistību izpildi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587" w:rsidRPr="004036DD" w:rsidRDefault="00371587" w:rsidP="00371587">
            <w:pPr>
              <w:spacing w:before="100" w:beforeAutospacing="1" w:after="100" w:afterAutospacing="1"/>
              <w:ind w:left="120"/>
            </w:pPr>
            <w:r w:rsidRPr="004036DD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371587" w:rsidRPr="004036DD" w:rsidRDefault="00371587" w:rsidP="00371587">
            <w:pPr>
              <w:spacing w:before="100" w:beforeAutospacing="1" w:after="100" w:afterAutospacing="1"/>
              <w:ind w:left="120"/>
            </w:pPr>
            <w:r w:rsidRPr="004036DD">
              <w:t>Ja projekts satur stingrākas prasības nek</w:t>
            </w:r>
            <w:r>
              <w:t xml:space="preserve">ā attiecīgais ES tiesību akts, </w:t>
            </w:r>
            <w:r w:rsidRPr="004036DD">
              <w:t xml:space="preserve"> norāda </w:t>
            </w:r>
            <w:r w:rsidRPr="004036DD">
              <w:lastRenderedPageBreak/>
              <w:t>pamatojumu un samērīgumu.</w:t>
            </w:r>
          </w:p>
          <w:p w:rsidR="00D632E0" w:rsidRPr="004036DD" w:rsidRDefault="00371587" w:rsidP="00371587">
            <w:pPr>
              <w:spacing w:before="100" w:beforeAutospacing="1" w:after="100" w:afterAutospacing="1"/>
              <w:ind w:left="120"/>
            </w:pPr>
            <w:r w:rsidRPr="004036DD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C95998" w:rsidRPr="00E17726" w:rsidTr="007652B9">
        <w:trPr>
          <w:trHeight w:val="90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998" w:rsidRPr="005E7088" w:rsidRDefault="00C95998" w:rsidP="007652B9">
            <w:pPr>
              <w:spacing w:before="100" w:beforeAutospacing="1" w:after="100" w:afterAutospacing="1" w:line="191" w:lineRule="atLeast"/>
              <w:ind w:left="142"/>
              <w:rPr>
                <w:bCs/>
              </w:rPr>
            </w:pPr>
            <w:r>
              <w:rPr>
                <w:bCs/>
              </w:rPr>
              <w:lastRenderedPageBreak/>
              <w:t>2. panta                   5. 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998" w:rsidRDefault="00B17F07" w:rsidP="007652B9">
            <w:pPr>
              <w:ind w:left="87"/>
            </w:pPr>
            <w:r>
              <w:t>1</w:t>
            </w:r>
            <w:r w:rsidR="00C95998">
              <w:t>. 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998" w:rsidRPr="00E17726" w:rsidRDefault="00C95998" w:rsidP="007652B9">
            <w:pPr>
              <w:spacing w:before="100" w:beforeAutospacing="1" w:after="100" w:afterAutospacing="1" w:line="191" w:lineRule="atLeast"/>
              <w:ind w:left="45"/>
            </w:pPr>
            <w:r w:rsidRPr="00E17726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998" w:rsidRPr="00E17726" w:rsidRDefault="00C95998" w:rsidP="007652B9">
            <w:pPr>
              <w:spacing w:before="100" w:beforeAutospacing="1" w:after="100" w:afterAutospacing="1" w:line="191" w:lineRule="atLeast"/>
              <w:ind w:left="120"/>
            </w:pPr>
            <w:r w:rsidRPr="00E17726">
              <w:t>Neparedz stingrākas prasības nekā minētās ES tiesību akta vienības</w:t>
            </w:r>
          </w:p>
        </w:tc>
      </w:tr>
      <w:tr w:rsidR="00E174FC" w:rsidRPr="00E17726" w:rsidTr="0006588F">
        <w:trPr>
          <w:trHeight w:val="90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06588F">
            <w:pPr>
              <w:spacing w:before="100" w:beforeAutospacing="1" w:after="100" w:afterAutospacing="1"/>
              <w:ind w:left="142"/>
            </w:pPr>
            <w:r w:rsidRPr="009E3729">
              <w:t>1.panta 3.punkts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06588F">
            <w:pPr>
              <w:spacing w:before="100" w:beforeAutospacing="1" w:after="100" w:afterAutospacing="1"/>
              <w:ind w:left="87"/>
            </w:pPr>
            <w:r w:rsidRPr="009E3729">
              <w:t>2.</w:t>
            </w:r>
            <w:r w:rsidRPr="009E3729">
              <w:rPr>
                <w:vertAlign w:val="superscript"/>
              </w:rPr>
              <w:t xml:space="preserve"> </w:t>
            </w:r>
            <w:r w:rsidRPr="009E3729">
              <w:t>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0658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3729">
              <w:rPr>
                <w:rFonts w:ascii="Times New Roman" w:hAnsi="Times New Roman"/>
                <w:sz w:val="24"/>
                <w:szCs w:val="24"/>
              </w:rPr>
              <w:t>Tiek pārņemtas daļēji. Pilnībā tiek pārņemtas ar Ministru kabineta noteikumu projektu „Grozījumi Ministru kabineta 2008.gada 17.jūnija noteikumos Nr.454 „Peldvietu higiēnas prasības”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06588F">
            <w:pPr>
              <w:spacing w:before="100" w:beforeAutospacing="1" w:after="100" w:afterAutospacing="1"/>
              <w:ind w:left="120"/>
              <w:jc w:val="both"/>
            </w:pPr>
            <w:r w:rsidRPr="009E3729">
              <w:t>Neparedz stingrākas prasības nekā minētās ES tiesību akta vienības</w:t>
            </w:r>
          </w:p>
        </w:tc>
      </w:tr>
      <w:tr w:rsidR="00E174FC" w:rsidRPr="00E17726" w:rsidTr="0006588F">
        <w:trPr>
          <w:trHeight w:val="90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06588F">
            <w:pPr>
              <w:spacing w:before="100" w:beforeAutospacing="1" w:after="100" w:afterAutospacing="1"/>
              <w:ind w:left="142"/>
            </w:pPr>
            <w:r w:rsidRPr="009E3729">
              <w:rPr>
                <w:bCs/>
              </w:rPr>
              <w:t>2.panta 3.punkts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06588F">
            <w:pPr>
              <w:spacing w:before="100" w:beforeAutospacing="1" w:after="100" w:afterAutospacing="1"/>
              <w:ind w:left="87"/>
            </w:pPr>
            <w:r w:rsidRPr="009E3729">
              <w:t>2.</w:t>
            </w:r>
            <w:r w:rsidRPr="009E3729">
              <w:rPr>
                <w:vertAlign w:val="superscript"/>
              </w:rPr>
              <w:t xml:space="preserve"> </w:t>
            </w:r>
            <w:r w:rsidRPr="009E3729">
              <w:t>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06588F">
            <w:pPr>
              <w:spacing w:before="100" w:beforeAutospacing="1" w:after="100" w:afterAutospacing="1"/>
              <w:ind w:left="45"/>
            </w:pPr>
            <w:r w:rsidRPr="009E3729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06588F">
            <w:pPr>
              <w:spacing w:before="100" w:beforeAutospacing="1" w:after="100" w:afterAutospacing="1"/>
              <w:ind w:left="120"/>
              <w:jc w:val="both"/>
            </w:pPr>
            <w:r w:rsidRPr="009E3729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90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162B0">
            <w:pPr>
              <w:spacing w:before="100" w:beforeAutospacing="1" w:after="100" w:afterAutospacing="1"/>
              <w:ind w:left="142"/>
            </w:pPr>
            <w:r>
              <w:t xml:space="preserve">2.panta 8.punkts, </w:t>
            </w:r>
            <w:proofErr w:type="spellStart"/>
            <w:r>
              <w:t>IV.p</w:t>
            </w:r>
            <w:r w:rsidRPr="00E17726">
              <w:t>ielikuma</w:t>
            </w:r>
            <w:proofErr w:type="spellEnd"/>
            <w:r w:rsidRPr="00E17726">
              <w:t xml:space="preserve"> 4.punkts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87"/>
            </w:pPr>
            <w:r>
              <w:t>4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45"/>
            </w:pPr>
            <w:r w:rsidRPr="00E17726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20"/>
            </w:pPr>
            <w:r w:rsidRPr="00E17726">
              <w:t>Neparedz stingrākas prasības nekā minētās ES tiesību akta vienības</w:t>
            </w:r>
          </w:p>
        </w:tc>
      </w:tr>
      <w:tr w:rsidR="00E174FC" w:rsidRPr="00E17726" w:rsidTr="00127158">
        <w:trPr>
          <w:trHeight w:val="90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42"/>
            </w:pPr>
            <w:r w:rsidRPr="00E17726">
              <w:t>2.panta 12.punkts, 8.panta 2.punkts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87"/>
            </w:pPr>
            <w:r>
              <w:t>6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45"/>
            </w:pPr>
            <w:r w:rsidRPr="00310FF2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120"/>
            </w:pPr>
            <w:r w:rsidRPr="00916313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EA029F">
            <w:pPr>
              <w:ind w:left="142"/>
            </w:pPr>
            <w:r w:rsidRPr="009E3729">
              <w:t xml:space="preserve">3.panta </w:t>
            </w:r>
          </w:p>
          <w:p w:rsidR="00E174FC" w:rsidRPr="009E3729" w:rsidRDefault="00E174FC" w:rsidP="00EA029F">
            <w:pPr>
              <w:ind w:left="142"/>
            </w:pPr>
            <w:r w:rsidRPr="009E3729">
              <w:t>1.punkts</w:t>
            </w:r>
          </w:p>
          <w:p w:rsidR="00E174FC" w:rsidRPr="009E3729" w:rsidRDefault="00E174FC" w:rsidP="00EA029F">
            <w:pPr>
              <w:ind w:left="142"/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EA029F">
            <w:pPr>
              <w:ind w:left="87"/>
            </w:pPr>
            <w:r w:rsidRPr="009E3729">
              <w:t>2.punkts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EA029F">
            <w:pPr>
              <w:ind w:left="45"/>
              <w:jc w:val="both"/>
            </w:pPr>
            <w:r w:rsidRPr="009E3729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9E3729" w:rsidRDefault="00E174FC" w:rsidP="00EA029F">
            <w:pPr>
              <w:ind w:left="120"/>
              <w:jc w:val="both"/>
            </w:pPr>
            <w:r w:rsidRPr="009E3729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142"/>
            </w:pPr>
            <w:r w:rsidRPr="00E17726">
              <w:t>3.panta 7.punkts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87"/>
            </w:pPr>
            <w:r>
              <w:t>3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45"/>
            </w:pPr>
            <w:r w:rsidRPr="00E17726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120"/>
              <w:jc w:val="both"/>
            </w:pPr>
            <w:r w:rsidRPr="00E17726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142"/>
            </w:pPr>
            <w:r>
              <w:t>5. panta                   2. 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EA029F">
            <w:pPr>
              <w:spacing w:before="100" w:beforeAutospacing="1" w:after="100" w:afterAutospacing="1" w:line="191" w:lineRule="atLeast"/>
              <w:ind w:left="87"/>
            </w:pPr>
            <w:r>
              <w:t>14. 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45"/>
            </w:pPr>
            <w:r w:rsidRPr="00E17726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120"/>
              <w:jc w:val="both"/>
            </w:pPr>
            <w:r w:rsidRPr="00E17726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142"/>
            </w:pPr>
            <w:r w:rsidRPr="00E17726">
              <w:t>5.panta 4.punkta (a) apakšpunkta (i) 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87"/>
            </w:pPr>
            <w:r>
              <w:t>5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45"/>
            </w:pPr>
            <w:r w:rsidRPr="00E17726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E17726" w:rsidRDefault="00E174FC" w:rsidP="007652B9">
            <w:pPr>
              <w:ind w:left="119"/>
              <w:jc w:val="both"/>
            </w:pPr>
            <w:r w:rsidRPr="00E17726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42"/>
            </w:pPr>
            <w:r w:rsidRPr="00E17726">
              <w:t>7.pants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87"/>
            </w:pPr>
            <w:r>
              <w:t>6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45"/>
            </w:pPr>
            <w:r w:rsidRPr="00E17726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120"/>
            </w:pPr>
            <w:r w:rsidRPr="00E17726">
              <w:t xml:space="preserve">Neparedz stingrākas </w:t>
            </w:r>
            <w:r w:rsidRPr="00E17726">
              <w:lastRenderedPageBreak/>
              <w:t>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42"/>
            </w:pPr>
            <w:r>
              <w:lastRenderedPageBreak/>
              <w:t>8. panta                 2. 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87"/>
            </w:pPr>
            <w:r>
              <w:t>6. 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45"/>
            </w:pPr>
            <w:r w:rsidRPr="00E17726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E17726" w:rsidRDefault="00E174FC" w:rsidP="007652B9">
            <w:pPr>
              <w:spacing w:before="100" w:beforeAutospacing="1" w:after="100" w:afterAutospacing="1"/>
              <w:ind w:left="120"/>
            </w:pPr>
            <w:r w:rsidRPr="00E17726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42"/>
            </w:pPr>
            <w:r w:rsidRPr="00E17726">
              <w:t>9.panta 1.punkts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87"/>
            </w:pPr>
            <w:r>
              <w:t>6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45"/>
            </w:pPr>
            <w:r w:rsidRPr="00310FF2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120"/>
            </w:pPr>
            <w:r w:rsidRPr="00916313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42"/>
            </w:pPr>
            <w:r w:rsidRPr="00E17726">
              <w:t>9.panta 2.punkts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ind w:left="87"/>
            </w:pPr>
            <w:r>
              <w:t>7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45"/>
            </w:pPr>
            <w:r w:rsidRPr="00310FF2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120"/>
            </w:pPr>
            <w:r w:rsidRPr="00916313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27" w:right="25"/>
            </w:pPr>
            <w:r w:rsidRPr="00E17726">
              <w:t>12.panta 1.punkta (c) apakšpunkta trešais ievilkums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E17726" w:rsidRDefault="00E174FC" w:rsidP="001F670C">
            <w:pPr>
              <w:spacing w:before="100" w:beforeAutospacing="1" w:after="100" w:afterAutospacing="1" w:line="191" w:lineRule="atLeast"/>
              <w:ind w:left="87"/>
            </w:pPr>
            <w:r>
              <w:t>13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45"/>
            </w:pPr>
            <w:r w:rsidRPr="00555B02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120"/>
            </w:pPr>
            <w:r w:rsidRPr="00E1071F">
              <w:t>Neparedz stingrākas prasības nekā minētās ES tiesību akta vienības</w:t>
            </w:r>
          </w:p>
        </w:tc>
      </w:tr>
      <w:tr w:rsidR="00E174FC" w:rsidRPr="00E17726" w:rsidTr="00881883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42" w:right="25"/>
            </w:pPr>
            <w:r w:rsidRPr="00E17726">
              <w:t>12.panta 2.punkta (b) apakšpunkts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87"/>
            </w:pPr>
            <w:r>
              <w:t>10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45"/>
            </w:pPr>
            <w:r w:rsidRPr="00310FF2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120"/>
            </w:pPr>
            <w:r w:rsidRPr="00916313">
              <w:t>Neparedz stingrākas prasības nekā minētās ES tiesību akta vienības</w:t>
            </w:r>
          </w:p>
        </w:tc>
      </w:tr>
      <w:tr w:rsidR="00E174FC" w:rsidRPr="00E17726" w:rsidTr="00881883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42" w:right="25"/>
            </w:pPr>
            <w:r w:rsidRPr="00E17726">
              <w:t>12.panta 2.punkta (c) apakšpunkts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1F670C">
            <w:pPr>
              <w:spacing w:before="100" w:beforeAutospacing="1" w:after="100" w:afterAutospacing="1" w:line="191" w:lineRule="atLeast"/>
              <w:ind w:left="87"/>
            </w:pPr>
            <w:r>
              <w:t>11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45"/>
            </w:pPr>
            <w:r w:rsidRPr="00310FF2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120"/>
            </w:pPr>
            <w:r w:rsidRPr="00916313">
              <w:t>Neparedz stingrākas prasības nekā minētās ES tiesību akta vienības</w:t>
            </w:r>
          </w:p>
        </w:tc>
      </w:tr>
      <w:tr w:rsidR="00E174FC" w:rsidRPr="00E17726" w:rsidTr="00881883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7162B0">
            <w:pPr>
              <w:spacing w:before="100" w:beforeAutospacing="1" w:after="100" w:afterAutospacing="1" w:line="191" w:lineRule="atLeast"/>
              <w:ind w:left="142"/>
            </w:pPr>
            <w:r w:rsidRPr="00E17726">
              <w:rPr>
                <w:bCs/>
              </w:rPr>
              <w:t>12.pant</w:t>
            </w:r>
            <w:r>
              <w:rPr>
                <w:bCs/>
              </w:rPr>
              <w:t>a 2.punkta (d) apakšpunkta trešais</w:t>
            </w:r>
            <w:r w:rsidRPr="00E17726">
              <w:rPr>
                <w:bCs/>
              </w:rPr>
              <w:t xml:space="preserve"> ievilkums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E174FC" w:rsidP="001F670C">
            <w:pPr>
              <w:ind w:left="87"/>
            </w:pPr>
            <w:r>
              <w:t>12</w:t>
            </w:r>
            <w:r w:rsidRPr="00E17726">
              <w:t>.punkts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5B53DE">
            <w:pPr>
              <w:ind w:left="45"/>
            </w:pPr>
            <w:r w:rsidRPr="00310FF2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DA2036">
            <w:pPr>
              <w:ind w:left="120"/>
            </w:pPr>
            <w:r w:rsidRPr="00916313">
              <w:t>Neparedz stingrākas prasības nekā minētās ES tiesību akta vienības</w:t>
            </w:r>
          </w:p>
        </w:tc>
      </w:tr>
      <w:tr w:rsidR="00E174FC" w:rsidRPr="00E17726" w:rsidTr="007652B9">
        <w:trPr>
          <w:trHeight w:val="191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127" w:right="25"/>
            </w:pPr>
            <w:proofErr w:type="spellStart"/>
            <w:r>
              <w:t>V.pielikuma</w:t>
            </w:r>
            <w:proofErr w:type="spellEnd"/>
            <w:r>
              <w:t xml:space="preserve"> 3.punkta trešais</w:t>
            </w:r>
            <w:r w:rsidRPr="00E17726">
              <w:t xml:space="preserve"> paragrāfs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Default="00E174FC" w:rsidP="007652B9">
            <w:pPr>
              <w:spacing w:before="100" w:beforeAutospacing="1" w:after="100" w:afterAutospacing="1" w:line="191" w:lineRule="atLeast"/>
              <w:ind w:left="87"/>
            </w:pPr>
            <w:r>
              <w:t>15</w:t>
            </w:r>
            <w:r w:rsidRPr="00E17726">
              <w:t>. punkts</w:t>
            </w:r>
          </w:p>
          <w:p w:rsidR="00E174FC" w:rsidRPr="00E17726" w:rsidRDefault="00E174FC" w:rsidP="007652B9">
            <w:pPr>
              <w:spacing w:before="100" w:beforeAutospacing="1" w:after="100" w:afterAutospacing="1" w:line="191" w:lineRule="atLeast"/>
              <w:ind w:left="87"/>
            </w:pP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45"/>
            </w:pPr>
            <w:r w:rsidRPr="00555B02">
              <w:t>Tiek pārņemtas pilnībā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120"/>
            </w:pPr>
            <w:r w:rsidRPr="00E1071F">
              <w:t>Neparedz stingrākas prasības nekā minētās ES tiesību akta vienības</w:t>
            </w:r>
          </w:p>
        </w:tc>
      </w:tr>
      <w:tr w:rsidR="00E174FC" w:rsidRPr="004036DD" w:rsidTr="00127158">
        <w:trPr>
          <w:trHeight w:val="281"/>
          <w:tblCellSpacing w:w="0" w:type="dxa"/>
        </w:trPr>
        <w:tc>
          <w:tcPr>
            <w:tcW w:w="6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4036DD" w:rsidRDefault="00E174FC" w:rsidP="007162B0">
            <w:pPr>
              <w:ind w:left="142"/>
            </w:pPr>
            <w:r w:rsidRPr="004036DD">
              <w:t>Kā ir izmantota ES tiesību aktā paredzētā rīcības brīvība dalībvalstij pārņemt vai ieviest noteiktas ES tiesību akta normas.</w:t>
            </w:r>
          </w:p>
          <w:p w:rsidR="00E174FC" w:rsidRPr="004036DD" w:rsidRDefault="00E174FC" w:rsidP="007162B0">
            <w:pPr>
              <w:ind w:left="142"/>
            </w:pPr>
            <w:r w:rsidRPr="004036DD">
              <w:t>Kādēļ?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4036DD" w:rsidRDefault="00E174FC" w:rsidP="005E7255">
            <w:pPr>
              <w:spacing w:before="100" w:beforeAutospacing="1" w:after="100" w:afterAutospacing="1"/>
            </w:pPr>
            <w:r w:rsidRPr="004036DD">
              <w:t> </w:t>
            </w:r>
            <w:r>
              <w:t>Noteikumu p</w:t>
            </w:r>
            <w:r w:rsidRPr="00920E90">
              <w:t>rojekts šo jomu neskar</w:t>
            </w:r>
          </w:p>
        </w:tc>
      </w:tr>
      <w:tr w:rsidR="00E174FC" w:rsidRPr="004036DD" w:rsidTr="00127158">
        <w:trPr>
          <w:trHeight w:val="913"/>
          <w:tblCellSpacing w:w="0" w:type="dxa"/>
        </w:trPr>
        <w:tc>
          <w:tcPr>
            <w:tcW w:w="6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4036DD" w:rsidRDefault="00E174FC" w:rsidP="007162B0">
            <w:pPr>
              <w:spacing w:before="100" w:beforeAutospacing="1" w:after="100" w:afterAutospacing="1"/>
              <w:ind w:left="142"/>
            </w:pPr>
            <w:r w:rsidRPr="004036DD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projektiem.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4036DD" w:rsidRDefault="00E174FC" w:rsidP="005E7255">
            <w:pPr>
              <w:spacing w:before="100" w:beforeAutospacing="1" w:after="100" w:afterAutospacing="1"/>
            </w:pPr>
            <w:r w:rsidRPr="004036DD">
              <w:t> </w:t>
            </w:r>
            <w:r>
              <w:t>Noteikumu p</w:t>
            </w:r>
            <w:r w:rsidRPr="00920E90">
              <w:t>rojekts šo jomu neskar</w:t>
            </w:r>
          </w:p>
        </w:tc>
      </w:tr>
      <w:tr w:rsidR="00E174FC" w:rsidRPr="004036DD" w:rsidTr="00127158">
        <w:trPr>
          <w:trHeight w:val="372"/>
          <w:tblCellSpacing w:w="0" w:type="dxa"/>
        </w:trPr>
        <w:tc>
          <w:tcPr>
            <w:tcW w:w="6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4036DD" w:rsidRDefault="00E174FC" w:rsidP="00D632E0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4036DD" w:rsidRDefault="00E174FC" w:rsidP="009A55E1">
            <w:r w:rsidRPr="004036DD">
              <w:t xml:space="preserve">Citas Direktīvas 2006/7/EK normas </w:t>
            </w:r>
            <w:r>
              <w:t xml:space="preserve">jau </w:t>
            </w:r>
            <w:r w:rsidRPr="004036DD">
              <w:t>ir pārņemtas Ministru kabineta 2010.gada 6.jūlija noteikumos Nr.608 „Noteikumi par peldvietu ūdens monitoringu, kvalitātes nodrošināšanu un prasībām sabiedrības informēšanai”</w:t>
            </w:r>
          </w:p>
        </w:tc>
      </w:tr>
    </w:tbl>
    <w:p w:rsidR="00D632E0" w:rsidRPr="004036DD" w:rsidRDefault="00D632E0" w:rsidP="0047328D"/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4"/>
        <w:gridCol w:w="3108"/>
        <w:gridCol w:w="3940"/>
      </w:tblGrid>
      <w:tr w:rsidR="00D632E0" w:rsidRPr="004036DD" w:rsidTr="00127158">
        <w:trPr>
          <w:trHeight w:val="792"/>
          <w:tblCellSpacing w:w="0" w:type="dxa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CA7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2.tabula</w:t>
            </w:r>
          </w:p>
          <w:p w:rsidR="00D632E0" w:rsidRPr="004036DD" w:rsidRDefault="00D632E0" w:rsidP="00CA7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Ar tiesību akta projektu uzņemtās saistības, kas izriet no starptautiskajiem tiesību aktiem vai starptautiskas institūcijas vai organizācijas dokumentiem</w:t>
            </w:r>
          </w:p>
          <w:p w:rsidR="00D632E0" w:rsidRPr="004036DD" w:rsidRDefault="00D632E0" w:rsidP="00CA7D2A">
            <w:pPr>
              <w:spacing w:before="100" w:beforeAutospacing="1" w:after="100" w:afterAutospacing="1"/>
              <w:jc w:val="center"/>
            </w:pPr>
            <w:r w:rsidRPr="004036DD">
              <w:rPr>
                <w:b/>
              </w:rPr>
              <w:t>Pasākumi šo saistību izpildei</w:t>
            </w:r>
          </w:p>
        </w:tc>
      </w:tr>
      <w:tr w:rsidR="00D632E0" w:rsidRPr="004036DD" w:rsidTr="00127158">
        <w:trPr>
          <w:trHeight w:val="546"/>
          <w:tblCellSpacing w:w="0" w:type="dxa"/>
        </w:trPr>
        <w:tc>
          <w:tcPr>
            <w:tcW w:w="5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5E7255">
            <w:pPr>
              <w:spacing w:before="100" w:beforeAutospacing="1" w:after="100" w:afterAutospacing="1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</w:tr>
      <w:tr w:rsidR="00D632E0" w:rsidRPr="004036DD" w:rsidTr="00127158">
        <w:trPr>
          <w:trHeight w:val="163"/>
          <w:tblCellSpacing w:w="0" w:type="dxa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3" w:lineRule="atLeast"/>
            </w:pPr>
            <w:r w:rsidRPr="004036DD">
              <w:t>  </w:t>
            </w:r>
          </w:p>
        </w:tc>
      </w:tr>
      <w:tr w:rsidR="00D632E0" w:rsidRPr="004036DD" w:rsidTr="00127158">
        <w:trPr>
          <w:trHeight w:val="34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B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</w:t>
            </w:r>
          </w:p>
        </w:tc>
      </w:tr>
      <w:tr w:rsidR="00D632E0" w:rsidRPr="004036DD" w:rsidTr="00127158">
        <w:trPr>
          <w:trHeight w:val="34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Starptautiskās saistības (pēc būtības), kas izriet no norādītā starptautiskā dokumenta.</w:t>
            </w:r>
          </w:p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Konkrēti veicamie pasākumi vai uzdevumi, kas nepieciešami šo starptautisko saistību izpildei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</w:t>
            </w:r>
            <w:r w:rsidR="00FA4ADA" w:rsidRPr="00920E90"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Informācija par to, vai starptautiskās saistības, kas minētas šīs tabulas A ailē, tiek izpildītas pilnībā vai daļēji.</w:t>
            </w:r>
          </w:p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Norāda institūciju, kas ir atbildīga par šo saistību izpildi pilnībā</w:t>
            </w:r>
          </w:p>
        </w:tc>
      </w:tr>
      <w:tr w:rsidR="00D632E0" w:rsidRPr="004036DD" w:rsidTr="00127158">
        <w:trPr>
          <w:trHeight w:val="512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15CD7" w:rsidP="00D632E0">
            <w:pPr>
              <w:spacing w:before="100" w:beforeAutospacing="1" w:after="100" w:afterAutospacing="1"/>
            </w:pPr>
            <w:r>
              <w:t>Noteikumu p</w:t>
            </w:r>
            <w:r w:rsidRPr="00920E90">
              <w:t>rojekts šo jomu neskar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5E7255">
            <w:pPr>
              <w:spacing w:before="100" w:beforeAutospacing="1" w:after="100" w:afterAutospacing="1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</w:tr>
      <w:tr w:rsidR="00D632E0" w:rsidRPr="004036DD" w:rsidTr="00127158">
        <w:trPr>
          <w:trHeight w:val="16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 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 </w:t>
            </w:r>
          </w:p>
        </w:tc>
      </w:tr>
      <w:tr w:rsidR="00D632E0" w:rsidRPr="004036DD" w:rsidTr="00127158">
        <w:trPr>
          <w:trHeight w:val="161"/>
          <w:tblCellSpacing w:w="0" w:type="dxa"/>
        </w:trPr>
        <w:tc>
          <w:tcPr>
            <w:tcW w:w="5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Vai starptautiskajā dokumentā paredzētās saistības nav pretrunā ar jau esošajām Latvijas Republikas starptautiskajām saistībām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B20D86">
            <w:pPr>
              <w:spacing w:before="100" w:beforeAutospacing="1" w:after="100" w:afterAutospacing="1" w:line="161" w:lineRule="atLeast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</w:tr>
      <w:tr w:rsidR="00D632E0" w:rsidRPr="004036DD" w:rsidTr="00127158">
        <w:trPr>
          <w:trHeight w:val="388"/>
          <w:tblCellSpacing w:w="0" w:type="dxa"/>
        </w:trPr>
        <w:tc>
          <w:tcPr>
            <w:tcW w:w="5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Nav</w:t>
            </w:r>
          </w:p>
        </w:tc>
      </w:tr>
    </w:tbl>
    <w:p w:rsidR="00D632E0" w:rsidRPr="004036DD" w:rsidRDefault="00D632E0"/>
    <w:p w:rsidR="00D632E0" w:rsidRPr="004036DD" w:rsidRDefault="00D632E0"/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543"/>
        <w:gridCol w:w="5103"/>
      </w:tblGrid>
      <w:tr w:rsidR="0057104C" w:rsidRPr="004036DD" w:rsidTr="00127158">
        <w:tc>
          <w:tcPr>
            <w:tcW w:w="9072" w:type="dxa"/>
            <w:gridSpan w:val="3"/>
          </w:tcPr>
          <w:p w:rsidR="0057104C" w:rsidRPr="004036DD" w:rsidRDefault="0057104C" w:rsidP="000D7932">
            <w:pPr>
              <w:spacing w:before="200" w:after="120"/>
              <w:ind w:firstLine="709"/>
              <w:jc w:val="center"/>
              <w:rPr>
                <w:b/>
              </w:rPr>
            </w:pPr>
            <w:r w:rsidRPr="004036DD">
              <w:rPr>
                <w:b/>
              </w:rPr>
              <w:t xml:space="preserve">VII. </w:t>
            </w:r>
            <w:r w:rsidR="000D7932" w:rsidRPr="004036DD">
              <w:rPr>
                <w:b/>
              </w:rPr>
              <w:t>Tiesību akta projekta izpildes nodrošināšana un tās ietekme uz institūcijām</w:t>
            </w:r>
          </w:p>
        </w:tc>
      </w:tr>
      <w:tr w:rsidR="000D7932" w:rsidRPr="004036DD" w:rsidTr="00127158">
        <w:tc>
          <w:tcPr>
            <w:tcW w:w="426" w:type="dxa"/>
          </w:tcPr>
          <w:p w:rsidR="000D7932" w:rsidRPr="004036DD" w:rsidRDefault="000D7932" w:rsidP="009F1A5F">
            <w:pPr>
              <w:spacing w:after="120"/>
            </w:pPr>
            <w:r w:rsidRPr="004036DD">
              <w:t>1.</w:t>
            </w:r>
          </w:p>
        </w:tc>
        <w:tc>
          <w:tcPr>
            <w:tcW w:w="3543" w:type="dxa"/>
          </w:tcPr>
          <w:p w:rsidR="000D7932" w:rsidRPr="004036DD" w:rsidRDefault="00224829" w:rsidP="009F1A5F">
            <w:pPr>
              <w:spacing w:after="120"/>
            </w:pPr>
            <w:r>
              <w:t>Projekta</w:t>
            </w:r>
            <w:r w:rsidR="000D7932" w:rsidRPr="004036DD">
              <w:t xml:space="preserve"> izpildē iesaistītās institūcijas </w:t>
            </w:r>
          </w:p>
        </w:tc>
        <w:tc>
          <w:tcPr>
            <w:tcW w:w="5103" w:type="dxa"/>
          </w:tcPr>
          <w:p w:rsidR="000D7932" w:rsidRPr="004036DD" w:rsidRDefault="001D1341" w:rsidP="00966129">
            <w:r w:rsidRPr="004036DD">
              <w:t>Veselības</w:t>
            </w:r>
            <w:r w:rsidR="00966129" w:rsidRPr="004036DD">
              <w:t xml:space="preserve"> inspekcija</w:t>
            </w:r>
          </w:p>
        </w:tc>
      </w:tr>
      <w:tr w:rsidR="000D7932" w:rsidRPr="004036DD" w:rsidTr="00127158">
        <w:tc>
          <w:tcPr>
            <w:tcW w:w="426" w:type="dxa"/>
          </w:tcPr>
          <w:p w:rsidR="000D7932" w:rsidRPr="004036DD" w:rsidRDefault="00A85C7E" w:rsidP="00EB65A4">
            <w:pPr>
              <w:spacing w:after="120"/>
            </w:pPr>
            <w:r w:rsidRPr="004036DD">
              <w:t>2.</w:t>
            </w:r>
          </w:p>
        </w:tc>
        <w:tc>
          <w:tcPr>
            <w:tcW w:w="3543" w:type="dxa"/>
          </w:tcPr>
          <w:p w:rsidR="000D7932" w:rsidRPr="004036DD" w:rsidRDefault="00A85C7E" w:rsidP="00EB65A4">
            <w:pPr>
              <w:spacing w:after="120"/>
            </w:pPr>
            <w:r w:rsidRPr="004036DD">
              <w:t>Projekta izpildes ietekme uz pārvaldes funkcijām</w:t>
            </w:r>
          </w:p>
        </w:tc>
        <w:tc>
          <w:tcPr>
            <w:tcW w:w="5103" w:type="dxa"/>
          </w:tcPr>
          <w:p w:rsidR="00230C7E" w:rsidRPr="004036DD" w:rsidRDefault="005C7AA1" w:rsidP="0085390D">
            <w:pPr>
              <w:autoSpaceDE w:val="0"/>
              <w:autoSpaceDN w:val="0"/>
              <w:adjustRightInd w:val="0"/>
              <w:jc w:val="both"/>
            </w:pPr>
            <w:r>
              <w:t>Noteikumu p</w:t>
            </w:r>
            <w:r w:rsidRPr="00920E90">
              <w:t>rojekts šo jomu neskar</w:t>
            </w:r>
          </w:p>
        </w:tc>
      </w:tr>
      <w:tr w:rsidR="000D7932" w:rsidRPr="004036DD" w:rsidTr="00127158">
        <w:tc>
          <w:tcPr>
            <w:tcW w:w="426" w:type="dxa"/>
          </w:tcPr>
          <w:p w:rsidR="000D7932" w:rsidRPr="004036DD" w:rsidRDefault="00A85C7E" w:rsidP="00EB65A4">
            <w:pPr>
              <w:spacing w:after="120"/>
            </w:pPr>
            <w:r w:rsidRPr="004036DD">
              <w:t>3.</w:t>
            </w:r>
          </w:p>
        </w:tc>
        <w:tc>
          <w:tcPr>
            <w:tcW w:w="3543" w:type="dxa"/>
          </w:tcPr>
          <w:p w:rsidR="000D7932" w:rsidRPr="004036DD" w:rsidRDefault="00A85C7E" w:rsidP="00EB65A4">
            <w:pPr>
              <w:spacing w:after="120"/>
            </w:pPr>
            <w:r w:rsidRPr="004036DD">
              <w:t>Projekta izpildes ietekme uz pārvaldes institucionālo struktūru.</w:t>
            </w:r>
          </w:p>
          <w:p w:rsidR="00A85C7E" w:rsidRPr="004036DD" w:rsidRDefault="00A85C7E" w:rsidP="00EB65A4">
            <w:pPr>
              <w:spacing w:after="120"/>
            </w:pPr>
            <w:r w:rsidRPr="004036DD">
              <w:t>Jaunu institūciju izveide</w:t>
            </w:r>
          </w:p>
        </w:tc>
        <w:tc>
          <w:tcPr>
            <w:tcW w:w="5103" w:type="dxa"/>
          </w:tcPr>
          <w:p w:rsidR="000D7932" w:rsidRPr="004036DD" w:rsidRDefault="005C7AA1" w:rsidP="00EB65A4">
            <w:pPr>
              <w:spacing w:after="120"/>
              <w:jc w:val="both"/>
            </w:pPr>
            <w:r>
              <w:t>Noteikumu p</w:t>
            </w:r>
            <w:r w:rsidRPr="00920E90">
              <w:t>rojekts šo jomu neskar</w:t>
            </w:r>
          </w:p>
        </w:tc>
      </w:tr>
      <w:tr w:rsidR="001D1341" w:rsidRPr="004036DD" w:rsidTr="00127158">
        <w:tc>
          <w:tcPr>
            <w:tcW w:w="426" w:type="dxa"/>
          </w:tcPr>
          <w:p w:rsidR="001D1341" w:rsidRPr="004036DD" w:rsidRDefault="001D1341" w:rsidP="00EB65A4">
            <w:pPr>
              <w:spacing w:after="120"/>
            </w:pPr>
            <w:r w:rsidRPr="004036DD">
              <w:lastRenderedPageBreak/>
              <w:t>4.</w:t>
            </w:r>
          </w:p>
        </w:tc>
        <w:tc>
          <w:tcPr>
            <w:tcW w:w="3543" w:type="dxa"/>
          </w:tcPr>
          <w:p w:rsidR="001D1341" w:rsidRPr="004036DD" w:rsidRDefault="001D1341" w:rsidP="00A85C7E">
            <w:pPr>
              <w:spacing w:after="120"/>
            </w:pPr>
            <w:r w:rsidRPr="004036DD">
              <w:t>Projekta izpildes ietekme uz pārvaldes institucionālo struktūru.</w:t>
            </w:r>
          </w:p>
          <w:p w:rsidR="001D1341" w:rsidRPr="004036DD" w:rsidRDefault="001D1341" w:rsidP="00EB65A4">
            <w:pPr>
              <w:spacing w:after="120"/>
            </w:pPr>
          </w:p>
        </w:tc>
        <w:tc>
          <w:tcPr>
            <w:tcW w:w="5103" w:type="dxa"/>
          </w:tcPr>
          <w:p w:rsidR="001D1341" w:rsidRPr="005C7AA1" w:rsidRDefault="005C7AA1" w:rsidP="009A5202">
            <w:pPr>
              <w:pStyle w:val="BodyText2"/>
              <w:ind w:right="-57"/>
              <w:rPr>
                <w:sz w:val="24"/>
                <w:szCs w:val="24"/>
              </w:rPr>
            </w:pPr>
            <w:r w:rsidRPr="005C7AA1">
              <w:rPr>
                <w:sz w:val="24"/>
                <w:szCs w:val="24"/>
              </w:rPr>
              <w:t>Noteikumu projekts šo jomu neskar</w:t>
            </w:r>
          </w:p>
        </w:tc>
      </w:tr>
      <w:tr w:rsidR="001D1341" w:rsidRPr="004036DD" w:rsidTr="00127158">
        <w:tc>
          <w:tcPr>
            <w:tcW w:w="426" w:type="dxa"/>
          </w:tcPr>
          <w:p w:rsidR="001D1341" w:rsidRPr="004036DD" w:rsidRDefault="001D1341" w:rsidP="00EB65A4">
            <w:pPr>
              <w:spacing w:after="120"/>
            </w:pPr>
            <w:r w:rsidRPr="004036DD">
              <w:t>5.</w:t>
            </w:r>
          </w:p>
        </w:tc>
        <w:tc>
          <w:tcPr>
            <w:tcW w:w="3543" w:type="dxa"/>
          </w:tcPr>
          <w:p w:rsidR="001D1341" w:rsidRPr="004036DD" w:rsidRDefault="001D1341" w:rsidP="001D1341">
            <w:pPr>
              <w:spacing w:after="120"/>
            </w:pPr>
            <w:r w:rsidRPr="004036DD">
              <w:t>Projekta izpildes ietekme uz pārvaldes institucionālo struktūru.</w:t>
            </w:r>
          </w:p>
          <w:p w:rsidR="001D1341" w:rsidRPr="004036DD" w:rsidRDefault="001D1341" w:rsidP="001D1341">
            <w:pPr>
              <w:spacing w:after="120"/>
            </w:pPr>
            <w:r w:rsidRPr="004036DD">
              <w:t>Esošo institūciju reorganizācija</w:t>
            </w:r>
          </w:p>
        </w:tc>
        <w:tc>
          <w:tcPr>
            <w:tcW w:w="5103" w:type="dxa"/>
          </w:tcPr>
          <w:p w:rsidR="001D1341" w:rsidRPr="004036DD" w:rsidRDefault="005C7AA1" w:rsidP="00EB65A4">
            <w:pPr>
              <w:spacing w:after="120"/>
              <w:jc w:val="both"/>
            </w:pPr>
            <w:r>
              <w:t>Noteikumu p</w:t>
            </w:r>
            <w:r w:rsidRPr="00920E90">
              <w:t>rojekts šo jomu neskar</w:t>
            </w:r>
          </w:p>
        </w:tc>
      </w:tr>
      <w:tr w:rsidR="001D1341" w:rsidRPr="004036DD" w:rsidTr="00127158">
        <w:tc>
          <w:tcPr>
            <w:tcW w:w="426" w:type="dxa"/>
          </w:tcPr>
          <w:p w:rsidR="001D1341" w:rsidRPr="004036DD" w:rsidRDefault="001D1341" w:rsidP="009A5202">
            <w:pPr>
              <w:spacing w:after="120"/>
            </w:pPr>
            <w:r w:rsidRPr="004036DD">
              <w:t>6.</w:t>
            </w:r>
          </w:p>
        </w:tc>
        <w:tc>
          <w:tcPr>
            <w:tcW w:w="3543" w:type="dxa"/>
          </w:tcPr>
          <w:p w:rsidR="001D1341" w:rsidRPr="004036DD" w:rsidRDefault="001D1341" w:rsidP="009A5202">
            <w:pPr>
              <w:spacing w:after="120"/>
            </w:pPr>
            <w:r w:rsidRPr="004036DD">
              <w:t>Cita informācija</w:t>
            </w:r>
          </w:p>
        </w:tc>
        <w:tc>
          <w:tcPr>
            <w:tcW w:w="5103" w:type="dxa"/>
          </w:tcPr>
          <w:p w:rsidR="00D16FAA" w:rsidRPr="004036DD" w:rsidRDefault="0085390D" w:rsidP="009A5202">
            <w:pPr>
              <w:pStyle w:val="BodyText2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</w:tbl>
    <w:p w:rsidR="0057104C" w:rsidRPr="004036DD" w:rsidRDefault="0057104C" w:rsidP="00316030">
      <w:pPr>
        <w:rPr>
          <w:sz w:val="28"/>
          <w:szCs w:val="28"/>
        </w:rPr>
      </w:pPr>
    </w:p>
    <w:p w:rsidR="002330B9" w:rsidRDefault="002330B9" w:rsidP="00755A36"/>
    <w:p w:rsidR="00755A36" w:rsidRPr="00A472D6" w:rsidRDefault="00755A36" w:rsidP="00755A36">
      <w:r w:rsidRPr="00A472D6">
        <w:t>Anotācijas III, IV un VI sadaļa – projekts šīs jomas neskar.</w:t>
      </w:r>
    </w:p>
    <w:p w:rsidR="00436553" w:rsidRDefault="00436553" w:rsidP="00316030">
      <w:pPr>
        <w:rPr>
          <w:sz w:val="28"/>
          <w:szCs w:val="28"/>
        </w:rPr>
      </w:pPr>
    </w:p>
    <w:p w:rsidR="002330B9" w:rsidRDefault="002330B9" w:rsidP="00316030">
      <w:pPr>
        <w:rPr>
          <w:rStyle w:val="Strong"/>
          <w:b w:val="0"/>
          <w:sz w:val="28"/>
          <w:szCs w:val="28"/>
        </w:rPr>
      </w:pPr>
    </w:p>
    <w:p w:rsidR="00B82325" w:rsidRPr="004036DD" w:rsidRDefault="009207A2" w:rsidP="00316030">
      <w:pPr>
        <w:rPr>
          <w:rStyle w:val="Strong"/>
          <w:b w:val="0"/>
          <w:sz w:val="28"/>
          <w:szCs w:val="28"/>
        </w:rPr>
      </w:pPr>
      <w:r w:rsidRPr="004036DD">
        <w:rPr>
          <w:rStyle w:val="Strong"/>
          <w:b w:val="0"/>
          <w:sz w:val="28"/>
          <w:szCs w:val="28"/>
        </w:rPr>
        <w:t xml:space="preserve">Veselības </w:t>
      </w:r>
      <w:r w:rsidR="00316030" w:rsidRPr="004036DD">
        <w:rPr>
          <w:rStyle w:val="Strong"/>
          <w:b w:val="0"/>
          <w:sz w:val="28"/>
          <w:szCs w:val="28"/>
        </w:rPr>
        <w:t>ministr</w:t>
      </w:r>
      <w:r w:rsidR="0047328D" w:rsidRPr="004036DD">
        <w:rPr>
          <w:rStyle w:val="Strong"/>
          <w:b w:val="0"/>
          <w:sz w:val="28"/>
          <w:szCs w:val="28"/>
        </w:rPr>
        <w:t xml:space="preserve">s      </w:t>
      </w:r>
      <w:r w:rsidR="00316030" w:rsidRPr="004036DD">
        <w:rPr>
          <w:rStyle w:val="Strong"/>
          <w:b w:val="0"/>
          <w:sz w:val="28"/>
          <w:szCs w:val="28"/>
        </w:rPr>
        <w:t xml:space="preserve">                                              </w:t>
      </w:r>
      <w:r w:rsidR="00901181">
        <w:rPr>
          <w:rStyle w:val="Strong"/>
          <w:b w:val="0"/>
          <w:sz w:val="28"/>
          <w:szCs w:val="28"/>
        </w:rPr>
        <w:t xml:space="preserve">                              </w:t>
      </w:r>
      <w:proofErr w:type="spellStart"/>
      <w:r w:rsidR="00901181">
        <w:rPr>
          <w:rStyle w:val="Strong"/>
          <w:b w:val="0"/>
          <w:sz w:val="28"/>
          <w:szCs w:val="28"/>
        </w:rPr>
        <w:t>J.Bārzdiņš</w:t>
      </w:r>
      <w:proofErr w:type="spellEnd"/>
    </w:p>
    <w:p w:rsidR="00782BB4" w:rsidRPr="004036DD" w:rsidRDefault="00782BB4" w:rsidP="00316030">
      <w:pPr>
        <w:rPr>
          <w:rStyle w:val="Strong"/>
          <w:b w:val="0"/>
          <w:sz w:val="28"/>
          <w:szCs w:val="28"/>
        </w:rPr>
      </w:pPr>
    </w:p>
    <w:p w:rsidR="002330B9" w:rsidRDefault="002330B9" w:rsidP="00DA300F">
      <w:pPr>
        <w:rPr>
          <w:sz w:val="20"/>
          <w:szCs w:val="20"/>
        </w:rPr>
      </w:pPr>
    </w:p>
    <w:p w:rsidR="007229C1" w:rsidRDefault="007229C1" w:rsidP="00DA300F">
      <w:pPr>
        <w:rPr>
          <w:sz w:val="20"/>
          <w:szCs w:val="20"/>
        </w:rPr>
      </w:pPr>
    </w:p>
    <w:p w:rsidR="00313895" w:rsidRDefault="00313895" w:rsidP="00D96C22">
      <w:pPr>
        <w:rPr>
          <w:sz w:val="20"/>
          <w:szCs w:val="20"/>
        </w:rPr>
      </w:pPr>
    </w:p>
    <w:p w:rsidR="00D96C22" w:rsidRPr="008C09E1" w:rsidRDefault="00FA15B7" w:rsidP="00D96C22">
      <w:pPr>
        <w:rPr>
          <w:sz w:val="20"/>
          <w:szCs w:val="20"/>
        </w:rPr>
      </w:pPr>
      <w:r>
        <w:rPr>
          <w:sz w:val="20"/>
          <w:szCs w:val="20"/>
        </w:rPr>
        <w:t>27.04.2011. 09</w:t>
      </w:r>
      <w:r w:rsidR="000815AB">
        <w:rPr>
          <w:sz w:val="20"/>
          <w:szCs w:val="20"/>
        </w:rPr>
        <w:t>:4</w:t>
      </w:r>
      <w:r w:rsidR="0022588B">
        <w:rPr>
          <w:sz w:val="20"/>
          <w:szCs w:val="20"/>
        </w:rPr>
        <w:t>5</w:t>
      </w:r>
    </w:p>
    <w:p w:rsidR="00D96C22" w:rsidRPr="008C09E1" w:rsidRDefault="00224829" w:rsidP="00D96C22">
      <w:pPr>
        <w:rPr>
          <w:sz w:val="20"/>
          <w:szCs w:val="20"/>
        </w:rPr>
      </w:pPr>
      <w:r>
        <w:rPr>
          <w:sz w:val="20"/>
          <w:szCs w:val="20"/>
        </w:rPr>
        <w:t>2256</w:t>
      </w:r>
    </w:p>
    <w:p w:rsidR="00D96C22" w:rsidRPr="008C09E1" w:rsidRDefault="00D96C22" w:rsidP="00D96C22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8C09E1">
        <w:rPr>
          <w:sz w:val="20"/>
          <w:szCs w:val="20"/>
        </w:rPr>
        <w:t>A.Kalniņa</w:t>
      </w:r>
    </w:p>
    <w:p w:rsidR="00D96C22" w:rsidRDefault="00D96C22" w:rsidP="00D96C22">
      <w:r w:rsidRPr="008C09E1">
        <w:rPr>
          <w:sz w:val="20"/>
          <w:szCs w:val="20"/>
        </w:rPr>
        <w:t xml:space="preserve">67876148, </w:t>
      </w:r>
      <w:hyperlink r:id="rId8" w:history="1">
        <w:r w:rsidRPr="008C09E1">
          <w:rPr>
            <w:rStyle w:val="Hyperlink"/>
            <w:sz w:val="20"/>
            <w:szCs w:val="20"/>
          </w:rPr>
          <w:t>Astra.Kalnina@vm.gov.lv</w:t>
        </w:r>
      </w:hyperlink>
    </w:p>
    <w:p w:rsidR="009F1A5F" w:rsidRPr="0096650B" w:rsidRDefault="00EE168B" w:rsidP="00DA300F">
      <w:pPr>
        <w:rPr>
          <w:b/>
          <w:sz w:val="28"/>
          <w:szCs w:val="28"/>
        </w:rPr>
      </w:pPr>
      <w:r w:rsidRPr="00B65A7E">
        <w:rPr>
          <w:b/>
          <w:sz w:val="28"/>
          <w:szCs w:val="28"/>
        </w:rPr>
        <w:t xml:space="preserve"> </w:t>
      </w:r>
    </w:p>
    <w:sectPr w:rsidR="009F1A5F" w:rsidRPr="0096650B" w:rsidSect="0031689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36" w:rsidRDefault="00D92A36">
      <w:r>
        <w:separator/>
      </w:r>
    </w:p>
  </w:endnote>
  <w:endnote w:type="continuationSeparator" w:id="0">
    <w:p w:rsidR="00D92A36" w:rsidRDefault="00D9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6" w:rsidRPr="00DA300F" w:rsidRDefault="00D92A36" w:rsidP="00775CE6">
    <w:pPr>
      <w:pStyle w:val="BodyText"/>
      <w:rPr>
        <w:sz w:val="20"/>
        <w:lang w:val="lv-LV"/>
      </w:rPr>
    </w:pPr>
    <w:bookmarkStart w:id="0" w:name="OLE_LINK1"/>
    <w:bookmarkStart w:id="1" w:name="OLE_LINK2"/>
    <w:r w:rsidRPr="00DA300F">
      <w:rPr>
        <w:sz w:val="20"/>
        <w:lang w:val="lv-LV"/>
      </w:rPr>
      <w:t>VMAnot_</w:t>
    </w:r>
    <w:r w:rsidR="00FA15B7">
      <w:rPr>
        <w:sz w:val="20"/>
        <w:lang w:val="lv-LV"/>
      </w:rPr>
      <w:t>27</w:t>
    </w:r>
    <w:r w:rsidR="0069780C">
      <w:rPr>
        <w:sz w:val="20"/>
        <w:lang w:val="lv-LV"/>
      </w:rPr>
      <w:t>0411_peldud</w:t>
    </w:r>
    <w:r>
      <w:rPr>
        <w:sz w:val="20"/>
        <w:lang w:val="lv-LV"/>
      </w:rPr>
      <w:t>_608</w:t>
    </w:r>
    <w:r w:rsidRPr="00DA300F">
      <w:rPr>
        <w:sz w:val="20"/>
        <w:lang w:val="lv-LV"/>
      </w:rPr>
      <w:t xml:space="preserve">; Ministru kabineta </w:t>
    </w:r>
    <w:r w:rsidRPr="00DA300F">
      <w:rPr>
        <w:bCs/>
        <w:sz w:val="20"/>
        <w:lang w:val="lv-LV"/>
      </w:rPr>
      <w:t xml:space="preserve">noteikumu </w:t>
    </w:r>
    <w:bookmarkStart w:id="2" w:name="OLE_LINK3"/>
    <w:bookmarkStart w:id="3" w:name="OLE_LINK4"/>
    <w:r w:rsidRPr="00DA300F">
      <w:rPr>
        <w:bCs/>
        <w:sz w:val="20"/>
        <w:lang w:val="lv-LV"/>
      </w:rPr>
      <w:t>„</w:t>
    </w:r>
    <w:r w:rsidRPr="00DA300F">
      <w:rPr>
        <w:sz w:val="20"/>
        <w:lang w:val="lv-LV"/>
      </w:rPr>
      <w:t>Grozījum</w:t>
    </w:r>
    <w:r>
      <w:rPr>
        <w:sz w:val="20"/>
        <w:lang w:val="lv-LV"/>
      </w:rPr>
      <w:t>i</w:t>
    </w:r>
    <w:r w:rsidRPr="00DA300F">
      <w:rPr>
        <w:sz w:val="20"/>
        <w:lang w:val="lv-LV"/>
      </w:rPr>
      <w:t xml:space="preserve"> Ministru kabineta 20</w:t>
    </w:r>
    <w:r>
      <w:rPr>
        <w:sz w:val="20"/>
        <w:lang w:val="lv-LV"/>
      </w:rPr>
      <w:t>10</w:t>
    </w:r>
    <w:r w:rsidRPr="00DA300F">
      <w:rPr>
        <w:sz w:val="20"/>
        <w:lang w:val="lv-LV"/>
      </w:rPr>
      <w:t xml:space="preserve">.gada </w:t>
    </w:r>
    <w:r>
      <w:rPr>
        <w:sz w:val="20"/>
        <w:lang w:val="lv-LV"/>
      </w:rPr>
      <w:t>6</w:t>
    </w:r>
    <w:r w:rsidRPr="00DA300F">
      <w:rPr>
        <w:sz w:val="20"/>
        <w:lang w:val="lv-LV"/>
      </w:rPr>
      <w:t>.jūlija noteikumos Nr.</w:t>
    </w:r>
    <w:r>
      <w:rPr>
        <w:sz w:val="20"/>
        <w:lang w:val="lv-LV"/>
      </w:rPr>
      <w:t>608</w:t>
    </w:r>
    <w:r w:rsidRPr="00DA300F">
      <w:rPr>
        <w:sz w:val="20"/>
        <w:lang w:val="lv-LV"/>
      </w:rPr>
      <w:t xml:space="preserve"> „Noteikumi par peldvietu ūdens monitoringu, kvalitātes nodrošināšanu un prasībām sabiedrības informēšanai””</w:t>
    </w:r>
    <w:bookmarkEnd w:id="2"/>
    <w:bookmarkEnd w:id="3"/>
    <w:r w:rsidRPr="00DA300F">
      <w:rPr>
        <w:sz w:val="20"/>
        <w:lang w:val="lv-LV"/>
      </w:rPr>
      <w:t xml:space="preserve"> </w:t>
    </w:r>
    <w:r w:rsidRPr="00DA300F">
      <w:rPr>
        <w:bCs/>
        <w:sz w:val="20"/>
        <w:lang w:val="lv-LV"/>
      </w:rPr>
      <w:t>projekta sākotnējās ietekmes novērtējuma ziņojums (</w:t>
    </w:r>
    <w:r w:rsidRPr="00DA300F">
      <w:rPr>
        <w:sz w:val="20"/>
        <w:lang w:val="lv-LV"/>
      </w:rPr>
      <w:t>anotācija)</w:t>
    </w:r>
    <w:r w:rsidRPr="00DA300F">
      <w:rPr>
        <w:bCs/>
        <w:sz w:val="20"/>
        <w:lang w:val="lv-LV"/>
      </w:rPr>
      <w:t xml:space="preserve"> </w:t>
    </w:r>
  </w:p>
  <w:bookmarkEnd w:id="0"/>
  <w:bookmarkEnd w:id="1"/>
  <w:p w:rsidR="00D92A36" w:rsidRPr="006A573D" w:rsidRDefault="00D92A36" w:rsidP="00E412E2">
    <w:pPr>
      <w:pStyle w:val="Footer"/>
      <w:tabs>
        <w:tab w:val="clear" w:pos="8306"/>
        <w:tab w:val="right" w:pos="8931"/>
      </w:tabs>
      <w:ind w:right="-625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6" w:rsidRPr="00DA300F" w:rsidRDefault="00D92A36" w:rsidP="007B7A7E">
    <w:pPr>
      <w:pStyle w:val="BodyText"/>
      <w:rPr>
        <w:sz w:val="20"/>
        <w:lang w:val="lv-LV"/>
      </w:rPr>
    </w:pPr>
    <w:r w:rsidRPr="00DA300F">
      <w:rPr>
        <w:sz w:val="20"/>
        <w:lang w:val="lv-LV"/>
      </w:rPr>
      <w:t>VMAnot_</w:t>
    </w:r>
    <w:r w:rsidR="00FA15B7">
      <w:rPr>
        <w:sz w:val="20"/>
        <w:lang w:val="lv-LV"/>
      </w:rPr>
      <w:t>27</w:t>
    </w:r>
    <w:r w:rsidR="0069780C">
      <w:rPr>
        <w:sz w:val="20"/>
        <w:lang w:val="lv-LV"/>
      </w:rPr>
      <w:t>0411_peldud</w:t>
    </w:r>
    <w:r>
      <w:rPr>
        <w:sz w:val="20"/>
        <w:lang w:val="lv-LV"/>
      </w:rPr>
      <w:t>_608</w:t>
    </w:r>
    <w:r w:rsidRPr="00DA300F">
      <w:rPr>
        <w:sz w:val="20"/>
        <w:lang w:val="lv-LV"/>
      </w:rPr>
      <w:t xml:space="preserve">; Ministru kabineta </w:t>
    </w:r>
    <w:r w:rsidRPr="00DA300F">
      <w:rPr>
        <w:bCs/>
        <w:sz w:val="20"/>
        <w:lang w:val="lv-LV"/>
      </w:rPr>
      <w:t>noteikumu „</w:t>
    </w:r>
    <w:r w:rsidRPr="00DA300F">
      <w:rPr>
        <w:sz w:val="20"/>
        <w:lang w:val="lv-LV"/>
      </w:rPr>
      <w:t>Grozījum</w:t>
    </w:r>
    <w:r>
      <w:rPr>
        <w:sz w:val="20"/>
        <w:lang w:val="lv-LV"/>
      </w:rPr>
      <w:t>i</w:t>
    </w:r>
    <w:r w:rsidRPr="00DA300F">
      <w:rPr>
        <w:sz w:val="20"/>
        <w:lang w:val="lv-LV"/>
      </w:rPr>
      <w:t xml:space="preserve"> Ministru kabineta 20</w:t>
    </w:r>
    <w:r>
      <w:rPr>
        <w:sz w:val="20"/>
        <w:lang w:val="lv-LV"/>
      </w:rPr>
      <w:t>10</w:t>
    </w:r>
    <w:r w:rsidRPr="00DA300F">
      <w:rPr>
        <w:sz w:val="20"/>
        <w:lang w:val="lv-LV"/>
      </w:rPr>
      <w:t xml:space="preserve">.gada </w:t>
    </w:r>
    <w:r>
      <w:rPr>
        <w:sz w:val="20"/>
        <w:lang w:val="lv-LV"/>
      </w:rPr>
      <w:t>6</w:t>
    </w:r>
    <w:r w:rsidRPr="00DA300F">
      <w:rPr>
        <w:sz w:val="20"/>
        <w:lang w:val="lv-LV"/>
      </w:rPr>
      <w:t>.jūlija noteikumos Nr.</w:t>
    </w:r>
    <w:r>
      <w:rPr>
        <w:sz w:val="20"/>
        <w:lang w:val="lv-LV"/>
      </w:rPr>
      <w:t>608</w:t>
    </w:r>
    <w:r w:rsidRPr="00DA300F">
      <w:rPr>
        <w:sz w:val="20"/>
        <w:lang w:val="lv-LV"/>
      </w:rPr>
      <w:t xml:space="preserve"> „Noteikumi par peldvietu ūdens monitoringu, kvalitātes nodrošināšanu un prasībām sabiedrības informēšanai”” </w:t>
    </w:r>
    <w:r w:rsidRPr="00DA300F">
      <w:rPr>
        <w:bCs/>
        <w:sz w:val="20"/>
        <w:lang w:val="lv-LV"/>
      </w:rPr>
      <w:t>projekta sākotnējās ietekmes novērtējuma ziņojums (</w:t>
    </w:r>
    <w:r w:rsidRPr="00DA300F">
      <w:rPr>
        <w:sz w:val="20"/>
        <w:lang w:val="lv-LV"/>
      </w:rPr>
      <w:t>anotācija)</w:t>
    </w:r>
    <w:r w:rsidRPr="00DA300F">
      <w:rPr>
        <w:bCs/>
        <w:sz w:val="20"/>
        <w:lang w:val="lv-LV"/>
      </w:rPr>
      <w:t xml:space="preserve"> </w:t>
    </w:r>
  </w:p>
  <w:p w:rsidR="00D92A36" w:rsidRPr="006A573D" w:rsidRDefault="00D92A36" w:rsidP="007B7A7E">
    <w:pPr>
      <w:pStyle w:val="Footer"/>
      <w:tabs>
        <w:tab w:val="clear" w:pos="8306"/>
        <w:tab w:val="right" w:pos="8931"/>
      </w:tabs>
      <w:ind w:right="-625"/>
      <w:rPr>
        <w:sz w:val="20"/>
        <w:szCs w:val="20"/>
      </w:rPr>
    </w:pPr>
  </w:p>
  <w:p w:rsidR="00D92A36" w:rsidRPr="006204AE" w:rsidRDefault="00D92A36" w:rsidP="00775CE6">
    <w:pPr>
      <w:pStyle w:val="BodyText"/>
      <w:rPr>
        <w:sz w:val="20"/>
        <w:lang w:val="lv-LV"/>
      </w:rPr>
    </w:pPr>
    <w:r>
      <w:rPr>
        <w:sz w:val="20"/>
        <w:lang w:val="lv-LV"/>
      </w:rPr>
      <w:t xml:space="preserve"> </w:t>
    </w:r>
  </w:p>
  <w:p w:rsidR="00D92A36" w:rsidRPr="006A573D" w:rsidRDefault="00D92A36" w:rsidP="00E412E2">
    <w:pPr>
      <w:pStyle w:val="Footer"/>
      <w:tabs>
        <w:tab w:val="clear" w:pos="8306"/>
        <w:tab w:val="right" w:pos="8931"/>
      </w:tabs>
      <w:ind w:right="-62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36" w:rsidRDefault="00D92A36">
      <w:r>
        <w:separator/>
      </w:r>
    </w:p>
  </w:footnote>
  <w:footnote w:type="continuationSeparator" w:id="0">
    <w:p w:rsidR="00D92A36" w:rsidRDefault="00D92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6" w:rsidRDefault="006947DD" w:rsidP="00E221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2A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A36" w:rsidRDefault="00D92A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6" w:rsidRDefault="006947DD" w:rsidP="00E221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2A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88B">
      <w:rPr>
        <w:rStyle w:val="PageNumber"/>
        <w:noProof/>
      </w:rPr>
      <w:t>10</w:t>
    </w:r>
    <w:r>
      <w:rPr>
        <w:rStyle w:val="PageNumber"/>
      </w:rPr>
      <w:fldChar w:fldCharType="end"/>
    </w:r>
  </w:p>
  <w:p w:rsidR="00D92A36" w:rsidRDefault="00D92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3EF"/>
    <w:multiLevelType w:val="multilevel"/>
    <w:tmpl w:val="7AFEC2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205FF1"/>
    <w:multiLevelType w:val="multilevel"/>
    <w:tmpl w:val="377E687A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8D52BE"/>
    <w:multiLevelType w:val="hybridMultilevel"/>
    <w:tmpl w:val="B1DCB3D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F6EE0"/>
    <w:multiLevelType w:val="singleLevel"/>
    <w:tmpl w:val="4B6018F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">
    <w:nsid w:val="42673257"/>
    <w:multiLevelType w:val="hybridMultilevel"/>
    <w:tmpl w:val="7AF6981E"/>
    <w:lvl w:ilvl="0" w:tplc="3F96A6F4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B0C3524"/>
    <w:multiLevelType w:val="multilevel"/>
    <w:tmpl w:val="377E687A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316FDB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212AD"/>
    <w:multiLevelType w:val="hybridMultilevel"/>
    <w:tmpl w:val="758624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191BEC"/>
    <w:rsid w:val="00001150"/>
    <w:rsid w:val="00002750"/>
    <w:rsid w:val="00002F92"/>
    <w:rsid w:val="00003FDC"/>
    <w:rsid w:val="00004A72"/>
    <w:rsid w:val="000050F4"/>
    <w:rsid w:val="00006493"/>
    <w:rsid w:val="00007B38"/>
    <w:rsid w:val="00010465"/>
    <w:rsid w:val="00010D34"/>
    <w:rsid w:val="00011699"/>
    <w:rsid w:val="0001178D"/>
    <w:rsid w:val="000121B2"/>
    <w:rsid w:val="00013469"/>
    <w:rsid w:val="00013F72"/>
    <w:rsid w:val="00014B8A"/>
    <w:rsid w:val="000154B3"/>
    <w:rsid w:val="00017E1D"/>
    <w:rsid w:val="0002104E"/>
    <w:rsid w:val="00021FFF"/>
    <w:rsid w:val="000230C2"/>
    <w:rsid w:val="00024BFF"/>
    <w:rsid w:val="00024D5B"/>
    <w:rsid w:val="000255F2"/>
    <w:rsid w:val="0002581A"/>
    <w:rsid w:val="0002607E"/>
    <w:rsid w:val="00026AA6"/>
    <w:rsid w:val="00027130"/>
    <w:rsid w:val="00030D01"/>
    <w:rsid w:val="0003184B"/>
    <w:rsid w:val="00032103"/>
    <w:rsid w:val="00034BD4"/>
    <w:rsid w:val="00035A83"/>
    <w:rsid w:val="0003662F"/>
    <w:rsid w:val="000375CD"/>
    <w:rsid w:val="000401A7"/>
    <w:rsid w:val="0004064C"/>
    <w:rsid w:val="00041AE8"/>
    <w:rsid w:val="000421E2"/>
    <w:rsid w:val="000421ED"/>
    <w:rsid w:val="00042750"/>
    <w:rsid w:val="00042DB4"/>
    <w:rsid w:val="00044885"/>
    <w:rsid w:val="00045554"/>
    <w:rsid w:val="0004593B"/>
    <w:rsid w:val="00045948"/>
    <w:rsid w:val="00047457"/>
    <w:rsid w:val="000518A5"/>
    <w:rsid w:val="00052329"/>
    <w:rsid w:val="00054291"/>
    <w:rsid w:val="00054887"/>
    <w:rsid w:val="00054A1A"/>
    <w:rsid w:val="00054D22"/>
    <w:rsid w:val="000621B6"/>
    <w:rsid w:val="00062256"/>
    <w:rsid w:val="000627D2"/>
    <w:rsid w:val="0006377C"/>
    <w:rsid w:val="000639E2"/>
    <w:rsid w:val="00063AD3"/>
    <w:rsid w:val="0006430C"/>
    <w:rsid w:val="00064496"/>
    <w:rsid w:val="00064B8A"/>
    <w:rsid w:val="00064D48"/>
    <w:rsid w:val="0006588F"/>
    <w:rsid w:val="00065B6E"/>
    <w:rsid w:val="00065FEF"/>
    <w:rsid w:val="00066733"/>
    <w:rsid w:val="00066C53"/>
    <w:rsid w:val="00074209"/>
    <w:rsid w:val="00074F96"/>
    <w:rsid w:val="0007588F"/>
    <w:rsid w:val="00076B14"/>
    <w:rsid w:val="00076BEE"/>
    <w:rsid w:val="0007762F"/>
    <w:rsid w:val="000801DA"/>
    <w:rsid w:val="00080E07"/>
    <w:rsid w:val="000815AB"/>
    <w:rsid w:val="000816B1"/>
    <w:rsid w:val="0008179D"/>
    <w:rsid w:val="000820A6"/>
    <w:rsid w:val="00082139"/>
    <w:rsid w:val="00082B73"/>
    <w:rsid w:val="000837CC"/>
    <w:rsid w:val="00083F55"/>
    <w:rsid w:val="0009064B"/>
    <w:rsid w:val="00091370"/>
    <w:rsid w:val="00095623"/>
    <w:rsid w:val="000961E9"/>
    <w:rsid w:val="000967FB"/>
    <w:rsid w:val="000979B3"/>
    <w:rsid w:val="000A0220"/>
    <w:rsid w:val="000A0850"/>
    <w:rsid w:val="000A1EBA"/>
    <w:rsid w:val="000A358B"/>
    <w:rsid w:val="000A3990"/>
    <w:rsid w:val="000A49A1"/>
    <w:rsid w:val="000A4E67"/>
    <w:rsid w:val="000A7C42"/>
    <w:rsid w:val="000B05BD"/>
    <w:rsid w:val="000B07C4"/>
    <w:rsid w:val="000B12C6"/>
    <w:rsid w:val="000B154D"/>
    <w:rsid w:val="000B1E0A"/>
    <w:rsid w:val="000B287C"/>
    <w:rsid w:val="000B34D8"/>
    <w:rsid w:val="000B361F"/>
    <w:rsid w:val="000B36FE"/>
    <w:rsid w:val="000B4679"/>
    <w:rsid w:val="000B4F6B"/>
    <w:rsid w:val="000B5BB7"/>
    <w:rsid w:val="000B624D"/>
    <w:rsid w:val="000B707A"/>
    <w:rsid w:val="000B71A3"/>
    <w:rsid w:val="000B72EC"/>
    <w:rsid w:val="000C130F"/>
    <w:rsid w:val="000C1AF8"/>
    <w:rsid w:val="000C2AD8"/>
    <w:rsid w:val="000C2CEA"/>
    <w:rsid w:val="000C39B9"/>
    <w:rsid w:val="000C74B4"/>
    <w:rsid w:val="000C79DC"/>
    <w:rsid w:val="000C7EE5"/>
    <w:rsid w:val="000D0AB8"/>
    <w:rsid w:val="000D11CB"/>
    <w:rsid w:val="000D1CBF"/>
    <w:rsid w:val="000D365C"/>
    <w:rsid w:val="000D3996"/>
    <w:rsid w:val="000D4355"/>
    <w:rsid w:val="000D622B"/>
    <w:rsid w:val="000D65CE"/>
    <w:rsid w:val="000D67DB"/>
    <w:rsid w:val="000D7305"/>
    <w:rsid w:val="000D7932"/>
    <w:rsid w:val="000E21A1"/>
    <w:rsid w:val="000E22AC"/>
    <w:rsid w:val="000E2520"/>
    <w:rsid w:val="000E2DF8"/>
    <w:rsid w:val="000E31FE"/>
    <w:rsid w:val="000E3C05"/>
    <w:rsid w:val="000E60C1"/>
    <w:rsid w:val="000E7323"/>
    <w:rsid w:val="000E7D60"/>
    <w:rsid w:val="000F3A22"/>
    <w:rsid w:val="000F44C3"/>
    <w:rsid w:val="000F56EF"/>
    <w:rsid w:val="000F7519"/>
    <w:rsid w:val="000F7750"/>
    <w:rsid w:val="000F7C8C"/>
    <w:rsid w:val="00100B64"/>
    <w:rsid w:val="001017A0"/>
    <w:rsid w:val="0010244B"/>
    <w:rsid w:val="001046B3"/>
    <w:rsid w:val="001103EA"/>
    <w:rsid w:val="00110989"/>
    <w:rsid w:val="00110CF7"/>
    <w:rsid w:val="00113110"/>
    <w:rsid w:val="00113D3F"/>
    <w:rsid w:val="001143D9"/>
    <w:rsid w:val="0011445D"/>
    <w:rsid w:val="00114D78"/>
    <w:rsid w:val="001159CB"/>
    <w:rsid w:val="0011600B"/>
    <w:rsid w:val="0011715B"/>
    <w:rsid w:val="00117DBA"/>
    <w:rsid w:val="001231C3"/>
    <w:rsid w:val="00127158"/>
    <w:rsid w:val="0013095D"/>
    <w:rsid w:val="00130EF1"/>
    <w:rsid w:val="00131490"/>
    <w:rsid w:val="00133189"/>
    <w:rsid w:val="00133398"/>
    <w:rsid w:val="00135790"/>
    <w:rsid w:val="00136CE4"/>
    <w:rsid w:val="0013736B"/>
    <w:rsid w:val="00142146"/>
    <w:rsid w:val="001432A3"/>
    <w:rsid w:val="001444B7"/>
    <w:rsid w:val="00144939"/>
    <w:rsid w:val="00145100"/>
    <w:rsid w:val="00145840"/>
    <w:rsid w:val="00145986"/>
    <w:rsid w:val="00145DC7"/>
    <w:rsid w:val="00146948"/>
    <w:rsid w:val="001509CC"/>
    <w:rsid w:val="001573C1"/>
    <w:rsid w:val="00161FB4"/>
    <w:rsid w:val="00162E3A"/>
    <w:rsid w:val="001639BD"/>
    <w:rsid w:val="00164ABC"/>
    <w:rsid w:val="00167304"/>
    <w:rsid w:val="0017050F"/>
    <w:rsid w:val="00170F94"/>
    <w:rsid w:val="00171920"/>
    <w:rsid w:val="0017249B"/>
    <w:rsid w:val="0017529D"/>
    <w:rsid w:val="00175505"/>
    <w:rsid w:val="0017594A"/>
    <w:rsid w:val="00175BBA"/>
    <w:rsid w:val="001762AF"/>
    <w:rsid w:val="00181D8A"/>
    <w:rsid w:val="0018214E"/>
    <w:rsid w:val="00183BF4"/>
    <w:rsid w:val="00184517"/>
    <w:rsid w:val="00184950"/>
    <w:rsid w:val="0018536D"/>
    <w:rsid w:val="001853D0"/>
    <w:rsid w:val="0018543F"/>
    <w:rsid w:val="00185B08"/>
    <w:rsid w:val="001869FD"/>
    <w:rsid w:val="00186A7C"/>
    <w:rsid w:val="0019163B"/>
    <w:rsid w:val="00191BEC"/>
    <w:rsid w:val="00192137"/>
    <w:rsid w:val="00192BDD"/>
    <w:rsid w:val="00194448"/>
    <w:rsid w:val="00195835"/>
    <w:rsid w:val="0019625B"/>
    <w:rsid w:val="0019711C"/>
    <w:rsid w:val="00197130"/>
    <w:rsid w:val="001A0FDE"/>
    <w:rsid w:val="001A2106"/>
    <w:rsid w:val="001A2556"/>
    <w:rsid w:val="001A542F"/>
    <w:rsid w:val="001A6058"/>
    <w:rsid w:val="001A6B8A"/>
    <w:rsid w:val="001A6E94"/>
    <w:rsid w:val="001B3936"/>
    <w:rsid w:val="001B4363"/>
    <w:rsid w:val="001B4390"/>
    <w:rsid w:val="001B5074"/>
    <w:rsid w:val="001B6395"/>
    <w:rsid w:val="001B68A0"/>
    <w:rsid w:val="001B6CF0"/>
    <w:rsid w:val="001B6FFB"/>
    <w:rsid w:val="001B70CF"/>
    <w:rsid w:val="001C0DB5"/>
    <w:rsid w:val="001C1303"/>
    <w:rsid w:val="001C1CFD"/>
    <w:rsid w:val="001C213D"/>
    <w:rsid w:val="001C216C"/>
    <w:rsid w:val="001C2206"/>
    <w:rsid w:val="001C327D"/>
    <w:rsid w:val="001C47E9"/>
    <w:rsid w:val="001C6E6D"/>
    <w:rsid w:val="001D1341"/>
    <w:rsid w:val="001D2289"/>
    <w:rsid w:val="001D3340"/>
    <w:rsid w:val="001D54C1"/>
    <w:rsid w:val="001D5BFB"/>
    <w:rsid w:val="001D60A9"/>
    <w:rsid w:val="001D6390"/>
    <w:rsid w:val="001D69F3"/>
    <w:rsid w:val="001E1777"/>
    <w:rsid w:val="001E1936"/>
    <w:rsid w:val="001E1B23"/>
    <w:rsid w:val="001E1FAF"/>
    <w:rsid w:val="001E2B9C"/>
    <w:rsid w:val="001E45FC"/>
    <w:rsid w:val="001E4D33"/>
    <w:rsid w:val="001E7F1B"/>
    <w:rsid w:val="001F06F3"/>
    <w:rsid w:val="001F1814"/>
    <w:rsid w:val="001F1E83"/>
    <w:rsid w:val="001F2E19"/>
    <w:rsid w:val="001F319C"/>
    <w:rsid w:val="001F3966"/>
    <w:rsid w:val="001F397E"/>
    <w:rsid w:val="001F5766"/>
    <w:rsid w:val="001F6188"/>
    <w:rsid w:val="001F670C"/>
    <w:rsid w:val="001F6D2D"/>
    <w:rsid w:val="0020027B"/>
    <w:rsid w:val="0020090D"/>
    <w:rsid w:val="00202B2F"/>
    <w:rsid w:val="00203926"/>
    <w:rsid w:val="00203DF8"/>
    <w:rsid w:val="00203E7F"/>
    <w:rsid w:val="0021256C"/>
    <w:rsid w:val="002129E5"/>
    <w:rsid w:val="002142C4"/>
    <w:rsid w:val="0021642F"/>
    <w:rsid w:val="00216638"/>
    <w:rsid w:val="00216BAC"/>
    <w:rsid w:val="00220910"/>
    <w:rsid w:val="00221BF6"/>
    <w:rsid w:val="002246A2"/>
    <w:rsid w:val="00224829"/>
    <w:rsid w:val="0022488F"/>
    <w:rsid w:val="00224A07"/>
    <w:rsid w:val="002256B3"/>
    <w:rsid w:val="00225878"/>
    <w:rsid w:val="0022588B"/>
    <w:rsid w:val="00227236"/>
    <w:rsid w:val="002308C1"/>
    <w:rsid w:val="00230C7E"/>
    <w:rsid w:val="00231090"/>
    <w:rsid w:val="00232986"/>
    <w:rsid w:val="00232B2F"/>
    <w:rsid w:val="002330B9"/>
    <w:rsid w:val="00233DEA"/>
    <w:rsid w:val="00233FF0"/>
    <w:rsid w:val="002356CB"/>
    <w:rsid w:val="002358E1"/>
    <w:rsid w:val="00236DD5"/>
    <w:rsid w:val="00237FB2"/>
    <w:rsid w:val="00240C31"/>
    <w:rsid w:val="00242316"/>
    <w:rsid w:val="00243060"/>
    <w:rsid w:val="002434A0"/>
    <w:rsid w:val="00244C2C"/>
    <w:rsid w:val="002466C1"/>
    <w:rsid w:val="0024701E"/>
    <w:rsid w:val="00250ECF"/>
    <w:rsid w:val="00252C88"/>
    <w:rsid w:val="00253502"/>
    <w:rsid w:val="002535DD"/>
    <w:rsid w:val="002550A5"/>
    <w:rsid w:val="002555DB"/>
    <w:rsid w:val="0025650A"/>
    <w:rsid w:val="0025708D"/>
    <w:rsid w:val="00257E0A"/>
    <w:rsid w:val="00261564"/>
    <w:rsid w:val="00261A12"/>
    <w:rsid w:val="00262061"/>
    <w:rsid w:val="0026338B"/>
    <w:rsid w:val="00263684"/>
    <w:rsid w:val="00263D59"/>
    <w:rsid w:val="00265209"/>
    <w:rsid w:val="0026658E"/>
    <w:rsid w:val="00266C2D"/>
    <w:rsid w:val="00267A15"/>
    <w:rsid w:val="00271832"/>
    <w:rsid w:val="002728C3"/>
    <w:rsid w:val="00272BC6"/>
    <w:rsid w:val="002731F7"/>
    <w:rsid w:val="00274A00"/>
    <w:rsid w:val="002756EB"/>
    <w:rsid w:val="00276A35"/>
    <w:rsid w:val="00276F36"/>
    <w:rsid w:val="00281992"/>
    <w:rsid w:val="002823ED"/>
    <w:rsid w:val="00282D68"/>
    <w:rsid w:val="002831C1"/>
    <w:rsid w:val="002863B0"/>
    <w:rsid w:val="00286D4E"/>
    <w:rsid w:val="002904C9"/>
    <w:rsid w:val="0029078E"/>
    <w:rsid w:val="00291A5E"/>
    <w:rsid w:val="00292BA2"/>
    <w:rsid w:val="002934A6"/>
    <w:rsid w:val="00295156"/>
    <w:rsid w:val="002958E0"/>
    <w:rsid w:val="00296095"/>
    <w:rsid w:val="00296677"/>
    <w:rsid w:val="00296A69"/>
    <w:rsid w:val="00297B53"/>
    <w:rsid w:val="002A02B7"/>
    <w:rsid w:val="002A0764"/>
    <w:rsid w:val="002A0B45"/>
    <w:rsid w:val="002A0E05"/>
    <w:rsid w:val="002A1499"/>
    <w:rsid w:val="002A22BC"/>
    <w:rsid w:val="002A3527"/>
    <w:rsid w:val="002A3692"/>
    <w:rsid w:val="002A497F"/>
    <w:rsid w:val="002A68B0"/>
    <w:rsid w:val="002B0D12"/>
    <w:rsid w:val="002B0F8A"/>
    <w:rsid w:val="002B1600"/>
    <w:rsid w:val="002B35E0"/>
    <w:rsid w:val="002B3B56"/>
    <w:rsid w:val="002B4DEE"/>
    <w:rsid w:val="002B562D"/>
    <w:rsid w:val="002B5C55"/>
    <w:rsid w:val="002B6378"/>
    <w:rsid w:val="002C0DD9"/>
    <w:rsid w:val="002C1B9C"/>
    <w:rsid w:val="002C2F89"/>
    <w:rsid w:val="002C2FCD"/>
    <w:rsid w:val="002C310E"/>
    <w:rsid w:val="002C3469"/>
    <w:rsid w:val="002C3811"/>
    <w:rsid w:val="002C412F"/>
    <w:rsid w:val="002C65DC"/>
    <w:rsid w:val="002C699D"/>
    <w:rsid w:val="002C6C8C"/>
    <w:rsid w:val="002C7F76"/>
    <w:rsid w:val="002D0616"/>
    <w:rsid w:val="002D0BA0"/>
    <w:rsid w:val="002D1911"/>
    <w:rsid w:val="002D249A"/>
    <w:rsid w:val="002D24CC"/>
    <w:rsid w:val="002D39EA"/>
    <w:rsid w:val="002D7222"/>
    <w:rsid w:val="002E0288"/>
    <w:rsid w:val="002E24E5"/>
    <w:rsid w:val="002E2D9E"/>
    <w:rsid w:val="002E38B7"/>
    <w:rsid w:val="002E4849"/>
    <w:rsid w:val="002E4D2F"/>
    <w:rsid w:val="002E5643"/>
    <w:rsid w:val="002E5C7F"/>
    <w:rsid w:val="002E6EFB"/>
    <w:rsid w:val="002F13B3"/>
    <w:rsid w:val="002F1F76"/>
    <w:rsid w:val="002F423D"/>
    <w:rsid w:val="002F4380"/>
    <w:rsid w:val="002F634F"/>
    <w:rsid w:val="002F6752"/>
    <w:rsid w:val="002F7E4D"/>
    <w:rsid w:val="003000C1"/>
    <w:rsid w:val="00302F8E"/>
    <w:rsid w:val="00303562"/>
    <w:rsid w:val="00303D74"/>
    <w:rsid w:val="00305130"/>
    <w:rsid w:val="00305FA6"/>
    <w:rsid w:val="00306818"/>
    <w:rsid w:val="0030681C"/>
    <w:rsid w:val="0030758C"/>
    <w:rsid w:val="00311FB6"/>
    <w:rsid w:val="003123C8"/>
    <w:rsid w:val="0031324E"/>
    <w:rsid w:val="00313895"/>
    <w:rsid w:val="00314BB1"/>
    <w:rsid w:val="00315801"/>
    <w:rsid w:val="00316030"/>
    <w:rsid w:val="00316891"/>
    <w:rsid w:val="003220E1"/>
    <w:rsid w:val="00323721"/>
    <w:rsid w:val="003242D0"/>
    <w:rsid w:val="00327C59"/>
    <w:rsid w:val="00327F84"/>
    <w:rsid w:val="00331757"/>
    <w:rsid w:val="003317C8"/>
    <w:rsid w:val="003328B2"/>
    <w:rsid w:val="003328C6"/>
    <w:rsid w:val="003329C7"/>
    <w:rsid w:val="0033439B"/>
    <w:rsid w:val="00336238"/>
    <w:rsid w:val="00336705"/>
    <w:rsid w:val="00337127"/>
    <w:rsid w:val="00341525"/>
    <w:rsid w:val="003425E7"/>
    <w:rsid w:val="00343958"/>
    <w:rsid w:val="00343D8C"/>
    <w:rsid w:val="0034522D"/>
    <w:rsid w:val="0034654D"/>
    <w:rsid w:val="00346ACC"/>
    <w:rsid w:val="00347C9C"/>
    <w:rsid w:val="0035088F"/>
    <w:rsid w:val="00350E26"/>
    <w:rsid w:val="0035100F"/>
    <w:rsid w:val="00354571"/>
    <w:rsid w:val="003546C2"/>
    <w:rsid w:val="00354F96"/>
    <w:rsid w:val="00355BB8"/>
    <w:rsid w:val="00357AEE"/>
    <w:rsid w:val="0036050D"/>
    <w:rsid w:val="00360950"/>
    <w:rsid w:val="0036280F"/>
    <w:rsid w:val="00362860"/>
    <w:rsid w:val="00362AF9"/>
    <w:rsid w:val="00364879"/>
    <w:rsid w:val="00364CDA"/>
    <w:rsid w:val="0036560B"/>
    <w:rsid w:val="00371587"/>
    <w:rsid w:val="00371A3D"/>
    <w:rsid w:val="00372036"/>
    <w:rsid w:val="003727C8"/>
    <w:rsid w:val="003728DC"/>
    <w:rsid w:val="00372B5E"/>
    <w:rsid w:val="00372CD9"/>
    <w:rsid w:val="00373C08"/>
    <w:rsid w:val="00373F67"/>
    <w:rsid w:val="00374FFE"/>
    <w:rsid w:val="003755CA"/>
    <w:rsid w:val="00375CD6"/>
    <w:rsid w:val="003775CB"/>
    <w:rsid w:val="00377C5B"/>
    <w:rsid w:val="00377E45"/>
    <w:rsid w:val="003800B5"/>
    <w:rsid w:val="0038293F"/>
    <w:rsid w:val="00384E78"/>
    <w:rsid w:val="00385462"/>
    <w:rsid w:val="00386A3F"/>
    <w:rsid w:val="00386C78"/>
    <w:rsid w:val="00390129"/>
    <w:rsid w:val="00390AA0"/>
    <w:rsid w:val="00390C39"/>
    <w:rsid w:val="00391204"/>
    <w:rsid w:val="003913F9"/>
    <w:rsid w:val="003922C8"/>
    <w:rsid w:val="003924B4"/>
    <w:rsid w:val="00392D31"/>
    <w:rsid w:val="00392E13"/>
    <w:rsid w:val="003931FA"/>
    <w:rsid w:val="00393F7E"/>
    <w:rsid w:val="00393FFF"/>
    <w:rsid w:val="0039434C"/>
    <w:rsid w:val="00394B19"/>
    <w:rsid w:val="00394BB9"/>
    <w:rsid w:val="00394F64"/>
    <w:rsid w:val="00395C52"/>
    <w:rsid w:val="0039670D"/>
    <w:rsid w:val="003A02B4"/>
    <w:rsid w:val="003A30FF"/>
    <w:rsid w:val="003A375C"/>
    <w:rsid w:val="003A3AB3"/>
    <w:rsid w:val="003A4266"/>
    <w:rsid w:val="003A4C50"/>
    <w:rsid w:val="003A575F"/>
    <w:rsid w:val="003A6B56"/>
    <w:rsid w:val="003B0544"/>
    <w:rsid w:val="003B0721"/>
    <w:rsid w:val="003B20EA"/>
    <w:rsid w:val="003B324A"/>
    <w:rsid w:val="003B3466"/>
    <w:rsid w:val="003B5541"/>
    <w:rsid w:val="003B67FE"/>
    <w:rsid w:val="003B6E57"/>
    <w:rsid w:val="003B7FD0"/>
    <w:rsid w:val="003C032E"/>
    <w:rsid w:val="003C28CD"/>
    <w:rsid w:val="003C717D"/>
    <w:rsid w:val="003C7190"/>
    <w:rsid w:val="003D0F10"/>
    <w:rsid w:val="003D2BAE"/>
    <w:rsid w:val="003D2D2A"/>
    <w:rsid w:val="003D555F"/>
    <w:rsid w:val="003E065C"/>
    <w:rsid w:val="003E21FB"/>
    <w:rsid w:val="003E28D2"/>
    <w:rsid w:val="003E321B"/>
    <w:rsid w:val="003E3310"/>
    <w:rsid w:val="003E3EE3"/>
    <w:rsid w:val="003E6B42"/>
    <w:rsid w:val="003F2C4C"/>
    <w:rsid w:val="003F2EA4"/>
    <w:rsid w:val="003F4DF7"/>
    <w:rsid w:val="003F68F2"/>
    <w:rsid w:val="004006BD"/>
    <w:rsid w:val="0040157F"/>
    <w:rsid w:val="0040214E"/>
    <w:rsid w:val="004036DD"/>
    <w:rsid w:val="00407AD3"/>
    <w:rsid w:val="00410024"/>
    <w:rsid w:val="0041034F"/>
    <w:rsid w:val="00410B99"/>
    <w:rsid w:val="00410D1E"/>
    <w:rsid w:val="0041131E"/>
    <w:rsid w:val="00411716"/>
    <w:rsid w:val="004129B6"/>
    <w:rsid w:val="004129CF"/>
    <w:rsid w:val="00412C5D"/>
    <w:rsid w:val="00412F43"/>
    <w:rsid w:val="0041307A"/>
    <w:rsid w:val="004136C8"/>
    <w:rsid w:val="00413B3A"/>
    <w:rsid w:val="00413D3B"/>
    <w:rsid w:val="004142EB"/>
    <w:rsid w:val="004146CB"/>
    <w:rsid w:val="00414EEC"/>
    <w:rsid w:val="00416493"/>
    <w:rsid w:val="0041663B"/>
    <w:rsid w:val="00416BC6"/>
    <w:rsid w:val="004214AB"/>
    <w:rsid w:val="00421FF0"/>
    <w:rsid w:val="00423480"/>
    <w:rsid w:val="00423AD8"/>
    <w:rsid w:val="00425213"/>
    <w:rsid w:val="004264EA"/>
    <w:rsid w:val="00426F76"/>
    <w:rsid w:val="00427437"/>
    <w:rsid w:val="00430FD8"/>
    <w:rsid w:val="00431825"/>
    <w:rsid w:val="0043219F"/>
    <w:rsid w:val="00432432"/>
    <w:rsid w:val="0043426E"/>
    <w:rsid w:val="004354E2"/>
    <w:rsid w:val="00435791"/>
    <w:rsid w:val="00435B1B"/>
    <w:rsid w:val="00436308"/>
    <w:rsid w:val="00436553"/>
    <w:rsid w:val="004370CA"/>
    <w:rsid w:val="00437641"/>
    <w:rsid w:val="00437FC7"/>
    <w:rsid w:val="00440301"/>
    <w:rsid w:val="00440BCD"/>
    <w:rsid w:val="0044298B"/>
    <w:rsid w:val="00443C73"/>
    <w:rsid w:val="00443F3C"/>
    <w:rsid w:val="00445965"/>
    <w:rsid w:val="00445C25"/>
    <w:rsid w:val="00450890"/>
    <w:rsid w:val="004511BE"/>
    <w:rsid w:val="004519A3"/>
    <w:rsid w:val="0045225F"/>
    <w:rsid w:val="0045249B"/>
    <w:rsid w:val="00452E47"/>
    <w:rsid w:val="00453DBC"/>
    <w:rsid w:val="00454613"/>
    <w:rsid w:val="0045489A"/>
    <w:rsid w:val="00454D8C"/>
    <w:rsid w:val="00455103"/>
    <w:rsid w:val="004557C5"/>
    <w:rsid w:val="0045612C"/>
    <w:rsid w:val="004569D0"/>
    <w:rsid w:val="00460679"/>
    <w:rsid w:val="00460B97"/>
    <w:rsid w:val="004619ED"/>
    <w:rsid w:val="0046234F"/>
    <w:rsid w:val="00462943"/>
    <w:rsid w:val="004633A9"/>
    <w:rsid w:val="00464343"/>
    <w:rsid w:val="004648A8"/>
    <w:rsid w:val="00466D36"/>
    <w:rsid w:val="00470076"/>
    <w:rsid w:val="0047092E"/>
    <w:rsid w:val="00471741"/>
    <w:rsid w:val="004731DA"/>
    <w:rsid w:val="0047328D"/>
    <w:rsid w:val="004742E6"/>
    <w:rsid w:val="0047581F"/>
    <w:rsid w:val="00477141"/>
    <w:rsid w:val="00480D32"/>
    <w:rsid w:val="004810A0"/>
    <w:rsid w:val="00487851"/>
    <w:rsid w:val="00490CEA"/>
    <w:rsid w:val="004949DB"/>
    <w:rsid w:val="004953B6"/>
    <w:rsid w:val="00495AFC"/>
    <w:rsid w:val="0049608B"/>
    <w:rsid w:val="0049661F"/>
    <w:rsid w:val="00496882"/>
    <w:rsid w:val="004A171A"/>
    <w:rsid w:val="004A19D1"/>
    <w:rsid w:val="004A57DC"/>
    <w:rsid w:val="004A5AB3"/>
    <w:rsid w:val="004A5C4E"/>
    <w:rsid w:val="004A6706"/>
    <w:rsid w:val="004A7AFD"/>
    <w:rsid w:val="004A7B96"/>
    <w:rsid w:val="004B1427"/>
    <w:rsid w:val="004B158D"/>
    <w:rsid w:val="004B6406"/>
    <w:rsid w:val="004B64DE"/>
    <w:rsid w:val="004C05FB"/>
    <w:rsid w:val="004C0697"/>
    <w:rsid w:val="004C06BD"/>
    <w:rsid w:val="004C1189"/>
    <w:rsid w:val="004C12B7"/>
    <w:rsid w:val="004C28EC"/>
    <w:rsid w:val="004C34D2"/>
    <w:rsid w:val="004C4CA6"/>
    <w:rsid w:val="004C5552"/>
    <w:rsid w:val="004C5981"/>
    <w:rsid w:val="004C6B65"/>
    <w:rsid w:val="004C7541"/>
    <w:rsid w:val="004D0FF7"/>
    <w:rsid w:val="004D11EF"/>
    <w:rsid w:val="004D1AE2"/>
    <w:rsid w:val="004D4A50"/>
    <w:rsid w:val="004D4A8C"/>
    <w:rsid w:val="004D6FBC"/>
    <w:rsid w:val="004D7732"/>
    <w:rsid w:val="004D7A68"/>
    <w:rsid w:val="004E1ED8"/>
    <w:rsid w:val="004E1F8F"/>
    <w:rsid w:val="004E2B14"/>
    <w:rsid w:val="004E3974"/>
    <w:rsid w:val="004E41DF"/>
    <w:rsid w:val="004E4267"/>
    <w:rsid w:val="004E5540"/>
    <w:rsid w:val="004E5E78"/>
    <w:rsid w:val="004F5026"/>
    <w:rsid w:val="004F58F8"/>
    <w:rsid w:val="004F6EB8"/>
    <w:rsid w:val="004F7890"/>
    <w:rsid w:val="00500951"/>
    <w:rsid w:val="005022B3"/>
    <w:rsid w:val="00502C70"/>
    <w:rsid w:val="00502DB0"/>
    <w:rsid w:val="00505AB3"/>
    <w:rsid w:val="00507DA8"/>
    <w:rsid w:val="0051001F"/>
    <w:rsid w:val="0051054D"/>
    <w:rsid w:val="00511BE2"/>
    <w:rsid w:val="00511C3F"/>
    <w:rsid w:val="00512585"/>
    <w:rsid w:val="00512CEF"/>
    <w:rsid w:val="005138F0"/>
    <w:rsid w:val="00513C90"/>
    <w:rsid w:val="005148A3"/>
    <w:rsid w:val="00514FF6"/>
    <w:rsid w:val="0052010D"/>
    <w:rsid w:val="005222F2"/>
    <w:rsid w:val="00522DBD"/>
    <w:rsid w:val="0052471D"/>
    <w:rsid w:val="00525303"/>
    <w:rsid w:val="00525913"/>
    <w:rsid w:val="00525F87"/>
    <w:rsid w:val="005272DE"/>
    <w:rsid w:val="0052794E"/>
    <w:rsid w:val="00527FCF"/>
    <w:rsid w:val="00530276"/>
    <w:rsid w:val="0053037E"/>
    <w:rsid w:val="00530DD6"/>
    <w:rsid w:val="00531649"/>
    <w:rsid w:val="0053387E"/>
    <w:rsid w:val="00534031"/>
    <w:rsid w:val="00537416"/>
    <w:rsid w:val="00537944"/>
    <w:rsid w:val="00537DA0"/>
    <w:rsid w:val="00540E3C"/>
    <w:rsid w:val="00541026"/>
    <w:rsid w:val="00541DE5"/>
    <w:rsid w:val="00543542"/>
    <w:rsid w:val="0054461B"/>
    <w:rsid w:val="00546F5E"/>
    <w:rsid w:val="005470C5"/>
    <w:rsid w:val="00547340"/>
    <w:rsid w:val="005521BB"/>
    <w:rsid w:val="00552355"/>
    <w:rsid w:val="00553ABC"/>
    <w:rsid w:val="00556235"/>
    <w:rsid w:val="00557172"/>
    <w:rsid w:val="0056002D"/>
    <w:rsid w:val="0056316F"/>
    <w:rsid w:val="0056332C"/>
    <w:rsid w:val="00564D93"/>
    <w:rsid w:val="00566913"/>
    <w:rsid w:val="005674E4"/>
    <w:rsid w:val="0057104C"/>
    <w:rsid w:val="00571E4D"/>
    <w:rsid w:val="0057280F"/>
    <w:rsid w:val="00572837"/>
    <w:rsid w:val="0057354A"/>
    <w:rsid w:val="005736F9"/>
    <w:rsid w:val="0057504F"/>
    <w:rsid w:val="005751A1"/>
    <w:rsid w:val="005760D6"/>
    <w:rsid w:val="0058032D"/>
    <w:rsid w:val="00581167"/>
    <w:rsid w:val="0058143C"/>
    <w:rsid w:val="005815B1"/>
    <w:rsid w:val="005819D3"/>
    <w:rsid w:val="00586624"/>
    <w:rsid w:val="005901B8"/>
    <w:rsid w:val="00590D0A"/>
    <w:rsid w:val="0059131A"/>
    <w:rsid w:val="00592C67"/>
    <w:rsid w:val="00592CD0"/>
    <w:rsid w:val="0059398F"/>
    <w:rsid w:val="00593D06"/>
    <w:rsid w:val="00594A49"/>
    <w:rsid w:val="00594A67"/>
    <w:rsid w:val="005A127A"/>
    <w:rsid w:val="005A47A5"/>
    <w:rsid w:val="005A60B9"/>
    <w:rsid w:val="005A685A"/>
    <w:rsid w:val="005A7299"/>
    <w:rsid w:val="005A76AC"/>
    <w:rsid w:val="005B11EA"/>
    <w:rsid w:val="005B53DE"/>
    <w:rsid w:val="005B5AB5"/>
    <w:rsid w:val="005B5CA5"/>
    <w:rsid w:val="005B5E80"/>
    <w:rsid w:val="005B67E4"/>
    <w:rsid w:val="005B73FA"/>
    <w:rsid w:val="005B7FD3"/>
    <w:rsid w:val="005C168D"/>
    <w:rsid w:val="005C2B2E"/>
    <w:rsid w:val="005C399A"/>
    <w:rsid w:val="005C4BE0"/>
    <w:rsid w:val="005C60A9"/>
    <w:rsid w:val="005C63F2"/>
    <w:rsid w:val="005C7251"/>
    <w:rsid w:val="005C7AA1"/>
    <w:rsid w:val="005C7E9B"/>
    <w:rsid w:val="005D0EC5"/>
    <w:rsid w:val="005D3063"/>
    <w:rsid w:val="005D405F"/>
    <w:rsid w:val="005D7495"/>
    <w:rsid w:val="005D7D88"/>
    <w:rsid w:val="005E0155"/>
    <w:rsid w:val="005E0539"/>
    <w:rsid w:val="005E06D2"/>
    <w:rsid w:val="005E0BC6"/>
    <w:rsid w:val="005E0F34"/>
    <w:rsid w:val="005E0FD9"/>
    <w:rsid w:val="005E1849"/>
    <w:rsid w:val="005E1AFF"/>
    <w:rsid w:val="005E1FD0"/>
    <w:rsid w:val="005E2180"/>
    <w:rsid w:val="005E2DE5"/>
    <w:rsid w:val="005E5492"/>
    <w:rsid w:val="005E6625"/>
    <w:rsid w:val="005E66F0"/>
    <w:rsid w:val="005E7088"/>
    <w:rsid w:val="005E7255"/>
    <w:rsid w:val="005F0AFD"/>
    <w:rsid w:val="005F18B3"/>
    <w:rsid w:val="005F38BF"/>
    <w:rsid w:val="005F465B"/>
    <w:rsid w:val="005F6D99"/>
    <w:rsid w:val="00601097"/>
    <w:rsid w:val="006014C0"/>
    <w:rsid w:val="00604E83"/>
    <w:rsid w:val="0060614D"/>
    <w:rsid w:val="00606164"/>
    <w:rsid w:val="006064F9"/>
    <w:rsid w:val="00606EC7"/>
    <w:rsid w:val="00607843"/>
    <w:rsid w:val="0061038F"/>
    <w:rsid w:val="00610722"/>
    <w:rsid w:val="006123FE"/>
    <w:rsid w:val="00616008"/>
    <w:rsid w:val="0061680F"/>
    <w:rsid w:val="0061709D"/>
    <w:rsid w:val="006177E7"/>
    <w:rsid w:val="006204AE"/>
    <w:rsid w:val="006213D2"/>
    <w:rsid w:val="00622218"/>
    <w:rsid w:val="00622BFF"/>
    <w:rsid w:val="00622C98"/>
    <w:rsid w:val="006239AA"/>
    <w:rsid w:val="00624852"/>
    <w:rsid w:val="00624AB3"/>
    <w:rsid w:val="006258DE"/>
    <w:rsid w:val="0062617B"/>
    <w:rsid w:val="00626A24"/>
    <w:rsid w:val="00631D6D"/>
    <w:rsid w:val="00632A51"/>
    <w:rsid w:val="00633121"/>
    <w:rsid w:val="00633A91"/>
    <w:rsid w:val="00633F3D"/>
    <w:rsid w:val="006345FA"/>
    <w:rsid w:val="00635C95"/>
    <w:rsid w:val="00637E48"/>
    <w:rsid w:val="00640531"/>
    <w:rsid w:val="00641BE5"/>
    <w:rsid w:val="00641F5E"/>
    <w:rsid w:val="00643A6A"/>
    <w:rsid w:val="00645F7D"/>
    <w:rsid w:val="00646305"/>
    <w:rsid w:val="0065165D"/>
    <w:rsid w:val="00651A53"/>
    <w:rsid w:val="00651BA4"/>
    <w:rsid w:val="00651BAC"/>
    <w:rsid w:val="00654DE7"/>
    <w:rsid w:val="006562F6"/>
    <w:rsid w:val="006564F3"/>
    <w:rsid w:val="00657193"/>
    <w:rsid w:val="00657213"/>
    <w:rsid w:val="0065769A"/>
    <w:rsid w:val="00657E3B"/>
    <w:rsid w:val="006606C8"/>
    <w:rsid w:val="006618EA"/>
    <w:rsid w:val="00662092"/>
    <w:rsid w:val="006635A1"/>
    <w:rsid w:val="006638F8"/>
    <w:rsid w:val="006641AF"/>
    <w:rsid w:val="00665389"/>
    <w:rsid w:val="00665C32"/>
    <w:rsid w:val="00666C0D"/>
    <w:rsid w:val="00666FEB"/>
    <w:rsid w:val="00667B0C"/>
    <w:rsid w:val="00670A49"/>
    <w:rsid w:val="0067274C"/>
    <w:rsid w:val="0067526C"/>
    <w:rsid w:val="00676837"/>
    <w:rsid w:val="00677FD9"/>
    <w:rsid w:val="00681706"/>
    <w:rsid w:val="00681E98"/>
    <w:rsid w:val="00682432"/>
    <w:rsid w:val="006828E9"/>
    <w:rsid w:val="0068319C"/>
    <w:rsid w:val="00684802"/>
    <w:rsid w:val="006850EA"/>
    <w:rsid w:val="00686876"/>
    <w:rsid w:val="006908E0"/>
    <w:rsid w:val="006919DE"/>
    <w:rsid w:val="006927E1"/>
    <w:rsid w:val="006931DF"/>
    <w:rsid w:val="00693AE1"/>
    <w:rsid w:val="00693B9B"/>
    <w:rsid w:val="006947DD"/>
    <w:rsid w:val="00694DC5"/>
    <w:rsid w:val="006954E7"/>
    <w:rsid w:val="00695B47"/>
    <w:rsid w:val="0069780C"/>
    <w:rsid w:val="006A29ED"/>
    <w:rsid w:val="006A2E28"/>
    <w:rsid w:val="006A2F6E"/>
    <w:rsid w:val="006A573D"/>
    <w:rsid w:val="006A74A4"/>
    <w:rsid w:val="006A7A26"/>
    <w:rsid w:val="006B0AB1"/>
    <w:rsid w:val="006B1ACC"/>
    <w:rsid w:val="006B228B"/>
    <w:rsid w:val="006B25AF"/>
    <w:rsid w:val="006B3B50"/>
    <w:rsid w:val="006B41D4"/>
    <w:rsid w:val="006B6F66"/>
    <w:rsid w:val="006B7F7E"/>
    <w:rsid w:val="006C024C"/>
    <w:rsid w:val="006C1E54"/>
    <w:rsid w:val="006C5711"/>
    <w:rsid w:val="006C5741"/>
    <w:rsid w:val="006C68FF"/>
    <w:rsid w:val="006D0EE5"/>
    <w:rsid w:val="006D2132"/>
    <w:rsid w:val="006D224B"/>
    <w:rsid w:val="006D2622"/>
    <w:rsid w:val="006D2BDF"/>
    <w:rsid w:val="006D35BB"/>
    <w:rsid w:val="006D4531"/>
    <w:rsid w:val="006D5361"/>
    <w:rsid w:val="006D5FBB"/>
    <w:rsid w:val="006E00DD"/>
    <w:rsid w:val="006E0281"/>
    <w:rsid w:val="006E2E15"/>
    <w:rsid w:val="006E38F6"/>
    <w:rsid w:val="006E4023"/>
    <w:rsid w:val="006E4C2E"/>
    <w:rsid w:val="006E51B9"/>
    <w:rsid w:val="006E5DB9"/>
    <w:rsid w:val="006E622C"/>
    <w:rsid w:val="006E712F"/>
    <w:rsid w:val="006E7348"/>
    <w:rsid w:val="006F1861"/>
    <w:rsid w:val="006F21DD"/>
    <w:rsid w:val="006F3C03"/>
    <w:rsid w:val="006F4338"/>
    <w:rsid w:val="006F6447"/>
    <w:rsid w:val="006F701E"/>
    <w:rsid w:val="006F797A"/>
    <w:rsid w:val="006F7CB9"/>
    <w:rsid w:val="00700284"/>
    <w:rsid w:val="007006E9"/>
    <w:rsid w:val="007007F8"/>
    <w:rsid w:val="007043D4"/>
    <w:rsid w:val="007051A7"/>
    <w:rsid w:val="00706523"/>
    <w:rsid w:val="00706B5E"/>
    <w:rsid w:val="0071010D"/>
    <w:rsid w:val="0071537F"/>
    <w:rsid w:val="007161AE"/>
    <w:rsid w:val="007162B0"/>
    <w:rsid w:val="00716A95"/>
    <w:rsid w:val="00717BF7"/>
    <w:rsid w:val="00721A5D"/>
    <w:rsid w:val="00721EB8"/>
    <w:rsid w:val="007229C1"/>
    <w:rsid w:val="00723043"/>
    <w:rsid w:val="00724198"/>
    <w:rsid w:val="0072646C"/>
    <w:rsid w:val="00726718"/>
    <w:rsid w:val="00730FE4"/>
    <w:rsid w:val="007313EA"/>
    <w:rsid w:val="00732B15"/>
    <w:rsid w:val="00733E9F"/>
    <w:rsid w:val="00734D04"/>
    <w:rsid w:val="0073566F"/>
    <w:rsid w:val="00735895"/>
    <w:rsid w:val="00736AA2"/>
    <w:rsid w:val="00737797"/>
    <w:rsid w:val="0074141D"/>
    <w:rsid w:val="00743F02"/>
    <w:rsid w:val="007459C3"/>
    <w:rsid w:val="007463D7"/>
    <w:rsid w:val="00746C93"/>
    <w:rsid w:val="00751A9D"/>
    <w:rsid w:val="007523D0"/>
    <w:rsid w:val="00752755"/>
    <w:rsid w:val="007527F2"/>
    <w:rsid w:val="00752EB2"/>
    <w:rsid w:val="007536AE"/>
    <w:rsid w:val="007537FB"/>
    <w:rsid w:val="00755A36"/>
    <w:rsid w:val="00762453"/>
    <w:rsid w:val="00763050"/>
    <w:rsid w:val="007634CF"/>
    <w:rsid w:val="007644EA"/>
    <w:rsid w:val="0076467F"/>
    <w:rsid w:val="00764AFE"/>
    <w:rsid w:val="007652B9"/>
    <w:rsid w:val="007656FA"/>
    <w:rsid w:val="00766279"/>
    <w:rsid w:val="007669E5"/>
    <w:rsid w:val="0076715C"/>
    <w:rsid w:val="00770271"/>
    <w:rsid w:val="00772FB8"/>
    <w:rsid w:val="007736F6"/>
    <w:rsid w:val="0077379B"/>
    <w:rsid w:val="00775CE6"/>
    <w:rsid w:val="00775EBC"/>
    <w:rsid w:val="00776087"/>
    <w:rsid w:val="007763D0"/>
    <w:rsid w:val="00776714"/>
    <w:rsid w:val="0077671E"/>
    <w:rsid w:val="007829A0"/>
    <w:rsid w:val="00782BB4"/>
    <w:rsid w:val="007845AF"/>
    <w:rsid w:val="007849BE"/>
    <w:rsid w:val="00785893"/>
    <w:rsid w:val="00785B80"/>
    <w:rsid w:val="00786ABB"/>
    <w:rsid w:val="007902FD"/>
    <w:rsid w:val="00790448"/>
    <w:rsid w:val="00790621"/>
    <w:rsid w:val="0079069C"/>
    <w:rsid w:val="007912CF"/>
    <w:rsid w:val="00791F2A"/>
    <w:rsid w:val="00792A99"/>
    <w:rsid w:val="00792B36"/>
    <w:rsid w:val="007A0863"/>
    <w:rsid w:val="007A1D4B"/>
    <w:rsid w:val="007A23B6"/>
    <w:rsid w:val="007A3942"/>
    <w:rsid w:val="007A3B69"/>
    <w:rsid w:val="007A458C"/>
    <w:rsid w:val="007A4D9C"/>
    <w:rsid w:val="007A50E3"/>
    <w:rsid w:val="007A5AD6"/>
    <w:rsid w:val="007A5C16"/>
    <w:rsid w:val="007A6010"/>
    <w:rsid w:val="007A6828"/>
    <w:rsid w:val="007B0552"/>
    <w:rsid w:val="007B0656"/>
    <w:rsid w:val="007B11D6"/>
    <w:rsid w:val="007B1620"/>
    <w:rsid w:val="007B1F30"/>
    <w:rsid w:val="007B3160"/>
    <w:rsid w:val="007B36CB"/>
    <w:rsid w:val="007B4B5B"/>
    <w:rsid w:val="007B638D"/>
    <w:rsid w:val="007B7A63"/>
    <w:rsid w:val="007B7A7E"/>
    <w:rsid w:val="007C225D"/>
    <w:rsid w:val="007C26AF"/>
    <w:rsid w:val="007C2BAC"/>
    <w:rsid w:val="007C46BE"/>
    <w:rsid w:val="007C611C"/>
    <w:rsid w:val="007D0366"/>
    <w:rsid w:val="007D0448"/>
    <w:rsid w:val="007D2457"/>
    <w:rsid w:val="007D2EF8"/>
    <w:rsid w:val="007D3F48"/>
    <w:rsid w:val="007D45A0"/>
    <w:rsid w:val="007D64C0"/>
    <w:rsid w:val="007D7184"/>
    <w:rsid w:val="007D7F0B"/>
    <w:rsid w:val="007E30AA"/>
    <w:rsid w:val="007E3C9F"/>
    <w:rsid w:val="007E73BF"/>
    <w:rsid w:val="007E753E"/>
    <w:rsid w:val="007F06C3"/>
    <w:rsid w:val="007F0875"/>
    <w:rsid w:val="007F0DB7"/>
    <w:rsid w:val="007F1F5A"/>
    <w:rsid w:val="007F2263"/>
    <w:rsid w:val="007F252E"/>
    <w:rsid w:val="007F29DE"/>
    <w:rsid w:val="007F78D8"/>
    <w:rsid w:val="008001F5"/>
    <w:rsid w:val="008007F5"/>
    <w:rsid w:val="008009B5"/>
    <w:rsid w:val="00800E58"/>
    <w:rsid w:val="00801292"/>
    <w:rsid w:val="00801D2F"/>
    <w:rsid w:val="00803732"/>
    <w:rsid w:val="0080460B"/>
    <w:rsid w:val="00807BF4"/>
    <w:rsid w:val="00807F29"/>
    <w:rsid w:val="00812BBC"/>
    <w:rsid w:val="008138AF"/>
    <w:rsid w:val="00813937"/>
    <w:rsid w:val="00814AD6"/>
    <w:rsid w:val="00815403"/>
    <w:rsid w:val="008158EC"/>
    <w:rsid w:val="0081659B"/>
    <w:rsid w:val="0081694B"/>
    <w:rsid w:val="00816FF8"/>
    <w:rsid w:val="008171C1"/>
    <w:rsid w:val="008215DF"/>
    <w:rsid w:val="008226A6"/>
    <w:rsid w:val="0082500E"/>
    <w:rsid w:val="0082530D"/>
    <w:rsid w:val="00825AA1"/>
    <w:rsid w:val="00826AB5"/>
    <w:rsid w:val="00827DF4"/>
    <w:rsid w:val="00830B06"/>
    <w:rsid w:val="008317ED"/>
    <w:rsid w:val="0083247B"/>
    <w:rsid w:val="00832E49"/>
    <w:rsid w:val="008337A4"/>
    <w:rsid w:val="00833A4E"/>
    <w:rsid w:val="00834913"/>
    <w:rsid w:val="0083584B"/>
    <w:rsid w:val="00836D8B"/>
    <w:rsid w:val="008375A0"/>
    <w:rsid w:val="008375F0"/>
    <w:rsid w:val="00840625"/>
    <w:rsid w:val="00843E50"/>
    <w:rsid w:val="008446DD"/>
    <w:rsid w:val="008456D3"/>
    <w:rsid w:val="00850EBF"/>
    <w:rsid w:val="00852E3B"/>
    <w:rsid w:val="0085390D"/>
    <w:rsid w:val="00854807"/>
    <w:rsid w:val="00855746"/>
    <w:rsid w:val="00855AD0"/>
    <w:rsid w:val="008601B2"/>
    <w:rsid w:val="00860780"/>
    <w:rsid w:val="00861BFA"/>
    <w:rsid w:val="008636DB"/>
    <w:rsid w:val="00863E19"/>
    <w:rsid w:val="008642F8"/>
    <w:rsid w:val="0086514D"/>
    <w:rsid w:val="00865F03"/>
    <w:rsid w:val="00866388"/>
    <w:rsid w:val="0086662D"/>
    <w:rsid w:val="00867311"/>
    <w:rsid w:val="008677B9"/>
    <w:rsid w:val="00870F86"/>
    <w:rsid w:val="00872223"/>
    <w:rsid w:val="00872DD6"/>
    <w:rsid w:val="00873B0F"/>
    <w:rsid w:val="00874162"/>
    <w:rsid w:val="0087439E"/>
    <w:rsid w:val="00875374"/>
    <w:rsid w:val="00875631"/>
    <w:rsid w:val="00875982"/>
    <w:rsid w:val="00876007"/>
    <w:rsid w:val="008801D0"/>
    <w:rsid w:val="00880298"/>
    <w:rsid w:val="008810B8"/>
    <w:rsid w:val="0088182A"/>
    <w:rsid w:val="00881883"/>
    <w:rsid w:val="008825A1"/>
    <w:rsid w:val="00882BC6"/>
    <w:rsid w:val="00882DF3"/>
    <w:rsid w:val="00884093"/>
    <w:rsid w:val="00884D3A"/>
    <w:rsid w:val="00885B2F"/>
    <w:rsid w:val="00885DD4"/>
    <w:rsid w:val="00887857"/>
    <w:rsid w:val="00890D9F"/>
    <w:rsid w:val="00891CE8"/>
    <w:rsid w:val="00891F9F"/>
    <w:rsid w:val="008920F1"/>
    <w:rsid w:val="00894694"/>
    <w:rsid w:val="008949C5"/>
    <w:rsid w:val="00897254"/>
    <w:rsid w:val="00897A87"/>
    <w:rsid w:val="00897D27"/>
    <w:rsid w:val="008A031A"/>
    <w:rsid w:val="008A117F"/>
    <w:rsid w:val="008A15B4"/>
    <w:rsid w:val="008A28EF"/>
    <w:rsid w:val="008A33BA"/>
    <w:rsid w:val="008A438E"/>
    <w:rsid w:val="008A5348"/>
    <w:rsid w:val="008A5F24"/>
    <w:rsid w:val="008A6E44"/>
    <w:rsid w:val="008A7388"/>
    <w:rsid w:val="008A7CD1"/>
    <w:rsid w:val="008B00D3"/>
    <w:rsid w:val="008B026D"/>
    <w:rsid w:val="008B02F1"/>
    <w:rsid w:val="008B1B4C"/>
    <w:rsid w:val="008B2E51"/>
    <w:rsid w:val="008B3E8A"/>
    <w:rsid w:val="008B4BDB"/>
    <w:rsid w:val="008B4C64"/>
    <w:rsid w:val="008B4D3B"/>
    <w:rsid w:val="008B5D94"/>
    <w:rsid w:val="008B6483"/>
    <w:rsid w:val="008C09E1"/>
    <w:rsid w:val="008C2CC0"/>
    <w:rsid w:val="008C37EC"/>
    <w:rsid w:val="008C5E55"/>
    <w:rsid w:val="008C6CE2"/>
    <w:rsid w:val="008C725C"/>
    <w:rsid w:val="008C7E6A"/>
    <w:rsid w:val="008D04FB"/>
    <w:rsid w:val="008D2293"/>
    <w:rsid w:val="008D2AD6"/>
    <w:rsid w:val="008D2E71"/>
    <w:rsid w:val="008D5018"/>
    <w:rsid w:val="008D5835"/>
    <w:rsid w:val="008D763A"/>
    <w:rsid w:val="008D7EA1"/>
    <w:rsid w:val="008E1145"/>
    <w:rsid w:val="008E1C75"/>
    <w:rsid w:val="008E41B5"/>
    <w:rsid w:val="008E4D15"/>
    <w:rsid w:val="008E6834"/>
    <w:rsid w:val="008E6C0B"/>
    <w:rsid w:val="008E6D47"/>
    <w:rsid w:val="008E72E3"/>
    <w:rsid w:val="008F049A"/>
    <w:rsid w:val="008F2923"/>
    <w:rsid w:val="008F4D1A"/>
    <w:rsid w:val="008F5280"/>
    <w:rsid w:val="008F549F"/>
    <w:rsid w:val="008F59E0"/>
    <w:rsid w:val="008F6EB3"/>
    <w:rsid w:val="00901181"/>
    <w:rsid w:val="00901A05"/>
    <w:rsid w:val="00902E87"/>
    <w:rsid w:val="009031B3"/>
    <w:rsid w:val="00903D25"/>
    <w:rsid w:val="00903F35"/>
    <w:rsid w:val="00904838"/>
    <w:rsid w:val="009052E4"/>
    <w:rsid w:val="00910D01"/>
    <w:rsid w:val="00912B96"/>
    <w:rsid w:val="00912CD4"/>
    <w:rsid w:val="00913775"/>
    <w:rsid w:val="00913E82"/>
    <w:rsid w:val="00913ED4"/>
    <w:rsid w:val="00914755"/>
    <w:rsid w:val="00914B0F"/>
    <w:rsid w:val="00915B87"/>
    <w:rsid w:val="00916FC5"/>
    <w:rsid w:val="0091769F"/>
    <w:rsid w:val="009207A2"/>
    <w:rsid w:val="00920B80"/>
    <w:rsid w:val="00920F5A"/>
    <w:rsid w:val="00923E91"/>
    <w:rsid w:val="00923FAC"/>
    <w:rsid w:val="00924587"/>
    <w:rsid w:val="00924C60"/>
    <w:rsid w:val="00924C7A"/>
    <w:rsid w:val="00925E2B"/>
    <w:rsid w:val="00926A10"/>
    <w:rsid w:val="00926A84"/>
    <w:rsid w:val="0092772B"/>
    <w:rsid w:val="00927A50"/>
    <w:rsid w:val="00930277"/>
    <w:rsid w:val="009305CD"/>
    <w:rsid w:val="009305FB"/>
    <w:rsid w:val="00931471"/>
    <w:rsid w:val="00931C3A"/>
    <w:rsid w:val="00934554"/>
    <w:rsid w:val="00934C3E"/>
    <w:rsid w:val="00934E58"/>
    <w:rsid w:val="009353ED"/>
    <w:rsid w:val="009359E0"/>
    <w:rsid w:val="009361E9"/>
    <w:rsid w:val="00936365"/>
    <w:rsid w:val="0093655A"/>
    <w:rsid w:val="00936B26"/>
    <w:rsid w:val="009374B1"/>
    <w:rsid w:val="009378CD"/>
    <w:rsid w:val="00941113"/>
    <w:rsid w:val="009419A6"/>
    <w:rsid w:val="00944C48"/>
    <w:rsid w:val="00945440"/>
    <w:rsid w:val="00945660"/>
    <w:rsid w:val="00950900"/>
    <w:rsid w:val="00951928"/>
    <w:rsid w:val="00951F53"/>
    <w:rsid w:val="00954055"/>
    <w:rsid w:val="009542CA"/>
    <w:rsid w:val="009559DE"/>
    <w:rsid w:val="00956848"/>
    <w:rsid w:val="00957667"/>
    <w:rsid w:val="009628C9"/>
    <w:rsid w:val="00962997"/>
    <w:rsid w:val="00962A9C"/>
    <w:rsid w:val="009639C6"/>
    <w:rsid w:val="00963D5F"/>
    <w:rsid w:val="00964F5A"/>
    <w:rsid w:val="00966129"/>
    <w:rsid w:val="0096650B"/>
    <w:rsid w:val="00966ABB"/>
    <w:rsid w:val="00970C53"/>
    <w:rsid w:val="00973385"/>
    <w:rsid w:val="00973898"/>
    <w:rsid w:val="00973C97"/>
    <w:rsid w:val="0097632D"/>
    <w:rsid w:val="0097722D"/>
    <w:rsid w:val="00977599"/>
    <w:rsid w:val="00980774"/>
    <w:rsid w:val="00981657"/>
    <w:rsid w:val="0098231F"/>
    <w:rsid w:val="009833B7"/>
    <w:rsid w:val="00983947"/>
    <w:rsid w:val="009860F4"/>
    <w:rsid w:val="00986D65"/>
    <w:rsid w:val="0099051A"/>
    <w:rsid w:val="00992297"/>
    <w:rsid w:val="00993887"/>
    <w:rsid w:val="00993C98"/>
    <w:rsid w:val="00994605"/>
    <w:rsid w:val="0099498E"/>
    <w:rsid w:val="0099523D"/>
    <w:rsid w:val="009952F7"/>
    <w:rsid w:val="009A0716"/>
    <w:rsid w:val="009A1C3E"/>
    <w:rsid w:val="009A2628"/>
    <w:rsid w:val="009A2815"/>
    <w:rsid w:val="009A2FBD"/>
    <w:rsid w:val="009A3FE9"/>
    <w:rsid w:val="009A5202"/>
    <w:rsid w:val="009A55E1"/>
    <w:rsid w:val="009A68C9"/>
    <w:rsid w:val="009A6E89"/>
    <w:rsid w:val="009A7188"/>
    <w:rsid w:val="009A7EA5"/>
    <w:rsid w:val="009B1232"/>
    <w:rsid w:val="009B170F"/>
    <w:rsid w:val="009B22DA"/>
    <w:rsid w:val="009B25C0"/>
    <w:rsid w:val="009B3992"/>
    <w:rsid w:val="009B47B9"/>
    <w:rsid w:val="009B49BC"/>
    <w:rsid w:val="009B5723"/>
    <w:rsid w:val="009B6822"/>
    <w:rsid w:val="009B6BC3"/>
    <w:rsid w:val="009B78E7"/>
    <w:rsid w:val="009C0DCC"/>
    <w:rsid w:val="009C2B3A"/>
    <w:rsid w:val="009C5DA7"/>
    <w:rsid w:val="009C72D8"/>
    <w:rsid w:val="009D1A33"/>
    <w:rsid w:val="009D3C9E"/>
    <w:rsid w:val="009D4197"/>
    <w:rsid w:val="009D68FD"/>
    <w:rsid w:val="009D73AD"/>
    <w:rsid w:val="009E056D"/>
    <w:rsid w:val="009E180F"/>
    <w:rsid w:val="009E2766"/>
    <w:rsid w:val="009E287C"/>
    <w:rsid w:val="009E339F"/>
    <w:rsid w:val="009E35E7"/>
    <w:rsid w:val="009E3729"/>
    <w:rsid w:val="009E43B8"/>
    <w:rsid w:val="009E5DDE"/>
    <w:rsid w:val="009E616E"/>
    <w:rsid w:val="009E6999"/>
    <w:rsid w:val="009F08A0"/>
    <w:rsid w:val="009F1A5F"/>
    <w:rsid w:val="009F38CB"/>
    <w:rsid w:val="009F43CB"/>
    <w:rsid w:val="009F6601"/>
    <w:rsid w:val="009F704B"/>
    <w:rsid w:val="00A00743"/>
    <w:rsid w:val="00A00AAA"/>
    <w:rsid w:val="00A013D0"/>
    <w:rsid w:val="00A014A4"/>
    <w:rsid w:val="00A03639"/>
    <w:rsid w:val="00A037BF"/>
    <w:rsid w:val="00A04144"/>
    <w:rsid w:val="00A0576E"/>
    <w:rsid w:val="00A06629"/>
    <w:rsid w:val="00A0663B"/>
    <w:rsid w:val="00A0753E"/>
    <w:rsid w:val="00A0799A"/>
    <w:rsid w:val="00A113FD"/>
    <w:rsid w:val="00A11780"/>
    <w:rsid w:val="00A11CA6"/>
    <w:rsid w:val="00A11EAC"/>
    <w:rsid w:val="00A11F3F"/>
    <w:rsid w:val="00A12650"/>
    <w:rsid w:val="00A12744"/>
    <w:rsid w:val="00A14625"/>
    <w:rsid w:val="00A14F83"/>
    <w:rsid w:val="00A15F48"/>
    <w:rsid w:val="00A165E8"/>
    <w:rsid w:val="00A201EF"/>
    <w:rsid w:val="00A2069C"/>
    <w:rsid w:val="00A21740"/>
    <w:rsid w:val="00A217A8"/>
    <w:rsid w:val="00A232FE"/>
    <w:rsid w:val="00A2494F"/>
    <w:rsid w:val="00A25726"/>
    <w:rsid w:val="00A25843"/>
    <w:rsid w:val="00A27A01"/>
    <w:rsid w:val="00A31355"/>
    <w:rsid w:val="00A32F24"/>
    <w:rsid w:val="00A33756"/>
    <w:rsid w:val="00A3471D"/>
    <w:rsid w:val="00A35F62"/>
    <w:rsid w:val="00A37276"/>
    <w:rsid w:val="00A3730D"/>
    <w:rsid w:val="00A37495"/>
    <w:rsid w:val="00A40061"/>
    <w:rsid w:val="00A4213A"/>
    <w:rsid w:val="00A42747"/>
    <w:rsid w:val="00A46B3D"/>
    <w:rsid w:val="00A46B98"/>
    <w:rsid w:val="00A46C4D"/>
    <w:rsid w:val="00A46D5F"/>
    <w:rsid w:val="00A5011A"/>
    <w:rsid w:val="00A5035D"/>
    <w:rsid w:val="00A5095A"/>
    <w:rsid w:val="00A52AB4"/>
    <w:rsid w:val="00A5340D"/>
    <w:rsid w:val="00A551CD"/>
    <w:rsid w:val="00A604EA"/>
    <w:rsid w:val="00A64A6B"/>
    <w:rsid w:val="00A66410"/>
    <w:rsid w:val="00A673D4"/>
    <w:rsid w:val="00A676F1"/>
    <w:rsid w:val="00A67857"/>
    <w:rsid w:val="00A709E7"/>
    <w:rsid w:val="00A7107E"/>
    <w:rsid w:val="00A71159"/>
    <w:rsid w:val="00A72355"/>
    <w:rsid w:val="00A725ED"/>
    <w:rsid w:val="00A75202"/>
    <w:rsid w:val="00A7526D"/>
    <w:rsid w:val="00A76ECC"/>
    <w:rsid w:val="00A776FE"/>
    <w:rsid w:val="00A77E24"/>
    <w:rsid w:val="00A8088C"/>
    <w:rsid w:val="00A82A3B"/>
    <w:rsid w:val="00A83536"/>
    <w:rsid w:val="00A84488"/>
    <w:rsid w:val="00A84AEB"/>
    <w:rsid w:val="00A85B65"/>
    <w:rsid w:val="00A85C7E"/>
    <w:rsid w:val="00A8680B"/>
    <w:rsid w:val="00A86FF9"/>
    <w:rsid w:val="00A87571"/>
    <w:rsid w:val="00A87FEF"/>
    <w:rsid w:val="00A91325"/>
    <w:rsid w:val="00A9389A"/>
    <w:rsid w:val="00A94422"/>
    <w:rsid w:val="00A959CA"/>
    <w:rsid w:val="00A970A8"/>
    <w:rsid w:val="00AA0976"/>
    <w:rsid w:val="00AA27E0"/>
    <w:rsid w:val="00AA2A3C"/>
    <w:rsid w:val="00AA5B0D"/>
    <w:rsid w:val="00AB3969"/>
    <w:rsid w:val="00AB3DB7"/>
    <w:rsid w:val="00AB4628"/>
    <w:rsid w:val="00AB6D9E"/>
    <w:rsid w:val="00AC05AC"/>
    <w:rsid w:val="00AC07EB"/>
    <w:rsid w:val="00AC0FA9"/>
    <w:rsid w:val="00AC0FE8"/>
    <w:rsid w:val="00AC31BB"/>
    <w:rsid w:val="00AC336B"/>
    <w:rsid w:val="00AC4A3F"/>
    <w:rsid w:val="00AC5073"/>
    <w:rsid w:val="00AC7DD3"/>
    <w:rsid w:val="00AD1677"/>
    <w:rsid w:val="00AD27D8"/>
    <w:rsid w:val="00AD2AB3"/>
    <w:rsid w:val="00AD366F"/>
    <w:rsid w:val="00AD37F2"/>
    <w:rsid w:val="00AD3B53"/>
    <w:rsid w:val="00AD4137"/>
    <w:rsid w:val="00AD5843"/>
    <w:rsid w:val="00AE02A9"/>
    <w:rsid w:val="00AE0FD9"/>
    <w:rsid w:val="00AE173B"/>
    <w:rsid w:val="00AE6EC6"/>
    <w:rsid w:val="00AE711B"/>
    <w:rsid w:val="00AE7396"/>
    <w:rsid w:val="00AF0438"/>
    <w:rsid w:val="00AF36A7"/>
    <w:rsid w:val="00AF3841"/>
    <w:rsid w:val="00AF4C9F"/>
    <w:rsid w:val="00AF5C72"/>
    <w:rsid w:val="00AF7FF9"/>
    <w:rsid w:val="00B00531"/>
    <w:rsid w:val="00B02E54"/>
    <w:rsid w:val="00B03607"/>
    <w:rsid w:val="00B040B5"/>
    <w:rsid w:val="00B05045"/>
    <w:rsid w:val="00B06828"/>
    <w:rsid w:val="00B072F2"/>
    <w:rsid w:val="00B07793"/>
    <w:rsid w:val="00B115EA"/>
    <w:rsid w:val="00B13A43"/>
    <w:rsid w:val="00B156A5"/>
    <w:rsid w:val="00B16999"/>
    <w:rsid w:val="00B16CB4"/>
    <w:rsid w:val="00B179FC"/>
    <w:rsid w:val="00B17F07"/>
    <w:rsid w:val="00B20D86"/>
    <w:rsid w:val="00B213DD"/>
    <w:rsid w:val="00B2256B"/>
    <w:rsid w:val="00B2297A"/>
    <w:rsid w:val="00B23406"/>
    <w:rsid w:val="00B23BB8"/>
    <w:rsid w:val="00B2752E"/>
    <w:rsid w:val="00B317EB"/>
    <w:rsid w:val="00B31A46"/>
    <w:rsid w:val="00B340FB"/>
    <w:rsid w:val="00B359E7"/>
    <w:rsid w:val="00B41C80"/>
    <w:rsid w:val="00B457B7"/>
    <w:rsid w:val="00B45CC3"/>
    <w:rsid w:val="00B474B9"/>
    <w:rsid w:val="00B47623"/>
    <w:rsid w:val="00B51143"/>
    <w:rsid w:val="00B52343"/>
    <w:rsid w:val="00B53115"/>
    <w:rsid w:val="00B5509B"/>
    <w:rsid w:val="00B55429"/>
    <w:rsid w:val="00B55F98"/>
    <w:rsid w:val="00B56B0F"/>
    <w:rsid w:val="00B57A87"/>
    <w:rsid w:val="00B616D6"/>
    <w:rsid w:val="00B640FE"/>
    <w:rsid w:val="00B6448A"/>
    <w:rsid w:val="00B64F22"/>
    <w:rsid w:val="00B668FF"/>
    <w:rsid w:val="00B67077"/>
    <w:rsid w:val="00B713C0"/>
    <w:rsid w:val="00B72659"/>
    <w:rsid w:val="00B7414B"/>
    <w:rsid w:val="00B74CC9"/>
    <w:rsid w:val="00B75913"/>
    <w:rsid w:val="00B80603"/>
    <w:rsid w:val="00B81A5C"/>
    <w:rsid w:val="00B82325"/>
    <w:rsid w:val="00B827D6"/>
    <w:rsid w:val="00B82E52"/>
    <w:rsid w:val="00B83ABC"/>
    <w:rsid w:val="00B83B75"/>
    <w:rsid w:val="00B84EF8"/>
    <w:rsid w:val="00B87DD1"/>
    <w:rsid w:val="00B9006B"/>
    <w:rsid w:val="00B90CEB"/>
    <w:rsid w:val="00B9219D"/>
    <w:rsid w:val="00B92B6A"/>
    <w:rsid w:val="00B94626"/>
    <w:rsid w:val="00BA00EA"/>
    <w:rsid w:val="00BA09F4"/>
    <w:rsid w:val="00BA20C0"/>
    <w:rsid w:val="00BA25EA"/>
    <w:rsid w:val="00BA3475"/>
    <w:rsid w:val="00BA422D"/>
    <w:rsid w:val="00BA4270"/>
    <w:rsid w:val="00BA53E9"/>
    <w:rsid w:val="00BA5449"/>
    <w:rsid w:val="00BA6056"/>
    <w:rsid w:val="00BA73B1"/>
    <w:rsid w:val="00BA7E55"/>
    <w:rsid w:val="00BB1279"/>
    <w:rsid w:val="00BB1447"/>
    <w:rsid w:val="00BB199B"/>
    <w:rsid w:val="00BB1BC1"/>
    <w:rsid w:val="00BB2AC8"/>
    <w:rsid w:val="00BB2AE3"/>
    <w:rsid w:val="00BB2C4A"/>
    <w:rsid w:val="00BB2CFD"/>
    <w:rsid w:val="00BB407B"/>
    <w:rsid w:val="00BB48E8"/>
    <w:rsid w:val="00BB4AF6"/>
    <w:rsid w:val="00BB6996"/>
    <w:rsid w:val="00BB7DC3"/>
    <w:rsid w:val="00BC02C8"/>
    <w:rsid w:val="00BC13F6"/>
    <w:rsid w:val="00BC2116"/>
    <w:rsid w:val="00BC2AFA"/>
    <w:rsid w:val="00BC3191"/>
    <w:rsid w:val="00BC337D"/>
    <w:rsid w:val="00BC4340"/>
    <w:rsid w:val="00BC5482"/>
    <w:rsid w:val="00BC60C6"/>
    <w:rsid w:val="00BC6991"/>
    <w:rsid w:val="00BC7B89"/>
    <w:rsid w:val="00BD3E50"/>
    <w:rsid w:val="00BD4876"/>
    <w:rsid w:val="00BD51F2"/>
    <w:rsid w:val="00BD6718"/>
    <w:rsid w:val="00BD6C36"/>
    <w:rsid w:val="00BD6ED4"/>
    <w:rsid w:val="00BD7119"/>
    <w:rsid w:val="00BD7D40"/>
    <w:rsid w:val="00BE02CE"/>
    <w:rsid w:val="00BE0FCA"/>
    <w:rsid w:val="00BE16E6"/>
    <w:rsid w:val="00BE1A55"/>
    <w:rsid w:val="00BE22EC"/>
    <w:rsid w:val="00BE2D81"/>
    <w:rsid w:val="00BE2DCB"/>
    <w:rsid w:val="00BE2E7E"/>
    <w:rsid w:val="00BE3038"/>
    <w:rsid w:val="00BE36C4"/>
    <w:rsid w:val="00BE3E4B"/>
    <w:rsid w:val="00BE4348"/>
    <w:rsid w:val="00BE462B"/>
    <w:rsid w:val="00BE4DA2"/>
    <w:rsid w:val="00BE5982"/>
    <w:rsid w:val="00BE744D"/>
    <w:rsid w:val="00BE7DCC"/>
    <w:rsid w:val="00BE7EC0"/>
    <w:rsid w:val="00BF0BE4"/>
    <w:rsid w:val="00BF0DF6"/>
    <w:rsid w:val="00BF2ED0"/>
    <w:rsid w:val="00BF3999"/>
    <w:rsid w:val="00BF404D"/>
    <w:rsid w:val="00BF4135"/>
    <w:rsid w:val="00BF4766"/>
    <w:rsid w:val="00BF519D"/>
    <w:rsid w:val="00BF51BA"/>
    <w:rsid w:val="00BF5C70"/>
    <w:rsid w:val="00BF7A37"/>
    <w:rsid w:val="00BF7D23"/>
    <w:rsid w:val="00C00755"/>
    <w:rsid w:val="00C018B3"/>
    <w:rsid w:val="00C01B61"/>
    <w:rsid w:val="00C02A5F"/>
    <w:rsid w:val="00C0337E"/>
    <w:rsid w:val="00C06977"/>
    <w:rsid w:val="00C0730F"/>
    <w:rsid w:val="00C07351"/>
    <w:rsid w:val="00C0736C"/>
    <w:rsid w:val="00C1042D"/>
    <w:rsid w:val="00C1094B"/>
    <w:rsid w:val="00C1417C"/>
    <w:rsid w:val="00C143D5"/>
    <w:rsid w:val="00C17FA4"/>
    <w:rsid w:val="00C20A00"/>
    <w:rsid w:val="00C20F2F"/>
    <w:rsid w:val="00C22724"/>
    <w:rsid w:val="00C22E0E"/>
    <w:rsid w:val="00C2376F"/>
    <w:rsid w:val="00C23979"/>
    <w:rsid w:val="00C23B29"/>
    <w:rsid w:val="00C23B2C"/>
    <w:rsid w:val="00C246FA"/>
    <w:rsid w:val="00C2486A"/>
    <w:rsid w:val="00C26A4A"/>
    <w:rsid w:val="00C26ED8"/>
    <w:rsid w:val="00C305AF"/>
    <w:rsid w:val="00C306D0"/>
    <w:rsid w:val="00C30F6D"/>
    <w:rsid w:val="00C311A4"/>
    <w:rsid w:val="00C334F8"/>
    <w:rsid w:val="00C33ABB"/>
    <w:rsid w:val="00C34AFB"/>
    <w:rsid w:val="00C35A92"/>
    <w:rsid w:val="00C36D82"/>
    <w:rsid w:val="00C371AC"/>
    <w:rsid w:val="00C37362"/>
    <w:rsid w:val="00C425B6"/>
    <w:rsid w:val="00C43670"/>
    <w:rsid w:val="00C43BA5"/>
    <w:rsid w:val="00C4593E"/>
    <w:rsid w:val="00C46768"/>
    <w:rsid w:val="00C46E27"/>
    <w:rsid w:val="00C471C7"/>
    <w:rsid w:val="00C474D5"/>
    <w:rsid w:val="00C47B97"/>
    <w:rsid w:val="00C51185"/>
    <w:rsid w:val="00C51C63"/>
    <w:rsid w:val="00C52295"/>
    <w:rsid w:val="00C539BB"/>
    <w:rsid w:val="00C5421F"/>
    <w:rsid w:val="00C54B57"/>
    <w:rsid w:val="00C56CDF"/>
    <w:rsid w:val="00C576F7"/>
    <w:rsid w:val="00C60DF1"/>
    <w:rsid w:val="00C622DC"/>
    <w:rsid w:val="00C63C1E"/>
    <w:rsid w:val="00C64570"/>
    <w:rsid w:val="00C65971"/>
    <w:rsid w:val="00C6762E"/>
    <w:rsid w:val="00C70598"/>
    <w:rsid w:val="00C71BBA"/>
    <w:rsid w:val="00C725B7"/>
    <w:rsid w:val="00C72D67"/>
    <w:rsid w:val="00C7595C"/>
    <w:rsid w:val="00C75BCA"/>
    <w:rsid w:val="00C763E2"/>
    <w:rsid w:val="00C777D8"/>
    <w:rsid w:val="00C8084B"/>
    <w:rsid w:val="00C80D2B"/>
    <w:rsid w:val="00C81151"/>
    <w:rsid w:val="00C83F97"/>
    <w:rsid w:val="00C86EB5"/>
    <w:rsid w:val="00C8731D"/>
    <w:rsid w:val="00C909CC"/>
    <w:rsid w:val="00C91D96"/>
    <w:rsid w:val="00C9211F"/>
    <w:rsid w:val="00C92D7B"/>
    <w:rsid w:val="00C92FA4"/>
    <w:rsid w:val="00C933A4"/>
    <w:rsid w:val="00C94056"/>
    <w:rsid w:val="00C94B30"/>
    <w:rsid w:val="00C95998"/>
    <w:rsid w:val="00CA0353"/>
    <w:rsid w:val="00CA236A"/>
    <w:rsid w:val="00CA3DCE"/>
    <w:rsid w:val="00CA7A77"/>
    <w:rsid w:val="00CA7D2A"/>
    <w:rsid w:val="00CB222D"/>
    <w:rsid w:val="00CB273B"/>
    <w:rsid w:val="00CB32AE"/>
    <w:rsid w:val="00CB410C"/>
    <w:rsid w:val="00CB4365"/>
    <w:rsid w:val="00CB4C18"/>
    <w:rsid w:val="00CB5665"/>
    <w:rsid w:val="00CB6208"/>
    <w:rsid w:val="00CB6841"/>
    <w:rsid w:val="00CB6CDD"/>
    <w:rsid w:val="00CB78AD"/>
    <w:rsid w:val="00CB7AEB"/>
    <w:rsid w:val="00CB7EBD"/>
    <w:rsid w:val="00CC098A"/>
    <w:rsid w:val="00CC2CF5"/>
    <w:rsid w:val="00CC3744"/>
    <w:rsid w:val="00CC3F22"/>
    <w:rsid w:val="00CC48C7"/>
    <w:rsid w:val="00CC500C"/>
    <w:rsid w:val="00CC51AD"/>
    <w:rsid w:val="00CC5F93"/>
    <w:rsid w:val="00CC623F"/>
    <w:rsid w:val="00CC62D3"/>
    <w:rsid w:val="00CC6E41"/>
    <w:rsid w:val="00CD151C"/>
    <w:rsid w:val="00CD3759"/>
    <w:rsid w:val="00CD41CD"/>
    <w:rsid w:val="00CD4A73"/>
    <w:rsid w:val="00CD5D43"/>
    <w:rsid w:val="00CD6F71"/>
    <w:rsid w:val="00CD7D28"/>
    <w:rsid w:val="00CE042F"/>
    <w:rsid w:val="00CE05E6"/>
    <w:rsid w:val="00CE1510"/>
    <w:rsid w:val="00CE286E"/>
    <w:rsid w:val="00CE476F"/>
    <w:rsid w:val="00CE5B96"/>
    <w:rsid w:val="00CE7ECF"/>
    <w:rsid w:val="00CF0F39"/>
    <w:rsid w:val="00CF217D"/>
    <w:rsid w:val="00CF42F5"/>
    <w:rsid w:val="00CF45C1"/>
    <w:rsid w:val="00D00968"/>
    <w:rsid w:val="00D00C7B"/>
    <w:rsid w:val="00D022E2"/>
    <w:rsid w:val="00D0387C"/>
    <w:rsid w:val="00D05D02"/>
    <w:rsid w:val="00D06102"/>
    <w:rsid w:val="00D06506"/>
    <w:rsid w:val="00D0692F"/>
    <w:rsid w:val="00D07434"/>
    <w:rsid w:val="00D07C21"/>
    <w:rsid w:val="00D07EBA"/>
    <w:rsid w:val="00D07FEC"/>
    <w:rsid w:val="00D115FE"/>
    <w:rsid w:val="00D125DC"/>
    <w:rsid w:val="00D12AB8"/>
    <w:rsid w:val="00D13087"/>
    <w:rsid w:val="00D141E3"/>
    <w:rsid w:val="00D15B8D"/>
    <w:rsid w:val="00D15CD7"/>
    <w:rsid w:val="00D16FAA"/>
    <w:rsid w:val="00D20361"/>
    <w:rsid w:val="00D20B35"/>
    <w:rsid w:val="00D21AD2"/>
    <w:rsid w:val="00D2241C"/>
    <w:rsid w:val="00D23771"/>
    <w:rsid w:val="00D2583C"/>
    <w:rsid w:val="00D26106"/>
    <w:rsid w:val="00D27120"/>
    <w:rsid w:val="00D30711"/>
    <w:rsid w:val="00D31882"/>
    <w:rsid w:val="00D32E29"/>
    <w:rsid w:val="00D334FB"/>
    <w:rsid w:val="00D350F7"/>
    <w:rsid w:val="00D35194"/>
    <w:rsid w:val="00D3537F"/>
    <w:rsid w:val="00D356A2"/>
    <w:rsid w:val="00D35AFF"/>
    <w:rsid w:val="00D416E1"/>
    <w:rsid w:val="00D41C97"/>
    <w:rsid w:val="00D42668"/>
    <w:rsid w:val="00D42F09"/>
    <w:rsid w:val="00D4301D"/>
    <w:rsid w:val="00D44795"/>
    <w:rsid w:val="00D44C89"/>
    <w:rsid w:val="00D45136"/>
    <w:rsid w:val="00D463C7"/>
    <w:rsid w:val="00D4671F"/>
    <w:rsid w:val="00D469BC"/>
    <w:rsid w:val="00D47333"/>
    <w:rsid w:val="00D50A39"/>
    <w:rsid w:val="00D511D3"/>
    <w:rsid w:val="00D51856"/>
    <w:rsid w:val="00D52E48"/>
    <w:rsid w:val="00D54201"/>
    <w:rsid w:val="00D54659"/>
    <w:rsid w:val="00D546D5"/>
    <w:rsid w:val="00D5704B"/>
    <w:rsid w:val="00D570B6"/>
    <w:rsid w:val="00D57485"/>
    <w:rsid w:val="00D57BCC"/>
    <w:rsid w:val="00D602D5"/>
    <w:rsid w:val="00D608FA"/>
    <w:rsid w:val="00D6102C"/>
    <w:rsid w:val="00D61A3F"/>
    <w:rsid w:val="00D632E0"/>
    <w:rsid w:val="00D64577"/>
    <w:rsid w:val="00D64F60"/>
    <w:rsid w:val="00D6556B"/>
    <w:rsid w:val="00D66FC6"/>
    <w:rsid w:val="00D71DAE"/>
    <w:rsid w:val="00D71FEC"/>
    <w:rsid w:val="00D72028"/>
    <w:rsid w:val="00D72048"/>
    <w:rsid w:val="00D724C0"/>
    <w:rsid w:val="00D72D36"/>
    <w:rsid w:val="00D72EED"/>
    <w:rsid w:val="00D744B3"/>
    <w:rsid w:val="00D76500"/>
    <w:rsid w:val="00D76EF7"/>
    <w:rsid w:val="00D7737B"/>
    <w:rsid w:val="00D77C68"/>
    <w:rsid w:val="00D80B60"/>
    <w:rsid w:val="00D82E06"/>
    <w:rsid w:val="00D843B1"/>
    <w:rsid w:val="00D8485D"/>
    <w:rsid w:val="00D85ED9"/>
    <w:rsid w:val="00D85F12"/>
    <w:rsid w:val="00D86C76"/>
    <w:rsid w:val="00D87260"/>
    <w:rsid w:val="00D87751"/>
    <w:rsid w:val="00D87863"/>
    <w:rsid w:val="00D90264"/>
    <w:rsid w:val="00D92A36"/>
    <w:rsid w:val="00D92FE4"/>
    <w:rsid w:val="00D9313B"/>
    <w:rsid w:val="00D93843"/>
    <w:rsid w:val="00D93E24"/>
    <w:rsid w:val="00D93FAD"/>
    <w:rsid w:val="00D94FAB"/>
    <w:rsid w:val="00D9617B"/>
    <w:rsid w:val="00D96773"/>
    <w:rsid w:val="00D967DB"/>
    <w:rsid w:val="00D96C22"/>
    <w:rsid w:val="00D97AE8"/>
    <w:rsid w:val="00DA10C7"/>
    <w:rsid w:val="00DA18C8"/>
    <w:rsid w:val="00DA2036"/>
    <w:rsid w:val="00DA2D90"/>
    <w:rsid w:val="00DA2DE5"/>
    <w:rsid w:val="00DA300F"/>
    <w:rsid w:val="00DA3EA7"/>
    <w:rsid w:val="00DA41A0"/>
    <w:rsid w:val="00DA4A04"/>
    <w:rsid w:val="00DA5A2D"/>
    <w:rsid w:val="00DA709F"/>
    <w:rsid w:val="00DB099C"/>
    <w:rsid w:val="00DB2944"/>
    <w:rsid w:val="00DB2DEC"/>
    <w:rsid w:val="00DB2E9C"/>
    <w:rsid w:val="00DB3287"/>
    <w:rsid w:val="00DB40CB"/>
    <w:rsid w:val="00DB47DF"/>
    <w:rsid w:val="00DB50CD"/>
    <w:rsid w:val="00DB5FD3"/>
    <w:rsid w:val="00DB7B6F"/>
    <w:rsid w:val="00DC186C"/>
    <w:rsid w:val="00DC22A3"/>
    <w:rsid w:val="00DC2760"/>
    <w:rsid w:val="00DC2AA8"/>
    <w:rsid w:val="00DC341A"/>
    <w:rsid w:val="00DC5148"/>
    <w:rsid w:val="00DC52CC"/>
    <w:rsid w:val="00DC5807"/>
    <w:rsid w:val="00DC5A9F"/>
    <w:rsid w:val="00DC5AAF"/>
    <w:rsid w:val="00DC5CCE"/>
    <w:rsid w:val="00DC6559"/>
    <w:rsid w:val="00DC70E2"/>
    <w:rsid w:val="00DC78F1"/>
    <w:rsid w:val="00DD0487"/>
    <w:rsid w:val="00DD0558"/>
    <w:rsid w:val="00DD05CB"/>
    <w:rsid w:val="00DD072B"/>
    <w:rsid w:val="00DD12C9"/>
    <w:rsid w:val="00DD1A11"/>
    <w:rsid w:val="00DD2140"/>
    <w:rsid w:val="00DD3286"/>
    <w:rsid w:val="00DD4B3F"/>
    <w:rsid w:val="00DD5709"/>
    <w:rsid w:val="00DD6E4C"/>
    <w:rsid w:val="00DE0F94"/>
    <w:rsid w:val="00DE2AB7"/>
    <w:rsid w:val="00DE3F78"/>
    <w:rsid w:val="00DE3FA6"/>
    <w:rsid w:val="00DE6E5C"/>
    <w:rsid w:val="00DF1CB9"/>
    <w:rsid w:val="00DF1E5A"/>
    <w:rsid w:val="00DF3446"/>
    <w:rsid w:val="00DF3FCC"/>
    <w:rsid w:val="00DF5FC8"/>
    <w:rsid w:val="00DF614B"/>
    <w:rsid w:val="00DF70E6"/>
    <w:rsid w:val="00E00BDF"/>
    <w:rsid w:val="00E00E5D"/>
    <w:rsid w:val="00E03916"/>
    <w:rsid w:val="00E04DEE"/>
    <w:rsid w:val="00E06D64"/>
    <w:rsid w:val="00E103A9"/>
    <w:rsid w:val="00E11E7E"/>
    <w:rsid w:val="00E12FDA"/>
    <w:rsid w:val="00E1398D"/>
    <w:rsid w:val="00E15498"/>
    <w:rsid w:val="00E1676E"/>
    <w:rsid w:val="00E174FC"/>
    <w:rsid w:val="00E17521"/>
    <w:rsid w:val="00E176A0"/>
    <w:rsid w:val="00E17726"/>
    <w:rsid w:val="00E17ED3"/>
    <w:rsid w:val="00E20C20"/>
    <w:rsid w:val="00E216E8"/>
    <w:rsid w:val="00E22188"/>
    <w:rsid w:val="00E22613"/>
    <w:rsid w:val="00E22BCE"/>
    <w:rsid w:val="00E23553"/>
    <w:rsid w:val="00E2406F"/>
    <w:rsid w:val="00E2414B"/>
    <w:rsid w:val="00E2516C"/>
    <w:rsid w:val="00E25C19"/>
    <w:rsid w:val="00E27108"/>
    <w:rsid w:val="00E27ADD"/>
    <w:rsid w:val="00E300F0"/>
    <w:rsid w:val="00E32A64"/>
    <w:rsid w:val="00E332C2"/>
    <w:rsid w:val="00E34CEF"/>
    <w:rsid w:val="00E3565A"/>
    <w:rsid w:val="00E361D6"/>
    <w:rsid w:val="00E362FB"/>
    <w:rsid w:val="00E36B75"/>
    <w:rsid w:val="00E36E59"/>
    <w:rsid w:val="00E379EB"/>
    <w:rsid w:val="00E37D40"/>
    <w:rsid w:val="00E400F8"/>
    <w:rsid w:val="00E40537"/>
    <w:rsid w:val="00E40BAC"/>
    <w:rsid w:val="00E412E2"/>
    <w:rsid w:val="00E4131F"/>
    <w:rsid w:val="00E43621"/>
    <w:rsid w:val="00E44D7E"/>
    <w:rsid w:val="00E46F80"/>
    <w:rsid w:val="00E511B8"/>
    <w:rsid w:val="00E51DDA"/>
    <w:rsid w:val="00E54B7E"/>
    <w:rsid w:val="00E54F87"/>
    <w:rsid w:val="00E55F19"/>
    <w:rsid w:val="00E57212"/>
    <w:rsid w:val="00E577A5"/>
    <w:rsid w:val="00E57FAB"/>
    <w:rsid w:val="00E57FE2"/>
    <w:rsid w:val="00E60690"/>
    <w:rsid w:val="00E60CAF"/>
    <w:rsid w:val="00E62B4D"/>
    <w:rsid w:val="00E62BBD"/>
    <w:rsid w:val="00E63C51"/>
    <w:rsid w:val="00E65156"/>
    <w:rsid w:val="00E66119"/>
    <w:rsid w:val="00E66ACD"/>
    <w:rsid w:val="00E6713F"/>
    <w:rsid w:val="00E67BA0"/>
    <w:rsid w:val="00E723B5"/>
    <w:rsid w:val="00E74800"/>
    <w:rsid w:val="00E7518D"/>
    <w:rsid w:val="00E75D5D"/>
    <w:rsid w:val="00E7601A"/>
    <w:rsid w:val="00E76039"/>
    <w:rsid w:val="00E813CA"/>
    <w:rsid w:val="00E839C4"/>
    <w:rsid w:val="00E85E8A"/>
    <w:rsid w:val="00E86C7B"/>
    <w:rsid w:val="00E87088"/>
    <w:rsid w:val="00E87164"/>
    <w:rsid w:val="00E9033B"/>
    <w:rsid w:val="00E92217"/>
    <w:rsid w:val="00E95435"/>
    <w:rsid w:val="00E96494"/>
    <w:rsid w:val="00E97F38"/>
    <w:rsid w:val="00EA029F"/>
    <w:rsid w:val="00EA079D"/>
    <w:rsid w:val="00EA0B1D"/>
    <w:rsid w:val="00EA14F8"/>
    <w:rsid w:val="00EA15D6"/>
    <w:rsid w:val="00EA18AB"/>
    <w:rsid w:val="00EA264E"/>
    <w:rsid w:val="00EA5DD4"/>
    <w:rsid w:val="00EB0005"/>
    <w:rsid w:val="00EB1994"/>
    <w:rsid w:val="00EB1AE4"/>
    <w:rsid w:val="00EB309D"/>
    <w:rsid w:val="00EB3808"/>
    <w:rsid w:val="00EB4BD8"/>
    <w:rsid w:val="00EB5491"/>
    <w:rsid w:val="00EB5648"/>
    <w:rsid w:val="00EB5EDB"/>
    <w:rsid w:val="00EB6472"/>
    <w:rsid w:val="00EB65A4"/>
    <w:rsid w:val="00EB7066"/>
    <w:rsid w:val="00EC26AE"/>
    <w:rsid w:val="00EC2820"/>
    <w:rsid w:val="00EC54AD"/>
    <w:rsid w:val="00EC552F"/>
    <w:rsid w:val="00EC5F83"/>
    <w:rsid w:val="00EC6D33"/>
    <w:rsid w:val="00ED041E"/>
    <w:rsid w:val="00ED0F85"/>
    <w:rsid w:val="00ED1A02"/>
    <w:rsid w:val="00ED2DE3"/>
    <w:rsid w:val="00ED30AE"/>
    <w:rsid w:val="00ED45D5"/>
    <w:rsid w:val="00ED4C22"/>
    <w:rsid w:val="00ED5E62"/>
    <w:rsid w:val="00ED5F28"/>
    <w:rsid w:val="00ED6C14"/>
    <w:rsid w:val="00EE0070"/>
    <w:rsid w:val="00EE168B"/>
    <w:rsid w:val="00EE17D1"/>
    <w:rsid w:val="00EE1884"/>
    <w:rsid w:val="00EE1962"/>
    <w:rsid w:val="00EE2309"/>
    <w:rsid w:val="00EE3548"/>
    <w:rsid w:val="00EE3F50"/>
    <w:rsid w:val="00EE4944"/>
    <w:rsid w:val="00EE5A2C"/>
    <w:rsid w:val="00EE5CA2"/>
    <w:rsid w:val="00EE6570"/>
    <w:rsid w:val="00EF05ED"/>
    <w:rsid w:val="00EF1674"/>
    <w:rsid w:val="00F004C5"/>
    <w:rsid w:val="00F00B25"/>
    <w:rsid w:val="00F01999"/>
    <w:rsid w:val="00F02303"/>
    <w:rsid w:val="00F02CC2"/>
    <w:rsid w:val="00F064B5"/>
    <w:rsid w:val="00F100D3"/>
    <w:rsid w:val="00F13419"/>
    <w:rsid w:val="00F13572"/>
    <w:rsid w:val="00F13B04"/>
    <w:rsid w:val="00F1432D"/>
    <w:rsid w:val="00F1548D"/>
    <w:rsid w:val="00F155CB"/>
    <w:rsid w:val="00F156B6"/>
    <w:rsid w:val="00F16778"/>
    <w:rsid w:val="00F1794A"/>
    <w:rsid w:val="00F17C52"/>
    <w:rsid w:val="00F205BC"/>
    <w:rsid w:val="00F21CB5"/>
    <w:rsid w:val="00F21FFA"/>
    <w:rsid w:val="00F2682E"/>
    <w:rsid w:val="00F271AE"/>
    <w:rsid w:val="00F27E89"/>
    <w:rsid w:val="00F30A69"/>
    <w:rsid w:val="00F30ACD"/>
    <w:rsid w:val="00F314F8"/>
    <w:rsid w:val="00F31785"/>
    <w:rsid w:val="00F33499"/>
    <w:rsid w:val="00F34560"/>
    <w:rsid w:val="00F350D3"/>
    <w:rsid w:val="00F356C6"/>
    <w:rsid w:val="00F36C60"/>
    <w:rsid w:val="00F37ED9"/>
    <w:rsid w:val="00F40BC7"/>
    <w:rsid w:val="00F416F8"/>
    <w:rsid w:val="00F4181C"/>
    <w:rsid w:val="00F42B77"/>
    <w:rsid w:val="00F42E37"/>
    <w:rsid w:val="00F43C81"/>
    <w:rsid w:val="00F43F25"/>
    <w:rsid w:val="00F47451"/>
    <w:rsid w:val="00F5000B"/>
    <w:rsid w:val="00F50CDF"/>
    <w:rsid w:val="00F52B5A"/>
    <w:rsid w:val="00F5303C"/>
    <w:rsid w:val="00F53454"/>
    <w:rsid w:val="00F53754"/>
    <w:rsid w:val="00F53961"/>
    <w:rsid w:val="00F53F3E"/>
    <w:rsid w:val="00F57014"/>
    <w:rsid w:val="00F57AC4"/>
    <w:rsid w:val="00F603A6"/>
    <w:rsid w:val="00F60B30"/>
    <w:rsid w:val="00F60DBF"/>
    <w:rsid w:val="00F613BD"/>
    <w:rsid w:val="00F62D46"/>
    <w:rsid w:val="00F6357D"/>
    <w:rsid w:val="00F63B04"/>
    <w:rsid w:val="00F63DE6"/>
    <w:rsid w:val="00F64451"/>
    <w:rsid w:val="00F6665B"/>
    <w:rsid w:val="00F66ABE"/>
    <w:rsid w:val="00F66ACC"/>
    <w:rsid w:val="00F6725B"/>
    <w:rsid w:val="00F676F5"/>
    <w:rsid w:val="00F70B6E"/>
    <w:rsid w:val="00F72541"/>
    <w:rsid w:val="00F7359E"/>
    <w:rsid w:val="00F74106"/>
    <w:rsid w:val="00F74145"/>
    <w:rsid w:val="00F74CAB"/>
    <w:rsid w:val="00F74E63"/>
    <w:rsid w:val="00F74EDE"/>
    <w:rsid w:val="00F752C5"/>
    <w:rsid w:val="00F77E75"/>
    <w:rsid w:val="00F8089F"/>
    <w:rsid w:val="00F80C74"/>
    <w:rsid w:val="00F8217C"/>
    <w:rsid w:val="00F821D0"/>
    <w:rsid w:val="00F83ED5"/>
    <w:rsid w:val="00F84BBF"/>
    <w:rsid w:val="00F85770"/>
    <w:rsid w:val="00F857D7"/>
    <w:rsid w:val="00F90942"/>
    <w:rsid w:val="00F91D43"/>
    <w:rsid w:val="00F97049"/>
    <w:rsid w:val="00FA07FD"/>
    <w:rsid w:val="00FA0C29"/>
    <w:rsid w:val="00FA15B7"/>
    <w:rsid w:val="00FA2458"/>
    <w:rsid w:val="00FA309A"/>
    <w:rsid w:val="00FA364B"/>
    <w:rsid w:val="00FA3906"/>
    <w:rsid w:val="00FA3CF0"/>
    <w:rsid w:val="00FA4ADA"/>
    <w:rsid w:val="00FA73D2"/>
    <w:rsid w:val="00FA73D5"/>
    <w:rsid w:val="00FA7850"/>
    <w:rsid w:val="00FB0401"/>
    <w:rsid w:val="00FB0678"/>
    <w:rsid w:val="00FB0CEF"/>
    <w:rsid w:val="00FB1CFD"/>
    <w:rsid w:val="00FB1E70"/>
    <w:rsid w:val="00FB207E"/>
    <w:rsid w:val="00FB2C74"/>
    <w:rsid w:val="00FB4196"/>
    <w:rsid w:val="00FB68DF"/>
    <w:rsid w:val="00FB6F7E"/>
    <w:rsid w:val="00FB78E7"/>
    <w:rsid w:val="00FB7C19"/>
    <w:rsid w:val="00FC060F"/>
    <w:rsid w:val="00FC16E4"/>
    <w:rsid w:val="00FC1D2F"/>
    <w:rsid w:val="00FC24D2"/>
    <w:rsid w:val="00FC36F9"/>
    <w:rsid w:val="00FC3D19"/>
    <w:rsid w:val="00FC49E1"/>
    <w:rsid w:val="00FC5027"/>
    <w:rsid w:val="00FC5417"/>
    <w:rsid w:val="00FC6518"/>
    <w:rsid w:val="00FC714E"/>
    <w:rsid w:val="00FD1CCE"/>
    <w:rsid w:val="00FD2ABA"/>
    <w:rsid w:val="00FD2C81"/>
    <w:rsid w:val="00FD2E74"/>
    <w:rsid w:val="00FD325C"/>
    <w:rsid w:val="00FD5830"/>
    <w:rsid w:val="00FD6195"/>
    <w:rsid w:val="00FD623F"/>
    <w:rsid w:val="00FD68D0"/>
    <w:rsid w:val="00FD6914"/>
    <w:rsid w:val="00FD74C9"/>
    <w:rsid w:val="00FE150E"/>
    <w:rsid w:val="00FE1B52"/>
    <w:rsid w:val="00FE217F"/>
    <w:rsid w:val="00FE2EE5"/>
    <w:rsid w:val="00FE3171"/>
    <w:rsid w:val="00FE3B7E"/>
    <w:rsid w:val="00FE4851"/>
    <w:rsid w:val="00FE4BB9"/>
    <w:rsid w:val="00FE6B88"/>
    <w:rsid w:val="00FF079B"/>
    <w:rsid w:val="00FF3EB1"/>
    <w:rsid w:val="00FF505C"/>
    <w:rsid w:val="00FF632A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307A"/>
    <w:pPr>
      <w:keepNext/>
      <w:jc w:val="center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C34D2"/>
    <w:pPr>
      <w:spacing w:before="75" w:after="75"/>
      <w:jc w:val="center"/>
    </w:pPr>
  </w:style>
  <w:style w:type="character" w:styleId="Hyperlink">
    <w:name w:val="Hyperlink"/>
    <w:basedOn w:val="DefaultParagraphFont"/>
    <w:rsid w:val="004C34D2"/>
    <w:rPr>
      <w:color w:val="0000FF"/>
      <w:u w:val="single"/>
    </w:rPr>
  </w:style>
  <w:style w:type="paragraph" w:styleId="Header">
    <w:name w:val="header"/>
    <w:basedOn w:val="Normal"/>
    <w:rsid w:val="008A2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A28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F6EB8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B410C"/>
    <w:pPr>
      <w:spacing w:before="100" w:after="100"/>
      <w:jc w:val="both"/>
    </w:pPr>
    <w:rPr>
      <w:szCs w:val="20"/>
      <w:lang w:eastAsia="en-US"/>
    </w:rPr>
  </w:style>
  <w:style w:type="paragraph" w:customStyle="1" w:styleId="CharRakstz">
    <w:name w:val="Char Rakstz."/>
    <w:basedOn w:val="Normal"/>
    <w:rsid w:val="00927A5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nod">
    <w:name w:val="naisnod"/>
    <w:basedOn w:val="Normal"/>
    <w:rsid w:val="00534031"/>
    <w:pPr>
      <w:spacing w:before="450" w:after="225"/>
      <w:jc w:val="center"/>
    </w:pPr>
    <w:rPr>
      <w:b/>
      <w:bCs/>
    </w:rPr>
  </w:style>
  <w:style w:type="character" w:styleId="PageNumber">
    <w:name w:val="page number"/>
    <w:basedOn w:val="DefaultParagraphFont"/>
    <w:rsid w:val="009E287C"/>
  </w:style>
  <w:style w:type="paragraph" w:customStyle="1" w:styleId="CharRakstz0">
    <w:name w:val="Char Rakstz."/>
    <w:basedOn w:val="Normal"/>
    <w:rsid w:val="00803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57104C"/>
    <w:pPr>
      <w:spacing w:before="240"/>
      <w:ind w:firstLine="720"/>
    </w:pPr>
    <w:rPr>
      <w:sz w:val="28"/>
      <w:szCs w:val="20"/>
      <w:lang w:eastAsia="en-US"/>
    </w:rPr>
  </w:style>
  <w:style w:type="paragraph" w:styleId="BodyText2">
    <w:name w:val="Body Text 2"/>
    <w:basedOn w:val="Normal"/>
    <w:rsid w:val="0057104C"/>
    <w:pPr>
      <w:jc w:val="both"/>
    </w:pPr>
    <w:rPr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57104C"/>
    <w:pPr>
      <w:jc w:val="both"/>
    </w:pPr>
    <w:rPr>
      <w:sz w:val="28"/>
      <w:szCs w:val="20"/>
      <w:lang w:val="en-AU" w:eastAsia="en-US"/>
    </w:rPr>
  </w:style>
  <w:style w:type="paragraph" w:styleId="BlockText">
    <w:name w:val="Block Text"/>
    <w:basedOn w:val="Normal"/>
    <w:rsid w:val="0057104C"/>
    <w:pPr>
      <w:ind w:left="-57" w:right="-57"/>
    </w:pPr>
    <w:rPr>
      <w:sz w:val="28"/>
      <w:szCs w:val="20"/>
      <w:lang w:eastAsia="en-US"/>
    </w:rPr>
  </w:style>
  <w:style w:type="paragraph" w:styleId="NormalWeb">
    <w:name w:val="Normal (Web)"/>
    <w:basedOn w:val="Normal"/>
    <w:rsid w:val="0057104C"/>
    <w:pPr>
      <w:spacing w:before="82" w:after="82"/>
    </w:pPr>
  </w:style>
  <w:style w:type="paragraph" w:customStyle="1" w:styleId="CharCharCharCharRakstz">
    <w:name w:val="Char Char Char Char Rakstz."/>
    <w:basedOn w:val="Normal"/>
    <w:rsid w:val="0057104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57104C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57104C"/>
    <w:pPr>
      <w:ind w:left="720" w:firstLine="720"/>
      <w:jc w:val="center"/>
    </w:pPr>
    <w:rPr>
      <w:b/>
      <w:sz w:val="28"/>
      <w:szCs w:val="20"/>
      <w:lang w:eastAsia="en-US"/>
    </w:rPr>
  </w:style>
  <w:style w:type="paragraph" w:customStyle="1" w:styleId="Considrant">
    <w:name w:val="Considérant"/>
    <w:basedOn w:val="Normal"/>
    <w:rsid w:val="004C1189"/>
    <w:pPr>
      <w:numPr>
        <w:numId w:val="4"/>
      </w:numPr>
      <w:spacing w:before="120" w:after="120"/>
      <w:jc w:val="both"/>
    </w:pPr>
    <w:rPr>
      <w:szCs w:val="20"/>
      <w:lang w:eastAsia="zh-CN"/>
    </w:rPr>
  </w:style>
  <w:style w:type="paragraph" w:customStyle="1" w:styleId="naiskr">
    <w:name w:val="naiskr"/>
    <w:basedOn w:val="Normal"/>
    <w:rsid w:val="00ED45D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E412E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1307A"/>
    <w:rPr>
      <w:sz w:val="24"/>
      <w:lang w:eastAsia="en-US"/>
    </w:rPr>
  </w:style>
  <w:style w:type="character" w:styleId="Strong">
    <w:name w:val="Strong"/>
    <w:basedOn w:val="DefaultParagraphFont"/>
    <w:qFormat/>
    <w:rsid w:val="00950900"/>
    <w:rPr>
      <w:b/>
      <w:bCs/>
    </w:rPr>
  </w:style>
  <w:style w:type="paragraph" w:styleId="NoSpacing">
    <w:name w:val="No Spacing"/>
    <w:uiPriority w:val="1"/>
    <w:qFormat/>
    <w:rsid w:val="00962A9C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75CE6"/>
    <w:rPr>
      <w:sz w:val="2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1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AFF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.Kalnin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B08A-C76E-40A8-8590-E69049E0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2255</Words>
  <Characters>16508</Characters>
  <Application>Microsoft Office Word</Application>
  <DocSecurity>0</DocSecurity>
  <Lines>750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2010.gada 6.jūlija noteikumos Nr.608 „Noteikumi par peldvietu ūdens monitoringu, kvalitātes nodrošināšanu un prasībām sabiedrības informēšanai””</vt:lpstr>
      <vt:lpstr>Normatīvā akta projekta „„Likumprojekts „Grozījumi Latvijas Administratīvo pārkāpumu kodeksā””” anotācija</vt:lpstr>
    </vt:vector>
  </TitlesOfParts>
  <Company>Veselības ministrija</Company>
  <LinksUpToDate>false</LinksUpToDate>
  <CharactersWithSpaces>18578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mailto:Ilze.Straume@vm.gov.lv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6.jūlija noteikumos Nr.608 „Noteikumi par peldvietu ūdens monitoringu, kvalitātes nodrošināšanu un prasībām sabiedrības informēšanai””</dc:title>
  <dc:subject>Anotācija</dc:subject>
  <dc:creator>Astra Kalniņa</dc:creator>
  <dc:description>Astra.Kalnina@vm.gov.lv; tālr. 67876148</dc:description>
  <cp:lastModifiedBy>VM</cp:lastModifiedBy>
  <cp:revision>67</cp:revision>
  <cp:lastPrinted>2011-04-19T10:57:00Z</cp:lastPrinted>
  <dcterms:created xsi:type="dcterms:W3CDTF">2011-03-28T06:30:00Z</dcterms:created>
  <dcterms:modified xsi:type="dcterms:W3CDTF">2011-04-27T06:45:00Z</dcterms:modified>
</cp:coreProperties>
</file>