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F" w:rsidRPr="001523B9" w:rsidRDefault="00F960AF" w:rsidP="001523B9">
      <w:pPr>
        <w:pStyle w:val="Virsraksts6"/>
        <w:rPr>
          <w:color w:val="000000"/>
          <w:sz w:val="24"/>
          <w:szCs w:val="24"/>
        </w:rPr>
      </w:pPr>
      <w:r w:rsidRPr="001523B9">
        <w:rPr>
          <w:bCs/>
          <w:color w:val="000000"/>
          <w:sz w:val="24"/>
          <w:szCs w:val="24"/>
        </w:rPr>
        <w:t>Ministru kabineta noteikumu projekta</w:t>
      </w:r>
      <w:r w:rsidR="001523B9" w:rsidRPr="001523B9">
        <w:rPr>
          <w:sz w:val="24"/>
          <w:szCs w:val="24"/>
        </w:rPr>
        <w:t xml:space="preserve"> „Grozījumi Ministru kabineta 2010.gada 21.jūnija noteikumos Nr.563 „Kārtība, kādā Neatliekamās medicīniskās palīdzības dienesta darbinieki saņem apmaksātu veselības aprūpi” </w:t>
      </w:r>
      <w:r w:rsidRPr="001523B9">
        <w:rPr>
          <w:bCs/>
          <w:color w:val="000000"/>
          <w:sz w:val="24"/>
          <w:szCs w:val="24"/>
        </w:rPr>
        <w:t>sākotnējās ietekmes novērtējuma ziņojums (anotācija)</w:t>
      </w:r>
    </w:p>
    <w:p w:rsidR="00495E23" w:rsidRPr="0012135D" w:rsidRDefault="00495E23" w:rsidP="00495E23">
      <w:pPr>
        <w:spacing w:before="120" w:after="120"/>
        <w:jc w:val="center"/>
        <w:rPr>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8"/>
        <w:gridCol w:w="2039"/>
        <w:gridCol w:w="6534"/>
      </w:tblGrid>
      <w:tr w:rsidR="00F960AF" w:rsidRPr="00DB3901" w:rsidTr="00B22B7E">
        <w:trPr>
          <w:tblCellSpacing w:w="0" w:type="dxa"/>
        </w:trPr>
        <w:tc>
          <w:tcPr>
            <w:tcW w:w="9101" w:type="dxa"/>
            <w:gridSpan w:val="3"/>
            <w:tcBorders>
              <w:top w:val="outset" w:sz="6" w:space="0" w:color="auto"/>
              <w:bottom w:val="outset" w:sz="6" w:space="0" w:color="auto"/>
            </w:tcBorders>
            <w:vAlign w:val="center"/>
          </w:tcPr>
          <w:p w:rsidR="00F960AF" w:rsidRPr="00DB3901" w:rsidRDefault="00F960AF" w:rsidP="00B22B7E">
            <w:pPr>
              <w:spacing w:before="75" w:after="75"/>
              <w:jc w:val="center"/>
              <w:rPr>
                <w:color w:val="000000"/>
              </w:rPr>
            </w:pPr>
            <w:r w:rsidRPr="00DB3901">
              <w:rPr>
                <w:b/>
                <w:bCs/>
                <w:color w:val="000000"/>
              </w:rPr>
              <w:t> I. Tiesību akta projekta izstrādes nepieciešamība</w:t>
            </w:r>
          </w:p>
        </w:tc>
      </w:tr>
      <w:tr w:rsidR="00F960AF" w:rsidRPr="00DB3901" w:rsidTr="00B22B7E">
        <w:trPr>
          <w:trHeight w:val="630"/>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1.</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Pamatojums</w:t>
            </w:r>
          </w:p>
        </w:tc>
        <w:tc>
          <w:tcPr>
            <w:tcW w:w="6534" w:type="dxa"/>
            <w:tcBorders>
              <w:top w:val="outset" w:sz="6" w:space="0" w:color="auto"/>
              <w:left w:val="outset" w:sz="6" w:space="0" w:color="auto"/>
              <w:bottom w:val="outset" w:sz="6" w:space="0" w:color="auto"/>
            </w:tcBorders>
          </w:tcPr>
          <w:p w:rsidR="00911D38" w:rsidRPr="00911D38" w:rsidRDefault="00F960AF" w:rsidP="00911D38">
            <w:pPr>
              <w:pStyle w:val="ParastaisWeb"/>
              <w:spacing w:before="120" w:beforeAutospacing="0" w:after="120" w:afterAutospacing="0"/>
              <w:ind w:left="127" w:right="140"/>
              <w:jc w:val="both"/>
            </w:pPr>
            <w:r w:rsidRPr="00911D38">
              <w:t>Ministru kabineta 201</w:t>
            </w:r>
            <w:r w:rsidR="00064E65" w:rsidRPr="00911D38">
              <w:t>1</w:t>
            </w:r>
            <w:r w:rsidRPr="00911D38">
              <w:t xml:space="preserve">.gada </w:t>
            </w:r>
            <w:r w:rsidR="00064E65" w:rsidRPr="00911D38">
              <w:t>7</w:t>
            </w:r>
            <w:r w:rsidRPr="00911D38">
              <w:t>.</w:t>
            </w:r>
            <w:r w:rsidR="00064E65" w:rsidRPr="00911D38">
              <w:t>septembra</w:t>
            </w:r>
            <w:r w:rsidRPr="00911D38">
              <w:t xml:space="preserve"> rīkojum</w:t>
            </w:r>
            <w:r w:rsidR="00064E65" w:rsidRPr="00911D38">
              <w:t>a</w:t>
            </w:r>
            <w:r w:rsidRPr="00911D38">
              <w:t xml:space="preserve"> Nr.</w:t>
            </w:r>
            <w:r w:rsidR="00064E65" w:rsidRPr="00911D38">
              <w:t>436</w:t>
            </w:r>
            <w:r w:rsidRPr="00911D38">
              <w:t xml:space="preserve"> ”Par </w:t>
            </w:r>
            <w:r w:rsidR="00064E65" w:rsidRPr="00911D38">
              <w:t xml:space="preserve">Veselības norēķinu centra un Veselības ekonomikas centra </w:t>
            </w:r>
            <w:r w:rsidRPr="00911D38">
              <w:t>reorganizāciju”</w:t>
            </w:r>
            <w:r w:rsidR="00064E65" w:rsidRPr="00911D38">
              <w:t xml:space="preserve"> 1., 3.</w:t>
            </w:r>
            <w:r w:rsidR="00911D38" w:rsidRPr="00911D38">
              <w:t>1</w:t>
            </w:r>
            <w:r w:rsidR="003E0394">
              <w:t>.apakšpunkts</w:t>
            </w:r>
            <w:r w:rsidR="00064E65" w:rsidRPr="00911D38">
              <w:t xml:space="preserve"> un </w:t>
            </w:r>
            <w:r w:rsidR="00911D38" w:rsidRPr="00911D38">
              <w:t>5</w:t>
            </w:r>
            <w:r w:rsidR="00064E65" w:rsidRPr="00911D38">
              <w:t>.punkts</w:t>
            </w:r>
          </w:p>
          <w:p w:rsidR="00267611" w:rsidRPr="001523B9" w:rsidRDefault="001523B9" w:rsidP="00911D38">
            <w:pPr>
              <w:pStyle w:val="ParastaisWeb"/>
              <w:spacing w:before="120" w:beforeAutospacing="0" w:after="120" w:afterAutospacing="0"/>
              <w:ind w:left="127" w:right="140"/>
              <w:jc w:val="both"/>
              <w:rPr>
                <w:rFonts w:ascii="Tahoma" w:hAnsi="Tahoma" w:cs="Tahoma"/>
              </w:rPr>
            </w:pPr>
            <w:r w:rsidRPr="001523B9">
              <w:t>Valsts un pašvaldību institūciju amatpersonu un darbinieku atlīdzības likuma 39.</w:t>
            </w:r>
            <w:r w:rsidR="00267611" w:rsidRPr="001523B9">
              <w:t>pants</w:t>
            </w:r>
          </w:p>
        </w:tc>
      </w:tr>
      <w:tr w:rsidR="00F960AF" w:rsidRPr="00DB3901" w:rsidTr="00B22B7E">
        <w:trPr>
          <w:trHeight w:val="472"/>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2.</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Pašreizējā situācija un problēmas</w:t>
            </w:r>
          </w:p>
        </w:tc>
        <w:tc>
          <w:tcPr>
            <w:tcW w:w="6534" w:type="dxa"/>
            <w:tcBorders>
              <w:top w:val="outset" w:sz="6" w:space="0" w:color="auto"/>
              <w:left w:val="outset" w:sz="6" w:space="0" w:color="auto"/>
              <w:bottom w:val="outset" w:sz="6" w:space="0" w:color="auto"/>
            </w:tcBorders>
          </w:tcPr>
          <w:p w:rsidR="00911D38" w:rsidRPr="00911D38" w:rsidRDefault="001523B9" w:rsidP="00911D38">
            <w:pPr>
              <w:pStyle w:val="Virsraksts6"/>
              <w:jc w:val="both"/>
              <w:rPr>
                <w:sz w:val="24"/>
                <w:szCs w:val="24"/>
                <w:lang w:eastAsia="lv-LV"/>
              </w:rPr>
            </w:pPr>
            <w:bookmarkStart w:id="0" w:name="bkm1"/>
            <w:r w:rsidRPr="001523B9">
              <w:rPr>
                <w:sz w:val="24"/>
                <w:szCs w:val="24"/>
                <w:lang w:eastAsia="lv-LV"/>
              </w:rPr>
              <w:t>Ministru kabineta 2010.gada 21.jūnija noteikum</w:t>
            </w:r>
            <w:r>
              <w:rPr>
                <w:sz w:val="24"/>
                <w:szCs w:val="24"/>
                <w:lang w:eastAsia="lv-LV"/>
              </w:rPr>
              <w:t>i</w:t>
            </w:r>
            <w:r w:rsidRPr="001523B9">
              <w:rPr>
                <w:sz w:val="24"/>
                <w:szCs w:val="24"/>
                <w:lang w:eastAsia="lv-LV"/>
              </w:rPr>
              <w:t xml:space="preserve"> Nr.563 „Kārtība, kādā Neatliekamās medicīniskās palīdzības dienesta darbinieki saņem apmaksātu veselības aprūpi”</w:t>
            </w:r>
            <w:r w:rsidR="00634E27" w:rsidRPr="00911D38">
              <w:rPr>
                <w:sz w:val="24"/>
                <w:szCs w:val="24"/>
                <w:lang w:eastAsia="lv-LV"/>
              </w:rPr>
              <w:t xml:space="preserve"> </w:t>
            </w:r>
            <w:r w:rsidR="00634E27" w:rsidRPr="00B12925">
              <w:rPr>
                <w:sz w:val="24"/>
                <w:szCs w:val="24"/>
                <w:lang w:eastAsia="lv-LV"/>
              </w:rPr>
              <w:t>(turpmāk – noteikum</w:t>
            </w:r>
            <w:r w:rsidR="007566E9" w:rsidRPr="00B12925">
              <w:rPr>
                <w:sz w:val="24"/>
                <w:szCs w:val="24"/>
                <w:lang w:eastAsia="lv-LV"/>
              </w:rPr>
              <w:t>i</w:t>
            </w:r>
            <w:r w:rsidR="00634E27" w:rsidRPr="00B12925">
              <w:rPr>
                <w:sz w:val="24"/>
                <w:szCs w:val="24"/>
                <w:lang w:eastAsia="lv-LV"/>
              </w:rPr>
              <w:t xml:space="preserve"> Nr.</w:t>
            </w:r>
            <w:r>
              <w:rPr>
                <w:sz w:val="24"/>
                <w:szCs w:val="24"/>
                <w:lang w:eastAsia="lv-LV"/>
              </w:rPr>
              <w:t>563</w:t>
            </w:r>
            <w:r w:rsidR="00634E27" w:rsidRPr="00B12925">
              <w:rPr>
                <w:sz w:val="24"/>
                <w:szCs w:val="24"/>
                <w:lang w:eastAsia="lv-LV"/>
              </w:rPr>
              <w:t>)</w:t>
            </w:r>
            <w:r w:rsidR="00B22B7E" w:rsidRPr="00B12925">
              <w:rPr>
                <w:sz w:val="24"/>
                <w:szCs w:val="24"/>
                <w:lang w:eastAsia="lv-LV"/>
              </w:rPr>
              <w:t xml:space="preserve"> nosaka</w:t>
            </w:r>
            <w:r w:rsidR="007566E9">
              <w:rPr>
                <w:sz w:val="24"/>
                <w:szCs w:val="24"/>
                <w:lang w:eastAsia="lv-LV"/>
              </w:rPr>
              <w:t xml:space="preserve"> </w:t>
            </w:r>
            <w:r w:rsidRPr="001523B9">
              <w:rPr>
                <w:sz w:val="24"/>
                <w:szCs w:val="24"/>
                <w:lang w:eastAsia="lv-LV"/>
              </w:rPr>
              <w:t>kārtību, kādā Neatliekamās medicīniskās palīdzības dienesta darbiniekiem (turpmāk – darbinieki) ir tiesības saņemt apmaksātu veselības aprūpi, apmaksātās veselības aprūpes saņemšanas nosacījumus, apmaksājamo pakalpojumu veidus un apmaksas kārtību, kā arī veselības aprūpes pakalpojumus un neapmaksājamos izdevumus.</w:t>
            </w:r>
            <w:r w:rsidR="00911D38">
              <w:rPr>
                <w:sz w:val="24"/>
                <w:szCs w:val="24"/>
                <w:lang w:eastAsia="lv-LV"/>
              </w:rPr>
              <w:t xml:space="preserve"> </w:t>
            </w:r>
          </w:p>
          <w:p w:rsidR="00911D38" w:rsidRPr="00911D38" w:rsidRDefault="007566E9" w:rsidP="00911D38">
            <w:pPr>
              <w:pStyle w:val="Virsraksts6"/>
              <w:jc w:val="both"/>
              <w:rPr>
                <w:sz w:val="24"/>
                <w:szCs w:val="24"/>
              </w:rPr>
            </w:pPr>
            <w:r w:rsidRPr="00911D38">
              <w:rPr>
                <w:sz w:val="24"/>
                <w:szCs w:val="24"/>
              </w:rPr>
              <w:t>Noteikumu Nr.</w:t>
            </w:r>
            <w:r w:rsidR="001523B9" w:rsidRPr="00911D38">
              <w:rPr>
                <w:sz w:val="24"/>
                <w:szCs w:val="24"/>
              </w:rPr>
              <w:t>563</w:t>
            </w:r>
            <w:r w:rsidRPr="00911D38">
              <w:rPr>
                <w:sz w:val="24"/>
                <w:szCs w:val="24"/>
              </w:rPr>
              <w:t xml:space="preserve"> </w:t>
            </w:r>
            <w:r w:rsidR="001523B9" w:rsidRPr="00911D38">
              <w:rPr>
                <w:sz w:val="24"/>
                <w:szCs w:val="24"/>
              </w:rPr>
              <w:t xml:space="preserve">2.punkts nosaka, ka izdevumus, kas saistīti ar atzinuma sniegšanu par darbinieku veselības stāvokli obligātās veselības pārbaudes ietvaros un vakcināciju, sedz Neatliekamās medicīniskās palīdzības dienests no tam piešķirtajiem valsts budžeta līdzekļiem, bet izdevumus, kas saistīti ar pacienta iemaksu un </w:t>
            </w:r>
            <w:proofErr w:type="spellStart"/>
            <w:r w:rsidR="001523B9" w:rsidRPr="00911D38">
              <w:rPr>
                <w:sz w:val="24"/>
                <w:szCs w:val="24"/>
              </w:rPr>
              <w:t>līdzmaksājumu</w:t>
            </w:r>
            <w:proofErr w:type="spellEnd"/>
            <w:r w:rsidR="001523B9" w:rsidRPr="00911D38">
              <w:rPr>
                <w:sz w:val="24"/>
                <w:szCs w:val="24"/>
              </w:rPr>
              <w:t xml:space="preserve"> par šajos noteikumos minētajiem veselības aprūpes pakalpojumiem, sedz </w:t>
            </w:r>
            <w:r w:rsidR="001523B9" w:rsidRPr="00911D38">
              <w:rPr>
                <w:sz w:val="24"/>
                <w:szCs w:val="24"/>
                <w:u w:val="single"/>
              </w:rPr>
              <w:t>Veselības norēķinu centrs</w:t>
            </w:r>
            <w:r w:rsidR="001523B9" w:rsidRPr="00911D38">
              <w:rPr>
                <w:sz w:val="24"/>
                <w:szCs w:val="24"/>
              </w:rPr>
              <w:t xml:space="preserve"> (turpmāk – centrs) no veselības aprūpes pakalpojumu apmaksai paredzētajiem valsts budžeta līdzekļiem, pamatojoties uz līgumiem, kas no</w:t>
            </w:r>
            <w:r w:rsidR="00D91AA0">
              <w:rPr>
                <w:sz w:val="24"/>
                <w:szCs w:val="24"/>
              </w:rPr>
              <w:t>slēgti ar ārstniecības iestādēm;</w:t>
            </w:r>
            <w:r w:rsidR="001523B9" w:rsidRPr="00911D38">
              <w:rPr>
                <w:sz w:val="24"/>
                <w:szCs w:val="24"/>
              </w:rPr>
              <w:t xml:space="preserve"> 4.</w:t>
            </w:r>
            <w:r w:rsidR="00D91AA0">
              <w:rPr>
                <w:sz w:val="24"/>
                <w:szCs w:val="24"/>
              </w:rPr>
              <w:t>punkts nosaka, ka a</w:t>
            </w:r>
            <w:r w:rsidR="001523B9" w:rsidRPr="00911D38">
              <w:rPr>
                <w:sz w:val="24"/>
                <w:szCs w:val="24"/>
              </w:rPr>
              <w:t xml:space="preserve">mbulatori un stacionāri sniegtos veselības aprūpes pakalpojumus apmaksā, ja veselības aprūpes pakalpojums sniegts ārstniecības iestādē, kas saskaņā ar normatīvajiem aktiem par veselības organizēšanas un finansēšanas kārtību ir līgumattiecībās ar </w:t>
            </w:r>
            <w:r w:rsidR="001523B9" w:rsidRPr="00911D38">
              <w:rPr>
                <w:sz w:val="24"/>
                <w:szCs w:val="24"/>
                <w:u w:val="single"/>
              </w:rPr>
              <w:t>centru</w:t>
            </w:r>
            <w:r w:rsidR="00D91AA0">
              <w:rPr>
                <w:sz w:val="24"/>
                <w:szCs w:val="24"/>
              </w:rPr>
              <w:t>;</w:t>
            </w:r>
            <w:r w:rsidR="001523B9" w:rsidRPr="00911D38">
              <w:rPr>
                <w:sz w:val="24"/>
                <w:szCs w:val="24"/>
              </w:rPr>
              <w:t xml:space="preserve"> 7.</w:t>
            </w:r>
            <w:r w:rsidR="00D91AA0">
              <w:rPr>
                <w:sz w:val="24"/>
                <w:szCs w:val="24"/>
              </w:rPr>
              <w:t>punkts nosaka, ka, j</w:t>
            </w:r>
            <w:r w:rsidR="001523B9" w:rsidRPr="00911D38">
              <w:rPr>
                <w:sz w:val="24"/>
                <w:szCs w:val="24"/>
              </w:rPr>
              <w:t xml:space="preserve">a darbinieks veselības aprūpes pakalpojumu ir saņēmis ārstniecības iestādē, kas nav līgumattiecībās ar </w:t>
            </w:r>
            <w:r w:rsidR="001523B9" w:rsidRPr="00911D38">
              <w:rPr>
                <w:sz w:val="24"/>
                <w:szCs w:val="24"/>
                <w:u w:val="single"/>
              </w:rPr>
              <w:t>centru</w:t>
            </w:r>
            <w:r w:rsidR="001523B9" w:rsidRPr="00911D38">
              <w:rPr>
                <w:sz w:val="24"/>
                <w:szCs w:val="24"/>
              </w:rPr>
              <w:t>, izdevumi par sniegto veselības aprūpes pakalpojumu netiek apmaksāti.</w:t>
            </w:r>
          </w:p>
          <w:p w:rsidR="00911D38" w:rsidRPr="00911D38" w:rsidRDefault="00064E65" w:rsidP="00911D38">
            <w:pPr>
              <w:pStyle w:val="Virsraksts6"/>
              <w:jc w:val="both"/>
              <w:rPr>
                <w:color w:val="000000"/>
                <w:sz w:val="24"/>
                <w:szCs w:val="24"/>
              </w:rPr>
            </w:pPr>
            <w:r w:rsidRPr="00911D38">
              <w:rPr>
                <w:noProof/>
                <w:color w:val="000000"/>
                <w:sz w:val="24"/>
                <w:szCs w:val="24"/>
              </w:rPr>
              <w:t xml:space="preserve">Saskaņā ar </w:t>
            </w:r>
            <w:r w:rsidRPr="00911D38">
              <w:rPr>
                <w:color w:val="000000"/>
                <w:sz w:val="24"/>
                <w:szCs w:val="24"/>
              </w:rPr>
              <w:t>Ministru kabineta 2011.gada 7.septembra rīkojuma Nr.436</w:t>
            </w:r>
            <w:r w:rsidR="00911D38">
              <w:rPr>
                <w:color w:val="000000"/>
                <w:sz w:val="24"/>
                <w:szCs w:val="24"/>
              </w:rPr>
              <w:t xml:space="preserve"> „</w:t>
            </w:r>
            <w:r w:rsidRPr="00911D38">
              <w:rPr>
                <w:color w:val="000000"/>
                <w:sz w:val="24"/>
                <w:szCs w:val="24"/>
              </w:rPr>
              <w:t>Par Veselības norēķinu centra un Veselības ekonomikas centra reorganizāciju” (turpmāk – MK rīkojums Nr.436) 1.</w:t>
            </w:r>
            <w:r w:rsidR="00B22B7E" w:rsidRPr="00911D38">
              <w:rPr>
                <w:color w:val="000000"/>
                <w:sz w:val="24"/>
                <w:szCs w:val="24"/>
              </w:rPr>
              <w:t>p</w:t>
            </w:r>
            <w:r w:rsidRPr="00911D38">
              <w:rPr>
                <w:color w:val="000000"/>
                <w:sz w:val="24"/>
                <w:szCs w:val="24"/>
              </w:rPr>
              <w:t>unktu tika reorganizētas iestādes</w:t>
            </w:r>
            <w:r w:rsidR="00B22B7E" w:rsidRPr="00911D38">
              <w:rPr>
                <w:color w:val="000000"/>
                <w:sz w:val="24"/>
                <w:szCs w:val="24"/>
              </w:rPr>
              <w:t xml:space="preserve"> - </w:t>
            </w:r>
            <w:r w:rsidRPr="00911D38">
              <w:rPr>
                <w:color w:val="000000"/>
                <w:sz w:val="24"/>
                <w:szCs w:val="24"/>
              </w:rPr>
              <w:t>Veselības eko</w:t>
            </w:r>
            <w:r w:rsidR="00B22B7E" w:rsidRPr="00911D38">
              <w:rPr>
                <w:color w:val="000000"/>
                <w:sz w:val="24"/>
                <w:szCs w:val="24"/>
              </w:rPr>
              <w:t>nomikas centrs un Veselības nor</w:t>
            </w:r>
            <w:r w:rsidRPr="00911D38">
              <w:rPr>
                <w:color w:val="000000"/>
                <w:sz w:val="24"/>
                <w:szCs w:val="24"/>
              </w:rPr>
              <w:t>ēķinu centrs, tās apvienojot un ar 2011.gada 1</w:t>
            </w:r>
            <w:r w:rsidR="00911D38">
              <w:rPr>
                <w:color w:val="000000"/>
                <w:sz w:val="24"/>
                <w:szCs w:val="24"/>
              </w:rPr>
              <w:t>.</w:t>
            </w:r>
            <w:r w:rsidRPr="00911D38">
              <w:rPr>
                <w:color w:val="000000"/>
                <w:sz w:val="24"/>
                <w:szCs w:val="24"/>
              </w:rPr>
              <w:t>novembri izveidota jauna veselības ministra pakļautībā</w:t>
            </w:r>
            <w:r w:rsidR="00B22B7E" w:rsidRPr="00911D38">
              <w:rPr>
                <w:color w:val="000000"/>
                <w:sz w:val="24"/>
                <w:szCs w:val="24"/>
              </w:rPr>
              <w:t xml:space="preserve"> </w:t>
            </w:r>
            <w:r w:rsidRPr="00911D38">
              <w:rPr>
                <w:color w:val="000000"/>
                <w:sz w:val="24"/>
                <w:szCs w:val="24"/>
              </w:rPr>
              <w:t>esoša iestāde – Nacionālais veselības dienests.</w:t>
            </w:r>
            <w:r w:rsidR="00634E27" w:rsidRPr="00911D38">
              <w:rPr>
                <w:color w:val="000000"/>
                <w:sz w:val="24"/>
                <w:szCs w:val="24"/>
              </w:rPr>
              <w:t xml:space="preserve"> </w:t>
            </w:r>
            <w:bookmarkEnd w:id="0"/>
            <w:r w:rsidR="00A065F5" w:rsidRPr="00911D38">
              <w:rPr>
                <w:color w:val="000000"/>
                <w:sz w:val="24"/>
                <w:szCs w:val="24"/>
              </w:rPr>
              <w:t xml:space="preserve">Rīkojuma Nr.436 3.1.apakšpunkts nosaka, ka dienesta funkcija ir tajā skaitā </w:t>
            </w:r>
            <w:r w:rsidR="00A065F5" w:rsidRPr="00911D38">
              <w:rPr>
                <w:color w:val="000000"/>
                <w:sz w:val="24"/>
                <w:szCs w:val="24"/>
              </w:rPr>
              <w:lastRenderedPageBreak/>
              <w:t>administrēt veselības aprūpei paredzētos valsts budžeta līdzekļus un saskaņā ar noslēgtajiem līgumiem norēķināties par sniegtajiem veselības aprūpes pakalpojumiem.</w:t>
            </w:r>
          </w:p>
          <w:p w:rsidR="00911D38" w:rsidRPr="00911D38" w:rsidRDefault="00A065F5" w:rsidP="00911D38">
            <w:pPr>
              <w:pStyle w:val="Virsraksts6"/>
              <w:jc w:val="both"/>
              <w:rPr>
                <w:color w:val="000000"/>
                <w:sz w:val="24"/>
                <w:szCs w:val="24"/>
              </w:rPr>
            </w:pPr>
            <w:r w:rsidRPr="00911D38">
              <w:rPr>
                <w:color w:val="000000"/>
                <w:sz w:val="24"/>
                <w:szCs w:val="24"/>
              </w:rPr>
              <w:t xml:space="preserve">Ministru kabineta 2006.gada 19.decembra noteikumi Nr.1046 „Veselības aprūpes organizēšanas un finansēšanas kārtība” </w:t>
            </w:r>
            <w:r w:rsidR="00911D38">
              <w:rPr>
                <w:color w:val="000000"/>
                <w:sz w:val="24"/>
                <w:szCs w:val="24"/>
              </w:rPr>
              <w:t>13.</w:t>
            </w:r>
            <w:r w:rsidRPr="00911D38">
              <w:rPr>
                <w:color w:val="000000"/>
                <w:sz w:val="24"/>
                <w:szCs w:val="24"/>
              </w:rPr>
              <w:t>punkts nosaka, ka Nacionālais veselības dienests slēdz līgumus ar ārstniecības iestādēm par valsts apmaksāto veselības aprūpes pakalpojumu sniegšanu.</w:t>
            </w:r>
          </w:p>
          <w:p w:rsidR="00911D38" w:rsidRPr="00911D38" w:rsidRDefault="00A065F5" w:rsidP="00911D38">
            <w:pPr>
              <w:pStyle w:val="Virsraksts6"/>
              <w:jc w:val="both"/>
              <w:rPr>
                <w:color w:val="000000"/>
                <w:sz w:val="24"/>
                <w:szCs w:val="24"/>
              </w:rPr>
            </w:pPr>
            <w:r w:rsidRPr="00911D38">
              <w:rPr>
                <w:sz w:val="24"/>
                <w:szCs w:val="24"/>
              </w:rPr>
              <w:t xml:space="preserve">Līdz ar to ar 2011.gada 1.novembri noteikumos Nr.685 </w:t>
            </w:r>
            <w:r w:rsidR="00911D38">
              <w:rPr>
                <w:sz w:val="24"/>
                <w:szCs w:val="24"/>
              </w:rPr>
              <w:t xml:space="preserve">Veselības norēķinu </w:t>
            </w:r>
            <w:r w:rsidRPr="00911D38">
              <w:rPr>
                <w:sz w:val="24"/>
                <w:szCs w:val="24"/>
              </w:rPr>
              <w:t xml:space="preserve">centram noteiktās darbības veic Nacionālais veselības dienests, kas ir Veselības </w:t>
            </w:r>
            <w:r w:rsidR="00D91AA0">
              <w:rPr>
                <w:sz w:val="24"/>
                <w:szCs w:val="24"/>
              </w:rPr>
              <w:t>norēķinu</w:t>
            </w:r>
            <w:r w:rsidRPr="00911D38">
              <w:rPr>
                <w:sz w:val="24"/>
                <w:szCs w:val="24"/>
              </w:rPr>
              <w:t xml:space="preserve"> centra funkciju, pārvaldes uzdevumu, tiesību, saistību, finanšu līdzekļu, mantas un lietvedības pārņēmējs līgumu ar ārstniecības iestādēm par valsts apmaksāto veselības aprūpes pakalpojumu slēgšanas j</w:t>
            </w:r>
            <w:r w:rsidRPr="00911D38">
              <w:rPr>
                <w:color w:val="000000"/>
                <w:sz w:val="24"/>
                <w:szCs w:val="24"/>
              </w:rPr>
              <w:t>omā.</w:t>
            </w:r>
          </w:p>
          <w:p w:rsidR="00495E23" w:rsidRPr="009637CC" w:rsidRDefault="00495E23" w:rsidP="00D91AA0">
            <w:pPr>
              <w:pStyle w:val="Virsraksts6"/>
              <w:jc w:val="both"/>
              <w:rPr>
                <w:noProof/>
                <w:color w:val="000000"/>
              </w:rPr>
            </w:pPr>
            <w:r w:rsidRPr="00911D38">
              <w:rPr>
                <w:sz w:val="24"/>
                <w:szCs w:val="24"/>
              </w:rPr>
              <w:t>Sakarā ar minēto nepieciešams veikt tehnisku grozījumu, lai aizstātu noteikumu Nr.</w:t>
            </w:r>
            <w:r w:rsidR="007566E9" w:rsidRPr="00911D38">
              <w:rPr>
                <w:sz w:val="24"/>
                <w:szCs w:val="24"/>
              </w:rPr>
              <w:t>135</w:t>
            </w:r>
            <w:r w:rsidRPr="00911D38">
              <w:rPr>
                <w:sz w:val="24"/>
                <w:szCs w:val="24"/>
              </w:rPr>
              <w:t xml:space="preserve"> </w:t>
            </w:r>
            <w:r w:rsidR="007566E9" w:rsidRPr="00911D38">
              <w:rPr>
                <w:sz w:val="24"/>
                <w:szCs w:val="24"/>
              </w:rPr>
              <w:t>2.</w:t>
            </w:r>
            <w:r w:rsidR="00A065F5" w:rsidRPr="00911D38">
              <w:rPr>
                <w:sz w:val="24"/>
                <w:szCs w:val="24"/>
              </w:rPr>
              <w:t>, 4.</w:t>
            </w:r>
            <w:r w:rsidR="007566E9" w:rsidRPr="00911D38">
              <w:rPr>
                <w:sz w:val="24"/>
                <w:szCs w:val="24"/>
              </w:rPr>
              <w:t xml:space="preserve"> un </w:t>
            </w:r>
            <w:r w:rsidR="00A065F5" w:rsidRPr="00911D38">
              <w:rPr>
                <w:sz w:val="24"/>
                <w:szCs w:val="24"/>
              </w:rPr>
              <w:t>7</w:t>
            </w:r>
            <w:r w:rsidR="007566E9" w:rsidRPr="00911D38">
              <w:rPr>
                <w:sz w:val="24"/>
                <w:szCs w:val="24"/>
              </w:rPr>
              <w:t xml:space="preserve">.punktā </w:t>
            </w:r>
            <w:r w:rsidRPr="00911D38">
              <w:rPr>
                <w:sz w:val="24"/>
                <w:szCs w:val="24"/>
              </w:rPr>
              <w:t xml:space="preserve">Veselības </w:t>
            </w:r>
            <w:r w:rsidR="00D91AA0">
              <w:rPr>
                <w:sz w:val="24"/>
                <w:szCs w:val="24"/>
              </w:rPr>
              <w:t>norēķinu</w:t>
            </w:r>
            <w:r w:rsidRPr="00911D38">
              <w:rPr>
                <w:sz w:val="24"/>
                <w:szCs w:val="24"/>
              </w:rPr>
              <w:t xml:space="preserve"> centru ar Nacionālo veselības dienestu.</w:t>
            </w:r>
          </w:p>
        </w:tc>
      </w:tr>
      <w:tr w:rsidR="00F960AF" w:rsidRPr="00DB3901" w:rsidTr="00B22B7E">
        <w:trPr>
          <w:trHeight w:val="729"/>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lastRenderedPageBreak/>
              <w:t> 3.</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Saistītie politikas ietekmes novērtējumi un pētījumi</w:t>
            </w:r>
          </w:p>
        </w:tc>
        <w:tc>
          <w:tcPr>
            <w:tcW w:w="6534" w:type="dxa"/>
            <w:tcBorders>
              <w:top w:val="outset" w:sz="6" w:space="0" w:color="auto"/>
              <w:left w:val="outset" w:sz="6" w:space="0" w:color="auto"/>
              <w:bottom w:val="outset" w:sz="6" w:space="0" w:color="auto"/>
            </w:tcBorders>
          </w:tcPr>
          <w:p w:rsidR="00F960AF" w:rsidRPr="00AC66B5" w:rsidRDefault="00F960AF" w:rsidP="00B22B7E">
            <w:pPr>
              <w:tabs>
                <w:tab w:val="left" w:pos="7513"/>
              </w:tabs>
              <w:spacing w:after="120"/>
              <w:jc w:val="both"/>
              <w:rPr>
                <w:b/>
                <w:caps/>
                <w:color w:val="000000"/>
              </w:rPr>
            </w:pPr>
            <w:r w:rsidRPr="00DB3901">
              <w:rPr>
                <w:color w:val="000000"/>
              </w:rPr>
              <w:t xml:space="preserve"> Projekts šo j</w:t>
            </w:r>
            <w:r>
              <w:rPr>
                <w:color w:val="000000"/>
              </w:rPr>
              <w:t xml:space="preserve">omu </w:t>
            </w:r>
            <w:r w:rsidRPr="00DB3901">
              <w:rPr>
                <w:color w:val="000000"/>
              </w:rPr>
              <w:t>neskar</w:t>
            </w:r>
          </w:p>
          <w:p w:rsidR="00F960AF" w:rsidRPr="00AC66B5" w:rsidRDefault="00F960AF" w:rsidP="00B22B7E">
            <w:pPr>
              <w:tabs>
                <w:tab w:val="left" w:pos="7513"/>
              </w:tabs>
              <w:spacing w:after="120"/>
              <w:jc w:val="both"/>
              <w:rPr>
                <w:b/>
                <w:caps/>
                <w:color w:val="000000"/>
              </w:rPr>
            </w:pPr>
          </w:p>
        </w:tc>
      </w:tr>
      <w:tr w:rsidR="00F960AF" w:rsidRPr="00DB3901" w:rsidTr="00B22B7E">
        <w:trPr>
          <w:trHeight w:val="384"/>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4.</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Tiesiskā regulējuma mērķis un būtība</w:t>
            </w:r>
          </w:p>
        </w:tc>
        <w:tc>
          <w:tcPr>
            <w:tcW w:w="6534" w:type="dxa"/>
            <w:tcBorders>
              <w:top w:val="outset" w:sz="6" w:space="0" w:color="auto"/>
              <w:left w:val="outset" w:sz="6" w:space="0" w:color="auto"/>
              <w:bottom w:val="outset" w:sz="6" w:space="0" w:color="auto"/>
            </w:tcBorders>
          </w:tcPr>
          <w:p w:rsidR="00911D38" w:rsidRDefault="007566E9" w:rsidP="00911D38">
            <w:pPr>
              <w:pStyle w:val="naiskr"/>
              <w:tabs>
                <w:tab w:val="left" w:pos="259"/>
              </w:tabs>
              <w:spacing w:before="120" w:beforeAutospacing="0" w:after="120" w:afterAutospacing="0"/>
              <w:ind w:left="127" w:right="140"/>
              <w:jc w:val="both"/>
            </w:pPr>
            <w:r w:rsidRPr="00B12925">
              <w:rPr>
                <w:bCs/>
                <w:color w:val="000000"/>
              </w:rPr>
              <w:t xml:space="preserve">Ministru kabineta noteikumu projekta </w:t>
            </w:r>
            <w:r w:rsidR="00A065F5">
              <w:rPr>
                <w:b/>
                <w:bCs/>
                <w:color w:val="000000"/>
              </w:rPr>
              <w:t>„</w:t>
            </w:r>
            <w:r w:rsidRPr="00B12925">
              <w:rPr>
                <w:bCs/>
                <w:color w:val="000000"/>
              </w:rPr>
              <w:t>Grozījumi</w:t>
            </w:r>
            <w:r w:rsidRPr="00B12925">
              <w:t xml:space="preserve"> </w:t>
            </w:r>
            <w:r w:rsidR="00B23C4B" w:rsidRPr="001523B9">
              <w:t>Ministru kabineta 2010.gada 21.jūnija noteikum</w:t>
            </w:r>
            <w:r w:rsidR="00B23C4B">
              <w:t>i</w:t>
            </w:r>
            <w:r w:rsidR="00B23C4B" w:rsidRPr="001523B9">
              <w:t xml:space="preserve"> Nr.563 „Kārtība, kādā Neatliekamās medicīniskās palīdzības dienesta darbinieki saņem apmaksātu veselības aprūpi”</w:t>
            </w:r>
            <w:r w:rsidR="00B23C4B">
              <w:t xml:space="preserve"> </w:t>
            </w:r>
            <w:r w:rsidR="00F5182D">
              <w:rPr>
                <w:color w:val="000000"/>
              </w:rPr>
              <w:t xml:space="preserve">mērķis un būtība ir </w:t>
            </w:r>
            <w:r w:rsidR="00F5182D">
              <w:t>veikt tehnisku</w:t>
            </w:r>
            <w:r w:rsidR="00B23C4B">
              <w:t>s</w:t>
            </w:r>
            <w:r w:rsidR="00F5182D">
              <w:t xml:space="preserve"> grozījumu</w:t>
            </w:r>
            <w:r w:rsidR="00B23C4B">
              <w:t>s</w:t>
            </w:r>
            <w:r w:rsidR="00F5182D">
              <w:t>, lai aizstātu noteikumu Nr.</w:t>
            </w:r>
            <w:r w:rsidR="00B23C4B">
              <w:t>563</w:t>
            </w:r>
            <w:r w:rsidR="00F5182D">
              <w:t xml:space="preserve"> tekstā </w:t>
            </w:r>
            <w:r>
              <w:t>(2.</w:t>
            </w:r>
            <w:r w:rsidR="00B23C4B">
              <w:t xml:space="preserve">, 4. </w:t>
            </w:r>
            <w:r>
              <w:t xml:space="preserve">un </w:t>
            </w:r>
            <w:r w:rsidR="00B23C4B">
              <w:t>7</w:t>
            </w:r>
            <w:r>
              <w:t xml:space="preserve">.punktā) </w:t>
            </w:r>
            <w:r w:rsidR="00F5182D">
              <w:t xml:space="preserve">Veselības </w:t>
            </w:r>
            <w:r w:rsidR="00D91AA0">
              <w:t>norēķinu</w:t>
            </w:r>
            <w:r w:rsidR="00F5182D">
              <w:t xml:space="preserve"> centru ar Nacionālo veselības dienestu.</w:t>
            </w:r>
          </w:p>
          <w:p w:rsidR="00F960AF" w:rsidRPr="009637CC" w:rsidRDefault="00F5182D" w:rsidP="00911D38">
            <w:pPr>
              <w:pStyle w:val="naiskr"/>
              <w:tabs>
                <w:tab w:val="left" w:pos="259"/>
              </w:tabs>
              <w:spacing w:before="120" w:beforeAutospacing="0" w:after="120" w:afterAutospacing="0"/>
              <w:ind w:left="127" w:right="140"/>
              <w:jc w:val="both"/>
              <w:rPr>
                <w:color w:val="000000"/>
              </w:rPr>
            </w:pPr>
            <w:r>
              <w:rPr>
                <w:color w:val="000000"/>
              </w:rPr>
              <w:t xml:space="preserve">Noteikumu projekts atrisinās anotācijas </w:t>
            </w:r>
            <w:proofErr w:type="spellStart"/>
            <w:r>
              <w:rPr>
                <w:color w:val="000000"/>
              </w:rPr>
              <w:t>I.sadaļas</w:t>
            </w:r>
            <w:proofErr w:type="spellEnd"/>
            <w:r>
              <w:rPr>
                <w:color w:val="000000"/>
              </w:rPr>
              <w:t xml:space="preserve"> 2.punktā minētās problēmas</w:t>
            </w:r>
          </w:p>
        </w:tc>
      </w:tr>
      <w:tr w:rsidR="00F960AF" w:rsidRPr="00DB3901" w:rsidTr="00B22B7E">
        <w:trPr>
          <w:trHeight w:val="476"/>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5.</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Projekta izstrādē iesaistītās institūcijas</w:t>
            </w:r>
          </w:p>
        </w:tc>
        <w:tc>
          <w:tcPr>
            <w:tcW w:w="6534" w:type="dxa"/>
            <w:tcBorders>
              <w:top w:val="outset" w:sz="6" w:space="0" w:color="auto"/>
              <w:left w:val="outset" w:sz="6" w:space="0" w:color="auto"/>
              <w:bottom w:val="outset" w:sz="6" w:space="0" w:color="auto"/>
            </w:tcBorders>
          </w:tcPr>
          <w:p w:rsidR="00F960AF" w:rsidRPr="00DB3901" w:rsidRDefault="00F960AF" w:rsidP="00F5182D">
            <w:pPr>
              <w:spacing w:before="75" w:after="75"/>
              <w:jc w:val="both"/>
              <w:rPr>
                <w:color w:val="000000"/>
              </w:rPr>
            </w:pPr>
            <w:r w:rsidRPr="00DB3901">
              <w:rPr>
                <w:color w:val="000000"/>
              </w:rPr>
              <w:t> Veselības ministrija</w:t>
            </w:r>
          </w:p>
        </w:tc>
      </w:tr>
      <w:tr w:rsidR="00F960AF" w:rsidRPr="00DB3901" w:rsidTr="00B22B7E">
        <w:trPr>
          <w:trHeight w:val="769"/>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6.</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Iemesli, kādēļ netika nodrošināta sabiedrības līdzdalība</w:t>
            </w:r>
          </w:p>
        </w:tc>
        <w:tc>
          <w:tcPr>
            <w:tcW w:w="6534" w:type="dxa"/>
            <w:tcBorders>
              <w:top w:val="outset" w:sz="6" w:space="0" w:color="auto"/>
              <w:left w:val="outset" w:sz="6" w:space="0" w:color="auto"/>
              <w:bottom w:val="outset" w:sz="6" w:space="0" w:color="auto"/>
            </w:tcBorders>
          </w:tcPr>
          <w:p w:rsidR="00F960AF" w:rsidRPr="00DB3901" w:rsidRDefault="00F5182D" w:rsidP="00D91AA0">
            <w:pPr>
              <w:spacing w:before="120" w:after="120"/>
              <w:ind w:left="127" w:right="140"/>
              <w:jc w:val="both"/>
              <w:rPr>
                <w:color w:val="000000"/>
              </w:rPr>
            </w:pPr>
            <w:r>
              <w:rPr>
                <w:color w:val="000000"/>
              </w:rPr>
              <w:t>Noteikumu projekts paredz vei</w:t>
            </w:r>
            <w:r w:rsidR="007566E9">
              <w:rPr>
                <w:color w:val="000000"/>
              </w:rPr>
              <w:t>kt tehnisku</w:t>
            </w:r>
            <w:r>
              <w:rPr>
                <w:color w:val="000000"/>
              </w:rPr>
              <w:t xml:space="preserve"> grozījumu noteikumos Nr.</w:t>
            </w:r>
            <w:r w:rsidR="00911D38">
              <w:rPr>
                <w:color w:val="000000"/>
              </w:rPr>
              <w:t>563</w:t>
            </w:r>
            <w:r>
              <w:rPr>
                <w:color w:val="000000"/>
              </w:rPr>
              <w:t xml:space="preserve">, </w:t>
            </w:r>
            <w:r w:rsidR="00D8643A">
              <w:rPr>
                <w:color w:val="000000"/>
              </w:rPr>
              <w:t xml:space="preserve">aizstājot </w:t>
            </w:r>
            <w:r>
              <w:t>visā tekstā</w:t>
            </w:r>
            <w:r w:rsidR="00D8643A">
              <w:t xml:space="preserve"> </w:t>
            </w:r>
            <w:r w:rsidR="007566E9">
              <w:t xml:space="preserve">iestādes nosaukumu - </w:t>
            </w:r>
            <w:r>
              <w:t xml:space="preserve"> Veselības </w:t>
            </w:r>
            <w:r w:rsidR="00D91AA0">
              <w:t>norēķinu</w:t>
            </w:r>
            <w:r>
              <w:t xml:space="preserve"> centru ar Nacionālo veselības dienestu</w:t>
            </w:r>
            <w:r w:rsidR="00D8643A">
              <w:t xml:space="preserve">. Noteikumu projekts </w:t>
            </w:r>
            <w:r w:rsidR="00D8643A">
              <w:rPr>
                <w:color w:val="000000"/>
              </w:rPr>
              <w:t>neskar sabiedrību, jo izriet no MK rīkojuma Nr.436</w:t>
            </w:r>
            <w:r w:rsidR="00911D38">
              <w:rPr>
                <w:color w:val="000000"/>
              </w:rPr>
              <w:t>,</w:t>
            </w:r>
            <w:r w:rsidR="00D8643A">
              <w:rPr>
                <w:color w:val="000000"/>
              </w:rPr>
              <w:t xml:space="preserve"> kas noteica, ka </w:t>
            </w:r>
            <w:r w:rsidR="00D8643A">
              <w:t xml:space="preserve">Nacionālais veselības dienests ir Veselības </w:t>
            </w:r>
            <w:r w:rsidR="00D91AA0">
              <w:t>norēķinu</w:t>
            </w:r>
            <w:r w:rsidR="00D8643A">
              <w:t xml:space="preserve"> centra funkciju, pārvaldes uzdevumu, tiesību, saistību, finanšu līdzekļu, mantas un lietvedības pārņēmējs </w:t>
            </w:r>
            <w:r w:rsidR="00B23C4B">
              <w:t>līgumu ar ārstniecības iestādēm par valsts apmaksāto veselības aprūpes pakalpojumu slēgšanas j</w:t>
            </w:r>
            <w:r w:rsidR="00B23C4B">
              <w:rPr>
                <w:color w:val="000000"/>
              </w:rPr>
              <w:t xml:space="preserve">omā </w:t>
            </w:r>
            <w:r w:rsidR="007566E9">
              <w:rPr>
                <w:color w:val="000000"/>
              </w:rPr>
              <w:t>j</w:t>
            </w:r>
            <w:r w:rsidR="00D8643A">
              <w:t>omā.</w:t>
            </w:r>
          </w:p>
        </w:tc>
      </w:tr>
      <w:tr w:rsidR="00F960AF" w:rsidRPr="00DB3901" w:rsidTr="00B22B7E">
        <w:trPr>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7.</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Cita informācija</w:t>
            </w:r>
          </w:p>
        </w:tc>
        <w:tc>
          <w:tcPr>
            <w:tcW w:w="6534" w:type="dxa"/>
            <w:tcBorders>
              <w:top w:val="outset" w:sz="6" w:space="0" w:color="auto"/>
              <w:left w:val="outset" w:sz="6" w:space="0" w:color="auto"/>
              <w:bottom w:val="outset" w:sz="6" w:space="0" w:color="auto"/>
            </w:tcBorders>
          </w:tcPr>
          <w:p w:rsidR="00F960AF" w:rsidRPr="00DB3901" w:rsidRDefault="00F960AF" w:rsidP="00D8643A">
            <w:pPr>
              <w:spacing w:before="75" w:after="75"/>
              <w:rPr>
                <w:color w:val="000000"/>
              </w:rPr>
            </w:pPr>
            <w:r w:rsidRPr="00DB3901">
              <w:rPr>
                <w:color w:val="000000"/>
              </w:rPr>
              <w:t xml:space="preserve">  </w:t>
            </w:r>
            <w:r w:rsidR="00D91AA0">
              <w:rPr>
                <w:color w:val="000000"/>
              </w:rPr>
              <w:t>Nav</w:t>
            </w:r>
          </w:p>
        </w:tc>
      </w:tr>
    </w:tbl>
    <w:p w:rsidR="00F960AF" w:rsidRPr="00DB3901" w:rsidRDefault="00F960AF" w:rsidP="00D8643A">
      <w:pPr>
        <w:spacing w:before="75" w:after="75"/>
        <w:jc w:val="both"/>
        <w:rPr>
          <w:i/>
          <w:iCs/>
          <w:color w:val="000000"/>
        </w:rPr>
      </w:pPr>
      <w:r w:rsidRPr="00DB3901">
        <w:rPr>
          <w:color w:val="00000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5"/>
        <w:gridCol w:w="5606"/>
        <w:gridCol w:w="2990"/>
      </w:tblGrid>
      <w:tr w:rsidR="00F960AF" w:rsidRPr="00DB3901" w:rsidTr="00B22B7E">
        <w:trPr>
          <w:tblCellSpacing w:w="0" w:type="dxa"/>
        </w:trPr>
        <w:tc>
          <w:tcPr>
            <w:tcW w:w="9101" w:type="dxa"/>
            <w:gridSpan w:val="3"/>
            <w:tcBorders>
              <w:top w:val="outset" w:sz="6" w:space="0" w:color="auto"/>
              <w:bottom w:val="outset" w:sz="6" w:space="0" w:color="auto"/>
            </w:tcBorders>
          </w:tcPr>
          <w:p w:rsidR="00F960AF" w:rsidRPr="00DB3901" w:rsidRDefault="00F960AF" w:rsidP="00B22B7E">
            <w:pPr>
              <w:spacing w:before="75" w:after="75"/>
              <w:jc w:val="center"/>
              <w:rPr>
                <w:color w:val="000000"/>
              </w:rPr>
            </w:pPr>
            <w:r w:rsidRPr="00DB3901">
              <w:rPr>
                <w:b/>
                <w:bCs/>
                <w:color w:val="000000"/>
              </w:rPr>
              <w:t> VII. Tiesību akta projekta izpildes nodrošināšana un tās ietekme uz institūcijām</w:t>
            </w:r>
          </w:p>
        </w:tc>
      </w:tr>
      <w:tr w:rsidR="00F960AF" w:rsidRPr="00DB3901" w:rsidTr="00B22B7E">
        <w:trPr>
          <w:trHeight w:val="427"/>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1.</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izpildē iesaistītās institūcijas</w:t>
            </w:r>
          </w:p>
        </w:tc>
        <w:tc>
          <w:tcPr>
            <w:tcW w:w="2990" w:type="dxa"/>
            <w:tcBorders>
              <w:top w:val="outset" w:sz="6" w:space="0" w:color="auto"/>
              <w:left w:val="outset" w:sz="6" w:space="0" w:color="auto"/>
              <w:bottom w:val="outset" w:sz="6" w:space="0" w:color="auto"/>
            </w:tcBorders>
          </w:tcPr>
          <w:p w:rsidR="00B23C4B" w:rsidRDefault="00F960AF" w:rsidP="00B22B7E">
            <w:pPr>
              <w:rPr>
                <w:color w:val="000000"/>
              </w:rPr>
            </w:pPr>
            <w:r w:rsidRPr="00DB3901">
              <w:rPr>
                <w:color w:val="000000"/>
              </w:rPr>
              <w:t> </w:t>
            </w:r>
          </w:p>
          <w:p w:rsidR="00B23C4B" w:rsidRDefault="00B23C4B" w:rsidP="00B22B7E">
            <w:pPr>
              <w:rPr>
                <w:color w:val="000000"/>
              </w:rPr>
            </w:pPr>
            <w:r>
              <w:rPr>
                <w:color w:val="000000"/>
              </w:rPr>
              <w:t>Neatliekamās medicīniskās palīdz</w:t>
            </w:r>
            <w:r w:rsidR="00911D38">
              <w:rPr>
                <w:color w:val="000000"/>
              </w:rPr>
              <w:t>ī</w:t>
            </w:r>
            <w:r>
              <w:rPr>
                <w:color w:val="000000"/>
              </w:rPr>
              <w:t>bas dienests</w:t>
            </w:r>
          </w:p>
          <w:p w:rsidR="00F960AF" w:rsidRPr="00DB3901" w:rsidRDefault="00F960AF" w:rsidP="00B22B7E">
            <w:pPr>
              <w:rPr>
                <w:color w:val="000000"/>
              </w:rPr>
            </w:pPr>
            <w:r>
              <w:rPr>
                <w:color w:val="000000"/>
              </w:rPr>
              <w:t>Nacionālais veselības dienests</w:t>
            </w:r>
          </w:p>
        </w:tc>
      </w:tr>
      <w:tr w:rsidR="00F960AF" w:rsidRPr="00DB3901" w:rsidTr="00B22B7E">
        <w:trPr>
          <w:trHeight w:val="463"/>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2.</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funkcijām</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Projekts šo jautājumu neskar</w:t>
            </w:r>
          </w:p>
        </w:tc>
      </w:tr>
      <w:tr w:rsidR="00F960AF" w:rsidRPr="00DB3901" w:rsidTr="00B22B7E">
        <w:trPr>
          <w:trHeight w:val="725"/>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3.</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Jaunu institūciju izveide</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Projekts šo jautājumu neskar</w:t>
            </w:r>
          </w:p>
        </w:tc>
      </w:tr>
      <w:tr w:rsidR="00F960AF" w:rsidRPr="00DB3901" w:rsidTr="00B22B7E">
        <w:trPr>
          <w:trHeight w:val="780"/>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4.</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Esošu institūciju likvidācija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xml:space="preserve"> Projekts šo jautājumu neskar </w:t>
            </w:r>
          </w:p>
        </w:tc>
      </w:tr>
      <w:tr w:rsidR="00F960AF" w:rsidRPr="00DB3901" w:rsidTr="00B22B7E">
        <w:trPr>
          <w:trHeight w:val="405"/>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5.</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Esošu institūciju reorganizācija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xml:space="preserve"> Projekts šo jautājumu neskar </w:t>
            </w:r>
          </w:p>
        </w:tc>
      </w:tr>
      <w:tr w:rsidR="00F960AF" w:rsidRPr="00DB3901" w:rsidTr="00B22B7E">
        <w:trPr>
          <w:trHeight w:val="476"/>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6.</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Cita informācija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Nav</w:t>
            </w:r>
          </w:p>
        </w:tc>
      </w:tr>
    </w:tbl>
    <w:p w:rsidR="00D8643A" w:rsidRDefault="00D8643A" w:rsidP="00D8643A">
      <w:pPr>
        <w:jc w:val="center"/>
        <w:rPr>
          <w:color w:val="000000"/>
        </w:rPr>
      </w:pPr>
    </w:p>
    <w:p w:rsidR="00D8643A" w:rsidRPr="00D8643A" w:rsidRDefault="00D8643A" w:rsidP="00911D38">
      <w:pPr>
        <w:rPr>
          <w:iCs/>
          <w:color w:val="000000"/>
        </w:rPr>
      </w:pPr>
      <w:r w:rsidRPr="00D8643A">
        <w:rPr>
          <w:iCs/>
          <w:color w:val="000000"/>
        </w:rPr>
        <w:t xml:space="preserve">Anotācijas II, III, IV, V un VI sadaļa – </w:t>
      </w:r>
      <w:r w:rsidRPr="00D8643A">
        <w:rPr>
          <w:color w:val="000000"/>
        </w:rPr>
        <w:t>Projekts šo jomu neskar</w:t>
      </w:r>
      <w:r w:rsidRPr="00D8643A">
        <w:rPr>
          <w:iCs/>
          <w:color w:val="000000"/>
        </w:rPr>
        <w:t>.</w:t>
      </w:r>
    </w:p>
    <w:p w:rsidR="00F960AF" w:rsidRDefault="00F960AF" w:rsidP="00F960AF">
      <w:pPr>
        <w:spacing w:before="75" w:after="75"/>
        <w:jc w:val="both"/>
        <w:rPr>
          <w:color w:val="000000"/>
        </w:rPr>
      </w:pPr>
    </w:p>
    <w:p w:rsidR="00D8643A" w:rsidRPr="005030D2" w:rsidRDefault="00D8643A" w:rsidP="00F960AF">
      <w:pPr>
        <w:spacing w:before="75" w:after="75"/>
        <w:jc w:val="both"/>
        <w:rPr>
          <w:color w:val="000000"/>
        </w:rPr>
      </w:pPr>
    </w:p>
    <w:p w:rsidR="00F960AF" w:rsidRPr="005030D2" w:rsidRDefault="00F960AF" w:rsidP="00CA3CE6">
      <w:pPr>
        <w:spacing w:before="75" w:after="75"/>
        <w:jc w:val="both"/>
        <w:rPr>
          <w:color w:val="000000"/>
          <w:sz w:val="28"/>
          <w:szCs w:val="28"/>
        </w:rPr>
      </w:pPr>
      <w:r w:rsidRPr="0038028F">
        <w:rPr>
          <w:color w:val="000000"/>
          <w:sz w:val="28"/>
          <w:szCs w:val="28"/>
        </w:rPr>
        <w:t>Veselības ministre</w:t>
      </w:r>
      <w:r w:rsidRPr="0038028F">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sidR="00CA3CE6">
        <w:rPr>
          <w:color w:val="000000"/>
          <w:sz w:val="28"/>
          <w:szCs w:val="28"/>
        </w:rPr>
        <w:tab/>
      </w:r>
      <w:r w:rsidRPr="0038028F">
        <w:rPr>
          <w:color w:val="000000"/>
          <w:sz w:val="28"/>
          <w:szCs w:val="28"/>
        </w:rPr>
        <w:tab/>
      </w:r>
      <w:r w:rsidRPr="0038028F">
        <w:rPr>
          <w:color w:val="000000"/>
          <w:sz w:val="28"/>
          <w:szCs w:val="28"/>
        </w:rPr>
        <w:tab/>
      </w:r>
      <w:r>
        <w:rPr>
          <w:color w:val="000000"/>
          <w:sz w:val="28"/>
          <w:szCs w:val="28"/>
        </w:rPr>
        <w:t>I. Circene</w:t>
      </w:r>
    </w:p>
    <w:p w:rsidR="00F960AF" w:rsidRDefault="00F960AF" w:rsidP="00F960AF">
      <w:pPr>
        <w:jc w:val="both"/>
        <w:rPr>
          <w:bCs/>
        </w:rPr>
      </w:pPr>
    </w:p>
    <w:p w:rsidR="00F960AF" w:rsidRDefault="00F960AF" w:rsidP="00F960AF">
      <w:pPr>
        <w:jc w:val="both"/>
        <w:rPr>
          <w:bCs/>
        </w:rPr>
      </w:pPr>
    </w:p>
    <w:p w:rsidR="00F960AF" w:rsidRDefault="00F960AF" w:rsidP="00F960AF">
      <w:pPr>
        <w:jc w:val="both"/>
        <w:rPr>
          <w:bCs/>
        </w:rPr>
      </w:pPr>
    </w:p>
    <w:p w:rsidR="00D8643A" w:rsidRDefault="00D8643A" w:rsidP="00F960AF">
      <w:pPr>
        <w:jc w:val="both"/>
        <w:rPr>
          <w:bCs/>
        </w:rPr>
      </w:pPr>
    </w:p>
    <w:p w:rsidR="00D8643A" w:rsidRDefault="00D8643A" w:rsidP="00F960AF">
      <w:pPr>
        <w:jc w:val="both"/>
        <w:rPr>
          <w:bCs/>
        </w:rPr>
      </w:pPr>
    </w:p>
    <w:p w:rsidR="00D8643A" w:rsidRDefault="00D8643A" w:rsidP="00F960AF">
      <w:pPr>
        <w:jc w:val="both"/>
        <w:rPr>
          <w:bCs/>
        </w:rPr>
      </w:pPr>
    </w:p>
    <w:p w:rsidR="00D8643A" w:rsidRDefault="00D8643A" w:rsidP="00F960AF">
      <w:pPr>
        <w:jc w:val="both"/>
        <w:rPr>
          <w:bCs/>
        </w:rPr>
      </w:pPr>
    </w:p>
    <w:p w:rsidR="00D8643A" w:rsidRDefault="00D8643A" w:rsidP="00F960AF">
      <w:pPr>
        <w:jc w:val="both"/>
        <w:rPr>
          <w:bCs/>
        </w:rPr>
      </w:pPr>
    </w:p>
    <w:p w:rsidR="00D8643A" w:rsidRDefault="00D8643A" w:rsidP="00F960AF">
      <w:pPr>
        <w:jc w:val="both"/>
        <w:rPr>
          <w:bCs/>
        </w:rPr>
      </w:pPr>
    </w:p>
    <w:p w:rsidR="00D8643A" w:rsidRDefault="00D8643A" w:rsidP="00F960AF">
      <w:pPr>
        <w:jc w:val="both"/>
        <w:rPr>
          <w:bCs/>
        </w:rPr>
      </w:pPr>
    </w:p>
    <w:p w:rsidR="00F960AF" w:rsidRDefault="00F960AF" w:rsidP="00F960AF">
      <w:pPr>
        <w:jc w:val="both"/>
        <w:rPr>
          <w:bCs/>
        </w:rPr>
      </w:pPr>
    </w:p>
    <w:p w:rsidR="00F960AF" w:rsidRDefault="00F960AF" w:rsidP="00F960AF">
      <w:pPr>
        <w:jc w:val="both"/>
        <w:rPr>
          <w:bCs/>
        </w:rPr>
      </w:pPr>
    </w:p>
    <w:p w:rsidR="00F960AF" w:rsidRPr="004D7BE4" w:rsidRDefault="004F5544" w:rsidP="00F960AF">
      <w:pPr>
        <w:jc w:val="both"/>
        <w:rPr>
          <w:bCs/>
          <w:sz w:val="22"/>
          <w:szCs w:val="22"/>
        </w:rPr>
      </w:pPr>
      <w:r>
        <w:rPr>
          <w:bCs/>
          <w:sz w:val="22"/>
          <w:szCs w:val="22"/>
        </w:rPr>
        <w:t>28</w:t>
      </w:r>
      <w:r w:rsidR="00F960AF" w:rsidRPr="004D7BE4">
        <w:rPr>
          <w:bCs/>
          <w:sz w:val="22"/>
          <w:szCs w:val="22"/>
        </w:rPr>
        <w:t>.</w:t>
      </w:r>
      <w:r>
        <w:rPr>
          <w:bCs/>
          <w:sz w:val="22"/>
          <w:szCs w:val="22"/>
        </w:rPr>
        <w:t>01</w:t>
      </w:r>
      <w:r w:rsidR="00F960AF" w:rsidRPr="004D7BE4">
        <w:rPr>
          <w:bCs/>
          <w:sz w:val="22"/>
          <w:szCs w:val="22"/>
        </w:rPr>
        <w:t>.201</w:t>
      </w:r>
      <w:r>
        <w:rPr>
          <w:bCs/>
          <w:sz w:val="22"/>
          <w:szCs w:val="22"/>
        </w:rPr>
        <w:t>3</w:t>
      </w:r>
      <w:r w:rsidR="00F960AF" w:rsidRPr="004D7BE4">
        <w:rPr>
          <w:bCs/>
          <w:sz w:val="22"/>
          <w:szCs w:val="22"/>
        </w:rPr>
        <w:t>. 1</w:t>
      </w:r>
      <w:r w:rsidR="00911D38">
        <w:rPr>
          <w:bCs/>
          <w:sz w:val="22"/>
          <w:szCs w:val="22"/>
        </w:rPr>
        <w:t>1</w:t>
      </w:r>
      <w:r w:rsidR="00F960AF" w:rsidRPr="004D7BE4">
        <w:rPr>
          <w:bCs/>
          <w:sz w:val="22"/>
          <w:szCs w:val="22"/>
        </w:rPr>
        <w:t>:</w:t>
      </w:r>
      <w:r>
        <w:rPr>
          <w:bCs/>
          <w:sz w:val="22"/>
          <w:szCs w:val="22"/>
        </w:rPr>
        <w:t>30</w:t>
      </w:r>
    </w:p>
    <w:p w:rsidR="00F960AF" w:rsidRPr="004D7BE4" w:rsidRDefault="00CA3CE6" w:rsidP="00F960AF">
      <w:pPr>
        <w:jc w:val="both"/>
        <w:rPr>
          <w:bCs/>
          <w:sz w:val="22"/>
          <w:szCs w:val="22"/>
        </w:rPr>
      </w:pPr>
      <w:r>
        <w:rPr>
          <w:bCs/>
          <w:sz w:val="22"/>
          <w:szCs w:val="22"/>
        </w:rPr>
        <w:t>68</w:t>
      </w:r>
      <w:r w:rsidR="004F5544">
        <w:rPr>
          <w:bCs/>
          <w:sz w:val="22"/>
          <w:szCs w:val="22"/>
        </w:rPr>
        <w:t>5</w:t>
      </w:r>
    </w:p>
    <w:p w:rsidR="00D8643A" w:rsidRDefault="00D8643A" w:rsidP="00F960AF">
      <w:pPr>
        <w:jc w:val="both"/>
        <w:rPr>
          <w:bCs/>
          <w:sz w:val="22"/>
          <w:szCs w:val="22"/>
        </w:rPr>
      </w:pPr>
      <w:proofErr w:type="spellStart"/>
      <w:r>
        <w:rPr>
          <w:bCs/>
          <w:sz w:val="22"/>
          <w:szCs w:val="22"/>
        </w:rPr>
        <w:t>I.Brūvere</w:t>
      </w:r>
      <w:proofErr w:type="spellEnd"/>
      <w:r>
        <w:rPr>
          <w:bCs/>
          <w:sz w:val="22"/>
          <w:szCs w:val="22"/>
        </w:rPr>
        <w:t xml:space="preserve">, </w:t>
      </w:r>
      <w:r w:rsidR="00F960AF" w:rsidRPr="004D7BE4">
        <w:rPr>
          <w:bCs/>
          <w:sz w:val="22"/>
          <w:szCs w:val="22"/>
        </w:rPr>
        <w:t>67876</w:t>
      </w:r>
      <w:r>
        <w:rPr>
          <w:bCs/>
          <w:sz w:val="22"/>
          <w:szCs w:val="22"/>
        </w:rPr>
        <w:t xml:space="preserve">061, </w:t>
      </w:r>
    </w:p>
    <w:p w:rsidR="00B22B7E" w:rsidRDefault="00D8643A" w:rsidP="00D8643A">
      <w:pPr>
        <w:jc w:val="both"/>
      </w:pPr>
      <w:r>
        <w:rPr>
          <w:bCs/>
          <w:sz w:val="22"/>
          <w:szCs w:val="22"/>
        </w:rPr>
        <w:t>Ieva.Bruvere</w:t>
      </w:r>
      <w:r w:rsidR="00F960AF" w:rsidRPr="004D7BE4">
        <w:rPr>
          <w:bCs/>
          <w:sz w:val="22"/>
          <w:szCs w:val="22"/>
        </w:rPr>
        <w:t>@vm.gov.lv</w:t>
      </w:r>
    </w:p>
    <w:sectPr w:rsidR="00B22B7E" w:rsidSect="00B22B7E">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38" w:rsidRDefault="00911D38" w:rsidP="009655C2">
      <w:r>
        <w:separator/>
      </w:r>
    </w:p>
  </w:endnote>
  <w:endnote w:type="continuationSeparator" w:id="0">
    <w:p w:rsidR="00911D38" w:rsidRDefault="00911D38" w:rsidP="00965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38" w:rsidRDefault="004F5544" w:rsidP="00B12925">
    <w:pPr>
      <w:spacing w:before="120" w:after="120"/>
      <w:jc w:val="both"/>
    </w:pPr>
    <w:r>
      <w:t>VMAnot_280113</w:t>
    </w:r>
    <w:r w:rsidR="00911D38" w:rsidRPr="00B12925">
      <w:t>_</w:t>
    </w:r>
    <w:r w:rsidR="00911D38">
      <w:t>563</w:t>
    </w:r>
    <w:r w:rsidR="00911D38" w:rsidRPr="00B12925">
      <w:t xml:space="preserve">_t; </w:t>
    </w:r>
    <w:r w:rsidR="00911D38" w:rsidRPr="001523B9">
      <w:rPr>
        <w:bCs/>
        <w:color w:val="000000"/>
      </w:rPr>
      <w:t>Ministru kabineta noteikumu projekta</w:t>
    </w:r>
    <w:r w:rsidR="00911D38" w:rsidRPr="001523B9">
      <w:t xml:space="preserve"> „Grozījumi Ministru kabineta 2010.gada 21.jūnija noteikumos Nr.563 „Kārtība, kādā Neatliekamās medicīniskās palīdzības dienesta darbinieki saņem apmaksātu veselības aprūpi” </w:t>
    </w:r>
    <w:r w:rsidR="00911D38" w:rsidRPr="001523B9">
      <w:rPr>
        <w:bCs/>
        <w:color w:val="000000"/>
      </w:rPr>
      <w:t>sākotnējās ietekmes novērtējuma ziņojums (anotācija</w:t>
    </w:r>
    <w:r w:rsidR="00911D38">
      <w:rPr>
        <w:bCs/>
        <w:color w:val="00000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38" w:rsidRPr="003C4C34" w:rsidRDefault="00911D38" w:rsidP="00B12925">
    <w:pPr>
      <w:spacing w:before="120" w:after="120"/>
      <w:jc w:val="both"/>
      <w:rPr>
        <w:sz w:val="20"/>
        <w:szCs w:val="20"/>
      </w:rPr>
    </w:pPr>
    <w:r>
      <w:t>VMAnot_</w:t>
    </w:r>
    <w:r w:rsidR="004F5544">
      <w:t>280113</w:t>
    </w:r>
    <w:r>
      <w:t>_563</w:t>
    </w:r>
    <w:r w:rsidRPr="00B12925">
      <w:t xml:space="preserve">_t; </w:t>
    </w:r>
    <w:r w:rsidRPr="001523B9">
      <w:rPr>
        <w:bCs/>
        <w:color w:val="000000"/>
      </w:rPr>
      <w:t>Ministru kabineta noteikumu projekta</w:t>
    </w:r>
    <w:r w:rsidRPr="001523B9">
      <w:t xml:space="preserve"> „Grozījumi Ministru kabineta 2010.gada 21.jūnija noteikumos Nr.563 „Kārtība, kādā Neatliekamās medicīniskās palīdzības dienesta darbinieki saņem apmaksātu veselības aprūpi” </w:t>
    </w:r>
    <w:r w:rsidRPr="001523B9">
      <w:rPr>
        <w:bCs/>
        <w:color w:val="000000"/>
      </w:rPr>
      <w:t>sākotnējās ietekmes novērtējuma ziņojums (anotācija</w:t>
    </w:r>
    <w:r>
      <w:rPr>
        <w:bCs/>
        <w:color w:val="00000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38" w:rsidRDefault="00911D38" w:rsidP="009655C2">
      <w:r>
        <w:separator/>
      </w:r>
    </w:p>
  </w:footnote>
  <w:footnote w:type="continuationSeparator" w:id="0">
    <w:p w:rsidR="00911D38" w:rsidRDefault="00911D38" w:rsidP="00965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38" w:rsidRDefault="003F4038" w:rsidP="00B22B7E">
    <w:pPr>
      <w:pStyle w:val="Galvene"/>
      <w:framePr w:wrap="around" w:vAnchor="text" w:hAnchor="margin" w:xAlign="center" w:y="1"/>
      <w:rPr>
        <w:rStyle w:val="Lappusesnumurs"/>
      </w:rPr>
    </w:pPr>
    <w:r>
      <w:rPr>
        <w:rStyle w:val="Lappusesnumurs"/>
      </w:rPr>
      <w:fldChar w:fldCharType="begin"/>
    </w:r>
    <w:r w:rsidR="00911D38">
      <w:rPr>
        <w:rStyle w:val="Lappusesnumurs"/>
      </w:rPr>
      <w:instrText xml:space="preserve">PAGE  </w:instrText>
    </w:r>
    <w:r>
      <w:rPr>
        <w:rStyle w:val="Lappusesnumurs"/>
      </w:rPr>
      <w:fldChar w:fldCharType="separate"/>
    </w:r>
    <w:r w:rsidR="00911D38">
      <w:rPr>
        <w:rStyle w:val="Lappusesnumurs"/>
        <w:noProof/>
      </w:rPr>
      <w:t>9</w:t>
    </w:r>
    <w:r>
      <w:rPr>
        <w:rStyle w:val="Lappusesnumurs"/>
      </w:rPr>
      <w:fldChar w:fldCharType="end"/>
    </w:r>
  </w:p>
  <w:p w:rsidR="00911D38" w:rsidRDefault="00911D3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38" w:rsidRPr="00EC4EA2" w:rsidRDefault="003F4038" w:rsidP="00B22B7E">
    <w:pPr>
      <w:pStyle w:val="Galvene"/>
      <w:framePr w:wrap="around" w:vAnchor="text" w:hAnchor="margin" w:xAlign="center" w:y="1"/>
      <w:rPr>
        <w:rStyle w:val="Lappusesnumurs"/>
        <w:sz w:val="20"/>
        <w:szCs w:val="20"/>
      </w:rPr>
    </w:pPr>
    <w:r w:rsidRPr="00EC4EA2">
      <w:rPr>
        <w:rStyle w:val="Lappusesnumurs"/>
        <w:sz w:val="20"/>
        <w:szCs w:val="20"/>
      </w:rPr>
      <w:fldChar w:fldCharType="begin"/>
    </w:r>
    <w:r w:rsidR="00911D38" w:rsidRPr="00EC4EA2">
      <w:rPr>
        <w:rStyle w:val="Lappusesnumurs"/>
        <w:sz w:val="20"/>
        <w:szCs w:val="20"/>
      </w:rPr>
      <w:instrText xml:space="preserve">PAGE  </w:instrText>
    </w:r>
    <w:r w:rsidRPr="00EC4EA2">
      <w:rPr>
        <w:rStyle w:val="Lappusesnumurs"/>
        <w:sz w:val="20"/>
        <w:szCs w:val="20"/>
      </w:rPr>
      <w:fldChar w:fldCharType="separate"/>
    </w:r>
    <w:r w:rsidR="004F5544">
      <w:rPr>
        <w:rStyle w:val="Lappusesnumurs"/>
        <w:noProof/>
        <w:sz w:val="20"/>
        <w:szCs w:val="20"/>
      </w:rPr>
      <w:t>3</w:t>
    </w:r>
    <w:r w:rsidRPr="00EC4EA2">
      <w:rPr>
        <w:rStyle w:val="Lappusesnumurs"/>
        <w:sz w:val="20"/>
        <w:szCs w:val="20"/>
      </w:rPr>
      <w:fldChar w:fldCharType="end"/>
    </w:r>
  </w:p>
  <w:p w:rsidR="00911D38" w:rsidRDefault="00911D3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3481"/>
    <w:multiLevelType w:val="hybridMultilevel"/>
    <w:tmpl w:val="71D20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60AF"/>
    <w:rsid w:val="00064E65"/>
    <w:rsid w:val="001523B9"/>
    <w:rsid w:val="00240AC1"/>
    <w:rsid w:val="00267611"/>
    <w:rsid w:val="002919A2"/>
    <w:rsid w:val="003E0394"/>
    <w:rsid w:val="003F4038"/>
    <w:rsid w:val="00495E23"/>
    <w:rsid w:val="004F5544"/>
    <w:rsid w:val="00572201"/>
    <w:rsid w:val="00634E27"/>
    <w:rsid w:val="006B45CC"/>
    <w:rsid w:val="007566E9"/>
    <w:rsid w:val="007E110C"/>
    <w:rsid w:val="00911D38"/>
    <w:rsid w:val="009655C2"/>
    <w:rsid w:val="00A065F5"/>
    <w:rsid w:val="00A93729"/>
    <w:rsid w:val="00B12925"/>
    <w:rsid w:val="00B22B7E"/>
    <w:rsid w:val="00B23C4B"/>
    <w:rsid w:val="00C60514"/>
    <w:rsid w:val="00CA3CE6"/>
    <w:rsid w:val="00D8643A"/>
    <w:rsid w:val="00D91AA0"/>
    <w:rsid w:val="00F242AA"/>
    <w:rsid w:val="00F5182D"/>
    <w:rsid w:val="00F773FB"/>
    <w:rsid w:val="00F960AF"/>
    <w:rsid w:val="00FC42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960AF"/>
    <w:pPr>
      <w:spacing w:after="0" w:line="240" w:lineRule="auto"/>
    </w:pPr>
    <w:rPr>
      <w:rFonts w:ascii="Times New Roman" w:eastAsia="Times New Roman" w:hAnsi="Times New Roman" w:cs="Times New Roman"/>
      <w:sz w:val="24"/>
      <w:szCs w:val="24"/>
      <w:lang w:eastAsia="lv-LV"/>
    </w:rPr>
  </w:style>
  <w:style w:type="paragraph" w:styleId="Virsraksts6">
    <w:name w:val="heading 6"/>
    <w:basedOn w:val="Parastais"/>
    <w:next w:val="Parastais"/>
    <w:link w:val="Virsraksts6Rakstz"/>
    <w:unhideWhenUsed/>
    <w:qFormat/>
    <w:rsid w:val="007566E9"/>
    <w:pPr>
      <w:keepNext/>
      <w:overflowPunct w:val="0"/>
      <w:autoSpaceDE w:val="0"/>
      <w:autoSpaceDN w:val="0"/>
      <w:adjustRightInd w:val="0"/>
      <w:jc w:val="center"/>
      <w:outlineLvl w:val="5"/>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960AF"/>
    <w:pPr>
      <w:spacing w:before="100" w:beforeAutospacing="1" w:after="100" w:afterAutospacing="1"/>
    </w:pPr>
  </w:style>
  <w:style w:type="paragraph" w:customStyle="1" w:styleId="naiskr">
    <w:name w:val="naiskr"/>
    <w:basedOn w:val="Parastais"/>
    <w:rsid w:val="00F960AF"/>
    <w:pPr>
      <w:spacing w:before="100" w:beforeAutospacing="1" w:after="100" w:afterAutospacing="1"/>
    </w:pPr>
  </w:style>
  <w:style w:type="paragraph" w:styleId="Galvene">
    <w:name w:val="header"/>
    <w:basedOn w:val="Parastais"/>
    <w:link w:val="GalveneRakstz"/>
    <w:rsid w:val="00F960AF"/>
    <w:pPr>
      <w:tabs>
        <w:tab w:val="center" w:pos="4153"/>
        <w:tab w:val="right" w:pos="8306"/>
      </w:tabs>
    </w:pPr>
  </w:style>
  <w:style w:type="character" w:customStyle="1" w:styleId="GalveneRakstz">
    <w:name w:val="Galvene Rakstz."/>
    <w:basedOn w:val="Noklusjumarindkopasfonts"/>
    <w:link w:val="Galvene"/>
    <w:rsid w:val="00F960AF"/>
    <w:rPr>
      <w:rFonts w:ascii="Times New Roman" w:eastAsia="Times New Roman" w:hAnsi="Times New Roman" w:cs="Times New Roman"/>
      <w:sz w:val="24"/>
      <w:szCs w:val="24"/>
      <w:lang w:eastAsia="lv-LV"/>
    </w:rPr>
  </w:style>
  <w:style w:type="paragraph" w:styleId="Kjene">
    <w:name w:val="footer"/>
    <w:basedOn w:val="Parastais"/>
    <w:link w:val="KjeneRakstz"/>
    <w:rsid w:val="00F960AF"/>
    <w:pPr>
      <w:tabs>
        <w:tab w:val="center" w:pos="4153"/>
        <w:tab w:val="right" w:pos="8306"/>
      </w:tabs>
    </w:pPr>
  </w:style>
  <w:style w:type="character" w:customStyle="1" w:styleId="KjeneRakstz">
    <w:name w:val="Kājene Rakstz."/>
    <w:basedOn w:val="Noklusjumarindkopasfonts"/>
    <w:link w:val="Kjene"/>
    <w:rsid w:val="00F960AF"/>
    <w:rPr>
      <w:rFonts w:ascii="Times New Roman" w:eastAsia="Times New Roman" w:hAnsi="Times New Roman" w:cs="Times New Roman"/>
      <w:sz w:val="24"/>
      <w:szCs w:val="24"/>
      <w:lang w:eastAsia="lv-LV"/>
    </w:rPr>
  </w:style>
  <w:style w:type="paragraph" w:styleId="ParastaisWeb">
    <w:name w:val="Normal (Web)"/>
    <w:basedOn w:val="Parastais"/>
    <w:uiPriority w:val="99"/>
    <w:rsid w:val="00F960AF"/>
    <w:pPr>
      <w:spacing w:before="100" w:beforeAutospacing="1" w:after="100" w:afterAutospacing="1"/>
    </w:pPr>
  </w:style>
  <w:style w:type="character" w:styleId="Lappusesnumurs">
    <w:name w:val="page number"/>
    <w:basedOn w:val="Noklusjumarindkopasfonts"/>
    <w:rsid w:val="00F960AF"/>
  </w:style>
  <w:style w:type="character" w:styleId="Hipersaite">
    <w:name w:val="Hyperlink"/>
    <w:basedOn w:val="Noklusjumarindkopasfonts"/>
    <w:semiHidden/>
    <w:unhideWhenUsed/>
    <w:rsid w:val="00267611"/>
    <w:rPr>
      <w:color w:val="0000FF"/>
      <w:u w:val="single"/>
    </w:rPr>
  </w:style>
  <w:style w:type="paragraph" w:customStyle="1" w:styleId="tv2131">
    <w:name w:val="tv2131"/>
    <w:basedOn w:val="Parastais"/>
    <w:rsid w:val="00267611"/>
    <w:pPr>
      <w:spacing w:before="240" w:line="360" w:lineRule="auto"/>
      <w:ind w:firstLine="300"/>
      <w:jc w:val="both"/>
    </w:pPr>
    <w:rPr>
      <w:rFonts w:ascii="Verdana" w:hAnsi="Verdana"/>
      <w:sz w:val="18"/>
      <w:szCs w:val="18"/>
    </w:rPr>
  </w:style>
  <w:style w:type="character" w:customStyle="1" w:styleId="Virsraksts6Rakstz">
    <w:name w:val="Virsraksts 6 Rakstz."/>
    <w:basedOn w:val="Noklusjumarindkopasfonts"/>
    <w:link w:val="Virsraksts6"/>
    <w:rsid w:val="007566E9"/>
    <w:rPr>
      <w:rFonts w:ascii="Times New Roman" w:eastAsia="Times New Roman" w:hAnsi="Times New Roman" w:cs="Times New Roman"/>
      <w:sz w:val="28"/>
      <w:szCs w:val="20"/>
    </w:rPr>
  </w:style>
  <w:style w:type="paragraph" w:customStyle="1" w:styleId="tv90087921">
    <w:name w:val="tv900_87_921"/>
    <w:basedOn w:val="Parastais"/>
    <w:rsid w:val="001523B9"/>
    <w:pPr>
      <w:spacing w:after="567" w:line="360" w:lineRule="auto"/>
      <w:ind w:firstLine="300"/>
      <w:jc w:val="right"/>
    </w:pPr>
    <w:rPr>
      <w:rFonts w:ascii="Verdana" w:hAnsi="Verdana"/>
      <w:i/>
      <w:iCs/>
      <w:sz w:val="18"/>
      <w:szCs w:val="18"/>
    </w:rPr>
  </w:style>
</w:styles>
</file>

<file path=word/webSettings.xml><?xml version="1.0" encoding="utf-8"?>
<w:webSettings xmlns:r="http://schemas.openxmlformats.org/officeDocument/2006/relationships" xmlns:w="http://schemas.openxmlformats.org/wordprocessingml/2006/main">
  <w:divs>
    <w:div w:id="20088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3714</Words>
  <Characters>2118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Grozījumi Ministru kabineta 2010.gada 21.jūnija noteikumos Nr.563 „Kārtība, kādā Neatliekamās medicīniskās palīdzības dienesta darbinieki saņem apmaksātu veselības aprūpi” sākotnējās ietekmes novērtējuma ziņojums (anotācija)</vt:lpstr>
    </vt:vector>
  </TitlesOfParts>
  <Company>Veselības ministrija</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21.jūnija noteikumos Nr.563 „Kārtība, kādā Neatliekamās medicīniskās palīdzības dienesta darbinieki saņem apmaksātu veselības aprūpi” sākotnējās ietekmes novērtējuma ziņojums (anotācija)</dc:title>
  <dc:subject>Anotācija</dc:subject>
  <dc:creator>Ieva Brūvere</dc:creator>
  <cp:keywords/>
  <dc:description>Ieva.Bruvere@vm.gov.lv; 67876061; fakss 6787002</dc:description>
  <cp:lastModifiedBy>ibruvere</cp:lastModifiedBy>
  <cp:revision>14</cp:revision>
  <cp:lastPrinted>2013-01-28T09:30:00Z</cp:lastPrinted>
  <dcterms:created xsi:type="dcterms:W3CDTF">2012-09-20T09:10:00Z</dcterms:created>
  <dcterms:modified xsi:type="dcterms:W3CDTF">2013-01-28T09:30:00Z</dcterms:modified>
</cp:coreProperties>
</file>