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C7" w:rsidRDefault="00745F6C" w:rsidP="00E41200">
      <w:pPr>
        <w:jc w:val="center"/>
        <w:rPr>
          <w:b/>
          <w:bCs/>
          <w:sz w:val="28"/>
          <w:szCs w:val="28"/>
        </w:rPr>
      </w:pPr>
      <w:bookmarkStart w:id="0" w:name="OLE_LINK19"/>
      <w:bookmarkStart w:id="1" w:name="OLE_LINK20"/>
      <w:r w:rsidRPr="002729EE">
        <w:rPr>
          <w:sz w:val="28"/>
          <w:szCs w:val="28"/>
        </w:rPr>
        <w:t xml:space="preserve">Ministru kabineta </w:t>
      </w:r>
      <w:r w:rsidR="00DD6AC8">
        <w:rPr>
          <w:sz w:val="28"/>
          <w:szCs w:val="28"/>
        </w:rPr>
        <w:t>noteikumu</w:t>
      </w:r>
      <w:r w:rsidRPr="002729EE">
        <w:rPr>
          <w:sz w:val="28"/>
          <w:szCs w:val="28"/>
        </w:rPr>
        <w:t xml:space="preserve"> projekta</w:t>
      </w:r>
      <w:bookmarkStart w:id="2" w:name="OLE_LINK13"/>
      <w:bookmarkStart w:id="3" w:name="OLE_LINK14"/>
      <w:r w:rsidR="005D4A9B" w:rsidRPr="002729EE">
        <w:rPr>
          <w:b/>
          <w:sz w:val="28"/>
          <w:szCs w:val="28"/>
        </w:rPr>
        <w:t xml:space="preserve"> </w:t>
      </w:r>
      <w:r w:rsidR="005D4A9B" w:rsidRPr="00DD6AC8">
        <w:rPr>
          <w:sz w:val="28"/>
          <w:szCs w:val="28"/>
        </w:rPr>
        <w:t>„</w:t>
      </w:r>
      <w:bookmarkEnd w:id="2"/>
      <w:bookmarkEnd w:id="3"/>
      <w:r w:rsidR="00EF2C31">
        <w:rPr>
          <w:sz w:val="28"/>
          <w:szCs w:val="28"/>
        </w:rPr>
        <w:t>Nacionālā v</w:t>
      </w:r>
      <w:r w:rsidR="00DD6AC8" w:rsidRPr="00DD6AC8">
        <w:rPr>
          <w:sz w:val="28"/>
          <w:szCs w:val="28"/>
        </w:rPr>
        <w:t>eselības dienesta nolikums</w:t>
      </w:r>
      <w:r w:rsidR="00222011" w:rsidRPr="00DD6AC8">
        <w:rPr>
          <w:sz w:val="28"/>
          <w:szCs w:val="28"/>
        </w:rPr>
        <w:t>”</w:t>
      </w:r>
      <w:r w:rsidR="00DD6AC8">
        <w:rPr>
          <w:sz w:val="28"/>
          <w:szCs w:val="28"/>
        </w:rPr>
        <w:t xml:space="preserve"> </w:t>
      </w:r>
      <w:r w:rsidRPr="002729EE">
        <w:rPr>
          <w:bCs/>
          <w:sz w:val="28"/>
          <w:szCs w:val="28"/>
        </w:rPr>
        <w:t>sākotnējās ietekmes novērtējuma ziņojums</w:t>
      </w:r>
    </w:p>
    <w:p w:rsidR="00B20563" w:rsidRDefault="00745F6C" w:rsidP="00711B97">
      <w:pPr>
        <w:jc w:val="center"/>
        <w:rPr>
          <w:bCs/>
          <w:sz w:val="28"/>
          <w:szCs w:val="28"/>
        </w:rPr>
      </w:pPr>
      <w:r w:rsidRPr="00DD6AC8">
        <w:rPr>
          <w:bCs/>
          <w:sz w:val="28"/>
          <w:szCs w:val="28"/>
        </w:rPr>
        <w:t>(anotācija)</w:t>
      </w:r>
      <w:bookmarkEnd w:id="0"/>
      <w:bookmarkEnd w:id="1"/>
    </w:p>
    <w:p w:rsidR="00115A62" w:rsidRPr="00DD6AC8" w:rsidRDefault="00115A62" w:rsidP="00711B97">
      <w:pPr>
        <w:jc w:val="center"/>
        <w:rPr>
          <w:bCs/>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0"/>
        <w:gridCol w:w="2739"/>
        <w:gridCol w:w="6436"/>
      </w:tblGrid>
      <w:tr w:rsidR="00703C92" w:rsidRPr="007C0F2C" w:rsidTr="004750D0">
        <w:tc>
          <w:tcPr>
            <w:tcW w:w="9725" w:type="dxa"/>
            <w:gridSpan w:val="3"/>
            <w:vAlign w:val="center"/>
          </w:tcPr>
          <w:p w:rsidR="00703C92" w:rsidRPr="007C0F2C" w:rsidRDefault="00703C92" w:rsidP="004750D0">
            <w:pPr>
              <w:pStyle w:val="naisnod"/>
              <w:spacing w:before="0" w:after="0"/>
            </w:pPr>
            <w:r w:rsidRPr="007C0F2C">
              <w:t>I. Tiesību akta projekta izstrādes nepieciešamība</w:t>
            </w:r>
          </w:p>
        </w:tc>
      </w:tr>
      <w:tr w:rsidR="00703C92" w:rsidRPr="00F12A1B" w:rsidTr="00D42719">
        <w:trPr>
          <w:trHeight w:val="630"/>
        </w:trPr>
        <w:tc>
          <w:tcPr>
            <w:tcW w:w="550" w:type="dxa"/>
          </w:tcPr>
          <w:p w:rsidR="00703C92" w:rsidRPr="007C0F2C" w:rsidRDefault="00703C92" w:rsidP="004750D0">
            <w:pPr>
              <w:pStyle w:val="naiskr"/>
              <w:spacing w:before="0" w:after="0"/>
              <w:rPr>
                <w:sz w:val="22"/>
                <w:szCs w:val="22"/>
              </w:rPr>
            </w:pPr>
            <w:r w:rsidRPr="007C0F2C">
              <w:rPr>
                <w:sz w:val="22"/>
                <w:szCs w:val="22"/>
              </w:rPr>
              <w:t>1.</w:t>
            </w:r>
          </w:p>
        </w:tc>
        <w:tc>
          <w:tcPr>
            <w:tcW w:w="2739" w:type="dxa"/>
          </w:tcPr>
          <w:p w:rsidR="00703C92" w:rsidRPr="00A21389" w:rsidRDefault="00703C92" w:rsidP="004750D0">
            <w:pPr>
              <w:pStyle w:val="naiskr"/>
              <w:spacing w:before="0" w:after="0"/>
              <w:ind w:hanging="10"/>
            </w:pPr>
            <w:r w:rsidRPr="00A21389">
              <w:t>Pamatojums</w:t>
            </w:r>
          </w:p>
          <w:p w:rsidR="00703C92" w:rsidRPr="00A21389" w:rsidRDefault="00703C92" w:rsidP="004750D0">
            <w:pPr>
              <w:pStyle w:val="naiskr"/>
              <w:spacing w:before="0" w:after="0"/>
              <w:ind w:hanging="10"/>
              <w:rPr>
                <w:color w:val="FF0000"/>
              </w:rPr>
            </w:pPr>
          </w:p>
          <w:p w:rsidR="00703C92" w:rsidRPr="00A21389" w:rsidRDefault="00703C92" w:rsidP="004750D0">
            <w:pPr>
              <w:pStyle w:val="NoSpacing"/>
              <w:jc w:val="both"/>
              <w:rPr>
                <w:color w:val="FF0000"/>
              </w:rPr>
            </w:pPr>
          </w:p>
        </w:tc>
        <w:tc>
          <w:tcPr>
            <w:tcW w:w="6436" w:type="dxa"/>
          </w:tcPr>
          <w:p w:rsidR="00703C92" w:rsidRDefault="007031CC" w:rsidP="00FA7B8F">
            <w:pPr>
              <w:jc w:val="both"/>
            </w:pPr>
            <w:r>
              <w:t xml:space="preserve">      </w:t>
            </w:r>
            <w:r w:rsidR="00703C92" w:rsidRPr="00A21389">
              <w:t>Latvijas Stratēģiskās attīstības plāna 2010.-2013.gadam (apstiprināts ar Ministru kabineta</w:t>
            </w:r>
            <w:r w:rsidR="00FA7B8F">
              <w:t xml:space="preserve"> 2010.gada 9.aprīļa</w:t>
            </w:r>
            <w:r w:rsidR="00703C92" w:rsidRPr="00A21389">
              <w:t xml:space="preserve"> rīkojumu Nr.203) trešās prioritātes “Publiskās pārvaldes reformas” </w:t>
            </w:r>
            <w:r w:rsidR="00FA7B8F">
              <w:t>izvirzītais</w:t>
            </w:r>
            <w:r w:rsidR="00703C92" w:rsidRPr="00A21389">
              <w:t xml:space="preserve"> rīcības virzien</w:t>
            </w:r>
            <w:r w:rsidR="00FA7B8F">
              <w:t>s.</w:t>
            </w:r>
          </w:p>
          <w:p w:rsidR="00FA7B8F" w:rsidRPr="00F12A1B" w:rsidRDefault="007031CC" w:rsidP="00FA7B8F">
            <w:pPr>
              <w:jc w:val="both"/>
            </w:pPr>
            <w:r>
              <w:t xml:space="preserve">      </w:t>
            </w:r>
            <w:r w:rsidR="00FA7B8F">
              <w:t>Ministru kabinet</w:t>
            </w:r>
            <w:r w:rsidR="00384378">
              <w:t>a 2011.gada 7.septembra rīkojums</w:t>
            </w:r>
            <w:r w:rsidR="00FA7B8F">
              <w:t xml:space="preserve"> Nr.436 „Par Veselības norēķinu centra un Veselības ekonomikas centra reorganizāciju” </w:t>
            </w:r>
            <w:r w:rsidR="00384378">
              <w:t>(turpmāk – MK rīkojums)</w:t>
            </w:r>
            <w:r w:rsidR="00FA7B8F">
              <w:t>.</w:t>
            </w:r>
          </w:p>
        </w:tc>
      </w:tr>
      <w:tr w:rsidR="00703C92" w:rsidRPr="00BA3141" w:rsidTr="00D42719">
        <w:trPr>
          <w:trHeight w:val="472"/>
        </w:trPr>
        <w:tc>
          <w:tcPr>
            <w:tcW w:w="550" w:type="dxa"/>
          </w:tcPr>
          <w:p w:rsidR="00703C92" w:rsidRPr="007C0F2C" w:rsidRDefault="00703C92" w:rsidP="004750D0">
            <w:pPr>
              <w:pStyle w:val="naiskr"/>
              <w:spacing w:before="0" w:after="0"/>
              <w:rPr>
                <w:sz w:val="22"/>
                <w:szCs w:val="22"/>
              </w:rPr>
            </w:pPr>
            <w:r w:rsidRPr="007C0F2C">
              <w:rPr>
                <w:sz w:val="22"/>
                <w:szCs w:val="22"/>
              </w:rPr>
              <w:t>2.</w:t>
            </w:r>
          </w:p>
        </w:tc>
        <w:tc>
          <w:tcPr>
            <w:tcW w:w="2739" w:type="dxa"/>
          </w:tcPr>
          <w:p w:rsidR="00703C92" w:rsidRPr="007C0F2C" w:rsidRDefault="00703C92" w:rsidP="004750D0">
            <w:pPr>
              <w:pStyle w:val="naiskr"/>
              <w:tabs>
                <w:tab w:val="left" w:pos="170"/>
              </w:tabs>
              <w:spacing w:before="0" w:after="0"/>
              <w:rPr>
                <w:sz w:val="22"/>
                <w:szCs w:val="22"/>
              </w:rPr>
            </w:pPr>
            <w:r w:rsidRPr="007C0F2C">
              <w:rPr>
                <w:sz w:val="22"/>
                <w:szCs w:val="22"/>
              </w:rPr>
              <w:t>Pašreizējā situācija un problēmas</w:t>
            </w:r>
          </w:p>
        </w:tc>
        <w:tc>
          <w:tcPr>
            <w:tcW w:w="6436" w:type="dxa"/>
            <w:shd w:val="clear" w:color="auto" w:fill="auto"/>
          </w:tcPr>
          <w:p w:rsidR="006A1800" w:rsidRPr="00A00CE6" w:rsidRDefault="00C43840" w:rsidP="006A1800">
            <w:pPr>
              <w:pStyle w:val="naisf"/>
              <w:spacing w:before="0" w:after="0"/>
              <w:ind w:firstLine="0"/>
            </w:pPr>
            <w:r w:rsidRPr="006A1800">
              <w:rPr>
                <w:color w:val="FF0000"/>
              </w:rPr>
              <w:t xml:space="preserve">     </w:t>
            </w:r>
            <w:r w:rsidRPr="00A00CE6">
              <w:t>Šobrīd Veselības norēķinu centra (turpmāk – norēķinu centrs) darbību nosaka Ministru kabine</w:t>
            </w:r>
            <w:r w:rsidR="006971A4">
              <w:t>ta 2009.gada 6.oktobra noteikumi</w:t>
            </w:r>
            <w:r w:rsidRPr="00A00CE6">
              <w:t xml:space="preserve"> Nr.1149 „Veselības norēķinu centra nolikums”, savukārt Veselības ekonomikas centra (turpmāk – ekonomikas centrs) - Ministru kabineta 2009.gada 29.septembra noteikumi Nr.1119 „Veselības ekonomikas centra nolikums”.  </w:t>
            </w:r>
          </w:p>
          <w:p w:rsidR="006026F6" w:rsidRPr="006A1800" w:rsidRDefault="006A1800" w:rsidP="006A1800">
            <w:pPr>
              <w:pStyle w:val="naisf"/>
              <w:spacing w:before="0" w:after="0"/>
              <w:ind w:firstLine="0"/>
              <w:rPr>
                <w:color w:val="000000"/>
              </w:rPr>
            </w:pPr>
            <w:r w:rsidRPr="00A00CE6">
              <w:t xml:space="preserve">    Lai </w:t>
            </w:r>
            <w:r w:rsidR="00A00CE6">
              <w:t xml:space="preserve">novērstu līdzīgu funkciju veikšanu vairākās institūcijās, </w:t>
            </w:r>
            <w:r w:rsidRPr="00A00CE6">
              <w:t>palielinātu valsts budžeta līdzekļu izmantošanas efektivitāti, uzlabotu valsts pārvaldes iestāžu darbības pārredzamību un nodrošinātu labāku pakalpojumu pieejamību iedzīvotājiem, Veselības ministrija izstrādāja un</w:t>
            </w:r>
            <w:r>
              <w:rPr>
                <w:color w:val="000000"/>
              </w:rPr>
              <w:t xml:space="preserve"> </w:t>
            </w:r>
            <w:r w:rsidR="001B7FDA">
              <w:t xml:space="preserve">Ministru kabineta 2011.gada 30.augusta sēdē tika </w:t>
            </w:r>
            <w:r w:rsidR="004E50A7">
              <w:t>izdots</w:t>
            </w:r>
            <w:r w:rsidR="001B7FDA">
              <w:t xml:space="preserve"> MK rīkojums, kura 1.punktā noteikts</w:t>
            </w:r>
            <w:r w:rsidR="000106FB" w:rsidRPr="007031CC">
              <w:t xml:space="preserve"> reorganizēt veselības ministra pakļautībā</w:t>
            </w:r>
            <w:r w:rsidR="006026F6" w:rsidRPr="007031CC">
              <w:t xml:space="preserve"> esošās tiešās pārvaldes iestādes –</w:t>
            </w:r>
            <w:r w:rsidR="003114D7">
              <w:t xml:space="preserve"> </w:t>
            </w:r>
            <w:r w:rsidR="006026F6" w:rsidRPr="007031CC">
              <w:t>norēķinu centru un ekonomikas centru, tās apvienojot un ar 2011.gada 1.novembri izveidot jaunu veselības ministra pakļautībā esošu tiešās pārvaldes iestādi – Nacionālo veselība</w:t>
            </w:r>
            <w:r w:rsidR="00F66003">
              <w:t>s dienestu (turpmāk – dienests), kas veiks līdzšinējās norēķinu centra un ekonomikas centra funkcijas.</w:t>
            </w:r>
          </w:p>
          <w:p w:rsidR="007031CC" w:rsidRPr="00A00CE6" w:rsidRDefault="007031CC" w:rsidP="007031CC">
            <w:pPr>
              <w:jc w:val="both"/>
            </w:pPr>
            <w:r>
              <w:t xml:space="preserve">      </w:t>
            </w:r>
            <w:r w:rsidR="002B6EB3" w:rsidRPr="00A00CE6">
              <w:t xml:space="preserve">Atbilstoši </w:t>
            </w:r>
            <w:r w:rsidRPr="00A00CE6">
              <w:t>Pacie</w:t>
            </w:r>
            <w:r w:rsidR="00F66003" w:rsidRPr="00A00CE6">
              <w:t>n</w:t>
            </w:r>
            <w:r w:rsidRPr="00A00CE6">
              <w:t>tu tiesību likumā noteikt</w:t>
            </w:r>
            <w:r w:rsidR="002B6EB3" w:rsidRPr="00A00CE6">
              <w:t>ajam a</w:t>
            </w:r>
            <w:r w:rsidRPr="00A00CE6">
              <w:t>r 2012.gada 1.janvāri jāuzsāk darboties Ārstniecības riska fondam</w:t>
            </w:r>
            <w:r w:rsidR="00F66003" w:rsidRPr="00A00CE6">
              <w:t xml:space="preserve">, kura darbību </w:t>
            </w:r>
            <w:r w:rsidR="002B6EB3" w:rsidRPr="00A00CE6">
              <w:t>jānodrošina norēķinu centram.</w:t>
            </w:r>
            <w:r w:rsidRPr="00A00CE6">
              <w:t xml:space="preserve"> </w:t>
            </w:r>
            <w:r w:rsidR="002B6EB3" w:rsidRPr="00A00CE6">
              <w:t>Ņemot vērā to, ka dienests</w:t>
            </w:r>
            <w:r w:rsidR="00A00CE6" w:rsidRPr="00A00CE6">
              <w:t>,</w:t>
            </w:r>
            <w:r w:rsidR="002B6EB3" w:rsidRPr="00A00CE6">
              <w:t xml:space="preserve"> pamatojoties uz MK rīkojumā noteikto</w:t>
            </w:r>
            <w:r w:rsidR="00A00CE6" w:rsidRPr="00A00CE6">
              <w:t>,</w:t>
            </w:r>
            <w:r w:rsidR="002B6EB3" w:rsidRPr="00A00CE6">
              <w:t xml:space="preserve"> ir norēķinu centra funkciju pārņēmējs, lai nodrošinātu Pacientu tiesību likumā iekļautās tiesību normas izpildi</w:t>
            </w:r>
            <w:r w:rsidRPr="00A00CE6">
              <w:t xml:space="preserve">, </w:t>
            </w:r>
            <w:r w:rsidR="00F66003" w:rsidRPr="00A00CE6">
              <w:t xml:space="preserve">dienestā </w:t>
            </w:r>
            <w:r w:rsidR="002B6EB3" w:rsidRPr="00A00CE6">
              <w:t>nepieciešams</w:t>
            </w:r>
            <w:r w:rsidRPr="00A00CE6">
              <w:t xml:space="preserve"> izveidot</w:t>
            </w:r>
            <w:r w:rsidR="00F66003" w:rsidRPr="00A00CE6">
              <w:t xml:space="preserve"> papildus struktūrvienīb</w:t>
            </w:r>
            <w:r w:rsidR="002B6EB3" w:rsidRPr="00A00CE6">
              <w:t>u</w:t>
            </w:r>
            <w:r w:rsidRPr="00A00CE6">
              <w:t>, kas nodrošinās Ārstniecības riska fonda darbību</w:t>
            </w:r>
            <w:r w:rsidR="00F66003" w:rsidRPr="00A00CE6">
              <w:t xml:space="preserve"> - veiks</w:t>
            </w:r>
            <w:r w:rsidRPr="00A00CE6">
              <w:t xml:space="preserve"> šī fonda līdzekļu administrēšanu, pacientu iesniegto prasību izvērtēšanu un atlīdzību izmaksu pacientiem par dzīvībai vai veselībai nodarīto kaitējumu, kā arī par morālo kaitējumu. </w:t>
            </w:r>
          </w:p>
          <w:p w:rsidR="006026F6" w:rsidRDefault="007031CC" w:rsidP="004750D0">
            <w:pPr>
              <w:jc w:val="both"/>
            </w:pPr>
            <w:r>
              <w:t xml:space="preserve">       </w:t>
            </w:r>
            <w:r w:rsidR="006026F6">
              <w:t>Saskaņā ar MK rīkojuma 2.punktu dienests ir norēķinu centra un ekonomikas centra funkciju, pārvaldes uzdevumu, tiesību, saistību, finanšu līdzekļu, mantas un lietvedības pārņēmējs. Atbilstoši Valsts pārvaldes iekārtas likuma 16.panta pirmajai daļai tiešās pārvaldes iestādes darbību reglame</w:t>
            </w:r>
            <w:r w:rsidR="00F66003">
              <w:t>ntē</w:t>
            </w:r>
            <w:r w:rsidR="006026F6">
              <w:t xml:space="preserve"> Ministru kabineta apstiprināts nolikums.</w:t>
            </w:r>
          </w:p>
          <w:p w:rsidR="007E509D" w:rsidRPr="007E509D" w:rsidRDefault="007031CC" w:rsidP="007E509D">
            <w:pPr>
              <w:jc w:val="both"/>
            </w:pPr>
            <w:r>
              <w:t xml:space="preserve">      </w:t>
            </w:r>
            <w:r w:rsidR="006026F6">
              <w:t>Līdz ar to nepieciešams izstrādāt Ministru kabineta noteikumus „Nacionālā veselības dienesta nolikums”</w:t>
            </w:r>
            <w:r w:rsidR="00E712E7">
              <w:t xml:space="preserve"> (turpmāk – MK noteikumu projekts)</w:t>
            </w:r>
            <w:r w:rsidR="006026F6">
              <w:t xml:space="preserve">, nosakot iestādes funkcijas un </w:t>
            </w:r>
            <w:r w:rsidR="006026F6">
              <w:lastRenderedPageBreak/>
              <w:t xml:space="preserve">uzdevumus. </w:t>
            </w:r>
          </w:p>
        </w:tc>
      </w:tr>
      <w:tr w:rsidR="00703C92" w:rsidRPr="007C0F2C" w:rsidTr="00D42719">
        <w:trPr>
          <w:trHeight w:val="648"/>
        </w:trPr>
        <w:tc>
          <w:tcPr>
            <w:tcW w:w="550" w:type="dxa"/>
          </w:tcPr>
          <w:p w:rsidR="00703C92" w:rsidRPr="007C0F2C" w:rsidRDefault="00E712E7" w:rsidP="004750D0">
            <w:pPr>
              <w:pStyle w:val="naiskr"/>
              <w:spacing w:before="0" w:after="0"/>
              <w:rPr>
                <w:sz w:val="22"/>
                <w:szCs w:val="22"/>
              </w:rPr>
            </w:pPr>
            <w:r>
              <w:rPr>
                <w:sz w:val="22"/>
                <w:szCs w:val="22"/>
              </w:rPr>
              <w:lastRenderedPageBreak/>
              <w:t>3.</w:t>
            </w:r>
          </w:p>
        </w:tc>
        <w:tc>
          <w:tcPr>
            <w:tcW w:w="2739" w:type="dxa"/>
          </w:tcPr>
          <w:p w:rsidR="00703C92" w:rsidRPr="007C0F2C" w:rsidRDefault="00703C92" w:rsidP="004750D0">
            <w:pPr>
              <w:pStyle w:val="naiskr"/>
              <w:spacing w:before="0" w:after="0"/>
              <w:rPr>
                <w:sz w:val="22"/>
                <w:szCs w:val="22"/>
              </w:rPr>
            </w:pPr>
            <w:r w:rsidRPr="007C0F2C">
              <w:rPr>
                <w:sz w:val="22"/>
                <w:szCs w:val="22"/>
              </w:rPr>
              <w:t>Saistītie politikas ietekmes novērtējumi un pētījumi</w:t>
            </w:r>
          </w:p>
        </w:tc>
        <w:tc>
          <w:tcPr>
            <w:tcW w:w="6436" w:type="dxa"/>
            <w:vAlign w:val="center"/>
          </w:tcPr>
          <w:p w:rsidR="00703C92" w:rsidRPr="007C0F2C" w:rsidRDefault="00D74D94" w:rsidP="004750D0">
            <w:pPr>
              <w:pStyle w:val="FootnoteText"/>
              <w:rPr>
                <w:sz w:val="22"/>
                <w:szCs w:val="22"/>
              </w:rPr>
            </w:pPr>
            <w:r>
              <w:rPr>
                <w:sz w:val="24"/>
                <w:szCs w:val="24"/>
              </w:rPr>
              <w:t>Projekts šo jomu neskar</w:t>
            </w:r>
          </w:p>
        </w:tc>
      </w:tr>
      <w:tr w:rsidR="00703C92" w:rsidRPr="009B3577" w:rsidTr="00D42719">
        <w:trPr>
          <w:trHeight w:val="384"/>
        </w:trPr>
        <w:tc>
          <w:tcPr>
            <w:tcW w:w="550" w:type="dxa"/>
          </w:tcPr>
          <w:p w:rsidR="00703C92" w:rsidRPr="007C0F2C" w:rsidRDefault="00703C92" w:rsidP="004750D0">
            <w:pPr>
              <w:pStyle w:val="naiskr"/>
              <w:spacing w:before="0" w:after="0"/>
              <w:rPr>
                <w:sz w:val="22"/>
                <w:szCs w:val="22"/>
              </w:rPr>
            </w:pPr>
            <w:r w:rsidRPr="007C0F2C">
              <w:rPr>
                <w:sz w:val="22"/>
                <w:szCs w:val="22"/>
              </w:rPr>
              <w:t>4.</w:t>
            </w:r>
          </w:p>
        </w:tc>
        <w:tc>
          <w:tcPr>
            <w:tcW w:w="2739" w:type="dxa"/>
          </w:tcPr>
          <w:p w:rsidR="00703C92" w:rsidRPr="00D8710A" w:rsidRDefault="00703C92" w:rsidP="004750D0">
            <w:pPr>
              <w:pStyle w:val="naiskr"/>
              <w:spacing w:before="0" w:after="0"/>
            </w:pPr>
            <w:r w:rsidRPr="00D8710A">
              <w:t>Tiesiskā regulējuma mērķis un būtība</w:t>
            </w:r>
          </w:p>
        </w:tc>
        <w:tc>
          <w:tcPr>
            <w:tcW w:w="6436" w:type="dxa"/>
          </w:tcPr>
          <w:p w:rsidR="00C43840" w:rsidRPr="00D1340F" w:rsidRDefault="007E509D" w:rsidP="00E95A01">
            <w:pPr>
              <w:pStyle w:val="naiskr"/>
              <w:spacing w:before="0" w:after="0"/>
              <w:ind w:firstLine="420"/>
              <w:jc w:val="both"/>
            </w:pPr>
            <w:r w:rsidRPr="00D1340F">
              <w:t xml:space="preserve">MK noteikumu </w:t>
            </w:r>
            <w:r w:rsidR="00A00CE6" w:rsidRPr="00D1340F">
              <w:t xml:space="preserve">projekta mērķis </w:t>
            </w:r>
            <w:r w:rsidR="00C43840" w:rsidRPr="00D1340F">
              <w:t>ir reglamentēt jaunizveidotās tiešās pārvaldes iestādes – dienesta – darbību.</w:t>
            </w:r>
            <w:r w:rsidRPr="00D1340F">
              <w:t xml:space="preserve"> </w:t>
            </w:r>
          </w:p>
          <w:p w:rsidR="00116C17" w:rsidRDefault="00116C17" w:rsidP="00E95A01">
            <w:pPr>
              <w:pStyle w:val="naiskr"/>
              <w:spacing w:before="0" w:after="0"/>
              <w:ind w:firstLine="420"/>
              <w:jc w:val="both"/>
            </w:pPr>
            <w:r>
              <w:t xml:space="preserve">MK noteikumu projektā ir noteiktas dienesta funkcijas, kas atbilst MK rīkojuma 3.punktā </w:t>
            </w:r>
            <w:r w:rsidR="00027A65">
              <w:t>un Pacientu tiesību likum</w:t>
            </w:r>
            <w:r w:rsidR="006971A4">
              <w:t>a pārejas noteikumā</w:t>
            </w:r>
            <w:r w:rsidR="00D1340F">
              <w:t xml:space="preserve"> </w:t>
            </w:r>
            <w:r>
              <w:t>noteiktajam,</w:t>
            </w:r>
            <w:r w:rsidR="001B7FDA">
              <w:t xml:space="preserve"> kā arī</w:t>
            </w:r>
            <w:r>
              <w:t xml:space="preserve"> uzdevumi, kompetence, kārtība, kādā dienests sniedz pārskatus par tā darbību un sasniegtajiem rezultātiem, darbības tiesiskuma nodrošināšanas mehānisms, kā arī dienesta pieņemto lēmumu apstrīdēšanas kārtība.</w:t>
            </w:r>
          </w:p>
          <w:p w:rsidR="00D7716D" w:rsidRDefault="003B2161" w:rsidP="004C6815">
            <w:pPr>
              <w:jc w:val="both"/>
              <w:rPr>
                <w:bCs/>
              </w:rPr>
            </w:pPr>
            <w:r>
              <w:t xml:space="preserve">     </w:t>
            </w:r>
            <w:r w:rsidR="004C6815" w:rsidRPr="00027A65">
              <w:t>MK noteikumu pro</w:t>
            </w:r>
            <w:r w:rsidR="00473FA7">
              <w:t>jekta 3.17. apakšpunktā noteiktā funkcija</w:t>
            </w:r>
            <w:r w:rsidR="004C6815" w:rsidRPr="00027A65">
              <w:t xml:space="preserve"> - apstiprināt ārstniecībā izmantojamās medicīniskās tehnoloģijas, reģistrēt apstiprinātās medicīniskās tehnoloģijas, veidot un uzturēt apstiprināto medicīnisko tehnoloģiju uzskaites un no valsts budžeta līdzekļiem apmaksājamo medi</w:t>
            </w:r>
            <w:r w:rsidR="00473FA7">
              <w:t xml:space="preserve">cīnisko tehnoloģiju datu bāzi, ir </w:t>
            </w:r>
            <w:r w:rsidR="00D7716D">
              <w:rPr>
                <w:bCs/>
              </w:rPr>
              <w:t xml:space="preserve">saturiski precizēta </w:t>
            </w:r>
            <w:r w:rsidR="00473FA7">
              <w:rPr>
                <w:bCs/>
              </w:rPr>
              <w:t>ekonomikas centram</w:t>
            </w:r>
            <w:r w:rsidR="00D7716D" w:rsidRPr="00A00CE6">
              <w:t xml:space="preserve"> Ministru kabineta </w:t>
            </w:r>
            <w:r w:rsidR="00D7716D">
              <w:t>2009.gada 29.septembra noteikumu</w:t>
            </w:r>
            <w:r w:rsidR="00D7716D" w:rsidRPr="00A00CE6">
              <w:t xml:space="preserve"> Nr.1119 „Veselī</w:t>
            </w:r>
            <w:r w:rsidR="00D7716D">
              <w:t>bas ekonomikas c</w:t>
            </w:r>
            <w:r w:rsidR="00473FA7">
              <w:t>entra nolikums” 3.8.apakšpunktā noteiktā funkcija.</w:t>
            </w:r>
          </w:p>
          <w:p w:rsidR="00E03C27" w:rsidRDefault="00E03C27" w:rsidP="004C6815">
            <w:pPr>
              <w:jc w:val="both"/>
            </w:pPr>
            <w:r>
              <w:rPr>
                <w:bCs/>
              </w:rPr>
              <w:t xml:space="preserve">  </w:t>
            </w:r>
            <w:r w:rsidR="00473FA7">
              <w:rPr>
                <w:bCs/>
              </w:rPr>
              <w:t xml:space="preserve"> 4.3.2.3</w:t>
            </w:r>
            <w:r w:rsidR="00D351B1">
              <w:rPr>
                <w:bCs/>
              </w:rPr>
              <w:t>.</w:t>
            </w:r>
            <w:r w:rsidR="00473FA7">
              <w:t xml:space="preserve"> un </w:t>
            </w:r>
            <w:r w:rsidR="00473FA7" w:rsidRPr="00027A65">
              <w:t>4.3.1</w:t>
            </w:r>
            <w:r w:rsidR="00473FA7">
              <w:t>.8</w:t>
            </w:r>
            <w:r w:rsidR="00473FA7" w:rsidRPr="00027A65">
              <w:t>.</w:t>
            </w:r>
            <w:r w:rsidR="00D351B1">
              <w:rPr>
                <w:bCs/>
              </w:rPr>
              <w:t>apakšpunktā  norādīt</w:t>
            </w:r>
            <w:r w:rsidR="00473FA7">
              <w:rPr>
                <w:bCs/>
              </w:rPr>
              <w:t xml:space="preserve">ie uzdevumi </w:t>
            </w:r>
            <w:r w:rsidR="005D1C3F">
              <w:rPr>
                <w:bCs/>
              </w:rPr>
              <w:t>izriet no</w:t>
            </w:r>
            <w:r>
              <w:rPr>
                <w:bCs/>
              </w:rPr>
              <w:t xml:space="preserve"> </w:t>
            </w:r>
            <w:r w:rsidR="00473FA7">
              <w:rPr>
                <w:bCs/>
              </w:rPr>
              <w:t xml:space="preserve"> </w:t>
            </w:r>
            <w:r w:rsidRPr="00A00CE6">
              <w:t xml:space="preserve"> Ministru kabineta </w:t>
            </w:r>
            <w:r>
              <w:t>2009.gada 29.septembra noteikumu</w:t>
            </w:r>
            <w:r w:rsidRPr="00A00CE6">
              <w:t xml:space="preserve"> Nr.1119 „Veselī</w:t>
            </w:r>
            <w:r>
              <w:t>bas ekonomikas centra no</w:t>
            </w:r>
            <w:r w:rsidR="005D1C3F">
              <w:t>likums” 3.8. un 3.10.apakšpunktā noteiktās</w:t>
            </w:r>
            <w:r>
              <w:t xml:space="preserve"> ekonomikas centra funkcijas.</w:t>
            </w:r>
          </w:p>
          <w:p w:rsidR="00870445" w:rsidRPr="00027A65" w:rsidRDefault="00E03C27" w:rsidP="00115A62">
            <w:pPr>
              <w:jc w:val="both"/>
            </w:pPr>
            <w:r>
              <w:t xml:space="preserve"> </w:t>
            </w:r>
            <w:r w:rsidR="00115A62">
              <w:t xml:space="preserve">    </w:t>
            </w:r>
            <w:r w:rsidR="00F66003" w:rsidRPr="00027A65">
              <w:t>Tā kā atbilstoši Pacie</w:t>
            </w:r>
            <w:r w:rsidR="006C38F6" w:rsidRPr="00027A65">
              <w:t>n</w:t>
            </w:r>
            <w:r w:rsidR="00F66003" w:rsidRPr="00027A65">
              <w:t xml:space="preserve">tu tiesību likumā noteiktajam ar 2012.gada 1.janvāri uzsāks darboties Ārstniecības riska fonds, kura darbību, tai skaitā šī fonda līdzekļu administrēšanu, pacientu iesniegto prasību izvērtēšanu un atlīdzību izmaksu pacientiem par dzīvībai vai veselībai nodarīto kaitējumu, kā arī par morālo kaitējumu, </w:t>
            </w:r>
            <w:r w:rsidR="00115A62">
              <w:t xml:space="preserve">ņemot vērā </w:t>
            </w:r>
            <w:r w:rsidR="00115A62" w:rsidRPr="00A00CE6">
              <w:t xml:space="preserve">MK rīkojumā noteikto, </w:t>
            </w:r>
            <w:r w:rsidR="00F66003" w:rsidRPr="00027A65">
              <w:t xml:space="preserve">veiks dienests, MK noteikumu projektā ir </w:t>
            </w:r>
            <w:r w:rsidR="00116C17" w:rsidRPr="00027A65">
              <w:t xml:space="preserve">iekļauta </w:t>
            </w:r>
            <w:r w:rsidR="00F66003" w:rsidRPr="00027A65">
              <w:t>jauna funkcija – Ārstniecīb</w:t>
            </w:r>
            <w:r w:rsidR="00116C17" w:rsidRPr="00027A65">
              <w:t xml:space="preserve">as riska fonda administrēšana. </w:t>
            </w:r>
          </w:p>
          <w:p w:rsidR="001B7FDA" w:rsidRDefault="001B7FDA" w:rsidP="00870445">
            <w:pPr>
              <w:jc w:val="both"/>
            </w:pPr>
            <w:r>
              <w:t xml:space="preserve">   </w:t>
            </w:r>
            <w:r w:rsidR="00027A65">
              <w:t xml:space="preserve">MK noteikumu projekta 18.punkts nosaka, ka </w:t>
            </w:r>
            <w:r w:rsidR="0095397D">
              <w:t xml:space="preserve">projekta 3.26.apakšpunktā </w:t>
            </w:r>
            <w:r w:rsidR="00027A65">
              <w:t>minēto</w:t>
            </w:r>
            <w:r w:rsidR="0095397D">
              <w:t xml:space="preserve"> funkciju dienests veiks ar</w:t>
            </w:r>
            <w:r w:rsidR="00234090">
              <w:t xml:space="preserve"> 2012.gada 1.janvāri.</w:t>
            </w:r>
          </w:p>
          <w:p w:rsidR="00116C17" w:rsidRDefault="00116C17" w:rsidP="00870445">
            <w:pPr>
              <w:jc w:val="both"/>
            </w:pPr>
            <w:r>
              <w:t xml:space="preserve">  </w:t>
            </w:r>
            <w:r w:rsidR="001B7FDA">
              <w:t xml:space="preserve">  </w:t>
            </w:r>
            <w:r w:rsidR="0095397D">
              <w:t>L</w:t>
            </w:r>
            <w:r w:rsidR="009D6E5C">
              <w:t xml:space="preserve">ai nodrošinātu Eiropas Savienības un Latvijas Republikas normatīvajos aktos paredzētajā kārtībā un apjomā </w:t>
            </w:r>
            <w:r w:rsidR="007B4590">
              <w:t xml:space="preserve">veselības aprūpi </w:t>
            </w:r>
            <w:r w:rsidR="009D6E5C">
              <w:t>Latvijas Republikas iedzīvotājiem, kuri uzturas Eiropas Ekonomikas zonas dalībvalstīs un Šveicē Konfederācijā, kā arī  Eiropas Ekonomikas zonas dalībvalstīs un Šveicē Konfederācijā apdrošinātajām personām,</w:t>
            </w:r>
            <w:r w:rsidR="007B4590">
              <w:t xml:space="preserve"> kas uzturas Latvijas Republikā, </w:t>
            </w:r>
            <w:r w:rsidR="001B7FDA">
              <w:t>MK noteikumu projektā tiek p</w:t>
            </w:r>
            <w:r w:rsidR="00165E98">
              <w:t>recizē</w:t>
            </w:r>
            <w:r w:rsidR="001B7FDA">
              <w:t xml:space="preserve">ta attiecīgā funkcija, atsaucoties uz </w:t>
            </w:r>
            <w:r w:rsidR="007B4590">
              <w:t>Pa</w:t>
            </w:r>
            <w:r w:rsidR="0095397D">
              <w:t>domes 1971.gada 14.jūnija Regulu</w:t>
            </w:r>
            <w:r w:rsidR="007B4590">
              <w:t xml:space="preserve"> (EEK) Nr.1408/71 par sociālā nodrošinājuma shēmu piemērošanu darba ņēmējiem un to ģimenēm, kas pā</w:t>
            </w:r>
            <w:r w:rsidR="0095397D">
              <w:t xml:space="preserve">rvietojas Kopienas teritorijā, </w:t>
            </w:r>
            <w:r w:rsidR="007B4590">
              <w:t xml:space="preserve">Padomes </w:t>
            </w:r>
            <w:r w:rsidR="00165E98">
              <w:t>1972.gada 21.marta Regulu</w:t>
            </w:r>
            <w:r w:rsidR="007B4590" w:rsidRPr="00541472">
              <w:t xml:space="preserve"> (</w:t>
            </w:r>
            <w:smartTag w:uri="schemas-tilde-lv/tildestengine" w:element="currency2">
              <w:smartTagPr>
                <w:attr w:name="currency_text" w:val="EEK"/>
                <w:attr w:name="currency_value" w:val="1"/>
                <w:attr w:name="currency_key" w:val="EEK"/>
                <w:attr w:name="currency_id" w:val="14"/>
              </w:smartTagPr>
              <w:r w:rsidR="007B4590" w:rsidRPr="00541472">
                <w:t>EEK</w:t>
              </w:r>
            </w:smartTag>
            <w:r w:rsidR="007B4590" w:rsidRPr="00541472">
              <w:t xml:space="preserve">) Nr. </w:t>
            </w:r>
            <w:hyperlink r:id="rId8" w:tgtFrame="_blank" w:tooltip="Atvērt regulas konsolidēto versiju" w:history="1">
              <w:r w:rsidR="007B4590" w:rsidRPr="00541472">
                <w:rPr>
                  <w:rStyle w:val="Hyperlink"/>
                </w:rPr>
                <w:t>574/72</w:t>
              </w:r>
            </w:hyperlink>
            <w:r w:rsidR="007B4590" w:rsidRPr="00541472">
              <w:t xml:space="preserve">, ar kuru nosaka īstenošanas kārtību Regulai (EEK) Nr. </w:t>
            </w:r>
            <w:hyperlink r:id="rId9" w:tgtFrame="_blank" w:tooltip="Atvērt regulas konsolidēto versiju" w:history="1">
              <w:r w:rsidR="007B4590" w:rsidRPr="00541472">
                <w:rPr>
                  <w:rStyle w:val="Hyperlink"/>
                </w:rPr>
                <w:t>1408/71</w:t>
              </w:r>
            </w:hyperlink>
            <w:r w:rsidR="007B4590" w:rsidRPr="00541472">
              <w:t xml:space="preserve"> par sociālā nodrošinājuma sistēmu piemērošanu darbiniekiem un viņu ģimenēm, kas pārvietojas Kopienā</w:t>
            </w:r>
            <w:r w:rsidR="0095397D">
              <w:t xml:space="preserve"> un </w:t>
            </w:r>
            <w:r w:rsidR="0095397D" w:rsidRPr="005B3789">
              <w:t>Padomes 2003.</w:t>
            </w:r>
            <w:r w:rsidR="0095397D">
              <w:t>gada 14.</w:t>
            </w:r>
            <w:r w:rsidR="0095397D" w:rsidRPr="005B3789">
              <w:t>maija Regul</w:t>
            </w:r>
            <w:r w:rsidR="0095397D">
              <w:t>u</w:t>
            </w:r>
            <w:r w:rsidR="0095397D" w:rsidRPr="005B3789">
              <w:t xml:space="preserve"> (EK) Nr. 859/2003 ar ko Regulas (</w:t>
            </w:r>
            <w:smartTag w:uri="schemas-tilde-lv/tildestengine" w:element="currency2">
              <w:smartTagPr>
                <w:attr w:name="currency_id" w:val="14"/>
                <w:attr w:name="currency_key" w:val="EEK"/>
                <w:attr w:name="currency_value" w:val="1"/>
                <w:attr w:name="currency_text" w:val="EEK"/>
              </w:smartTagPr>
              <w:r w:rsidR="0095397D" w:rsidRPr="005B3789">
                <w:t>EEK</w:t>
              </w:r>
            </w:smartTag>
            <w:r w:rsidR="0095397D" w:rsidRPr="005B3789">
              <w:t>) Nr. 1408/71 un Regulas (</w:t>
            </w:r>
            <w:smartTag w:uri="schemas-tilde-lv/tildestengine" w:element="currency2">
              <w:smartTagPr>
                <w:attr w:name="currency_id" w:val="14"/>
                <w:attr w:name="currency_key" w:val="EEK"/>
                <w:attr w:name="currency_value" w:val="1"/>
                <w:attr w:name="currency_text" w:val="EEK"/>
              </w:smartTagPr>
              <w:r w:rsidR="0095397D" w:rsidRPr="005B3789">
                <w:t>EEK</w:t>
              </w:r>
            </w:smartTag>
            <w:r w:rsidR="0095397D" w:rsidRPr="005B3789">
              <w:t xml:space="preserve">) Nr. 574/72 noteikumus attiecina arī uz tiem trešo valstu </w:t>
            </w:r>
            <w:r w:rsidR="0095397D" w:rsidRPr="005B3789">
              <w:lastRenderedPageBreak/>
              <w:t>pilsoņiem, uz kuriem minētie noteikumi neattiecas tikai viņu valstspiederības dēļ</w:t>
            </w:r>
            <w:r w:rsidR="0095397D">
              <w:t>.</w:t>
            </w:r>
          </w:p>
          <w:p w:rsidR="001108A5" w:rsidRDefault="001108A5" w:rsidP="00870445">
            <w:pPr>
              <w:jc w:val="both"/>
            </w:pPr>
            <w:r>
              <w:t xml:space="preserve">    MK noteikumu projektā precizēta informācija par valsts informācijas sistēmām, kuru pārziņi ir ekonomikas centrs un norēķinu centrs - saskaņā ar MK noteikumu projektā minēto, dienests ir pārzinis šādām valsts informācijas sistēmām:</w:t>
            </w:r>
          </w:p>
          <w:p w:rsidR="001108A5" w:rsidRPr="00E11EB3" w:rsidRDefault="001108A5" w:rsidP="001108A5">
            <w:r>
              <w:t xml:space="preserve"> - </w:t>
            </w:r>
            <w:r w:rsidRPr="00E11EB3">
              <w:t>Veselības aprūpes pakalp</w:t>
            </w:r>
            <w:r>
              <w:t xml:space="preserve">ojumu apmaksas norēķinu sistēmai </w:t>
            </w:r>
            <w:r w:rsidRPr="00E11EB3">
              <w:t>“Vadības informācijas sistēma”, kas nodrošina veselības aprūpes norēķinus;</w:t>
            </w:r>
          </w:p>
          <w:p w:rsidR="001108A5" w:rsidRPr="00E11EB3" w:rsidRDefault="001108A5" w:rsidP="001108A5">
            <w:r>
              <w:t xml:space="preserve">- </w:t>
            </w:r>
            <w:r w:rsidRPr="00E11EB3">
              <w:t>Ar noteiktām slimībām slimojošu pacientu reģistr</w:t>
            </w:r>
            <w:r>
              <w:t>am</w:t>
            </w:r>
            <w:r w:rsidRPr="00E11EB3">
              <w:t>;</w:t>
            </w:r>
          </w:p>
          <w:p w:rsidR="001108A5" w:rsidRPr="00E11EB3" w:rsidRDefault="001108A5" w:rsidP="001108A5">
            <w:r>
              <w:t xml:space="preserve">- </w:t>
            </w:r>
            <w:r w:rsidRPr="00E11EB3">
              <w:t>Iedzīvotāju genoma valsts reģistr</w:t>
            </w:r>
            <w:r>
              <w:t>am</w:t>
            </w:r>
            <w:r w:rsidRPr="00E11EB3">
              <w:t>;</w:t>
            </w:r>
          </w:p>
          <w:p w:rsidR="001108A5" w:rsidRPr="00E11EB3" w:rsidRDefault="001108A5" w:rsidP="001108A5">
            <w:r>
              <w:t xml:space="preserve">- </w:t>
            </w:r>
            <w:r w:rsidRPr="00E11EB3">
              <w:t xml:space="preserve"> </w:t>
            </w:r>
            <w:r>
              <w:t>Jaundzimušo reģistram</w:t>
            </w:r>
            <w:r w:rsidRPr="00E11EB3">
              <w:t>;</w:t>
            </w:r>
          </w:p>
          <w:p w:rsidR="001108A5" w:rsidRPr="00E11EB3" w:rsidRDefault="001108A5" w:rsidP="001108A5">
            <w:r>
              <w:t xml:space="preserve">- </w:t>
            </w:r>
            <w:r w:rsidRPr="00E11EB3">
              <w:t>Veselības aprūpes nozares valsts statistisko pārskatu datu bāz</w:t>
            </w:r>
            <w:r>
              <w:t>ei;</w:t>
            </w:r>
            <w:r w:rsidRPr="00E11EB3">
              <w:t xml:space="preserve">  </w:t>
            </w:r>
            <w:r>
              <w:t xml:space="preserve">- </w:t>
            </w:r>
            <w:r w:rsidRPr="00E11EB3">
              <w:t>Latvijas iedzīvotāju nāves cēloņu datu bāz</w:t>
            </w:r>
            <w:r>
              <w:t>e</w:t>
            </w:r>
            <w:r w:rsidRPr="00E11EB3">
              <w:t>i;</w:t>
            </w:r>
          </w:p>
          <w:p w:rsidR="001108A5" w:rsidRPr="00E11EB3" w:rsidRDefault="001108A5" w:rsidP="001108A5">
            <w:r>
              <w:t>-</w:t>
            </w:r>
            <w:r w:rsidRPr="00E11EB3">
              <w:t xml:space="preserve"> Stacionāro gultu fonda izmantošanas datu bāz</w:t>
            </w:r>
            <w:r>
              <w:t>e</w:t>
            </w:r>
            <w:r w:rsidRPr="00E11EB3">
              <w:t>i;</w:t>
            </w:r>
          </w:p>
          <w:p w:rsidR="001108A5" w:rsidRPr="00E11EB3" w:rsidRDefault="001108A5" w:rsidP="001108A5">
            <w:r>
              <w:t xml:space="preserve">- </w:t>
            </w:r>
            <w:r w:rsidRPr="00E11EB3">
              <w:t>Sabiedrības veselības monitoringa un ziņošanas sistēm</w:t>
            </w:r>
            <w:r>
              <w:t>ai</w:t>
            </w:r>
            <w:r w:rsidRPr="00E11EB3">
              <w:t>;</w:t>
            </w:r>
          </w:p>
          <w:p w:rsidR="001108A5" w:rsidRDefault="001108A5" w:rsidP="001108A5">
            <w:r>
              <w:t>-</w:t>
            </w:r>
            <w:r w:rsidRPr="00E11EB3">
              <w:t>Kompensējamo zāļu reģistrācijas un</w:t>
            </w:r>
            <w:r>
              <w:t xml:space="preserve"> uzskaites informācijas sistēmai.</w:t>
            </w:r>
          </w:p>
          <w:p w:rsidR="00E03C27" w:rsidRDefault="00E03C27" w:rsidP="001108A5">
            <w:r>
              <w:t>Bez tam dienests uzturēs, veidos un papildinās šādas datu bāzes:</w:t>
            </w:r>
          </w:p>
          <w:p w:rsidR="00E03C27" w:rsidRPr="00541472" w:rsidRDefault="00E03C27" w:rsidP="00E03C27">
            <w:pPr>
              <w:rPr>
                <w:szCs w:val="28"/>
              </w:rPr>
            </w:pPr>
            <w:r>
              <w:rPr>
                <w:szCs w:val="28"/>
              </w:rPr>
              <w:t>-V</w:t>
            </w:r>
            <w:r w:rsidRPr="00541472">
              <w:rPr>
                <w:szCs w:val="28"/>
              </w:rPr>
              <w:t xml:space="preserve">eselības aprūpes pakalpojumu saņēmēju reģistru; </w:t>
            </w:r>
          </w:p>
          <w:p w:rsidR="00E03C27" w:rsidRDefault="00E03C27" w:rsidP="00E03C27">
            <w:pPr>
              <w:pStyle w:val="naisf"/>
              <w:spacing w:before="0" w:after="0"/>
              <w:ind w:firstLine="0"/>
            </w:pPr>
            <w:r>
              <w:rPr>
                <w:sz w:val="28"/>
                <w:szCs w:val="28"/>
              </w:rPr>
              <w:t>-</w:t>
            </w:r>
            <w:r w:rsidRPr="00E03C27">
              <w:t xml:space="preserve">Klīnisko vadlīniju datubāzi; </w:t>
            </w:r>
          </w:p>
          <w:p w:rsidR="00E03C27" w:rsidRPr="00E03C27" w:rsidRDefault="00E03C27" w:rsidP="00E03C27">
            <w:pPr>
              <w:pStyle w:val="naisf"/>
              <w:spacing w:before="0" w:after="0"/>
              <w:ind w:firstLine="0"/>
            </w:pPr>
            <w:r>
              <w:t>-</w:t>
            </w:r>
            <w:r w:rsidRPr="00E03C27">
              <w:t xml:space="preserve">Ārstniecībā izmantojamo medicīnisko tehnoloģiju datu bāzi; </w:t>
            </w:r>
          </w:p>
          <w:p w:rsidR="00E03C27" w:rsidRPr="00E03C27" w:rsidRDefault="00E03C27" w:rsidP="00E03C27">
            <w:pPr>
              <w:pStyle w:val="naisf"/>
              <w:spacing w:before="0" w:after="0"/>
              <w:ind w:firstLine="0"/>
            </w:pPr>
            <w:r>
              <w:t>-</w:t>
            </w:r>
            <w:r w:rsidRPr="00E03C27">
              <w:t xml:space="preserve">Garīgās veselības, narkotisko, psihotropo un toksisko vielu, alkohola un tabakas valsts starpnozaru informācijas un monitoringa sistēmu; </w:t>
            </w:r>
          </w:p>
          <w:p w:rsidR="00E03C27" w:rsidRPr="00E03C27" w:rsidRDefault="00E03C27" w:rsidP="00E03C27">
            <w:pPr>
              <w:pStyle w:val="naisf"/>
              <w:spacing w:before="0" w:after="0"/>
              <w:ind w:firstLine="0"/>
            </w:pPr>
            <w:r>
              <w:t>-</w:t>
            </w:r>
            <w:r w:rsidRPr="00E03C27">
              <w:t>Datu prezentācijas sistēmu;</w:t>
            </w:r>
          </w:p>
          <w:p w:rsidR="001108A5" w:rsidRPr="00E03C27" w:rsidRDefault="00E03C27" w:rsidP="00E03C27">
            <w:pPr>
              <w:jc w:val="both"/>
              <w:rPr>
                <w:sz w:val="28"/>
                <w:szCs w:val="28"/>
              </w:rPr>
            </w:pPr>
            <w:r>
              <w:t>-</w:t>
            </w:r>
            <w:r w:rsidRPr="00E03C27">
              <w:t>E-veselības informācijas sistēmu</w:t>
            </w:r>
          </w:p>
          <w:p w:rsidR="00870445" w:rsidRDefault="00870445" w:rsidP="001108A5">
            <w:pPr>
              <w:pStyle w:val="naiskr"/>
              <w:spacing w:before="0" w:after="0"/>
              <w:jc w:val="both"/>
            </w:pPr>
            <w:r>
              <w:t>MK noteikumu projekts pare</w:t>
            </w:r>
            <w:r w:rsidR="00A603E1">
              <w:t>dz atzīt par spēku zaudējušiem:</w:t>
            </w:r>
          </w:p>
          <w:p w:rsidR="00A603E1" w:rsidRPr="00A603E1" w:rsidRDefault="00A603E1" w:rsidP="00A603E1">
            <w:pPr>
              <w:pStyle w:val="naisf"/>
              <w:spacing w:before="0" w:after="0"/>
              <w:ind w:firstLine="720"/>
              <w:rPr>
                <w:color w:val="000000"/>
              </w:rPr>
            </w:pPr>
            <w:r w:rsidRPr="00A603E1">
              <w:rPr>
                <w:color w:val="000000"/>
              </w:rPr>
              <w:t>1. Ministru kabineta 2009.gada 6.oktobra noteikumus Nr.1149 „Veselības norēķinu centra nolikums”;</w:t>
            </w:r>
          </w:p>
          <w:p w:rsidR="00A603E1" w:rsidRPr="00A603E1" w:rsidRDefault="00A603E1" w:rsidP="00A603E1">
            <w:pPr>
              <w:pStyle w:val="naisf"/>
              <w:spacing w:before="0" w:after="0"/>
              <w:ind w:firstLine="720"/>
              <w:rPr>
                <w:color w:val="000000"/>
              </w:rPr>
            </w:pPr>
            <w:r w:rsidRPr="00A603E1">
              <w:rPr>
                <w:color w:val="000000"/>
              </w:rPr>
              <w:t>2. Ministru kabineta 2009.gada 29.septembra noteikumus Nr.1119 „Veselības ekonomikas centra nolikums”.</w:t>
            </w:r>
          </w:p>
          <w:p w:rsidR="002C68B1" w:rsidRPr="002C68B1" w:rsidRDefault="00A603E1" w:rsidP="00A603E1">
            <w:pPr>
              <w:pStyle w:val="naiskr"/>
              <w:spacing w:before="0" w:after="0"/>
              <w:jc w:val="both"/>
            </w:pPr>
            <w:r>
              <w:t xml:space="preserve">       </w:t>
            </w:r>
            <w:r w:rsidR="00870445">
              <w:t xml:space="preserve">Ministru kabineta noteikumu </w:t>
            </w:r>
            <w:r w:rsidR="002C68B1">
              <w:t>projekts</w:t>
            </w:r>
            <w:r w:rsidR="002C68B1" w:rsidRPr="002C68B1">
              <w:t xml:space="preserve"> </w:t>
            </w:r>
            <w:r w:rsidR="00C43840" w:rsidRPr="00D1340F">
              <w:t>pilnībā</w:t>
            </w:r>
            <w:r w:rsidR="00C43840">
              <w:t xml:space="preserve"> </w:t>
            </w:r>
            <w:r w:rsidR="00870445">
              <w:t>atrisinās šīs anotācijas I sadaļas 2.punktā minētās problēmas.</w:t>
            </w:r>
            <w:r w:rsidR="00870445" w:rsidRPr="002C68B1">
              <w:t xml:space="preserve"> </w:t>
            </w:r>
          </w:p>
        </w:tc>
      </w:tr>
      <w:tr w:rsidR="00703C92" w:rsidRPr="007C0F2C" w:rsidTr="00D42719">
        <w:trPr>
          <w:trHeight w:val="476"/>
        </w:trPr>
        <w:tc>
          <w:tcPr>
            <w:tcW w:w="550" w:type="dxa"/>
          </w:tcPr>
          <w:p w:rsidR="00703C92" w:rsidRPr="007C0F2C" w:rsidRDefault="00703C92" w:rsidP="004750D0">
            <w:pPr>
              <w:pStyle w:val="naiskr"/>
              <w:spacing w:before="0" w:after="0"/>
              <w:rPr>
                <w:sz w:val="22"/>
                <w:szCs w:val="22"/>
              </w:rPr>
            </w:pPr>
            <w:r w:rsidRPr="007C0F2C">
              <w:rPr>
                <w:sz w:val="22"/>
                <w:szCs w:val="22"/>
              </w:rPr>
              <w:lastRenderedPageBreak/>
              <w:t>5.</w:t>
            </w:r>
          </w:p>
        </w:tc>
        <w:tc>
          <w:tcPr>
            <w:tcW w:w="2739" w:type="dxa"/>
          </w:tcPr>
          <w:p w:rsidR="00703C92" w:rsidRPr="007C0F2C" w:rsidRDefault="00703C92" w:rsidP="004750D0">
            <w:pPr>
              <w:pStyle w:val="naiskr"/>
              <w:spacing w:before="0" w:after="0"/>
              <w:rPr>
                <w:sz w:val="22"/>
                <w:szCs w:val="22"/>
              </w:rPr>
            </w:pPr>
            <w:r w:rsidRPr="007C0F2C">
              <w:rPr>
                <w:sz w:val="22"/>
                <w:szCs w:val="22"/>
              </w:rPr>
              <w:t>Projekta izstrādē iesaistītās institūcijas</w:t>
            </w:r>
          </w:p>
        </w:tc>
        <w:tc>
          <w:tcPr>
            <w:tcW w:w="6436" w:type="dxa"/>
          </w:tcPr>
          <w:p w:rsidR="00703C92" w:rsidRPr="00115A62" w:rsidRDefault="00870445" w:rsidP="004750D0">
            <w:pPr>
              <w:pStyle w:val="naiskr"/>
              <w:spacing w:before="0" w:after="0"/>
            </w:pPr>
            <w:r w:rsidRPr="00115A62">
              <w:t>Veselības ekonomikas centrs, Veselības norēķinu centrs</w:t>
            </w:r>
          </w:p>
        </w:tc>
      </w:tr>
      <w:tr w:rsidR="00703C92" w:rsidRPr="00B10DF4" w:rsidTr="00D42719">
        <w:trPr>
          <w:trHeight w:val="719"/>
        </w:trPr>
        <w:tc>
          <w:tcPr>
            <w:tcW w:w="550" w:type="dxa"/>
          </w:tcPr>
          <w:p w:rsidR="00703C92" w:rsidRPr="007C0F2C" w:rsidRDefault="00703C92" w:rsidP="004750D0">
            <w:pPr>
              <w:pStyle w:val="naiskr"/>
              <w:spacing w:before="0" w:after="0"/>
              <w:rPr>
                <w:sz w:val="22"/>
                <w:szCs w:val="22"/>
              </w:rPr>
            </w:pPr>
            <w:r w:rsidRPr="007C0F2C">
              <w:rPr>
                <w:sz w:val="22"/>
                <w:szCs w:val="22"/>
              </w:rPr>
              <w:t>6.</w:t>
            </w:r>
          </w:p>
        </w:tc>
        <w:tc>
          <w:tcPr>
            <w:tcW w:w="2739" w:type="dxa"/>
          </w:tcPr>
          <w:p w:rsidR="00703C92" w:rsidRPr="007C0F2C" w:rsidRDefault="00703C92" w:rsidP="004750D0">
            <w:pPr>
              <w:pStyle w:val="naiskr"/>
              <w:spacing w:before="0" w:after="0"/>
              <w:rPr>
                <w:i/>
                <w:sz w:val="22"/>
                <w:szCs w:val="22"/>
                <w:highlight w:val="yellow"/>
              </w:rPr>
            </w:pPr>
            <w:r w:rsidRPr="007C0F2C">
              <w:rPr>
                <w:sz w:val="22"/>
                <w:szCs w:val="22"/>
              </w:rPr>
              <w:t>Iemesli, kādēļ netika nodrošināta sabiedrības līdzdalība</w:t>
            </w:r>
          </w:p>
        </w:tc>
        <w:tc>
          <w:tcPr>
            <w:tcW w:w="6436" w:type="dxa"/>
          </w:tcPr>
          <w:p w:rsidR="00C44C53" w:rsidRPr="00D1340F" w:rsidRDefault="00C44C53" w:rsidP="00C44C53">
            <w:pPr>
              <w:jc w:val="both"/>
            </w:pPr>
            <w:r w:rsidRPr="00D1340F">
              <w:t>Noteikumu projekta izstrādāšanas laikā notika konsultācijas ar ekonomikas centru un norēķinu centru.</w:t>
            </w:r>
          </w:p>
          <w:p w:rsidR="00703C92" w:rsidRPr="00D1340F" w:rsidRDefault="00C44C53" w:rsidP="00165E98">
            <w:pPr>
              <w:pStyle w:val="FootnoteText"/>
              <w:jc w:val="both"/>
            </w:pPr>
            <w:r w:rsidRPr="00D1340F">
              <w:rPr>
                <w:sz w:val="24"/>
                <w:szCs w:val="24"/>
              </w:rPr>
              <w:t xml:space="preserve">Plaša sabiedrības iesaistīšana nebija lietderīga, jo </w:t>
            </w:r>
            <w:r w:rsidR="00A00CE6" w:rsidRPr="00D1340F">
              <w:rPr>
                <w:sz w:val="24"/>
                <w:szCs w:val="24"/>
              </w:rPr>
              <w:t xml:space="preserve">MK </w:t>
            </w:r>
            <w:r w:rsidRPr="00D1340F">
              <w:rPr>
                <w:sz w:val="24"/>
                <w:szCs w:val="24"/>
              </w:rPr>
              <w:t xml:space="preserve">noteikumu projekts </w:t>
            </w:r>
            <w:r w:rsidR="00165E98" w:rsidRPr="00D1340F">
              <w:rPr>
                <w:sz w:val="24"/>
                <w:szCs w:val="24"/>
              </w:rPr>
              <w:t>paredz</w:t>
            </w:r>
            <w:r w:rsidR="00A00CE6" w:rsidRPr="00D1340F">
              <w:rPr>
                <w:sz w:val="24"/>
                <w:szCs w:val="24"/>
              </w:rPr>
              <w:t xml:space="preserve"> </w:t>
            </w:r>
            <w:r w:rsidR="00227A51" w:rsidRPr="00D1340F">
              <w:rPr>
                <w:sz w:val="24"/>
                <w:szCs w:val="24"/>
              </w:rPr>
              <w:t>Veselības ministrijas padotības institūcij</w:t>
            </w:r>
            <w:r w:rsidR="00A00CE6" w:rsidRPr="00D1340F">
              <w:rPr>
                <w:sz w:val="24"/>
                <w:szCs w:val="24"/>
              </w:rPr>
              <w:t>as</w:t>
            </w:r>
            <w:r w:rsidR="00227A51" w:rsidRPr="00D1340F">
              <w:rPr>
                <w:sz w:val="24"/>
                <w:szCs w:val="24"/>
              </w:rPr>
              <w:t xml:space="preserve"> </w:t>
            </w:r>
            <w:r w:rsidR="00C43840" w:rsidRPr="00D1340F">
              <w:rPr>
                <w:sz w:val="24"/>
                <w:szCs w:val="24"/>
              </w:rPr>
              <w:t>darbīb</w:t>
            </w:r>
            <w:r w:rsidR="00A00CE6" w:rsidRPr="00D1340F">
              <w:rPr>
                <w:sz w:val="24"/>
                <w:szCs w:val="24"/>
              </w:rPr>
              <w:t>as jautājumus.</w:t>
            </w:r>
          </w:p>
        </w:tc>
      </w:tr>
      <w:tr w:rsidR="00703C92" w:rsidRPr="007C0F2C" w:rsidTr="00D42719">
        <w:tc>
          <w:tcPr>
            <w:tcW w:w="550" w:type="dxa"/>
          </w:tcPr>
          <w:p w:rsidR="00703C92" w:rsidRPr="007C0F2C" w:rsidRDefault="00703C92" w:rsidP="004750D0">
            <w:pPr>
              <w:pStyle w:val="naiskr"/>
              <w:spacing w:before="0" w:after="0"/>
              <w:rPr>
                <w:sz w:val="22"/>
                <w:szCs w:val="22"/>
              </w:rPr>
            </w:pPr>
            <w:r w:rsidRPr="007C0F2C">
              <w:rPr>
                <w:sz w:val="22"/>
                <w:szCs w:val="22"/>
              </w:rPr>
              <w:t>7.</w:t>
            </w:r>
          </w:p>
        </w:tc>
        <w:tc>
          <w:tcPr>
            <w:tcW w:w="2739" w:type="dxa"/>
          </w:tcPr>
          <w:p w:rsidR="00703C92" w:rsidRPr="007C0F2C" w:rsidRDefault="00703C92" w:rsidP="004750D0">
            <w:pPr>
              <w:pStyle w:val="naiskr"/>
              <w:spacing w:before="0" w:after="0"/>
              <w:rPr>
                <w:sz w:val="22"/>
                <w:szCs w:val="22"/>
              </w:rPr>
            </w:pPr>
            <w:r w:rsidRPr="007C0F2C">
              <w:rPr>
                <w:sz w:val="22"/>
                <w:szCs w:val="22"/>
              </w:rPr>
              <w:t>Cita informācija</w:t>
            </w:r>
          </w:p>
        </w:tc>
        <w:tc>
          <w:tcPr>
            <w:tcW w:w="6436" w:type="dxa"/>
          </w:tcPr>
          <w:p w:rsidR="00703C92" w:rsidRPr="00D1340F" w:rsidRDefault="004E47E9" w:rsidP="004D30B4">
            <w:pPr>
              <w:pStyle w:val="naiskr"/>
              <w:spacing w:before="0" w:after="0"/>
              <w:jc w:val="both"/>
            </w:pPr>
            <w:r w:rsidRPr="00D1340F">
              <w:t xml:space="preserve">Saskaņā ar Ministru kabineta 2011.gada 6.oktobra Ministru kabineta rīkojuma Nr.518 „Grozījumi Ministru kabineta 2011.gada 7.septembra rīkojumā Nr.436 „Par Veselības norēķinu centra un Veselības ekonomikas centra reorganizāciju”” </w:t>
            </w:r>
            <w:r w:rsidR="004D30B4">
              <w:t>7</w:t>
            </w:r>
            <w:r w:rsidRPr="00D1340F">
              <w:t>.punktā noteikto ekonomikas centra veiktās Eiropas Savienības fondu sadarbības iestādes funkcijas ar 2011.gada 1.novembri pilda valsts aģentūra „Centrālā finanšu un līgumu aģentūra”.</w:t>
            </w:r>
          </w:p>
        </w:tc>
      </w:tr>
    </w:tbl>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2"/>
        <w:gridCol w:w="396"/>
        <w:gridCol w:w="1903"/>
        <w:gridCol w:w="1134"/>
        <w:gridCol w:w="142"/>
        <w:gridCol w:w="1417"/>
        <w:gridCol w:w="1276"/>
        <w:gridCol w:w="1276"/>
        <w:gridCol w:w="1559"/>
        <w:gridCol w:w="344"/>
      </w:tblGrid>
      <w:tr w:rsidR="00C805A4" w:rsidRPr="0012135F" w:rsidTr="003A3755">
        <w:trPr>
          <w:gridAfter w:val="1"/>
          <w:wAfter w:w="344" w:type="dxa"/>
          <w:jc w:val="center"/>
        </w:trPr>
        <w:tc>
          <w:tcPr>
            <w:tcW w:w="9465" w:type="dxa"/>
            <w:gridSpan w:val="9"/>
            <w:vAlign w:val="center"/>
          </w:tcPr>
          <w:p w:rsidR="00C805A4" w:rsidRPr="00BB48B7" w:rsidRDefault="00C805A4" w:rsidP="00C26596">
            <w:pPr>
              <w:jc w:val="center"/>
              <w:rPr>
                <w:b/>
                <w:bCs/>
              </w:rPr>
            </w:pPr>
            <w:r w:rsidRPr="00BB48B7">
              <w:rPr>
                <w:b/>
                <w:bCs/>
              </w:rPr>
              <w:t>III. Tiesību akta projekta ietekme uz valsts budžetu un pašvaldību budžetiem</w:t>
            </w:r>
          </w:p>
        </w:tc>
      </w:tr>
      <w:tr w:rsidR="00C805A4" w:rsidRPr="0012135F" w:rsidTr="003A3755">
        <w:trPr>
          <w:gridAfter w:val="1"/>
          <w:wAfter w:w="344" w:type="dxa"/>
          <w:jc w:val="center"/>
        </w:trPr>
        <w:tc>
          <w:tcPr>
            <w:tcW w:w="2661" w:type="dxa"/>
            <w:gridSpan w:val="3"/>
            <w:vMerge w:val="restart"/>
            <w:vAlign w:val="center"/>
          </w:tcPr>
          <w:p w:rsidR="00C805A4" w:rsidRPr="00BB48B7" w:rsidRDefault="00C805A4" w:rsidP="00C26596">
            <w:pPr>
              <w:jc w:val="center"/>
            </w:pPr>
            <w:r w:rsidRPr="00BB48B7">
              <w:rPr>
                <w:b/>
                <w:bCs/>
              </w:rPr>
              <w:t>Rādītāji</w:t>
            </w:r>
          </w:p>
        </w:tc>
        <w:tc>
          <w:tcPr>
            <w:tcW w:w="2693" w:type="dxa"/>
            <w:gridSpan w:val="3"/>
            <w:vMerge w:val="restart"/>
            <w:vAlign w:val="center"/>
          </w:tcPr>
          <w:p w:rsidR="00C805A4" w:rsidRPr="00BB48B7" w:rsidRDefault="00C805A4" w:rsidP="00C26596">
            <w:pPr>
              <w:jc w:val="center"/>
            </w:pPr>
            <w:r w:rsidRPr="00BB48B7">
              <w:rPr>
                <w:b/>
                <w:bCs/>
              </w:rPr>
              <w:t>2011.gads</w:t>
            </w:r>
          </w:p>
        </w:tc>
        <w:tc>
          <w:tcPr>
            <w:tcW w:w="4111" w:type="dxa"/>
            <w:gridSpan w:val="3"/>
          </w:tcPr>
          <w:p w:rsidR="00C805A4" w:rsidRPr="00BB48B7" w:rsidRDefault="00C805A4" w:rsidP="00C26596">
            <w:pPr>
              <w:tabs>
                <w:tab w:val="left" w:pos="3480"/>
              </w:tabs>
              <w:jc w:val="center"/>
              <w:rPr>
                <w:b/>
              </w:rPr>
            </w:pPr>
            <w:r w:rsidRPr="00BB48B7">
              <w:rPr>
                <w:b/>
              </w:rPr>
              <w:t>Turpmākie trīs gadi (tūkst</w:t>
            </w:r>
            <w:smartTag w:uri="schemas-tilde-lv/tildestengine" w:element="currency2">
              <w:smartTagPr>
                <w:attr w:name="currency_text" w:val="latu"/>
                <w:attr w:name="currency_value" w:val="."/>
                <w:attr w:name="currency_key" w:val="LVL"/>
                <w:attr w:name="currency_id" w:val="48"/>
              </w:smartTagPr>
              <w:r w:rsidRPr="00BB48B7">
                <w:rPr>
                  <w:b/>
                </w:rPr>
                <w:t>. latu</w:t>
              </w:r>
            </w:smartTag>
            <w:r w:rsidRPr="00BB48B7">
              <w:rPr>
                <w:b/>
              </w:rPr>
              <w:t>)</w:t>
            </w:r>
          </w:p>
        </w:tc>
      </w:tr>
      <w:tr w:rsidR="00C805A4" w:rsidRPr="0012135F" w:rsidTr="003A3755">
        <w:trPr>
          <w:gridAfter w:val="1"/>
          <w:wAfter w:w="344" w:type="dxa"/>
          <w:jc w:val="center"/>
        </w:trPr>
        <w:tc>
          <w:tcPr>
            <w:tcW w:w="2661" w:type="dxa"/>
            <w:gridSpan w:val="3"/>
            <w:vMerge/>
          </w:tcPr>
          <w:p w:rsidR="00C805A4" w:rsidRPr="00BB48B7" w:rsidRDefault="00C805A4" w:rsidP="00C26596">
            <w:pPr>
              <w:jc w:val="both"/>
            </w:pPr>
          </w:p>
        </w:tc>
        <w:tc>
          <w:tcPr>
            <w:tcW w:w="2693" w:type="dxa"/>
            <w:gridSpan w:val="3"/>
            <w:vMerge/>
          </w:tcPr>
          <w:p w:rsidR="00C805A4" w:rsidRPr="00BB48B7" w:rsidRDefault="00C805A4" w:rsidP="00C26596">
            <w:pPr>
              <w:jc w:val="both"/>
            </w:pPr>
          </w:p>
        </w:tc>
        <w:tc>
          <w:tcPr>
            <w:tcW w:w="1276" w:type="dxa"/>
          </w:tcPr>
          <w:p w:rsidR="00C805A4" w:rsidRPr="00BB48B7" w:rsidRDefault="00C805A4" w:rsidP="00C26596">
            <w:r w:rsidRPr="00BB48B7">
              <w:rPr>
                <w:b/>
                <w:bCs/>
              </w:rPr>
              <w:t>2012.gads</w:t>
            </w:r>
          </w:p>
        </w:tc>
        <w:tc>
          <w:tcPr>
            <w:tcW w:w="1276" w:type="dxa"/>
          </w:tcPr>
          <w:p w:rsidR="00C805A4" w:rsidRPr="00BB48B7" w:rsidRDefault="00C805A4" w:rsidP="00C26596">
            <w:pPr>
              <w:jc w:val="center"/>
            </w:pPr>
            <w:r w:rsidRPr="00BB48B7">
              <w:rPr>
                <w:b/>
                <w:bCs/>
              </w:rPr>
              <w:t>2013.gads</w:t>
            </w:r>
          </w:p>
        </w:tc>
        <w:tc>
          <w:tcPr>
            <w:tcW w:w="1559" w:type="dxa"/>
          </w:tcPr>
          <w:p w:rsidR="00C805A4" w:rsidRPr="00BB48B7" w:rsidRDefault="00C805A4" w:rsidP="00C26596">
            <w:pPr>
              <w:ind w:right="4"/>
              <w:jc w:val="center"/>
            </w:pPr>
            <w:r w:rsidRPr="00BB48B7">
              <w:rPr>
                <w:b/>
                <w:bCs/>
              </w:rPr>
              <w:t>2014.gads</w:t>
            </w:r>
          </w:p>
        </w:tc>
      </w:tr>
      <w:tr w:rsidR="00C805A4" w:rsidRPr="0012135F" w:rsidTr="003A3755">
        <w:trPr>
          <w:gridAfter w:val="1"/>
          <w:wAfter w:w="344" w:type="dxa"/>
          <w:jc w:val="center"/>
        </w:trPr>
        <w:tc>
          <w:tcPr>
            <w:tcW w:w="2661" w:type="dxa"/>
            <w:gridSpan w:val="3"/>
            <w:vMerge/>
          </w:tcPr>
          <w:p w:rsidR="00C805A4" w:rsidRPr="00BB48B7" w:rsidRDefault="00C805A4" w:rsidP="00C26596">
            <w:pPr>
              <w:jc w:val="both"/>
            </w:pPr>
          </w:p>
        </w:tc>
        <w:tc>
          <w:tcPr>
            <w:tcW w:w="1276" w:type="dxa"/>
            <w:gridSpan w:val="2"/>
            <w:vAlign w:val="center"/>
          </w:tcPr>
          <w:p w:rsidR="00C805A4" w:rsidRPr="00BB48B7" w:rsidRDefault="00C805A4" w:rsidP="00C26596">
            <w:pPr>
              <w:jc w:val="center"/>
            </w:pPr>
            <w:r w:rsidRPr="00BB48B7">
              <w:t>Saskaņā ar valsts budžetu kārtējam gadam</w:t>
            </w:r>
          </w:p>
        </w:tc>
        <w:tc>
          <w:tcPr>
            <w:tcW w:w="1417" w:type="dxa"/>
            <w:vAlign w:val="center"/>
          </w:tcPr>
          <w:p w:rsidR="00C805A4" w:rsidRPr="00BB48B7" w:rsidRDefault="00C805A4" w:rsidP="00C26596">
            <w:pPr>
              <w:ind w:left="-61"/>
              <w:jc w:val="center"/>
            </w:pPr>
            <w:r w:rsidRPr="00BB48B7">
              <w:t>Izmaiņas kārtējā gadā, salīdzinot ar budžetu kārtējam gadam</w:t>
            </w:r>
          </w:p>
        </w:tc>
        <w:tc>
          <w:tcPr>
            <w:tcW w:w="1276" w:type="dxa"/>
            <w:vAlign w:val="center"/>
          </w:tcPr>
          <w:p w:rsidR="00C805A4" w:rsidRPr="00BB48B7" w:rsidRDefault="00C805A4" w:rsidP="00C26596">
            <w:pPr>
              <w:ind w:left="-108"/>
              <w:jc w:val="center"/>
            </w:pPr>
            <w:r w:rsidRPr="00BB48B7">
              <w:t>Izmaiņas, salīdzinot ar kārtējo (n) gadu</w:t>
            </w:r>
          </w:p>
        </w:tc>
        <w:tc>
          <w:tcPr>
            <w:tcW w:w="1276" w:type="dxa"/>
            <w:vAlign w:val="center"/>
          </w:tcPr>
          <w:p w:rsidR="00C805A4" w:rsidRPr="00BB48B7" w:rsidRDefault="00C805A4" w:rsidP="00C26596">
            <w:pPr>
              <w:tabs>
                <w:tab w:val="left" w:pos="0"/>
              </w:tabs>
              <w:ind w:right="-108"/>
              <w:jc w:val="center"/>
            </w:pPr>
            <w:r w:rsidRPr="00BB48B7">
              <w:t>Izmaiņas, salīdzinot ar kārtējo (n) gadu</w:t>
            </w:r>
          </w:p>
        </w:tc>
        <w:tc>
          <w:tcPr>
            <w:tcW w:w="1559" w:type="dxa"/>
            <w:vAlign w:val="center"/>
          </w:tcPr>
          <w:p w:rsidR="00C805A4" w:rsidRPr="00BB48B7" w:rsidRDefault="00C805A4" w:rsidP="00C26596">
            <w:pPr>
              <w:jc w:val="center"/>
            </w:pPr>
            <w:r w:rsidRPr="00BB48B7">
              <w:t>Izmaiņas, salīdzinot ar kārtējo (n) gadu</w:t>
            </w:r>
          </w:p>
        </w:tc>
      </w:tr>
      <w:tr w:rsidR="00C805A4" w:rsidRPr="0012135F" w:rsidTr="003A3755">
        <w:trPr>
          <w:gridAfter w:val="1"/>
          <w:wAfter w:w="344" w:type="dxa"/>
          <w:jc w:val="center"/>
        </w:trPr>
        <w:tc>
          <w:tcPr>
            <w:tcW w:w="2661" w:type="dxa"/>
            <w:gridSpan w:val="3"/>
          </w:tcPr>
          <w:p w:rsidR="00C805A4" w:rsidRPr="00BB48B7" w:rsidRDefault="00C805A4" w:rsidP="00C26596">
            <w:pPr>
              <w:jc w:val="center"/>
              <w:rPr>
                <w:sz w:val="16"/>
                <w:szCs w:val="16"/>
              </w:rPr>
            </w:pPr>
            <w:r w:rsidRPr="00BB48B7">
              <w:rPr>
                <w:sz w:val="16"/>
                <w:szCs w:val="16"/>
              </w:rPr>
              <w:t>1</w:t>
            </w:r>
          </w:p>
        </w:tc>
        <w:tc>
          <w:tcPr>
            <w:tcW w:w="1276" w:type="dxa"/>
            <w:gridSpan w:val="2"/>
          </w:tcPr>
          <w:p w:rsidR="00C805A4" w:rsidRPr="00BB48B7" w:rsidRDefault="00C805A4" w:rsidP="00C26596">
            <w:pPr>
              <w:jc w:val="center"/>
              <w:rPr>
                <w:sz w:val="16"/>
                <w:szCs w:val="16"/>
              </w:rPr>
            </w:pPr>
            <w:r w:rsidRPr="00BB48B7">
              <w:rPr>
                <w:sz w:val="16"/>
                <w:szCs w:val="16"/>
              </w:rPr>
              <w:t>2</w:t>
            </w:r>
          </w:p>
        </w:tc>
        <w:tc>
          <w:tcPr>
            <w:tcW w:w="1417" w:type="dxa"/>
          </w:tcPr>
          <w:p w:rsidR="00C805A4" w:rsidRPr="00BB48B7" w:rsidRDefault="00C805A4" w:rsidP="00C26596">
            <w:pPr>
              <w:jc w:val="center"/>
              <w:rPr>
                <w:sz w:val="16"/>
                <w:szCs w:val="16"/>
              </w:rPr>
            </w:pPr>
            <w:r w:rsidRPr="00BB48B7">
              <w:rPr>
                <w:sz w:val="16"/>
                <w:szCs w:val="16"/>
              </w:rPr>
              <w:t>3</w:t>
            </w:r>
          </w:p>
        </w:tc>
        <w:tc>
          <w:tcPr>
            <w:tcW w:w="1276" w:type="dxa"/>
          </w:tcPr>
          <w:p w:rsidR="00C805A4" w:rsidRPr="00BB48B7" w:rsidRDefault="00C805A4" w:rsidP="00C26596">
            <w:pPr>
              <w:jc w:val="center"/>
              <w:rPr>
                <w:sz w:val="16"/>
                <w:szCs w:val="16"/>
              </w:rPr>
            </w:pPr>
            <w:r w:rsidRPr="00BB48B7">
              <w:rPr>
                <w:sz w:val="16"/>
                <w:szCs w:val="16"/>
              </w:rPr>
              <w:t>4</w:t>
            </w:r>
          </w:p>
        </w:tc>
        <w:tc>
          <w:tcPr>
            <w:tcW w:w="1276" w:type="dxa"/>
          </w:tcPr>
          <w:p w:rsidR="00C805A4" w:rsidRPr="00BB48B7" w:rsidRDefault="00C805A4" w:rsidP="00C26596">
            <w:pPr>
              <w:jc w:val="center"/>
              <w:rPr>
                <w:sz w:val="16"/>
                <w:szCs w:val="16"/>
              </w:rPr>
            </w:pPr>
            <w:r w:rsidRPr="00BB48B7">
              <w:rPr>
                <w:sz w:val="16"/>
                <w:szCs w:val="16"/>
              </w:rPr>
              <w:t>5</w:t>
            </w:r>
          </w:p>
        </w:tc>
        <w:tc>
          <w:tcPr>
            <w:tcW w:w="1559" w:type="dxa"/>
          </w:tcPr>
          <w:p w:rsidR="00C805A4" w:rsidRPr="00BB48B7" w:rsidRDefault="00C805A4" w:rsidP="00C26596">
            <w:pPr>
              <w:jc w:val="center"/>
              <w:rPr>
                <w:sz w:val="16"/>
                <w:szCs w:val="16"/>
              </w:rPr>
            </w:pPr>
            <w:r w:rsidRPr="00BB48B7">
              <w:rPr>
                <w:sz w:val="16"/>
                <w:szCs w:val="16"/>
              </w:rPr>
              <w:t>6</w:t>
            </w:r>
          </w:p>
        </w:tc>
      </w:tr>
      <w:tr w:rsidR="00C805A4" w:rsidRPr="0012135F" w:rsidTr="003A3755">
        <w:trPr>
          <w:gridAfter w:val="1"/>
          <w:wAfter w:w="344" w:type="dxa"/>
          <w:jc w:val="center"/>
        </w:trPr>
        <w:tc>
          <w:tcPr>
            <w:tcW w:w="2661" w:type="dxa"/>
            <w:gridSpan w:val="3"/>
          </w:tcPr>
          <w:p w:rsidR="00C805A4" w:rsidRPr="00BB48B7" w:rsidRDefault="00C805A4" w:rsidP="00C26596">
            <w:pPr>
              <w:jc w:val="both"/>
              <w:rPr>
                <w:b/>
              </w:rPr>
            </w:pPr>
            <w:r w:rsidRPr="00BB48B7">
              <w:rPr>
                <w:b/>
              </w:rPr>
              <w:t>1. Budžeta ieņēmumi:</w:t>
            </w:r>
          </w:p>
        </w:tc>
        <w:tc>
          <w:tcPr>
            <w:tcW w:w="1276" w:type="dxa"/>
            <w:gridSpan w:val="2"/>
          </w:tcPr>
          <w:p w:rsidR="00C805A4" w:rsidRPr="00BB48B7" w:rsidRDefault="00C805A4" w:rsidP="00C26596">
            <w:pPr>
              <w:jc w:val="center"/>
              <w:rPr>
                <w:b/>
                <w:sz w:val="20"/>
                <w:szCs w:val="20"/>
              </w:rPr>
            </w:pPr>
            <w:r w:rsidRPr="00BB48B7">
              <w:rPr>
                <w:b/>
              </w:rPr>
              <w:t>4 356,9</w:t>
            </w:r>
          </w:p>
        </w:tc>
        <w:tc>
          <w:tcPr>
            <w:tcW w:w="1417" w:type="dxa"/>
          </w:tcPr>
          <w:p w:rsidR="00C805A4" w:rsidRPr="00BB48B7" w:rsidRDefault="00C805A4" w:rsidP="00C26596">
            <w:pPr>
              <w:jc w:val="center"/>
              <w:rPr>
                <w:b/>
              </w:rPr>
            </w:pPr>
            <w:r w:rsidRPr="00BB48B7">
              <w:rPr>
                <w:b/>
              </w:rPr>
              <w:t>0</w:t>
            </w:r>
          </w:p>
        </w:tc>
        <w:tc>
          <w:tcPr>
            <w:tcW w:w="1276" w:type="dxa"/>
          </w:tcPr>
          <w:p w:rsidR="00C805A4" w:rsidRPr="00BB48B7" w:rsidRDefault="00C805A4" w:rsidP="00C26596">
            <w:pPr>
              <w:jc w:val="center"/>
              <w:rPr>
                <w:b/>
              </w:rPr>
            </w:pPr>
            <w:r w:rsidRPr="00BB48B7">
              <w:rPr>
                <w:b/>
              </w:rPr>
              <w:t>-32,2</w:t>
            </w:r>
          </w:p>
        </w:tc>
        <w:tc>
          <w:tcPr>
            <w:tcW w:w="1276" w:type="dxa"/>
          </w:tcPr>
          <w:p w:rsidR="00C805A4" w:rsidRPr="00BB48B7" w:rsidRDefault="00C805A4" w:rsidP="00C26596">
            <w:pPr>
              <w:jc w:val="center"/>
              <w:rPr>
                <w:b/>
              </w:rPr>
            </w:pPr>
            <w:r w:rsidRPr="00BB48B7">
              <w:rPr>
                <w:b/>
              </w:rPr>
              <w:t>-9,9</w:t>
            </w:r>
          </w:p>
        </w:tc>
        <w:tc>
          <w:tcPr>
            <w:tcW w:w="1559" w:type="dxa"/>
          </w:tcPr>
          <w:p w:rsidR="00C805A4" w:rsidRPr="00BB48B7" w:rsidRDefault="00C805A4" w:rsidP="00C26596">
            <w:pPr>
              <w:jc w:val="center"/>
              <w:rPr>
                <w:b/>
              </w:rPr>
            </w:pPr>
            <w:r w:rsidRPr="00BB48B7">
              <w:rPr>
                <w:b/>
              </w:rPr>
              <w:t>-9,9</w:t>
            </w:r>
          </w:p>
        </w:tc>
      </w:tr>
      <w:tr w:rsidR="00C805A4" w:rsidRPr="0012135F" w:rsidTr="003A3755">
        <w:trPr>
          <w:gridAfter w:val="1"/>
          <w:wAfter w:w="344" w:type="dxa"/>
          <w:jc w:val="center"/>
        </w:trPr>
        <w:tc>
          <w:tcPr>
            <w:tcW w:w="2661" w:type="dxa"/>
            <w:gridSpan w:val="3"/>
          </w:tcPr>
          <w:p w:rsidR="00C805A4" w:rsidRPr="00BB48B7" w:rsidRDefault="00C805A4" w:rsidP="00C26596">
            <w:r w:rsidRPr="00BB48B7">
              <w:t>1.1. valsts pamatbudžets, tai skaitā ieņēmumi no maksas pakalpojumiem un citi pašu ieņēmumi</w:t>
            </w:r>
          </w:p>
        </w:tc>
        <w:tc>
          <w:tcPr>
            <w:tcW w:w="1276" w:type="dxa"/>
            <w:gridSpan w:val="2"/>
          </w:tcPr>
          <w:p w:rsidR="00C805A4" w:rsidRPr="00BB48B7" w:rsidRDefault="00C805A4" w:rsidP="00C26596">
            <w:pPr>
              <w:jc w:val="center"/>
            </w:pPr>
            <w:r w:rsidRPr="00BB48B7">
              <w:t>3 513,8</w:t>
            </w:r>
          </w:p>
          <w:p w:rsidR="00C805A4" w:rsidRPr="00BB48B7" w:rsidRDefault="00C805A4" w:rsidP="00C26596">
            <w:pPr>
              <w:jc w:val="center"/>
            </w:pPr>
          </w:p>
          <w:p w:rsidR="00C805A4" w:rsidRPr="00BB48B7" w:rsidRDefault="00C805A4" w:rsidP="00C26596">
            <w:pPr>
              <w:jc w:val="center"/>
            </w:pPr>
          </w:p>
          <w:p w:rsidR="00C805A4" w:rsidRPr="00BB48B7" w:rsidRDefault="00C805A4" w:rsidP="00C26596">
            <w:pPr>
              <w:jc w:val="center"/>
            </w:pPr>
            <w:r w:rsidRPr="00BB48B7">
              <w:t>843,1</w:t>
            </w:r>
          </w:p>
        </w:tc>
        <w:tc>
          <w:tcPr>
            <w:tcW w:w="1417"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-32,2</w:t>
            </w:r>
          </w:p>
        </w:tc>
        <w:tc>
          <w:tcPr>
            <w:tcW w:w="1276" w:type="dxa"/>
          </w:tcPr>
          <w:p w:rsidR="00C805A4" w:rsidRPr="00BB48B7" w:rsidRDefault="00C805A4" w:rsidP="00C26596">
            <w:pPr>
              <w:jc w:val="center"/>
            </w:pPr>
            <w:r w:rsidRPr="00BB48B7">
              <w:t>-9,9</w:t>
            </w:r>
          </w:p>
        </w:tc>
        <w:tc>
          <w:tcPr>
            <w:tcW w:w="1559" w:type="dxa"/>
          </w:tcPr>
          <w:p w:rsidR="00C805A4" w:rsidRPr="00BB48B7" w:rsidRDefault="00C805A4" w:rsidP="00C26596">
            <w:pPr>
              <w:jc w:val="center"/>
            </w:pPr>
            <w:r w:rsidRPr="00BB48B7">
              <w:t>-9,9</w:t>
            </w:r>
          </w:p>
        </w:tc>
      </w:tr>
      <w:tr w:rsidR="00C805A4" w:rsidRPr="0012135F" w:rsidTr="003A3755">
        <w:trPr>
          <w:gridAfter w:val="1"/>
          <w:wAfter w:w="344" w:type="dxa"/>
          <w:jc w:val="center"/>
        </w:trPr>
        <w:tc>
          <w:tcPr>
            <w:tcW w:w="2661" w:type="dxa"/>
            <w:gridSpan w:val="3"/>
          </w:tcPr>
          <w:p w:rsidR="00C805A4" w:rsidRPr="00BB48B7" w:rsidRDefault="00C805A4" w:rsidP="00C26596">
            <w:r w:rsidRPr="00BB48B7">
              <w:t>1.2. valsts speciālais budžets</w:t>
            </w:r>
          </w:p>
        </w:tc>
        <w:tc>
          <w:tcPr>
            <w:tcW w:w="1276" w:type="dxa"/>
            <w:gridSpan w:val="2"/>
          </w:tcPr>
          <w:p w:rsidR="00C805A4" w:rsidRPr="00BB48B7" w:rsidRDefault="00C805A4" w:rsidP="00C26596">
            <w:pPr>
              <w:jc w:val="center"/>
            </w:pPr>
            <w:r w:rsidRPr="00BB48B7">
              <w:t>0</w:t>
            </w:r>
          </w:p>
        </w:tc>
        <w:tc>
          <w:tcPr>
            <w:tcW w:w="1417"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559" w:type="dxa"/>
          </w:tcPr>
          <w:p w:rsidR="00C805A4" w:rsidRPr="00BB48B7" w:rsidRDefault="00C805A4" w:rsidP="00C26596">
            <w:pPr>
              <w:jc w:val="center"/>
            </w:pPr>
            <w:r w:rsidRPr="00BB48B7">
              <w:t>0</w:t>
            </w:r>
          </w:p>
        </w:tc>
      </w:tr>
      <w:tr w:rsidR="00C805A4" w:rsidRPr="0012135F" w:rsidTr="003A3755">
        <w:trPr>
          <w:gridAfter w:val="1"/>
          <w:wAfter w:w="344" w:type="dxa"/>
          <w:jc w:val="center"/>
        </w:trPr>
        <w:tc>
          <w:tcPr>
            <w:tcW w:w="2661" w:type="dxa"/>
            <w:gridSpan w:val="3"/>
          </w:tcPr>
          <w:p w:rsidR="00C805A4" w:rsidRPr="00BB48B7" w:rsidRDefault="00C805A4" w:rsidP="00C26596">
            <w:pPr>
              <w:jc w:val="both"/>
            </w:pPr>
            <w:r w:rsidRPr="00BB48B7">
              <w:t>1.3. pašvaldību budžets</w:t>
            </w:r>
          </w:p>
        </w:tc>
        <w:tc>
          <w:tcPr>
            <w:tcW w:w="1276" w:type="dxa"/>
            <w:gridSpan w:val="2"/>
          </w:tcPr>
          <w:p w:rsidR="00C805A4" w:rsidRPr="00BB48B7" w:rsidRDefault="00C805A4" w:rsidP="00C26596">
            <w:pPr>
              <w:jc w:val="center"/>
            </w:pPr>
            <w:r w:rsidRPr="00BB48B7">
              <w:t>0</w:t>
            </w:r>
          </w:p>
        </w:tc>
        <w:tc>
          <w:tcPr>
            <w:tcW w:w="1417"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559" w:type="dxa"/>
          </w:tcPr>
          <w:p w:rsidR="00C805A4" w:rsidRPr="00BB48B7" w:rsidRDefault="00C805A4" w:rsidP="00C26596">
            <w:pPr>
              <w:jc w:val="center"/>
            </w:pPr>
            <w:r w:rsidRPr="00BB48B7">
              <w:t>0</w:t>
            </w:r>
          </w:p>
        </w:tc>
      </w:tr>
      <w:tr w:rsidR="00C805A4" w:rsidRPr="0012135F" w:rsidTr="003A3755">
        <w:trPr>
          <w:gridAfter w:val="1"/>
          <w:wAfter w:w="344" w:type="dxa"/>
          <w:jc w:val="center"/>
        </w:trPr>
        <w:tc>
          <w:tcPr>
            <w:tcW w:w="2661" w:type="dxa"/>
            <w:gridSpan w:val="3"/>
          </w:tcPr>
          <w:p w:rsidR="00C805A4" w:rsidRPr="00BB48B7" w:rsidRDefault="00C805A4" w:rsidP="00C26596">
            <w:pPr>
              <w:jc w:val="both"/>
              <w:rPr>
                <w:b/>
              </w:rPr>
            </w:pPr>
            <w:r w:rsidRPr="00BB48B7">
              <w:rPr>
                <w:b/>
              </w:rPr>
              <w:t>2. Budžeta izdevumi:</w:t>
            </w:r>
          </w:p>
        </w:tc>
        <w:tc>
          <w:tcPr>
            <w:tcW w:w="1276" w:type="dxa"/>
            <w:gridSpan w:val="2"/>
          </w:tcPr>
          <w:p w:rsidR="00C805A4" w:rsidRPr="00BB48B7" w:rsidRDefault="00C805A4" w:rsidP="00C26596">
            <w:pPr>
              <w:jc w:val="center"/>
              <w:rPr>
                <w:b/>
                <w:sz w:val="20"/>
                <w:szCs w:val="20"/>
              </w:rPr>
            </w:pPr>
            <w:r w:rsidRPr="00BB48B7">
              <w:rPr>
                <w:b/>
              </w:rPr>
              <w:t>4 424,4</w:t>
            </w:r>
          </w:p>
        </w:tc>
        <w:tc>
          <w:tcPr>
            <w:tcW w:w="1417" w:type="dxa"/>
          </w:tcPr>
          <w:p w:rsidR="00C805A4" w:rsidRPr="00BB48B7" w:rsidRDefault="00C805A4" w:rsidP="00C26596">
            <w:pPr>
              <w:jc w:val="center"/>
              <w:rPr>
                <w:b/>
              </w:rPr>
            </w:pPr>
            <w:r w:rsidRPr="00BB48B7">
              <w:rPr>
                <w:b/>
              </w:rPr>
              <w:t>0</w:t>
            </w:r>
          </w:p>
        </w:tc>
        <w:tc>
          <w:tcPr>
            <w:tcW w:w="1276" w:type="dxa"/>
          </w:tcPr>
          <w:p w:rsidR="00C805A4" w:rsidRPr="00BB48B7" w:rsidRDefault="00C805A4" w:rsidP="00C26596">
            <w:pPr>
              <w:jc w:val="center"/>
              <w:rPr>
                <w:b/>
              </w:rPr>
            </w:pPr>
            <w:r w:rsidRPr="00BB48B7">
              <w:rPr>
                <w:b/>
              </w:rPr>
              <w:t>-99,8</w:t>
            </w:r>
          </w:p>
        </w:tc>
        <w:tc>
          <w:tcPr>
            <w:tcW w:w="1276" w:type="dxa"/>
          </w:tcPr>
          <w:p w:rsidR="00C805A4" w:rsidRPr="00BB48B7" w:rsidRDefault="00C805A4" w:rsidP="00C26596">
            <w:pPr>
              <w:jc w:val="center"/>
              <w:rPr>
                <w:b/>
              </w:rPr>
            </w:pPr>
            <w:r w:rsidRPr="00BB48B7">
              <w:rPr>
                <w:b/>
              </w:rPr>
              <w:t>-77,4</w:t>
            </w:r>
          </w:p>
        </w:tc>
        <w:tc>
          <w:tcPr>
            <w:tcW w:w="1559" w:type="dxa"/>
          </w:tcPr>
          <w:p w:rsidR="00C805A4" w:rsidRPr="00BB48B7" w:rsidRDefault="00C805A4" w:rsidP="00C26596">
            <w:pPr>
              <w:jc w:val="center"/>
              <w:rPr>
                <w:b/>
              </w:rPr>
            </w:pPr>
            <w:r w:rsidRPr="00BB48B7">
              <w:rPr>
                <w:b/>
              </w:rPr>
              <w:t>-77,4</w:t>
            </w:r>
          </w:p>
        </w:tc>
      </w:tr>
      <w:tr w:rsidR="00C805A4" w:rsidRPr="0012135F" w:rsidTr="003A3755">
        <w:trPr>
          <w:gridAfter w:val="1"/>
          <w:wAfter w:w="344" w:type="dxa"/>
          <w:jc w:val="center"/>
        </w:trPr>
        <w:tc>
          <w:tcPr>
            <w:tcW w:w="2661" w:type="dxa"/>
            <w:gridSpan w:val="3"/>
          </w:tcPr>
          <w:p w:rsidR="00C805A4" w:rsidRPr="00BB48B7" w:rsidRDefault="00C805A4" w:rsidP="00C26596">
            <w:pPr>
              <w:jc w:val="both"/>
            </w:pPr>
            <w:r w:rsidRPr="00BB48B7">
              <w:t>2.1. valsts pamatbudžets</w:t>
            </w:r>
          </w:p>
        </w:tc>
        <w:tc>
          <w:tcPr>
            <w:tcW w:w="1276" w:type="dxa"/>
            <w:gridSpan w:val="2"/>
          </w:tcPr>
          <w:p w:rsidR="00C805A4" w:rsidRPr="00BB48B7" w:rsidRDefault="00C805A4" w:rsidP="00C26596">
            <w:pPr>
              <w:jc w:val="center"/>
            </w:pPr>
            <w:r w:rsidRPr="00BB48B7">
              <w:t>4 424,4</w:t>
            </w:r>
          </w:p>
        </w:tc>
        <w:tc>
          <w:tcPr>
            <w:tcW w:w="1417"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-99,8</w:t>
            </w:r>
          </w:p>
        </w:tc>
        <w:tc>
          <w:tcPr>
            <w:tcW w:w="1276" w:type="dxa"/>
          </w:tcPr>
          <w:p w:rsidR="00C805A4" w:rsidRPr="00BB48B7" w:rsidRDefault="00C805A4" w:rsidP="00C26596">
            <w:pPr>
              <w:jc w:val="center"/>
            </w:pPr>
            <w:r w:rsidRPr="00BB48B7">
              <w:t>-77,4</w:t>
            </w:r>
          </w:p>
        </w:tc>
        <w:tc>
          <w:tcPr>
            <w:tcW w:w="1559" w:type="dxa"/>
          </w:tcPr>
          <w:p w:rsidR="00C805A4" w:rsidRPr="00BB48B7" w:rsidRDefault="00C805A4" w:rsidP="00C26596">
            <w:pPr>
              <w:jc w:val="center"/>
            </w:pPr>
            <w:r w:rsidRPr="00BB48B7">
              <w:t>-77,4</w:t>
            </w:r>
          </w:p>
        </w:tc>
      </w:tr>
      <w:tr w:rsidR="00C805A4" w:rsidRPr="0012135F" w:rsidTr="003A3755">
        <w:trPr>
          <w:gridAfter w:val="1"/>
          <w:wAfter w:w="344" w:type="dxa"/>
          <w:jc w:val="center"/>
        </w:trPr>
        <w:tc>
          <w:tcPr>
            <w:tcW w:w="2661" w:type="dxa"/>
            <w:gridSpan w:val="3"/>
          </w:tcPr>
          <w:p w:rsidR="00C805A4" w:rsidRPr="00BB48B7" w:rsidRDefault="00C805A4" w:rsidP="00C26596">
            <w:r w:rsidRPr="00BB48B7">
              <w:t>2.2. valsts speciālais budžets</w:t>
            </w:r>
          </w:p>
        </w:tc>
        <w:tc>
          <w:tcPr>
            <w:tcW w:w="1276" w:type="dxa"/>
            <w:gridSpan w:val="2"/>
          </w:tcPr>
          <w:p w:rsidR="00C805A4" w:rsidRPr="00BB48B7" w:rsidRDefault="00C805A4" w:rsidP="00C26596">
            <w:pPr>
              <w:jc w:val="center"/>
            </w:pPr>
            <w:r w:rsidRPr="00BB48B7">
              <w:t>0</w:t>
            </w:r>
          </w:p>
        </w:tc>
        <w:tc>
          <w:tcPr>
            <w:tcW w:w="1417"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559" w:type="dxa"/>
          </w:tcPr>
          <w:p w:rsidR="00C805A4" w:rsidRPr="00BB48B7" w:rsidRDefault="00C805A4" w:rsidP="00C26596">
            <w:pPr>
              <w:jc w:val="center"/>
            </w:pPr>
            <w:r w:rsidRPr="00BB48B7">
              <w:t>0</w:t>
            </w:r>
          </w:p>
        </w:tc>
      </w:tr>
      <w:tr w:rsidR="00C805A4" w:rsidRPr="0012135F" w:rsidTr="003A3755">
        <w:trPr>
          <w:gridAfter w:val="1"/>
          <w:wAfter w:w="344" w:type="dxa"/>
          <w:jc w:val="center"/>
        </w:trPr>
        <w:tc>
          <w:tcPr>
            <w:tcW w:w="2661" w:type="dxa"/>
            <w:gridSpan w:val="3"/>
          </w:tcPr>
          <w:p w:rsidR="00C805A4" w:rsidRPr="00BB48B7" w:rsidRDefault="00C805A4" w:rsidP="00C26596">
            <w:pPr>
              <w:jc w:val="both"/>
            </w:pPr>
            <w:r w:rsidRPr="00BB48B7">
              <w:t>2.3. pašvaldību budžets</w:t>
            </w:r>
          </w:p>
        </w:tc>
        <w:tc>
          <w:tcPr>
            <w:tcW w:w="1276" w:type="dxa"/>
            <w:gridSpan w:val="2"/>
          </w:tcPr>
          <w:p w:rsidR="00C805A4" w:rsidRPr="00BB48B7" w:rsidRDefault="00C805A4" w:rsidP="00C26596">
            <w:pPr>
              <w:jc w:val="center"/>
            </w:pPr>
            <w:r w:rsidRPr="00BB48B7">
              <w:t>0</w:t>
            </w:r>
          </w:p>
        </w:tc>
        <w:tc>
          <w:tcPr>
            <w:tcW w:w="1417"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559" w:type="dxa"/>
          </w:tcPr>
          <w:p w:rsidR="00C805A4" w:rsidRPr="00BB48B7" w:rsidRDefault="00C805A4" w:rsidP="00C26596">
            <w:pPr>
              <w:jc w:val="center"/>
            </w:pPr>
            <w:r w:rsidRPr="00BB48B7">
              <w:t>0</w:t>
            </w:r>
          </w:p>
        </w:tc>
      </w:tr>
      <w:tr w:rsidR="00C805A4" w:rsidRPr="0012135F" w:rsidTr="003A3755">
        <w:trPr>
          <w:gridAfter w:val="1"/>
          <w:wAfter w:w="344" w:type="dxa"/>
          <w:jc w:val="center"/>
        </w:trPr>
        <w:tc>
          <w:tcPr>
            <w:tcW w:w="2661" w:type="dxa"/>
            <w:gridSpan w:val="3"/>
          </w:tcPr>
          <w:p w:rsidR="00C805A4" w:rsidRPr="00BB48B7" w:rsidRDefault="00C805A4" w:rsidP="00C26596">
            <w:pPr>
              <w:jc w:val="both"/>
              <w:rPr>
                <w:b/>
              </w:rPr>
            </w:pPr>
            <w:r w:rsidRPr="00BB48B7">
              <w:rPr>
                <w:b/>
              </w:rPr>
              <w:t>3. Finansiālā ietekme:</w:t>
            </w:r>
          </w:p>
        </w:tc>
        <w:tc>
          <w:tcPr>
            <w:tcW w:w="1276" w:type="dxa"/>
            <w:gridSpan w:val="2"/>
          </w:tcPr>
          <w:p w:rsidR="00C805A4" w:rsidRPr="00BB48B7" w:rsidRDefault="00C805A4" w:rsidP="00C26596">
            <w:pPr>
              <w:jc w:val="center"/>
              <w:rPr>
                <w:b/>
              </w:rPr>
            </w:pPr>
            <w:r w:rsidRPr="00BB48B7">
              <w:rPr>
                <w:b/>
              </w:rPr>
              <w:t>-67,5</w:t>
            </w:r>
          </w:p>
        </w:tc>
        <w:tc>
          <w:tcPr>
            <w:tcW w:w="1417" w:type="dxa"/>
          </w:tcPr>
          <w:p w:rsidR="00C805A4" w:rsidRPr="00BB48B7" w:rsidRDefault="00C805A4" w:rsidP="00C26596">
            <w:pPr>
              <w:jc w:val="center"/>
              <w:rPr>
                <w:b/>
              </w:rPr>
            </w:pPr>
            <w:r w:rsidRPr="00BB48B7">
              <w:rPr>
                <w:b/>
              </w:rPr>
              <w:t>0</w:t>
            </w:r>
          </w:p>
        </w:tc>
        <w:tc>
          <w:tcPr>
            <w:tcW w:w="1276" w:type="dxa"/>
          </w:tcPr>
          <w:p w:rsidR="00C805A4" w:rsidRPr="00BB48B7" w:rsidRDefault="00C805A4" w:rsidP="00C26596">
            <w:pPr>
              <w:jc w:val="center"/>
              <w:rPr>
                <w:b/>
              </w:rPr>
            </w:pPr>
            <w:r w:rsidRPr="00BB48B7">
              <w:rPr>
                <w:b/>
              </w:rPr>
              <w:t>67,5</w:t>
            </w:r>
          </w:p>
        </w:tc>
        <w:tc>
          <w:tcPr>
            <w:tcW w:w="1276" w:type="dxa"/>
          </w:tcPr>
          <w:p w:rsidR="00C805A4" w:rsidRPr="00BB48B7" w:rsidRDefault="00C805A4" w:rsidP="00C26596">
            <w:pPr>
              <w:jc w:val="center"/>
              <w:rPr>
                <w:b/>
              </w:rPr>
            </w:pPr>
            <w:r w:rsidRPr="00BB48B7">
              <w:rPr>
                <w:b/>
              </w:rPr>
              <w:t>67,5</w:t>
            </w:r>
          </w:p>
        </w:tc>
        <w:tc>
          <w:tcPr>
            <w:tcW w:w="1559" w:type="dxa"/>
          </w:tcPr>
          <w:p w:rsidR="00C805A4" w:rsidRPr="00BB48B7" w:rsidRDefault="00C805A4" w:rsidP="00C26596">
            <w:pPr>
              <w:jc w:val="center"/>
              <w:rPr>
                <w:b/>
              </w:rPr>
            </w:pPr>
            <w:r w:rsidRPr="00BB48B7">
              <w:rPr>
                <w:b/>
              </w:rPr>
              <w:t>67,5</w:t>
            </w:r>
          </w:p>
        </w:tc>
      </w:tr>
      <w:tr w:rsidR="00C805A4" w:rsidRPr="0012135F" w:rsidTr="003A3755">
        <w:trPr>
          <w:gridAfter w:val="1"/>
          <w:wAfter w:w="344" w:type="dxa"/>
          <w:jc w:val="center"/>
        </w:trPr>
        <w:tc>
          <w:tcPr>
            <w:tcW w:w="2661" w:type="dxa"/>
            <w:gridSpan w:val="3"/>
          </w:tcPr>
          <w:p w:rsidR="00C805A4" w:rsidRPr="00BB48B7" w:rsidRDefault="00C805A4" w:rsidP="00C26596">
            <w:pPr>
              <w:jc w:val="both"/>
            </w:pPr>
            <w:r w:rsidRPr="00BB48B7">
              <w:t>3.1. valsts pamatbudžets</w:t>
            </w:r>
          </w:p>
        </w:tc>
        <w:tc>
          <w:tcPr>
            <w:tcW w:w="1276" w:type="dxa"/>
            <w:gridSpan w:val="2"/>
          </w:tcPr>
          <w:p w:rsidR="00C805A4" w:rsidRPr="00BB48B7" w:rsidRDefault="00C805A4" w:rsidP="00C26596">
            <w:pPr>
              <w:jc w:val="center"/>
            </w:pPr>
            <w:r w:rsidRPr="00BB48B7">
              <w:t>-67,5</w:t>
            </w:r>
          </w:p>
        </w:tc>
        <w:tc>
          <w:tcPr>
            <w:tcW w:w="1417"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67,5</w:t>
            </w:r>
          </w:p>
        </w:tc>
        <w:tc>
          <w:tcPr>
            <w:tcW w:w="1276" w:type="dxa"/>
          </w:tcPr>
          <w:p w:rsidR="00C805A4" w:rsidRPr="00BB48B7" w:rsidRDefault="00C805A4" w:rsidP="00C26596">
            <w:pPr>
              <w:jc w:val="center"/>
            </w:pPr>
            <w:r w:rsidRPr="00BB48B7">
              <w:t>67,5</w:t>
            </w:r>
          </w:p>
        </w:tc>
        <w:tc>
          <w:tcPr>
            <w:tcW w:w="1559" w:type="dxa"/>
          </w:tcPr>
          <w:p w:rsidR="00C805A4" w:rsidRPr="00BB48B7" w:rsidRDefault="00C805A4" w:rsidP="00C26596">
            <w:pPr>
              <w:jc w:val="center"/>
            </w:pPr>
            <w:r w:rsidRPr="00BB48B7">
              <w:t>67,5</w:t>
            </w:r>
          </w:p>
        </w:tc>
      </w:tr>
      <w:tr w:rsidR="00C805A4" w:rsidRPr="0012135F" w:rsidTr="003A3755">
        <w:trPr>
          <w:gridAfter w:val="1"/>
          <w:wAfter w:w="344" w:type="dxa"/>
          <w:jc w:val="center"/>
        </w:trPr>
        <w:tc>
          <w:tcPr>
            <w:tcW w:w="2661" w:type="dxa"/>
            <w:gridSpan w:val="3"/>
          </w:tcPr>
          <w:p w:rsidR="00C805A4" w:rsidRPr="00BB48B7" w:rsidRDefault="00C805A4" w:rsidP="00C26596">
            <w:pPr>
              <w:jc w:val="both"/>
            </w:pPr>
            <w:r w:rsidRPr="00BB48B7">
              <w:t>3.2. speciālais budžets</w:t>
            </w:r>
          </w:p>
        </w:tc>
        <w:tc>
          <w:tcPr>
            <w:tcW w:w="1276" w:type="dxa"/>
            <w:gridSpan w:val="2"/>
          </w:tcPr>
          <w:p w:rsidR="00C805A4" w:rsidRPr="00BB48B7" w:rsidRDefault="00C805A4" w:rsidP="00C26596">
            <w:pPr>
              <w:jc w:val="center"/>
            </w:pPr>
            <w:r w:rsidRPr="00BB48B7">
              <w:t>0</w:t>
            </w:r>
          </w:p>
        </w:tc>
        <w:tc>
          <w:tcPr>
            <w:tcW w:w="1417"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559" w:type="dxa"/>
          </w:tcPr>
          <w:p w:rsidR="00C805A4" w:rsidRPr="00BB48B7" w:rsidRDefault="00C805A4" w:rsidP="00C26596">
            <w:pPr>
              <w:jc w:val="center"/>
            </w:pPr>
            <w:r w:rsidRPr="00BB48B7">
              <w:t>0</w:t>
            </w:r>
          </w:p>
        </w:tc>
      </w:tr>
      <w:tr w:rsidR="00C805A4" w:rsidRPr="0012135F" w:rsidTr="003A3755">
        <w:trPr>
          <w:gridAfter w:val="1"/>
          <w:wAfter w:w="344" w:type="dxa"/>
          <w:jc w:val="center"/>
        </w:trPr>
        <w:tc>
          <w:tcPr>
            <w:tcW w:w="2661" w:type="dxa"/>
            <w:gridSpan w:val="3"/>
          </w:tcPr>
          <w:p w:rsidR="00C805A4" w:rsidRPr="00BB48B7" w:rsidRDefault="00C805A4" w:rsidP="00C26596">
            <w:pPr>
              <w:jc w:val="both"/>
            </w:pPr>
            <w:r w:rsidRPr="00BB48B7">
              <w:t>3.3. pašvaldību budžets</w:t>
            </w:r>
          </w:p>
        </w:tc>
        <w:tc>
          <w:tcPr>
            <w:tcW w:w="1276" w:type="dxa"/>
            <w:gridSpan w:val="2"/>
          </w:tcPr>
          <w:p w:rsidR="00C805A4" w:rsidRPr="00BB48B7" w:rsidRDefault="00C805A4" w:rsidP="00C26596">
            <w:pPr>
              <w:jc w:val="center"/>
            </w:pPr>
            <w:r w:rsidRPr="00BB48B7">
              <w:t>0</w:t>
            </w:r>
          </w:p>
        </w:tc>
        <w:tc>
          <w:tcPr>
            <w:tcW w:w="1417"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559" w:type="dxa"/>
          </w:tcPr>
          <w:p w:rsidR="00C805A4" w:rsidRPr="00BB48B7" w:rsidRDefault="00C805A4" w:rsidP="00C26596">
            <w:pPr>
              <w:jc w:val="center"/>
            </w:pPr>
            <w:r w:rsidRPr="00BB48B7">
              <w:t>0</w:t>
            </w:r>
          </w:p>
        </w:tc>
      </w:tr>
      <w:tr w:rsidR="00C805A4" w:rsidRPr="0012135F" w:rsidTr="003A3755">
        <w:trPr>
          <w:gridAfter w:val="1"/>
          <w:wAfter w:w="344" w:type="dxa"/>
          <w:trHeight w:val="1726"/>
          <w:jc w:val="center"/>
        </w:trPr>
        <w:tc>
          <w:tcPr>
            <w:tcW w:w="2661" w:type="dxa"/>
            <w:gridSpan w:val="3"/>
          </w:tcPr>
          <w:p w:rsidR="00C805A4" w:rsidRPr="00BB48B7" w:rsidRDefault="00C805A4" w:rsidP="00C26596">
            <w:r w:rsidRPr="00BB48B7">
              <w:t>4. Finanšu līdzekļi papildu izde</w:t>
            </w:r>
            <w:r w:rsidRPr="00BB48B7">
              <w:softHyphen/>
              <w:t>vumu finansēšanai (kompensējošu izdevumu samazinājumu norāda ar "+" zīmi)</w:t>
            </w:r>
          </w:p>
        </w:tc>
        <w:tc>
          <w:tcPr>
            <w:tcW w:w="1276" w:type="dxa"/>
            <w:gridSpan w:val="2"/>
          </w:tcPr>
          <w:p w:rsidR="00C805A4" w:rsidRPr="00BB48B7" w:rsidRDefault="00C805A4" w:rsidP="00C26596">
            <w:pPr>
              <w:jc w:val="center"/>
              <w:rPr>
                <w:b/>
              </w:rPr>
            </w:pPr>
            <w:r w:rsidRPr="00BB48B7">
              <w:rPr>
                <w:b/>
              </w:rPr>
              <w:t>0</w:t>
            </w:r>
          </w:p>
        </w:tc>
        <w:tc>
          <w:tcPr>
            <w:tcW w:w="1417" w:type="dxa"/>
          </w:tcPr>
          <w:p w:rsidR="00C805A4" w:rsidRPr="00BB48B7" w:rsidRDefault="00C805A4" w:rsidP="00C26596">
            <w:pPr>
              <w:jc w:val="center"/>
              <w:rPr>
                <w:b/>
              </w:rPr>
            </w:pPr>
            <w:r w:rsidRPr="00BB48B7">
              <w:rPr>
                <w:b/>
              </w:rPr>
              <w:t>0</w:t>
            </w:r>
          </w:p>
          <w:p w:rsidR="00C805A4" w:rsidRPr="00BB48B7" w:rsidRDefault="00C805A4" w:rsidP="00C26596">
            <w:pPr>
              <w:jc w:val="center"/>
            </w:pPr>
          </w:p>
          <w:p w:rsidR="00C805A4" w:rsidRPr="00BB48B7" w:rsidRDefault="00C805A4" w:rsidP="00C26596">
            <w:pPr>
              <w:jc w:val="center"/>
              <w:rPr>
                <w:b/>
              </w:rPr>
            </w:pPr>
          </w:p>
        </w:tc>
        <w:tc>
          <w:tcPr>
            <w:tcW w:w="1276" w:type="dxa"/>
          </w:tcPr>
          <w:p w:rsidR="00C805A4" w:rsidRPr="00BB48B7" w:rsidRDefault="00C805A4" w:rsidP="00C26596">
            <w:pPr>
              <w:jc w:val="center"/>
            </w:pPr>
            <w:r w:rsidRPr="00BB48B7">
              <w:t>0</w:t>
            </w:r>
          </w:p>
          <w:p w:rsidR="00C805A4" w:rsidRPr="00BB48B7" w:rsidRDefault="00C805A4" w:rsidP="00C26596">
            <w:pPr>
              <w:jc w:val="center"/>
            </w:pPr>
          </w:p>
        </w:tc>
        <w:tc>
          <w:tcPr>
            <w:tcW w:w="1276" w:type="dxa"/>
          </w:tcPr>
          <w:p w:rsidR="00C805A4" w:rsidRPr="00BB48B7" w:rsidRDefault="00C805A4" w:rsidP="00C26596">
            <w:pPr>
              <w:jc w:val="center"/>
            </w:pPr>
            <w:r w:rsidRPr="00BB48B7">
              <w:t>0</w:t>
            </w:r>
          </w:p>
          <w:p w:rsidR="00C805A4" w:rsidRPr="00BB48B7" w:rsidRDefault="00C805A4" w:rsidP="00C26596">
            <w:pPr>
              <w:jc w:val="center"/>
            </w:pPr>
          </w:p>
        </w:tc>
        <w:tc>
          <w:tcPr>
            <w:tcW w:w="1559" w:type="dxa"/>
          </w:tcPr>
          <w:p w:rsidR="00C805A4" w:rsidRPr="00BB48B7" w:rsidRDefault="00C805A4" w:rsidP="00C26596">
            <w:pPr>
              <w:jc w:val="center"/>
            </w:pPr>
            <w:r w:rsidRPr="00BB48B7">
              <w:t>0</w:t>
            </w:r>
          </w:p>
          <w:p w:rsidR="00C805A4" w:rsidRPr="00BB48B7" w:rsidRDefault="00C805A4" w:rsidP="00C26596">
            <w:pPr>
              <w:jc w:val="center"/>
            </w:pPr>
          </w:p>
        </w:tc>
      </w:tr>
      <w:tr w:rsidR="00C805A4" w:rsidRPr="0012135F" w:rsidTr="003A3755">
        <w:trPr>
          <w:gridAfter w:val="1"/>
          <w:wAfter w:w="344" w:type="dxa"/>
          <w:jc w:val="center"/>
        </w:trPr>
        <w:tc>
          <w:tcPr>
            <w:tcW w:w="2661" w:type="dxa"/>
            <w:gridSpan w:val="3"/>
          </w:tcPr>
          <w:p w:rsidR="00C805A4" w:rsidRPr="00BB48B7" w:rsidRDefault="00C805A4" w:rsidP="00C26596">
            <w:r w:rsidRPr="00BB48B7">
              <w:t>5. Precizēta finansiālā ietekme:</w:t>
            </w:r>
          </w:p>
        </w:tc>
        <w:tc>
          <w:tcPr>
            <w:tcW w:w="1276" w:type="dxa"/>
            <w:gridSpan w:val="2"/>
            <w:vMerge w:val="restart"/>
          </w:tcPr>
          <w:p w:rsidR="00C805A4" w:rsidRPr="00BB48B7" w:rsidRDefault="00C805A4" w:rsidP="00C26596">
            <w:pPr>
              <w:jc w:val="center"/>
              <w:rPr>
                <w:b/>
              </w:rPr>
            </w:pPr>
            <w:r w:rsidRPr="00BB48B7">
              <w:rPr>
                <w:b/>
              </w:rPr>
              <w:t>0</w:t>
            </w:r>
          </w:p>
          <w:p w:rsidR="00C805A4" w:rsidRPr="00BB48B7" w:rsidRDefault="00C805A4" w:rsidP="00C26596">
            <w:pPr>
              <w:jc w:val="center"/>
              <w:rPr>
                <w:sz w:val="20"/>
                <w:szCs w:val="20"/>
              </w:rPr>
            </w:pPr>
          </w:p>
        </w:tc>
        <w:tc>
          <w:tcPr>
            <w:tcW w:w="1417" w:type="dxa"/>
          </w:tcPr>
          <w:p w:rsidR="00C805A4" w:rsidRPr="00BB48B7" w:rsidRDefault="00C805A4" w:rsidP="00C26596">
            <w:pPr>
              <w:jc w:val="center"/>
              <w:rPr>
                <w:b/>
              </w:rPr>
            </w:pPr>
            <w:r w:rsidRPr="00BB48B7">
              <w:rPr>
                <w:b/>
              </w:rPr>
              <w:t>0</w:t>
            </w:r>
          </w:p>
        </w:tc>
        <w:tc>
          <w:tcPr>
            <w:tcW w:w="1276" w:type="dxa"/>
          </w:tcPr>
          <w:p w:rsidR="00C805A4" w:rsidRPr="00BB48B7" w:rsidRDefault="00C805A4" w:rsidP="00C26596">
            <w:pPr>
              <w:jc w:val="center"/>
              <w:rPr>
                <w:b/>
              </w:rPr>
            </w:pPr>
            <w:r w:rsidRPr="00BB48B7">
              <w:rPr>
                <w:b/>
              </w:rPr>
              <w:t>0</w:t>
            </w:r>
          </w:p>
        </w:tc>
        <w:tc>
          <w:tcPr>
            <w:tcW w:w="1276" w:type="dxa"/>
          </w:tcPr>
          <w:p w:rsidR="00C805A4" w:rsidRPr="00BB48B7" w:rsidRDefault="00C805A4" w:rsidP="00C26596">
            <w:pPr>
              <w:jc w:val="center"/>
              <w:rPr>
                <w:b/>
              </w:rPr>
            </w:pPr>
            <w:r w:rsidRPr="00BB48B7">
              <w:rPr>
                <w:b/>
              </w:rPr>
              <w:t>0</w:t>
            </w:r>
          </w:p>
        </w:tc>
        <w:tc>
          <w:tcPr>
            <w:tcW w:w="1559" w:type="dxa"/>
          </w:tcPr>
          <w:p w:rsidR="00C805A4" w:rsidRPr="00BB48B7" w:rsidRDefault="00C805A4" w:rsidP="00C26596">
            <w:pPr>
              <w:jc w:val="center"/>
              <w:rPr>
                <w:b/>
              </w:rPr>
            </w:pPr>
            <w:r w:rsidRPr="00BB48B7">
              <w:rPr>
                <w:b/>
              </w:rPr>
              <w:t>0</w:t>
            </w:r>
          </w:p>
        </w:tc>
      </w:tr>
      <w:tr w:rsidR="00C805A4" w:rsidRPr="0012135F" w:rsidTr="003A3755">
        <w:trPr>
          <w:gridAfter w:val="1"/>
          <w:wAfter w:w="344" w:type="dxa"/>
          <w:jc w:val="center"/>
        </w:trPr>
        <w:tc>
          <w:tcPr>
            <w:tcW w:w="2661" w:type="dxa"/>
            <w:gridSpan w:val="3"/>
          </w:tcPr>
          <w:p w:rsidR="00C805A4" w:rsidRPr="00BB48B7" w:rsidRDefault="00C805A4" w:rsidP="00C26596">
            <w:pPr>
              <w:jc w:val="both"/>
            </w:pPr>
            <w:r w:rsidRPr="00BB48B7">
              <w:t>5.1. valsts pamatbudžets</w:t>
            </w:r>
          </w:p>
        </w:tc>
        <w:tc>
          <w:tcPr>
            <w:tcW w:w="1276" w:type="dxa"/>
            <w:gridSpan w:val="2"/>
            <w:vMerge/>
          </w:tcPr>
          <w:p w:rsidR="00C805A4" w:rsidRPr="00BB48B7" w:rsidRDefault="00C805A4" w:rsidP="00C26596">
            <w:pPr>
              <w:jc w:val="both"/>
            </w:pPr>
          </w:p>
        </w:tc>
        <w:tc>
          <w:tcPr>
            <w:tcW w:w="1417"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559" w:type="dxa"/>
          </w:tcPr>
          <w:p w:rsidR="00C805A4" w:rsidRPr="00BB48B7" w:rsidRDefault="00C805A4" w:rsidP="00C26596">
            <w:pPr>
              <w:jc w:val="center"/>
            </w:pPr>
            <w:r w:rsidRPr="00BB48B7">
              <w:t>0</w:t>
            </w:r>
          </w:p>
        </w:tc>
      </w:tr>
      <w:tr w:rsidR="00C805A4" w:rsidRPr="0012135F" w:rsidTr="003A3755">
        <w:trPr>
          <w:gridAfter w:val="1"/>
          <w:wAfter w:w="344" w:type="dxa"/>
          <w:jc w:val="center"/>
        </w:trPr>
        <w:tc>
          <w:tcPr>
            <w:tcW w:w="2661" w:type="dxa"/>
            <w:gridSpan w:val="3"/>
          </w:tcPr>
          <w:p w:rsidR="00C805A4" w:rsidRPr="00BB48B7" w:rsidRDefault="00C805A4" w:rsidP="00C26596">
            <w:pPr>
              <w:jc w:val="both"/>
            </w:pPr>
            <w:r w:rsidRPr="00BB48B7">
              <w:t>5.2. speciālais budžets</w:t>
            </w:r>
          </w:p>
        </w:tc>
        <w:tc>
          <w:tcPr>
            <w:tcW w:w="1276" w:type="dxa"/>
            <w:gridSpan w:val="2"/>
            <w:vMerge/>
          </w:tcPr>
          <w:p w:rsidR="00C805A4" w:rsidRPr="00BB48B7" w:rsidRDefault="00C805A4" w:rsidP="00C26596">
            <w:pPr>
              <w:jc w:val="both"/>
            </w:pPr>
          </w:p>
        </w:tc>
        <w:tc>
          <w:tcPr>
            <w:tcW w:w="1417"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559" w:type="dxa"/>
          </w:tcPr>
          <w:p w:rsidR="00C805A4" w:rsidRPr="00BB48B7" w:rsidRDefault="00C805A4" w:rsidP="00C26596">
            <w:pPr>
              <w:jc w:val="center"/>
            </w:pPr>
            <w:r w:rsidRPr="00BB48B7">
              <w:t>0</w:t>
            </w:r>
          </w:p>
        </w:tc>
      </w:tr>
      <w:tr w:rsidR="00C805A4" w:rsidRPr="0012135F" w:rsidTr="003A3755">
        <w:trPr>
          <w:gridAfter w:val="1"/>
          <w:wAfter w:w="344" w:type="dxa"/>
          <w:jc w:val="center"/>
        </w:trPr>
        <w:tc>
          <w:tcPr>
            <w:tcW w:w="2661" w:type="dxa"/>
            <w:gridSpan w:val="3"/>
          </w:tcPr>
          <w:p w:rsidR="00C805A4" w:rsidRPr="00BB48B7" w:rsidRDefault="00C805A4" w:rsidP="00C26596">
            <w:pPr>
              <w:jc w:val="both"/>
            </w:pPr>
            <w:r w:rsidRPr="00BB48B7">
              <w:t> 5.3. pašvaldību budžets</w:t>
            </w:r>
          </w:p>
        </w:tc>
        <w:tc>
          <w:tcPr>
            <w:tcW w:w="1276" w:type="dxa"/>
            <w:gridSpan w:val="2"/>
            <w:vMerge/>
          </w:tcPr>
          <w:p w:rsidR="00C805A4" w:rsidRPr="00BB48B7" w:rsidRDefault="00C805A4" w:rsidP="00C26596">
            <w:pPr>
              <w:jc w:val="both"/>
            </w:pPr>
          </w:p>
        </w:tc>
        <w:tc>
          <w:tcPr>
            <w:tcW w:w="1417"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276" w:type="dxa"/>
          </w:tcPr>
          <w:p w:rsidR="00C805A4" w:rsidRPr="00BB48B7" w:rsidRDefault="00C805A4" w:rsidP="00C26596">
            <w:pPr>
              <w:jc w:val="center"/>
            </w:pPr>
            <w:r w:rsidRPr="00BB48B7">
              <w:t>0</w:t>
            </w:r>
          </w:p>
        </w:tc>
        <w:tc>
          <w:tcPr>
            <w:tcW w:w="1559" w:type="dxa"/>
          </w:tcPr>
          <w:p w:rsidR="00C805A4" w:rsidRPr="00BB48B7" w:rsidRDefault="00C805A4" w:rsidP="00C26596">
            <w:pPr>
              <w:jc w:val="center"/>
            </w:pPr>
            <w:r w:rsidRPr="00BB48B7">
              <w:t>0</w:t>
            </w:r>
          </w:p>
        </w:tc>
      </w:tr>
      <w:tr w:rsidR="00C805A4" w:rsidRPr="0012135F" w:rsidTr="003A3755">
        <w:trPr>
          <w:gridAfter w:val="1"/>
          <w:wAfter w:w="344" w:type="dxa"/>
          <w:jc w:val="center"/>
        </w:trPr>
        <w:tc>
          <w:tcPr>
            <w:tcW w:w="2661" w:type="dxa"/>
            <w:gridSpan w:val="3"/>
          </w:tcPr>
          <w:p w:rsidR="00C805A4" w:rsidRPr="00BB48B7" w:rsidRDefault="00C805A4" w:rsidP="00C26596">
            <w:r w:rsidRPr="00BB48B7">
              <w:t>6. Detalizēts ieņēmumu un izdevu</w:t>
            </w:r>
            <w:r w:rsidRPr="00BB48B7">
              <w:softHyphen/>
              <w:t>mu aprēķins (ja nepieciešams, detalizētu ieņēmumu un izdevumu aprēķinu var pievienot anotācijas pielikumā):</w:t>
            </w:r>
          </w:p>
          <w:p w:rsidR="00C805A4" w:rsidRPr="00BB48B7" w:rsidRDefault="00C805A4" w:rsidP="00C26596">
            <w:pPr>
              <w:rPr>
                <w:sz w:val="22"/>
                <w:szCs w:val="22"/>
              </w:rPr>
            </w:pPr>
            <w:r w:rsidRPr="00BB48B7">
              <w:rPr>
                <w:sz w:val="22"/>
                <w:szCs w:val="22"/>
              </w:rPr>
              <w:t>6.1. detalizēts ieņēmumu aprēķins</w:t>
            </w:r>
          </w:p>
          <w:p w:rsidR="00C805A4" w:rsidRPr="00BB48B7" w:rsidRDefault="00C805A4" w:rsidP="00C26596">
            <w:r w:rsidRPr="00BB48B7">
              <w:rPr>
                <w:sz w:val="22"/>
                <w:szCs w:val="22"/>
              </w:rPr>
              <w:t>6.2. detalizēts izdevumu aprēķins</w:t>
            </w:r>
          </w:p>
        </w:tc>
        <w:tc>
          <w:tcPr>
            <w:tcW w:w="6804" w:type="dxa"/>
            <w:gridSpan w:val="6"/>
          </w:tcPr>
          <w:p w:rsidR="00C805A4" w:rsidRPr="00BB48B7" w:rsidRDefault="00C805A4" w:rsidP="00C26596">
            <w:pPr>
              <w:spacing w:before="120" w:after="120"/>
              <w:jc w:val="both"/>
            </w:pPr>
            <w:r w:rsidRPr="00BB48B7">
              <w:t xml:space="preserve"> Atbilstoši likumam „Par valsts budžetu 2011.gadam” ar 2011.gada 29.aprīlī izsludinātajiem grozījumiem reorganizējamām iestādēm 2011.gadā paredzēts sekojošs finansējums:</w:t>
            </w:r>
          </w:p>
          <w:p w:rsidR="00C805A4" w:rsidRPr="00BB48B7" w:rsidRDefault="00C805A4" w:rsidP="00C26596">
            <w:pPr>
              <w:jc w:val="both"/>
            </w:pPr>
            <w:r w:rsidRPr="00BB48B7">
              <w:t>1) </w:t>
            </w:r>
            <w:r w:rsidR="00BB48B7">
              <w:rPr>
                <w:u w:val="single"/>
              </w:rPr>
              <w:t>N</w:t>
            </w:r>
            <w:r w:rsidRPr="00BB48B7">
              <w:rPr>
                <w:u w:val="single"/>
              </w:rPr>
              <w:t>orēķinu centram</w:t>
            </w:r>
            <w:r w:rsidRPr="00BB48B7">
              <w:t xml:space="preserve"> valsts budžeta </w:t>
            </w:r>
            <w:r w:rsidRPr="00BB48B7">
              <w:rPr>
                <w:u w:val="single"/>
              </w:rPr>
              <w:t>programmā 45.00.00</w:t>
            </w:r>
            <w:r w:rsidRPr="00BB48B7">
              <w:t xml:space="preserve"> „Ārstniecības finansējuma administrēšana” – lai nodrošinātu līgumu slēgšanu ar ārstniecības iestādēm par valsts budžeta apmaksāto stacionāro un ambulatoro veselības aprūpes pakalpojumu sniegšanu no valsts un ārvalstu līdzekļiem, veiktu starptautiskos norēķinus par ārstniecības pakalpojumu sniegšanu Latvijas iedzīvotājiem ārvalstīs, nodrošinātu kompensējamo un centralizēti iepērkamo medikamentu pieejamību pacientiem (tai skaitā bērniem reto slimību ārstēšanai):</w:t>
            </w:r>
          </w:p>
          <w:p w:rsidR="00C805A4" w:rsidRPr="00BB48B7" w:rsidRDefault="00C805A4" w:rsidP="00C26596">
            <w:pPr>
              <w:jc w:val="both"/>
            </w:pPr>
            <w:r w:rsidRPr="00BB48B7">
              <w:rPr>
                <w:u w:val="single"/>
              </w:rPr>
              <w:t>resursi izdevumu segšanai - 3 000 737 lati</w:t>
            </w:r>
            <w:r w:rsidRPr="00BB48B7">
              <w:t>, tai skaitā, dotācija no vispārējiem ieņēmumiem 2 885 737 lati un ieņēmumi no maksas pakalpojumiem un citi pašu ieņēmumi 115 </w:t>
            </w:r>
            <w:smartTag w:uri="schemas-tilde-lv/tildestengine" w:element="currency2">
              <w:smartTagPr>
                <w:attr w:name="currency_text" w:val="lati"/>
                <w:attr w:name="currency_value" w:val="000"/>
                <w:attr w:name="currency_key" w:val="LVL"/>
                <w:attr w:name="currency_id" w:val="48"/>
              </w:smartTagPr>
              <w:r w:rsidRPr="00BB48B7">
                <w:t>000 lati;</w:t>
              </w:r>
            </w:smartTag>
          </w:p>
          <w:p w:rsidR="00C805A4" w:rsidRPr="00BB48B7" w:rsidRDefault="00C805A4" w:rsidP="00C26596">
            <w:pPr>
              <w:jc w:val="both"/>
            </w:pPr>
            <w:r w:rsidRPr="00BB48B7">
              <w:rPr>
                <w:u w:val="single"/>
              </w:rPr>
              <w:t>izdevumi - 3 068 218 lati</w:t>
            </w:r>
            <w:r w:rsidRPr="00BB48B7">
              <w:t xml:space="preserve">, ņemot vērā maksas pakalpojumu un citu </w:t>
            </w:r>
            <w:r w:rsidRPr="00BB48B7">
              <w:lastRenderedPageBreak/>
              <w:t>pašu ieņēmumu 2010.gada naudas līdzekļu atlikumu 67 481 latu apmērā.</w:t>
            </w:r>
          </w:p>
          <w:p w:rsidR="00C805A4" w:rsidRPr="00BB48B7" w:rsidRDefault="00C805A4" w:rsidP="00C26596">
            <w:pPr>
              <w:jc w:val="both"/>
              <w:rPr>
                <w:sz w:val="16"/>
                <w:szCs w:val="16"/>
              </w:rPr>
            </w:pPr>
          </w:p>
          <w:p w:rsidR="00C805A4" w:rsidRPr="00BB48B7" w:rsidRDefault="00C805A4" w:rsidP="00C26596">
            <w:pPr>
              <w:jc w:val="both"/>
            </w:pPr>
            <w:r w:rsidRPr="00BB48B7">
              <w:t>2) </w:t>
            </w:r>
            <w:r w:rsidR="00BB48B7">
              <w:t>E</w:t>
            </w:r>
            <w:r w:rsidRPr="00BB48B7">
              <w:rPr>
                <w:u w:val="single"/>
              </w:rPr>
              <w:t>konomikas centram</w:t>
            </w:r>
            <w:r w:rsidRPr="00BB48B7">
              <w:t xml:space="preserve"> valsts budžeta </w:t>
            </w:r>
            <w:r w:rsidRPr="00BB48B7">
              <w:rPr>
                <w:u w:val="single"/>
              </w:rPr>
              <w:t>programmā 47.00.00</w:t>
            </w:r>
            <w:r w:rsidRPr="00BB48B7">
              <w:t xml:space="preserve"> „Veselības aprūpes ekonomiskā novērtēšana” – lai nodrošinātu valsts budžeta apmaksāto veselības aprūpes pakalpojumu tarifu izstrādi, zāļu, medicīnisko ierīču un medicīnisko tehnoloģiju kompensācijas sistēmas administrēšanu un sabiedrības veselības rādītāju monitorēšanu:</w:t>
            </w:r>
          </w:p>
          <w:p w:rsidR="00C805A4" w:rsidRPr="00BB48B7" w:rsidRDefault="00C805A4" w:rsidP="00C26596">
            <w:pPr>
              <w:jc w:val="both"/>
            </w:pPr>
            <w:r w:rsidRPr="00BB48B7">
              <w:rPr>
                <w:u w:val="single"/>
              </w:rPr>
              <w:t>resursi izdevumu segšanai - 1 253 125 lati</w:t>
            </w:r>
            <w:r w:rsidRPr="00BB48B7">
              <w:t>, tai skaitā, dotācija no vispārējiem ieņēmumiem 524 972 lati un ieņēmumi no maksas pakalpojumiem un citi pašu ieņēmumi 728 153 lati;</w:t>
            </w:r>
          </w:p>
          <w:p w:rsidR="00C805A4" w:rsidRPr="00BB48B7" w:rsidRDefault="00C805A4" w:rsidP="00C26596">
            <w:pPr>
              <w:jc w:val="both"/>
            </w:pPr>
            <w:r w:rsidRPr="00BB48B7">
              <w:rPr>
                <w:u w:val="single"/>
              </w:rPr>
              <w:t>izdevumi - 1 253 125 lati</w:t>
            </w:r>
            <w:r w:rsidRPr="00BB48B7">
              <w:t xml:space="preserve">. </w:t>
            </w:r>
          </w:p>
          <w:p w:rsidR="00C805A4" w:rsidRPr="00BB48B7" w:rsidRDefault="00C805A4" w:rsidP="00C26596">
            <w:pPr>
              <w:jc w:val="both"/>
              <w:rPr>
                <w:sz w:val="16"/>
                <w:szCs w:val="16"/>
              </w:rPr>
            </w:pPr>
          </w:p>
          <w:p w:rsidR="00C805A4" w:rsidRPr="00BB48B7" w:rsidRDefault="00C805A4" w:rsidP="00C26596">
            <w:pPr>
              <w:jc w:val="both"/>
            </w:pPr>
            <w:r w:rsidRPr="00BB48B7">
              <w:t>3) </w:t>
            </w:r>
            <w:r w:rsidR="00BB48B7">
              <w:rPr>
                <w:u w:val="single"/>
              </w:rPr>
              <w:t>Ek</w:t>
            </w:r>
            <w:r w:rsidRPr="00BB48B7">
              <w:rPr>
                <w:u w:val="single"/>
              </w:rPr>
              <w:t>onomikas centram</w:t>
            </w:r>
            <w:r w:rsidRPr="00BB48B7">
              <w:t xml:space="preserve"> valsts budžeta </w:t>
            </w:r>
            <w:r w:rsidRPr="00BB48B7">
              <w:rPr>
                <w:u w:val="single"/>
              </w:rPr>
              <w:t>programmā 40.00.00</w:t>
            </w:r>
            <w:r w:rsidRPr="00BB48B7">
              <w:t xml:space="preserve"> „E-veselības pamatnostādņu ieviešana” – lai nodrošinātu e-veselības risinājumu izstrādi un ieviešanu veselības aprūpes nozarē:</w:t>
            </w:r>
          </w:p>
          <w:p w:rsidR="00C805A4" w:rsidRPr="00BB48B7" w:rsidRDefault="00C805A4" w:rsidP="00C26596">
            <w:pPr>
              <w:jc w:val="both"/>
            </w:pPr>
            <w:r w:rsidRPr="00BB48B7">
              <w:rPr>
                <w:u w:val="single"/>
              </w:rPr>
              <w:t>resursi izdevumu segšanai – 103 094 lati</w:t>
            </w:r>
            <w:r w:rsidRPr="00BB48B7">
              <w:t xml:space="preserve">, tai skaitā, dotācija no vispārējiem ieņēmumiem 103 094 lati; </w:t>
            </w:r>
          </w:p>
          <w:p w:rsidR="00C805A4" w:rsidRPr="00BB48B7" w:rsidRDefault="00C805A4" w:rsidP="00C26596">
            <w:pPr>
              <w:jc w:val="both"/>
            </w:pPr>
            <w:r w:rsidRPr="00BB48B7">
              <w:rPr>
                <w:u w:val="single"/>
              </w:rPr>
              <w:t>izdevumi – 103 094 lati</w:t>
            </w:r>
            <w:r w:rsidRPr="00BB48B7">
              <w:t>.</w:t>
            </w:r>
          </w:p>
          <w:p w:rsidR="00C805A4" w:rsidRPr="00BB48B7" w:rsidRDefault="00C805A4" w:rsidP="00C26596">
            <w:pPr>
              <w:jc w:val="both"/>
            </w:pPr>
          </w:p>
          <w:p w:rsidR="00C805A4" w:rsidRPr="00BB48B7" w:rsidRDefault="00C805A4" w:rsidP="00C26596">
            <w:pPr>
              <w:jc w:val="both"/>
            </w:pPr>
            <w:r w:rsidRPr="00BB48B7">
              <w:t>Tādējādi reorganizējamo iestāžu kopējais finansējums 2011.gadā atbilstoši plānam ir:</w:t>
            </w:r>
          </w:p>
          <w:p w:rsidR="00C805A4" w:rsidRPr="00BB48B7" w:rsidRDefault="00C805A4" w:rsidP="00C26596">
            <w:pPr>
              <w:jc w:val="both"/>
            </w:pPr>
            <w:r w:rsidRPr="00BB48B7">
              <w:t>resursi izdevumu segšanai – 4 356 956 lati, tai skaitā, dotācija no vispārējiem ieņēmumiem 3 513 803 lati un ieņēmumi no maksas pakalpojumiem un citi pašu ieņēmumi 843 153 lati;</w:t>
            </w:r>
          </w:p>
          <w:p w:rsidR="00C805A4" w:rsidRPr="00BB48B7" w:rsidRDefault="00C805A4" w:rsidP="00C26596">
            <w:pPr>
              <w:jc w:val="both"/>
            </w:pPr>
            <w:r w:rsidRPr="00BB48B7">
              <w:t>izdevumi – 4 424 437 lati, ņemot vērā maksas pakalpojumu un citu pašu ieņēmumu 2010.gada naudas līdzekļu atlikumu 67 481 latu apmērā.</w:t>
            </w:r>
          </w:p>
          <w:p w:rsidR="00C805A4" w:rsidRPr="00BB48B7" w:rsidRDefault="00C805A4" w:rsidP="00C26596">
            <w:pPr>
              <w:jc w:val="both"/>
            </w:pPr>
          </w:p>
          <w:p w:rsidR="00C805A4" w:rsidRPr="00BB48B7" w:rsidRDefault="00C805A4" w:rsidP="00C26596">
            <w:pPr>
              <w:jc w:val="both"/>
            </w:pPr>
            <w:r w:rsidRPr="00BB48B7">
              <w:t xml:space="preserve">Ņemot vērā, ka reorganizāciju paredzēts veikt </w:t>
            </w:r>
            <w:r w:rsidRPr="00BB48B7">
              <w:rPr>
                <w:u w:val="single"/>
              </w:rPr>
              <w:t xml:space="preserve">ar 2011.gada </w:t>
            </w:r>
            <w:r w:rsidRPr="00BB48B7">
              <w:rPr>
                <w:b/>
                <w:u w:val="single"/>
              </w:rPr>
              <w:t>1.novembri</w:t>
            </w:r>
            <w:r w:rsidRPr="00BB48B7">
              <w:t>, finansējuma sadalījums atbilstoši spēkā esošajiem 2011.gada finansēšanas plāniem būtu sekojošs:</w:t>
            </w:r>
          </w:p>
          <w:p w:rsidR="00C805A4" w:rsidRPr="00BB48B7" w:rsidRDefault="00C805A4" w:rsidP="00C26596">
            <w:pPr>
              <w:jc w:val="both"/>
            </w:pPr>
          </w:p>
          <w:p w:rsidR="00C805A4" w:rsidRPr="00BB48B7" w:rsidRDefault="00C805A4" w:rsidP="00C26596">
            <w:pPr>
              <w:jc w:val="both"/>
            </w:pPr>
            <w:r w:rsidRPr="00BB48B7">
              <w:t>1) </w:t>
            </w:r>
            <w:r w:rsidR="00BB48B7">
              <w:rPr>
                <w:u w:val="single"/>
              </w:rPr>
              <w:t>N</w:t>
            </w:r>
            <w:r w:rsidRPr="00BB48B7">
              <w:rPr>
                <w:u w:val="single"/>
              </w:rPr>
              <w:t>orēķinu centram</w:t>
            </w:r>
            <w:r w:rsidRPr="00BB48B7">
              <w:t xml:space="preserve"> valsts budžeta </w:t>
            </w:r>
            <w:r w:rsidRPr="00BB48B7">
              <w:rPr>
                <w:u w:val="single"/>
              </w:rPr>
              <w:t>programmā 45.00.00</w:t>
            </w:r>
            <w:r w:rsidRPr="00BB48B7">
              <w:t xml:space="preserve"> „Ārstniecības finansējuma administrēšana” – </w:t>
            </w:r>
            <w:r w:rsidRPr="00BB48B7">
              <w:rPr>
                <w:u w:val="single"/>
              </w:rPr>
              <w:t>10 mēnešos</w:t>
            </w:r>
            <w:r w:rsidRPr="00BB48B7">
              <w:t>:</w:t>
            </w:r>
          </w:p>
          <w:p w:rsidR="00C805A4" w:rsidRPr="00BB48B7" w:rsidRDefault="00C805A4" w:rsidP="00C26596">
            <w:pPr>
              <w:jc w:val="both"/>
            </w:pPr>
            <w:r w:rsidRPr="00BB48B7">
              <w:rPr>
                <w:u w:val="single"/>
              </w:rPr>
              <w:t>resursi izdevumu segšanai - 2 492 904 lati</w:t>
            </w:r>
            <w:r w:rsidRPr="00BB48B7">
              <w:t>, tai skaitā, dotācija no vispārējiem ieņēmumiem 2 395 139 lati un ieņēmumi no maksas pakalpojumiem un citi pašu ieņēmumi 97 765 lati;</w:t>
            </w:r>
          </w:p>
          <w:p w:rsidR="00C805A4" w:rsidRPr="00BB48B7" w:rsidRDefault="00C805A4" w:rsidP="00C26596">
            <w:pPr>
              <w:jc w:val="both"/>
            </w:pPr>
            <w:r w:rsidRPr="00BB48B7">
              <w:rPr>
                <w:u w:val="single"/>
              </w:rPr>
              <w:t>izdevumi - 2 504 529 lati</w:t>
            </w:r>
            <w:r w:rsidRPr="00BB48B7">
              <w:t>, ņemot vērā maksas pakalpojumu un citu pašu ieņēmumu 2010.gada naudas līdzekļu atlikuma 10 mēnešiem plānoto daļu 11 625 latu apmērā.</w:t>
            </w:r>
          </w:p>
          <w:p w:rsidR="00C805A4" w:rsidRPr="00BB48B7" w:rsidRDefault="00C805A4" w:rsidP="00C26596">
            <w:pPr>
              <w:jc w:val="both"/>
            </w:pPr>
          </w:p>
          <w:p w:rsidR="00C805A4" w:rsidRPr="00BB48B7" w:rsidRDefault="00C805A4" w:rsidP="00C26596">
            <w:pPr>
              <w:jc w:val="both"/>
            </w:pPr>
            <w:r w:rsidRPr="00BB48B7">
              <w:t>2) </w:t>
            </w:r>
            <w:r w:rsidR="00BB48B7">
              <w:t>E</w:t>
            </w:r>
            <w:r w:rsidRPr="00BB48B7">
              <w:rPr>
                <w:u w:val="single"/>
              </w:rPr>
              <w:t>konomikas centram</w:t>
            </w:r>
            <w:r w:rsidRPr="00BB48B7">
              <w:t xml:space="preserve"> valsts budžeta </w:t>
            </w:r>
            <w:r w:rsidRPr="00BB48B7">
              <w:rPr>
                <w:u w:val="single"/>
              </w:rPr>
              <w:t>programmā 47.00.00</w:t>
            </w:r>
            <w:r w:rsidRPr="00BB48B7">
              <w:t xml:space="preserve"> „Veselības aprūpes ekonomiskā novērtēšana” – </w:t>
            </w:r>
            <w:r w:rsidRPr="00BB48B7">
              <w:rPr>
                <w:u w:val="single"/>
              </w:rPr>
              <w:t>10 mēnešos</w:t>
            </w:r>
            <w:r w:rsidRPr="00BB48B7">
              <w:t>:</w:t>
            </w:r>
          </w:p>
          <w:p w:rsidR="00C805A4" w:rsidRPr="00BB48B7" w:rsidRDefault="00C805A4" w:rsidP="00C26596">
            <w:pPr>
              <w:jc w:val="both"/>
            </w:pPr>
            <w:r w:rsidRPr="00BB48B7">
              <w:rPr>
                <w:u w:val="single"/>
              </w:rPr>
              <w:t>resursi izdevumu segšanai – 1 023 339 lati</w:t>
            </w:r>
            <w:r w:rsidRPr="00BB48B7">
              <w:t>, tai skaitā, dotācija no vispārējiem ieņēmumiem 434 072 lati un ieņēmumi no maksas pakalpojumiem un citi pašu ieņēmumi 589 267 lati;</w:t>
            </w:r>
          </w:p>
          <w:p w:rsidR="00C805A4" w:rsidRPr="00BB48B7" w:rsidRDefault="00C805A4" w:rsidP="00C26596">
            <w:pPr>
              <w:jc w:val="both"/>
            </w:pPr>
            <w:r w:rsidRPr="00BB48B7">
              <w:rPr>
                <w:u w:val="single"/>
              </w:rPr>
              <w:t>izdevumi – 1 023 339 lati</w:t>
            </w:r>
            <w:r w:rsidRPr="00BB48B7">
              <w:t xml:space="preserve">. </w:t>
            </w:r>
          </w:p>
          <w:p w:rsidR="00C805A4" w:rsidRPr="00BB48B7" w:rsidRDefault="00C805A4" w:rsidP="00C26596">
            <w:pPr>
              <w:jc w:val="both"/>
            </w:pPr>
          </w:p>
          <w:p w:rsidR="00C805A4" w:rsidRPr="00BB48B7" w:rsidRDefault="00C805A4" w:rsidP="00C26596">
            <w:pPr>
              <w:jc w:val="both"/>
            </w:pPr>
            <w:r w:rsidRPr="00BB48B7">
              <w:t>3) </w:t>
            </w:r>
            <w:r w:rsidR="00BB48B7">
              <w:rPr>
                <w:u w:val="single"/>
              </w:rPr>
              <w:t>E</w:t>
            </w:r>
            <w:r w:rsidRPr="00BB48B7">
              <w:rPr>
                <w:u w:val="single"/>
              </w:rPr>
              <w:t>konomikas centram</w:t>
            </w:r>
            <w:r w:rsidRPr="00BB48B7">
              <w:t xml:space="preserve"> valsts budžeta </w:t>
            </w:r>
            <w:r w:rsidRPr="00BB48B7">
              <w:rPr>
                <w:u w:val="single"/>
              </w:rPr>
              <w:t>programmā 40.00.00</w:t>
            </w:r>
            <w:r w:rsidRPr="00BB48B7">
              <w:t xml:space="preserve"> „E-veselības pamatnostādņu ieviešana” – </w:t>
            </w:r>
            <w:r w:rsidRPr="00BB48B7">
              <w:rPr>
                <w:u w:val="single"/>
              </w:rPr>
              <w:t>10 mēnešos</w:t>
            </w:r>
            <w:r w:rsidRPr="00BB48B7">
              <w:t>:</w:t>
            </w:r>
          </w:p>
          <w:p w:rsidR="00C805A4" w:rsidRPr="00BB48B7" w:rsidRDefault="00C805A4" w:rsidP="00C26596">
            <w:pPr>
              <w:jc w:val="both"/>
            </w:pPr>
            <w:r w:rsidRPr="00BB48B7">
              <w:rPr>
                <w:u w:val="single"/>
              </w:rPr>
              <w:lastRenderedPageBreak/>
              <w:t>resursi izdevumu segšanai – 86 496 lati</w:t>
            </w:r>
            <w:r w:rsidRPr="00BB48B7">
              <w:t xml:space="preserve">, tai skaitā, dotācija no vispārējiem ieņēmumiem 86 496 lati; </w:t>
            </w:r>
          </w:p>
          <w:p w:rsidR="00C805A4" w:rsidRPr="00BB48B7" w:rsidRDefault="00C805A4" w:rsidP="00C26596">
            <w:pPr>
              <w:jc w:val="both"/>
            </w:pPr>
            <w:r w:rsidRPr="00BB48B7">
              <w:rPr>
                <w:u w:val="single"/>
              </w:rPr>
              <w:t>izdevumi – 86 496 lati</w:t>
            </w:r>
            <w:r w:rsidRPr="00BB48B7">
              <w:t>.</w:t>
            </w:r>
          </w:p>
          <w:p w:rsidR="00C805A4" w:rsidRPr="00BB48B7" w:rsidRDefault="00C805A4" w:rsidP="00C26596">
            <w:pPr>
              <w:jc w:val="both"/>
            </w:pPr>
          </w:p>
          <w:p w:rsidR="00C805A4" w:rsidRPr="00BB48B7" w:rsidRDefault="00C805A4" w:rsidP="00C26596">
            <w:pPr>
              <w:jc w:val="both"/>
            </w:pPr>
            <w:r w:rsidRPr="00BB48B7">
              <w:rPr>
                <w:u w:val="single"/>
              </w:rPr>
              <w:t>Jaunizveidotajai iestādei - dienestam 2011.gada divos mēnešos</w:t>
            </w:r>
            <w:r w:rsidRPr="00BB48B7">
              <w:t xml:space="preserve"> būtu sekojošs finansējums:</w:t>
            </w:r>
          </w:p>
          <w:p w:rsidR="00C805A4" w:rsidRPr="00BB48B7" w:rsidRDefault="00C805A4" w:rsidP="00C26596">
            <w:pPr>
              <w:jc w:val="both"/>
            </w:pPr>
            <w:r w:rsidRPr="00BB48B7">
              <w:rPr>
                <w:u w:val="single"/>
              </w:rPr>
              <w:t>resursi izdevumu segšanai – 754 217 lati</w:t>
            </w:r>
            <w:r w:rsidRPr="00BB48B7">
              <w:t>, tai skaitā, dotācija no vispārējiem ieņēmumiem 598 096 lati un ieņēmumi no maksas pakalpojumiem un citi pašu ieņēmumi 156 121 lati;</w:t>
            </w:r>
          </w:p>
          <w:p w:rsidR="00C805A4" w:rsidRPr="00BB48B7" w:rsidRDefault="00C805A4" w:rsidP="00C26596">
            <w:pPr>
              <w:jc w:val="both"/>
            </w:pPr>
            <w:r w:rsidRPr="00BB48B7">
              <w:rPr>
                <w:u w:val="single"/>
              </w:rPr>
              <w:t>izdevumi – 810 073 lati</w:t>
            </w:r>
            <w:r w:rsidRPr="00BB48B7">
              <w:t>, ņemot vērā maksas pakalpojumu un citu pašu ieņēmumu 2010.gada naudas līdzekļu atlikuma 2 mēnešiem plānoto daļu 55 856 latu apmērā.</w:t>
            </w:r>
          </w:p>
          <w:p w:rsidR="00C805A4" w:rsidRPr="00BB48B7" w:rsidRDefault="00C805A4" w:rsidP="00C26596">
            <w:pPr>
              <w:jc w:val="both"/>
            </w:pPr>
          </w:p>
          <w:p w:rsidR="00C805A4" w:rsidRPr="00BB48B7" w:rsidRDefault="00C805A4" w:rsidP="00C26596">
            <w:pPr>
              <w:jc w:val="both"/>
            </w:pPr>
            <w:r w:rsidRPr="00BB48B7">
              <w:t>Finansējuma 2011.gada diviem mēnešiem 810 073 lati sadalījums pa izdevumu kodiem atbilstoši ekonomiskajām kategorijām:</w:t>
            </w:r>
          </w:p>
          <w:p w:rsidR="00C805A4" w:rsidRPr="00BB48B7" w:rsidRDefault="00C805A4" w:rsidP="00C26596">
            <w:pPr>
              <w:autoSpaceDE w:val="0"/>
              <w:autoSpaceDN w:val="0"/>
              <w:adjustRightInd w:val="0"/>
              <w:rPr>
                <w:lang w:val="de-DE"/>
              </w:rPr>
            </w:pPr>
            <w:r w:rsidRPr="00BB48B7">
              <w:rPr>
                <w:lang w:val="de-DE"/>
              </w:rPr>
              <w:t>Atlīdzība (1000) -  372 262 lati;</w:t>
            </w:r>
          </w:p>
          <w:p w:rsidR="00C805A4" w:rsidRPr="00BB48B7" w:rsidRDefault="00C805A4" w:rsidP="00C26596">
            <w:pPr>
              <w:autoSpaceDE w:val="0"/>
              <w:autoSpaceDN w:val="0"/>
              <w:adjustRightInd w:val="0"/>
              <w:rPr>
                <w:lang w:val="de-DE"/>
              </w:rPr>
            </w:pPr>
            <w:r w:rsidRPr="00BB48B7">
              <w:rPr>
                <w:lang w:val="de-DE"/>
              </w:rPr>
              <w:t xml:space="preserve">   Atalgojums (1100) - 286 446 lati;</w:t>
            </w:r>
          </w:p>
          <w:p w:rsidR="00C805A4" w:rsidRPr="00BB48B7" w:rsidRDefault="00C805A4" w:rsidP="00C26596">
            <w:pPr>
              <w:jc w:val="both"/>
              <w:rPr>
                <w:lang w:val="de-DE"/>
              </w:rPr>
            </w:pPr>
            <w:r w:rsidRPr="00BB48B7">
              <w:rPr>
                <w:lang w:val="de-DE"/>
              </w:rPr>
              <w:t>Preces un pakalpojumi (2000)   -  341 128 lati;</w:t>
            </w:r>
          </w:p>
          <w:p w:rsidR="00C805A4" w:rsidRPr="00BB48B7" w:rsidRDefault="00C805A4" w:rsidP="00C26596">
            <w:pPr>
              <w:jc w:val="both"/>
              <w:rPr>
                <w:lang w:val="de-DE"/>
              </w:rPr>
            </w:pPr>
            <w:r w:rsidRPr="00BB48B7">
              <w:rPr>
                <w:lang w:val="de-DE"/>
              </w:rPr>
              <w:t>Subsīdijas un dotācijas (3000) – 73 623 lati;</w:t>
            </w:r>
          </w:p>
          <w:p w:rsidR="00C805A4" w:rsidRPr="00BB48B7" w:rsidRDefault="00C805A4" w:rsidP="00C26596">
            <w:pPr>
              <w:jc w:val="both"/>
              <w:rPr>
                <w:lang w:val="de-DE"/>
              </w:rPr>
            </w:pPr>
            <w:r w:rsidRPr="00BB48B7">
              <w:rPr>
                <w:lang w:val="de-DE"/>
              </w:rPr>
              <w:t>Pamatkapitāla veidošana (5000) – 23 060 lati.</w:t>
            </w:r>
          </w:p>
          <w:p w:rsidR="00C805A4" w:rsidRPr="00BB48B7" w:rsidRDefault="00C805A4" w:rsidP="00C26596">
            <w:pPr>
              <w:jc w:val="both"/>
              <w:rPr>
                <w:lang w:val="de-DE"/>
              </w:rPr>
            </w:pPr>
          </w:p>
          <w:p w:rsidR="00C805A4" w:rsidRPr="00BB48B7" w:rsidRDefault="00C805A4" w:rsidP="00C26596">
            <w:pPr>
              <w:jc w:val="both"/>
            </w:pPr>
            <w:r w:rsidRPr="00BB48B7">
              <w:t>Atbilstoši ar Finanšu ministriju saskaņotajai nozares valsts pamatbudžeta bāzei:</w:t>
            </w:r>
          </w:p>
          <w:p w:rsidR="00C805A4" w:rsidRPr="00BB48B7" w:rsidRDefault="00C805A4" w:rsidP="00C26596">
            <w:pPr>
              <w:jc w:val="both"/>
              <w:rPr>
                <w:iCs/>
                <w:lang w:val="de-DE"/>
              </w:rPr>
            </w:pPr>
            <w:r w:rsidRPr="00BB48B7">
              <w:rPr>
                <w:iCs/>
              </w:rPr>
              <w:t>r</w:t>
            </w:r>
            <w:r w:rsidRPr="00BB48B7">
              <w:rPr>
                <w:iCs/>
                <w:lang w:val="de-DE"/>
              </w:rPr>
              <w:t xml:space="preserve">esursi izdevumu segšanai </w:t>
            </w:r>
            <w:r w:rsidR="00BB48B7">
              <w:rPr>
                <w:iCs/>
                <w:lang w:val="de-DE"/>
              </w:rPr>
              <w:t>dienestam</w:t>
            </w:r>
            <w:r w:rsidRPr="00BB48B7">
              <w:rPr>
                <w:iCs/>
                <w:lang w:val="de-DE"/>
              </w:rPr>
              <w:t xml:space="preserve"> 2012.gadā plānoti 4 324 616 latu apmērā, </w:t>
            </w:r>
            <w:r w:rsidRPr="00BB48B7">
              <w:t>tai skaitā, dotācija no vispārējiem ieņēmumiem 3 481 463 lati un ieņēmumi no maksas pakalpojumiem un citi pašu ieņēmumi 843 153 lati.</w:t>
            </w:r>
          </w:p>
          <w:p w:rsidR="00C805A4" w:rsidRPr="00BB48B7" w:rsidRDefault="00C805A4" w:rsidP="00C26596">
            <w:pPr>
              <w:jc w:val="both"/>
            </w:pPr>
            <w:r w:rsidRPr="00BB48B7">
              <w:t>Plānotā finansējuma dienestam 2012.gadam 4 324 616 latu apmērā sadalījums pa izdevumu kodiem atbilstoši ekonomiskajām kategorijām:</w:t>
            </w:r>
          </w:p>
          <w:p w:rsidR="00C805A4" w:rsidRPr="00BB48B7" w:rsidRDefault="00C805A4" w:rsidP="00C26596">
            <w:pPr>
              <w:autoSpaceDE w:val="0"/>
              <w:autoSpaceDN w:val="0"/>
              <w:adjustRightInd w:val="0"/>
              <w:rPr>
                <w:lang w:val="de-DE"/>
              </w:rPr>
            </w:pPr>
            <w:r w:rsidRPr="00BB48B7">
              <w:rPr>
                <w:lang w:val="de-DE"/>
              </w:rPr>
              <w:t>Atlīdzība (1000) -  2 127 248 lati;</w:t>
            </w:r>
          </w:p>
          <w:p w:rsidR="00C805A4" w:rsidRPr="00BB48B7" w:rsidRDefault="00C805A4" w:rsidP="00C26596">
            <w:pPr>
              <w:autoSpaceDE w:val="0"/>
              <w:autoSpaceDN w:val="0"/>
              <w:adjustRightInd w:val="0"/>
              <w:rPr>
                <w:lang w:val="de-DE"/>
              </w:rPr>
            </w:pPr>
            <w:r w:rsidRPr="00BB48B7">
              <w:rPr>
                <w:lang w:val="de-DE"/>
              </w:rPr>
              <w:t xml:space="preserve">    Atalgojums (1100) - 1 672 266 lati;</w:t>
            </w:r>
          </w:p>
          <w:p w:rsidR="00C805A4" w:rsidRPr="00BB48B7" w:rsidRDefault="00C805A4" w:rsidP="00C26596">
            <w:pPr>
              <w:autoSpaceDE w:val="0"/>
              <w:autoSpaceDN w:val="0"/>
              <w:adjustRightInd w:val="0"/>
              <w:rPr>
                <w:lang w:val="de-DE"/>
              </w:rPr>
            </w:pPr>
            <w:r w:rsidRPr="00BB48B7">
              <w:rPr>
                <w:lang w:val="de-DE"/>
              </w:rPr>
              <w:t>Preces un pakalpojumi (2000)  -  1 664 214 lati;</w:t>
            </w:r>
          </w:p>
          <w:p w:rsidR="00C805A4" w:rsidRPr="00BB48B7" w:rsidRDefault="00C805A4" w:rsidP="00C26596">
            <w:pPr>
              <w:jc w:val="both"/>
              <w:rPr>
                <w:lang w:val="de-DE"/>
              </w:rPr>
            </w:pPr>
            <w:r w:rsidRPr="00BB48B7">
              <w:rPr>
                <w:lang w:val="de-DE"/>
              </w:rPr>
              <w:t>Subsīdijas un dotācijas (3000) -  441 743 lati;</w:t>
            </w:r>
          </w:p>
          <w:p w:rsidR="00C805A4" w:rsidRPr="00BB48B7" w:rsidRDefault="00C805A4" w:rsidP="00C26596">
            <w:pPr>
              <w:jc w:val="both"/>
              <w:rPr>
                <w:lang w:val="de-DE"/>
              </w:rPr>
            </w:pPr>
            <w:r w:rsidRPr="00BB48B7">
              <w:rPr>
                <w:lang w:val="de-DE"/>
              </w:rPr>
              <w:t>Pamatkapitāla veidošana (5000) -  91 411 lati.</w:t>
            </w:r>
          </w:p>
          <w:p w:rsidR="00C805A4" w:rsidRPr="00BB48B7" w:rsidRDefault="00C805A4" w:rsidP="00C26596">
            <w:pPr>
              <w:jc w:val="both"/>
              <w:rPr>
                <w:lang w:val="de-DE"/>
              </w:rPr>
            </w:pPr>
          </w:p>
          <w:p w:rsidR="00C805A4" w:rsidRPr="00BB48B7" w:rsidRDefault="00C805A4" w:rsidP="00C26596">
            <w:pPr>
              <w:jc w:val="both"/>
              <w:rPr>
                <w:lang w:val="de-DE"/>
              </w:rPr>
            </w:pPr>
            <w:r w:rsidRPr="00BB48B7">
              <w:rPr>
                <w:lang w:val="de-DE"/>
              </w:rPr>
              <w:t xml:space="preserve">Tādējādi 2012.gadā attiecībā pret 2011.gadu </w:t>
            </w:r>
            <w:r w:rsidR="00BB48B7">
              <w:rPr>
                <w:lang w:val="de-DE"/>
              </w:rPr>
              <w:t>dienestam</w:t>
            </w:r>
            <w:r w:rsidRPr="00BB48B7">
              <w:rPr>
                <w:lang w:val="de-DE"/>
              </w:rPr>
              <w:t xml:space="preserve"> ir finansējuma samazinājums par </w:t>
            </w:r>
            <w:r w:rsidRPr="00BB48B7">
              <w:rPr>
                <w:b/>
                <w:lang w:val="de-DE"/>
              </w:rPr>
              <w:t>32 340 latiem</w:t>
            </w:r>
            <w:r w:rsidRPr="00BB48B7">
              <w:rPr>
                <w:lang w:val="de-DE"/>
              </w:rPr>
              <w:t xml:space="preserve"> = (</w:t>
            </w:r>
            <w:r w:rsidRPr="00BB48B7">
              <w:t xml:space="preserve">4 356 956 lati - </w:t>
            </w:r>
            <w:r w:rsidRPr="00BB48B7">
              <w:rPr>
                <w:iCs/>
                <w:lang w:val="de-DE"/>
              </w:rPr>
              <w:t>4 324 616 lati).</w:t>
            </w:r>
          </w:p>
          <w:p w:rsidR="00C805A4" w:rsidRPr="00BB48B7" w:rsidRDefault="00C805A4" w:rsidP="00C26596">
            <w:pPr>
              <w:jc w:val="both"/>
              <w:rPr>
                <w:iCs/>
                <w:lang w:val="de-DE"/>
              </w:rPr>
            </w:pPr>
          </w:p>
          <w:p w:rsidR="00C805A4" w:rsidRPr="00BB48B7" w:rsidRDefault="00C805A4" w:rsidP="00C26596">
            <w:pPr>
              <w:jc w:val="both"/>
              <w:rPr>
                <w:iCs/>
                <w:lang w:val="de-DE"/>
              </w:rPr>
            </w:pPr>
            <w:r w:rsidRPr="00BB48B7">
              <w:rPr>
                <w:iCs/>
                <w:lang w:val="de-DE"/>
              </w:rPr>
              <w:t xml:space="preserve">Resursi izdevumu segšanai </w:t>
            </w:r>
            <w:r w:rsidR="00BB48B7">
              <w:rPr>
                <w:iCs/>
                <w:lang w:val="de-DE"/>
              </w:rPr>
              <w:t>dienestam</w:t>
            </w:r>
            <w:r w:rsidRPr="00BB48B7">
              <w:rPr>
                <w:iCs/>
                <w:lang w:val="de-DE"/>
              </w:rPr>
              <w:t xml:space="preserve"> 2013. un 2014.gadā plānoti 4 347 006 latu apmērā, </w:t>
            </w:r>
            <w:r w:rsidRPr="00BB48B7">
              <w:t>tai skaitā, dotācija no vispārējiem ieņēmumiem 3 503 853 lati un ieņēmumi no maksas pakalpojumiem un citi pašu ieņēmumi 843 153 lati.</w:t>
            </w:r>
          </w:p>
          <w:p w:rsidR="00C805A4" w:rsidRPr="00BB48B7" w:rsidRDefault="00C805A4" w:rsidP="00C26596">
            <w:pPr>
              <w:jc w:val="both"/>
            </w:pPr>
            <w:r w:rsidRPr="00BB48B7">
              <w:t>Plānotā finansējuma dienestam 2013. un 2014.gadam 4 347 006 latu apmērā sadalījums pa izdevumu kodiem atbilstoši ekonomiskajām kategorijām:</w:t>
            </w:r>
          </w:p>
          <w:p w:rsidR="00C805A4" w:rsidRPr="00BB48B7" w:rsidRDefault="00C805A4" w:rsidP="00C26596">
            <w:pPr>
              <w:autoSpaceDE w:val="0"/>
              <w:autoSpaceDN w:val="0"/>
              <w:adjustRightInd w:val="0"/>
              <w:rPr>
                <w:lang w:val="de-DE"/>
              </w:rPr>
            </w:pPr>
            <w:r w:rsidRPr="00BB48B7">
              <w:rPr>
                <w:lang w:val="de-DE"/>
              </w:rPr>
              <w:t>Atlīdzība (1000) -  2 127 248 lati;</w:t>
            </w:r>
          </w:p>
          <w:p w:rsidR="00C805A4" w:rsidRPr="00BB48B7" w:rsidRDefault="00C805A4" w:rsidP="00C26596">
            <w:pPr>
              <w:autoSpaceDE w:val="0"/>
              <w:autoSpaceDN w:val="0"/>
              <w:adjustRightInd w:val="0"/>
              <w:rPr>
                <w:lang w:val="de-DE"/>
              </w:rPr>
            </w:pPr>
            <w:r w:rsidRPr="00BB48B7">
              <w:rPr>
                <w:lang w:val="de-DE"/>
              </w:rPr>
              <w:t xml:space="preserve">    Atalgojums (1100) - 1 672 266 lati;</w:t>
            </w:r>
          </w:p>
          <w:p w:rsidR="00C805A4" w:rsidRPr="00BB48B7" w:rsidRDefault="00C805A4" w:rsidP="00C26596">
            <w:pPr>
              <w:autoSpaceDE w:val="0"/>
              <w:autoSpaceDN w:val="0"/>
              <w:adjustRightInd w:val="0"/>
              <w:rPr>
                <w:lang w:val="de-DE"/>
              </w:rPr>
            </w:pPr>
            <w:r w:rsidRPr="00BB48B7">
              <w:rPr>
                <w:lang w:val="de-DE"/>
              </w:rPr>
              <w:t>Preces un pakalpojumi (2000)  -  1 686 604 lati;</w:t>
            </w:r>
          </w:p>
          <w:p w:rsidR="00C805A4" w:rsidRPr="00BB48B7" w:rsidRDefault="00C805A4" w:rsidP="00C26596">
            <w:pPr>
              <w:jc w:val="both"/>
              <w:rPr>
                <w:lang w:val="de-DE"/>
              </w:rPr>
            </w:pPr>
            <w:r w:rsidRPr="00BB48B7">
              <w:rPr>
                <w:lang w:val="de-DE"/>
              </w:rPr>
              <w:t>Subsīdijas un dotācijas (3000) -  441 743 lati;</w:t>
            </w:r>
          </w:p>
          <w:p w:rsidR="00C805A4" w:rsidRPr="00BB48B7" w:rsidRDefault="00C805A4" w:rsidP="00C26596">
            <w:pPr>
              <w:jc w:val="both"/>
              <w:rPr>
                <w:lang w:val="de-DE"/>
              </w:rPr>
            </w:pPr>
            <w:r w:rsidRPr="00BB48B7">
              <w:rPr>
                <w:lang w:val="de-DE"/>
              </w:rPr>
              <w:t>Pamatkapitāla veidošana (5000) -  91 411 lati.</w:t>
            </w:r>
          </w:p>
          <w:p w:rsidR="00C805A4" w:rsidRPr="00BB48B7" w:rsidRDefault="00C805A4" w:rsidP="00C26596">
            <w:pPr>
              <w:jc w:val="both"/>
            </w:pPr>
            <w:r w:rsidRPr="00BB48B7">
              <w:lastRenderedPageBreak/>
              <w:t xml:space="preserve">   </w:t>
            </w:r>
          </w:p>
          <w:p w:rsidR="00C805A4" w:rsidRPr="00BB48B7" w:rsidRDefault="00C805A4" w:rsidP="00C26596">
            <w:pPr>
              <w:jc w:val="both"/>
              <w:rPr>
                <w:lang w:val="de-DE"/>
              </w:rPr>
            </w:pPr>
            <w:r w:rsidRPr="00BB48B7">
              <w:rPr>
                <w:lang w:val="de-DE"/>
              </w:rPr>
              <w:t xml:space="preserve">Tādējādi 2013. un 2014.gadā attiecībā pret 2011.gadu NVD ir finansējuma samazinājums par </w:t>
            </w:r>
            <w:r w:rsidRPr="00BB48B7">
              <w:rPr>
                <w:b/>
                <w:lang w:val="de-DE"/>
              </w:rPr>
              <w:t>9 950 latiem</w:t>
            </w:r>
            <w:r w:rsidRPr="00BB48B7">
              <w:rPr>
                <w:lang w:val="de-DE"/>
              </w:rPr>
              <w:t xml:space="preserve"> = (</w:t>
            </w:r>
            <w:r w:rsidRPr="00BB48B7">
              <w:t xml:space="preserve">4 356 956 lati - </w:t>
            </w:r>
            <w:r w:rsidRPr="00BB48B7">
              <w:rPr>
                <w:iCs/>
                <w:lang w:val="de-DE"/>
              </w:rPr>
              <w:t>4 347 006 lati).</w:t>
            </w:r>
          </w:p>
          <w:p w:rsidR="00C805A4" w:rsidRPr="00BB48B7" w:rsidRDefault="00C805A4" w:rsidP="00C26596">
            <w:pPr>
              <w:jc w:val="both"/>
              <w:rPr>
                <w:lang w:val="de-DE"/>
              </w:rPr>
            </w:pPr>
          </w:p>
          <w:p w:rsidR="00C805A4" w:rsidRPr="00BB48B7" w:rsidRDefault="00C805A4" w:rsidP="00C26596">
            <w:pPr>
              <w:jc w:val="both"/>
            </w:pPr>
            <w:r w:rsidRPr="00BB48B7">
              <w:t xml:space="preserve">Esošais </w:t>
            </w:r>
            <w:r w:rsidRPr="00BB48B7">
              <w:rPr>
                <w:u w:val="single"/>
              </w:rPr>
              <w:t>amata vietu skaits</w:t>
            </w:r>
            <w:r w:rsidRPr="00BB48B7">
              <w:t xml:space="preserve"> reorganizējamām iestādēm atbilstoši 2011.gada budžetam ar grozījumiem:</w:t>
            </w:r>
          </w:p>
          <w:p w:rsidR="00C805A4" w:rsidRPr="00BB48B7" w:rsidRDefault="00BB48B7" w:rsidP="00C26596">
            <w:pPr>
              <w:jc w:val="both"/>
            </w:pPr>
            <w:r>
              <w:t>N</w:t>
            </w:r>
            <w:r w:rsidR="00C805A4" w:rsidRPr="00BB48B7">
              <w:t>orēķinu centram – 139 amata vietas;</w:t>
            </w:r>
          </w:p>
          <w:p w:rsidR="00C805A4" w:rsidRPr="00BB48B7" w:rsidRDefault="00BB48B7" w:rsidP="00C26596">
            <w:pPr>
              <w:jc w:val="both"/>
            </w:pPr>
            <w:r>
              <w:t xml:space="preserve">Ekonomikas </w:t>
            </w:r>
            <w:r w:rsidR="00C805A4" w:rsidRPr="00BB48B7">
              <w:t>centram – pamatfunkciju izpildei 75 amata vietas, tai skaitā programmā 47.00.00 – 72 amata vietas (grozījumos bija 71 amata vieta, bet 2011.gada jūlijā 1 amata vieta pārcelta no Valsts tiesu medicīnas ekspertīzes centra) un programmā 40.00.00 – 3 amata vietas;</w:t>
            </w:r>
          </w:p>
          <w:p w:rsidR="00C805A4" w:rsidRPr="00BB48B7" w:rsidRDefault="00C805A4" w:rsidP="00C26596">
            <w:pPr>
              <w:jc w:val="both"/>
            </w:pPr>
            <w:r w:rsidRPr="00BB48B7">
              <w:t xml:space="preserve">ārvalstu līdzfinansēto projektu īstenošanai – 6 amata vietas, tai </w:t>
            </w:r>
            <w:r w:rsidR="004D30B4">
              <w:t>skaitā apakšprogrammā 69.06.00 „</w:t>
            </w:r>
            <w:r w:rsidRPr="00BB48B7">
              <w:t>Eiropas teritoriālā sadarbība</w:t>
            </w:r>
            <w:r w:rsidR="004D30B4">
              <w:t>”</w:t>
            </w:r>
            <w:r w:rsidRPr="00BB48B7">
              <w:t xml:space="preserve"> pārrobežu sadarbības programmu, projektu un pasākumu īstenošana (2007-2013)”  3 amata vietas un apakšprogrammā 70.06.00 „Narkotiku uzraudzības monitoringa fokālā punkta darbības nodrošināšana” 3 amata vietas.</w:t>
            </w:r>
          </w:p>
          <w:p w:rsidR="00C805A4" w:rsidRPr="00BB48B7" w:rsidRDefault="00C805A4" w:rsidP="00C26596">
            <w:pPr>
              <w:jc w:val="both"/>
            </w:pPr>
            <w:r w:rsidRPr="00BB48B7">
              <w:t xml:space="preserve">Kopā reorganizējamām iestādēm 2011.gadā – </w:t>
            </w:r>
            <w:r w:rsidRPr="00BB48B7">
              <w:rPr>
                <w:u w:val="single"/>
              </w:rPr>
              <w:t>220 amata vietas</w:t>
            </w:r>
            <w:r w:rsidRPr="00BB48B7">
              <w:t>.</w:t>
            </w:r>
          </w:p>
          <w:p w:rsidR="00C805A4" w:rsidRPr="00BB48B7" w:rsidRDefault="00C805A4" w:rsidP="00C26596">
            <w:pPr>
              <w:jc w:val="both"/>
            </w:pPr>
            <w:r w:rsidRPr="00BB48B7">
              <w:t xml:space="preserve">Tādējādi dienestam no 2011.gada 1.novembra būs </w:t>
            </w:r>
            <w:r w:rsidRPr="00BB48B7">
              <w:rPr>
                <w:u w:val="single"/>
              </w:rPr>
              <w:t>220 amata vietas</w:t>
            </w:r>
            <w:r w:rsidRPr="00BB48B7">
              <w:t xml:space="preserve">, kas paredzētas valsts budžeta </w:t>
            </w:r>
            <w:r w:rsidRPr="00BB48B7">
              <w:rPr>
                <w:u w:val="single"/>
              </w:rPr>
              <w:t>pamatfunkciju</w:t>
            </w:r>
            <w:r w:rsidRPr="00BB48B7">
              <w:t xml:space="preserve"> izpildei.</w:t>
            </w:r>
          </w:p>
          <w:p w:rsidR="00C805A4" w:rsidRPr="00BB48B7" w:rsidRDefault="00C805A4" w:rsidP="00C26596">
            <w:pPr>
              <w:jc w:val="both"/>
            </w:pPr>
            <w:r w:rsidRPr="00BB48B7">
              <w:t>Atbilstoši Ministru kabineta 2011.gada 7.septembra rīkojumam Nr.436 „</w:t>
            </w:r>
            <w:r w:rsidRPr="00BB48B7">
              <w:rPr>
                <w:lang w:eastAsia="en-US"/>
              </w:rPr>
              <w:t xml:space="preserve">Par Veselības norēķinu centra un Veselības ekonomikas centra reorganizāciju” ir </w:t>
            </w:r>
            <w:r w:rsidRPr="00BB48B7">
              <w:t xml:space="preserve">izveidota </w:t>
            </w:r>
            <w:r w:rsidRPr="00BB48B7">
              <w:rPr>
                <w:bCs/>
              </w:rPr>
              <w:t>norēķinu centra</w:t>
            </w:r>
            <w:r w:rsidRPr="00BB48B7">
              <w:t xml:space="preserve"> un </w:t>
            </w:r>
            <w:r w:rsidRPr="00BB48B7">
              <w:rPr>
                <w:bCs/>
              </w:rPr>
              <w:t>ekonomikas centra</w:t>
            </w:r>
            <w:r w:rsidRPr="00BB48B7">
              <w:t xml:space="preserve"> reorganizācijas komisija, kas veic materiālo un finanšu līdzekļu inventarizāciju, nosaka mantas vērtību un saistību apjomu, kā arī nodrošina finanšu līdzekļu, mantas, saistību un lietvedības nodošanu dienestam.</w:t>
            </w:r>
          </w:p>
          <w:p w:rsidR="00C805A4" w:rsidRPr="00BB48B7" w:rsidRDefault="00C805A4" w:rsidP="00C26596">
            <w:pPr>
              <w:jc w:val="both"/>
            </w:pPr>
            <w:r w:rsidRPr="00BB48B7">
              <w:t>Attiecībā uz dienestam paredzēto divu mēnešu finansējumu (754 217 lati ieņēmumos, 810 073 lati izdevumos, 55 856 lati – 2010.gada pašu ieņēmumu līdzekļu atlikuma daļa) ar Finanšu ministrijas 2011.gada 18.oktobra rīkojumu Nr.487 „Par pamatbudžeta apropriācijas pārdali starp programmām, apakšprogrammām un budžeta izdevumu kodiem atbilstoši ekonomiskajām kategorijām” ir apstiprināta apropriācijas pārdale no programmas 47.00.00 „Veselības aprūpes ekonomiskā novērtēšana” un programmas 40.00.00 „E-veselības pamatnostādņu ieviešana” uz programmu 45.00.00 „Ārstniecības finansējuma administrēšana”.</w:t>
            </w:r>
          </w:p>
          <w:p w:rsidR="00C805A4" w:rsidRPr="00BB48B7" w:rsidRDefault="00C805A4" w:rsidP="00C26596">
            <w:pPr>
              <w:jc w:val="both"/>
            </w:pPr>
            <w:r w:rsidRPr="00BB48B7">
              <w:t xml:space="preserve">  </w:t>
            </w:r>
          </w:p>
        </w:tc>
      </w:tr>
      <w:tr w:rsidR="00C805A4" w:rsidRPr="00B1130D" w:rsidTr="003A3755">
        <w:trPr>
          <w:gridAfter w:val="1"/>
          <w:wAfter w:w="344" w:type="dxa"/>
          <w:jc w:val="center"/>
        </w:trPr>
        <w:tc>
          <w:tcPr>
            <w:tcW w:w="2661" w:type="dxa"/>
            <w:gridSpan w:val="3"/>
          </w:tcPr>
          <w:p w:rsidR="00C805A4" w:rsidRPr="00BB48B7" w:rsidRDefault="00C805A4" w:rsidP="00C26596">
            <w:pPr>
              <w:jc w:val="both"/>
            </w:pPr>
            <w:r w:rsidRPr="00BB48B7">
              <w:lastRenderedPageBreak/>
              <w:t>7. Cita informācija</w:t>
            </w:r>
          </w:p>
        </w:tc>
        <w:tc>
          <w:tcPr>
            <w:tcW w:w="6804" w:type="dxa"/>
            <w:gridSpan w:val="6"/>
          </w:tcPr>
          <w:p w:rsidR="00C805A4" w:rsidRPr="00BB48B7" w:rsidRDefault="00C805A4" w:rsidP="00C26596">
            <w:pPr>
              <w:spacing w:before="75" w:after="75"/>
              <w:jc w:val="both"/>
              <w:rPr>
                <w:lang w:val="de-DE"/>
              </w:rPr>
            </w:pPr>
            <w:r w:rsidRPr="00BB48B7">
              <w:t xml:space="preserve">Ieņēmumi no maksas pakalpojumiem un attiecīgie izdevumi 2011.gada divos mēnešos (novembrī un decembrī) tiks veikti Veselības ministrijas valsts budžeta </w:t>
            </w:r>
            <w:r w:rsidRPr="00BB48B7">
              <w:rPr>
                <w:lang w:val="de-DE"/>
              </w:rPr>
              <w:t xml:space="preserve">programmā 45.00.00 „Ārstniecības finansējuma administrēšana“, savukārt, 2012.gadā un turpmākajos gados </w:t>
            </w:r>
            <w:r w:rsidRPr="00BB48B7">
              <w:t xml:space="preserve">Veselības ministrijas valsts budžeta </w:t>
            </w:r>
            <w:r w:rsidRPr="00BB48B7">
              <w:rPr>
                <w:lang w:val="de-DE"/>
              </w:rPr>
              <w:t xml:space="preserve">programmā ar numuru 45.00.00, precizējot programmas nosaukumu un saskaņojot to ar Finanšu ministriju </w:t>
            </w:r>
            <w:r w:rsidRPr="00BB48B7">
              <w:t>2012.–2014.gada budžeta pieprasījuma sagatavošanas procesā</w:t>
            </w:r>
            <w:r w:rsidRPr="00BB48B7">
              <w:rPr>
                <w:lang w:val="de-DE"/>
              </w:rPr>
              <w:t>.</w:t>
            </w:r>
          </w:p>
        </w:tc>
      </w:tr>
      <w:tr w:rsidR="003A3755" w:rsidRPr="00711F59" w:rsidTr="003A3755">
        <w:tblPrEx>
          <w:tblCellMar>
            <w:left w:w="108" w:type="dxa"/>
            <w:right w:w="108" w:type="dxa"/>
          </w:tblCellMar>
        </w:tblPrEx>
        <w:trPr>
          <w:gridBefore w:val="1"/>
          <w:wBefore w:w="362" w:type="dxa"/>
          <w:jc w:val="center"/>
        </w:trPr>
        <w:tc>
          <w:tcPr>
            <w:tcW w:w="9447" w:type="dxa"/>
            <w:gridSpan w:val="9"/>
          </w:tcPr>
          <w:p w:rsidR="003A3755" w:rsidRPr="007C0F2C" w:rsidRDefault="003A3755" w:rsidP="004D30B4">
            <w:pPr>
              <w:pStyle w:val="naisnod"/>
              <w:spacing w:before="0" w:after="0"/>
            </w:pPr>
            <w:r w:rsidRPr="007C0F2C">
              <w:t>IV. Tiesību akta projekta ietekme uz spēkā esošo tiesību normu sistēmu</w:t>
            </w:r>
          </w:p>
        </w:tc>
      </w:tr>
      <w:tr w:rsidR="003A3755" w:rsidRPr="00711F59" w:rsidTr="003A3755">
        <w:tblPrEx>
          <w:tblCellMar>
            <w:left w:w="108" w:type="dxa"/>
            <w:right w:w="108" w:type="dxa"/>
          </w:tblCellMar>
        </w:tblPrEx>
        <w:trPr>
          <w:gridBefore w:val="1"/>
          <w:wBefore w:w="362" w:type="dxa"/>
          <w:jc w:val="center"/>
        </w:trPr>
        <w:tc>
          <w:tcPr>
            <w:tcW w:w="396" w:type="dxa"/>
          </w:tcPr>
          <w:p w:rsidR="003A3755" w:rsidRPr="00711F59" w:rsidRDefault="003A3755" w:rsidP="004D30B4">
            <w:pPr>
              <w:pStyle w:val="naiskr"/>
              <w:tabs>
                <w:tab w:val="left" w:pos="2628"/>
              </w:tabs>
              <w:spacing w:before="0" w:after="0"/>
              <w:jc w:val="both"/>
              <w:rPr>
                <w:iCs/>
              </w:rPr>
            </w:pPr>
            <w:r w:rsidRPr="00711F59">
              <w:rPr>
                <w:iCs/>
              </w:rPr>
              <w:t>1.</w:t>
            </w:r>
          </w:p>
        </w:tc>
        <w:tc>
          <w:tcPr>
            <w:tcW w:w="3037" w:type="dxa"/>
            <w:gridSpan w:val="2"/>
          </w:tcPr>
          <w:p w:rsidR="003A3755" w:rsidRPr="00711F59" w:rsidRDefault="003A3755" w:rsidP="004D30B4">
            <w:pPr>
              <w:pStyle w:val="naiskr"/>
              <w:tabs>
                <w:tab w:val="left" w:pos="2628"/>
              </w:tabs>
              <w:spacing w:before="0" w:after="0"/>
              <w:jc w:val="both"/>
              <w:rPr>
                <w:iCs/>
              </w:rPr>
            </w:pPr>
            <w:r w:rsidRPr="00711F59">
              <w:rPr>
                <w:sz w:val="22"/>
                <w:szCs w:val="22"/>
              </w:rPr>
              <w:t>Nepieciešamie saistītie tiesību aktu projekti</w:t>
            </w:r>
          </w:p>
        </w:tc>
        <w:tc>
          <w:tcPr>
            <w:tcW w:w="6014" w:type="dxa"/>
            <w:gridSpan w:val="6"/>
          </w:tcPr>
          <w:p w:rsidR="003A3755" w:rsidRDefault="003A3755" w:rsidP="004D30B4">
            <w:pPr>
              <w:pStyle w:val="naiskr"/>
              <w:tabs>
                <w:tab w:val="left" w:pos="2628"/>
              </w:tabs>
              <w:spacing w:before="0" w:after="0"/>
              <w:jc w:val="both"/>
            </w:pPr>
            <w:r>
              <w:t>Nepieciešams veikt g</w:t>
            </w:r>
            <w:r w:rsidRPr="001C7D15">
              <w:t xml:space="preserve">rozījumus Ministru kabineta 2004.gada 13.aprīļa noteikumos Nr.286 „Veselības </w:t>
            </w:r>
            <w:r w:rsidRPr="001C7D15">
              <w:lastRenderedPageBreak/>
              <w:t>ministrijas nolikums”</w:t>
            </w:r>
            <w:r>
              <w:t>, jo tiek reorganizētas divas Veselības ministrijas padotības iestādes (ekonomikas centrs un norēķinu centrs) un izveidota jauna Veselības ministrijas padotības iestāde – dienests.</w:t>
            </w:r>
          </w:p>
          <w:p w:rsidR="003A3755" w:rsidRDefault="003A3755" w:rsidP="004D30B4">
            <w:pPr>
              <w:pStyle w:val="naiskr"/>
              <w:tabs>
                <w:tab w:val="left" w:pos="2628"/>
              </w:tabs>
              <w:spacing w:before="0" w:after="0"/>
              <w:jc w:val="both"/>
            </w:pPr>
            <w:r>
              <w:t xml:space="preserve">Tā kā </w:t>
            </w:r>
            <w:r w:rsidR="00E24EEC">
              <w:t xml:space="preserve">MK </w:t>
            </w:r>
            <w:r>
              <w:t>rīkojum</w:t>
            </w:r>
            <w:r w:rsidR="00E24EEC">
              <w:t>s</w:t>
            </w:r>
            <w:r>
              <w:t xml:space="preserve"> paredz izveidot jaunu valsts pārvaldes iestādi – dienestu, </w:t>
            </w:r>
            <w:r w:rsidR="00E03C27">
              <w:t>ir</w:t>
            </w:r>
            <w:r>
              <w:t xml:space="preserve"> izstrādāt</w:t>
            </w:r>
            <w:r w:rsidR="00E03C27">
              <w:t>s</w:t>
            </w:r>
            <w:r>
              <w:t xml:space="preserve"> un </w:t>
            </w:r>
            <w:r w:rsidR="00E03C27">
              <w:t>2011.gada 29.septembnra Valsts sekretāru sanāksmē izskatīts</w:t>
            </w:r>
            <w:r>
              <w:t xml:space="preserve"> Ministru kabineta noteikumu projekt</w:t>
            </w:r>
            <w:r w:rsidR="00E03C27">
              <w:t>s</w:t>
            </w:r>
            <w:r>
              <w:t xml:space="preserve"> „</w:t>
            </w:r>
            <w:r w:rsidRPr="00F454C7">
              <w:t xml:space="preserve">Noteikumi par </w:t>
            </w:r>
            <w:r>
              <w:t xml:space="preserve">Nacionālā </w:t>
            </w:r>
            <w:r w:rsidRPr="00F454C7">
              <w:t xml:space="preserve">Veselības </w:t>
            </w:r>
            <w:r>
              <w:t>dienesta</w:t>
            </w:r>
            <w:r w:rsidRPr="00F454C7">
              <w:t xml:space="preserve"> publisko pakalpojumu cenrādi</w:t>
            </w:r>
            <w:r>
              <w:t>”</w:t>
            </w:r>
            <w:r w:rsidR="00E03C27">
              <w:t xml:space="preserve"> (</w:t>
            </w:r>
            <w:r w:rsidR="005D1C3F">
              <w:t>2011.gada 29.septembra Valsts sekretāru sanāksmes prot</w:t>
            </w:r>
            <w:r w:rsidR="00E03C27">
              <w:t>.Nr.38, 25 §, VSS-1075)</w:t>
            </w:r>
            <w:r>
              <w:t>.</w:t>
            </w:r>
          </w:p>
          <w:p w:rsidR="003A3755" w:rsidRDefault="003A3755" w:rsidP="004D30B4">
            <w:pPr>
              <w:pStyle w:val="naiskr"/>
              <w:tabs>
                <w:tab w:val="left" w:pos="2628"/>
              </w:tabs>
              <w:spacing w:before="0" w:after="0"/>
              <w:jc w:val="both"/>
            </w:pPr>
            <w:r>
              <w:t>Ņemot vērā to, ka dienests tiks izveidot, apvienojot ekonomikas centru un norēķinu centru, ir nepieciešams atzīt par spēku zaudējušiem šādus Ministru kabineta noteikumus:</w:t>
            </w:r>
          </w:p>
          <w:p w:rsidR="003A3755" w:rsidRDefault="003A3755" w:rsidP="004D30B4">
            <w:pPr>
              <w:pStyle w:val="naiskr"/>
              <w:numPr>
                <w:ilvl w:val="0"/>
                <w:numId w:val="13"/>
              </w:numPr>
              <w:tabs>
                <w:tab w:val="left" w:pos="2628"/>
              </w:tabs>
              <w:spacing w:before="0" w:after="0"/>
              <w:jc w:val="both"/>
            </w:pPr>
            <w:r>
              <w:t>Ministru kabineta 2009.gada 29.septembra noteikumi Nr.1119 „Veselības Ekonomikas centra nolikums”;</w:t>
            </w:r>
          </w:p>
          <w:p w:rsidR="003A3755" w:rsidRDefault="003A3755" w:rsidP="004D30B4">
            <w:pPr>
              <w:pStyle w:val="naiskr"/>
              <w:numPr>
                <w:ilvl w:val="0"/>
                <w:numId w:val="13"/>
              </w:numPr>
              <w:tabs>
                <w:tab w:val="left" w:pos="2628"/>
              </w:tabs>
              <w:spacing w:before="0" w:after="0"/>
              <w:jc w:val="both"/>
            </w:pPr>
            <w:r>
              <w:t>Ministru kabineta 2005.gada 23.augusta noteikumi Nr.626 „Noteikumi par Veselības ekonomikas centra publisko pakalpojumu cenrādi”;</w:t>
            </w:r>
          </w:p>
          <w:p w:rsidR="003A3755" w:rsidRDefault="003A3755" w:rsidP="004D30B4">
            <w:pPr>
              <w:pStyle w:val="naiskr"/>
              <w:numPr>
                <w:ilvl w:val="0"/>
                <w:numId w:val="13"/>
              </w:numPr>
              <w:tabs>
                <w:tab w:val="left" w:pos="2628"/>
              </w:tabs>
              <w:spacing w:before="0" w:after="0"/>
              <w:jc w:val="both"/>
            </w:pPr>
            <w:r>
              <w:t>Ministru kabineta 2009.gada 6.oktobra noteikumi Nr.1149 „Veselības norēķinu centra nolikums”;</w:t>
            </w:r>
          </w:p>
          <w:p w:rsidR="003A3755" w:rsidRDefault="003A3755" w:rsidP="004D30B4">
            <w:pPr>
              <w:pStyle w:val="naiskr"/>
              <w:numPr>
                <w:ilvl w:val="0"/>
                <w:numId w:val="13"/>
              </w:numPr>
              <w:tabs>
                <w:tab w:val="left" w:pos="2628"/>
              </w:tabs>
              <w:spacing w:before="0" w:after="0"/>
              <w:jc w:val="both"/>
            </w:pPr>
            <w:r>
              <w:t>Ministru kabineta 2009.gada 6.oktobra noteikumi Nr.1146 „Noteikumi par Veselības norēķinu centra sniegto publisko maksas pakalpojumu cenrādi”.</w:t>
            </w:r>
          </w:p>
          <w:p w:rsidR="003A3755" w:rsidRPr="00320667" w:rsidRDefault="003A3755" w:rsidP="004D30B4">
            <w:pPr>
              <w:pStyle w:val="naiskr"/>
              <w:tabs>
                <w:tab w:val="left" w:pos="2628"/>
              </w:tabs>
              <w:spacing w:before="0" w:after="0"/>
              <w:jc w:val="both"/>
            </w:pPr>
            <w:r>
              <w:t>A</w:t>
            </w:r>
            <w:r w:rsidRPr="00DF182D">
              <w:t xml:space="preserve">r </w:t>
            </w:r>
            <w:r>
              <w:t>ekonomikas centra</w:t>
            </w:r>
            <w:r w:rsidRPr="00DF182D">
              <w:t xml:space="preserve"> un </w:t>
            </w:r>
            <w:r>
              <w:t>norēķinu centra reorganizāciju un dienesta izveidi saistītos</w:t>
            </w:r>
            <w:r w:rsidRPr="00DF182D">
              <w:t xml:space="preserve"> tiesību aktu projektus</w:t>
            </w:r>
            <w:r>
              <w:t xml:space="preserve"> izstrādās </w:t>
            </w:r>
            <w:r w:rsidRPr="00DF182D">
              <w:t>Veselības ministrija</w:t>
            </w:r>
            <w:r>
              <w:t xml:space="preserve"> un iesniegs</w:t>
            </w:r>
            <w:r w:rsidRPr="00DF182D">
              <w:t xml:space="preserve"> noteiktā kārtībā Ministru kabinetā lī</w:t>
            </w:r>
            <w:r>
              <w:t xml:space="preserve">dz 2011.gada 1.novembrim. </w:t>
            </w:r>
          </w:p>
        </w:tc>
      </w:tr>
      <w:tr w:rsidR="003A3755" w:rsidRPr="00711F59" w:rsidTr="003A3755">
        <w:tblPrEx>
          <w:tblCellMar>
            <w:left w:w="108" w:type="dxa"/>
            <w:right w:w="108" w:type="dxa"/>
          </w:tblCellMar>
        </w:tblPrEx>
        <w:trPr>
          <w:gridBefore w:val="1"/>
          <w:wBefore w:w="362" w:type="dxa"/>
          <w:jc w:val="center"/>
        </w:trPr>
        <w:tc>
          <w:tcPr>
            <w:tcW w:w="396" w:type="dxa"/>
          </w:tcPr>
          <w:p w:rsidR="003A3755" w:rsidRPr="00711F59" w:rsidRDefault="003A3755" w:rsidP="004D30B4">
            <w:pPr>
              <w:pStyle w:val="naiskr"/>
              <w:tabs>
                <w:tab w:val="left" w:pos="2628"/>
              </w:tabs>
              <w:spacing w:before="0" w:after="0"/>
              <w:jc w:val="both"/>
              <w:rPr>
                <w:iCs/>
              </w:rPr>
            </w:pPr>
            <w:r w:rsidRPr="00711F59">
              <w:rPr>
                <w:iCs/>
              </w:rPr>
              <w:lastRenderedPageBreak/>
              <w:t>2.</w:t>
            </w:r>
          </w:p>
        </w:tc>
        <w:tc>
          <w:tcPr>
            <w:tcW w:w="3037" w:type="dxa"/>
            <w:gridSpan w:val="2"/>
          </w:tcPr>
          <w:p w:rsidR="003A3755" w:rsidRPr="00711F59" w:rsidRDefault="003A3755" w:rsidP="004D30B4">
            <w:pPr>
              <w:pStyle w:val="naiskr"/>
              <w:tabs>
                <w:tab w:val="left" w:pos="2628"/>
              </w:tabs>
              <w:spacing w:before="0" w:after="0"/>
              <w:jc w:val="both"/>
              <w:rPr>
                <w:iCs/>
              </w:rPr>
            </w:pPr>
            <w:r w:rsidRPr="00711F59">
              <w:rPr>
                <w:sz w:val="22"/>
                <w:szCs w:val="22"/>
              </w:rPr>
              <w:t>Cita informācija</w:t>
            </w:r>
          </w:p>
        </w:tc>
        <w:tc>
          <w:tcPr>
            <w:tcW w:w="6014" w:type="dxa"/>
            <w:gridSpan w:val="6"/>
          </w:tcPr>
          <w:p w:rsidR="003A3755" w:rsidRPr="00711F59" w:rsidRDefault="00E24EEC" w:rsidP="003A3755">
            <w:pPr>
              <w:pStyle w:val="naiskr"/>
              <w:tabs>
                <w:tab w:val="left" w:pos="2628"/>
              </w:tabs>
              <w:spacing w:before="0" w:after="0"/>
              <w:jc w:val="both"/>
              <w:rPr>
                <w:iCs/>
              </w:rPr>
            </w:pPr>
            <w:r>
              <w:t>Nav</w:t>
            </w:r>
          </w:p>
        </w:tc>
      </w:tr>
    </w:tbl>
    <w:p w:rsidR="00B20563" w:rsidRPr="00776C10" w:rsidRDefault="00B20563" w:rsidP="004F5B51">
      <w:pPr>
        <w:jc w:val="both"/>
        <w:rPr>
          <w:sz w:val="28"/>
          <w:szCs w:val="28"/>
        </w:rPr>
      </w:pPr>
    </w:p>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9"/>
        <w:gridCol w:w="3379"/>
        <w:gridCol w:w="5318"/>
      </w:tblGrid>
      <w:tr w:rsidR="00C95CF0" w:rsidRPr="00C95CF0" w:rsidTr="005C7217">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95CF0" w:rsidRPr="00C95CF0" w:rsidRDefault="00C95CF0" w:rsidP="00C95CF0">
            <w:pPr>
              <w:jc w:val="center"/>
              <w:rPr>
                <w:lang w:eastAsia="en-US" w:bidi="lo-LA"/>
              </w:rPr>
            </w:pPr>
            <w:r w:rsidRPr="00C95CF0">
              <w:rPr>
                <w:b/>
                <w:bCs/>
                <w:lang w:eastAsia="en-US" w:bidi="lo-LA"/>
              </w:rPr>
              <w:t>V. Tiesību akta projekta atbilstība Latvijas Republikas starptautiskajām saistībām</w:t>
            </w:r>
          </w:p>
        </w:tc>
      </w:tr>
      <w:tr w:rsidR="00C95CF0" w:rsidRPr="00C95CF0" w:rsidTr="005C7217">
        <w:tc>
          <w:tcPr>
            <w:tcW w:w="352" w:type="pct"/>
            <w:tcBorders>
              <w:top w:val="outset" w:sz="6" w:space="0" w:color="auto"/>
              <w:left w:val="outset" w:sz="6" w:space="0" w:color="auto"/>
              <w:bottom w:val="outset" w:sz="6" w:space="0" w:color="auto"/>
              <w:right w:val="outset" w:sz="6" w:space="0" w:color="auto"/>
            </w:tcBorders>
            <w:hideMark/>
          </w:tcPr>
          <w:p w:rsidR="00C95CF0" w:rsidRPr="00C95CF0" w:rsidRDefault="00C95CF0" w:rsidP="00C95CF0">
            <w:pPr>
              <w:spacing w:line="360" w:lineRule="auto"/>
              <w:rPr>
                <w:lang w:eastAsia="en-US" w:bidi="lo-LA"/>
              </w:rPr>
            </w:pPr>
            <w:r w:rsidRPr="00C95CF0">
              <w:rPr>
                <w:lang w:eastAsia="en-US" w:bidi="lo-LA"/>
              </w:rPr>
              <w:t>1.</w:t>
            </w:r>
          </w:p>
        </w:tc>
        <w:tc>
          <w:tcPr>
            <w:tcW w:w="1806" w:type="pct"/>
            <w:tcBorders>
              <w:top w:val="outset" w:sz="6" w:space="0" w:color="auto"/>
              <w:left w:val="outset" w:sz="6" w:space="0" w:color="auto"/>
              <w:bottom w:val="outset" w:sz="6" w:space="0" w:color="auto"/>
              <w:right w:val="outset" w:sz="6" w:space="0" w:color="auto"/>
            </w:tcBorders>
            <w:hideMark/>
          </w:tcPr>
          <w:p w:rsidR="00C95CF0" w:rsidRPr="00B662D3" w:rsidRDefault="00C95CF0" w:rsidP="00B662D3">
            <w:pPr>
              <w:rPr>
                <w:lang w:eastAsia="en-US" w:bidi="lo-LA"/>
              </w:rPr>
            </w:pPr>
            <w:r w:rsidRPr="00B662D3">
              <w:rPr>
                <w:lang w:eastAsia="en-US" w:bidi="lo-LA"/>
              </w:rPr>
              <w:t>Saistības pret Eiropas Savienību</w:t>
            </w:r>
          </w:p>
        </w:tc>
        <w:tc>
          <w:tcPr>
            <w:tcW w:w="2843" w:type="pct"/>
            <w:tcBorders>
              <w:top w:val="outset" w:sz="6" w:space="0" w:color="auto"/>
              <w:left w:val="outset" w:sz="6" w:space="0" w:color="auto"/>
              <w:bottom w:val="outset" w:sz="6" w:space="0" w:color="auto"/>
              <w:right w:val="outset" w:sz="6" w:space="0" w:color="auto"/>
            </w:tcBorders>
            <w:hideMark/>
          </w:tcPr>
          <w:p w:rsidR="00B662D3" w:rsidRPr="00196F14" w:rsidRDefault="00B662D3" w:rsidP="005D1086">
            <w:pPr>
              <w:jc w:val="both"/>
            </w:pPr>
            <w:r w:rsidRPr="00B662D3">
              <w:t xml:space="preserve">Ar normatīvo aktu tiek </w:t>
            </w:r>
            <w:r>
              <w:t>nodrošināta šādu</w:t>
            </w:r>
            <w:r w:rsidRPr="00B662D3">
              <w:t xml:space="preserve"> Eiropas Savienības tiesību aktu prasīb</w:t>
            </w:r>
            <w:r>
              <w:t>u ieviešana:</w:t>
            </w:r>
          </w:p>
          <w:p w:rsidR="00B36E8A" w:rsidRDefault="00B662D3" w:rsidP="00B36E8A">
            <w:pPr>
              <w:pStyle w:val="naisf"/>
              <w:numPr>
                <w:ilvl w:val="0"/>
                <w:numId w:val="17"/>
              </w:numPr>
              <w:spacing w:before="0" w:after="0"/>
            </w:pPr>
            <w:r w:rsidRPr="00196F14">
              <w:t>Eiropas Parlamenta un Padomes 2004.gada 29.aprīļa Regula (EK) Nr.</w:t>
            </w:r>
            <w:hyperlink r:id="rId10" w:tgtFrame="_blank" w:tooltip="REGULA" w:history="1">
              <w:r w:rsidRPr="00196F14">
                <w:rPr>
                  <w:rStyle w:val="Hyperlink"/>
                </w:rPr>
                <w:t>883/2004</w:t>
              </w:r>
            </w:hyperlink>
            <w:r w:rsidRPr="00196F14">
              <w:t xml:space="preserve"> par sociālās nodrošināšanas sistēmu koordinēšanu</w:t>
            </w:r>
            <w:r w:rsidR="000C2E59">
              <w:t>;</w:t>
            </w:r>
          </w:p>
          <w:p w:rsidR="00B36E8A" w:rsidRPr="00B36E8A" w:rsidRDefault="00B36E8A" w:rsidP="00B36E8A">
            <w:pPr>
              <w:pStyle w:val="naisf"/>
              <w:numPr>
                <w:ilvl w:val="0"/>
                <w:numId w:val="17"/>
              </w:numPr>
              <w:spacing w:before="0" w:after="0"/>
            </w:pPr>
            <w:r w:rsidRPr="00B36E8A">
              <w:rPr>
                <w:bCs/>
              </w:rPr>
              <w:t>Eiropas Parlam</w:t>
            </w:r>
            <w:r>
              <w:rPr>
                <w:bCs/>
              </w:rPr>
              <w:t>enta un Padomes Regula (EK) Nr.</w:t>
            </w:r>
            <w:r>
              <w:t xml:space="preserve"> </w:t>
            </w:r>
            <w:hyperlink r:id="rId11" w:tgtFrame="_blank" w:tooltip="REGULA" w:history="1">
              <w:r>
                <w:rPr>
                  <w:rStyle w:val="Hyperlink"/>
                </w:rPr>
                <w:t>988</w:t>
              </w:r>
              <w:r w:rsidRPr="00196F14">
                <w:rPr>
                  <w:rStyle w:val="Hyperlink"/>
                </w:rPr>
                <w:t>/2009</w:t>
              </w:r>
            </w:hyperlink>
            <w:r w:rsidRPr="00B36E8A">
              <w:rPr>
                <w:bCs/>
              </w:rPr>
              <w:t xml:space="preserve"> (2009.gada 16.septembris),ar ko groza Regulu (EK) </w:t>
            </w:r>
            <w:hyperlink r:id="rId12" w:tgtFrame="_blank" w:tooltip="REGULA" w:history="1">
              <w:r w:rsidRPr="00196F14">
                <w:rPr>
                  <w:rStyle w:val="Hyperlink"/>
                </w:rPr>
                <w:t>883/2004</w:t>
              </w:r>
            </w:hyperlink>
            <w:r>
              <w:t xml:space="preserve"> </w:t>
            </w:r>
            <w:r w:rsidRPr="00B36E8A">
              <w:rPr>
                <w:bCs/>
              </w:rPr>
              <w:t>par sociālās nodrošināšanas sistēmu koordinēšanu un ar ko nosaka tās pielikumu saturu</w:t>
            </w:r>
            <w:r>
              <w:rPr>
                <w:bCs/>
              </w:rPr>
              <w:t>;</w:t>
            </w:r>
          </w:p>
          <w:p w:rsidR="00AD43F2" w:rsidRDefault="00B36E8A" w:rsidP="00AD43F2">
            <w:pPr>
              <w:pStyle w:val="naisf"/>
              <w:numPr>
                <w:ilvl w:val="0"/>
                <w:numId w:val="17"/>
              </w:numPr>
              <w:spacing w:before="0" w:after="0"/>
            </w:pPr>
            <w:r>
              <w:t xml:space="preserve">Eiropas Parlamenta </w:t>
            </w:r>
            <w:r w:rsidR="00B662D3" w:rsidRPr="00196F14">
              <w:t>un Padomes 2009.gada 16.septembra Regula (EK) Nr.</w:t>
            </w:r>
            <w:hyperlink r:id="rId13" w:tgtFrame="_blank" w:tooltip="REGULA" w:history="1">
              <w:r w:rsidR="00B662D3" w:rsidRPr="00196F14">
                <w:rPr>
                  <w:rStyle w:val="Hyperlink"/>
                </w:rPr>
                <w:t>987/2009</w:t>
              </w:r>
            </w:hyperlink>
            <w:r w:rsidR="00B662D3" w:rsidRPr="00196F14">
              <w:t>, ar ko nosaka īstenošanas kārtību Regulai (EK) Nr.</w:t>
            </w:r>
            <w:hyperlink r:id="rId14" w:tgtFrame="_blank" w:tooltip="REGULA" w:history="1">
              <w:r w:rsidR="00B662D3" w:rsidRPr="00196F14">
                <w:rPr>
                  <w:rStyle w:val="Hyperlink"/>
                </w:rPr>
                <w:t>883/2004</w:t>
              </w:r>
            </w:hyperlink>
            <w:r w:rsidR="00B662D3" w:rsidRPr="00196F14">
              <w:t xml:space="preserve"> par sociālās nodrošināšanas sistēmu koordinēšanu, noteiktos kompetentās iestādes uzdevumus veselības aprūpes jomā;</w:t>
            </w:r>
          </w:p>
          <w:p w:rsidR="00AD43F2" w:rsidRPr="00AD43F2" w:rsidRDefault="00AD43F2" w:rsidP="00AD43F2">
            <w:pPr>
              <w:pStyle w:val="naisf"/>
              <w:numPr>
                <w:ilvl w:val="0"/>
                <w:numId w:val="17"/>
              </w:numPr>
              <w:spacing w:before="0" w:after="0"/>
            </w:pPr>
            <w:r w:rsidRPr="00AD43F2">
              <w:t xml:space="preserve">Eiropas Parlamenta un Padomes Regula (ES) </w:t>
            </w:r>
            <w:r w:rsidRPr="00AD43F2">
              <w:lastRenderedPageBreak/>
              <w:t>Nr.</w:t>
            </w:r>
            <w:hyperlink r:id="rId15" w:tgtFrame="_blank" w:tooltip="REGULA" w:history="1">
              <w:r w:rsidRPr="00AD43F2">
                <w:rPr>
                  <w:rStyle w:val="Hyperlink"/>
                </w:rPr>
                <w:t>1231/2010</w:t>
              </w:r>
            </w:hyperlink>
            <w:r w:rsidRPr="00AD43F2">
              <w:t xml:space="preserve">  (2010.gada 24.novembris), ar ko Regulu (EK) Nr.</w:t>
            </w:r>
            <w:hyperlink r:id="rId16" w:tgtFrame="_blank" w:tooltip="REGULA" w:history="1">
              <w:r w:rsidRPr="00AD43F2">
                <w:rPr>
                  <w:rStyle w:val="Hyperlink"/>
                </w:rPr>
                <w:t>883/2004</w:t>
              </w:r>
            </w:hyperlink>
            <w:r w:rsidRPr="00AD43F2">
              <w:t xml:space="preserve"> un Regulu (EK) Nr. </w:t>
            </w:r>
            <w:hyperlink r:id="rId17" w:tgtFrame="_blank" w:tooltip="REGULA" w:history="1">
              <w:r w:rsidRPr="00D14201">
                <w:rPr>
                  <w:rStyle w:val="Hyperlink"/>
                  <w:color w:val="0000FF"/>
                </w:rPr>
                <w:t>987</w:t>
              </w:r>
              <w:r w:rsidRPr="00AD43F2">
                <w:rPr>
                  <w:rStyle w:val="Hyperlink"/>
                </w:rPr>
                <w:t>/2009</w:t>
              </w:r>
            </w:hyperlink>
            <w:r w:rsidRPr="00AD43F2">
              <w:t xml:space="preserve"> attiecina arī uz tiem trešo valstu valstspiederīgajiem, uz kuriem minētās regulas neattiecas tikai viņu valstspiederības dēļ;</w:t>
            </w:r>
          </w:p>
          <w:p w:rsidR="00B662D3" w:rsidRDefault="00B662D3" w:rsidP="00AD43F2">
            <w:pPr>
              <w:pStyle w:val="naisf"/>
              <w:numPr>
                <w:ilvl w:val="0"/>
                <w:numId w:val="17"/>
              </w:numPr>
              <w:spacing w:before="0" w:after="0"/>
            </w:pPr>
            <w:r w:rsidRPr="00196F14">
              <w:t>Eiropas Parlamenta un Padomes 2006.gada 12.decembra Regula Nr.</w:t>
            </w:r>
            <w:hyperlink r:id="rId18" w:tgtFrame="_blank" w:tooltip="REGULA" w:history="1">
              <w:r w:rsidRPr="00196F14">
                <w:rPr>
                  <w:rStyle w:val="Hyperlink"/>
                </w:rPr>
                <w:t>1920/2006</w:t>
              </w:r>
            </w:hyperlink>
            <w:r w:rsidRPr="00196F14">
              <w:t xml:space="preserve"> par Eiropas Narkotiku un narkomānijas uzraudzības centru</w:t>
            </w:r>
            <w:r w:rsidR="00B02825">
              <w:t>;</w:t>
            </w:r>
          </w:p>
          <w:p w:rsidR="00234090" w:rsidRDefault="00B02825" w:rsidP="00234090">
            <w:pPr>
              <w:pStyle w:val="naisf"/>
              <w:numPr>
                <w:ilvl w:val="0"/>
                <w:numId w:val="17"/>
              </w:numPr>
              <w:spacing w:before="0" w:after="0"/>
            </w:pPr>
            <w:r w:rsidRPr="00B02825">
              <w:t xml:space="preserve">2005. gada 10. maija Padomes lēmums </w:t>
            </w:r>
            <w:r w:rsidRPr="00D14201">
              <w:rPr>
                <w:color w:val="0000FF"/>
                <w:u w:val="single"/>
              </w:rPr>
              <w:t>2005/387/TI</w:t>
            </w:r>
            <w:r w:rsidRPr="00B02825">
              <w:t xml:space="preserve"> par informācijas apmaiņu, riska novērtējumu un kontroli attiecībā uz ja</w:t>
            </w:r>
            <w:r>
              <w:t>unām psihoaktīvām vielām</w:t>
            </w:r>
            <w:r w:rsidR="00F5219C">
              <w:t>;</w:t>
            </w:r>
          </w:p>
          <w:p w:rsidR="00234090" w:rsidRDefault="00234090" w:rsidP="00234090">
            <w:pPr>
              <w:pStyle w:val="naisf"/>
              <w:numPr>
                <w:ilvl w:val="0"/>
                <w:numId w:val="17"/>
              </w:numPr>
              <w:spacing w:before="0" w:after="0"/>
            </w:pPr>
            <w:r>
              <w:t>Padomes 1971.gada 14.jūnija Regulā (EEK) Nr.1408/71 par sociālā nodrošinājuma shēmu piemērošanu darba ņēmējiem un to ģimenēm, kas pārvietojas Kopienas teritorijā;</w:t>
            </w:r>
          </w:p>
          <w:p w:rsidR="00F5219C" w:rsidRDefault="00234090" w:rsidP="00234090">
            <w:pPr>
              <w:pStyle w:val="naisf"/>
              <w:numPr>
                <w:ilvl w:val="0"/>
                <w:numId w:val="17"/>
              </w:numPr>
              <w:spacing w:before="0" w:after="0"/>
            </w:pPr>
            <w:r>
              <w:t xml:space="preserve"> Padomes </w:t>
            </w:r>
            <w:r w:rsidRPr="00541472">
              <w:t>1972.gada 21.marta Regulā (</w:t>
            </w:r>
            <w:smartTag w:uri="schemas-tilde-lv/tildestengine" w:element="currency2">
              <w:smartTagPr>
                <w:attr w:name="currency_id" w:val="14"/>
                <w:attr w:name="currency_key" w:val="EEK"/>
                <w:attr w:name="currency_value" w:val="1"/>
                <w:attr w:name="currency_text" w:val="EEK"/>
              </w:smartTagPr>
              <w:r w:rsidRPr="00541472">
                <w:t>EEK</w:t>
              </w:r>
            </w:smartTag>
            <w:r w:rsidRPr="00541472">
              <w:t xml:space="preserve">) Nr. </w:t>
            </w:r>
            <w:hyperlink r:id="rId19" w:tgtFrame="_blank" w:tooltip="Atvērt regulas konsolidēto versiju" w:history="1">
              <w:r w:rsidRPr="00541472">
                <w:rPr>
                  <w:rStyle w:val="Hyperlink"/>
                </w:rPr>
                <w:t>574/72</w:t>
              </w:r>
            </w:hyperlink>
            <w:r w:rsidRPr="00541472">
              <w:t xml:space="preserve">, ar kuru nosaka īstenošanas kārtību Regulai (EEK) Nr. </w:t>
            </w:r>
            <w:hyperlink r:id="rId20" w:tgtFrame="_blank" w:tooltip="Atvērt regulas konsolidēto versiju" w:history="1">
              <w:r w:rsidRPr="00541472">
                <w:rPr>
                  <w:rStyle w:val="Hyperlink"/>
                </w:rPr>
                <w:t>1408/71</w:t>
              </w:r>
            </w:hyperlink>
            <w:r w:rsidRPr="00541472">
              <w:t xml:space="preserve"> par sociālā nodrošinājuma sistēmu piemērošanu darbiniekiem un viņu ģimenēm, kas pārvietojas Kopienā</w:t>
            </w:r>
            <w:r>
              <w:t>.</w:t>
            </w:r>
          </w:p>
          <w:p w:rsidR="00D33604" w:rsidRPr="00B662D3" w:rsidRDefault="00D33604" w:rsidP="00234090">
            <w:pPr>
              <w:pStyle w:val="naisf"/>
              <w:numPr>
                <w:ilvl w:val="0"/>
                <w:numId w:val="17"/>
              </w:numPr>
              <w:spacing w:before="0" w:after="0"/>
            </w:pPr>
            <w:r w:rsidRPr="005B3789">
              <w:t>Padomes 2003.</w:t>
            </w:r>
            <w:r>
              <w:t>gada 14.</w:t>
            </w:r>
            <w:r w:rsidRPr="005B3789">
              <w:t>maija Regul</w:t>
            </w:r>
            <w:r>
              <w:t>a</w:t>
            </w:r>
            <w:r w:rsidRPr="005B3789">
              <w:t xml:space="preserve"> (EK) Nr. 859/2003 ar ko Regulas (</w:t>
            </w:r>
            <w:smartTag w:uri="schemas-tilde-lv/tildestengine" w:element="currency2">
              <w:smartTagPr>
                <w:attr w:name="currency_text" w:val="EEK"/>
                <w:attr w:name="currency_value" w:val="1"/>
                <w:attr w:name="currency_key" w:val="EEK"/>
                <w:attr w:name="currency_id" w:val="14"/>
              </w:smartTagPr>
              <w:r w:rsidRPr="005B3789">
                <w:t>EEK</w:t>
              </w:r>
            </w:smartTag>
            <w:r w:rsidRPr="005B3789">
              <w:t>) Nr. 1408/71 un Regulas (</w:t>
            </w:r>
            <w:smartTag w:uri="schemas-tilde-lv/tildestengine" w:element="currency2">
              <w:smartTagPr>
                <w:attr w:name="currency_text" w:val="EEK"/>
                <w:attr w:name="currency_value" w:val="1"/>
                <w:attr w:name="currency_key" w:val="EEK"/>
                <w:attr w:name="currency_id" w:val="14"/>
              </w:smartTagPr>
              <w:r w:rsidRPr="005B3789">
                <w:t>EEK</w:t>
              </w:r>
            </w:smartTag>
            <w:r w:rsidRPr="005B3789">
              <w:t>) Nr. 574/72 noteikumus attiecina arī uz tiem trešo valstu pilsoņiem, uz kuriem minētie noteikumi neattiecas tikai viņu valstspiederības dēļ</w:t>
            </w:r>
            <w:r>
              <w:t>.</w:t>
            </w:r>
          </w:p>
        </w:tc>
      </w:tr>
      <w:tr w:rsidR="00C95CF0" w:rsidRPr="00C95CF0" w:rsidTr="005C7217">
        <w:tc>
          <w:tcPr>
            <w:tcW w:w="352" w:type="pct"/>
            <w:tcBorders>
              <w:top w:val="outset" w:sz="6" w:space="0" w:color="auto"/>
              <w:left w:val="outset" w:sz="6" w:space="0" w:color="auto"/>
              <w:bottom w:val="outset" w:sz="6" w:space="0" w:color="auto"/>
              <w:right w:val="outset" w:sz="6" w:space="0" w:color="auto"/>
            </w:tcBorders>
            <w:hideMark/>
          </w:tcPr>
          <w:p w:rsidR="00C95CF0" w:rsidRPr="00C95CF0" w:rsidRDefault="00C95CF0" w:rsidP="00C95CF0">
            <w:pPr>
              <w:spacing w:line="360" w:lineRule="auto"/>
              <w:rPr>
                <w:lang w:eastAsia="en-US" w:bidi="lo-LA"/>
              </w:rPr>
            </w:pPr>
            <w:r w:rsidRPr="00C95CF0">
              <w:rPr>
                <w:lang w:eastAsia="en-US" w:bidi="lo-LA"/>
              </w:rPr>
              <w:lastRenderedPageBreak/>
              <w:t>2.</w:t>
            </w:r>
          </w:p>
        </w:tc>
        <w:tc>
          <w:tcPr>
            <w:tcW w:w="1806" w:type="pct"/>
            <w:tcBorders>
              <w:top w:val="outset" w:sz="6" w:space="0" w:color="auto"/>
              <w:left w:val="outset" w:sz="6" w:space="0" w:color="auto"/>
              <w:bottom w:val="outset" w:sz="6" w:space="0" w:color="auto"/>
              <w:right w:val="outset" w:sz="6" w:space="0" w:color="auto"/>
            </w:tcBorders>
            <w:hideMark/>
          </w:tcPr>
          <w:p w:rsidR="00C95CF0" w:rsidRPr="00C95CF0" w:rsidRDefault="00C95CF0" w:rsidP="00C95CF0">
            <w:pPr>
              <w:spacing w:line="360" w:lineRule="auto"/>
              <w:rPr>
                <w:lang w:eastAsia="en-US" w:bidi="lo-LA"/>
              </w:rPr>
            </w:pPr>
            <w:r w:rsidRPr="00C95CF0">
              <w:rPr>
                <w:lang w:eastAsia="en-US" w:bidi="lo-LA"/>
              </w:rPr>
              <w:t>Citas starptautiskās saistības</w:t>
            </w:r>
          </w:p>
        </w:tc>
        <w:tc>
          <w:tcPr>
            <w:tcW w:w="2843" w:type="pct"/>
            <w:tcBorders>
              <w:top w:val="outset" w:sz="6" w:space="0" w:color="auto"/>
              <w:left w:val="outset" w:sz="6" w:space="0" w:color="auto"/>
              <w:bottom w:val="outset" w:sz="6" w:space="0" w:color="auto"/>
              <w:right w:val="outset" w:sz="6" w:space="0" w:color="auto"/>
            </w:tcBorders>
            <w:hideMark/>
          </w:tcPr>
          <w:p w:rsidR="00C95CF0" w:rsidRPr="00C95CF0" w:rsidRDefault="00C95CF0" w:rsidP="00C95CF0">
            <w:pPr>
              <w:spacing w:line="360" w:lineRule="auto"/>
              <w:rPr>
                <w:lang w:eastAsia="en-US" w:bidi="lo-LA"/>
              </w:rPr>
            </w:pPr>
            <w:r>
              <w:rPr>
                <w:lang w:eastAsia="en-US" w:bidi="lo-LA"/>
              </w:rPr>
              <w:t xml:space="preserve">Projekts šo jomu neskar </w:t>
            </w:r>
          </w:p>
        </w:tc>
      </w:tr>
      <w:tr w:rsidR="00C95CF0" w:rsidRPr="00C95CF0" w:rsidTr="005C7217">
        <w:tc>
          <w:tcPr>
            <w:tcW w:w="352" w:type="pct"/>
            <w:tcBorders>
              <w:top w:val="outset" w:sz="6" w:space="0" w:color="auto"/>
              <w:left w:val="outset" w:sz="6" w:space="0" w:color="auto"/>
              <w:bottom w:val="outset" w:sz="6" w:space="0" w:color="auto"/>
              <w:right w:val="outset" w:sz="6" w:space="0" w:color="auto"/>
            </w:tcBorders>
            <w:hideMark/>
          </w:tcPr>
          <w:p w:rsidR="00C95CF0" w:rsidRPr="00C95CF0" w:rsidRDefault="00C95CF0" w:rsidP="00C95CF0">
            <w:pPr>
              <w:spacing w:line="360" w:lineRule="auto"/>
              <w:rPr>
                <w:lang w:eastAsia="en-US" w:bidi="lo-LA"/>
              </w:rPr>
            </w:pPr>
            <w:r w:rsidRPr="00C95CF0">
              <w:rPr>
                <w:lang w:eastAsia="en-US" w:bidi="lo-LA"/>
              </w:rPr>
              <w:t>3.</w:t>
            </w:r>
          </w:p>
        </w:tc>
        <w:tc>
          <w:tcPr>
            <w:tcW w:w="1806" w:type="pct"/>
            <w:tcBorders>
              <w:top w:val="outset" w:sz="6" w:space="0" w:color="auto"/>
              <w:left w:val="outset" w:sz="6" w:space="0" w:color="auto"/>
              <w:bottom w:val="outset" w:sz="6" w:space="0" w:color="auto"/>
              <w:right w:val="outset" w:sz="6" w:space="0" w:color="auto"/>
            </w:tcBorders>
            <w:hideMark/>
          </w:tcPr>
          <w:p w:rsidR="00C95CF0" w:rsidRPr="00F27EE4" w:rsidRDefault="00C95CF0" w:rsidP="00C95CF0">
            <w:pPr>
              <w:spacing w:line="360" w:lineRule="auto"/>
              <w:rPr>
                <w:highlight w:val="yellow"/>
                <w:lang w:eastAsia="en-US" w:bidi="lo-LA"/>
              </w:rPr>
            </w:pPr>
            <w:r w:rsidRPr="00F27EE4">
              <w:rPr>
                <w:lang w:eastAsia="en-US" w:bidi="lo-LA"/>
              </w:rPr>
              <w:t>Cita informācija</w:t>
            </w:r>
          </w:p>
        </w:tc>
        <w:tc>
          <w:tcPr>
            <w:tcW w:w="2843" w:type="pct"/>
            <w:tcBorders>
              <w:top w:val="outset" w:sz="6" w:space="0" w:color="auto"/>
              <w:left w:val="outset" w:sz="6" w:space="0" w:color="auto"/>
              <w:bottom w:val="outset" w:sz="6" w:space="0" w:color="auto"/>
              <w:right w:val="outset" w:sz="6" w:space="0" w:color="auto"/>
            </w:tcBorders>
            <w:hideMark/>
          </w:tcPr>
          <w:p w:rsidR="00EC295C" w:rsidRPr="00F27EE4" w:rsidRDefault="00EC295C" w:rsidP="00EC295C">
            <w:pPr>
              <w:jc w:val="both"/>
              <w:rPr>
                <w:lang w:eastAsia="en-US" w:bidi="lo-LA"/>
              </w:rPr>
            </w:pPr>
            <w:r w:rsidRPr="00F27EE4">
              <w:rPr>
                <w:lang w:eastAsia="en-US" w:bidi="lo-LA"/>
              </w:rPr>
              <w:t>Dienests turpinās īstenot nepieciešamās darbības saistībā ar sekojošiem starptautiskajiem līgumiem:</w:t>
            </w:r>
          </w:p>
          <w:p w:rsidR="00EC295C" w:rsidRPr="00F27EE4" w:rsidRDefault="00EC295C" w:rsidP="00EC295C">
            <w:pPr>
              <w:jc w:val="both"/>
            </w:pPr>
            <w:r w:rsidRPr="00F27EE4">
              <w:t>1)</w:t>
            </w:r>
            <w:r w:rsidR="004D30B4">
              <w:t xml:space="preserve"> </w:t>
            </w:r>
            <w:r w:rsidRPr="00F27EE4">
              <w:t>2010.</w:t>
            </w:r>
            <w:r w:rsidR="004D30B4">
              <w:t>gada 24.septembra starptautisks dokuments „</w:t>
            </w:r>
            <w:r w:rsidRPr="00F27EE4">
              <w:t xml:space="preserve">Latvijas Republikas Veselības ministrijas, </w:t>
            </w:r>
            <w:r w:rsidRPr="00F27EE4">
              <w:rPr>
                <w:b/>
                <w:bCs/>
              </w:rPr>
              <w:t>Igaunijas Republikas</w:t>
            </w:r>
            <w:r w:rsidRPr="00F27EE4">
              <w:t xml:space="preserve"> Sociālo lietu ministrijas un Igaunijas Republikas Iekšlietu ministrijas vienošanās par savstarpējo palīdzību neatliekamās medicīniskās palīdzības sniegšanā pierobežas teritorijā</w:t>
            </w:r>
            <w:r w:rsidR="004D30B4">
              <w:t>”</w:t>
            </w:r>
            <w:r w:rsidRPr="00F27EE4">
              <w:t>, uz kura pamata 2010.gada 26.novembrī parakstī</w:t>
            </w:r>
            <w:r w:rsidR="009917BD">
              <w:t>t</w:t>
            </w:r>
            <w:r w:rsidRPr="00F27EE4">
              <w:t>s līgums starp Igaunijas Republikas „Veselības pārvaldi” un Latvijas Republikas Veselības norēķinu centru par neatliekamās medicīniskās palīdzības pakalpojumiem.</w:t>
            </w:r>
          </w:p>
          <w:p w:rsidR="00EC295C" w:rsidRPr="00F27EE4" w:rsidRDefault="00EC295C" w:rsidP="00EC295C">
            <w:pPr>
              <w:jc w:val="both"/>
            </w:pPr>
            <w:r w:rsidRPr="00F27EE4">
              <w:t xml:space="preserve">2) Latvijas Republikas un </w:t>
            </w:r>
            <w:r w:rsidRPr="00F27EE4">
              <w:rPr>
                <w:b/>
                <w:bCs/>
              </w:rPr>
              <w:t xml:space="preserve">Somijas Republikas </w:t>
            </w:r>
            <w:r w:rsidRPr="00F27EE4">
              <w:t>sociālās drošības līgums</w:t>
            </w:r>
            <w:r w:rsidR="004D30B4">
              <w:t xml:space="preserve"> (apstiprināts Latvijas Republikas Saeimā 1999.gada 28.oktobrī).</w:t>
            </w:r>
          </w:p>
          <w:p w:rsidR="00EC295C" w:rsidRPr="00F27EE4" w:rsidRDefault="00EC295C" w:rsidP="00EC295C">
            <w:pPr>
              <w:jc w:val="both"/>
            </w:pPr>
            <w:r w:rsidRPr="00F27EE4">
              <w:t xml:space="preserve">3) Latvijas Republikas valdības un </w:t>
            </w:r>
            <w:r w:rsidRPr="00F27EE4">
              <w:rPr>
                <w:b/>
                <w:bCs/>
              </w:rPr>
              <w:t>Zviedrijas</w:t>
            </w:r>
            <w:r w:rsidRPr="00F27EE4">
              <w:t xml:space="preserve"> </w:t>
            </w:r>
            <w:r w:rsidRPr="00F27EE4">
              <w:rPr>
                <w:b/>
                <w:bCs/>
              </w:rPr>
              <w:t>Karalistes</w:t>
            </w:r>
            <w:r w:rsidRPr="00F27EE4">
              <w:t xml:space="preserve"> valdības līgums par personu veselības aprūpi pagaidu uzturēšanās laikā</w:t>
            </w:r>
            <w:r w:rsidR="004D30B4">
              <w:t xml:space="preserve"> (apstiprināts Ministru kabinetā 1997.gada 19.novembrī).</w:t>
            </w:r>
          </w:p>
          <w:p w:rsidR="00EC295C" w:rsidRPr="00F27EE4" w:rsidRDefault="00EC295C" w:rsidP="00EC295C">
            <w:pPr>
              <w:jc w:val="both"/>
            </w:pPr>
            <w:r w:rsidRPr="00F27EE4">
              <w:lastRenderedPageBreak/>
              <w:t xml:space="preserve">4) Latvijas Republikas valdības un </w:t>
            </w:r>
            <w:r w:rsidRPr="00F27EE4">
              <w:rPr>
                <w:b/>
                <w:bCs/>
              </w:rPr>
              <w:t>Krievijas Federācijas</w:t>
            </w:r>
            <w:r w:rsidRPr="00F27EE4">
              <w:t xml:space="preserve"> valdības vienošanās par Latvijas Republikas teritorijā dzīvojošo Krievijas Federācijas militāro pensionāru un viņu ģimenes locekļu sociālo aizsardzību</w:t>
            </w:r>
            <w:r w:rsidR="004D30B4">
              <w:t xml:space="preserve"> (apstiprināta Latvijas Republikas Saeimā 1994.gada 24.novembrī.</w:t>
            </w:r>
          </w:p>
          <w:p w:rsidR="00C95CF0" w:rsidRPr="004D30B4" w:rsidRDefault="00EC295C" w:rsidP="004D30B4">
            <w:pPr>
              <w:jc w:val="both"/>
            </w:pPr>
            <w:r w:rsidRPr="00F27EE4">
              <w:t xml:space="preserve">5) Latvijas Republikas un </w:t>
            </w:r>
            <w:r w:rsidRPr="00F27EE4">
              <w:rPr>
                <w:b/>
              </w:rPr>
              <w:t>Ukrainas</w:t>
            </w:r>
            <w:r w:rsidRPr="00F27EE4">
              <w:t xml:space="preserve"> līgums par sadarbību sociālās drošības jomā</w:t>
            </w:r>
            <w:r w:rsidR="004D30B4">
              <w:t xml:space="preserve"> (apstiprināts 1998.gada 7.maijā).</w:t>
            </w:r>
          </w:p>
        </w:tc>
      </w:tr>
    </w:tbl>
    <w:p w:rsidR="00C95CF0" w:rsidRPr="00C95CF0" w:rsidRDefault="00C95CF0" w:rsidP="00C95CF0">
      <w:pPr>
        <w:spacing w:line="360" w:lineRule="auto"/>
        <w:rPr>
          <w:vanish/>
          <w:lang w:eastAsia="en-US" w:bidi="lo-LA"/>
        </w:rPr>
      </w:pPr>
    </w:p>
    <w:tbl>
      <w:tblPr>
        <w:tblW w:w="5123" w:type="pct"/>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2408"/>
        <w:gridCol w:w="1700"/>
        <w:gridCol w:w="2449"/>
        <w:gridCol w:w="2799"/>
      </w:tblGrid>
      <w:tr w:rsidR="00C95CF0" w:rsidRPr="00C95CF0" w:rsidTr="003114D7">
        <w:trPr>
          <w:trHeight w:val="510"/>
        </w:trPr>
        <w:tc>
          <w:tcPr>
            <w:tcW w:w="9356" w:type="dxa"/>
            <w:gridSpan w:val="4"/>
            <w:tcBorders>
              <w:top w:val="outset" w:sz="6" w:space="0" w:color="auto"/>
              <w:left w:val="outset" w:sz="6" w:space="0" w:color="auto"/>
              <w:bottom w:val="outset" w:sz="6" w:space="0" w:color="auto"/>
              <w:right w:val="outset" w:sz="6" w:space="0" w:color="auto"/>
            </w:tcBorders>
            <w:vAlign w:val="center"/>
            <w:hideMark/>
          </w:tcPr>
          <w:p w:rsidR="00C95CF0" w:rsidRPr="00C95CF0" w:rsidRDefault="00C95CF0" w:rsidP="00C95CF0">
            <w:pPr>
              <w:jc w:val="center"/>
              <w:rPr>
                <w:lang w:eastAsia="en-US" w:bidi="lo-LA"/>
              </w:rPr>
            </w:pPr>
            <w:r w:rsidRPr="00C95CF0">
              <w:rPr>
                <w:b/>
                <w:bCs/>
                <w:lang w:eastAsia="en-US" w:bidi="lo-LA"/>
              </w:rPr>
              <w:t>1.tabula</w:t>
            </w:r>
            <w:r w:rsidRPr="00C95CF0">
              <w:rPr>
                <w:b/>
                <w:bCs/>
                <w:lang w:eastAsia="en-US" w:bidi="lo-LA"/>
              </w:rPr>
              <w:br/>
              <w:t>Tiesību akta projekta atbilstība ES tiesību aktiem</w:t>
            </w:r>
          </w:p>
        </w:tc>
      </w:tr>
      <w:tr w:rsidR="00C95CF0" w:rsidRPr="00C95CF0" w:rsidTr="003114D7">
        <w:tc>
          <w:tcPr>
            <w:tcW w:w="2408" w:type="dxa"/>
            <w:tcBorders>
              <w:top w:val="outset" w:sz="6" w:space="0" w:color="auto"/>
              <w:left w:val="outset" w:sz="6" w:space="0" w:color="auto"/>
              <w:bottom w:val="outset" w:sz="6" w:space="0" w:color="auto"/>
              <w:right w:val="outset" w:sz="6" w:space="0" w:color="auto"/>
            </w:tcBorders>
            <w:hideMark/>
          </w:tcPr>
          <w:p w:rsidR="00C95CF0" w:rsidRPr="00C95CF0" w:rsidRDefault="00196F14" w:rsidP="00B662D3">
            <w:pPr>
              <w:rPr>
                <w:lang w:eastAsia="en-US" w:bidi="lo-LA"/>
              </w:rPr>
            </w:pPr>
            <w:r>
              <w:rPr>
                <w:lang w:eastAsia="en-US" w:bidi="lo-LA"/>
              </w:rPr>
              <w:t xml:space="preserve">Attiecīgā </w:t>
            </w:r>
            <w:r w:rsidR="00C95CF0" w:rsidRPr="00C95CF0">
              <w:rPr>
                <w:lang w:eastAsia="en-US" w:bidi="lo-LA"/>
              </w:rPr>
              <w:t>ES tiesību akta datums, numurs un nosaukums</w:t>
            </w:r>
          </w:p>
        </w:tc>
        <w:tc>
          <w:tcPr>
            <w:tcW w:w="6948" w:type="dxa"/>
            <w:gridSpan w:val="3"/>
            <w:tcBorders>
              <w:top w:val="outset" w:sz="6" w:space="0" w:color="auto"/>
              <w:left w:val="outset" w:sz="6" w:space="0" w:color="auto"/>
              <w:bottom w:val="outset" w:sz="6" w:space="0" w:color="auto"/>
              <w:right w:val="outset" w:sz="6" w:space="0" w:color="auto"/>
            </w:tcBorders>
            <w:hideMark/>
          </w:tcPr>
          <w:p w:rsidR="00196F14" w:rsidRPr="00196F14" w:rsidRDefault="00B662D3" w:rsidP="005D1086">
            <w:pPr>
              <w:jc w:val="both"/>
            </w:pPr>
            <w:r w:rsidRPr="00B662D3">
              <w:t xml:space="preserve">Ar normatīvo aktu tiek </w:t>
            </w:r>
            <w:r>
              <w:t>nodrošināta šādu</w:t>
            </w:r>
            <w:r w:rsidRPr="00B662D3">
              <w:t xml:space="preserve"> Eiropas Savienības tiesību aktu prasīb</w:t>
            </w:r>
            <w:r>
              <w:t>u ieviešana:</w:t>
            </w:r>
          </w:p>
          <w:p w:rsidR="00B36E8A" w:rsidRDefault="00196F14" w:rsidP="00B36E8A">
            <w:pPr>
              <w:pStyle w:val="naisf"/>
              <w:numPr>
                <w:ilvl w:val="0"/>
                <w:numId w:val="16"/>
              </w:numPr>
              <w:spacing w:before="0" w:after="0"/>
            </w:pPr>
            <w:r w:rsidRPr="00196F14">
              <w:t>Eiropas Parlamenta un Padomes 2004.gada 29.aprīļa Regula (EK) Nr.</w:t>
            </w:r>
            <w:hyperlink r:id="rId21" w:tgtFrame="_blank" w:tooltip="REGULA" w:history="1">
              <w:r w:rsidRPr="00196F14">
                <w:rPr>
                  <w:rStyle w:val="Hyperlink"/>
                </w:rPr>
                <w:t>883/2004</w:t>
              </w:r>
            </w:hyperlink>
            <w:r w:rsidRPr="00196F14">
              <w:t xml:space="preserve"> par sociālās nodrošināšanas sistēmu koord</w:t>
            </w:r>
            <w:r w:rsidR="000C2E59">
              <w:t>inēšanu</w:t>
            </w:r>
            <w:r w:rsidR="00B36E8A">
              <w:t>;</w:t>
            </w:r>
            <w:r w:rsidR="000C2E59">
              <w:t xml:space="preserve"> </w:t>
            </w:r>
          </w:p>
          <w:p w:rsidR="00B36E8A" w:rsidRDefault="00196F14" w:rsidP="00B36E8A">
            <w:pPr>
              <w:pStyle w:val="naisf"/>
              <w:numPr>
                <w:ilvl w:val="0"/>
                <w:numId w:val="16"/>
              </w:numPr>
              <w:spacing w:before="0" w:after="0"/>
            </w:pPr>
            <w:r w:rsidRPr="00196F14">
              <w:t xml:space="preserve"> </w:t>
            </w:r>
            <w:r w:rsidR="00B36E8A" w:rsidRPr="00B36E8A">
              <w:rPr>
                <w:bCs/>
              </w:rPr>
              <w:t>Eiropas Parlamenta un Padomes Regula (EK) Nr.</w:t>
            </w:r>
            <w:r w:rsidR="00B36E8A">
              <w:t xml:space="preserve"> </w:t>
            </w:r>
            <w:hyperlink r:id="rId22" w:tgtFrame="_blank" w:tooltip="REGULA" w:history="1">
              <w:r w:rsidR="00B36E8A">
                <w:rPr>
                  <w:rStyle w:val="Hyperlink"/>
                </w:rPr>
                <w:t>988</w:t>
              </w:r>
              <w:r w:rsidR="00B36E8A" w:rsidRPr="00196F14">
                <w:rPr>
                  <w:rStyle w:val="Hyperlink"/>
                </w:rPr>
                <w:t>/2009</w:t>
              </w:r>
            </w:hyperlink>
            <w:r w:rsidR="00B36E8A" w:rsidRPr="00B36E8A">
              <w:rPr>
                <w:bCs/>
              </w:rPr>
              <w:t xml:space="preserve"> (2009.gada 16.septembris),ar ko groza Regulu (EK) </w:t>
            </w:r>
            <w:hyperlink r:id="rId23" w:tgtFrame="_blank" w:tooltip="REGULA" w:history="1">
              <w:r w:rsidR="00B36E8A" w:rsidRPr="00196F14">
                <w:rPr>
                  <w:rStyle w:val="Hyperlink"/>
                </w:rPr>
                <w:t>883/2004</w:t>
              </w:r>
            </w:hyperlink>
            <w:r w:rsidR="00B36E8A">
              <w:t xml:space="preserve"> </w:t>
            </w:r>
            <w:r w:rsidR="00B36E8A" w:rsidRPr="00B36E8A">
              <w:rPr>
                <w:bCs/>
              </w:rPr>
              <w:t>par sociālās nodrošināšanas sistēmu koordinēšanu un ar ko nosaka tās pielikumu saturu</w:t>
            </w:r>
            <w:r w:rsidR="00B36E8A">
              <w:rPr>
                <w:bCs/>
              </w:rPr>
              <w:t>;</w:t>
            </w:r>
            <w:r w:rsidR="00B36E8A" w:rsidRPr="00B36E8A">
              <w:rPr>
                <w:bCs/>
              </w:rPr>
              <w:t xml:space="preserve"> </w:t>
            </w:r>
          </w:p>
          <w:p w:rsidR="00AD43F2" w:rsidRDefault="00B36E8A" w:rsidP="00AD43F2">
            <w:pPr>
              <w:pStyle w:val="naisf"/>
              <w:numPr>
                <w:ilvl w:val="0"/>
                <w:numId w:val="16"/>
              </w:numPr>
              <w:spacing w:before="0" w:after="0"/>
            </w:pPr>
            <w:r>
              <w:t xml:space="preserve">Eiropas Parlamenta un </w:t>
            </w:r>
            <w:r w:rsidR="00196F14" w:rsidRPr="00196F14">
              <w:t>Padomes 2009.gada 16.septembra Regula (EK) Nr.</w:t>
            </w:r>
            <w:hyperlink r:id="rId24" w:tgtFrame="_blank" w:tooltip="REGULA" w:history="1">
              <w:r w:rsidR="00196F14" w:rsidRPr="00196F14">
                <w:rPr>
                  <w:rStyle w:val="Hyperlink"/>
                </w:rPr>
                <w:t>987/2009</w:t>
              </w:r>
            </w:hyperlink>
            <w:r w:rsidR="00196F14" w:rsidRPr="00196F14">
              <w:t>, ar ko nosaka īstenošanas kārtību Regulai (EK) Nr.</w:t>
            </w:r>
            <w:hyperlink r:id="rId25" w:tgtFrame="_blank" w:tooltip="REGULA" w:history="1">
              <w:r w:rsidR="00196F14" w:rsidRPr="00196F14">
                <w:rPr>
                  <w:rStyle w:val="Hyperlink"/>
                </w:rPr>
                <w:t>883/2004</w:t>
              </w:r>
            </w:hyperlink>
            <w:r w:rsidR="00196F14" w:rsidRPr="00196F14">
              <w:t xml:space="preserve"> par sociālās nodrošināšanas sistēmu koordinēšanu, noteiktos kompetentās iestādes uzdevumus veselības aprūpes jomā</w:t>
            </w:r>
            <w:r w:rsidR="00AD43F2">
              <w:t>;</w:t>
            </w:r>
          </w:p>
          <w:p w:rsidR="00AD43F2" w:rsidRDefault="00AD43F2" w:rsidP="00AD43F2">
            <w:pPr>
              <w:pStyle w:val="naisf"/>
              <w:numPr>
                <w:ilvl w:val="0"/>
                <w:numId w:val="16"/>
              </w:numPr>
              <w:spacing w:before="0" w:after="0"/>
            </w:pPr>
            <w:r w:rsidRPr="00AD43F2">
              <w:t>Eiropas Parlamenta un Padomes Regula (ES) Nr.</w:t>
            </w:r>
            <w:hyperlink r:id="rId26" w:tgtFrame="_blank" w:tooltip="REGULA" w:history="1">
              <w:r w:rsidRPr="00AD43F2">
                <w:rPr>
                  <w:rStyle w:val="Hyperlink"/>
                </w:rPr>
                <w:t>1231/2010</w:t>
              </w:r>
            </w:hyperlink>
            <w:r w:rsidRPr="00AD43F2">
              <w:t xml:space="preserve">  (2010.gada 24.novembris), ar ko Regulu (EK) Nr.</w:t>
            </w:r>
            <w:hyperlink r:id="rId27" w:tgtFrame="_blank" w:tooltip="REGULA" w:history="1">
              <w:r w:rsidRPr="00AD43F2">
                <w:rPr>
                  <w:rStyle w:val="Hyperlink"/>
                </w:rPr>
                <w:t>883/2004</w:t>
              </w:r>
            </w:hyperlink>
            <w:r w:rsidRPr="00AD43F2">
              <w:t xml:space="preserve"> un Regulu (EK) Nr. </w:t>
            </w:r>
            <w:hyperlink r:id="rId28" w:tgtFrame="_blank" w:tooltip="REGULA" w:history="1">
              <w:r w:rsidRPr="00AD43F2">
                <w:rPr>
                  <w:rStyle w:val="Hyperlink"/>
                </w:rPr>
                <w:t>987/2009</w:t>
              </w:r>
            </w:hyperlink>
            <w:r w:rsidRPr="00AD43F2">
              <w:t xml:space="preserve"> attiecina arī uz tiem trešo valstu valstspiederīgajiem, uz kuriem minētās regulas neattiecas tikai viņu valstspiederības dēļ</w:t>
            </w:r>
            <w:r>
              <w:t>;</w:t>
            </w:r>
          </w:p>
          <w:p w:rsidR="00AD43F2" w:rsidRDefault="00196F14" w:rsidP="0050684E">
            <w:pPr>
              <w:pStyle w:val="naisf"/>
              <w:numPr>
                <w:ilvl w:val="0"/>
                <w:numId w:val="16"/>
              </w:numPr>
              <w:spacing w:before="0" w:after="0"/>
            </w:pPr>
            <w:r w:rsidRPr="00196F14">
              <w:t>Eiropas Parlamenta un Padomes 2006.gada 12.decembra Regula Nr.</w:t>
            </w:r>
            <w:hyperlink r:id="rId29" w:tgtFrame="_blank" w:tooltip="REGULA" w:history="1">
              <w:r w:rsidRPr="00196F14">
                <w:rPr>
                  <w:rStyle w:val="Hyperlink"/>
                </w:rPr>
                <w:t>1920/2006</w:t>
              </w:r>
            </w:hyperlink>
            <w:r w:rsidRPr="00196F14">
              <w:t xml:space="preserve"> par Eiropas Narkotiku un narkomānijas uzraudzības centru</w:t>
            </w:r>
            <w:r w:rsidR="00B02825">
              <w:t>;</w:t>
            </w:r>
            <w:r w:rsidRPr="00196F14">
              <w:t xml:space="preserve"> </w:t>
            </w:r>
          </w:p>
          <w:p w:rsidR="00F5219C" w:rsidRDefault="00D666AA" w:rsidP="00F5219C">
            <w:pPr>
              <w:pStyle w:val="naisf"/>
              <w:numPr>
                <w:ilvl w:val="0"/>
                <w:numId w:val="16"/>
              </w:numPr>
              <w:spacing w:before="0" w:after="0"/>
            </w:pPr>
            <w:r w:rsidRPr="00B02825">
              <w:t xml:space="preserve">Padomes </w:t>
            </w:r>
            <w:r w:rsidR="00B02825" w:rsidRPr="00B02825">
              <w:t>2005. gada 10. maija lēmums 2005/387/TI par informācijas apmaiņu, riska novērtējumu un kontroli attiecībā uz ja</w:t>
            </w:r>
            <w:r w:rsidR="00B02825">
              <w:t>unām psihoaktīvām vielām</w:t>
            </w:r>
            <w:r w:rsidR="00F5219C">
              <w:t>;</w:t>
            </w:r>
          </w:p>
          <w:p w:rsidR="00F5219C" w:rsidRDefault="00F5219C" w:rsidP="00F5219C">
            <w:pPr>
              <w:pStyle w:val="naisf"/>
              <w:numPr>
                <w:ilvl w:val="0"/>
                <w:numId w:val="16"/>
              </w:numPr>
              <w:spacing w:before="0" w:after="0"/>
            </w:pPr>
            <w:r>
              <w:t>Pa</w:t>
            </w:r>
            <w:r w:rsidR="0095397D">
              <w:t>domes 1971.gada 14.jūnija Regula</w:t>
            </w:r>
            <w:r>
              <w:t xml:space="preserve"> (EEK) Nr.1408/71 par sociālā nodrošinājuma shēmu piemērošanu darba ņēmējiem un to ģimenēm, kas pārvietojas Kopienas teritorijā;</w:t>
            </w:r>
          </w:p>
          <w:p w:rsidR="00F5219C" w:rsidRDefault="00F5219C" w:rsidP="00F5219C">
            <w:pPr>
              <w:pStyle w:val="naisf"/>
              <w:numPr>
                <w:ilvl w:val="0"/>
                <w:numId w:val="16"/>
              </w:numPr>
              <w:spacing w:before="0" w:after="0"/>
            </w:pPr>
            <w:r>
              <w:t xml:space="preserve"> Padomes </w:t>
            </w:r>
            <w:r w:rsidR="0095397D">
              <w:t>1972.gada 21.marta Regula</w:t>
            </w:r>
            <w:r w:rsidRPr="00541472">
              <w:t xml:space="preserve"> (</w:t>
            </w:r>
            <w:smartTag w:uri="schemas-tilde-lv/tildestengine" w:element="currency2">
              <w:smartTagPr>
                <w:attr w:name="currency_id" w:val="14"/>
                <w:attr w:name="currency_key" w:val="EEK"/>
                <w:attr w:name="currency_value" w:val="1"/>
                <w:attr w:name="currency_text" w:val="EEK"/>
              </w:smartTagPr>
              <w:r w:rsidRPr="00541472">
                <w:t>EEK</w:t>
              </w:r>
            </w:smartTag>
            <w:r w:rsidRPr="00541472">
              <w:t xml:space="preserve">) Nr. </w:t>
            </w:r>
            <w:hyperlink r:id="rId30" w:tgtFrame="_blank" w:tooltip="Atvērt regulas konsolidēto versiju" w:history="1">
              <w:r w:rsidRPr="00541472">
                <w:rPr>
                  <w:rStyle w:val="Hyperlink"/>
                </w:rPr>
                <w:t>574/72</w:t>
              </w:r>
            </w:hyperlink>
            <w:r w:rsidRPr="00541472">
              <w:t xml:space="preserve">, ar kuru nosaka īstenošanas kārtību Regulai (EEK) Nr. </w:t>
            </w:r>
            <w:hyperlink r:id="rId31" w:tgtFrame="_blank" w:tooltip="Atvērt regulas konsolidēto versiju" w:history="1">
              <w:r w:rsidRPr="00541472">
                <w:rPr>
                  <w:rStyle w:val="Hyperlink"/>
                </w:rPr>
                <w:t>1408/71</w:t>
              </w:r>
            </w:hyperlink>
            <w:r w:rsidRPr="00541472">
              <w:t xml:space="preserve"> par sociālā nodrošinājuma sistēmu piemērošanu darbiniekiem un viņu ģimenēm, kas pārvietojas Kopienā</w:t>
            </w:r>
            <w:r w:rsidR="0095397D">
              <w:t>;</w:t>
            </w:r>
          </w:p>
          <w:p w:rsidR="0095397D" w:rsidRPr="00B02825" w:rsidRDefault="0095397D" w:rsidP="0095397D">
            <w:pPr>
              <w:pStyle w:val="naisf"/>
              <w:numPr>
                <w:ilvl w:val="0"/>
                <w:numId w:val="16"/>
              </w:numPr>
              <w:spacing w:before="0" w:after="0"/>
            </w:pPr>
            <w:r w:rsidRPr="005B3789">
              <w:t>Padomes 2003.</w:t>
            </w:r>
            <w:r>
              <w:t>gada 14.</w:t>
            </w:r>
            <w:r w:rsidRPr="005B3789">
              <w:t>maija Regul</w:t>
            </w:r>
            <w:r>
              <w:t>a</w:t>
            </w:r>
            <w:r w:rsidRPr="005B3789">
              <w:t xml:space="preserve"> (EK) Nr. 859/2003 ar ko Regulas (</w:t>
            </w:r>
            <w:smartTag w:uri="schemas-tilde-lv/tildestengine" w:element="currency2">
              <w:smartTagPr>
                <w:attr w:name="currency_text" w:val="EEK"/>
                <w:attr w:name="currency_value" w:val="1"/>
                <w:attr w:name="currency_key" w:val="EEK"/>
                <w:attr w:name="currency_id" w:val="14"/>
              </w:smartTagPr>
              <w:r w:rsidRPr="005B3789">
                <w:t>EEK</w:t>
              </w:r>
            </w:smartTag>
            <w:r w:rsidRPr="005B3789">
              <w:t>) Nr. 1408/71 un Regulas (</w:t>
            </w:r>
            <w:smartTag w:uri="schemas-tilde-lv/tildestengine" w:element="currency2">
              <w:smartTagPr>
                <w:attr w:name="currency_text" w:val="EEK"/>
                <w:attr w:name="currency_value" w:val="1"/>
                <w:attr w:name="currency_key" w:val="EEK"/>
                <w:attr w:name="currency_id" w:val="14"/>
              </w:smartTagPr>
              <w:r w:rsidRPr="005B3789">
                <w:t>EEK</w:t>
              </w:r>
            </w:smartTag>
            <w:r w:rsidRPr="005B3789">
              <w:t>) Nr. 574/72 noteikumus attiecina arī uz tiem trešo valstu pilsoņiem, uz kuriem minētie noteikumi neattiecas tikai viņu valstspiederības dēļ</w:t>
            </w:r>
            <w:r>
              <w:t>.</w:t>
            </w:r>
          </w:p>
        </w:tc>
      </w:tr>
      <w:tr w:rsidR="00C95CF0" w:rsidRPr="00C95CF0" w:rsidTr="003114D7">
        <w:tc>
          <w:tcPr>
            <w:tcW w:w="2408" w:type="dxa"/>
            <w:tcBorders>
              <w:top w:val="outset" w:sz="6" w:space="0" w:color="auto"/>
              <w:left w:val="outset" w:sz="6" w:space="0" w:color="auto"/>
              <w:bottom w:val="outset" w:sz="6" w:space="0" w:color="auto"/>
              <w:right w:val="outset" w:sz="6" w:space="0" w:color="auto"/>
            </w:tcBorders>
            <w:vAlign w:val="center"/>
            <w:hideMark/>
          </w:tcPr>
          <w:p w:rsidR="00C95CF0" w:rsidRPr="00C95CF0" w:rsidRDefault="00F5219C" w:rsidP="00C95CF0">
            <w:pPr>
              <w:jc w:val="center"/>
              <w:rPr>
                <w:lang w:eastAsia="en-US" w:bidi="lo-LA"/>
              </w:rPr>
            </w:pPr>
            <w:r>
              <w:rPr>
                <w:lang w:eastAsia="en-US" w:bidi="lo-LA"/>
              </w:rPr>
              <w:t xml:space="preserve"> </w:t>
            </w:r>
          </w:p>
        </w:tc>
        <w:tc>
          <w:tcPr>
            <w:tcW w:w="1700" w:type="dxa"/>
            <w:tcBorders>
              <w:top w:val="outset" w:sz="6" w:space="0" w:color="auto"/>
              <w:left w:val="outset" w:sz="6" w:space="0" w:color="auto"/>
              <w:bottom w:val="outset" w:sz="6" w:space="0" w:color="auto"/>
              <w:right w:val="outset" w:sz="6" w:space="0" w:color="auto"/>
            </w:tcBorders>
            <w:vAlign w:val="center"/>
            <w:hideMark/>
          </w:tcPr>
          <w:p w:rsidR="00C95CF0" w:rsidRPr="00C95CF0" w:rsidRDefault="00C95CF0" w:rsidP="00C95CF0">
            <w:pPr>
              <w:jc w:val="center"/>
              <w:rPr>
                <w:lang w:eastAsia="en-US" w:bidi="lo-LA"/>
              </w:rPr>
            </w:pPr>
            <w:r w:rsidRPr="00C95CF0">
              <w:rPr>
                <w:lang w:eastAsia="en-US" w:bidi="lo-LA"/>
              </w:rPr>
              <w:t>B</w:t>
            </w:r>
          </w:p>
        </w:tc>
        <w:tc>
          <w:tcPr>
            <w:tcW w:w="2449" w:type="dxa"/>
            <w:tcBorders>
              <w:top w:val="outset" w:sz="6" w:space="0" w:color="auto"/>
              <w:left w:val="outset" w:sz="6" w:space="0" w:color="auto"/>
              <w:bottom w:val="outset" w:sz="6" w:space="0" w:color="auto"/>
              <w:right w:val="outset" w:sz="6" w:space="0" w:color="auto"/>
            </w:tcBorders>
            <w:vAlign w:val="center"/>
            <w:hideMark/>
          </w:tcPr>
          <w:p w:rsidR="00C95CF0" w:rsidRPr="00C95CF0" w:rsidRDefault="00C95CF0" w:rsidP="00C95CF0">
            <w:pPr>
              <w:jc w:val="center"/>
              <w:rPr>
                <w:lang w:eastAsia="en-US" w:bidi="lo-LA"/>
              </w:rPr>
            </w:pPr>
            <w:r w:rsidRPr="00C95CF0">
              <w:rPr>
                <w:lang w:eastAsia="en-US" w:bidi="lo-LA"/>
              </w:rPr>
              <w:t>C</w:t>
            </w:r>
          </w:p>
        </w:tc>
        <w:tc>
          <w:tcPr>
            <w:tcW w:w="2799" w:type="dxa"/>
            <w:tcBorders>
              <w:top w:val="outset" w:sz="6" w:space="0" w:color="auto"/>
              <w:left w:val="outset" w:sz="6" w:space="0" w:color="auto"/>
              <w:bottom w:val="outset" w:sz="6" w:space="0" w:color="auto"/>
              <w:right w:val="outset" w:sz="6" w:space="0" w:color="auto"/>
            </w:tcBorders>
            <w:vAlign w:val="center"/>
            <w:hideMark/>
          </w:tcPr>
          <w:p w:rsidR="00C95CF0" w:rsidRPr="00C95CF0" w:rsidRDefault="00C95CF0" w:rsidP="00C95CF0">
            <w:pPr>
              <w:jc w:val="center"/>
              <w:rPr>
                <w:lang w:eastAsia="en-US" w:bidi="lo-LA"/>
              </w:rPr>
            </w:pPr>
            <w:r w:rsidRPr="00C95CF0">
              <w:rPr>
                <w:lang w:eastAsia="en-US" w:bidi="lo-LA"/>
              </w:rPr>
              <w:t>D</w:t>
            </w:r>
          </w:p>
        </w:tc>
      </w:tr>
      <w:tr w:rsidR="00C95CF0" w:rsidRPr="00C95CF0" w:rsidTr="003114D7">
        <w:tc>
          <w:tcPr>
            <w:tcW w:w="2408" w:type="dxa"/>
            <w:tcBorders>
              <w:top w:val="outset" w:sz="6" w:space="0" w:color="auto"/>
              <w:left w:val="outset" w:sz="6" w:space="0" w:color="auto"/>
              <w:bottom w:val="outset" w:sz="6" w:space="0" w:color="auto"/>
              <w:right w:val="outset" w:sz="6" w:space="0" w:color="auto"/>
            </w:tcBorders>
            <w:hideMark/>
          </w:tcPr>
          <w:p w:rsidR="00C95CF0" w:rsidRPr="00C95CF0" w:rsidRDefault="00C95CF0" w:rsidP="00B662D3">
            <w:pPr>
              <w:rPr>
                <w:lang w:eastAsia="en-US" w:bidi="lo-LA"/>
              </w:rPr>
            </w:pPr>
            <w:r w:rsidRPr="00C95CF0">
              <w:rPr>
                <w:lang w:eastAsia="en-US" w:bidi="lo-LA"/>
              </w:rPr>
              <w:t xml:space="preserve">Attiecīgā ES tiesību </w:t>
            </w:r>
            <w:r w:rsidRPr="00C95CF0">
              <w:rPr>
                <w:lang w:eastAsia="en-US" w:bidi="lo-LA"/>
              </w:rPr>
              <w:lastRenderedPageBreak/>
              <w:t>akta panta numurs (uzskaitot katru tiesību akta vienību – pantu, daļu, punktu, apakšpunktu)</w:t>
            </w:r>
          </w:p>
        </w:tc>
        <w:tc>
          <w:tcPr>
            <w:tcW w:w="1700" w:type="dxa"/>
            <w:tcBorders>
              <w:top w:val="outset" w:sz="6" w:space="0" w:color="auto"/>
              <w:left w:val="outset" w:sz="6" w:space="0" w:color="auto"/>
              <w:bottom w:val="outset" w:sz="6" w:space="0" w:color="auto"/>
              <w:right w:val="outset" w:sz="6" w:space="0" w:color="auto"/>
            </w:tcBorders>
            <w:hideMark/>
          </w:tcPr>
          <w:p w:rsidR="00C95CF0" w:rsidRPr="00C95CF0" w:rsidRDefault="00C95CF0" w:rsidP="00B662D3">
            <w:pPr>
              <w:rPr>
                <w:lang w:eastAsia="en-US" w:bidi="lo-LA"/>
              </w:rPr>
            </w:pPr>
            <w:r w:rsidRPr="00C95CF0">
              <w:rPr>
                <w:lang w:eastAsia="en-US" w:bidi="lo-LA"/>
              </w:rPr>
              <w:lastRenderedPageBreak/>
              <w:t xml:space="preserve">Projekta vienība, </w:t>
            </w:r>
            <w:r w:rsidRPr="00C95CF0">
              <w:rPr>
                <w:lang w:eastAsia="en-US" w:bidi="lo-LA"/>
              </w:rPr>
              <w:lastRenderedPageBreak/>
              <w:t>kas pārņem vai ievieš katru šīs tabulas A ailē minēto ES tiesību akta vienību, vai tiesību akts, kur attiecīgā ES tiesību akta vienība pārņemta vai ieviesta</w:t>
            </w:r>
          </w:p>
        </w:tc>
        <w:tc>
          <w:tcPr>
            <w:tcW w:w="2449" w:type="dxa"/>
            <w:tcBorders>
              <w:top w:val="outset" w:sz="6" w:space="0" w:color="auto"/>
              <w:left w:val="outset" w:sz="6" w:space="0" w:color="auto"/>
              <w:bottom w:val="outset" w:sz="6" w:space="0" w:color="auto"/>
              <w:right w:val="outset" w:sz="6" w:space="0" w:color="auto"/>
            </w:tcBorders>
            <w:hideMark/>
          </w:tcPr>
          <w:p w:rsidR="00C95CF0" w:rsidRPr="00C95CF0" w:rsidRDefault="00C95CF0" w:rsidP="00B662D3">
            <w:pPr>
              <w:rPr>
                <w:lang w:eastAsia="en-US" w:bidi="lo-LA"/>
              </w:rPr>
            </w:pPr>
            <w:r w:rsidRPr="00C95CF0">
              <w:rPr>
                <w:lang w:eastAsia="en-US" w:bidi="lo-LA"/>
              </w:rPr>
              <w:lastRenderedPageBreak/>
              <w:t xml:space="preserve">Informācija par to, vai </w:t>
            </w:r>
            <w:r w:rsidRPr="00C95CF0">
              <w:rPr>
                <w:lang w:eastAsia="en-US" w:bidi="lo-LA"/>
              </w:rPr>
              <w:lastRenderedPageBreak/>
              <w:t xml:space="preserve">šīs tabulas A ailē minētās ES tiesību akta vienības tiek pārņemtas vai ieviestas pilnībā vai daļēji. </w:t>
            </w:r>
          </w:p>
          <w:p w:rsidR="00C95CF0" w:rsidRPr="00C95CF0" w:rsidRDefault="00C95CF0" w:rsidP="00B662D3">
            <w:pPr>
              <w:rPr>
                <w:lang w:eastAsia="en-US" w:bidi="lo-LA"/>
              </w:rPr>
            </w:pPr>
            <w:r w:rsidRPr="00C95CF0">
              <w:rPr>
                <w:lang w:eastAsia="en-US" w:bidi="lo-LA"/>
              </w:rPr>
              <w:t>Ja attiecīgā ES tiesību akta vienība tiek pārņemta vai ieviesta daļēji, sniedz attiecīgu skaidrojumu, kā arī precīzi norāda, kad un kādā veidā ES tiesību akta vienība tiks pārņemta vai ieviesta pilnībā.</w:t>
            </w:r>
          </w:p>
          <w:p w:rsidR="00C95CF0" w:rsidRPr="00C95CF0" w:rsidRDefault="00C95CF0" w:rsidP="00B662D3">
            <w:pPr>
              <w:rPr>
                <w:lang w:eastAsia="en-US" w:bidi="lo-LA"/>
              </w:rPr>
            </w:pPr>
            <w:r w:rsidRPr="00C95CF0">
              <w:rPr>
                <w:lang w:eastAsia="en-US" w:bidi="lo-LA"/>
              </w:rPr>
              <w:t>Norāda institūciju, kas ir atbildīga par šo saistību izpildi pilnībā</w:t>
            </w:r>
          </w:p>
        </w:tc>
        <w:tc>
          <w:tcPr>
            <w:tcW w:w="2799" w:type="dxa"/>
            <w:tcBorders>
              <w:top w:val="outset" w:sz="6" w:space="0" w:color="auto"/>
              <w:left w:val="outset" w:sz="6" w:space="0" w:color="auto"/>
              <w:bottom w:val="outset" w:sz="6" w:space="0" w:color="auto"/>
              <w:right w:val="outset" w:sz="6" w:space="0" w:color="auto"/>
            </w:tcBorders>
            <w:hideMark/>
          </w:tcPr>
          <w:p w:rsidR="00C95CF0" w:rsidRPr="00C95CF0" w:rsidRDefault="00C95CF0" w:rsidP="00B662D3">
            <w:pPr>
              <w:rPr>
                <w:lang w:eastAsia="en-US" w:bidi="lo-LA"/>
              </w:rPr>
            </w:pPr>
            <w:r w:rsidRPr="00C95CF0">
              <w:rPr>
                <w:lang w:eastAsia="en-US" w:bidi="lo-LA"/>
              </w:rPr>
              <w:lastRenderedPageBreak/>
              <w:t xml:space="preserve">Informācija par to, vai šīs </w:t>
            </w:r>
            <w:r w:rsidRPr="00C95CF0">
              <w:rPr>
                <w:lang w:eastAsia="en-US" w:bidi="lo-LA"/>
              </w:rPr>
              <w:lastRenderedPageBreak/>
              <w:t xml:space="preserve">tabulas B ailē minētās projekta vienības paredz stingrākas prasības nekā šīs tabulas A ailē minētās ES tiesību akta vienības. </w:t>
            </w:r>
          </w:p>
          <w:p w:rsidR="00C95CF0" w:rsidRPr="00C95CF0" w:rsidRDefault="00C95CF0" w:rsidP="00B662D3">
            <w:pPr>
              <w:rPr>
                <w:lang w:eastAsia="en-US" w:bidi="lo-LA"/>
              </w:rPr>
            </w:pPr>
            <w:r w:rsidRPr="00C95CF0">
              <w:rPr>
                <w:lang w:eastAsia="en-US" w:bidi="lo-LA"/>
              </w:rPr>
              <w:t>Ja projekts satur stingrākas prasības nekā attiecīgais ES tiesību akts, norāda pamatojumu un samērīgumu.</w:t>
            </w:r>
          </w:p>
          <w:p w:rsidR="00C95CF0" w:rsidRPr="00C95CF0" w:rsidRDefault="00C95CF0" w:rsidP="00B662D3">
            <w:pPr>
              <w:rPr>
                <w:lang w:eastAsia="en-US" w:bidi="lo-LA"/>
              </w:rPr>
            </w:pPr>
            <w:r w:rsidRPr="00C95CF0">
              <w:rPr>
                <w:lang w:eastAsia="en-US" w:bidi="lo-LA"/>
              </w:rPr>
              <w:t>Norāda iespējamās alternatīvas (t.sk. alternatīvas, kas neparedz tiesiskā regulējuma izstrādi) – kādos gadījumos būtu iespējams izvairīties no stingrāku prasību noteikšanas, nekā paredzēts attiecīgajos ES tiesību aktos</w:t>
            </w:r>
          </w:p>
        </w:tc>
      </w:tr>
      <w:tr w:rsidR="00B662D3" w:rsidRPr="00C95CF0" w:rsidTr="003114D7">
        <w:tc>
          <w:tcPr>
            <w:tcW w:w="2408" w:type="dxa"/>
            <w:tcBorders>
              <w:top w:val="outset" w:sz="6" w:space="0" w:color="auto"/>
              <w:left w:val="outset" w:sz="6" w:space="0" w:color="auto"/>
              <w:bottom w:val="outset" w:sz="6" w:space="0" w:color="auto"/>
              <w:right w:val="outset" w:sz="6" w:space="0" w:color="auto"/>
            </w:tcBorders>
            <w:hideMark/>
          </w:tcPr>
          <w:p w:rsidR="000C2E59" w:rsidRPr="005C26FC" w:rsidRDefault="003114D7" w:rsidP="000C2E59">
            <w:pPr>
              <w:spacing w:before="75" w:after="75"/>
              <w:rPr>
                <w:iCs/>
                <w:color w:val="000000"/>
              </w:rPr>
            </w:pPr>
            <w:r>
              <w:rPr>
                <w:iCs/>
                <w:color w:val="000000"/>
              </w:rPr>
              <w:lastRenderedPageBreak/>
              <w:t xml:space="preserve">1) </w:t>
            </w:r>
            <w:r w:rsidR="000C2E59" w:rsidRPr="005C26FC">
              <w:rPr>
                <w:iCs/>
                <w:color w:val="000000"/>
              </w:rPr>
              <w:t>Regula</w:t>
            </w:r>
            <w:r w:rsidR="00D666AA" w:rsidRPr="005C26FC">
              <w:rPr>
                <w:iCs/>
                <w:color w:val="000000"/>
              </w:rPr>
              <w:t>s</w:t>
            </w:r>
            <w:r w:rsidR="000C2E59" w:rsidRPr="005C26FC">
              <w:rPr>
                <w:iCs/>
                <w:color w:val="000000"/>
              </w:rPr>
              <w:t xml:space="preserve"> (EK) Nr. </w:t>
            </w:r>
            <w:hyperlink r:id="rId32" w:tgtFrame="_blank" w:tooltip="REGULA" w:history="1">
              <w:r w:rsidR="0035637C" w:rsidRPr="005C26FC">
                <w:rPr>
                  <w:rStyle w:val="Hyperlink"/>
                </w:rPr>
                <w:t>883/2004</w:t>
              </w:r>
            </w:hyperlink>
          </w:p>
          <w:p w:rsidR="000C2E59" w:rsidRPr="005C26FC" w:rsidRDefault="000C2E59" w:rsidP="000C2E59">
            <w:pPr>
              <w:spacing w:before="75" w:after="75"/>
              <w:rPr>
                <w:iCs/>
              </w:rPr>
            </w:pPr>
            <w:r w:rsidRPr="005C26FC">
              <w:rPr>
                <w:iCs/>
                <w:color w:val="000000"/>
              </w:rPr>
              <w:t xml:space="preserve">1.panta q </w:t>
            </w:r>
            <w:r w:rsidRPr="005C26FC">
              <w:rPr>
                <w:iCs/>
              </w:rPr>
              <w:t xml:space="preserve">punkta   </w:t>
            </w:r>
            <w:proofErr w:type="spellStart"/>
            <w:r w:rsidRPr="005C26FC">
              <w:rPr>
                <w:iCs/>
              </w:rPr>
              <w:t>iii</w:t>
            </w:r>
            <w:proofErr w:type="spellEnd"/>
            <w:r w:rsidRPr="005C26FC">
              <w:rPr>
                <w:iCs/>
              </w:rPr>
              <w:t>) apakšpunkts</w:t>
            </w:r>
          </w:p>
          <w:p w:rsidR="000C2E59" w:rsidRPr="005C26FC" w:rsidRDefault="000C2E59" w:rsidP="000C2E59">
            <w:pPr>
              <w:spacing w:before="75" w:after="75"/>
              <w:rPr>
                <w:bCs/>
                <w:iCs/>
              </w:rPr>
            </w:pPr>
            <w:r w:rsidRPr="005C26FC">
              <w:rPr>
                <w:bCs/>
                <w:iCs/>
              </w:rPr>
              <w:t>17.pants</w:t>
            </w:r>
          </w:p>
          <w:p w:rsidR="000C2E59" w:rsidRPr="005C26FC" w:rsidRDefault="000C2E59" w:rsidP="000C2E59">
            <w:pPr>
              <w:spacing w:before="75" w:after="75"/>
              <w:rPr>
                <w:bCs/>
                <w:iCs/>
              </w:rPr>
            </w:pPr>
            <w:r w:rsidRPr="005C26FC">
              <w:rPr>
                <w:bCs/>
                <w:iCs/>
              </w:rPr>
              <w:t>18.pants</w:t>
            </w:r>
          </w:p>
          <w:p w:rsidR="000C2E59" w:rsidRPr="005C26FC" w:rsidRDefault="000C2E59" w:rsidP="000C2E59">
            <w:pPr>
              <w:spacing w:before="75" w:after="75"/>
              <w:rPr>
                <w:bCs/>
                <w:iCs/>
              </w:rPr>
            </w:pPr>
            <w:r w:rsidRPr="005C26FC">
              <w:rPr>
                <w:bCs/>
                <w:iCs/>
              </w:rPr>
              <w:t>19.pants</w:t>
            </w:r>
          </w:p>
          <w:p w:rsidR="000C2E59" w:rsidRPr="005C26FC" w:rsidRDefault="000C2E59" w:rsidP="000C2E59">
            <w:pPr>
              <w:spacing w:before="75" w:after="75"/>
              <w:rPr>
                <w:bCs/>
                <w:iCs/>
              </w:rPr>
            </w:pPr>
            <w:r w:rsidRPr="005C26FC">
              <w:rPr>
                <w:bCs/>
                <w:iCs/>
              </w:rPr>
              <w:t>20.pants</w:t>
            </w:r>
          </w:p>
          <w:p w:rsidR="000C2E59" w:rsidRPr="005C26FC" w:rsidRDefault="000C2E59" w:rsidP="000C2E59">
            <w:pPr>
              <w:spacing w:before="75" w:after="75"/>
              <w:rPr>
                <w:bCs/>
                <w:iCs/>
              </w:rPr>
            </w:pPr>
            <w:r w:rsidRPr="005C26FC">
              <w:rPr>
                <w:bCs/>
                <w:iCs/>
              </w:rPr>
              <w:t>21.pants</w:t>
            </w:r>
          </w:p>
          <w:p w:rsidR="000C2E59" w:rsidRPr="005C26FC" w:rsidRDefault="000C2E59" w:rsidP="000C2E59">
            <w:pPr>
              <w:spacing w:before="75" w:after="75"/>
              <w:rPr>
                <w:bCs/>
                <w:iCs/>
              </w:rPr>
            </w:pPr>
            <w:r w:rsidRPr="005C26FC">
              <w:rPr>
                <w:bCs/>
                <w:iCs/>
              </w:rPr>
              <w:t>22.pants</w:t>
            </w:r>
          </w:p>
          <w:p w:rsidR="000C2E59" w:rsidRPr="005C26FC" w:rsidRDefault="000C2E59" w:rsidP="000C2E59">
            <w:pPr>
              <w:spacing w:before="75" w:after="75"/>
              <w:rPr>
                <w:bCs/>
                <w:iCs/>
              </w:rPr>
            </w:pPr>
            <w:r w:rsidRPr="005C26FC">
              <w:rPr>
                <w:bCs/>
                <w:iCs/>
              </w:rPr>
              <w:t>23.pants</w:t>
            </w:r>
          </w:p>
          <w:p w:rsidR="000C2E59" w:rsidRPr="005C26FC" w:rsidRDefault="000C2E59" w:rsidP="000C2E59">
            <w:pPr>
              <w:spacing w:before="75" w:after="75"/>
              <w:rPr>
                <w:bCs/>
                <w:iCs/>
              </w:rPr>
            </w:pPr>
            <w:r w:rsidRPr="005C26FC">
              <w:rPr>
                <w:bCs/>
                <w:iCs/>
              </w:rPr>
              <w:t>24.pants</w:t>
            </w:r>
          </w:p>
          <w:p w:rsidR="000C2E59" w:rsidRPr="005C26FC" w:rsidRDefault="000C2E59" w:rsidP="000C2E59">
            <w:pPr>
              <w:spacing w:before="75" w:after="75"/>
              <w:rPr>
                <w:bCs/>
                <w:iCs/>
              </w:rPr>
            </w:pPr>
            <w:r w:rsidRPr="005C26FC">
              <w:rPr>
                <w:bCs/>
                <w:iCs/>
              </w:rPr>
              <w:t>25.pants</w:t>
            </w:r>
          </w:p>
          <w:p w:rsidR="000C2E59" w:rsidRPr="005C26FC" w:rsidRDefault="000C2E59" w:rsidP="000C2E59">
            <w:pPr>
              <w:spacing w:before="75" w:after="75"/>
              <w:rPr>
                <w:bCs/>
                <w:iCs/>
              </w:rPr>
            </w:pPr>
            <w:r w:rsidRPr="005C26FC">
              <w:rPr>
                <w:bCs/>
                <w:iCs/>
              </w:rPr>
              <w:t>26.pants</w:t>
            </w:r>
          </w:p>
          <w:p w:rsidR="000C2E59" w:rsidRPr="005C26FC" w:rsidRDefault="000C2E59" w:rsidP="000C2E59">
            <w:pPr>
              <w:spacing w:before="75" w:after="75"/>
              <w:rPr>
                <w:bCs/>
                <w:iCs/>
              </w:rPr>
            </w:pPr>
            <w:r w:rsidRPr="005C26FC">
              <w:rPr>
                <w:bCs/>
                <w:iCs/>
              </w:rPr>
              <w:t>27.pants</w:t>
            </w:r>
          </w:p>
          <w:p w:rsidR="000C2E59" w:rsidRPr="005C26FC" w:rsidRDefault="000C2E59" w:rsidP="000C2E59">
            <w:pPr>
              <w:spacing w:before="75" w:after="75"/>
              <w:rPr>
                <w:bCs/>
                <w:iCs/>
              </w:rPr>
            </w:pPr>
            <w:r w:rsidRPr="005C26FC">
              <w:rPr>
                <w:bCs/>
                <w:iCs/>
              </w:rPr>
              <w:t>28.pants</w:t>
            </w:r>
          </w:p>
          <w:p w:rsidR="000C2E59" w:rsidRPr="005C26FC" w:rsidRDefault="000C2E59" w:rsidP="000C2E59">
            <w:pPr>
              <w:spacing w:before="75" w:after="75"/>
              <w:rPr>
                <w:bCs/>
                <w:iCs/>
              </w:rPr>
            </w:pPr>
            <w:r w:rsidRPr="005C26FC">
              <w:rPr>
                <w:bCs/>
                <w:iCs/>
              </w:rPr>
              <w:t>29.pants</w:t>
            </w:r>
          </w:p>
          <w:p w:rsidR="000C2E59" w:rsidRPr="005C26FC" w:rsidRDefault="000C2E59" w:rsidP="000C2E59">
            <w:pPr>
              <w:spacing w:before="75" w:after="75"/>
              <w:rPr>
                <w:bCs/>
                <w:iCs/>
              </w:rPr>
            </w:pPr>
            <w:r w:rsidRPr="005C26FC">
              <w:rPr>
                <w:bCs/>
                <w:iCs/>
              </w:rPr>
              <w:t>30.pants</w:t>
            </w:r>
          </w:p>
          <w:p w:rsidR="000C2E59" w:rsidRPr="005C26FC" w:rsidRDefault="000C2E59" w:rsidP="000C2E59">
            <w:pPr>
              <w:spacing w:before="75" w:after="75"/>
              <w:rPr>
                <w:bCs/>
                <w:iCs/>
              </w:rPr>
            </w:pPr>
            <w:r w:rsidRPr="005C26FC">
              <w:rPr>
                <w:bCs/>
                <w:iCs/>
              </w:rPr>
              <w:t>31.pants</w:t>
            </w:r>
          </w:p>
          <w:p w:rsidR="000C2E59" w:rsidRPr="005C26FC" w:rsidRDefault="000C2E59" w:rsidP="000C2E59">
            <w:pPr>
              <w:spacing w:before="75" w:after="75"/>
              <w:rPr>
                <w:bCs/>
                <w:iCs/>
              </w:rPr>
            </w:pPr>
            <w:r w:rsidRPr="005C26FC">
              <w:rPr>
                <w:bCs/>
                <w:iCs/>
              </w:rPr>
              <w:t>32.pants</w:t>
            </w:r>
          </w:p>
          <w:p w:rsidR="000C2E59" w:rsidRPr="005C26FC" w:rsidRDefault="000C2E59" w:rsidP="000C2E59">
            <w:pPr>
              <w:spacing w:before="75" w:after="75"/>
              <w:rPr>
                <w:bCs/>
                <w:iCs/>
              </w:rPr>
            </w:pPr>
            <w:r w:rsidRPr="005C26FC">
              <w:rPr>
                <w:bCs/>
                <w:iCs/>
              </w:rPr>
              <w:t>33.pants</w:t>
            </w:r>
          </w:p>
          <w:p w:rsidR="000C2E59" w:rsidRPr="005C26FC" w:rsidRDefault="000C2E59" w:rsidP="000C2E59">
            <w:pPr>
              <w:spacing w:before="75" w:after="75"/>
              <w:rPr>
                <w:bCs/>
                <w:iCs/>
              </w:rPr>
            </w:pPr>
            <w:r w:rsidRPr="005C26FC">
              <w:rPr>
                <w:bCs/>
                <w:iCs/>
              </w:rPr>
              <w:t>34.pants</w:t>
            </w:r>
          </w:p>
          <w:p w:rsidR="00B662D3" w:rsidRPr="005C26FC" w:rsidRDefault="00970D1E" w:rsidP="00B36E8A">
            <w:pPr>
              <w:spacing w:before="75" w:after="75"/>
              <w:rPr>
                <w:bCs/>
                <w:iCs/>
              </w:rPr>
            </w:pPr>
            <w:r>
              <w:rPr>
                <w:bCs/>
                <w:iCs/>
              </w:rPr>
              <w:t>35.panta 1.un 2.daļa</w:t>
            </w:r>
          </w:p>
        </w:tc>
        <w:tc>
          <w:tcPr>
            <w:tcW w:w="1700" w:type="dxa"/>
            <w:tcBorders>
              <w:top w:val="outset" w:sz="6" w:space="0" w:color="auto"/>
              <w:left w:val="outset" w:sz="6" w:space="0" w:color="auto"/>
              <w:bottom w:val="outset" w:sz="6" w:space="0" w:color="auto"/>
              <w:right w:val="outset" w:sz="6" w:space="0" w:color="auto"/>
            </w:tcBorders>
            <w:hideMark/>
          </w:tcPr>
          <w:p w:rsidR="00B662D3" w:rsidRPr="005C26FC" w:rsidRDefault="00F5219C" w:rsidP="00B662D3">
            <w:pPr>
              <w:pStyle w:val="naiskr"/>
              <w:spacing w:before="0" w:after="0"/>
              <w:rPr>
                <w:iCs/>
              </w:rPr>
            </w:pPr>
            <w:r w:rsidRPr="005C26FC">
              <w:rPr>
                <w:iCs/>
              </w:rPr>
              <w:t xml:space="preserve">Noteikumu </w:t>
            </w:r>
            <w:r w:rsidR="000C2E59" w:rsidRPr="005C26FC">
              <w:rPr>
                <w:iCs/>
              </w:rPr>
              <w:t>projekta 3.8</w:t>
            </w:r>
            <w:r w:rsidR="00B662D3" w:rsidRPr="005C26FC">
              <w:rPr>
                <w:iCs/>
              </w:rPr>
              <w:t>.</w:t>
            </w:r>
            <w:r w:rsidR="000C2E59" w:rsidRPr="005C26FC">
              <w:rPr>
                <w:iCs/>
              </w:rPr>
              <w:t>apakš</w:t>
            </w:r>
            <w:r w:rsidR="00B662D3" w:rsidRPr="005C26FC">
              <w:rPr>
                <w:iCs/>
              </w:rPr>
              <w:t>punkts</w:t>
            </w:r>
          </w:p>
        </w:tc>
        <w:tc>
          <w:tcPr>
            <w:tcW w:w="2449" w:type="dxa"/>
            <w:tcBorders>
              <w:top w:val="outset" w:sz="6" w:space="0" w:color="auto"/>
              <w:left w:val="outset" w:sz="6" w:space="0" w:color="auto"/>
              <w:bottom w:val="outset" w:sz="6" w:space="0" w:color="auto"/>
              <w:right w:val="outset" w:sz="6" w:space="0" w:color="auto"/>
            </w:tcBorders>
            <w:hideMark/>
          </w:tcPr>
          <w:p w:rsidR="00B662D3" w:rsidRPr="005C26FC" w:rsidRDefault="00234090" w:rsidP="005C7217">
            <w:pPr>
              <w:pStyle w:val="naiskr"/>
              <w:spacing w:before="0" w:after="0"/>
              <w:rPr>
                <w:iCs/>
                <w:sz w:val="28"/>
                <w:szCs w:val="28"/>
              </w:rPr>
            </w:pPr>
            <w:r w:rsidRPr="005C26FC">
              <w:rPr>
                <w:iCs/>
              </w:rPr>
              <w:t xml:space="preserve">Noteikumu </w:t>
            </w:r>
            <w:r w:rsidR="00D666AA" w:rsidRPr="005C26FC">
              <w:rPr>
                <w:iCs/>
              </w:rPr>
              <w:t xml:space="preserve"> projekts ievieš minētās regulas normas pilnībā</w:t>
            </w:r>
          </w:p>
        </w:tc>
        <w:tc>
          <w:tcPr>
            <w:tcW w:w="2799" w:type="dxa"/>
            <w:tcBorders>
              <w:top w:val="outset" w:sz="6" w:space="0" w:color="auto"/>
              <w:left w:val="outset" w:sz="6" w:space="0" w:color="auto"/>
              <w:bottom w:val="outset" w:sz="6" w:space="0" w:color="auto"/>
              <w:right w:val="outset" w:sz="6" w:space="0" w:color="auto"/>
            </w:tcBorders>
            <w:hideMark/>
          </w:tcPr>
          <w:p w:rsidR="00B662D3" w:rsidRDefault="00B662D3" w:rsidP="00B662D3">
            <w:pPr>
              <w:pStyle w:val="naiskr"/>
              <w:spacing w:before="0" w:after="0"/>
              <w:jc w:val="both"/>
              <w:rPr>
                <w:iCs/>
              </w:rPr>
            </w:pPr>
            <w:r w:rsidRPr="005C26FC">
              <w:rPr>
                <w:iCs/>
              </w:rPr>
              <w:t>Neparedz stingrākas prasības</w:t>
            </w: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Default="00EC295C" w:rsidP="00B662D3">
            <w:pPr>
              <w:pStyle w:val="naiskr"/>
              <w:spacing w:before="0" w:after="0"/>
              <w:jc w:val="both"/>
              <w:rPr>
                <w:iCs/>
              </w:rPr>
            </w:pPr>
          </w:p>
          <w:p w:rsidR="00EC295C" w:rsidRPr="00970D1E" w:rsidRDefault="00EC295C" w:rsidP="00EC295C">
            <w:pPr>
              <w:pStyle w:val="naiskr"/>
              <w:spacing w:before="0" w:after="0"/>
              <w:jc w:val="both"/>
              <w:rPr>
                <w:iCs/>
              </w:rPr>
            </w:pPr>
          </w:p>
        </w:tc>
      </w:tr>
      <w:tr w:rsidR="00B36E8A" w:rsidRPr="00C95CF0" w:rsidTr="003114D7">
        <w:tc>
          <w:tcPr>
            <w:tcW w:w="2408" w:type="dxa"/>
            <w:tcBorders>
              <w:top w:val="outset" w:sz="6" w:space="0" w:color="auto"/>
              <w:left w:val="outset" w:sz="6" w:space="0" w:color="auto"/>
              <w:bottom w:val="outset" w:sz="6" w:space="0" w:color="auto"/>
              <w:right w:val="outset" w:sz="6" w:space="0" w:color="auto"/>
            </w:tcBorders>
            <w:hideMark/>
          </w:tcPr>
          <w:p w:rsidR="00B36E8A" w:rsidRPr="005C26FC" w:rsidRDefault="003114D7" w:rsidP="00D666AA">
            <w:pPr>
              <w:pStyle w:val="Default"/>
              <w:rPr>
                <w:lang w:val="lv-LV"/>
              </w:rPr>
            </w:pPr>
            <w:r>
              <w:rPr>
                <w:bCs/>
                <w:iCs/>
                <w:lang w:val="lv-LV"/>
              </w:rPr>
              <w:t xml:space="preserve">2) </w:t>
            </w:r>
            <w:r w:rsidR="00B36E8A" w:rsidRPr="005C26FC">
              <w:rPr>
                <w:bCs/>
                <w:iCs/>
                <w:lang w:val="lv-LV"/>
              </w:rPr>
              <w:t>Regula</w:t>
            </w:r>
            <w:r w:rsidR="00D666AA" w:rsidRPr="005C26FC">
              <w:rPr>
                <w:bCs/>
                <w:iCs/>
                <w:lang w:val="lv-LV"/>
              </w:rPr>
              <w:t>s</w:t>
            </w:r>
            <w:r w:rsidR="00B36E8A" w:rsidRPr="005C26FC">
              <w:rPr>
                <w:bCs/>
                <w:iCs/>
                <w:lang w:val="lv-LV"/>
              </w:rPr>
              <w:t xml:space="preserve"> (EK) Nr. </w:t>
            </w:r>
            <w:hyperlink r:id="rId33" w:tgtFrame="_blank" w:tooltip="REGULA" w:history="1">
              <w:r w:rsidR="0035637C" w:rsidRPr="005C26FC">
                <w:rPr>
                  <w:rStyle w:val="Hyperlink"/>
                </w:rPr>
                <w:t>988/2009</w:t>
              </w:r>
            </w:hyperlink>
            <w:r w:rsidR="0035637C" w:rsidRPr="005C26FC">
              <w:rPr>
                <w:bCs/>
                <w:iCs/>
                <w:lang w:val="lv-LV"/>
              </w:rPr>
              <w:t xml:space="preserve"> </w:t>
            </w:r>
          </w:p>
          <w:p w:rsidR="00B36E8A" w:rsidRPr="005C26FC" w:rsidRDefault="00B36E8A" w:rsidP="00B36E8A">
            <w:pPr>
              <w:pStyle w:val="Default"/>
              <w:rPr>
                <w:iCs/>
                <w:lang w:val="lv-LV"/>
              </w:rPr>
            </w:pPr>
            <w:r w:rsidRPr="005C26FC">
              <w:rPr>
                <w:iCs/>
                <w:lang w:val="lv-LV"/>
              </w:rPr>
              <w:lastRenderedPageBreak/>
              <w:t xml:space="preserve">1.panta </w:t>
            </w:r>
          </w:p>
          <w:p w:rsidR="00B36E8A" w:rsidRPr="005C26FC" w:rsidRDefault="00B36E8A" w:rsidP="00B36E8A">
            <w:pPr>
              <w:pStyle w:val="Default"/>
              <w:rPr>
                <w:iCs/>
                <w:lang w:val="lv-LV"/>
              </w:rPr>
            </w:pPr>
            <w:r w:rsidRPr="005C26FC">
              <w:rPr>
                <w:iCs/>
                <w:lang w:val="lv-LV"/>
              </w:rPr>
              <w:t>7.punkts</w:t>
            </w:r>
          </w:p>
          <w:p w:rsidR="00B36E8A" w:rsidRPr="005C26FC" w:rsidRDefault="00B36E8A" w:rsidP="00B36E8A">
            <w:pPr>
              <w:pStyle w:val="Default"/>
              <w:rPr>
                <w:lang w:val="lv-LV"/>
              </w:rPr>
            </w:pPr>
            <w:r w:rsidRPr="005C26FC">
              <w:rPr>
                <w:iCs/>
                <w:lang w:val="lv-LV"/>
              </w:rPr>
              <w:t>8.punkts</w:t>
            </w:r>
          </w:p>
        </w:tc>
        <w:tc>
          <w:tcPr>
            <w:tcW w:w="1700" w:type="dxa"/>
            <w:tcBorders>
              <w:top w:val="outset" w:sz="6" w:space="0" w:color="auto"/>
              <w:left w:val="outset" w:sz="6" w:space="0" w:color="auto"/>
              <w:bottom w:val="outset" w:sz="6" w:space="0" w:color="auto"/>
              <w:right w:val="outset" w:sz="6" w:space="0" w:color="auto"/>
            </w:tcBorders>
            <w:hideMark/>
          </w:tcPr>
          <w:p w:rsidR="00B36E8A" w:rsidRPr="005C26FC" w:rsidRDefault="00F5219C" w:rsidP="00B36E8A">
            <w:pPr>
              <w:pStyle w:val="naiskr"/>
              <w:spacing w:before="0" w:after="0"/>
              <w:rPr>
                <w:iCs/>
              </w:rPr>
            </w:pPr>
            <w:r w:rsidRPr="005C26FC">
              <w:rPr>
                <w:iCs/>
              </w:rPr>
              <w:lastRenderedPageBreak/>
              <w:t xml:space="preserve">Noteikumu </w:t>
            </w:r>
            <w:r w:rsidR="00B36E8A" w:rsidRPr="005C26FC">
              <w:rPr>
                <w:iCs/>
              </w:rPr>
              <w:t xml:space="preserve">projekta </w:t>
            </w:r>
            <w:r w:rsidR="00B36E8A" w:rsidRPr="005C26FC">
              <w:rPr>
                <w:iCs/>
              </w:rPr>
              <w:lastRenderedPageBreak/>
              <w:t>3.8.apakšpunkts</w:t>
            </w:r>
          </w:p>
        </w:tc>
        <w:tc>
          <w:tcPr>
            <w:tcW w:w="2449" w:type="dxa"/>
            <w:tcBorders>
              <w:top w:val="outset" w:sz="6" w:space="0" w:color="auto"/>
              <w:left w:val="outset" w:sz="6" w:space="0" w:color="auto"/>
              <w:bottom w:val="outset" w:sz="6" w:space="0" w:color="auto"/>
              <w:right w:val="outset" w:sz="6" w:space="0" w:color="auto"/>
            </w:tcBorders>
            <w:hideMark/>
          </w:tcPr>
          <w:p w:rsidR="00B36E8A" w:rsidRPr="005C26FC" w:rsidRDefault="00234090" w:rsidP="00B36E8A">
            <w:pPr>
              <w:pStyle w:val="naiskr"/>
              <w:spacing w:before="0" w:after="0"/>
              <w:rPr>
                <w:iCs/>
                <w:sz w:val="28"/>
                <w:szCs w:val="28"/>
              </w:rPr>
            </w:pPr>
            <w:r w:rsidRPr="005C26FC">
              <w:rPr>
                <w:iCs/>
              </w:rPr>
              <w:lastRenderedPageBreak/>
              <w:t xml:space="preserve">Noteikumu </w:t>
            </w:r>
            <w:r w:rsidR="00D666AA" w:rsidRPr="005C26FC">
              <w:rPr>
                <w:iCs/>
              </w:rPr>
              <w:t xml:space="preserve"> projekts ievieš minētās regulas </w:t>
            </w:r>
            <w:r w:rsidR="00D666AA" w:rsidRPr="005C26FC">
              <w:rPr>
                <w:iCs/>
              </w:rPr>
              <w:lastRenderedPageBreak/>
              <w:t>normas pilnībā</w:t>
            </w:r>
          </w:p>
        </w:tc>
        <w:tc>
          <w:tcPr>
            <w:tcW w:w="2799" w:type="dxa"/>
            <w:tcBorders>
              <w:top w:val="outset" w:sz="6" w:space="0" w:color="auto"/>
              <w:left w:val="outset" w:sz="6" w:space="0" w:color="auto"/>
              <w:bottom w:val="outset" w:sz="6" w:space="0" w:color="auto"/>
              <w:right w:val="outset" w:sz="6" w:space="0" w:color="auto"/>
            </w:tcBorders>
            <w:hideMark/>
          </w:tcPr>
          <w:p w:rsidR="00B36E8A" w:rsidRPr="005C26FC" w:rsidRDefault="00B36E8A" w:rsidP="00B36E8A">
            <w:pPr>
              <w:pStyle w:val="naiskr"/>
              <w:spacing w:before="0" w:after="0"/>
              <w:jc w:val="both"/>
              <w:rPr>
                <w:iCs/>
              </w:rPr>
            </w:pPr>
            <w:r w:rsidRPr="005C26FC">
              <w:rPr>
                <w:iCs/>
              </w:rPr>
              <w:lastRenderedPageBreak/>
              <w:t>Neparedz stingrākas prasības</w:t>
            </w:r>
          </w:p>
        </w:tc>
      </w:tr>
      <w:tr w:rsidR="000C2E59" w:rsidRPr="00C95CF0" w:rsidTr="003114D7">
        <w:tc>
          <w:tcPr>
            <w:tcW w:w="2408" w:type="dxa"/>
            <w:tcBorders>
              <w:top w:val="outset" w:sz="6" w:space="0" w:color="auto"/>
              <w:left w:val="outset" w:sz="6" w:space="0" w:color="auto"/>
              <w:bottom w:val="outset" w:sz="6" w:space="0" w:color="auto"/>
              <w:right w:val="outset" w:sz="6" w:space="0" w:color="auto"/>
            </w:tcBorders>
            <w:hideMark/>
          </w:tcPr>
          <w:p w:rsidR="000C2E59" w:rsidRPr="005C26FC" w:rsidRDefault="003114D7" w:rsidP="000C2E59">
            <w:pPr>
              <w:spacing w:before="75" w:after="75"/>
              <w:rPr>
                <w:bCs/>
                <w:iCs/>
              </w:rPr>
            </w:pPr>
            <w:r>
              <w:rPr>
                <w:bCs/>
                <w:iCs/>
              </w:rPr>
              <w:lastRenderedPageBreak/>
              <w:t xml:space="preserve">3) </w:t>
            </w:r>
            <w:r w:rsidR="000C2E59" w:rsidRPr="005C26FC">
              <w:rPr>
                <w:bCs/>
                <w:iCs/>
              </w:rPr>
              <w:t>Regula</w:t>
            </w:r>
            <w:r w:rsidR="00D666AA" w:rsidRPr="005C26FC">
              <w:rPr>
                <w:bCs/>
                <w:iCs/>
              </w:rPr>
              <w:t>s</w:t>
            </w:r>
            <w:r w:rsidR="000C2E59" w:rsidRPr="005C26FC">
              <w:rPr>
                <w:bCs/>
                <w:iCs/>
              </w:rPr>
              <w:t xml:space="preserve"> (EK) Nr. </w:t>
            </w:r>
            <w:hyperlink r:id="rId34" w:tgtFrame="_blank" w:tooltip="REGULA" w:history="1">
              <w:r w:rsidR="0035637C" w:rsidRPr="005C26FC">
                <w:rPr>
                  <w:rStyle w:val="Hyperlink"/>
                </w:rPr>
                <w:t>987/2009</w:t>
              </w:r>
            </w:hyperlink>
            <w:r w:rsidR="0035637C" w:rsidRPr="005C26FC">
              <w:rPr>
                <w:bCs/>
                <w:iCs/>
              </w:rPr>
              <w:t xml:space="preserve"> </w:t>
            </w:r>
            <w:r w:rsidR="000C2E59" w:rsidRPr="005C26FC">
              <w:rPr>
                <w:bCs/>
                <w:iCs/>
              </w:rPr>
              <w:t>22.pants</w:t>
            </w:r>
          </w:p>
          <w:p w:rsidR="000C2E59" w:rsidRPr="005C26FC" w:rsidRDefault="000C2E59" w:rsidP="000C2E59">
            <w:pPr>
              <w:spacing w:before="75" w:after="75"/>
              <w:rPr>
                <w:bCs/>
                <w:iCs/>
              </w:rPr>
            </w:pPr>
            <w:r w:rsidRPr="005C26FC">
              <w:rPr>
                <w:bCs/>
                <w:iCs/>
              </w:rPr>
              <w:t>23.pants</w:t>
            </w:r>
          </w:p>
          <w:p w:rsidR="000C2E59" w:rsidRPr="005C26FC" w:rsidRDefault="000C2E59" w:rsidP="000C2E59">
            <w:pPr>
              <w:spacing w:before="75" w:after="75"/>
              <w:rPr>
                <w:bCs/>
                <w:iCs/>
              </w:rPr>
            </w:pPr>
            <w:r w:rsidRPr="005C26FC">
              <w:rPr>
                <w:bCs/>
                <w:iCs/>
              </w:rPr>
              <w:t>24.pants</w:t>
            </w:r>
          </w:p>
          <w:p w:rsidR="000C2E59" w:rsidRPr="005C26FC" w:rsidRDefault="000C2E59" w:rsidP="000C2E59">
            <w:pPr>
              <w:spacing w:before="75" w:after="75"/>
              <w:rPr>
                <w:bCs/>
                <w:iCs/>
              </w:rPr>
            </w:pPr>
            <w:r w:rsidRPr="005C26FC">
              <w:rPr>
                <w:bCs/>
                <w:iCs/>
              </w:rPr>
              <w:t>25.pants</w:t>
            </w:r>
          </w:p>
          <w:p w:rsidR="000C2E59" w:rsidRPr="005C26FC" w:rsidRDefault="000C2E59" w:rsidP="000C2E59">
            <w:pPr>
              <w:spacing w:before="75" w:after="75"/>
              <w:rPr>
                <w:bCs/>
                <w:iCs/>
              </w:rPr>
            </w:pPr>
            <w:r w:rsidRPr="005C26FC">
              <w:rPr>
                <w:bCs/>
                <w:iCs/>
              </w:rPr>
              <w:t>26.pants</w:t>
            </w:r>
          </w:p>
          <w:p w:rsidR="000C2E59" w:rsidRPr="005C26FC" w:rsidRDefault="000C2E59" w:rsidP="000C2E59">
            <w:pPr>
              <w:spacing w:before="75" w:after="75"/>
              <w:rPr>
                <w:bCs/>
                <w:iCs/>
              </w:rPr>
            </w:pPr>
            <w:r w:rsidRPr="005C26FC">
              <w:rPr>
                <w:bCs/>
                <w:iCs/>
              </w:rPr>
              <w:t>27.pants</w:t>
            </w:r>
          </w:p>
          <w:p w:rsidR="000C2E59" w:rsidRPr="005C26FC" w:rsidRDefault="000C2E59" w:rsidP="000C2E59">
            <w:pPr>
              <w:spacing w:before="75" w:after="75"/>
              <w:rPr>
                <w:bCs/>
                <w:iCs/>
              </w:rPr>
            </w:pPr>
            <w:r w:rsidRPr="005C26FC">
              <w:rPr>
                <w:bCs/>
                <w:iCs/>
              </w:rPr>
              <w:t>28.pants</w:t>
            </w:r>
          </w:p>
          <w:p w:rsidR="000C2E59" w:rsidRPr="005C26FC" w:rsidRDefault="000C2E59" w:rsidP="000C2E59">
            <w:pPr>
              <w:spacing w:before="75" w:after="75"/>
              <w:rPr>
                <w:bCs/>
                <w:iCs/>
              </w:rPr>
            </w:pPr>
            <w:r w:rsidRPr="005C26FC">
              <w:rPr>
                <w:bCs/>
                <w:iCs/>
              </w:rPr>
              <w:t>29.pants</w:t>
            </w:r>
          </w:p>
          <w:p w:rsidR="000C2E59" w:rsidRPr="005C26FC" w:rsidRDefault="000C2E59" w:rsidP="000C2E59">
            <w:pPr>
              <w:spacing w:before="75" w:after="75"/>
              <w:rPr>
                <w:bCs/>
                <w:iCs/>
              </w:rPr>
            </w:pPr>
            <w:r w:rsidRPr="005C26FC">
              <w:rPr>
                <w:bCs/>
                <w:iCs/>
              </w:rPr>
              <w:t>30.pants</w:t>
            </w:r>
          </w:p>
          <w:p w:rsidR="000C2E59" w:rsidRPr="005C26FC" w:rsidRDefault="000C2E59" w:rsidP="000C2E59">
            <w:pPr>
              <w:spacing w:before="75" w:after="75"/>
              <w:rPr>
                <w:bCs/>
                <w:iCs/>
              </w:rPr>
            </w:pPr>
            <w:r w:rsidRPr="005C26FC">
              <w:rPr>
                <w:bCs/>
                <w:iCs/>
              </w:rPr>
              <w:t>31.pants</w:t>
            </w:r>
          </w:p>
          <w:p w:rsidR="000C2E59" w:rsidRPr="005C26FC" w:rsidRDefault="000C2E59" w:rsidP="000C2E59">
            <w:pPr>
              <w:spacing w:before="75" w:after="75"/>
              <w:rPr>
                <w:bCs/>
                <w:iCs/>
              </w:rPr>
            </w:pPr>
            <w:r w:rsidRPr="005C26FC">
              <w:rPr>
                <w:bCs/>
                <w:iCs/>
              </w:rPr>
              <w:t>32.pants</w:t>
            </w:r>
          </w:p>
          <w:p w:rsidR="000C2E59" w:rsidRPr="005C26FC" w:rsidRDefault="000C2E59" w:rsidP="000C2E59">
            <w:pPr>
              <w:spacing w:before="75" w:after="75"/>
              <w:rPr>
                <w:bCs/>
                <w:iCs/>
              </w:rPr>
            </w:pPr>
            <w:r w:rsidRPr="005C26FC">
              <w:rPr>
                <w:bCs/>
                <w:iCs/>
              </w:rPr>
              <w:t>62.pants</w:t>
            </w:r>
          </w:p>
          <w:p w:rsidR="000C2E59" w:rsidRPr="005C26FC" w:rsidRDefault="000C2E59" w:rsidP="000C2E59">
            <w:pPr>
              <w:spacing w:before="75" w:after="75"/>
              <w:rPr>
                <w:bCs/>
                <w:iCs/>
              </w:rPr>
            </w:pPr>
            <w:r w:rsidRPr="005C26FC">
              <w:rPr>
                <w:bCs/>
                <w:iCs/>
              </w:rPr>
              <w:t>63.pants</w:t>
            </w:r>
          </w:p>
          <w:p w:rsidR="000C2E59" w:rsidRPr="005C26FC" w:rsidRDefault="000C2E59" w:rsidP="000C2E59">
            <w:pPr>
              <w:spacing w:before="75" w:after="75"/>
              <w:rPr>
                <w:bCs/>
                <w:iCs/>
              </w:rPr>
            </w:pPr>
            <w:r w:rsidRPr="005C26FC">
              <w:rPr>
                <w:bCs/>
                <w:iCs/>
              </w:rPr>
              <w:t>64.pants</w:t>
            </w:r>
          </w:p>
          <w:p w:rsidR="000C2E59" w:rsidRPr="005C26FC" w:rsidRDefault="000C2E59" w:rsidP="000C2E59">
            <w:pPr>
              <w:spacing w:before="75" w:after="75"/>
              <w:rPr>
                <w:bCs/>
                <w:iCs/>
              </w:rPr>
            </w:pPr>
            <w:r w:rsidRPr="005C26FC">
              <w:rPr>
                <w:bCs/>
                <w:iCs/>
              </w:rPr>
              <w:t>65.pants</w:t>
            </w:r>
          </w:p>
          <w:p w:rsidR="000C2E59" w:rsidRPr="005C26FC" w:rsidRDefault="000C2E59" w:rsidP="000C2E59">
            <w:pPr>
              <w:spacing w:before="75" w:after="75"/>
              <w:rPr>
                <w:bCs/>
                <w:iCs/>
              </w:rPr>
            </w:pPr>
            <w:r w:rsidRPr="005C26FC">
              <w:rPr>
                <w:bCs/>
                <w:iCs/>
              </w:rPr>
              <w:t>66.pants</w:t>
            </w:r>
          </w:p>
          <w:p w:rsidR="000C2E59" w:rsidRPr="005C26FC" w:rsidRDefault="000C2E59" w:rsidP="000C2E59">
            <w:pPr>
              <w:spacing w:before="75" w:after="75"/>
              <w:rPr>
                <w:bCs/>
                <w:iCs/>
              </w:rPr>
            </w:pPr>
            <w:r w:rsidRPr="005C26FC">
              <w:rPr>
                <w:bCs/>
                <w:iCs/>
              </w:rPr>
              <w:t>67.pants</w:t>
            </w:r>
          </w:p>
          <w:p w:rsidR="000C2E59" w:rsidRPr="005C26FC" w:rsidRDefault="000C2E59" w:rsidP="000C2E59">
            <w:pPr>
              <w:spacing w:before="75" w:after="75"/>
              <w:rPr>
                <w:bCs/>
                <w:iCs/>
              </w:rPr>
            </w:pPr>
            <w:r w:rsidRPr="005C26FC">
              <w:rPr>
                <w:bCs/>
                <w:iCs/>
              </w:rPr>
              <w:t>68.pants</w:t>
            </w:r>
          </w:p>
          <w:p w:rsidR="000C2E59" w:rsidRPr="005C26FC" w:rsidRDefault="000C2E59" w:rsidP="000C2E59">
            <w:pPr>
              <w:spacing w:before="75" w:after="75"/>
              <w:rPr>
                <w:bCs/>
                <w:iCs/>
              </w:rPr>
            </w:pPr>
            <w:r w:rsidRPr="005C26FC">
              <w:rPr>
                <w:bCs/>
                <w:iCs/>
              </w:rPr>
              <w:t>69.pants</w:t>
            </w:r>
          </w:p>
        </w:tc>
        <w:tc>
          <w:tcPr>
            <w:tcW w:w="1700" w:type="dxa"/>
            <w:tcBorders>
              <w:top w:val="outset" w:sz="6" w:space="0" w:color="auto"/>
              <w:left w:val="outset" w:sz="6" w:space="0" w:color="auto"/>
              <w:bottom w:val="outset" w:sz="6" w:space="0" w:color="auto"/>
              <w:right w:val="outset" w:sz="6" w:space="0" w:color="auto"/>
            </w:tcBorders>
            <w:hideMark/>
          </w:tcPr>
          <w:p w:rsidR="000C2E59" w:rsidRPr="005C26FC" w:rsidRDefault="00F5219C" w:rsidP="005D1086">
            <w:pPr>
              <w:pStyle w:val="naiskr"/>
              <w:spacing w:before="0" w:after="0"/>
              <w:rPr>
                <w:iCs/>
              </w:rPr>
            </w:pPr>
            <w:r w:rsidRPr="005C26FC">
              <w:rPr>
                <w:iCs/>
              </w:rPr>
              <w:t xml:space="preserve">Noteikumu </w:t>
            </w:r>
            <w:r w:rsidR="000C2E59" w:rsidRPr="005C26FC">
              <w:rPr>
                <w:iCs/>
              </w:rPr>
              <w:t>projekta 3.8.apakšpunkts</w:t>
            </w:r>
          </w:p>
        </w:tc>
        <w:tc>
          <w:tcPr>
            <w:tcW w:w="2449" w:type="dxa"/>
            <w:tcBorders>
              <w:top w:val="outset" w:sz="6" w:space="0" w:color="auto"/>
              <w:left w:val="outset" w:sz="6" w:space="0" w:color="auto"/>
              <w:bottom w:val="outset" w:sz="6" w:space="0" w:color="auto"/>
              <w:right w:val="outset" w:sz="6" w:space="0" w:color="auto"/>
            </w:tcBorders>
            <w:hideMark/>
          </w:tcPr>
          <w:p w:rsidR="000C2E59" w:rsidRPr="005C26FC" w:rsidRDefault="00234090" w:rsidP="005D1086">
            <w:pPr>
              <w:pStyle w:val="naiskr"/>
              <w:spacing w:before="0" w:after="0"/>
              <w:rPr>
                <w:iCs/>
                <w:sz w:val="28"/>
                <w:szCs w:val="28"/>
              </w:rPr>
            </w:pPr>
            <w:r w:rsidRPr="005C26FC">
              <w:rPr>
                <w:iCs/>
              </w:rPr>
              <w:t xml:space="preserve">Noteikumu </w:t>
            </w:r>
            <w:r w:rsidR="00D666AA" w:rsidRPr="005C26FC">
              <w:rPr>
                <w:iCs/>
              </w:rPr>
              <w:t xml:space="preserve"> projekts ievieš minētās regulas normas pilnībā</w:t>
            </w:r>
          </w:p>
        </w:tc>
        <w:tc>
          <w:tcPr>
            <w:tcW w:w="2799" w:type="dxa"/>
            <w:tcBorders>
              <w:top w:val="outset" w:sz="6" w:space="0" w:color="auto"/>
              <w:left w:val="outset" w:sz="6" w:space="0" w:color="auto"/>
              <w:bottom w:val="outset" w:sz="6" w:space="0" w:color="auto"/>
              <w:right w:val="outset" w:sz="6" w:space="0" w:color="auto"/>
            </w:tcBorders>
            <w:hideMark/>
          </w:tcPr>
          <w:p w:rsidR="000C2E59" w:rsidRPr="005C26FC" w:rsidRDefault="000C2E59" w:rsidP="005D1086">
            <w:pPr>
              <w:pStyle w:val="naiskr"/>
              <w:spacing w:before="0" w:after="0"/>
              <w:jc w:val="both"/>
              <w:rPr>
                <w:iCs/>
              </w:rPr>
            </w:pPr>
            <w:r w:rsidRPr="005C26FC">
              <w:rPr>
                <w:iCs/>
              </w:rPr>
              <w:t>Neparedz stingrākas prasības</w:t>
            </w:r>
          </w:p>
        </w:tc>
      </w:tr>
      <w:tr w:rsidR="0050684E" w:rsidRPr="00C95CF0" w:rsidTr="003114D7">
        <w:tc>
          <w:tcPr>
            <w:tcW w:w="2408" w:type="dxa"/>
            <w:tcBorders>
              <w:top w:val="outset" w:sz="6" w:space="0" w:color="auto"/>
              <w:left w:val="outset" w:sz="6" w:space="0" w:color="auto"/>
              <w:bottom w:val="outset" w:sz="6" w:space="0" w:color="auto"/>
              <w:right w:val="outset" w:sz="6" w:space="0" w:color="auto"/>
            </w:tcBorders>
            <w:hideMark/>
          </w:tcPr>
          <w:p w:rsidR="0050684E" w:rsidRPr="005C26FC" w:rsidRDefault="003114D7" w:rsidP="0035637C">
            <w:pPr>
              <w:pStyle w:val="Default"/>
              <w:rPr>
                <w:iCs/>
                <w:lang w:val="lv-LV"/>
              </w:rPr>
            </w:pPr>
            <w:r>
              <w:rPr>
                <w:iCs/>
                <w:lang w:val="lv-LV"/>
              </w:rPr>
              <w:t xml:space="preserve">4) </w:t>
            </w:r>
            <w:r w:rsidR="0050684E" w:rsidRPr="005C26FC">
              <w:rPr>
                <w:iCs/>
                <w:lang w:val="lv-LV"/>
              </w:rPr>
              <w:t>Regula</w:t>
            </w:r>
            <w:r w:rsidR="00D666AA" w:rsidRPr="005C26FC">
              <w:rPr>
                <w:iCs/>
                <w:lang w:val="lv-LV"/>
              </w:rPr>
              <w:t>s</w:t>
            </w:r>
            <w:r w:rsidR="0050684E" w:rsidRPr="005C26FC">
              <w:rPr>
                <w:iCs/>
                <w:lang w:val="lv-LV"/>
              </w:rPr>
              <w:t xml:space="preserve"> (ES) Nr.</w:t>
            </w:r>
            <w:hyperlink r:id="rId35" w:tgtFrame="_blank" w:tooltip="REGULA" w:history="1">
              <w:r w:rsidR="0050684E" w:rsidRPr="005C26FC">
                <w:rPr>
                  <w:rStyle w:val="Hyperlink"/>
                  <w:iCs/>
                  <w:lang w:val="lv-LV"/>
                </w:rPr>
                <w:t>1231/2010</w:t>
              </w:r>
            </w:hyperlink>
            <w:r w:rsidR="0050684E" w:rsidRPr="005C26FC">
              <w:rPr>
                <w:iCs/>
                <w:lang w:val="lv-LV"/>
              </w:rPr>
              <w:t xml:space="preserve">  </w:t>
            </w:r>
          </w:p>
          <w:p w:rsidR="0050684E" w:rsidRPr="005C26FC" w:rsidRDefault="0050684E" w:rsidP="0035637C">
            <w:pPr>
              <w:pStyle w:val="Default"/>
              <w:rPr>
                <w:lang w:val="lv-LV"/>
              </w:rPr>
            </w:pPr>
            <w:r w:rsidRPr="005C26FC">
              <w:rPr>
                <w:iCs/>
                <w:lang w:val="lv-LV"/>
              </w:rPr>
              <w:t>1.pants</w:t>
            </w:r>
          </w:p>
        </w:tc>
        <w:tc>
          <w:tcPr>
            <w:tcW w:w="1700" w:type="dxa"/>
            <w:tcBorders>
              <w:top w:val="outset" w:sz="6" w:space="0" w:color="auto"/>
              <w:left w:val="outset" w:sz="6" w:space="0" w:color="auto"/>
              <w:bottom w:val="outset" w:sz="6" w:space="0" w:color="auto"/>
              <w:right w:val="outset" w:sz="6" w:space="0" w:color="auto"/>
            </w:tcBorders>
            <w:hideMark/>
          </w:tcPr>
          <w:p w:rsidR="0050684E" w:rsidRPr="005C26FC" w:rsidRDefault="00F5219C" w:rsidP="00A861A6">
            <w:pPr>
              <w:pStyle w:val="naiskr"/>
              <w:spacing w:before="0" w:after="0"/>
              <w:rPr>
                <w:iCs/>
              </w:rPr>
            </w:pPr>
            <w:r w:rsidRPr="005C26FC">
              <w:rPr>
                <w:iCs/>
              </w:rPr>
              <w:t xml:space="preserve">Noteikumu </w:t>
            </w:r>
            <w:r w:rsidR="0050684E" w:rsidRPr="005C26FC">
              <w:rPr>
                <w:iCs/>
              </w:rPr>
              <w:t>projekta 3.8.apakšpunkts</w:t>
            </w:r>
          </w:p>
        </w:tc>
        <w:tc>
          <w:tcPr>
            <w:tcW w:w="2449" w:type="dxa"/>
            <w:tcBorders>
              <w:top w:val="outset" w:sz="6" w:space="0" w:color="auto"/>
              <w:left w:val="outset" w:sz="6" w:space="0" w:color="auto"/>
              <w:bottom w:val="outset" w:sz="6" w:space="0" w:color="auto"/>
              <w:right w:val="outset" w:sz="6" w:space="0" w:color="auto"/>
            </w:tcBorders>
            <w:hideMark/>
          </w:tcPr>
          <w:p w:rsidR="0050684E" w:rsidRPr="005C26FC" w:rsidRDefault="00234090" w:rsidP="00A861A6">
            <w:pPr>
              <w:pStyle w:val="naiskr"/>
              <w:spacing w:before="0" w:after="0"/>
              <w:rPr>
                <w:iCs/>
                <w:sz w:val="28"/>
                <w:szCs w:val="28"/>
              </w:rPr>
            </w:pPr>
            <w:r w:rsidRPr="005C26FC">
              <w:rPr>
                <w:iCs/>
              </w:rPr>
              <w:t xml:space="preserve">Noteikumu </w:t>
            </w:r>
            <w:r w:rsidR="00D666AA" w:rsidRPr="005C26FC">
              <w:rPr>
                <w:iCs/>
              </w:rPr>
              <w:t xml:space="preserve"> projekts ievieš minētās regulas normas pilnībā</w:t>
            </w:r>
          </w:p>
        </w:tc>
        <w:tc>
          <w:tcPr>
            <w:tcW w:w="2799" w:type="dxa"/>
            <w:tcBorders>
              <w:top w:val="outset" w:sz="6" w:space="0" w:color="auto"/>
              <w:left w:val="outset" w:sz="6" w:space="0" w:color="auto"/>
              <w:bottom w:val="outset" w:sz="6" w:space="0" w:color="auto"/>
              <w:right w:val="outset" w:sz="6" w:space="0" w:color="auto"/>
            </w:tcBorders>
            <w:hideMark/>
          </w:tcPr>
          <w:p w:rsidR="0050684E" w:rsidRPr="005C26FC" w:rsidRDefault="0050684E" w:rsidP="00A861A6">
            <w:pPr>
              <w:pStyle w:val="naiskr"/>
              <w:spacing w:before="0" w:after="0"/>
              <w:jc w:val="both"/>
              <w:rPr>
                <w:iCs/>
              </w:rPr>
            </w:pPr>
            <w:r w:rsidRPr="005C26FC">
              <w:rPr>
                <w:iCs/>
              </w:rPr>
              <w:t>Neparedz stingrākas prasības</w:t>
            </w:r>
          </w:p>
        </w:tc>
      </w:tr>
      <w:tr w:rsidR="0093344A" w:rsidRPr="0093344A" w:rsidTr="003114D7">
        <w:tc>
          <w:tcPr>
            <w:tcW w:w="2408" w:type="dxa"/>
            <w:tcBorders>
              <w:top w:val="outset" w:sz="6" w:space="0" w:color="auto"/>
              <w:left w:val="outset" w:sz="6" w:space="0" w:color="auto"/>
              <w:bottom w:val="outset" w:sz="6" w:space="0" w:color="auto"/>
              <w:right w:val="outset" w:sz="6" w:space="0" w:color="auto"/>
            </w:tcBorders>
            <w:hideMark/>
          </w:tcPr>
          <w:p w:rsidR="0093344A" w:rsidRPr="005C26FC" w:rsidRDefault="003114D7" w:rsidP="000C2E59">
            <w:pPr>
              <w:spacing w:before="75" w:after="75"/>
              <w:rPr>
                <w:iCs/>
              </w:rPr>
            </w:pPr>
            <w:r>
              <w:rPr>
                <w:iCs/>
              </w:rPr>
              <w:t xml:space="preserve">5) </w:t>
            </w:r>
            <w:r w:rsidR="0093344A" w:rsidRPr="005C26FC">
              <w:rPr>
                <w:iCs/>
              </w:rPr>
              <w:t>Regula</w:t>
            </w:r>
            <w:r w:rsidR="00D666AA" w:rsidRPr="005C26FC">
              <w:rPr>
                <w:iCs/>
              </w:rPr>
              <w:t>s</w:t>
            </w:r>
            <w:r w:rsidR="0093344A" w:rsidRPr="005C26FC">
              <w:rPr>
                <w:iCs/>
              </w:rPr>
              <w:t xml:space="preserve"> Nr.</w:t>
            </w:r>
            <w:hyperlink r:id="rId36" w:tgtFrame="_blank" w:tooltip="REGULA" w:history="1">
              <w:r w:rsidR="0093344A" w:rsidRPr="005C26FC">
                <w:rPr>
                  <w:rStyle w:val="Hyperlink"/>
                  <w:iCs/>
                </w:rPr>
                <w:t>1920/2006</w:t>
              </w:r>
            </w:hyperlink>
            <w:r w:rsidR="0093344A" w:rsidRPr="005C26FC">
              <w:rPr>
                <w:iCs/>
              </w:rPr>
              <w:t xml:space="preserve"> </w:t>
            </w:r>
          </w:p>
          <w:p w:rsidR="00A861A6" w:rsidRPr="005C26FC" w:rsidRDefault="00A861A6" w:rsidP="000C2E59">
            <w:pPr>
              <w:spacing w:before="75" w:after="75"/>
              <w:rPr>
                <w:bCs/>
                <w:iCs/>
              </w:rPr>
            </w:pPr>
            <w:r w:rsidRPr="005C26FC">
              <w:rPr>
                <w:iCs/>
              </w:rPr>
              <w:t xml:space="preserve">5.panta </w:t>
            </w:r>
            <w:r w:rsidR="00B02825" w:rsidRPr="005C26FC">
              <w:rPr>
                <w:iCs/>
              </w:rPr>
              <w:t>2.daļa.</w:t>
            </w:r>
          </w:p>
        </w:tc>
        <w:tc>
          <w:tcPr>
            <w:tcW w:w="1700" w:type="dxa"/>
            <w:tcBorders>
              <w:top w:val="outset" w:sz="6" w:space="0" w:color="auto"/>
              <w:left w:val="outset" w:sz="6" w:space="0" w:color="auto"/>
              <w:bottom w:val="outset" w:sz="6" w:space="0" w:color="auto"/>
              <w:right w:val="outset" w:sz="6" w:space="0" w:color="auto"/>
            </w:tcBorders>
            <w:hideMark/>
          </w:tcPr>
          <w:p w:rsidR="00F5219C" w:rsidRPr="005C26FC" w:rsidRDefault="00F5219C" w:rsidP="005D1086">
            <w:pPr>
              <w:pStyle w:val="naiskr"/>
              <w:spacing w:before="0" w:after="0"/>
              <w:rPr>
                <w:iCs/>
              </w:rPr>
            </w:pPr>
            <w:r w:rsidRPr="005C26FC">
              <w:rPr>
                <w:iCs/>
              </w:rPr>
              <w:t>Noteikumu</w:t>
            </w:r>
          </w:p>
          <w:p w:rsidR="0093344A" w:rsidRPr="005C26FC" w:rsidRDefault="0093344A" w:rsidP="005D1086">
            <w:pPr>
              <w:pStyle w:val="naiskr"/>
              <w:spacing w:before="0" w:after="0"/>
              <w:rPr>
                <w:iCs/>
              </w:rPr>
            </w:pPr>
            <w:r w:rsidRPr="005C26FC">
              <w:rPr>
                <w:iCs/>
              </w:rPr>
              <w:t>projekta 3.20.apakšpunkts</w:t>
            </w:r>
          </w:p>
        </w:tc>
        <w:tc>
          <w:tcPr>
            <w:tcW w:w="2449" w:type="dxa"/>
            <w:tcBorders>
              <w:top w:val="outset" w:sz="6" w:space="0" w:color="auto"/>
              <w:left w:val="outset" w:sz="6" w:space="0" w:color="auto"/>
              <w:bottom w:val="outset" w:sz="6" w:space="0" w:color="auto"/>
              <w:right w:val="outset" w:sz="6" w:space="0" w:color="auto"/>
            </w:tcBorders>
            <w:hideMark/>
          </w:tcPr>
          <w:p w:rsidR="0093344A" w:rsidRPr="005C26FC" w:rsidRDefault="00234090" w:rsidP="007A6D95">
            <w:pPr>
              <w:pStyle w:val="naiskr"/>
              <w:spacing w:before="0" w:after="0"/>
              <w:rPr>
                <w:iCs/>
                <w:sz w:val="28"/>
                <w:szCs w:val="28"/>
              </w:rPr>
            </w:pPr>
            <w:r w:rsidRPr="005C26FC">
              <w:rPr>
                <w:iCs/>
              </w:rPr>
              <w:t>Noteikumu</w:t>
            </w:r>
            <w:r w:rsidR="00D666AA" w:rsidRPr="005C26FC">
              <w:rPr>
                <w:iCs/>
              </w:rPr>
              <w:t xml:space="preserve"> projekts ievieš minētās regulas normas pilnībā</w:t>
            </w:r>
          </w:p>
        </w:tc>
        <w:tc>
          <w:tcPr>
            <w:tcW w:w="2799" w:type="dxa"/>
            <w:tcBorders>
              <w:top w:val="outset" w:sz="6" w:space="0" w:color="auto"/>
              <w:left w:val="outset" w:sz="6" w:space="0" w:color="auto"/>
              <w:bottom w:val="outset" w:sz="6" w:space="0" w:color="auto"/>
              <w:right w:val="outset" w:sz="6" w:space="0" w:color="auto"/>
            </w:tcBorders>
            <w:hideMark/>
          </w:tcPr>
          <w:p w:rsidR="0093344A" w:rsidRPr="005C26FC" w:rsidRDefault="0093344A" w:rsidP="007A6D95">
            <w:pPr>
              <w:pStyle w:val="naiskr"/>
              <w:spacing w:before="0" w:after="0"/>
              <w:jc w:val="both"/>
              <w:rPr>
                <w:iCs/>
              </w:rPr>
            </w:pPr>
            <w:r w:rsidRPr="005C26FC">
              <w:rPr>
                <w:iCs/>
              </w:rPr>
              <w:t>Neparedz stingrākas prasības</w:t>
            </w:r>
          </w:p>
        </w:tc>
      </w:tr>
      <w:tr w:rsidR="00B02825" w:rsidRPr="0093344A" w:rsidTr="003114D7">
        <w:tc>
          <w:tcPr>
            <w:tcW w:w="2408" w:type="dxa"/>
            <w:tcBorders>
              <w:top w:val="outset" w:sz="6" w:space="0" w:color="auto"/>
              <w:left w:val="outset" w:sz="6" w:space="0" w:color="auto"/>
              <w:bottom w:val="outset" w:sz="6" w:space="0" w:color="auto"/>
              <w:right w:val="outset" w:sz="6" w:space="0" w:color="auto"/>
            </w:tcBorders>
            <w:hideMark/>
          </w:tcPr>
          <w:p w:rsidR="00B02825" w:rsidRPr="005C26FC" w:rsidRDefault="003114D7" w:rsidP="00D666AA">
            <w:pPr>
              <w:spacing w:before="75" w:after="75"/>
              <w:rPr>
                <w:iCs/>
              </w:rPr>
            </w:pPr>
            <w:r>
              <w:rPr>
                <w:iCs/>
              </w:rPr>
              <w:t xml:space="preserve">6) </w:t>
            </w:r>
            <w:r w:rsidR="00D666AA" w:rsidRPr="005C26FC">
              <w:rPr>
                <w:iCs/>
              </w:rPr>
              <w:t>Lēmuma</w:t>
            </w:r>
            <w:r w:rsidR="00B02825" w:rsidRPr="005C26FC">
              <w:rPr>
                <w:iCs/>
              </w:rPr>
              <w:t xml:space="preserve"> 2005/387/TI 4.pants.</w:t>
            </w:r>
          </w:p>
        </w:tc>
        <w:tc>
          <w:tcPr>
            <w:tcW w:w="1700" w:type="dxa"/>
            <w:tcBorders>
              <w:top w:val="outset" w:sz="6" w:space="0" w:color="auto"/>
              <w:left w:val="outset" w:sz="6" w:space="0" w:color="auto"/>
              <w:bottom w:val="outset" w:sz="6" w:space="0" w:color="auto"/>
              <w:right w:val="outset" w:sz="6" w:space="0" w:color="auto"/>
            </w:tcBorders>
            <w:hideMark/>
          </w:tcPr>
          <w:p w:rsidR="00B02825" w:rsidRPr="005C26FC" w:rsidRDefault="00B02825" w:rsidP="005D1086">
            <w:pPr>
              <w:pStyle w:val="naiskr"/>
              <w:spacing w:before="0" w:after="0"/>
              <w:rPr>
                <w:iCs/>
              </w:rPr>
            </w:pPr>
            <w:r w:rsidRPr="005C26FC">
              <w:rPr>
                <w:iCs/>
              </w:rPr>
              <w:t>3.21.apakšpunkts</w:t>
            </w:r>
          </w:p>
        </w:tc>
        <w:tc>
          <w:tcPr>
            <w:tcW w:w="2449" w:type="dxa"/>
            <w:tcBorders>
              <w:top w:val="outset" w:sz="6" w:space="0" w:color="auto"/>
              <w:left w:val="outset" w:sz="6" w:space="0" w:color="auto"/>
              <w:bottom w:val="outset" w:sz="6" w:space="0" w:color="auto"/>
              <w:right w:val="outset" w:sz="6" w:space="0" w:color="auto"/>
            </w:tcBorders>
            <w:hideMark/>
          </w:tcPr>
          <w:p w:rsidR="00B02825" w:rsidRPr="005C26FC" w:rsidRDefault="00234090" w:rsidP="00E24EEC">
            <w:pPr>
              <w:pStyle w:val="naiskr"/>
              <w:spacing w:before="0" w:after="0"/>
              <w:rPr>
                <w:iCs/>
                <w:sz w:val="28"/>
                <w:szCs w:val="28"/>
              </w:rPr>
            </w:pPr>
            <w:r w:rsidRPr="005C26FC">
              <w:rPr>
                <w:iCs/>
              </w:rPr>
              <w:t xml:space="preserve">Noteikumu </w:t>
            </w:r>
            <w:r w:rsidR="00D666AA" w:rsidRPr="005C26FC">
              <w:rPr>
                <w:iCs/>
              </w:rPr>
              <w:t xml:space="preserve"> projekts ievieš minētā </w:t>
            </w:r>
            <w:r w:rsidR="00E24EEC">
              <w:rPr>
                <w:iCs/>
              </w:rPr>
              <w:t xml:space="preserve">lēmuma </w:t>
            </w:r>
            <w:r w:rsidR="00D666AA" w:rsidRPr="005C26FC">
              <w:rPr>
                <w:iCs/>
              </w:rPr>
              <w:t>normas pilnībā</w:t>
            </w:r>
          </w:p>
        </w:tc>
        <w:tc>
          <w:tcPr>
            <w:tcW w:w="2799" w:type="dxa"/>
            <w:tcBorders>
              <w:top w:val="outset" w:sz="6" w:space="0" w:color="auto"/>
              <w:left w:val="outset" w:sz="6" w:space="0" w:color="auto"/>
              <w:bottom w:val="outset" w:sz="6" w:space="0" w:color="auto"/>
              <w:right w:val="outset" w:sz="6" w:space="0" w:color="auto"/>
            </w:tcBorders>
            <w:hideMark/>
          </w:tcPr>
          <w:p w:rsidR="00B02825" w:rsidRPr="005C26FC" w:rsidRDefault="00B02825" w:rsidP="00320667">
            <w:pPr>
              <w:pStyle w:val="naiskr"/>
              <w:spacing w:before="0" w:after="0"/>
              <w:jc w:val="both"/>
              <w:rPr>
                <w:iCs/>
              </w:rPr>
            </w:pPr>
            <w:r w:rsidRPr="005C26FC">
              <w:rPr>
                <w:iCs/>
              </w:rPr>
              <w:t>Neparedz stingrākas prasības</w:t>
            </w:r>
          </w:p>
        </w:tc>
      </w:tr>
      <w:tr w:rsidR="00C26596" w:rsidRPr="0093344A" w:rsidTr="003114D7">
        <w:trPr>
          <w:trHeight w:val="320"/>
        </w:trPr>
        <w:tc>
          <w:tcPr>
            <w:tcW w:w="2408" w:type="dxa"/>
            <w:tcBorders>
              <w:top w:val="outset" w:sz="6" w:space="0" w:color="auto"/>
              <w:left w:val="outset" w:sz="6" w:space="0" w:color="auto"/>
              <w:bottom w:val="outset" w:sz="6" w:space="0" w:color="auto"/>
              <w:right w:val="outset" w:sz="6" w:space="0" w:color="auto"/>
            </w:tcBorders>
            <w:hideMark/>
          </w:tcPr>
          <w:p w:rsidR="00C26596" w:rsidRPr="00C26596" w:rsidRDefault="003114D7" w:rsidP="00C26596">
            <w:pPr>
              <w:spacing w:before="75" w:after="75"/>
              <w:rPr>
                <w:bCs/>
                <w:iCs/>
              </w:rPr>
            </w:pPr>
            <w:r>
              <w:rPr>
                <w:bCs/>
                <w:iCs/>
              </w:rPr>
              <w:t xml:space="preserve">7) </w:t>
            </w:r>
            <w:r w:rsidR="00C26596" w:rsidRPr="00C26596">
              <w:rPr>
                <w:bCs/>
                <w:iCs/>
              </w:rPr>
              <w:t>Regulas Nr. 1408/71</w:t>
            </w:r>
          </w:p>
          <w:p w:rsidR="00C26596" w:rsidRPr="00C26596" w:rsidRDefault="00C26596" w:rsidP="00C26596">
            <w:pPr>
              <w:spacing w:before="75" w:after="75"/>
              <w:rPr>
                <w:bCs/>
                <w:iCs/>
              </w:rPr>
            </w:pPr>
            <w:r w:rsidRPr="00C26596">
              <w:rPr>
                <w:bCs/>
                <w:iCs/>
              </w:rPr>
              <w:t>18.pants</w:t>
            </w:r>
          </w:p>
          <w:p w:rsidR="00C26596" w:rsidRPr="00C26596" w:rsidRDefault="00C26596" w:rsidP="00C26596">
            <w:pPr>
              <w:spacing w:before="75" w:after="75"/>
              <w:rPr>
                <w:bCs/>
                <w:iCs/>
              </w:rPr>
            </w:pPr>
            <w:r w:rsidRPr="00C26596">
              <w:rPr>
                <w:bCs/>
                <w:iCs/>
              </w:rPr>
              <w:t>19.panta 1.punkta a) apakšpunkts; 2.punkts</w:t>
            </w:r>
          </w:p>
          <w:p w:rsidR="00C26596" w:rsidRPr="00C26596" w:rsidRDefault="00C26596" w:rsidP="00C26596">
            <w:pPr>
              <w:spacing w:before="75" w:after="75"/>
              <w:rPr>
                <w:bCs/>
                <w:iCs/>
              </w:rPr>
            </w:pPr>
            <w:r w:rsidRPr="00C26596">
              <w:rPr>
                <w:bCs/>
                <w:iCs/>
              </w:rPr>
              <w:t>20.pants</w:t>
            </w:r>
          </w:p>
          <w:p w:rsidR="00C26596" w:rsidRPr="00C26596" w:rsidRDefault="00C26596" w:rsidP="00C26596">
            <w:pPr>
              <w:spacing w:before="75" w:after="75"/>
              <w:rPr>
                <w:bCs/>
                <w:iCs/>
              </w:rPr>
            </w:pPr>
            <w:r w:rsidRPr="00C26596">
              <w:rPr>
                <w:bCs/>
                <w:iCs/>
              </w:rPr>
              <w:t>21.pants</w:t>
            </w:r>
          </w:p>
          <w:p w:rsidR="00C26596" w:rsidRPr="00C26596" w:rsidRDefault="00C26596" w:rsidP="00C26596">
            <w:pPr>
              <w:spacing w:before="75" w:after="75"/>
              <w:rPr>
                <w:bCs/>
                <w:iCs/>
              </w:rPr>
            </w:pPr>
            <w:r w:rsidRPr="00C26596">
              <w:rPr>
                <w:bCs/>
                <w:iCs/>
              </w:rPr>
              <w:t xml:space="preserve">22.panta 1.punkta a) apakšpunkta i) daļa; 1.punkta b)apakšpunkta i)daļa; 1.punkta </w:t>
            </w:r>
            <w:r w:rsidRPr="00C26596">
              <w:rPr>
                <w:bCs/>
                <w:iCs/>
              </w:rPr>
              <w:lastRenderedPageBreak/>
              <w:t>c)apakšpunkta i)daļa; 1.a punkts; 2.punkts; 3.punkts; 4.punkts</w:t>
            </w:r>
          </w:p>
          <w:p w:rsidR="00C26596" w:rsidRPr="00C26596" w:rsidRDefault="00C26596" w:rsidP="00C26596">
            <w:pPr>
              <w:spacing w:before="75" w:after="75"/>
              <w:rPr>
                <w:bCs/>
                <w:iCs/>
              </w:rPr>
            </w:pPr>
            <w:r w:rsidRPr="00C26596">
              <w:rPr>
                <w:bCs/>
                <w:iCs/>
              </w:rPr>
              <w:t>22a.pants</w:t>
            </w:r>
          </w:p>
          <w:p w:rsidR="00C26596" w:rsidRPr="00C26596" w:rsidRDefault="00C26596" w:rsidP="00C26596">
            <w:pPr>
              <w:spacing w:before="75" w:after="75"/>
              <w:rPr>
                <w:bCs/>
                <w:iCs/>
              </w:rPr>
            </w:pPr>
            <w:r w:rsidRPr="00C26596">
              <w:rPr>
                <w:bCs/>
                <w:iCs/>
              </w:rPr>
              <w:t>24.pants</w:t>
            </w:r>
          </w:p>
          <w:p w:rsidR="00C26596" w:rsidRPr="00C26596" w:rsidRDefault="00C26596" w:rsidP="00C26596">
            <w:pPr>
              <w:spacing w:before="75" w:after="75"/>
              <w:rPr>
                <w:bCs/>
                <w:iCs/>
              </w:rPr>
            </w:pPr>
            <w:r w:rsidRPr="00C26596">
              <w:rPr>
                <w:bCs/>
                <w:iCs/>
              </w:rPr>
              <w:t>25.panta 1.punkta a)apakšpunkts; 1.a punkts; 2.punkts; 3.punkta i)apakšpunkts; 4.punkts</w:t>
            </w:r>
          </w:p>
          <w:p w:rsidR="00C26596" w:rsidRPr="00C26596" w:rsidRDefault="00C26596" w:rsidP="00C26596">
            <w:pPr>
              <w:spacing w:before="75" w:after="75"/>
              <w:rPr>
                <w:bCs/>
                <w:iCs/>
              </w:rPr>
            </w:pPr>
            <w:r w:rsidRPr="00C26596">
              <w:rPr>
                <w:bCs/>
                <w:iCs/>
              </w:rPr>
              <w:t>25a.pants</w:t>
            </w:r>
          </w:p>
          <w:p w:rsidR="00C26596" w:rsidRPr="00C26596" w:rsidRDefault="00C26596" w:rsidP="00C26596">
            <w:pPr>
              <w:spacing w:before="75" w:after="75"/>
              <w:rPr>
                <w:bCs/>
                <w:iCs/>
              </w:rPr>
            </w:pPr>
            <w:r w:rsidRPr="00C26596">
              <w:rPr>
                <w:bCs/>
                <w:iCs/>
              </w:rPr>
              <w:t>26.pants</w:t>
            </w:r>
          </w:p>
          <w:p w:rsidR="00C26596" w:rsidRPr="00C26596" w:rsidRDefault="00C26596" w:rsidP="00C26596">
            <w:pPr>
              <w:spacing w:before="75" w:after="75"/>
              <w:rPr>
                <w:bCs/>
                <w:iCs/>
              </w:rPr>
            </w:pPr>
            <w:r w:rsidRPr="00C26596">
              <w:rPr>
                <w:bCs/>
                <w:iCs/>
              </w:rPr>
              <w:t>27.pants</w:t>
            </w:r>
          </w:p>
          <w:p w:rsidR="00C26596" w:rsidRPr="00C26596" w:rsidRDefault="00C26596" w:rsidP="00C26596">
            <w:pPr>
              <w:spacing w:before="75" w:after="75"/>
              <w:rPr>
                <w:bCs/>
                <w:iCs/>
              </w:rPr>
            </w:pPr>
            <w:r w:rsidRPr="00C26596">
              <w:rPr>
                <w:bCs/>
                <w:iCs/>
              </w:rPr>
              <w:t>28.panta 1.punkta a)apakšpunkts; 2.punkts</w:t>
            </w:r>
          </w:p>
          <w:p w:rsidR="00C26596" w:rsidRPr="00C26596" w:rsidRDefault="00C26596" w:rsidP="00C26596">
            <w:pPr>
              <w:spacing w:before="75" w:after="75"/>
              <w:rPr>
                <w:bCs/>
                <w:iCs/>
              </w:rPr>
            </w:pPr>
            <w:r w:rsidRPr="00C26596">
              <w:rPr>
                <w:bCs/>
                <w:iCs/>
              </w:rPr>
              <w:t>28a.pants</w:t>
            </w:r>
          </w:p>
          <w:p w:rsidR="00C26596" w:rsidRPr="00C26596" w:rsidRDefault="00C26596" w:rsidP="00C26596">
            <w:pPr>
              <w:spacing w:before="75" w:after="75"/>
              <w:rPr>
                <w:bCs/>
                <w:iCs/>
              </w:rPr>
            </w:pPr>
            <w:r w:rsidRPr="00C26596">
              <w:rPr>
                <w:bCs/>
                <w:iCs/>
              </w:rPr>
              <w:t>29.panta1.punkta a)apakšpunkts; 2.punkta a)apakšpunkts</w:t>
            </w:r>
          </w:p>
          <w:p w:rsidR="00C26596" w:rsidRPr="00C26596" w:rsidRDefault="00C26596" w:rsidP="00C26596">
            <w:pPr>
              <w:spacing w:before="75" w:after="75"/>
              <w:rPr>
                <w:bCs/>
                <w:iCs/>
              </w:rPr>
            </w:pPr>
            <w:r w:rsidRPr="00C26596">
              <w:rPr>
                <w:bCs/>
                <w:iCs/>
              </w:rPr>
              <w:t xml:space="preserve">30.pants </w:t>
            </w:r>
          </w:p>
          <w:p w:rsidR="00C26596" w:rsidRPr="00C26596" w:rsidRDefault="00C26596" w:rsidP="00C26596">
            <w:pPr>
              <w:spacing w:before="75" w:after="75"/>
              <w:rPr>
                <w:bCs/>
                <w:iCs/>
              </w:rPr>
            </w:pPr>
            <w:r w:rsidRPr="00C26596">
              <w:rPr>
                <w:bCs/>
                <w:iCs/>
              </w:rPr>
              <w:t>31.panta 1.punkta a)apakšpunkts; 2.punkts</w:t>
            </w:r>
          </w:p>
          <w:p w:rsidR="00C26596" w:rsidRPr="00C26596" w:rsidRDefault="00C26596" w:rsidP="00C26596">
            <w:pPr>
              <w:spacing w:before="75" w:after="75"/>
              <w:rPr>
                <w:bCs/>
                <w:iCs/>
              </w:rPr>
            </w:pPr>
            <w:r w:rsidRPr="00C26596">
              <w:rPr>
                <w:bCs/>
                <w:iCs/>
              </w:rPr>
              <w:t>33.pants</w:t>
            </w:r>
          </w:p>
          <w:p w:rsidR="00C26596" w:rsidRPr="00C26596" w:rsidRDefault="00C26596" w:rsidP="00C26596">
            <w:pPr>
              <w:spacing w:before="75" w:after="75"/>
              <w:rPr>
                <w:bCs/>
                <w:iCs/>
              </w:rPr>
            </w:pPr>
            <w:r w:rsidRPr="00C26596">
              <w:rPr>
                <w:bCs/>
                <w:iCs/>
              </w:rPr>
              <w:t>34.pants</w:t>
            </w:r>
          </w:p>
          <w:p w:rsidR="00C26596" w:rsidRPr="00C26596" w:rsidRDefault="00C26596" w:rsidP="00C26596">
            <w:pPr>
              <w:spacing w:before="75" w:after="75"/>
              <w:rPr>
                <w:bCs/>
                <w:iCs/>
              </w:rPr>
            </w:pPr>
            <w:r w:rsidRPr="00C26596">
              <w:rPr>
                <w:bCs/>
                <w:iCs/>
              </w:rPr>
              <w:t>34a.pants</w:t>
            </w:r>
          </w:p>
          <w:p w:rsidR="00C26596" w:rsidRPr="00C26596" w:rsidRDefault="00C26596" w:rsidP="00C26596">
            <w:pPr>
              <w:spacing w:before="75" w:after="75"/>
              <w:rPr>
                <w:bCs/>
                <w:iCs/>
              </w:rPr>
            </w:pPr>
            <w:r w:rsidRPr="00C26596">
              <w:rPr>
                <w:bCs/>
                <w:iCs/>
              </w:rPr>
              <w:t>35.pants</w:t>
            </w:r>
          </w:p>
          <w:p w:rsidR="00C26596" w:rsidRPr="00C26596" w:rsidRDefault="00C26596" w:rsidP="00C26596">
            <w:pPr>
              <w:spacing w:before="75" w:after="75"/>
              <w:rPr>
                <w:bCs/>
                <w:iCs/>
              </w:rPr>
            </w:pPr>
            <w:r w:rsidRPr="00C26596">
              <w:rPr>
                <w:bCs/>
                <w:iCs/>
              </w:rPr>
              <w:t>36.pants</w:t>
            </w:r>
          </w:p>
          <w:p w:rsidR="00C26596" w:rsidRPr="00C26596" w:rsidRDefault="00C26596" w:rsidP="00C26596">
            <w:pPr>
              <w:spacing w:before="75" w:after="75"/>
              <w:rPr>
                <w:bCs/>
                <w:iCs/>
              </w:rPr>
            </w:pPr>
            <w:r w:rsidRPr="00C26596">
              <w:rPr>
                <w:bCs/>
                <w:iCs/>
              </w:rPr>
              <w:t>52.panta a) punkts</w:t>
            </w:r>
          </w:p>
          <w:p w:rsidR="00C26596" w:rsidRPr="00C26596" w:rsidRDefault="00C26596" w:rsidP="00C26596">
            <w:pPr>
              <w:spacing w:before="75" w:after="75"/>
              <w:rPr>
                <w:bCs/>
                <w:iCs/>
              </w:rPr>
            </w:pPr>
            <w:r w:rsidRPr="00C26596">
              <w:rPr>
                <w:bCs/>
                <w:iCs/>
              </w:rPr>
              <w:t>53.pants</w:t>
            </w:r>
          </w:p>
          <w:p w:rsidR="00C26596" w:rsidRPr="00C26596" w:rsidRDefault="00C26596" w:rsidP="00C26596">
            <w:pPr>
              <w:spacing w:before="75" w:after="75"/>
              <w:rPr>
                <w:bCs/>
                <w:iCs/>
              </w:rPr>
            </w:pPr>
            <w:r w:rsidRPr="00C26596">
              <w:rPr>
                <w:bCs/>
                <w:iCs/>
              </w:rPr>
              <w:t>54.pants</w:t>
            </w:r>
          </w:p>
          <w:p w:rsidR="00C26596" w:rsidRPr="00C26596" w:rsidRDefault="00C26596" w:rsidP="00C26596">
            <w:pPr>
              <w:spacing w:before="75" w:after="75"/>
              <w:rPr>
                <w:bCs/>
                <w:iCs/>
              </w:rPr>
            </w:pPr>
            <w:r w:rsidRPr="00C26596">
              <w:rPr>
                <w:bCs/>
                <w:iCs/>
              </w:rPr>
              <w:t>55.panta 1.punkta a)apakšpunkta i)daļa; 1.punkta b)apakšpunkta i)daļa; 1.punkta c)apakšpunkta i)daļa; 2.punkts</w:t>
            </w:r>
          </w:p>
          <w:p w:rsidR="00C26596" w:rsidRPr="00C26596" w:rsidRDefault="00C26596" w:rsidP="00C26596">
            <w:pPr>
              <w:spacing w:before="75" w:after="75"/>
              <w:rPr>
                <w:bCs/>
                <w:iCs/>
              </w:rPr>
            </w:pPr>
            <w:r w:rsidRPr="00C26596">
              <w:rPr>
                <w:bCs/>
                <w:iCs/>
              </w:rPr>
              <w:t>59.pants</w:t>
            </w:r>
          </w:p>
          <w:p w:rsidR="00C26596" w:rsidRPr="00C26596" w:rsidRDefault="00C26596" w:rsidP="00C26596">
            <w:pPr>
              <w:spacing w:before="75" w:after="75"/>
              <w:rPr>
                <w:bCs/>
                <w:iCs/>
              </w:rPr>
            </w:pPr>
            <w:r w:rsidRPr="00C26596">
              <w:rPr>
                <w:bCs/>
                <w:iCs/>
              </w:rPr>
              <w:t>61.pants</w:t>
            </w:r>
          </w:p>
          <w:p w:rsidR="00C26596" w:rsidRPr="00C26596" w:rsidRDefault="00C26596" w:rsidP="00C26596">
            <w:pPr>
              <w:spacing w:before="75" w:after="75"/>
              <w:rPr>
                <w:bCs/>
                <w:iCs/>
              </w:rPr>
            </w:pPr>
            <w:r w:rsidRPr="00C26596">
              <w:rPr>
                <w:bCs/>
                <w:iCs/>
              </w:rPr>
              <w:t>63.pants</w:t>
            </w:r>
          </w:p>
          <w:p w:rsidR="00C26596" w:rsidRPr="00C26596" w:rsidRDefault="00C26596" w:rsidP="00C26596">
            <w:pPr>
              <w:spacing w:before="75" w:after="75"/>
              <w:rPr>
                <w:bCs/>
                <w:iCs/>
              </w:rPr>
            </w:pPr>
            <w:r w:rsidRPr="00C26596">
              <w:rPr>
                <w:bCs/>
                <w:iCs/>
              </w:rPr>
              <w:t>63a.pants</w:t>
            </w:r>
          </w:p>
          <w:p w:rsidR="00C26596" w:rsidRPr="00C26596" w:rsidRDefault="00C26596" w:rsidP="00C26596">
            <w:pPr>
              <w:spacing w:before="75" w:after="75"/>
              <w:rPr>
                <w:bCs/>
                <w:iCs/>
              </w:rPr>
            </w:pPr>
            <w:r w:rsidRPr="00C26596">
              <w:rPr>
                <w:bCs/>
                <w:iCs/>
              </w:rPr>
              <w:t>84.pants</w:t>
            </w:r>
          </w:p>
          <w:p w:rsidR="00C26596" w:rsidRPr="00C26596" w:rsidRDefault="00C26596" w:rsidP="00C26596">
            <w:pPr>
              <w:spacing w:before="75" w:after="75"/>
              <w:rPr>
                <w:bCs/>
                <w:iCs/>
              </w:rPr>
            </w:pPr>
            <w:r w:rsidRPr="00C26596">
              <w:rPr>
                <w:bCs/>
                <w:iCs/>
              </w:rPr>
              <w:t>84a.pants</w:t>
            </w:r>
          </w:p>
          <w:p w:rsidR="00C26596" w:rsidRPr="00C26596" w:rsidRDefault="00C26596" w:rsidP="00C26596">
            <w:pPr>
              <w:spacing w:before="75" w:after="75"/>
              <w:rPr>
                <w:bCs/>
                <w:iCs/>
              </w:rPr>
            </w:pPr>
            <w:r w:rsidRPr="00C26596">
              <w:rPr>
                <w:bCs/>
                <w:iCs/>
              </w:rPr>
              <w:t>85.pants</w:t>
            </w:r>
          </w:p>
          <w:p w:rsidR="00C26596" w:rsidRPr="00C26596" w:rsidRDefault="00C26596" w:rsidP="00C26596">
            <w:pPr>
              <w:spacing w:before="75" w:after="75"/>
              <w:rPr>
                <w:bCs/>
                <w:iCs/>
              </w:rPr>
            </w:pPr>
            <w:r w:rsidRPr="00C26596">
              <w:rPr>
                <w:bCs/>
                <w:iCs/>
              </w:rPr>
              <w:lastRenderedPageBreak/>
              <w:t>86.pants</w:t>
            </w:r>
          </w:p>
          <w:p w:rsidR="00C26596" w:rsidRPr="00C26596" w:rsidRDefault="00C26596" w:rsidP="00C26596">
            <w:pPr>
              <w:spacing w:before="75" w:after="75"/>
              <w:rPr>
                <w:bCs/>
                <w:iCs/>
              </w:rPr>
            </w:pPr>
            <w:r w:rsidRPr="00C26596">
              <w:rPr>
                <w:bCs/>
                <w:iCs/>
              </w:rPr>
              <w:t>87.pants</w:t>
            </w:r>
          </w:p>
          <w:p w:rsidR="00C26596" w:rsidRPr="00C26596" w:rsidRDefault="00C26596" w:rsidP="00C26596">
            <w:pPr>
              <w:spacing w:before="75" w:after="75"/>
              <w:rPr>
                <w:bCs/>
                <w:iCs/>
              </w:rPr>
            </w:pPr>
            <w:r w:rsidRPr="00C26596">
              <w:rPr>
                <w:bCs/>
                <w:iCs/>
              </w:rPr>
              <w:t>88.pants</w:t>
            </w:r>
          </w:p>
          <w:p w:rsidR="00C26596" w:rsidRPr="00C26596" w:rsidRDefault="00C26596" w:rsidP="00C26596">
            <w:pPr>
              <w:spacing w:before="75" w:after="75"/>
              <w:rPr>
                <w:bCs/>
                <w:iCs/>
              </w:rPr>
            </w:pPr>
            <w:r w:rsidRPr="00C26596">
              <w:rPr>
                <w:bCs/>
                <w:iCs/>
              </w:rPr>
              <w:t>89.pants</w:t>
            </w:r>
          </w:p>
          <w:p w:rsidR="00C26596" w:rsidRPr="00C26596" w:rsidRDefault="00C26596" w:rsidP="00C26596">
            <w:pPr>
              <w:spacing w:before="75" w:after="75"/>
              <w:rPr>
                <w:bCs/>
                <w:iCs/>
              </w:rPr>
            </w:pPr>
            <w:r w:rsidRPr="00C26596">
              <w:rPr>
                <w:bCs/>
                <w:iCs/>
              </w:rPr>
              <w:t>98.pants</w:t>
            </w:r>
          </w:p>
        </w:tc>
        <w:tc>
          <w:tcPr>
            <w:tcW w:w="1700" w:type="dxa"/>
            <w:tcBorders>
              <w:top w:val="outset" w:sz="6" w:space="0" w:color="auto"/>
              <w:left w:val="outset" w:sz="6" w:space="0" w:color="auto"/>
              <w:bottom w:val="outset" w:sz="6" w:space="0" w:color="auto"/>
              <w:right w:val="outset" w:sz="6" w:space="0" w:color="auto"/>
            </w:tcBorders>
            <w:hideMark/>
          </w:tcPr>
          <w:p w:rsidR="00C26596" w:rsidRPr="00C26596" w:rsidRDefault="00C26596" w:rsidP="00C26596">
            <w:pPr>
              <w:pStyle w:val="naiskr"/>
              <w:spacing w:before="0" w:after="0"/>
              <w:rPr>
                <w:iCs/>
              </w:rPr>
            </w:pPr>
            <w:r w:rsidRPr="00C26596">
              <w:rPr>
                <w:iCs/>
              </w:rPr>
              <w:lastRenderedPageBreak/>
              <w:t>Noteikumu projekta 3.8.apakšpunkts</w:t>
            </w:r>
          </w:p>
        </w:tc>
        <w:tc>
          <w:tcPr>
            <w:tcW w:w="2449" w:type="dxa"/>
            <w:tcBorders>
              <w:top w:val="outset" w:sz="6" w:space="0" w:color="auto"/>
              <w:left w:val="outset" w:sz="6" w:space="0" w:color="auto"/>
              <w:bottom w:val="outset" w:sz="6" w:space="0" w:color="auto"/>
              <w:right w:val="outset" w:sz="6" w:space="0" w:color="auto"/>
            </w:tcBorders>
            <w:hideMark/>
          </w:tcPr>
          <w:p w:rsidR="00C26596" w:rsidRPr="00C26596" w:rsidRDefault="00C26596" w:rsidP="00C26596">
            <w:pPr>
              <w:pStyle w:val="naiskr"/>
              <w:spacing w:before="0" w:after="0"/>
              <w:rPr>
                <w:iCs/>
                <w:sz w:val="28"/>
                <w:szCs w:val="28"/>
              </w:rPr>
            </w:pPr>
            <w:r w:rsidRPr="00C26596">
              <w:rPr>
                <w:iCs/>
              </w:rPr>
              <w:t>Noteikumu  projekts ievieš minētās regulas normas pilnībā</w:t>
            </w:r>
          </w:p>
        </w:tc>
        <w:tc>
          <w:tcPr>
            <w:tcW w:w="2799" w:type="dxa"/>
            <w:tcBorders>
              <w:top w:val="outset" w:sz="6" w:space="0" w:color="auto"/>
              <w:left w:val="outset" w:sz="6" w:space="0" w:color="auto"/>
              <w:bottom w:val="outset" w:sz="6" w:space="0" w:color="auto"/>
              <w:right w:val="outset" w:sz="6" w:space="0" w:color="auto"/>
            </w:tcBorders>
            <w:hideMark/>
          </w:tcPr>
          <w:p w:rsidR="00C26596" w:rsidRPr="00C26596" w:rsidRDefault="00C26596" w:rsidP="00C26596">
            <w:pPr>
              <w:pStyle w:val="naiskr"/>
              <w:spacing w:before="0" w:after="0"/>
              <w:jc w:val="both"/>
              <w:rPr>
                <w:iCs/>
              </w:rPr>
            </w:pPr>
            <w:r w:rsidRPr="00C26596">
              <w:rPr>
                <w:iCs/>
              </w:rPr>
              <w:t>Neparedz stingrākas prasības</w:t>
            </w:r>
          </w:p>
        </w:tc>
      </w:tr>
      <w:tr w:rsidR="00C26596" w:rsidRPr="0093344A" w:rsidTr="003114D7">
        <w:trPr>
          <w:trHeight w:val="320"/>
        </w:trPr>
        <w:tc>
          <w:tcPr>
            <w:tcW w:w="2408" w:type="dxa"/>
            <w:tcBorders>
              <w:top w:val="outset" w:sz="6" w:space="0" w:color="auto"/>
              <w:left w:val="outset" w:sz="6" w:space="0" w:color="auto"/>
              <w:bottom w:val="outset" w:sz="6" w:space="0" w:color="auto"/>
              <w:right w:val="outset" w:sz="6" w:space="0" w:color="auto"/>
            </w:tcBorders>
            <w:hideMark/>
          </w:tcPr>
          <w:p w:rsidR="00C26596" w:rsidRPr="00C26596" w:rsidRDefault="003114D7" w:rsidP="00C26596">
            <w:pPr>
              <w:spacing w:before="75" w:after="75"/>
              <w:rPr>
                <w:bCs/>
                <w:iCs/>
              </w:rPr>
            </w:pPr>
            <w:r>
              <w:rPr>
                <w:bCs/>
                <w:iCs/>
              </w:rPr>
              <w:lastRenderedPageBreak/>
              <w:t xml:space="preserve">8) </w:t>
            </w:r>
            <w:r w:rsidR="00C26596" w:rsidRPr="00C26596">
              <w:rPr>
                <w:bCs/>
                <w:iCs/>
              </w:rPr>
              <w:t>Regulas Nr. 574/72</w:t>
            </w:r>
          </w:p>
          <w:p w:rsidR="00C26596" w:rsidRPr="00C26596" w:rsidRDefault="00C26596" w:rsidP="00C26596">
            <w:pPr>
              <w:spacing w:before="75" w:after="75"/>
              <w:rPr>
                <w:bCs/>
                <w:iCs/>
              </w:rPr>
            </w:pPr>
            <w:r w:rsidRPr="00C26596">
              <w:rPr>
                <w:bCs/>
                <w:iCs/>
              </w:rPr>
              <w:t>15.pants</w:t>
            </w:r>
          </w:p>
          <w:p w:rsidR="00C26596" w:rsidRPr="00C26596" w:rsidRDefault="00C26596" w:rsidP="00C26596">
            <w:pPr>
              <w:spacing w:before="75" w:after="75"/>
              <w:rPr>
                <w:bCs/>
                <w:iCs/>
              </w:rPr>
            </w:pPr>
            <w:r w:rsidRPr="00C26596">
              <w:rPr>
                <w:bCs/>
                <w:iCs/>
              </w:rPr>
              <w:t>16.pants</w:t>
            </w:r>
          </w:p>
          <w:p w:rsidR="00C26596" w:rsidRPr="00C26596" w:rsidRDefault="00C26596" w:rsidP="00C26596">
            <w:pPr>
              <w:spacing w:before="75" w:after="75"/>
              <w:rPr>
                <w:bCs/>
                <w:iCs/>
              </w:rPr>
            </w:pPr>
            <w:r w:rsidRPr="00C26596">
              <w:rPr>
                <w:bCs/>
                <w:iCs/>
              </w:rPr>
              <w:t>17.pants</w:t>
            </w:r>
          </w:p>
          <w:p w:rsidR="00C26596" w:rsidRPr="00C26596" w:rsidRDefault="00C26596" w:rsidP="00C26596">
            <w:pPr>
              <w:spacing w:before="75" w:after="75"/>
              <w:rPr>
                <w:bCs/>
                <w:iCs/>
              </w:rPr>
            </w:pPr>
            <w:r w:rsidRPr="00C26596">
              <w:rPr>
                <w:bCs/>
                <w:iCs/>
              </w:rPr>
              <w:t>19.pants</w:t>
            </w:r>
          </w:p>
          <w:p w:rsidR="00C26596" w:rsidRPr="00C26596" w:rsidRDefault="00C26596" w:rsidP="00C26596">
            <w:pPr>
              <w:spacing w:before="75" w:after="75"/>
              <w:rPr>
                <w:bCs/>
                <w:iCs/>
              </w:rPr>
            </w:pPr>
            <w:r w:rsidRPr="00C26596">
              <w:rPr>
                <w:bCs/>
                <w:iCs/>
              </w:rPr>
              <w:t>19a.pants</w:t>
            </w:r>
          </w:p>
          <w:p w:rsidR="00C26596" w:rsidRPr="00C26596" w:rsidRDefault="00C26596" w:rsidP="00C26596">
            <w:pPr>
              <w:spacing w:before="75" w:after="75"/>
              <w:rPr>
                <w:bCs/>
                <w:iCs/>
              </w:rPr>
            </w:pPr>
            <w:r w:rsidRPr="00C26596">
              <w:rPr>
                <w:bCs/>
                <w:iCs/>
              </w:rPr>
              <w:t>21.pants</w:t>
            </w:r>
          </w:p>
          <w:p w:rsidR="00C26596" w:rsidRPr="00C26596" w:rsidRDefault="00C26596" w:rsidP="00C26596">
            <w:pPr>
              <w:spacing w:before="75" w:after="75"/>
              <w:rPr>
                <w:bCs/>
                <w:iCs/>
              </w:rPr>
            </w:pPr>
            <w:r w:rsidRPr="00C26596">
              <w:rPr>
                <w:bCs/>
                <w:iCs/>
              </w:rPr>
              <w:t>22.pants</w:t>
            </w:r>
          </w:p>
          <w:p w:rsidR="00C26596" w:rsidRPr="00C26596" w:rsidRDefault="00C26596" w:rsidP="00C26596">
            <w:pPr>
              <w:spacing w:before="75" w:after="75"/>
              <w:rPr>
                <w:bCs/>
                <w:iCs/>
              </w:rPr>
            </w:pPr>
            <w:r w:rsidRPr="00C26596">
              <w:rPr>
                <w:bCs/>
                <w:iCs/>
              </w:rPr>
              <w:t>23.pants</w:t>
            </w:r>
          </w:p>
          <w:p w:rsidR="00C26596" w:rsidRPr="00C26596" w:rsidRDefault="00C26596" w:rsidP="00C26596">
            <w:pPr>
              <w:spacing w:before="75" w:after="75"/>
              <w:rPr>
                <w:bCs/>
                <w:iCs/>
              </w:rPr>
            </w:pPr>
            <w:r w:rsidRPr="00C26596">
              <w:rPr>
                <w:bCs/>
                <w:iCs/>
              </w:rPr>
              <w:t>26.panta 1.punkts; 3.punkts; 6.punkts</w:t>
            </w:r>
          </w:p>
          <w:p w:rsidR="00C26596" w:rsidRPr="00C26596" w:rsidRDefault="00C26596" w:rsidP="00C26596">
            <w:pPr>
              <w:spacing w:before="75" w:after="75"/>
              <w:rPr>
                <w:bCs/>
                <w:iCs/>
              </w:rPr>
            </w:pPr>
            <w:r w:rsidRPr="00C26596">
              <w:rPr>
                <w:bCs/>
                <w:iCs/>
              </w:rPr>
              <w:t>27.pants</w:t>
            </w:r>
          </w:p>
          <w:p w:rsidR="00C26596" w:rsidRPr="00C26596" w:rsidRDefault="00C26596" w:rsidP="00C26596">
            <w:pPr>
              <w:spacing w:before="75" w:after="75"/>
              <w:rPr>
                <w:bCs/>
                <w:iCs/>
              </w:rPr>
            </w:pPr>
            <w:r w:rsidRPr="00C26596">
              <w:rPr>
                <w:bCs/>
                <w:iCs/>
              </w:rPr>
              <w:t>28.pants</w:t>
            </w:r>
          </w:p>
          <w:p w:rsidR="00C26596" w:rsidRPr="00C26596" w:rsidRDefault="00C26596" w:rsidP="00C26596">
            <w:pPr>
              <w:spacing w:before="75" w:after="75"/>
              <w:rPr>
                <w:bCs/>
                <w:iCs/>
              </w:rPr>
            </w:pPr>
            <w:r w:rsidRPr="00C26596">
              <w:rPr>
                <w:bCs/>
                <w:iCs/>
              </w:rPr>
              <w:t xml:space="preserve">29.pants </w:t>
            </w:r>
          </w:p>
          <w:p w:rsidR="00C26596" w:rsidRPr="00C26596" w:rsidRDefault="00C26596" w:rsidP="00C26596">
            <w:pPr>
              <w:spacing w:before="75" w:after="75"/>
              <w:rPr>
                <w:bCs/>
                <w:iCs/>
              </w:rPr>
            </w:pPr>
            <w:r w:rsidRPr="00C26596">
              <w:rPr>
                <w:bCs/>
                <w:iCs/>
              </w:rPr>
              <w:t>30.pants</w:t>
            </w:r>
          </w:p>
          <w:p w:rsidR="00C26596" w:rsidRPr="00C26596" w:rsidRDefault="00C26596" w:rsidP="00C26596">
            <w:pPr>
              <w:spacing w:before="75" w:after="75"/>
              <w:rPr>
                <w:bCs/>
                <w:iCs/>
              </w:rPr>
            </w:pPr>
            <w:r w:rsidRPr="00C26596">
              <w:rPr>
                <w:bCs/>
                <w:iCs/>
              </w:rPr>
              <w:t>31.pants</w:t>
            </w:r>
          </w:p>
          <w:p w:rsidR="00C26596" w:rsidRPr="00C26596" w:rsidRDefault="00C26596" w:rsidP="00C26596">
            <w:pPr>
              <w:spacing w:before="75" w:after="75"/>
              <w:rPr>
                <w:bCs/>
                <w:iCs/>
              </w:rPr>
            </w:pPr>
            <w:r w:rsidRPr="00C26596">
              <w:rPr>
                <w:bCs/>
                <w:iCs/>
              </w:rPr>
              <w:t>32.pants</w:t>
            </w:r>
          </w:p>
          <w:p w:rsidR="00C26596" w:rsidRPr="00C26596" w:rsidRDefault="00C26596" w:rsidP="00C26596">
            <w:pPr>
              <w:spacing w:before="75" w:after="75"/>
              <w:rPr>
                <w:bCs/>
                <w:iCs/>
              </w:rPr>
            </w:pPr>
            <w:r w:rsidRPr="00C26596">
              <w:rPr>
                <w:bCs/>
                <w:iCs/>
              </w:rPr>
              <w:t>33.pants</w:t>
            </w:r>
          </w:p>
          <w:p w:rsidR="00C26596" w:rsidRPr="00C26596" w:rsidRDefault="00C26596" w:rsidP="00C26596">
            <w:pPr>
              <w:spacing w:before="75" w:after="75"/>
              <w:rPr>
                <w:bCs/>
                <w:iCs/>
              </w:rPr>
            </w:pPr>
            <w:r w:rsidRPr="00C26596">
              <w:rPr>
                <w:bCs/>
                <w:iCs/>
              </w:rPr>
              <w:t>34.pants</w:t>
            </w:r>
          </w:p>
          <w:p w:rsidR="00C26596" w:rsidRPr="00C26596" w:rsidRDefault="00C26596" w:rsidP="00C26596">
            <w:pPr>
              <w:spacing w:before="75" w:after="75"/>
              <w:rPr>
                <w:bCs/>
                <w:iCs/>
              </w:rPr>
            </w:pPr>
            <w:r w:rsidRPr="00C26596">
              <w:rPr>
                <w:bCs/>
                <w:iCs/>
              </w:rPr>
              <w:t>60.pants</w:t>
            </w:r>
          </w:p>
          <w:p w:rsidR="00C26596" w:rsidRPr="00C26596" w:rsidRDefault="00C26596" w:rsidP="00C26596">
            <w:pPr>
              <w:spacing w:before="75" w:after="75"/>
              <w:rPr>
                <w:bCs/>
                <w:iCs/>
              </w:rPr>
            </w:pPr>
            <w:r w:rsidRPr="00C26596">
              <w:rPr>
                <w:bCs/>
                <w:iCs/>
              </w:rPr>
              <w:t>62.pants</w:t>
            </w:r>
          </w:p>
          <w:p w:rsidR="00C26596" w:rsidRPr="00C26596" w:rsidRDefault="00C26596" w:rsidP="00C26596">
            <w:pPr>
              <w:spacing w:before="75" w:after="75"/>
              <w:rPr>
                <w:bCs/>
                <w:iCs/>
              </w:rPr>
            </w:pPr>
            <w:r w:rsidRPr="00C26596">
              <w:rPr>
                <w:bCs/>
                <w:iCs/>
              </w:rPr>
              <w:t>63.pants</w:t>
            </w:r>
          </w:p>
          <w:p w:rsidR="00C26596" w:rsidRPr="00C26596" w:rsidRDefault="00C26596" w:rsidP="00C26596">
            <w:pPr>
              <w:spacing w:before="75" w:after="75"/>
              <w:rPr>
                <w:bCs/>
                <w:iCs/>
              </w:rPr>
            </w:pPr>
            <w:r w:rsidRPr="00C26596">
              <w:rPr>
                <w:bCs/>
                <w:iCs/>
              </w:rPr>
              <w:t>65.pants</w:t>
            </w:r>
          </w:p>
          <w:p w:rsidR="00C26596" w:rsidRPr="00C26596" w:rsidRDefault="00C26596" w:rsidP="00C26596">
            <w:pPr>
              <w:spacing w:before="75" w:after="75"/>
              <w:rPr>
                <w:bCs/>
                <w:iCs/>
              </w:rPr>
            </w:pPr>
            <w:r w:rsidRPr="00C26596">
              <w:rPr>
                <w:bCs/>
                <w:iCs/>
              </w:rPr>
              <w:t>66.pants</w:t>
            </w:r>
          </w:p>
          <w:p w:rsidR="00C26596" w:rsidRPr="00C26596" w:rsidRDefault="00C26596" w:rsidP="00C26596">
            <w:pPr>
              <w:spacing w:before="75" w:after="75"/>
              <w:rPr>
                <w:bCs/>
                <w:iCs/>
              </w:rPr>
            </w:pPr>
            <w:r w:rsidRPr="00C26596">
              <w:rPr>
                <w:bCs/>
                <w:iCs/>
              </w:rPr>
              <w:t>73.pants</w:t>
            </w:r>
          </w:p>
          <w:p w:rsidR="00C26596" w:rsidRPr="00C26596" w:rsidRDefault="00C26596" w:rsidP="00C26596">
            <w:pPr>
              <w:spacing w:before="75" w:after="75"/>
              <w:rPr>
                <w:bCs/>
                <w:iCs/>
              </w:rPr>
            </w:pPr>
            <w:r w:rsidRPr="00C26596">
              <w:rPr>
                <w:bCs/>
                <w:iCs/>
              </w:rPr>
              <w:t>93.pants</w:t>
            </w:r>
          </w:p>
          <w:p w:rsidR="00C26596" w:rsidRPr="00C26596" w:rsidRDefault="00C26596" w:rsidP="00C26596">
            <w:pPr>
              <w:spacing w:before="75" w:after="75"/>
              <w:rPr>
                <w:bCs/>
                <w:iCs/>
              </w:rPr>
            </w:pPr>
            <w:r w:rsidRPr="00C26596">
              <w:rPr>
                <w:bCs/>
                <w:iCs/>
              </w:rPr>
              <w:t>94.pants</w:t>
            </w:r>
          </w:p>
          <w:p w:rsidR="00C26596" w:rsidRPr="00C26596" w:rsidRDefault="00C26596" w:rsidP="00C26596">
            <w:pPr>
              <w:spacing w:before="75" w:after="75"/>
              <w:rPr>
                <w:bCs/>
                <w:iCs/>
              </w:rPr>
            </w:pPr>
            <w:r w:rsidRPr="00C26596">
              <w:rPr>
                <w:bCs/>
                <w:iCs/>
              </w:rPr>
              <w:t>95.pants</w:t>
            </w:r>
          </w:p>
          <w:p w:rsidR="00C26596" w:rsidRPr="00C26596" w:rsidRDefault="00C26596" w:rsidP="00C26596">
            <w:pPr>
              <w:spacing w:before="75" w:after="75"/>
              <w:rPr>
                <w:bCs/>
                <w:iCs/>
              </w:rPr>
            </w:pPr>
            <w:r w:rsidRPr="00C26596">
              <w:rPr>
                <w:bCs/>
                <w:iCs/>
              </w:rPr>
              <w:t>96.pants</w:t>
            </w:r>
          </w:p>
          <w:p w:rsidR="00C26596" w:rsidRPr="00C26596" w:rsidRDefault="00C26596" w:rsidP="00C26596">
            <w:pPr>
              <w:spacing w:before="75" w:after="75"/>
              <w:rPr>
                <w:bCs/>
                <w:iCs/>
              </w:rPr>
            </w:pPr>
            <w:r w:rsidRPr="00C26596">
              <w:rPr>
                <w:bCs/>
                <w:iCs/>
              </w:rPr>
              <w:t>99.pants</w:t>
            </w:r>
          </w:p>
          <w:p w:rsidR="00C26596" w:rsidRPr="00C26596" w:rsidRDefault="00C26596" w:rsidP="00C26596">
            <w:pPr>
              <w:spacing w:before="75" w:after="75"/>
              <w:rPr>
                <w:bCs/>
                <w:iCs/>
              </w:rPr>
            </w:pPr>
            <w:r w:rsidRPr="00C26596">
              <w:rPr>
                <w:bCs/>
                <w:iCs/>
              </w:rPr>
              <w:t>100.pants</w:t>
            </w:r>
          </w:p>
          <w:p w:rsidR="00C26596" w:rsidRPr="00C26596" w:rsidRDefault="00C26596" w:rsidP="00C26596">
            <w:pPr>
              <w:spacing w:before="75" w:after="75"/>
              <w:rPr>
                <w:bCs/>
                <w:iCs/>
              </w:rPr>
            </w:pPr>
            <w:r w:rsidRPr="00C26596">
              <w:rPr>
                <w:bCs/>
                <w:iCs/>
              </w:rPr>
              <w:t>101.pants</w:t>
            </w:r>
          </w:p>
          <w:p w:rsidR="00C26596" w:rsidRPr="00C26596" w:rsidRDefault="00C26596" w:rsidP="00C26596">
            <w:pPr>
              <w:spacing w:before="75" w:after="75"/>
              <w:rPr>
                <w:bCs/>
                <w:iCs/>
              </w:rPr>
            </w:pPr>
            <w:r w:rsidRPr="00C26596">
              <w:rPr>
                <w:bCs/>
                <w:iCs/>
              </w:rPr>
              <w:t>102.pants</w:t>
            </w:r>
          </w:p>
          <w:p w:rsidR="00C26596" w:rsidRPr="00C26596" w:rsidRDefault="00C26596" w:rsidP="00C26596">
            <w:pPr>
              <w:spacing w:before="75" w:after="75"/>
              <w:rPr>
                <w:bCs/>
                <w:iCs/>
              </w:rPr>
            </w:pPr>
            <w:r w:rsidRPr="00C26596">
              <w:rPr>
                <w:bCs/>
                <w:iCs/>
              </w:rPr>
              <w:t>103.pants</w:t>
            </w:r>
          </w:p>
          <w:p w:rsidR="00C26596" w:rsidRPr="00C26596" w:rsidRDefault="00C26596" w:rsidP="00C26596">
            <w:pPr>
              <w:spacing w:before="75" w:after="75"/>
              <w:rPr>
                <w:bCs/>
                <w:iCs/>
              </w:rPr>
            </w:pPr>
            <w:r w:rsidRPr="00C26596">
              <w:rPr>
                <w:bCs/>
                <w:iCs/>
              </w:rPr>
              <w:t>105.pants</w:t>
            </w:r>
          </w:p>
          <w:p w:rsidR="00C26596" w:rsidRPr="00C26596" w:rsidRDefault="00C26596" w:rsidP="00C26596">
            <w:pPr>
              <w:spacing w:before="75" w:after="75"/>
              <w:rPr>
                <w:bCs/>
                <w:iCs/>
              </w:rPr>
            </w:pPr>
            <w:r w:rsidRPr="00C26596">
              <w:rPr>
                <w:bCs/>
                <w:iCs/>
              </w:rPr>
              <w:lastRenderedPageBreak/>
              <w:t>107.pants</w:t>
            </w:r>
          </w:p>
          <w:p w:rsidR="00C26596" w:rsidRPr="00C26596" w:rsidRDefault="00C26596" w:rsidP="00C26596">
            <w:pPr>
              <w:spacing w:before="75" w:after="75"/>
              <w:rPr>
                <w:bCs/>
                <w:iCs/>
              </w:rPr>
            </w:pPr>
            <w:r w:rsidRPr="00C26596">
              <w:rPr>
                <w:bCs/>
                <w:iCs/>
              </w:rPr>
              <w:t>110.pants</w:t>
            </w:r>
          </w:p>
          <w:p w:rsidR="00C26596" w:rsidRPr="00C26596" w:rsidRDefault="00C26596" w:rsidP="00C26596">
            <w:pPr>
              <w:spacing w:before="75" w:after="75"/>
              <w:rPr>
                <w:bCs/>
                <w:iCs/>
              </w:rPr>
            </w:pPr>
            <w:r w:rsidRPr="00C26596">
              <w:rPr>
                <w:bCs/>
                <w:iCs/>
              </w:rPr>
              <w:t>114.pants</w:t>
            </w:r>
          </w:p>
          <w:p w:rsidR="00C26596" w:rsidRPr="00C26596" w:rsidRDefault="00C26596" w:rsidP="00C26596">
            <w:pPr>
              <w:spacing w:before="75" w:after="75"/>
              <w:rPr>
                <w:bCs/>
                <w:iCs/>
              </w:rPr>
            </w:pPr>
            <w:r w:rsidRPr="00C26596">
              <w:rPr>
                <w:bCs/>
                <w:iCs/>
              </w:rPr>
              <w:t>115.pants</w:t>
            </w:r>
          </w:p>
          <w:p w:rsidR="00C26596" w:rsidRPr="00C26596" w:rsidRDefault="00C26596" w:rsidP="00C26596">
            <w:pPr>
              <w:spacing w:before="75" w:after="75"/>
              <w:rPr>
                <w:bCs/>
                <w:iCs/>
              </w:rPr>
            </w:pPr>
            <w:r w:rsidRPr="00C26596">
              <w:rPr>
                <w:bCs/>
                <w:iCs/>
              </w:rPr>
              <w:t>120.pants</w:t>
            </w:r>
          </w:p>
          <w:p w:rsidR="00C26596" w:rsidRPr="00C26596" w:rsidRDefault="00C26596" w:rsidP="00C26596">
            <w:pPr>
              <w:spacing w:before="75" w:after="75"/>
              <w:rPr>
                <w:bCs/>
                <w:iCs/>
              </w:rPr>
            </w:pPr>
            <w:r w:rsidRPr="00C26596">
              <w:rPr>
                <w:bCs/>
                <w:iCs/>
              </w:rPr>
              <w:t>121.pants</w:t>
            </w:r>
          </w:p>
          <w:p w:rsidR="00C26596" w:rsidRPr="00C26596" w:rsidRDefault="00C26596" w:rsidP="00C26596">
            <w:pPr>
              <w:spacing w:before="75" w:after="75"/>
              <w:rPr>
                <w:bCs/>
                <w:i/>
                <w:iCs/>
              </w:rPr>
            </w:pPr>
            <w:r w:rsidRPr="00C26596">
              <w:rPr>
                <w:bCs/>
                <w:iCs/>
              </w:rPr>
              <w:t>122.pants</w:t>
            </w:r>
          </w:p>
        </w:tc>
        <w:tc>
          <w:tcPr>
            <w:tcW w:w="1700" w:type="dxa"/>
            <w:tcBorders>
              <w:top w:val="outset" w:sz="6" w:space="0" w:color="auto"/>
              <w:left w:val="outset" w:sz="6" w:space="0" w:color="auto"/>
              <w:bottom w:val="outset" w:sz="6" w:space="0" w:color="auto"/>
              <w:right w:val="outset" w:sz="6" w:space="0" w:color="auto"/>
            </w:tcBorders>
            <w:hideMark/>
          </w:tcPr>
          <w:p w:rsidR="00C26596" w:rsidRPr="00C26596" w:rsidRDefault="00C26596" w:rsidP="00C26596">
            <w:pPr>
              <w:pStyle w:val="naiskr"/>
              <w:spacing w:before="0" w:after="0"/>
              <w:rPr>
                <w:iCs/>
              </w:rPr>
            </w:pPr>
            <w:r w:rsidRPr="00C26596">
              <w:rPr>
                <w:iCs/>
              </w:rPr>
              <w:lastRenderedPageBreak/>
              <w:t>Noteikumu projekta 3.8.apakšpunkts</w:t>
            </w:r>
          </w:p>
        </w:tc>
        <w:tc>
          <w:tcPr>
            <w:tcW w:w="2449" w:type="dxa"/>
            <w:tcBorders>
              <w:top w:val="outset" w:sz="6" w:space="0" w:color="auto"/>
              <w:left w:val="outset" w:sz="6" w:space="0" w:color="auto"/>
              <w:bottom w:val="outset" w:sz="6" w:space="0" w:color="auto"/>
              <w:right w:val="outset" w:sz="6" w:space="0" w:color="auto"/>
            </w:tcBorders>
            <w:hideMark/>
          </w:tcPr>
          <w:p w:rsidR="00C26596" w:rsidRPr="00C26596" w:rsidRDefault="00C26596" w:rsidP="00C26596">
            <w:pPr>
              <w:pStyle w:val="naiskr"/>
              <w:spacing w:before="0" w:after="0"/>
              <w:rPr>
                <w:iCs/>
                <w:sz w:val="28"/>
                <w:szCs w:val="28"/>
              </w:rPr>
            </w:pPr>
            <w:r w:rsidRPr="00C26596">
              <w:rPr>
                <w:iCs/>
              </w:rPr>
              <w:t>Noteikumu projekts ievieš minētās regulas normas pilnībā</w:t>
            </w:r>
          </w:p>
        </w:tc>
        <w:tc>
          <w:tcPr>
            <w:tcW w:w="2799" w:type="dxa"/>
            <w:tcBorders>
              <w:top w:val="outset" w:sz="6" w:space="0" w:color="auto"/>
              <w:left w:val="outset" w:sz="6" w:space="0" w:color="auto"/>
              <w:bottom w:val="outset" w:sz="6" w:space="0" w:color="auto"/>
              <w:right w:val="outset" w:sz="6" w:space="0" w:color="auto"/>
            </w:tcBorders>
            <w:hideMark/>
          </w:tcPr>
          <w:p w:rsidR="00C26596" w:rsidRPr="00C26596" w:rsidRDefault="00C26596" w:rsidP="00C26596">
            <w:pPr>
              <w:pStyle w:val="naiskr"/>
              <w:spacing w:before="0" w:after="0"/>
              <w:jc w:val="both"/>
              <w:rPr>
                <w:iCs/>
              </w:rPr>
            </w:pPr>
            <w:r w:rsidRPr="00C26596">
              <w:rPr>
                <w:iCs/>
              </w:rPr>
              <w:t>Neparedz stingrākas prasības</w:t>
            </w:r>
          </w:p>
        </w:tc>
      </w:tr>
      <w:tr w:rsidR="00C26596" w:rsidRPr="0093344A" w:rsidTr="003114D7">
        <w:trPr>
          <w:trHeight w:val="320"/>
        </w:trPr>
        <w:tc>
          <w:tcPr>
            <w:tcW w:w="2408" w:type="dxa"/>
            <w:tcBorders>
              <w:top w:val="outset" w:sz="6" w:space="0" w:color="auto"/>
              <w:left w:val="outset" w:sz="6" w:space="0" w:color="auto"/>
              <w:bottom w:val="outset" w:sz="6" w:space="0" w:color="auto"/>
              <w:right w:val="outset" w:sz="6" w:space="0" w:color="auto"/>
            </w:tcBorders>
            <w:hideMark/>
          </w:tcPr>
          <w:p w:rsidR="00C26596" w:rsidRPr="00C26596" w:rsidRDefault="003114D7" w:rsidP="00C26596">
            <w:pPr>
              <w:spacing w:before="75" w:after="75"/>
            </w:pPr>
            <w:r>
              <w:lastRenderedPageBreak/>
              <w:t xml:space="preserve">9) </w:t>
            </w:r>
            <w:r w:rsidR="00C26596" w:rsidRPr="00C26596">
              <w:t>Regula Nr. 859/2003</w:t>
            </w:r>
          </w:p>
          <w:p w:rsidR="00C26596" w:rsidRPr="00C26596" w:rsidRDefault="00C26596" w:rsidP="00C26596">
            <w:pPr>
              <w:spacing w:before="75" w:after="75"/>
              <w:rPr>
                <w:bCs/>
                <w:iCs/>
                <w:color w:val="FF0000"/>
              </w:rPr>
            </w:pPr>
            <w:r w:rsidRPr="00C26596">
              <w:t>1.pants</w:t>
            </w:r>
          </w:p>
        </w:tc>
        <w:tc>
          <w:tcPr>
            <w:tcW w:w="1700" w:type="dxa"/>
            <w:tcBorders>
              <w:top w:val="outset" w:sz="6" w:space="0" w:color="auto"/>
              <w:left w:val="outset" w:sz="6" w:space="0" w:color="auto"/>
              <w:bottom w:val="outset" w:sz="6" w:space="0" w:color="auto"/>
              <w:right w:val="outset" w:sz="6" w:space="0" w:color="auto"/>
            </w:tcBorders>
            <w:hideMark/>
          </w:tcPr>
          <w:p w:rsidR="00C26596" w:rsidRPr="00C26596" w:rsidRDefault="00C26596" w:rsidP="00C26596">
            <w:pPr>
              <w:pStyle w:val="naiskr"/>
              <w:spacing w:before="0" w:after="0"/>
              <w:rPr>
                <w:iCs/>
              </w:rPr>
            </w:pPr>
            <w:r w:rsidRPr="00C26596">
              <w:rPr>
                <w:iCs/>
              </w:rPr>
              <w:t>Noteikumu projekta 3.8.apakšpunkts</w:t>
            </w:r>
          </w:p>
        </w:tc>
        <w:tc>
          <w:tcPr>
            <w:tcW w:w="2449" w:type="dxa"/>
            <w:tcBorders>
              <w:top w:val="outset" w:sz="6" w:space="0" w:color="auto"/>
              <w:left w:val="outset" w:sz="6" w:space="0" w:color="auto"/>
              <w:bottom w:val="outset" w:sz="6" w:space="0" w:color="auto"/>
              <w:right w:val="outset" w:sz="6" w:space="0" w:color="auto"/>
            </w:tcBorders>
            <w:hideMark/>
          </w:tcPr>
          <w:p w:rsidR="00C26596" w:rsidRPr="00C26596" w:rsidRDefault="00C26596" w:rsidP="00C26596">
            <w:pPr>
              <w:pStyle w:val="naiskr"/>
              <w:spacing w:before="0" w:after="0"/>
              <w:rPr>
                <w:iCs/>
                <w:sz w:val="28"/>
                <w:szCs w:val="28"/>
              </w:rPr>
            </w:pPr>
            <w:r w:rsidRPr="00C26596">
              <w:rPr>
                <w:iCs/>
              </w:rPr>
              <w:t>Noteikumu projekts ievieš minētās regulas normas pilnībā</w:t>
            </w:r>
          </w:p>
        </w:tc>
        <w:tc>
          <w:tcPr>
            <w:tcW w:w="2799" w:type="dxa"/>
            <w:tcBorders>
              <w:top w:val="outset" w:sz="6" w:space="0" w:color="auto"/>
              <w:left w:val="outset" w:sz="6" w:space="0" w:color="auto"/>
              <w:bottom w:val="outset" w:sz="6" w:space="0" w:color="auto"/>
              <w:right w:val="outset" w:sz="6" w:space="0" w:color="auto"/>
            </w:tcBorders>
            <w:hideMark/>
          </w:tcPr>
          <w:p w:rsidR="00C26596" w:rsidRPr="00C26596" w:rsidRDefault="00C26596" w:rsidP="00C26596">
            <w:pPr>
              <w:pStyle w:val="naiskr"/>
              <w:spacing w:before="0" w:after="0"/>
              <w:jc w:val="both"/>
              <w:rPr>
                <w:iCs/>
              </w:rPr>
            </w:pPr>
            <w:r w:rsidRPr="00C26596">
              <w:rPr>
                <w:iCs/>
              </w:rPr>
              <w:t>Neparedz stingrākas prasības</w:t>
            </w:r>
          </w:p>
        </w:tc>
      </w:tr>
      <w:tr w:rsidR="00C26596" w:rsidRPr="00C95CF0" w:rsidTr="003114D7">
        <w:tc>
          <w:tcPr>
            <w:tcW w:w="2408" w:type="dxa"/>
            <w:tcBorders>
              <w:top w:val="outset" w:sz="6" w:space="0" w:color="auto"/>
              <w:left w:val="outset" w:sz="6" w:space="0" w:color="auto"/>
              <w:bottom w:val="outset" w:sz="6" w:space="0" w:color="auto"/>
              <w:right w:val="outset" w:sz="6" w:space="0" w:color="auto"/>
            </w:tcBorders>
            <w:hideMark/>
          </w:tcPr>
          <w:p w:rsidR="00C26596" w:rsidRPr="00C95CF0" w:rsidRDefault="00C26596" w:rsidP="000C2E59">
            <w:pPr>
              <w:rPr>
                <w:lang w:eastAsia="en-US" w:bidi="lo-LA"/>
              </w:rPr>
            </w:pPr>
            <w:r w:rsidRPr="00C95CF0">
              <w:rPr>
                <w:lang w:eastAsia="en-US" w:bidi="lo-LA"/>
              </w:rPr>
              <w:t xml:space="preserve">Kā ir izmantota ES tiesību aktā paredzētā rīcības brīvība dalībvalstij pārņemt vai ieviest noteiktas ES tiesību akta normas? </w:t>
            </w:r>
          </w:p>
          <w:p w:rsidR="00C26596" w:rsidRPr="00C95CF0" w:rsidRDefault="00C26596" w:rsidP="000C2E59">
            <w:pPr>
              <w:rPr>
                <w:lang w:eastAsia="en-US" w:bidi="lo-LA"/>
              </w:rPr>
            </w:pPr>
            <w:r w:rsidRPr="00C95CF0">
              <w:rPr>
                <w:lang w:eastAsia="en-US" w:bidi="lo-LA"/>
              </w:rPr>
              <w:t>Kādēļ?</w:t>
            </w:r>
          </w:p>
        </w:tc>
        <w:tc>
          <w:tcPr>
            <w:tcW w:w="6948" w:type="dxa"/>
            <w:gridSpan w:val="3"/>
            <w:tcBorders>
              <w:top w:val="outset" w:sz="6" w:space="0" w:color="auto"/>
              <w:left w:val="outset" w:sz="6" w:space="0" w:color="auto"/>
              <w:bottom w:val="outset" w:sz="6" w:space="0" w:color="auto"/>
              <w:right w:val="outset" w:sz="6" w:space="0" w:color="auto"/>
            </w:tcBorders>
            <w:hideMark/>
          </w:tcPr>
          <w:p w:rsidR="00C26596" w:rsidRPr="00C26596" w:rsidRDefault="00C26596" w:rsidP="000C2E59">
            <w:pPr>
              <w:spacing w:line="360" w:lineRule="auto"/>
              <w:rPr>
                <w:lang w:eastAsia="en-US" w:bidi="lo-LA"/>
              </w:rPr>
            </w:pPr>
            <w:r w:rsidRPr="00C26596">
              <w:rPr>
                <w:lang w:eastAsia="en-US" w:bidi="lo-LA"/>
              </w:rPr>
              <w:t>Projekts šo jomu neskar</w:t>
            </w:r>
          </w:p>
        </w:tc>
      </w:tr>
      <w:tr w:rsidR="00C26596" w:rsidRPr="00C95CF0" w:rsidTr="003114D7">
        <w:tc>
          <w:tcPr>
            <w:tcW w:w="2408" w:type="dxa"/>
            <w:tcBorders>
              <w:top w:val="outset" w:sz="6" w:space="0" w:color="auto"/>
              <w:left w:val="outset" w:sz="6" w:space="0" w:color="auto"/>
              <w:bottom w:val="outset" w:sz="6" w:space="0" w:color="auto"/>
              <w:right w:val="outset" w:sz="6" w:space="0" w:color="auto"/>
            </w:tcBorders>
            <w:hideMark/>
          </w:tcPr>
          <w:p w:rsidR="00C26596" w:rsidRPr="00C95CF0" w:rsidRDefault="00C26596" w:rsidP="000C2E59">
            <w:pPr>
              <w:rPr>
                <w:lang w:eastAsia="en-US" w:bidi="lo-LA"/>
              </w:rPr>
            </w:pPr>
            <w:r w:rsidRPr="00C95CF0">
              <w:rPr>
                <w:lang w:eastAsia="en-US" w:bidi="lo-LA"/>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8" w:type="dxa"/>
            <w:gridSpan w:val="3"/>
            <w:tcBorders>
              <w:top w:val="outset" w:sz="6" w:space="0" w:color="auto"/>
              <w:left w:val="outset" w:sz="6" w:space="0" w:color="auto"/>
              <w:bottom w:val="outset" w:sz="6" w:space="0" w:color="auto"/>
              <w:right w:val="outset" w:sz="6" w:space="0" w:color="auto"/>
            </w:tcBorders>
            <w:hideMark/>
          </w:tcPr>
          <w:p w:rsidR="00C26596" w:rsidRPr="00C26596" w:rsidRDefault="00C26596" w:rsidP="000C2E59">
            <w:pPr>
              <w:spacing w:line="360" w:lineRule="auto"/>
              <w:rPr>
                <w:lang w:eastAsia="en-US" w:bidi="lo-LA"/>
              </w:rPr>
            </w:pPr>
            <w:r w:rsidRPr="00C26596">
              <w:rPr>
                <w:lang w:eastAsia="en-US" w:bidi="lo-LA"/>
              </w:rPr>
              <w:t>Projekts šo jomu neskar</w:t>
            </w:r>
          </w:p>
        </w:tc>
      </w:tr>
      <w:tr w:rsidR="00C26596" w:rsidRPr="00C95CF0" w:rsidTr="003114D7">
        <w:tc>
          <w:tcPr>
            <w:tcW w:w="2408" w:type="dxa"/>
            <w:tcBorders>
              <w:top w:val="outset" w:sz="6" w:space="0" w:color="auto"/>
              <w:left w:val="outset" w:sz="6" w:space="0" w:color="auto"/>
              <w:bottom w:val="outset" w:sz="6" w:space="0" w:color="auto"/>
              <w:right w:val="outset" w:sz="6" w:space="0" w:color="auto"/>
            </w:tcBorders>
            <w:hideMark/>
          </w:tcPr>
          <w:p w:rsidR="00C26596" w:rsidRPr="00C95CF0" w:rsidRDefault="00C26596" w:rsidP="000C2E59">
            <w:pPr>
              <w:spacing w:line="360" w:lineRule="auto"/>
              <w:rPr>
                <w:lang w:eastAsia="en-US" w:bidi="lo-LA"/>
              </w:rPr>
            </w:pPr>
            <w:r w:rsidRPr="00C95CF0">
              <w:rPr>
                <w:lang w:eastAsia="en-US" w:bidi="lo-LA"/>
              </w:rPr>
              <w:t>Cita informācija</w:t>
            </w:r>
          </w:p>
        </w:tc>
        <w:tc>
          <w:tcPr>
            <w:tcW w:w="6948" w:type="dxa"/>
            <w:gridSpan w:val="3"/>
            <w:tcBorders>
              <w:top w:val="outset" w:sz="6" w:space="0" w:color="auto"/>
              <w:left w:val="outset" w:sz="6" w:space="0" w:color="auto"/>
              <w:bottom w:val="outset" w:sz="6" w:space="0" w:color="auto"/>
              <w:right w:val="outset" w:sz="6" w:space="0" w:color="auto"/>
            </w:tcBorders>
            <w:hideMark/>
          </w:tcPr>
          <w:p w:rsidR="00C26596" w:rsidRPr="00C95CF0" w:rsidRDefault="00C26596" w:rsidP="000C2E59">
            <w:pPr>
              <w:rPr>
                <w:lang w:eastAsia="en-US" w:bidi="lo-LA"/>
              </w:rPr>
            </w:pPr>
            <w:r>
              <w:rPr>
                <w:lang w:eastAsia="en-US" w:bidi="lo-LA"/>
              </w:rPr>
              <w:t>Nav</w:t>
            </w:r>
          </w:p>
        </w:tc>
      </w:tr>
    </w:tbl>
    <w:p w:rsidR="00703C92" w:rsidRPr="00C26596" w:rsidRDefault="00ED5A6C" w:rsidP="00C44C53">
      <w:pPr>
        <w:pStyle w:val="naisf"/>
        <w:spacing w:before="0" w:after="0"/>
        <w:ind w:firstLine="0"/>
        <w:jc w:val="left"/>
        <w:rPr>
          <w:i/>
        </w:rPr>
      </w:pPr>
      <w:r w:rsidRPr="00C26596">
        <w:rPr>
          <w:i/>
        </w:rPr>
        <w:t xml:space="preserve">Anotācijas </w:t>
      </w:r>
      <w:r w:rsidR="00C44C53" w:rsidRPr="00C26596">
        <w:rPr>
          <w:i/>
        </w:rPr>
        <w:t xml:space="preserve">II, </w:t>
      </w:r>
      <w:r w:rsidRPr="00C26596">
        <w:rPr>
          <w:i/>
        </w:rPr>
        <w:t>V</w:t>
      </w:r>
      <w:r w:rsidR="00AA1937" w:rsidRPr="00C26596">
        <w:rPr>
          <w:i/>
        </w:rPr>
        <w:t>I</w:t>
      </w:r>
      <w:r w:rsidR="00703C92" w:rsidRPr="00C26596">
        <w:rPr>
          <w:i/>
        </w:rPr>
        <w:t xml:space="preserve"> un VI</w:t>
      </w:r>
      <w:r w:rsidR="00A22404" w:rsidRPr="00C26596">
        <w:rPr>
          <w:i/>
        </w:rPr>
        <w:t xml:space="preserve">I </w:t>
      </w:r>
      <w:r w:rsidRPr="00C26596">
        <w:rPr>
          <w:i/>
        </w:rPr>
        <w:t>s</w:t>
      </w:r>
      <w:r w:rsidR="00703C92" w:rsidRPr="00C26596">
        <w:rPr>
          <w:i/>
        </w:rPr>
        <w:t>adaļa</w:t>
      </w:r>
      <w:r w:rsidR="00A22404" w:rsidRPr="00C26596">
        <w:rPr>
          <w:i/>
        </w:rPr>
        <w:t xml:space="preserve"> </w:t>
      </w:r>
      <w:r w:rsidR="00703C92" w:rsidRPr="00C26596">
        <w:rPr>
          <w:i/>
        </w:rPr>
        <w:t xml:space="preserve">– </w:t>
      </w:r>
      <w:r w:rsidR="00991D76" w:rsidRPr="00C26596">
        <w:rPr>
          <w:i/>
          <w:iCs/>
        </w:rPr>
        <w:t>p</w:t>
      </w:r>
      <w:r w:rsidRPr="00C26596">
        <w:rPr>
          <w:i/>
        </w:rPr>
        <w:t>rojekts šīs jomas</w:t>
      </w:r>
      <w:r w:rsidR="00703C92" w:rsidRPr="00C26596">
        <w:rPr>
          <w:i/>
        </w:rPr>
        <w:t xml:space="preserve"> neskar.</w:t>
      </w:r>
    </w:p>
    <w:p w:rsidR="00690CE3" w:rsidRDefault="00690CE3" w:rsidP="007D1F49">
      <w:pPr>
        <w:rPr>
          <w:sz w:val="28"/>
          <w:szCs w:val="28"/>
        </w:rPr>
      </w:pPr>
    </w:p>
    <w:p w:rsidR="00D42719" w:rsidRDefault="00D42719" w:rsidP="007D1F49">
      <w:pPr>
        <w:rPr>
          <w:sz w:val="28"/>
          <w:szCs w:val="28"/>
        </w:rPr>
      </w:pPr>
    </w:p>
    <w:p w:rsidR="00AA1937" w:rsidRPr="00711B97" w:rsidRDefault="004750D0" w:rsidP="00C26596">
      <w:pPr>
        <w:pStyle w:val="naisf"/>
        <w:tabs>
          <w:tab w:val="left" w:pos="6804"/>
        </w:tabs>
        <w:spacing w:before="0" w:after="0"/>
        <w:ind w:firstLine="0"/>
        <w:rPr>
          <w:sz w:val="28"/>
          <w:szCs w:val="28"/>
        </w:rPr>
      </w:pPr>
      <w:r>
        <w:rPr>
          <w:sz w:val="28"/>
          <w:szCs w:val="28"/>
        </w:rPr>
        <w:t>Veselības</w:t>
      </w:r>
      <w:r w:rsidR="003114D7">
        <w:rPr>
          <w:sz w:val="28"/>
          <w:szCs w:val="28"/>
        </w:rPr>
        <w:t xml:space="preserve"> ministre</w:t>
      </w:r>
      <w:r w:rsidRPr="007C0F2C">
        <w:rPr>
          <w:sz w:val="28"/>
          <w:szCs w:val="28"/>
        </w:rPr>
        <w:tab/>
      </w:r>
      <w:r w:rsidR="00283D07">
        <w:rPr>
          <w:sz w:val="28"/>
          <w:szCs w:val="28"/>
        </w:rPr>
        <w:tab/>
        <w:t xml:space="preserve">         </w:t>
      </w:r>
      <w:r w:rsidR="003114D7">
        <w:rPr>
          <w:sz w:val="28"/>
          <w:szCs w:val="28"/>
        </w:rPr>
        <w:t>I.Circene</w:t>
      </w:r>
    </w:p>
    <w:p w:rsidR="00AA1937" w:rsidRDefault="00AA193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283D07" w:rsidRDefault="00283D07" w:rsidP="00D8462A">
      <w:pPr>
        <w:pStyle w:val="naisf"/>
        <w:tabs>
          <w:tab w:val="left" w:pos="720"/>
        </w:tabs>
        <w:spacing w:before="0" w:after="0"/>
        <w:ind w:firstLine="0"/>
        <w:rPr>
          <w:sz w:val="22"/>
          <w:szCs w:val="22"/>
        </w:rPr>
      </w:pPr>
    </w:p>
    <w:p w:rsidR="00A60EE3" w:rsidRPr="00541472" w:rsidRDefault="00A60EE3" w:rsidP="00A60EE3">
      <w:r w:rsidRPr="00541472">
        <w:t>2</w:t>
      </w:r>
      <w:r w:rsidR="00E03C27">
        <w:t>8</w:t>
      </w:r>
      <w:r w:rsidRPr="00541472">
        <w:t>.</w:t>
      </w:r>
      <w:r w:rsidR="00214C28">
        <w:t>1</w:t>
      </w:r>
      <w:r w:rsidRPr="00541472">
        <w:t>0.2011 1</w:t>
      </w:r>
      <w:r w:rsidR="005D1C3F">
        <w:t>2</w:t>
      </w:r>
      <w:r w:rsidRPr="00541472">
        <w:t>:</w:t>
      </w:r>
      <w:r w:rsidR="00016CA0">
        <w:t>21</w:t>
      </w:r>
    </w:p>
    <w:p w:rsidR="00A60EE3" w:rsidRPr="00541472" w:rsidRDefault="00843DF9" w:rsidP="00A60EE3">
      <w:pPr>
        <w:rPr>
          <w:lang w:val="sv-SE"/>
        </w:rPr>
      </w:pPr>
      <w:r>
        <w:rPr>
          <w:lang w:val="sv-SE"/>
        </w:rPr>
        <w:t>37</w:t>
      </w:r>
      <w:r w:rsidR="00016CA0">
        <w:rPr>
          <w:lang w:val="sv-SE"/>
        </w:rPr>
        <w:t>49</w:t>
      </w:r>
    </w:p>
    <w:p w:rsidR="00A60EE3" w:rsidRDefault="00A60EE3" w:rsidP="00A60EE3">
      <w:pPr>
        <w:rPr>
          <w:lang w:val="sv-SE"/>
        </w:rPr>
      </w:pPr>
      <w:r w:rsidRPr="00541472">
        <w:rPr>
          <w:lang w:val="sv-SE"/>
        </w:rPr>
        <w:t>G.Jermacāne, 67876167</w:t>
      </w:r>
    </w:p>
    <w:p w:rsidR="00ED36C7" w:rsidRDefault="00417EB9" w:rsidP="00A60EE3">
      <w:pPr>
        <w:pStyle w:val="naisf"/>
        <w:tabs>
          <w:tab w:val="left" w:pos="720"/>
        </w:tabs>
        <w:spacing w:before="0" w:after="0"/>
        <w:ind w:firstLine="0"/>
        <w:rPr>
          <w:sz w:val="22"/>
          <w:szCs w:val="22"/>
        </w:rPr>
      </w:pPr>
      <w:hyperlink r:id="rId37" w:history="1">
        <w:r w:rsidR="005C26FC" w:rsidRPr="00C64CA6">
          <w:rPr>
            <w:rStyle w:val="Hyperlink"/>
            <w:lang w:val="sv-SE"/>
          </w:rPr>
          <w:t>guna.jermacane@vm.gov.lv</w:t>
        </w:r>
      </w:hyperlink>
    </w:p>
    <w:p w:rsidR="00ED36C7" w:rsidRDefault="00ED36C7" w:rsidP="00D8462A">
      <w:pPr>
        <w:pStyle w:val="naisf"/>
        <w:tabs>
          <w:tab w:val="left" w:pos="720"/>
        </w:tabs>
        <w:spacing w:before="0" w:after="0"/>
        <w:ind w:firstLine="0"/>
        <w:rPr>
          <w:sz w:val="22"/>
          <w:szCs w:val="22"/>
        </w:rPr>
      </w:pPr>
    </w:p>
    <w:sectPr w:rsidR="00ED36C7" w:rsidSect="00F94026">
      <w:headerReference w:type="default" r:id="rId38"/>
      <w:footerReference w:type="default" r:id="rId39"/>
      <w:footerReference w:type="first" r:id="rId40"/>
      <w:pgSz w:w="11906" w:h="16838" w:code="9"/>
      <w:pgMar w:top="1418" w:right="1134" w:bottom="1134" w:left="1701"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FA7" w:rsidRDefault="00473FA7">
      <w:r>
        <w:separator/>
      </w:r>
    </w:p>
  </w:endnote>
  <w:endnote w:type="continuationSeparator" w:id="0">
    <w:p w:rsidR="00473FA7" w:rsidRDefault="00473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A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FA7" w:rsidRDefault="00E03C27" w:rsidP="004750D0">
    <w:pPr>
      <w:pStyle w:val="naisc"/>
      <w:spacing w:before="0" w:after="0"/>
      <w:jc w:val="both"/>
    </w:pPr>
    <w:r>
      <w:t>VManot_28</w:t>
    </w:r>
    <w:r w:rsidR="00473FA7">
      <w:t>1011</w:t>
    </w:r>
    <w:r w:rsidR="00473FA7" w:rsidRPr="00A31E1A">
      <w:t xml:space="preserve">; </w:t>
    </w:r>
    <w:bookmarkStart w:id="4" w:name="OLE_LINK1"/>
    <w:bookmarkStart w:id="5" w:name="OLE_LINK2"/>
    <w:bookmarkStart w:id="6" w:name="_Hlk300587875"/>
    <w:r w:rsidR="00473FA7" w:rsidRPr="00A31E1A">
      <w:rPr>
        <w:bCs/>
      </w:rPr>
      <w:t xml:space="preserve">Ministru kabineta </w:t>
    </w:r>
    <w:r w:rsidR="00473FA7">
      <w:rPr>
        <w:bCs/>
      </w:rPr>
      <w:t>noteikumu</w:t>
    </w:r>
    <w:r w:rsidR="00473FA7" w:rsidRPr="00A31E1A">
      <w:rPr>
        <w:bCs/>
      </w:rPr>
      <w:t xml:space="preserve"> projekta „</w:t>
    </w:r>
    <w:r w:rsidR="00473FA7">
      <w:t>Nacionālā veselības dienesta nolikums</w:t>
    </w:r>
    <w:r w:rsidR="00473FA7" w:rsidRPr="00A31E1A">
      <w:rPr>
        <w:bCs/>
      </w:rPr>
      <w:t>”</w:t>
    </w:r>
    <w:r w:rsidR="00473FA7" w:rsidRPr="00A31E1A">
      <w:t xml:space="preserve"> sākotnējās ietekmes novērtējuma </w:t>
    </w:r>
    <w:smartTag w:uri="schemas-tilde-lv/tildestengine" w:element="veidnes">
      <w:smartTagPr>
        <w:attr w:name="id" w:val="-1"/>
        <w:attr w:name="baseform" w:val="ziņojums"/>
        <w:attr w:name="text" w:val="ziņojums"/>
      </w:smartTagPr>
      <w:r w:rsidR="00473FA7" w:rsidRPr="00A31E1A">
        <w:t>ziņojums</w:t>
      </w:r>
    </w:smartTag>
    <w:r w:rsidR="00473FA7" w:rsidRPr="00A31E1A">
      <w:t xml:space="preserve"> (anotācija)</w:t>
    </w:r>
    <w:bookmarkEnd w:id="4"/>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FA7" w:rsidRDefault="00473FA7" w:rsidP="00D42719">
    <w:pPr>
      <w:pStyle w:val="naisc"/>
      <w:spacing w:before="0" w:after="0"/>
      <w:jc w:val="both"/>
    </w:pPr>
    <w:r>
      <w:t>VManot_2</w:t>
    </w:r>
    <w:r w:rsidR="00E03C27">
      <w:t>8</w:t>
    </w:r>
    <w:r>
      <w:t>1011</w:t>
    </w:r>
    <w:r w:rsidRPr="00A31E1A">
      <w:t xml:space="preserve">; </w:t>
    </w:r>
    <w:r w:rsidRPr="00A31E1A">
      <w:rPr>
        <w:bCs/>
      </w:rPr>
      <w:t xml:space="preserve">Ministru </w:t>
    </w:r>
    <w:r>
      <w:rPr>
        <w:bCs/>
      </w:rPr>
      <w:t>kabineta noteikumu</w:t>
    </w:r>
    <w:r w:rsidRPr="00A31E1A">
      <w:rPr>
        <w:bCs/>
      </w:rPr>
      <w:t xml:space="preserve"> projekta „</w:t>
    </w:r>
    <w:r>
      <w:t>Nacionālā veselības dienesta nolikums</w:t>
    </w:r>
    <w:r w:rsidRPr="00A31E1A">
      <w:rPr>
        <w:bCs/>
      </w:rPr>
      <w:t>”</w:t>
    </w:r>
    <w:r w:rsidRPr="00A31E1A">
      <w:t xml:space="preserve"> sākotnējās ietekmes novērtējuma </w:t>
    </w:r>
    <w:smartTag w:uri="schemas-tilde-lv/tildestengine" w:element="veidnes">
      <w:smartTagPr>
        <w:attr w:name="id" w:val="-1"/>
        <w:attr w:name="baseform" w:val="ziņojums"/>
        <w:attr w:name="text" w:val="ziņojums"/>
      </w:smartTagPr>
      <w:r w:rsidRPr="00A31E1A">
        <w:t>ziņojums</w:t>
      </w:r>
    </w:smartTag>
    <w:r w:rsidRPr="00A31E1A">
      <w:t xml:space="preserve"> (anotācija)</w:t>
    </w:r>
  </w:p>
  <w:p w:rsidR="00473FA7" w:rsidRPr="00D42719" w:rsidRDefault="00473FA7" w:rsidP="00D42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FA7" w:rsidRDefault="00473FA7">
      <w:r>
        <w:separator/>
      </w:r>
    </w:p>
  </w:footnote>
  <w:footnote w:type="continuationSeparator" w:id="0">
    <w:p w:rsidR="00473FA7" w:rsidRDefault="00473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FA7" w:rsidRDefault="00417EB9" w:rsidP="001B1A87">
    <w:pPr>
      <w:pStyle w:val="Header"/>
      <w:jc w:val="center"/>
    </w:pPr>
    <w:r>
      <w:rPr>
        <w:rStyle w:val="PageNumber"/>
      </w:rPr>
      <w:fldChar w:fldCharType="begin"/>
    </w:r>
    <w:r w:rsidR="00473FA7">
      <w:rPr>
        <w:rStyle w:val="PageNumber"/>
      </w:rPr>
      <w:instrText xml:space="preserve"> PAGE </w:instrText>
    </w:r>
    <w:r>
      <w:rPr>
        <w:rStyle w:val="PageNumber"/>
      </w:rPr>
      <w:fldChar w:fldCharType="separate"/>
    </w:r>
    <w:r w:rsidR="00016CA0">
      <w:rPr>
        <w:rStyle w:val="PageNumber"/>
        <w:noProof/>
      </w:rPr>
      <w:t>15</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477"/>
    <w:multiLevelType w:val="multilevel"/>
    <w:tmpl w:val="00B8ECA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35E4115"/>
    <w:multiLevelType w:val="hybridMultilevel"/>
    <w:tmpl w:val="50461516"/>
    <w:lvl w:ilvl="0" w:tplc="0426000F">
      <w:start w:val="1"/>
      <w:numFmt w:val="decimal"/>
      <w:lvlText w:val="%1."/>
      <w:lvlJc w:val="left"/>
      <w:pPr>
        <w:ind w:left="360" w:hanging="360"/>
      </w:pPr>
    </w:lvl>
    <w:lvl w:ilvl="1" w:tplc="52D8AB2C">
      <w:start w:val="1"/>
      <w:numFmt w:val="decimal"/>
      <w:lvlText w:val="%2)"/>
      <w:lvlJc w:val="left"/>
      <w:pPr>
        <w:ind w:left="1080" w:hanging="360"/>
      </w:pPr>
      <w:rPr>
        <w:rFonts w:ascii="Times New Roman" w:eastAsia="Times New Roman" w:hAnsi="Times New Roman" w:cs="Times New Roman"/>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6821EE8"/>
    <w:multiLevelType w:val="hybridMultilevel"/>
    <w:tmpl w:val="2F927892"/>
    <w:lvl w:ilvl="0" w:tplc="01A6BC5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E6BF2"/>
    <w:multiLevelType w:val="hybridMultilevel"/>
    <w:tmpl w:val="519AD168"/>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33629AA6">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21D7AD4"/>
    <w:multiLevelType w:val="hybridMultilevel"/>
    <w:tmpl w:val="1FB84918"/>
    <w:lvl w:ilvl="0" w:tplc="612C3F26">
      <w:start w:val="6"/>
      <w:numFmt w:val="bullet"/>
      <w:lvlText w:val="-"/>
      <w:lvlJc w:val="left"/>
      <w:pPr>
        <w:ind w:left="735" w:hanging="360"/>
      </w:pPr>
      <w:rPr>
        <w:rFonts w:ascii="Times New Roman" w:eastAsia="Times New Roman" w:hAnsi="Times New Roman" w:cs="Times New Roman" w:hint="default"/>
        <w:color w:val="FF000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nsid w:val="32396D97"/>
    <w:multiLevelType w:val="hybridMultilevel"/>
    <w:tmpl w:val="6F1CE3AE"/>
    <w:lvl w:ilvl="0" w:tplc="C674E1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43A31"/>
    <w:multiLevelType w:val="multilevel"/>
    <w:tmpl w:val="DAC8D0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BF308F0"/>
    <w:multiLevelType w:val="hybridMultilevel"/>
    <w:tmpl w:val="43A2F854"/>
    <w:lvl w:ilvl="0" w:tplc="A8CE8A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F129E"/>
    <w:multiLevelType w:val="hybridMultilevel"/>
    <w:tmpl w:val="3C7CD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D5CF7"/>
    <w:multiLevelType w:val="hybridMultilevel"/>
    <w:tmpl w:val="D6AAE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9D41DA"/>
    <w:multiLevelType w:val="hybridMultilevel"/>
    <w:tmpl w:val="793A2740"/>
    <w:lvl w:ilvl="0" w:tplc="8424E9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35D4ED5"/>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3571F"/>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9F0221"/>
    <w:multiLevelType w:val="hybridMultilevel"/>
    <w:tmpl w:val="FE4A2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43862"/>
    <w:multiLevelType w:val="hybridMultilevel"/>
    <w:tmpl w:val="6FE41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0608C"/>
    <w:multiLevelType w:val="multilevel"/>
    <w:tmpl w:val="2B7488A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BE03E92"/>
    <w:multiLevelType w:val="multilevel"/>
    <w:tmpl w:val="56BCCA8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6E8C52EB"/>
    <w:multiLevelType w:val="hybridMultilevel"/>
    <w:tmpl w:val="C218AD6C"/>
    <w:lvl w:ilvl="0" w:tplc="88CA352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95550"/>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27F15"/>
    <w:multiLevelType w:val="hybridMultilevel"/>
    <w:tmpl w:val="EB6E8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5"/>
  </w:num>
  <w:num w:numId="6">
    <w:abstractNumId w:val="12"/>
  </w:num>
  <w:num w:numId="7">
    <w:abstractNumId w:val="19"/>
  </w:num>
  <w:num w:numId="8">
    <w:abstractNumId w:val="6"/>
  </w:num>
  <w:num w:numId="9">
    <w:abstractNumId w:val="15"/>
  </w:num>
  <w:num w:numId="10">
    <w:abstractNumId w:val="16"/>
  </w:num>
  <w:num w:numId="11">
    <w:abstractNumId w:val="2"/>
  </w:num>
  <w:num w:numId="12">
    <w:abstractNumId w:val="22"/>
  </w:num>
  <w:num w:numId="13">
    <w:abstractNumId w:val="3"/>
  </w:num>
  <w:num w:numId="14">
    <w:abstractNumId w:val="11"/>
  </w:num>
  <w:num w:numId="15">
    <w:abstractNumId w:val="10"/>
  </w:num>
  <w:num w:numId="16">
    <w:abstractNumId w:val="9"/>
  </w:num>
  <w:num w:numId="17">
    <w:abstractNumId w:val="21"/>
  </w:num>
  <w:num w:numId="18">
    <w:abstractNumId w:val="14"/>
  </w:num>
  <w:num w:numId="19">
    <w:abstractNumId w:val="20"/>
  </w:num>
  <w:num w:numId="20">
    <w:abstractNumId w:val="13"/>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5F6C"/>
    <w:rsid w:val="0000463A"/>
    <w:rsid w:val="000106FB"/>
    <w:rsid w:val="00013B6E"/>
    <w:rsid w:val="0001604B"/>
    <w:rsid w:val="00016934"/>
    <w:rsid w:val="00016CA0"/>
    <w:rsid w:val="00027A65"/>
    <w:rsid w:val="000341AD"/>
    <w:rsid w:val="00037C3C"/>
    <w:rsid w:val="0004354E"/>
    <w:rsid w:val="000447F3"/>
    <w:rsid w:val="000556AA"/>
    <w:rsid w:val="0005611F"/>
    <w:rsid w:val="00060264"/>
    <w:rsid w:val="000743AA"/>
    <w:rsid w:val="00075927"/>
    <w:rsid w:val="000835EF"/>
    <w:rsid w:val="00095738"/>
    <w:rsid w:val="000A7E17"/>
    <w:rsid w:val="000C1759"/>
    <w:rsid w:val="000C1DAE"/>
    <w:rsid w:val="000C21D5"/>
    <w:rsid w:val="000C2310"/>
    <w:rsid w:val="000C2E59"/>
    <w:rsid w:val="000D20A9"/>
    <w:rsid w:val="000D23AD"/>
    <w:rsid w:val="000D2DD1"/>
    <w:rsid w:val="000D394D"/>
    <w:rsid w:val="000D3DA7"/>
    <w:rsid w:val="000D68E3"/>
    <w:rsid w:val="000F36ED"/>
    <w:rsid w:val="000F5441"/>
    <w:rsid w:val="00101650"/>
    <w:rsid w:val="00107B00"/>
    <w:rsid w:val="0011002B"/>
    <w:rsid w:val="001108A5"/>
    <w:rsid w:val="00110D96"/>
    <w:rsid w:val="00115A62"/>
    <w:rsid w:val="00116C17"/>
    <w:rsid w:val="0012135F"/>
    <w:rsid w:val="00121DA4"/>
    <w:rsid w:val="00131969"/>
    <w:rsid w:val="0013462A"/>
    <w:rsid w:val="001354D7"/>
    <w:rsid w:val="00154422"/>
    <w:rsid w:val="001571BE"/>
    <w:rsid w:val="0015783E"/>
    <w:rsid w:val="00165E98"/>
    <w:rsid w:val="0017566B"/>
    <w:rsid w:val="001765C9"/>
    <w:rsid w:val="001800B4"/>
    <w:rsid w:val="0019541C"/>
    <w:rsid w:val="00195E10"/>
    <w:rsid w:val="00196F14"/>
    <w:rsid w:val="00197D55"/>
    <w:rsid w:val="001A0176"/>
    <w:rsid w:val="001B1A87"/>
    <w:rsid w:val="001B7FDA"/>
    <w:rsid w:val="001C39B4"/>
    <w:rsid w:val="001E3DA7"/>
    <w:rsid w:val="001F1CF2"/>
    <w:rsid w:val="001F660B"/>
    <w:rsid w:val="00201C41"/>
    <w:rsid w:val="00203FA3"/>
    <w:rsid w:val="00214C28"/>
    <w:rsid w:val="00222011"/>
    <w:rsid w:val="00227A51"/>
    <w:rsid w:val="00234090"/>
    <w:rsid w:val="00234F19"/>
    <w:rsid w:val="00241F67"/>
    <w:rsid w:val="002436E6"/>
    <w:rsid w:val="00243DC1"/>
    <w:rsid w:val="002556FE"/>
    <w:rsid w:val="00261E55"/>
    <w:rsid w:val="00262681"/>
    <w:rsid w:val="00264757"/>
    <w:rsid w:val="002729EE"/>
    <w:rsid w:val="00272F6C"/>
    <w:rsid w:val="00283D07"/>
    <w:rsid w:val="002A5633"/>
    <w:rsid w:val="002B3141"/>
    <w:rsid w:val="002B6EB3"/>
    <w:rsid w:val="002C33FB"/>
    <w:rsid w:val="002C5C1A"/>
    <w:rsid w:val="002C68B1"/>
    <w:rsid w:val="002D055B"/>
    <w:rsid w:val="002E4028"/>
    <w:rsid w:val="002E47D8"/>
    <w:rsid w:val="00302DDD"/>
    <w:rsid w:val="0030660D"/>
    <w:rsid w:val="003114D7"/>
    <w:rsid w:val="003152E2"/>
    <w:rsid w:val="00315931"/>
    <w:rsid w:val="00320667"/>
    <w:rsid w:val="00325608"/>
    <w:rsid w:val="00330FC5"/>
    <w:rsid w:val="00332B67"/>
    <w:rsid w:val="00336FEA"/>
    <w:rsid w:val="00342ECB"/>
    <w:rsid w:val="00347019"/>
    <w:rsid w:val="003555D3"/>
    <w:rsid w:val="0035637C"/>
    <w:rsid w:val="00366FEA"/>
    <w:rsid w:val="00384378"/>
    <w:rsid w:val="003A3755"/>
    <w:rsid w:val="003A4E22"/>
    <w:rsid w:val="003A7F47"/>
    <w:rsid w:val="003B2161"/>
    <w:rsid w:val="003B77A9"/>
    <w:rsid w:val="003C7C4D"/>
    <w:rsid w:val="003D6032"/>
    <w:rsid w:val="003D6B62"/>
    <w:rsid w:val="003E1E5E"/>
    <w:rsid w:val="003E346E"/>
    <w:rsid w:val="003E5F91"/>
    <w:rsid w:val="003F2C58"/>
    <w:rsid w:val="003F3BBF"/>
    <w:rsid w:val="00402799"/>
    <w:rsid w:val="00417EB9"/>
    <w:rsid w:val="00425D66"/>
    <w:rsid w:val="00430004"/>
    <w:rsid w:val="00431B77"/>
    <w:rsid w:val="004374E8"/>
    <w:rsid w:val="00463C1B"/>
    <w:rsid w:val="00464AB8"/>
    <w:rsid w:val="004728E8"/>
    <w:rsid w:val="004735BE"/>
    <w:rsid w:val="00473B24"/>
    <w:rsid w:val="00473FA7"/>
    <w:rsid w:val="004750D0"/>
    <w:rsid w:val="00475230"/>
    <w:rsid w:val="00477BD3"/>
    <w:rsid w:val="00480812"/>
    <w:rsid w:val="00482C0F"/>
    <w:rsid w:val="0048390A"/>
    <w:rsid w:val="00484A0B"/>
    <w:rsid w:val="004865D9"/>
    <w:rsid w:val="00486CB5"/>
    <w:rsid w:val="00494E2A"/>
    <w:rsid w:val="0049526A"/>
    <w:rsid w:val="004956FC"/>
    <w:rsid w:val="00495A63"/>
    <w:rsid w:val="00497573"/>
    <w:rsid w:val="004A50FB"/>
    <w:rsid w:val="004B664C"/>
    <w:rsid w:val="004C5C1F"/>
    <w:rsid w:val="004C6815"/>
    <w:rsid w:val="004D2E69"/>
    <w:rsid w:val="004D30B4"/>
    <w:rsid w:val="004D60DE"/>
    <w:rsid w:val="004D6763"/>
    <w:rsid w:val="004E47E9"/>
    <w:rsid w:val="004E50A7"/>
    <w:rsid w:val="004F28D9"/>
    <w:rsid w:val="004F331E"/>
    <w:rsid w:val="004F5B51"/>
    <w:rsid w:val="00500D9E"/>
    <w:rsid w:val="00501080"/>
    <w:rsid w:val="0050684E"/>
    <w:rsid w:val="00507576"/>
    <w:rsid w:val="00512D6A"/>
    <w:rsid w:val="005165A5"/>
    <w:rsid w:val="00516A9F"/>
    <w:rsid w:val="00517D4C"/>
    <w:rsid w:val="00523A31"/>
    <w:rsid w:val="00526E62"/>
    <w:rsid w:val="00531901"/>
    <w:rsid w:val="005326AA"/>
    <w:rsid w:val="00534005"/>
    <w:rsid w:val="00536DF0"/>
    <w:rsid w:val="00542820"/>
    <w:rsid w:val="0055397F"/>
    <w:rsid w:val="00573D4A"/>
    <w:rsid w:val="00575EB0"/>
    <w:rsid w:val="0057655C"/>
    <w:rsid w:val="00577301"/>
    <w:rsid w:val="005909AC"/>
    <w:rsid w:val="00591C7D"/>
    <w:rsid w:val="00595CCB"/>
    <w:rsid w:val="005A2EC3"/>
    <w:rsid w:val="005A4529"/>
    <w:rsid w:val="005A5DDE"/>
    <w:rsid w:val="005C26FC"/>
    <w:rsid w:val="005C383F"/>
    <w:rsid w:val="005C454F"/>
    <w:rsid w:val="005C7217"/>
    <w:rsid w:val="005C7BB4"/>
    <w:rsid w:val="005C7DFB"/>
    <w:rsid w:val="005D0BAD"/>
    <w:rsid w:val="005D1086"/>
    <w:rsid w:val="005D1C3F"/>
    <w:rsid w:val="005D4A9B"/>
    <w:rsid w:val="005D6CB3"/>
    <w:rsid w:val="005F0224"/>
    <w:rsid w:val="005F6837"/>
    <w:rsid w:val="005F78AA"/>
    <w:rsid w:val="006026F6"/>
    <w:rsid w:val="0062499F"/>
    <w:rsid w:val="006451FD"/>
    <w:rsid w:val="00662964"/>
    <w:rsid w:val="006665BB"/>
    <w:rsid w:val="006672C0"/>
    <w:rsid w:val="00685544"/>
    <w:rsid w:val="00685B3A"/>
    <w:rsid w:val="00690CE3"/>
    <w:rsid w:val="006971A4"/>
    <w:rsid w:val="006A0B7C"/>
    <w:rsid w:val="006A1284"/>
    <w:rsid w:val="006A1800"/>
    <w:rsid w:val="006A43FB"/>
    <w:rsid w:val="006B2526"/>
    <w:rsid w:val="006B3292"/>
    <w:rsid w:val="006B7A00"/>
    <w:rsid w:val="006C0410"/>
    <w:rsid w:val="006C2605"/>
    <w:rsid w:val="006C38F6"/>
    <w:rsid w:val="006D009D"/>
    <w:rsid w:val="006D5009"/>
    <w:rsid w:val="006D74C8"/>
    <w:rsid w:val="006F5646"/>
    <w:rsid w:val="006F78B6"/>
    <w:rsid w:val="007031CC"/>
    <w:rsid w:val="00703C92"/>
    <w:rsid w:val="007071AC"/>
    <w:rsid w:val="0071167F"/>
    <w:rsid w:val="00711B97"/>
    <w:rsid w:val="00713C4F"/>
    <w:rsid w:val="00714EC9"/>
    <w:rsid w:val="00716F56"/>
    <w:rsid w:val="00721A59"/>
    <w:rsid w:val="00745F6C"/>
    <w:rsid w:val="007610A3"/>
    <w:rsid w:val="00763D37"/>
    <w:rsid w:val="00776C10"/>
    <w:rsid w:val="00785201"/>
    <w:rsid w:val="00793446"/>
    <w:rsid w:val="00796313"/>
    <w:rsid w:val="007A3047"/>
    <w:rsid w:val="007A6D95"/>
    <w:rsid w:val="007B4590"/>
    <w:rsid w:val="007C2A95"/>
    <w:rsid w:val="007D1903"/>
    <w:rsid w:val="007D1F49"/>
    <w:rsid w:val="007D200C"/>
    <w:rsid w:val="007D7CB0"/>
    <w:rsid w:val="007E509D"/>
    <w:rsid w:val="007F6B67"/>
    <w:rsid w:val="008002D7"/>
    <w:rsid w:val="00801CE8"/>
    <w:rsid w:val="0080392B"/>
    <w:rsid w:val="00816495"/>
    <w:rsid w:val="00823550"/>
    <w:rsid w:val="00823753"/>
    <w:rsid w:val="00843BC3"/>
    <w:rsid w:val="00843DF9"/>
    <w:rsid w:val="00854A4E"/>
    <w:rsid w:val="00856A59"/>
    <w:rsid w:val="0086240D"/>
    <w:rsid w:val="00867418"/>
    <w:rsid w:val="00870445"/>
    <w:rsid w:val="00875D13"/>
    <w:rsid w:val="00882DAA"/>
    <w:rsid w:val="00883004"/>
    <w:rsid w:val="00884CC2"/>
    <w:rsid w:val="00891289"/>
    <w:rsid w:val="00891310"/>
    <w:rsid w:val="00897636"/>
    <w:rsid w:val="008A1BEB"/>
    <w:rsid w:val="008B315C"/>
    <w:rsid w:val="008B4652"/>
    <w:rsid w:val="008C56C1"/>
    <w:rsid w:val="008D506D"/>
    <w:rsid w:val="008D747F"/>
    <w:rsid w:val="008E2F8F"/>
    <w:rsid w:val="008E336F"/>
    <w:rsid w:val="008E3BA9"/>
    <w:rsid w:val="008F56B3"/>
    <w:rsid w:val="00902265"/>
    <w:rsid w:val="009077D3"/>
    <w:rsid w:val="009104E8"/>
    <w:rsid w:val="0091132A"/>
    <w:rsid w:val="00911808"/>
    <w:rsid w:val="00915FF3"/>
    <w:rsid w:val="0092380F"/>
    <w:rsid w:val="009273AA"/>
    <w:rsid w:val="0093344A"/>
    <w:rsid w:val="00936EC1"/>
    <w:rsid w:val="00937512"/>
    <w:rsid w:val="009379B9"/>
    <w:rsid w:val="00942E6F"/>
    <w:rsid w:val="00943055"/>
    <w:rsid w:val="00943EA9"/>
    <w:rsid w:val="00944E50"/>
    <w:rsid w:val="009465D3"/>
    <w:rsid w:val="0095397D"/>
    <w:rsid w:val="00955834"/>
    <w:rsid w:val="00970D1E"/>
    <w:rsid w:val="00971F2C"/>
    <w:rsid w:val="00981F54"/>
    <w:rsid w:val="009917BD"/>
    <w:rsid w:val="00991D76"/>
    <w:rsid w:val="009A0E0B"/>
    <w:rsid w:val="009A6346"/>
    <w:rsid w:val="009D2483"/>
    <w:rsid w:val="009D6E5C"/>
    <w:rsid w:val="009E0F18"/>
    <w:rsid w:val="009E1ADF"/>
    <w:rsid w:val="009E59AB"/>
    <w:rsid w:val="009F0B72"/>
    <w:rsid w:val="009F75EC"/>
    <w:rsid w:val="00A00CE6"/>
    <w:rsid w:val="00A0151F"/>
    <w:rsid w:val="00A034C7"/>
    <w:rsid w:val="00A173D7"/>
    <w:rsid w:val="00A22404"/>
    <w:rsid w:val="00A27687"/>
    <w:rsid w:val="00A31D8F"/>
    <w:rsid w:val="00A34EF9"/>
    <w:rsid w:val="00A3738B"/>
    <w:rsid w:val="00A603E1"/>
    <w:rsid w:val="00A60EE3"/>
    <w:rsid w:val="00A722CF"/>
    <w:rsid w:val="00A76503"/>
    <w:rsid w:val="00A812AD"/>
    <w:rsid w:val="00A81AB5"/>
    <w:rsid w:val="00A85E69"/>
    <w:rsid w:val="00A861A6"/>
    <w:rsid w:val="00A96C91"/>
    <w:rsid w:val="00AA1937"/>
    <w:rsid w:val="00AA2143"/>
    <w:rsid w:val="00AA4BE1"/>
    <w:rsid w:val="00AB3AF1"/>
    <w:rsid w:val="00AB3F9A"/>
    <w:rsid w:val="00AC27A2"/>
    <w:rsid w:val="00AD43F2"/>
    <w:rsid w:val="00AE119B"/>
    <w:rsid w:val="00B02825"/>
    <w:rsid w:val="00B1130D"/>
    <w:rsid w:val="00B14996"/>
    <w:rsid w:val="00B1714B"/>
    <w:rsid w:val="00B17F54"/>
    <w:rsid w:val="00B20563"/>
    <w:rsid w:val="00B258C9"/>
    <w:rsid w:val="00B36B83"/>
    <w:rsid w:val="00B36E8A"/>
    <w:rsid w:val="00B453DC"/>
    <w:rsid w:val="00B46B32"/>
    <w:rsid w:val="00B54DE3"/>
    <w:rsid w:val="00B621C1"/>
    <w:rsid w:val="00B64012"/>
    <w:rsid w:val="00B662D3"/>
    <w:rsid w:val="00B71B08"/>
    <w:rsid w:val="00B76F90"/>
    <w:rsid w:val="00B827BB"/>
    <w:rsid w:val="00B86DFE"/>
    <w:rsid w:val="00B90B9A"/>
    <w:rsid w:val="00B941EE"/>
    <w:rsid w:val="00BB035E"/>
    <w:rsid w:val="00BB1BC9"/>
    <w:rsid w:val="00BB2A5E"/>
    <w:rsid w:val="00BB39B7"/>
    <w:rsid w:val="00BB48B7"/>
    <w:rsid w:val="00BE54B6"/>
    <w:rsid w:val="00BE5FD3"/>
    <w:rsid w:val="00BF5838"/>
    <w:rsid w:val="00BF7AE5"/>
    <w:rsid w:val="00C03467"/>
    <w:rsid w:val="00C20357"/>
    <w:rsid w:val="00C209B3"/>
    <w:rsid w:val="00C22D7C"/>
    <w:rsid w:val="00C23CBF"/>
    <w:rsid w:val="00C26596"/>
    <w:rsid w:val="00C413C2"/>
    <w:rsid w:val="00C43840"/>
    <w:rsid w:val="00C44C53"/>
    <w:rsid w:val="00C646E0"/>
    <w:rsid w:val="00C6787B"/>
    <w:rsid w:val="00C73D7D"/>
    <w:rsid w:val="00C76836"/>
    <w:rsid w:val="00C805A4"/>
    <w:rsid w:val="00C902FF"/>
    <w:rsid w:val="00C94980"/>
    <w:rsid w:val="00C94DEA"/>
    <w:rsid w:val="00C95858"/>
    <w:rsid w:val="00C95CF0"/>
    <w:rsid w:val="00CA4285"/>
    <w:rsid w:val="00CB0F76"/>
    <w:rsid w:val="00CB7DB3"/>
    <w:rsid w:val="00CC05C9"/>
    <w:rsid w:val="00CC3583"/>
    <w:rsid w:val="00CE7CCD"/>
    <w:rsid w:val="00CF03D3"/>
    <w:rsid w:val="00CF4BB2"/>
    <w:rsid w:val="00D1340F"/>
    <w:rsid w:val="00D13D04"/>
    <w:rsid w:val="00D14201"/>
    <w:rsid w:val="00D253CD"/>
    <w:rsid w:val="00D2677D"/>
    <w:rsid w:val="00D31E75"/>
    <w:rsid w:val="00D33604"/>
    <w:rsid w:val="00D34E57"/>
    <w:rsid w:val="00D351B1"/>
    <w:rsid w:val="00D35F21"/>
    <w:rsid w:val="00D40434"/>
    <w:rsid w:val="00D41076"/>
    <w:rsid w:val="00D42719"/>
    <w:rsid w:val="00D56CFF"/>
    <w:rsid w:val="00D6412B"/>
    <w:rsid w:val="00D666AA"/>
    <w:rsid w:val="00D6703A"/>
    <w:rsid w:val="00D67ECF"/>
    <w:rsid w:val="00D73A24"/>
    <w:rsid w:val="00D7438C"/>
    <w:rsid w:val="00D74D94"/>
    <w:rsid w:val="00D7716D"/>
    <w:rsid w:val="00D8112E"/>
    <w:rsid w:val="00D8462A"/>
    <w:rsid w:val="00D8701B"/>
    <w:rsid w:val="00DA0B0E"/>
    <w:rsid w:val="00DA26FC"/>
    <w:rsid w:val="00DA5B31"/>
    <w:rsid w:val="00DC01BE"/>
    <w:rsid w:val="00DC4667"/>
    <w:rsid w:val="00DC6371"/>
    <w:rsid w:val="00DD6AC8"/>
    <w:rsid w:val="00DE1C7B"/>
    <w:rsid w:val="00DE32D7"/>
    <w:rsid w:val="00DF14A5"/>
    <w:rsid w:val="00E03C27"/>
    <w:rsid w:val="00E07DDC"/>
    <w:rsid w:val="00E239BF"/>
    <w:rsid w:val="00E2499F"/>
    <w:rsid w:val="00E24EEC"/>
    <w:rsid w:val="00E41200"/>
    <w:rsid w:val="00E46E0B"/>
    <w:rsid w:val="00E54A4B"/>
    <w:rsid w:val="00E55171"/>
    <w:rsid w:val="00E561DA"/>
    <w:rsid w:val="00E712E7"/>
    <w:rsid w:val="00E85582"/>
    <w:rsid w:val="00E903B6"/>
    <w:rsid w:val="00E912CD"/>
    <w:rsid w:val="00E95A01"/>
    <w:rsid w:val="00E96A68"/>
    <w:rsid w:val="00EA4CE9"/>
    <w:rsid w:val="00EA64D5"/>
    <w:rsid w:val="00EA6E8B"/>
    <w:rsid w:val="00EB5480"/>
    <w:rsid w:val="00EC18D6"/>
    <w:rsid w:val="00EC1A7F"/>
    <w:rsid w:val="00EC295C"/>
    <w:rsid w:val="00EC32E4"/>
    <w:rsid w:val="00ED36C7"/>
    <w:rsid w:val="00ED5A6C"/>
    <w:rsid w:val="00EF2C31"/>
    <w:rsid w:val="00F032CB"/>
    <w:rsid w:val="00F06B6A"/>
    <w:rsid w:val="00F136CE"/>
    <w:rsid w:val="00F17F25"/>
    <w:rsid w:val="00F27EE4"/>
    <w:rsid w:val="00F342EC"/>
    <w:rsid w:val="00F40445"/>
    <w:rsid w:val="00F41F0B"/>
    <w:rsid w:val="00F454C7"/>
    <w:rsid w:val="00F5208A"/>
    <w:rsid w:val="00F5219C"/>
    <w:rsid w:val="00F530A7"/>
    <w:rsid w:val="00F53DD3"/>
    <w:rsid w:val="00F550E3"/>
    <w:rsid w:val="00F553DD"/>
    <w:rsid w:val="00F608E6"/>
    <w:rsid w:val="00F6307D"/>
    <w:rsid w:val="00F66003"/>
    <w:rsid w:val="00F73D09"/>
    <w:rsid w:val="00F803AB"/>
    <w:rsid w:val="00F85B91"/>
    <w:rsid w:val="00F94026"/>
    <w:rsid w:val="00F94FBC"/>
    <w:rsid w:val="00FA6784"/>
    <w:rsid w:val="00FA70FE"/>
    <w:rsid w:val="00FA7253"/>
    <w:rsid w:val="00FA7B8F"/>
    <w:rsid w:val="00FA7EA4"/>
    <w:rsid w:val="00FB484C"/>
    <w:rsid w:val="00FC1A02"/>
    <w:rsid w:val="00FD22EF"/>
    <w:rsid w:val="00FD58F3"/>
    <w:rsid w:val="00FD5EE7"/>
    <w:rsid w:val="00FD67E2"/>
    <w:rsid w:val="00FF0925"/>
    <w:rsid w:val="00FF5965"/>
    <w:rsid w:val="00FF76C8"/>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F6C"/>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5F6C"/>
    <w:pPr>
      <w:tabs>
        <w:tab w:val="center" w:pos="4153"/>
        <w:tab w:val="right" w:pos="8306"/>
      </w:tabs>
    </w:pPr>
  </w:style>
  <w:style w:type="paragraph" w:styleId="Footer">
    <w:name w:val="footer"/>
    <w:basedOn w:val="Normal"/>
    <w:link w:val="FooterChar"/>
    <w:uiPriority w:val="99"/>
    <w:rsid w:val="00745F6C"/>
    <w:pPr>
      <w:tabs>
        <w:tab w:val="center" w:pos="4153"/>
        <w:tab w:val="right" w:pos="8306"/>
      </w:tabs>
    </w:pPr>
  </w:style>
  <w:style w:type="character" w:styleId="PageNumber">
    <w:name w:val="page number"/>
    <w:basedOn w:val="DefaultParagraphFont"/>
    <w:rsid w:val="00745F6C"/>
  </w:style>
  <w:style w:type="paragraph" w:customStyle="1" w:styleId="naisf">
    <w:name w:val="naisf"/>
    <w:basedOn w:val="Normal"/>
    <w:uiPriority w:val="99"/>
    <w:rsid w:val="00745F6C"/>
    <w:pPr>
      <w:spacing w:before="75" w:after="75"/>
      <w:ind w:firstLine="375"/>
      <w:jc w:val="both"/>
    </w:pPr>
  </w:style>
  <w:style w:type="paragraph" w:customStyle="1" w:styleId="naisnod">
    <w:name w:val="naisnod"/>
    <w:basedOn w:val="Normal"/>
    <w:rsid w:val="00875D13"/>
    <w:pPr>
      <w:spacing w:before="150" w:after="150"/>
      <w:jc w:val="center"/>
    </w:pPr>
    <w:rPr>
      <w:rFonts w:eastAsia="Calibri"/>
      <w:b/>
      <w:bCs/>
    </w:rPr>
  </w:style>
  <w:style w:type="paragraph" w:customStyle="1" w:styleId="naiskr">
    <w:name w:val="naiskr"/>
    <w:basedOn w:val="Normal"/>
    <w:rsid w:val="00875D13"/>
    <w:pPr>
      <w:spacing w:before="75" w:after="75"/>
    </w:pPr>
    <w:rPr>
      <w:rFonts w:eastAsia="Calibri"/>
    </w:rPr>
  </w:style>
  <w:style w:type="paragraph" w:styleId="BodyTextIndent2">
    <w:name w:val="Body Text Indent 2"/>
    <w:basedOn w:val="Normal"/>
    <w:link w:val="BodyTextIndent2Char"/>
    <w:rsid w:val="00875D13"/>
    <w:pPr>
      <w:spacing w:after="120" w:line="480" w:lineRule="auto"/>
      <w:ind w:left="283"/>
    </w:pPr>
    <w:rPr>
      <w:rFonts w:eastAsia="Calibri"/>
    </w:rPr>
  </w:style>
  <w:style w:type="character" w:customStyle="1" w:styleId="BodyTextIndent2Char">
    <w:name w:val="Body Text Indent 2 Char"/>
    <w:basedOn w:val="DefaultParagraphFont"/>
    <w:link w:val="BodyTextIndent2"/>
    <w:rsid w:val="00875D13"/>
    <w:rPr>
      <w:rFonts w:eastAsia="Calibri"/>
      <w:sz w:val="24"/>
      <w:szCs w:val="24"/>
      <w:lang w:val="lv-LV" w:eastAsia="lv-LV"/>
    </w:rPr>
  </w:style>
  <w:style w:type="paragraph" w:styleId="ListParagraph">
    <w:name w:val="List Paragraph"/>
    <w:basedOn w:val="Normal"/>
    <w:uiPriority w:val="34"/>
    <w:qFormat/>
    <w:rsid w:val="005C454F"/>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rsid w:val="00CA4285"/>
    <w:pPr>
      <w:spacing w:before="100" w:beforeAutospacing="1" w:after="119"/>
    </w:pPr>
  </w:style>
  <w:style w:type="paragraph" w:styleId="BalloonText">
    <w:name w:val="Balloon Text"/>
    <w:basedOn w:val="Normal"/>
    <w:link w:val="BalloonTextChar"/>
    <w:rsid w:val="006B3292"/>
    <w:rPr>
      <w:rFonts w:ascii="Tahoma" w:hAnsi="Tahoma" w:cs="Tahoma"/>
      <w:sz w:val="16"/>
      <w:szCs w:val="16"/>
    </w:rPr>
  </w:style>
  <w:style w:type="character" w:customStyle="1" w:styleId="BalloonTextChar">
    <w:name w:val="Balloon Text Char"/>
    <w:basedOn w:val="DefaultParagraphFont"/>
    <w:link w:val="BalloonText"/>
    <w:rsid w:val="006B3292"/>
    <w:rPr>
      <w:rFonts w:ascii="Tahoma" w:hAnsi="Tahoma" w:cs="Tahoma"/>
      <w:sz w:val="16"/>
      <w:szCs w:val="16"/>
      <w:lang w:val="lv-LV" w:eastAsia="lv-LV"/>
    </w:rPr>
  </w:style>
  <w:style w:type="character" w:styleId="Hyperlink">
    <w:name w:val="Hyperlink"/>
    <w:basedOn w:val="DefaultParagraphFont"/>
    <w:rsid w:val="00264757"/>
    <w:rPr>
      <w:color w:val="0000FF" w:themeColor="hyperlink"/>
      <w:u w:val="single"/>
    </w:rPr>
  </w:style>
  <w:style w:type="character" w:customStyle="1" w:styleId="FooterChar">
    <w:name w:val="Footer Char"/>
    <w:basedOn w:val="DefaultParagraphFont"/>
    <w:link w:val="Footer"/>
    <w:uiPriority w:val="99"/>
    <w:rsid w:val="00E41200"/>
    <w:rPr>
      <w:sz w:val="24"/>
      <w:szCs w:val="24"/>
      <w:lang w:val="lv-LV" w:eastAsia="lv-LV"/>
    </w:rPr>
  </w:style>
  <w:style w:type="paragraph" w:styleId="FootnoteText">
    <w:name w:val="footnote text"/>
    <w:basedOn w:val="Normal"/>
    <w:link w:val="FootnoteTextChar"/>
    <w:rsid w:val="00703C92"/>
    <w:rPr>
      <w:sz w:val="20"/>
      <w:szCs w:val="20"/>
    </w:rPr>
  </w:style>
  <w:style w:type="character" w:customStyle="1" w:styleId="FootnoteTextChar">
    <w:name w:val="Footnote Text Char"/>
    <w:basedOn w:val="DefaultParagraphFont"/>
    <w:link w:val="FootnoteText"/>
    <w:rsid w:val="00703C92"/>
    <w:rPr>
      <w:lang w:val="lv-LV" w:eastAsia="lv-LV"/>
    </w:rPr>
  </w:style>
  <w:style w:type="character" w:customStyle="1" w:styleId="spelle">
    <w:name w:val="spelle"/>
    <w:basedOn w:val="DefaultParagraphFont"/>
    <w:rsid w:val="00703C92"/>
  </w:style>
  <w:style w:type="paragraph" w:styleId="NoSpacing">
    <w:name w:val="No Spacing"/>
    <w:uiPriority w:val="1"/>
    <w:qFormat/>
    <w:rsid w:val="00703C92"/>
    <w:rPr>
      <w:sz w:val="24"/>
      <w:szCs w:val="24"/>
      <w:lang w:val="lv-LV" w:eastAsia="lv-LV"/>
    </w:rPr>
  </w:style>
  <w:style w:type="paragraph" w:customStyle="1" w:styleId="tvhtml">
    <w:name w:val="tv_html"/>
    <w:basedOn w:val="Normal"/>
    <w:rsid w:val="00703C92"/>
    <w:pPr>
      <w:spacing w:before="100" w:beforeAutospacing="1" w:after="100" w:afterAutospacing="1"/>
    </w:pPr>
    <w:rPr>
      <w:rFonts w:ascii="Verdana" w:hAnsi="Verdana"/>
      <w:sz w:val="18"/>
      <w:szCs w:val="18"/>
      <w:lang w:val="en-US" w:eastAsia="en-US" w:bidi="lo-LA"/>
    </w:rPr>
  </w:style>
  <w:style w:type="paragraph" w:customStyle="1" w:styleId="naisc">
    <w:name w:val="naisc"/>
    <w:basedOn w:val="Normal"/>
    <w:rsid w:val="004750D0"/>
    <w:pPr>
      <w:spacing w:before="75" w:after="75"/>
      <w:jc w:val="center"/>
    </w:pPr>
  </w:style>
  <w:style w:type="paragraph" w:customStyle="1" w:styleId="Default">
    <w:name w:val="Default"/>
    <w:rsid w:val="007A6D95"/>
    <w:pPr>
      <w:autoSpaceDE w:val="0"/>
      <w:autoSpaceDN w:val="0"/>
      <w:adjustRightInd w:val="0"/>
    </w:pPr>
    <w:rPr>
      <w:rFonts w:ascii="EUAlbertina" w:hAnsi="EUAlbertina" w:cs="EUAlbertina"/>
      <w:color w:val="000000"/>
      <w:sz w:val="24"/>
      <w:szCs w:val="24"/>
      <w:lang w:bidi="lo-LA"/>
    </w:rPr>
  </w:style>
  <w:style w:type="paragraph" w:customStyle="1" w:styleId="CM4">
    <w:name w:val="CM4"/>
    <w:basedOn w:val="Default"/>
    <w:next w:val="Default"/>
    <w:uiPriority w:val="99"/>
    <w:rsid w:val="0035637C"/>
    <w:rPr>
      <w:rFonts w:cs="Arial Unicode MS"/>
      <w:color w:val="auto"/>
    </w:rPr>
  </w:style>
  <w:style w:type="paragraph" w:customStyle="1" w:styleId="radio">
    <w:name w:val="radio"/>
    <w:basedOn w:val="Normal"/>
    <w:rsid w:val="00B1130D"/>
    <w:pPr>
      <w:spacing w:before="75" w:after="75"/>
    </w:pPr>
  </w:style>
  <w:style w:type="paragraph" w:styleId="CommentText">
    <w:name w:val="annotation text"/>
    <w:basedOn w:val="Normal"/>
    <w:link w:val="CommentTextChar"/>
    <w:uiPriority w:val="99"/>
    <w:unhideWhenUsed/>
    <w:rsid w:val="00C44C53"/>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C44C53"/>
    <w:rPr>
      <w:rFonts w:ascii="Calibri" w:eastAsia="Calibri" w:hAnsi="Calibri"/>
      <w:lang w:val="lv-LV"/>
    </w:rPr>
  </w:style>
</w:styles>
</file>

<file path=word/webSettings.xml><?xml version="1.0" encoding="utf-8"?>
<w:webSettings xmlns:r="http://schemas.openxmlformats.org/officeDocument/2006/relationships" xmlns:w="http://schemas.openxmlformats.org/wordprocessingml/2006/main">
  <w:divs>
    <w:div w:id="1205097386">
      <w:bodyDiv w:val="1"/>
      <w:marLeft w:val="45"/>
      <w:marRight w:val="45"/>
      <w:marTop w:val="90"/>
      <w:marBottom w:val="90"/>
      <w:divBdr>
        <w:top w:val="none" w:sz="0" w:space="0" w:color="auto"/>
        <w:left w:val="none" w:sz="0" w:space="0" w:color="auto"/>
        <w:bottom w:val="none" w:sz="0" w:space="0" w:color="auto"/>
        <w:right w:val="none" w:sz="0" w:space="0" w:color="auto"/>
      </w:divBdr>
      <w:divsChild>
        <w:div w:id="1845514891">
          <w:marLeft w:val="0"/>
          <w:marRight w:val="0"/>
          <w:marTop w:val="240"/>
          <w:marBottom w:val="0"/>
          <w:divBdr>
            <w:top w:val="none" w:sz="0" w:space="0" w:color="auto"/>
            <w:left w:val="none" w:sz="0" w:space="0" w:color="auto"/>
            <w:bottom w:val="none" w:sz="0" w:space="0" w:color="auto"/>
            <w:right w:val="none" w:sz="0" w:space="0" w:color="auto"/>
          </w:divBdr>
        </w:div>
      </w:divsChild>
    </w:div>
    <w:div w:id="1836677558">
      <w:bodyDiv w:val="1"/>
      <w:marLeft w:val="45"/>
      <w:marRight w:val="45"/>
      <w:marTop w:val="90"/>
      <w:marBottom w:val="90"/>
      <w:divBdr>
        <w:top w:val="none" w:sz="0" w:space="0" w:color="auto"/>
        <w:left w:val="none" w:sz="0" w:space="0" w:color="auto"/>
        <w:bottom w:val="none" w:sz="0" w:space="0" w:color="auto"/>
        <w:right w:val="none" w:sz="0" w:space="0" w:color="auto"/>
      </w:divBdr>
      <w:divsChild>
        <w:div w:id="3598654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1972R0574:20090302:LV:HTML" TargetMode="External"/><Relationship Id="rId13" Type="http://schemas.openxmlformats.org/officeDocument/2006/relationships/hyperlink" Target="http://pro.nais.lv/naiser/esdoc.cfm?esid=32009R0987" TargetMode="External"/><Relationship Id="rId18" Type="http://schemas.openxmlformats.org/officeDocument/2006/relationships/hyperlink" Target="http://pro.nais.lv/naiser/esdoc.cfm?esid=32006R1920" TargetMode="External"/><Relationship Id="rId26" Type="http://schemas.openxmlformats.org/officeDocument/2006/relationships/hyperlink" Target="http://pro.nais.lv/naiser/esdoc.cfm?esid=32006R192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ro.nais.lv/naiser/esdoc.cfm?esid=32004R0883" TargetMode="External"/><Relationship Id="rId34" Type="http://schemas.openxmlformats.org/officeDocument/2006/relationships/hyperlink" Target="http://pro.nais.lv/naiser/esdoc.cfm?esid=32009R0987"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nais.lv/naiser/esdoc.cfm?esid=32004R0883" TargetMode="External"/><Relationship Id="rId17" Type="http://schemas.openxmlformats.org/officeDocument/2006/relationships/hyperlink" Target="http://pro.nais.lv/naiser/esdoc.cfm?esid=32009R0987" TargetMode="External"/><Relationship Id="rId25" Type="http://schemas.openxmlformats.org/officeDocument/2006/relationships/hyperlink" Target="http://pro.nais.lv/naiser/esdoc.cfm?esid=32004R0883" TargetMode="External"/><Relationship Id="rId33" Type="http://schemas.openxmlformats.org/officeDocument/2006/relationships/hyperlink" Target="http://pro.nais.lv/naiser/esdoc.cfm?esid=32009R0987"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o.nais.lv/naiser/esdoc.cfm?esid=32004R0883" TargetMode="External"/><Relationship Id="rId20" Type="http://schemas.openxmlformats.org/officeDocument/2006/relationships/hyperlink" Target="http://eur-lex.europa.eu/LexUriServ/LexUriServ.do?uri=CONSLEG:1971R1408:20080707:LV:HTML" TargetMode="External"/><Relationship Id="rId29" Type="http://schemas.openxmlformats.org/officeDocument/2006/relationships/hyperlink" Target="http://pro.nais.lv/naiser/esdoc.cfm?esid=32006R19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esdoc.cfm?esid=32009R0987" TargetMode="External"/><Relationship Id="rId24" Type="http://schemas.openxmlformats.org/officeDocument/2006/relationships/hyperlink" Target="http://pro.nais.lv/naiser/esdoc.cfm?esid=32009R0987" TargetMode="External"/><Relationship Id="rId32" Type="http://schemas.openxmlformats.org/officeDocument/2006/relationships/hyperlink" Target="http://pro.nais.lv/naiser/esdoc.cfm?esid=32004R0883" TargetMode="External"/><Relationship Id="rId37" Type="http://schemas.openxmlformats.org/officeDocument/2006/relationships/hyperlink" Target="mailto:guna.jermacane@vm.gov.lv"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o.nais.lv/naiser/esdoc.cfm?esid=32006R1920" TargetMode="External"/><Relationship Id="rId23" Type="http://schemas.openxmlformats.org/officeDocument/2006/relationships/hyperlink" Target="http://pro.nais.lv/naiser/esdoc.cfm?esid=32004R0883" TargetMode="External"/><Relationship Id="rId28" Type="http://schemas.openxmlformats.org/officeDocument/2006/relationships/hyperlink" Target="http://pro.nais.lv/naiser/esdoc.cfm?esid=32009R0987" TargetMode="External"/><Relationship Id="rId36" Type="http://schemas.openxmlformats.org/officeDocument/2006/relationships/hyperlink" Target="http://pro.nais.lv/naiser/esdoc.cfm?esid=32006R1920" TargetMode="External"/><Relationship Id="rId10" Type="http://schemas.openxmlformats.org/officeDocument/2006/relationships/hyperlink" Target="http://pro.nais.lv/naiser/esdoc.cfm?esid=32004R0883" TargetMode="External"/><Relationship Id="rId19" Type="http://schemas.openxmlformats.org/officeDocument/2006/relationships/hyperlink" Target="http://eur-lex.europa.eu/LexUriServ/LexUriServ.do?uri=CONSLEG:1972R0574:20090302:LV:HTML" TargetMode="External"/><Relationship Id="rId31" Type="http://schemas.openxmlformats.org/officeDocument/2006/relationships/hyperlink" Target="http://eur-lex.europa.eu/LexUriServ/LexUriServ.do?uri=CONSLEG:1971R1408:20080707:LV:HTML" TargetMode="External"/><Relationship Id="rId4" Type="http://schemas.openxmlformats.org/officeDocument/2006/relationships/settings" Target="settings.xml"/><Relationship Id="rId9" Type="http://schemas.openxmlformats.org/officeDocument/2006/relationships/hyperlink" Target="http://eur-lex.europa.eu/LexUriServ/LexUriServ.do?uri=CONSLEG:1971R1408:20080707:LV:HTML" TargetMode="External"/><Relationship Id="rId14" Type="http://schemas.openxmlformats.org/officeDocument/2006/relationships/hyperlink" Target="http://pro.nais.lv/naiser/esdoc.cfm?esid=32004R0883" TargetMode="External"/><Relationship Id="rId22" Type="http://schemas.openxmlformats.org/officeDocument/2006/relationships/hyperlink" Target="http://pro.nais.lv/naiser/esdoc.cfm?esid=32009R0987" TargetMode="External"/><Relationship Id="rId27" Type="http://schemas.openxmlformats.org/officeDocument/2006/relationships/hyperlink" Target="http://pro.nais.lv/naiser/esdoc.cfm?esid=32004R0883" TargetMode="External"/><Relationship Id="rId30" Type="http://schemas.openxmlformats.org/officeDocument/2006/relationships/hyperlink" Target="http://eur-lex.europa.eu/LexUriServ/LexUriServ.do?uri=CONSLEG:1972R0574:20090302:LV:HTML" TargetMode="External"/><Relationship Id="rId35" Type="http://schemas.openxmlformats.org/officeDocument/2006/relationships/hyperlink" Target="http://pro.nais.lv/naiser/esdoc.cfm?esid=32006R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A787-F9BA-45FC-AE12-EA88C157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15</Pages>
  <Words>3658</Words>
  <Characters>28943</Characters>
  <Application>Microsoft Office Word</Application>
  <DocSecurity>0</DocSecurity>
  <Lines>1205</Lines>
  <Paragraphs>534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„Nacionālā veselības dienesta nolikums” sākotnējās ietekmes novērtējuma ziņojums (anotācija)</vt:lpstr>
      <vt:lpstr>Par finanšu līdzekļu piešķiršanu no valsts budžeta programmas Līdzekļi neparedzētiem gadījumiem</vt:lpstr>
    </vt:vector>
  </TitlesOfParts>
  <Company>Veselības ministrija</Company>
  <LinksUpToDate>false</LinksUpToDate>
  <CharactersWithSpaces>32067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„Nacionālā veselības dienesta nolikums” sākotnējās ietekmes novērtējuma ziņojums (anotācija)</dc:title>
  <dc:subject>Anotācija</dc:subject>
  <dc:creator>Guna Jermacāne</dc:creator>
  <dc:description>67876167,guna.jermacane@vm.gov.lv</dc:description>
  <cp:lastModifiedBy>VM</cp:lastModifiedBy>
  <cp:revision>46</cp:revision>
  <cp:lastPrinted>2011-10-28T09:20:00Z</cp:lastPrinted>
  <dcterms:created xsi:type="dcterms:W3CDTF">2011-10-20T06:44:00Z</dcterms:created>
  <dcterms:modified xsi:type="dcterms:W3CDTF">2011-10-28T09:21:00Z</dcterms:modified>
</cp:coreProperties>
</file>