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C4" w:rsidRDefault="00745F6C" w:rsidP="00C73D7D">
      <w:pPr>
        <w:jc w:val="center"/>
        <w:rPr>
          <w:b/>
          <w:sz w:val="28"/>
          <w:szCs w:val="28"/>
        </w:rPr>
      </w:pPr>
      <w:r w:rsidRPr="00C73D7D">
        <w:rPr>
          <w:sz w:val="28"/>
          <w:szCs w:val="28"/>
        </w:rPr>
        <w:t>Ministru kabineta rīkojuma projekta</w:t>
      </w:r>
    </w:p>
    <w:p w:rsidR="001115CF" w:rsidRDefault="00C73D7D" w:rsidP="00C73D7D">
      <w:pPr>
        <w:jc w:val="center"/>
        <w:rPr>
          <w:b/>
          <w:sz w:val="28"/>
          <w:szCs w:val="28"/>
        </w:rPr>
      </w:pPr>
      <w:r>
        <w:rPr>
          <w:b/>
          <w:sz w:val="28"/>
          <w:szCs w:val="28"/>
        </w:rPr>
        <w:t>”Par finanšu līdzekļu piešķirša</w:t>
      </w:r>
      <w:r w:rsidR="001115CF">
        <w:rPr>
          <w:b/>
          <w:sz w:val="28"/>
          <w:szCs w:val="28"/>
        </w:rPr>
        <w:t>nu no valsts budžeta programmas</w:t>
      </w:r>
    </w:p>
    <w:p w:rsidR="00745F6C" w:rsidRPr="00C73D7D" w:rsidRDefault="00C73D7D" w:rsidP="00C73D7D">
      <w:pPr>
        <w:jc w:val="center"/>
        <w:rPr>
          <w:b/>
          <w:sz w:val="28"/>
          <w:szCs w:val="28"/>
        </w:rPr>
      </w:pPr>
      <w:r>
        <w:rPr>
          <w:b/>
          <w:sz w:val="28"/>
          <w:szCs w:val="28"/>
        </w:rPr>
        <w:t>„Līdzekļi neparedzētiem gadījumiem””</w:t>
      </w:r>
    </w:p>
    <w:p w:rsidR="001800B4" w:rsidRPr="001115CF" w:rsidRDefault="00745F6C" w:rsidP="001115CF">
      <w:pPr>
        <w:jc w:val="center"/>
        <w:rPr>
          <w:b/>
          <w:bCs/>
          <w:sz w:val="28"/>
          <w:szCs w:val="28"/>
        </w:rPr>
      </w:pPr>
      <w:r w:rsidRPr="00C73D7D">
        <w:rPr>
          <w:bCs/>
          <w:sz w:val="28"/>
          <w:szCs w:val="28"/>
        </w:rPr>
        <w:t xml:space="preserve">sākotnējās </w:t>
      </w:r>
      <w:r w:rsidR="001115CF">
        <w:rPr>
          <w:bCs/>
          <w:sz w:val="28"/>
          <w:szCs w:val="28"/>
        </w:rPr>
        <w:t>(</w:t>
      </w:r>
      <w:proofErr w:type="spellStart"/>
      <w:r w:rsidR="001115CF">
        <w:rPr>
          <w:bCs/>
          <w:sz w:val="28"/>
          <w:szCs w:val="28"/>
        </w:rPr>
        <w:t>ex-ante</w:t>
      </w:r>
      <w:proofErr w:type="spellEnd"/>
      <w:r w:rsidR="001115CF">
        <w:rPr>
          <w:bCs/>
          <w:sz w:val="28"/>
          <w:szCs w:val="28"/>
        </w:rPr>
        <w:t xml:space="preserve">) </w:t>
      </w:r>
      <w:r w:rsidRPr="00C73D7D">
        <w:rPr>
          <w:bCs/>
          <w:sz w:val="28"/>
          <w:szCs w:val="28"/>
        </w:rPr>
        <w:t>ietekmes novērtējuma ziņojums</w:t>
      </w:r>
      <w:r w:rsidR="001115CF">
        <w:rPr>
          <w:b/>
          <w:bCs/>
          <w:sz w:val="28"/>
          <w:szCs w:val="28"/>
        </w:rPr>
        <w:t xml:space="preserve"> </w:t>
      </w:r>
      <w:r w:rsidRPr="00FB61AF">
        <w:rPr>
          <w:b/>
          <w:bCs/>
          <w:i/>
          <w:sz w:val="28"/>
          <w:szCs w:val="28"/>
        </w:rPr>
        <w:t>(anotācija)</w:t>
      </w:r>
    </w:p>
    <w:p w:rsidR="00DF62C4" w:rsidRPr="00DF62C4" w:rsidRDefault="00DF62C4" w:rsidP="00DF62C4">
      <w:pPr>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20"/>
        <w:gridCol w:w="5219"/>
      </w:tblGrid>
      <w:tr w:rsidR="00745F6C" w:rsidTr="00DF62C4">
        <w:trPr>
          <w:jc w:val="center"/>
        </w:trPr>
        <w:tc>
          <w:tcPr>
            <w:tcW w:w="9287" w:type="dxa"/>
            <w:gridSpan w:val="3"/>
          </w:tcPr>
          <w:p w:rsidR="00745F6C" w:rsidRDefault="00745F6C" w:rsidP="001B1A87">
            <w:pPr>
              <w:jc w:val="center"/>
            </w:pPr>
            <w:r w:rsidRPr="009E744B">
              <w:rPr>
                <w:b/>
                <w:bCs/>
              </w:rPr>
              <w:t>I. Tiesību akta projekta izstrādes nepieciešamība</w:t>
            </w:r>
          </w:p>
        </w:tc>
      </w:tr>
      <w:tr w:rsidR="00745F6C" w:rsidTr="00DF62C4">
        <w:trPr>
          <w:jc w:val="center"/>
        </w:trPr>
        <w:tc>
          <w:tcPr>
            <w:tcW w:w="648" w:type="dxa"/>
          </w:tcPr>
          <w:p w:rsidR="00745F6C" w:rsidRDefault="00745F6C" w:rsidP="001B1A87">
            <w:pPr>
              <w:jc w:val="both"/>
            </w:pPr>
            <w:r>
              <w:t>1.</w:t>
            </w:r>
          </w:p>
        </w:tc>
        <w:tc>
          <w:tcPr>
            <w:tcW w:w="3420" w:type="dxa"/>
          </w:tcPr>
          <w:p w:rsidR="00745F6C" w:rsidRDefault="00745F6C" w:rsidP="001B1A87">
            <w:pPr>
              <w:jc w:val="both"/>
            </w:pPr>
            <w:r>
              <w:t> Pamatojums</w:t>
            </w:r>
          </w:p>
        </w:tc>
        <w:tc>
          <w:tcPr>
            <w:tcW w:w="5219" w:type="dxa"/>
          </w:tcPr>
          <w:p w:rsidR="00DF62C4" w:rsidRDefault="00095738" w:rsidP="00DF62C4">
            <w:pPr>
              <w:jc w:val="both"/>
            </w:pPr>
            <w:r>
              <w:t>Veselības</w:t>
            </w:r>
            <w:r w:rsidR="000C2310" w:rsidRPr="005474EE">
              <w:t xml:space="preserve"> ministrija</w:t>
            </w:r>
            <w:r w:rsidR="000C2310">
              <w:t>, pamatojoties uz M</w:t>
            </w:r>
            <w:r w:rsidR="000C2310" w:rsidRPr="00F00BA8">
              <w:t>inistru kabineta 2009.gada 22.decembra noteikumu Nr. 1644 ”Kārtība, kādā pieprasa un izlieto budžeta programmas „Līdzekļi neparedzētiem</w:t>
            </w:r>
            <w:r w:rsidR="000C2310">
              <w:t xml:space="preserve"> gadījumiem” līdzekļus” </w:t>
            </w:r>
            <w:r>
              <w:t>2</w:t>
            </w:r>
            <w:r w:rsidR="000C2310">
              <w:t>.punktu</w:t>
            </w:r>
            <w:r>
              <w:t xml:space="preserve">, </w:t>
            </w:r>
            <w:r w:rsidR="000C2310" w:rsidRPr="005474EE">
              <w:t>ir izstrādājusi Ministru kabineta rīkojuma projektu „Par finanšu līdzekļu piešķiršanu no valsts budžeta programmas „Līdzekļi neparedzētiem gadījumiem</w:t>
            </w:r>
            <w:r>
              <w:t>”” (turpmāk – Rīkojuma projekts)</w:t>
            </w:r>
            <w:r w:rsidR="000C2310">
              <w:t>.</w:t>
            </w:r>
          </w:p>
          <w:p w:rsidR="00FB61AF" w:rsidRDefault="00DF62C4" w:rsidP="00DF62C4">
            <w:pPr>
              <w:jc w:val="both"/>
              <w:rPr>
                <w:color w:val="2A2A2A"/>
              </w:rPr>
            </w:pPr>
            <w:r w:rsidRPr="00DF62C4">
              <w:t>Ministru kabineta 2011.gada 8.novembra protokola Nr.66 28.§ „</w:t>
            </w:r>
            <w:r w:rsidRPr="00DF62C4">
              <w:rPr>
                <w:color w:val="2A2A2A"/>
              </w:rPr>
              <w:t>Par ministriju un citu centrālo valsts iestāžu maksimāli pieļaujamo valsts budžeta izdevumu kopapjomu 2012. – 2014.gadam”</w:t>
            </w:r>
            <w:r w:rsidRPr="00DF62C4">
              <w:t xml:space="preserve"> 9.punkts</w:t>
            </w:r>
            <w:r>
              <w:t xml:space="preserve">, kas nosaka, ka </w:t>
            </w:r>
            <w:r w:rsidRPr="00DF62C4">
              <w:rPr>
                <w:color w:val="2A2A2A"/>
              </w:rPr>
              <w:t>ministrijām, iesniedzot priekšlikumus likumprojektam „Pa</w:t>
            </w:r>
            <w:r>
              <w:rPr>
                <w:color w:val="2A2A2A"/>
              </w:rPr>
              <w:t>r valsts budžetu 2012.gadam”, jānodrošina</w:t>
            </w:r>
            <w:r w:rsidRPr="00DF62C4">
              <w:rPr>
                <w:color w:val="2A2A2A"/>
              </w:rPr>
              <w:t>, ka ministrijā un tās padotībā esošajās iestādēs netiek veidoti parādi un uzņemtās saistības tiek pildītas noteiktajos termiņos.</w:t>
            </w:r>
          </w:p>
          <w:p w:rsidR="001115CF" w:rsidRPr="001115CF" w:rsidRDefault="001115CF" w:rsidP="00DF62C4">
            <w:pPr>
              <w:jc w:val="both"/>
              <w:rPr>
                <w:color w:val="2A2A2A"/>
              </w:rPr>
            </w:pPr>
          </w:p>
        </w:tc>
      </w:tr>
      <w:tr w:rsidR="00745F6C" w:rsidTr="00DF62C4">
        <w:trPr>
          <w:jc w:val="center"/>
        </w:trPr>
        <w:tc>
          <w:tcPr>
            <w:tcW w:w="648" w:type="dxa"/>
          </w:tcPr>
          <w:p w:rsidR="00745F6C" w:rsidRDefault="00745F6C" w:rsidP="001B1A87">
            <w:pPr>
              <w:jc w:val="both"/>
            </w:pPr>
            <w:r>
              <w:t>2.</w:t>
            </w:r>
          </w:p>
        </w:tc>
        <w:tc>
          <w:tcPr>
            <w:tcW w:w="3420" w:type="dxa"/>
          </w:tcPr>
          <w:p w:rsidR="00745F6C" w:rsidRDefault="00745F6C" w:rsidP="001B1A87">
            <w:pPr>
              <w:jc w:val="both"/>
            </w:pPr>
            <w:r>
              <w:t>Pašreizējā situācija un problēmas</w:t>
            </w:r>
          </w:p>
        </w:tc>
        <w:tc>
          <w:tcPr>
            <w:tcW w:w="5219" w:type="dxa"/>
          </w:tcPr>
          <w:p w:rsidR="00680429" w:rsidRDefault="00A4798A" w:rsidP="00DF62C4">
            <w:pPr>
              <w:jc w:val="both"/>
            </w:pPr>
            <w:r>
              <w:t>S</w:t>
            </w:r>
            <w:r w:rsidR="00437653">
              <w:t xml:space="preserve">askaņā ar </w:t>
            </w:r>
            <w:r w:rsidR="00437653" w:rsidRPr="00437653">
              <w:t>Ministru kabineta 2011.gada 8.novembra protokola Nr.66 28.§ „</w:t>
            </w:r>
            <w:r w:rsidR="00437653" w:rsidRPr="00437653">
              <w:rPr>
                <w:color w:val="2A2A2A"/>
              </w:rPr>
              <w:t>Par ministriju un citu centrālo valsts iestāžu maksimāli pieļaujamo valsts budžeta izdevumu kopapjomu 2012. – 2014.gadam”</w:t>
            </w:r>
            <w:r w:rsidR="00437653" w:rsidRPr="00437653">
              <w:t xml:space="preserve"> </w:t>
            </w:r>
            <w:r w:rsidR="00437653">
              <w:t xml:space="preserve">9.punktu </w:t>
            </w:r>
            <w:r w:rsidR="00437653" w:rsidRPr="00437653">
              <w:rPr>
                <w:color w:val="2A2A2A"/>
              </w:rPr>
              <w:t>ministrijām, iesniedzot priekšlikumus likumprojektam „Pa</w:t>
            </w:r>
            <w:r w:rsidR="00437653">
              <w:rPr>
                <w:color w:val="2A2A2A"/>
              </w:rPr>
              <w:t>r valsts budžetu 2012.gadam”, jādrošina</w:t>
            </w:r>
            <w:r w:rsidR="00437653" w:rsidRPr="00437653">
              <w:rPr>
                <w:color w:val="2A2A2A"/>
              </w:rPr>
              <w:t>, ka ministrijā un tās padotībā esošajās iestādēs netiek veidoti parādi un uzņemtās saistības tiek pildītas noteiktajos termiņos.</w:t>
            </w:r>
            <w:r w:rsidR="00437653" w:rsidRPr="00437653">
              <w:t xml:space="preserve"> </w:t>
            </w:r>
            <w:r w:rsidR="00437653">
              <w:t xml:space="preserve">Ņemot vērā iepriekš minēto, lai neveidotos parādsaistības, kā arī samazinātu finansiālo slogu uz 2012.gada budžetu, Veselības ministrijai ir nepieciešams </w:t>
            </w:r>
            <w:r>
              <w:t>2011.gadā</w:t>
            </w:r>
            <w:r w:rsidR="00437653">
              <w:t xml:space="preserve"> papi</w:t>
            </w:r>
            <w:r>
              <w:t xml:space="preserve">ldus finansējums </w:t>
            </w:r>
            <w:r w:rsidR="001115CF">
              <w:t>1 197 168 latu apmērā</w:t>
            </w:r>
            <w:r>
              <w:t>,</w:t>
            </w:r>
            <w:r w:rsidR="00437653">
              <w:t xml:space="preserve"> lai nodrošināt</w:t>
            </w:r>
            <w:r w:rsidR="001115CF">
              <w:t>u</w:t>
            </w:r>
            <w:r w:rsidR="00437653">
              <w:t xml:space="preserve"> neatliekamās medicīniskās palīdzības sniegšanu, t.i., brigāžu darbību 2011.gada novembra un decembra mēnesī (transportlīdzekļu ar specializēto aprīkojumu nomai Rīgas reģionālajam centram un degvielas iegādei</w:t>
            </w:r>
            <w:r w:rsidR="00680429">
              <w:t xml:space="preserve">). </w:t>
            </w:r>
          </w:p>
          <w:p w:rsidR="00DF62C4" w:rsidRDefault="00680429" w:rsidP="00DF62C4">
            <w:pPr>
              <w:jc w:val="both"/>
            </w:pPr>
            <w:r>
              <w:t xml:space="preserve">Lai samazinātu finansiālo slogu 2012.gada budžetam, vienlaicīgi uzlabojot veselības aprūpes pakalpojumu pieejamību, veselības aprūpes budžetā </w:t>
            </w:r>
            <w:r>
              <w:lastRenderedPageBreak/>
              <w:t xml:space="preserve">ir nepieciešami papildu finanšu resursi vēl 2011.gadā neatliekamu vienreizēju pasākumu veikšanai </w:t>
            </w:r>
            <w:r w:rsidRPr="00A4798A">
              <w:t>1 019 047 latu</w:t>
            </w:r>
            <w:r>
              <w:t xml:space="preserve"> apmērā - </w:t>
            </w:r>
            <w:r w:rsidRPr="00DF62C4">
              <w:t>spectērpu, ziemas riepu, medikamentu un medicīnas</w:t>
            </w:r>
            <w:r>
              <w:t xml:space="preserve"> materiālu, </w:t>
            </w:r>
            <w:proofErr w:type="spellStart"/>
            <w:r>
              <w:t>defibrilatoru</w:t>
            </w:r>
            <w:proofErr w:type="spellEnd"/>
            <w:r>
              <w:t xml:space="preserve"> iegādei</w:t>
            </w:r>
            <w:r w:rsidRPr="00DF62C4">
              <w:t xml:space="preserve"> neatliekamās</w:t>
            </w:r>
            <w:r>
              <w:t xml:space="preserve"> medicīniskās palīdzības brigādēm, </w:t>
            </w:r>
            <w:r w:rsidR="001115CF">
              <w:t xml:space="preserve">kā arī Valsts asinsdonoru centram </w:t>
            </w:r>
            <w:r w:rsidRPr="00DF62C4">
              <w:t>asins plazmas preparātu iepirkumam</w:t>
            </w:r>
            <w:r>
              <w:t xml:space="preserve">, </w:t>
            </w:r>
            <w:r w:rsidRPr="00DF62C4">
              <w:t>asins sagatavošanas maisu</w:t>
            </w:r>
            <w:r>
              <w:t xml:space="preserve">, eritrocītu filtru iegādei, </w:t>
            </w:r>
            <w:r w:rsidRPr="00DF62C4">
              <w:t>reaģentu iegādei asins bakterioloģisko un vīrusu izmeklēšanai</w:t>
            </w:r>
            <w:r>
              <w:t>.</w:t>
            </w:r>
          </w:p>
          <w:p w:rsidR="00DF62C4" w:rsidRPr="00A5654A" w:rsidRDefault="00DF62C4" w:rsidP="00DF62C4">
            <w:pPr>
              <w:jc w:val="both"/>
            </w:pPr>
          </w:p>
        </w:tc>
      </w:tr>
      <w:tr w:rsidR="00745F6C" w:rsidTr="00DF62C4">
        <w:trPr>
          <w:jc w:val="center"/>
        </w:trPr>
        <w:tc>
          <w:tcPr>
            <w:tcW w:w="648" w:type="dxa"/>
          </w:tcPr>
          <w:p w:rsidR="00745F6C" w:rsidRDefault="00745F6C" w:rsidP="001B1A87">
            <w:pPr>
              <w:jc w:val="both"/>
            </w:pPr>
            <w:r>
              <w:lastRenderedPageBreak/>
              <w:t>3.</w:t>
            </w:r>
          </w:p>
        </w:tc>
        <w:tc>
          <w:tcPr>
            <w:tcW w:w="3420" w:type="dxa"/>
          </w:tcPr>
          <w:p w:rsidR="00745F6C" w:rsidRDefault="00745F6C" w:rsidP="001B1A87">
            <w:pPr>
              <w:jc w:val="both"/>
            </w:pPr>
            <w:r>
              <w:t>Saistītie politikas ietekmes novērtējumi un pētījumi</w:t>
            </w:r>
          </w:p>
        </w:tc>
        <w:tc>
          <w:tcPr>
            <w:tcW w:w="5219" w:type="dxa"/>
          </w:tcPr>
          <w:p w:rsidR="00745F6C" w:rsidRDefault="00E15D0F" w:rsidP="001B1A87">
            <w:pPr>
              <w:jc w:val="both"/>
            </w:pPr>
            <w:r w:rsidRPr="00E31CBD">
              <w:t>Projekts šo jomu neskar</w:t>
            </w:r>
            <w:r w:rsidR="00745F6C">
              <w:t>.</w:t>
            </w:r>
          </w:p>
        </w:tc>
      </w:tr>
      <w:tr w:rsidR="00745F6C" w:rsidTr="00DF62C4">
        <w:trPr>
          <w:jc w:val="center"/>
        </w:trPr>
        <w:tc>
          <w:tcPr>
            <w:tcW w:w="648" w:type="dxa"/>
          </w:tcPr>
          <w:p w:rsidR="00745F6C" w:rsidRDefault="00745F6C" w:rsidP="001B1A87">
            <w:pPr>
              <w:jc w:val="both"/>
            </w:pPr>
            <w:r>
              <w:t>4.</w:t>
            </w:r>
          </w:p>
        </w:tc>
        <w:tc>
          <w:tcPr>
            <w:tcW w:w="3420" w:type="dxa"/>
          </w:tcPr>
          <w:p w:rsidR="00745F6C" w:rsidRDefault="00745F6C" w:rsidP="001B1A87">
            <w:pPr>
              <w:jc w:val="both"/>
            </w:pPr>
            <w:r>
              <w:t>Tiesiskā regulējuma mērķis un būtība</w:t>
            </w:r>
          </w:p>
        </w:tc>
        <w:tc>
          <w:tcPr>
            <w:tcW w:w="5219" w:type="dxa"/>
          </w:tcPr>
          <w:p w:rsidR="00211881" w:rsidRDefault="00CA4285" w:rsidP="00942E6F">
            <w:pPr>
              <w:pStyle w:val="NormalWeb"/>
              <w:spacing w:before="0" w:beforeAutospacing="0" w:after="0"/>
              <w:jc w:val="both"/>
            </w:pPr>
            <w:r w:rsidRPr="00CA4285">
              <w:t>Rīkojuma projekts paredz Fin</w:t>
            </w:r>
            <w:r w:rsidR="00101650">
              <w:t>anšu ministrijai no valsts budžeta programmas 02.00</w:t>
            </w:r>
            <w:r w:rsidRPr="00CA4285">
              <w:t xml:space="preserve">.00 "Līdzekļi neparedzētiem gadījumiem" piešķirt Veselības ministrijai </w:t>
            </w:r>
            <w:r w:rsidR="00942E6F">
              <w:t xml:space="preserve">papildus </w:t>
            </w:r>
            <w:r w:rsidR="006C2B89" w:rsidRPr="00A4798A">
              <w:rPr>
                <w:b/>
                <w:u w:val="single"/>
              </w:rPr>
              <w:t>2 216 215</w:t>
            </w:r>
            <w:r w:rsidRPr="00A4798A">
              <w:rPr>
                <w:b/>
                <w:u w:val="single"/>
              </w:rPr>
              <w:t xml:space="preserve"> latus</w:t>
            </w:r>
            <w:r w:rsidR="006C2605" w:rsidRPr="006C2605">
              <w:t>,</w:t>
            </w:r>
            <w:r w:rsidRPr="00CA4285">
              <w:t xml:space="preserve"> </w:t>
            </w:r>
            <w:r w:rsidRPr="006C2605">
              <w:t xml:space="preserve">lai nodrošinātu  </w:t>
            </w:r>
            <w:r w:rsidR="00DF62C4">
              <w:t>samaksu:</w:t>
            </w:r>
          </w:p>
          <w:p w:rsidR="00211881" w:rsidRDefault="00211881" w:rsidP="00DF62C4">
            <w:pPr>
              <w:pStyle w:val="NormalWeb"/>
              <w:spacing w:before="0" w:beforeAutospacing="0" w:after="0"/>
              <w:jc w:val="both"/>
            </w:pPr>
            <w:r>
              <w:t xml:space="preserve">- </w:t>
            </w:r>
            <w:r w:rsidR="00DF62C4" w:rsidRPr="00DF62C4">
              <w:t xml:space="preserve">neatliekamās medicīniskās palīdzības brigāžu transportlīdzekļu ar specializēto aprīkojumu nomas un degvielas izdevumu segšanai – </w:t>
            </w:r>
            <w:r w:rsidR="00DF62C4" w:rsidRPr="00211881">
              <w:rPr>
                <w:i/>
              </w:rPr>
              <w:t>1 197 168</w:t>
            </w:r>
            <w:r w:rsidR="00DF62C4" w:rsidRPr="00DF62C4">
              <w:t xml:space="preserve"> lati;</w:t>
            </w:r>
          </w:p>
          <w:p w:rsidR="00211881" w:rsidRDefault="00211881" w:rsidP="00211881">
            <w:pPr>
              <w:pStyle w:val="NormalWeb"/>
              <w:spacing w:before="0" w:beforeAutospacing="0" w:after="0"/>
              <w:jc w:val="both"/>
            </w:pPr>
            <w:r>
              <w:t xml:space="preserve">- </w:t>
            </w:r>
            <w:r w:rsidR="00DF62C4" w:rsidRPr="00DF62C4">
              <w:t xml:space="preserve">par tādiem vienreizējiem pasākumiem kā spectērpu, ziemas riepu, medikamentu un medicīnas materiālu, </w:t>
            </w:r>
            <w:proofErr w:type="spellStart"/>
            <w:r w:rsidR="00DF62C4" w:rsidRPr="00DF62C4">
              <w:t>defibrilatoru</w:t>
            </w:r>
            <w:proofErr w:type="spellEnd"/>
            <w:r w:rsidR="00DF62C4" w:rsidRPr="00DF62C4">
              <w:t xml:space="preserve"> iegādi neatliekamās medicīniskās palīdzības brigāžu darbības nodrošināšanai 2012.gadā – </w:t>
            </w:r>
            <w:r w:rsidR="00DF62C4" w:rsidRPr="00211881">
              <w:rPr>
                <w:i/>
              </w:rPr>
              <w:t>646 178</w:t>
            </w:r>
            <w:r w:rsidR="00DF62C4" w:rsidRPr="00DF62C4">
              <w:t xml:space="preserve"> lati;</w:t>
            </w:r>
          </w:p>
          <w:p w:rsidR="00DF62C4" w:rsidRPr="00DF62C4" w:rsidRDefault="00211881" w:rsidP="00DF62C4">
            <w:pPr>
              <w:pStyle w:val="NormalWeb"/>
              <w:spacing w:before="0" w:beforeAutospacing="0" w:after="0"/>
              <w:jc w:val="both"/>
            </w:pPr>
            <w:r>
              <w:t xml:space="preserve">- </w:t>
            </w:r>
            <w:r w:rsidR="00DF62C4" w:rsidRPr="00DF62C4">
              <w:t xml:space="preserve">asins plazmas preparātu iepirkumam – </w:t>
            </w:r>
            <w:r w:rsidR="00DF62C4" w:rsidRPr="00211881">
              <w:rPr>
                <w:i/>
              </w:rPr>
              <w:t>250 000</w:t>
            </w:r>
            <w:r w:rsidR="00DF62C4" w:rsidRPr="00DF62C4">
              <w:t xml:space="preserve"> lati;</w:t>
            </w:r>
          </w:p>
          <w:p w:rsidR="00DF62C4" w:rsidRPr="00DF62C4" w:rsidRDefault="00211881" w:rsidP="00DF62C4">
            <w:pPr>
              <w:pStyle w:val="NormalWeb"/>
              <w:spacing w:before="0" w:beforeAutospacing="0" w:after="0"/>
              <w:jc w:val="both"/>
            </w:pPr>
            <w:r>
              <w:t>-</w:t>
            </w:r>
            <w:r w:rsidR="00DF62C4" w:rsidRPr="00DF62C4">
              <w:t xml:space="preserve">  asins sagatavošanas maisu iegādei – </w:t>
            </w:r>
            <w:r w:rsidR="00DF62C4" w:rsidRPr="00211881">
              <w:rPr>
                <w:i/>
              </w:rPr>
              <w:t>47 325</w:t>
            </w:r>
            <w:r w:rsidR="00DF62C4" w:rsidRPr="00DF62C4">
              <w:t xml:space="preserve"> lati;  </w:t>
            </w:r>
          </w:p>
          <w:p w:rsidR="00DF62C4" w:rsidRPr="00DF62C4" w:rsidRDefault="00211881" w:rsidP="00DF62C4">
            <w:pPr>
              <w:pStyle w:val="NormalWeb"/>
              <w:spacing w:before="0" w:beforeAutospacing="0" w:after="0"/>
              <w:jc w:val="both"/>
            </w:pPr>
            <w:r>
              <w:t xml:space="preserve">- </w:t>
            </w:r>
            <w:r w:rsidR="00DF62C4" w:rsidRPr="00DF62C4">
              <w:t xml:space="preserve">eritrocītu filtru iegādei – </w:t>
            </w:r>
            <w:r w:rsidR="00DF62C4" w:rsidRPr="00211881">
              <w:rPr>
                <w:i/>
              </w:rPr>
              <w:t>9 464</w:t>
            </w:r>
            <w:r w:rsidR="00DF62C4" w:rsidRPr="00DF62C4">
              <w:t xml:space="preserve"> lati; </w:t>
            </w:r>
          </w:p>
          <w:p w:rsidR="00DF62C4" w:rsidRPr="00DF62C4" w:rsidRDefault="00211881" w:rsidP="00DF62C4">
            <w:pPr>
              <w:pStyle w:val="NormalWeb"/>
              <w:spacing w:before="0" w:beforeAutospacing="0" w:after="0"/>
              <w:jc w:val="both"/>
            </w:pPr>
            <w:r>
              <w:t xml:space="preserve">- </w:t>
            </w:r>
            <w:r w:rsidR="00DF62C4" w:rsidRPr="00DF62C4">
              <w:t xml:space="preserve">asmenīšu iegādei asins komponentu sagatavošanai </w:t>
            </w:r>
            <w:r>
              <w:t xml:space="preserve">   </w:t>
            </w:r>
            <w:r w:rsidR="00DF62C4" w:rsidRPr="00211881">
              <w:rPr>
                <w:i/>
              </w:rPr>
              <w:t>11 153</w:t>
            </w:r>
            <w:r w:rsidR="00DF62C4" w:rsidRPr="00DF62C4">
              <w:t xml:space="preserve"> lati;</w:t>
            </w:r>
          </w:p>
          <w:p w:rsidR="00DF62C4" w:rsidRPr="00DF62C4" w:rsidRDefault="00211881" w:rsidP="00DF62C4">
            <w:pPr>
              <w:pStyle w:val="NormalWeb"/>
              <w:spacing w:before="0" w:beforeAutospacing="0" w:after="0"/>
              <w:jc w:val="both"/>
            </w:pPr>
            <w:r>
              <w:t xml:space="preserve">- </w:t>
            </w:r>
            <w:r w:rsidR="00DF62C4" w:rsidRPr="00DF62C4">
              <w:t xml:space="preserve">reaģentu iegādei asins bakterioloģisko un vīrusu izmeklēšanai – </w:t>
            </w:r>
            <w:r w:rsidR="00DF62C4" w:rsidRPr="00211881">
              <w:rPr>
                <w:i/>
              </w:rPr>
              <w:t>54 927</w:t>
            </w:r>
            <w:r w:rsidR="00DF62C4" w:rsidRPr="00DF62C4">
              <w:t xml:space="preserve"> lati.</w:t>
            </w:r>
          </w:p>
          <w:p w:rsidR="00680429" w:rsidRDefault="00680429" w:rsidP="00DF62C4">
            <w:pPr>
              <w:pStyle w:val="NormalWeb"/>
              <w:spacing w:before="0" w:beforeAutospacing="0" w:after="0"/>
              <w:jc w:val="both"/>
            </w:pPr>
          </w:p>
          <w:p w:rsidR="00211881" w:rsidRDefault="00211881" w:rsidP="00DF62C4">
            <w:pPr>
              <w:pStyle w:val="NormalWeb"/>
              <w:spacing w:before="0" w:beforeAutospacing="0" w:after="0"/>
              <w:jc w:val="both"/>
            </w:pPr>
            <w:r w:rsidRPr="00211881">
              <w:t>Rīkojuma projekta 3.punkts paredz Veselības ministrijai sadarbībā ar Finanšu ministriju informēt Starptautisko Valūtas fondu un Eiropas Komisiju par apropriācijas palielināšanu veselības aprūpes pakalpojumu apmaksai.</w:t>
            </w:r>
          </w:p>
          <w:p w:rsidR="00680429" w:rsidRDefault="00680429" w:rsidP="00DF62C4">
            <w:pPr>
              <w:pStyle w:val="NormalWeb"/>
              <w:spacing w:before="0" w:beforeAutospacing="0" w:after="0"/>
              <w:jc w:val="both"/>
            </w:pPr>
          </w:p>
          <w:p w:rsidR="00211881" w:rsidRDefault="00680429" w:rsidP="00DF62C4">
            <w:pPr>
              <w:pStyle w:val="NormalWeb"/>
              <w:spacing w:before="0" w:beforeAutospacing="0" w:after="0"/>
              <w:jc w:val="both"/>
            </w:pPr>
            <w:r w:rsidRPr="00E31CBD">
              <w:t xml:space="preserve">     Noteikumu projekts pilnībā atrisinās anotācijas I sadaļas 2.punktā minētās problēmas.</w:t>
            </w:r>
          </w:p>
          <w:p w:rsidR="00680429" w:rsidRPr="00211881" w:rsidRDefault="00680429" w:rsidP="00DF62C4">
            <w:pPr>
              <w:pStyle w:val="NormalWeb"/>
              <w:spacing w:before="0" w:beforeAutospacing="0" w:after="0"/>
              <w:jc w:val="both"/>
            </w:pPr>
          </w:p>
        </w:tc>
      </w:tr>
      <w:tr w:rsidR="00745F6C" w:rsidTr="00DF62C4">
        <w:trPr>
          <w:jc w:val="center"/>
        </w:trPr>
        <w:tc>
          <w:tcPr>
            <w:tcW w:w="648" w:type="dxa"/>
          </w:tcPr>
          <w:p w:rsidR="00745F6C" w:rsidRDefault="00745F6C" w:rsidP="001B1A87">
            <w:pPr>
              <w:jc w:val="both"/>
            </w:pPr>
            <w:r>
              <w:t>5.</w:t>
            </w:r>
          </w:p>
        </w:tc>
        <w:tc>
          <w:tcPr>
            <w:tcW w:w="3420" w:type="dxa"/>
          </w:tcPr>
          <w:p w:rsidR="00745F6C" w:rsidRDefault="00745F6C" w:rsidP="001B1A87">
            <w:pPr>
              <w:jc w:val="both"/>
            </w:pPr>
            <w:r>
              <w:t>Projekta izstrādē iesaistītās institūcijas</w:t>
            </w:r>
          </w:p>
        </w:tc>
        <w:tc>
          <w:tcPr>
            <w:tcW w:w="5219" w:type="dxa"/>
          </w:tcPr>
          <w:p w:rsidR="00FB61AF" w:rsidRPr="001800B4" w:rsidRDefault="00745F6C" w:rsidP="00A5654A">
            <w:pPr>
              <w:jc w:val="both"/>
            </w:pPr>
            <w:r>
              <w:t> </w:t>
            </w:r>
            <w:r w:rsidR="00A5654A">
              <w:t>Rīkojuma projekta izstrādē tika iesaistīts Valsts asinsdonoru centrs un Neatliekamās medicīniskās palīdzības dienests.</w:t>
            </w:r>
          </w:p>
        </w:tc>
      </w:tr>
      <w:tr w:rsidR="00745F6C" w:rsidTr="00DF62C4">
        <w:trPr>
          <w:jc w:val="center"/>
        </w:trPr>
        <w:tc>
          <w:tcPr>
            <w:tcW w:w="648" w:type="dxa"/>
          </w:tcPr>
          <w:p w:rsidR="00745F6C" w:rsidRDefault="00745F6C" w:rsidP="001B1A87">
            <w:pPr>
              <w:jc w:val="both"/>
            </w:pPr>
            <w:r>
              <w:t>6.</w:t>
            </w:r>
          </w:p>
        </w:tc>
        <w:tc>
          <w:tcPr>
            <w:tcW w:w="3420" w:type="dxa"/>
          </w:tcPr>
          <w:p w:rsidR="00745F6C" w:rsidRDefault="00745F6C" w:rsidP="001B1A87">
            <w:pPr>
              <w:jc w:val="both"/>
            </w:pPr>
            <w:r>
              <w:t>Iemesli, kādēļ netika nodrošināta sabiedrības līdzdalība</w:t>
            </w:r>
          </w:p>
        </w:tc>
        <w:tc>
          <w:tcPr>
            <w:tcW w:w="5219" w:type="dxa"/>
          </w:tcPr>
          <w:p w:rsidR="00FB61AF" w:rsidRPr="006C2B89" w:rsidRDefault="007610A3" w:rsidP="006C2B89">
            <w:pPr>
              <w:tabs>
                <w:tab w:val="right" w:pos="2127"/>
                <w:tab w:val="left" w:pos="2410"/>
                <w:tab w:val="right" w:leader="underscore" w:pos="4820"/>
              </w:tabs>
              <w:jc w:val="both"/>
              <w:rPr>
                <w:bCs/>
              </w:rPr>
            </w:pPr>
            <w:r>
              <w:t> </w:t>
            </w:r>
            <w:r w:rsidR="00A5654A" w:rsidRPr="006C2B89">
              <w:rPr>
                <w:bCs/>
              </w:rPr>
              <w:t xml:space="preserve">Tā kā </w:t>
            </w:r>
            <w:r w:rsidR="001115CF">
              <w:rPr>
                <w:bCs/>
              </w:rPr>
              <w:t>R</w:t>
            </w:r>
            <w:r w:rsidR="006C2B89" w:rsidRPr="006C2B89">
              <w:rPr>
                <w:bCs/>
              </w:rPr>
              <w:t>īkojuma</w:t>
            </w:r>
            <w:r w:rsidR="00A5654A" w:rsidRPr="006C2B89">
              <w:rPr>
                <w:bCs/>
              </w:rPr>
              <w:t xml:space="preserve"> projekts neparedz negatīvu ietekmi uz sabiedrību, </w:t>
            </w:r>
            <w:r w:rsidR="006C2B89" w:rsidRPr="006C2B89">
              <w:rPr>
                <w:bCs/>
              </w:rPr>
              <w:t>bet</w:t>
            </w:r>
            <w:r w:rsidR="00A5654A" w:rsidRPr="006C2B89">
              <w:rPr>
                <w:bCs/>
              </w:rPr>
              <w:t xml:space="preserve"> </w:t>
            </w:r>
            <w:r w:rsidR="001115CF">
              <w:rPr>
                <w:bCs/>
              </w:rPr>
              <w:t xml:space="preserve">tieši </w:t>
            </w:r>
            <w:r w:rsidR="00A5654A" w:rsidRPr="006C2B89">
              <w:rPr>
                <w:bCs/>
              </w:rPr>
              <w:t xml:space="preserve">otrādi, </w:t>
            </w:r>
            <w:r w:rsidR="001115CF">
              <w:rPr>
                <w:bCs/>
              </w:rPr>
              <w:t>pēc R</w:t>
            </w:r>
            <w:r w:rsidR="006C2B89" w:rsidRPr="006C2B89">
              <w:rPr>
                <w:bCs/>
              </w:rPr>
              <w:t xml:space="preserve">īkojuma projekta pieņemšanas pacientiem valsts </w:t>
            </w:r>
            <w:r w:rsidR="006C2B89" w:rsidRPr="006C2B89">
              <w:rPr>
                <w:bCs/>
              </w:rPr>
              <w:lastRenderedPageBreak/>
              <w:t xml:space="preserve">garantētajā apjomā tiks nodrošināta 2011.gada novembra un decembra mēnesī neatliekamā medicīniskā palīdzība, kā arī tiks realizēti neatliekami pasākumi, kas uzlabos 2012.gadā neatliekamās medicīniskās palīdzības brigāžu darbību (ziemas riepu iegāde, medikamentu un medicīnas materiālu, </w:t>
            </w:r>
            <w:proofErr w:type="spellStart"/>
            <w:r w:rsidR="006C2B89" w:rsidRPr="006C2B89">
              <w:rPr>
                <w:bCs/>
              </w:rPr>
              <w:t>defibrilatoru</w:t>
            </w:r>
            <w:proofErr w:type="spellEnd"/>
            <w:r w:rsidR="006C2B89" w:rsidRPr="006C2B89">
              <w:rPr>
                <w:bCs/>
              </w:rPr>
              <w:t xml:space="preserve"> iegāde), pakalpojumu pieejamību, </w:t>
            </w:r>
            <w:r w:rsidR="00A5654A" w:rsidRPr="006C2B89">
              <w:rPr>
                <w:bCs/>
              </w:rPr>
              <w:t>tad arī sabiedrības līdzdalība netika nodrošināta.</w:t>
            </w:r>
          </w:p>
        </w:tc>
      </w:tr>
      <w:tr w:rsidR="00745F6C" w:rsidTr="00DF62C4">
        <w:trPr>
          <w:jc w:val="center"/>
        </w:trPr>
        <w:tc>
          <w:tcPr>
            <w:tcW w:w="648" w:type="dxa"/>
          </w:tcPr>
          <w:p w:rsidR="00745F6C" w:rsidRDefault="00745F6C" w:rsidP="001B1A87">
            <w:pPr>
              <w:jc w:val="both"/>
            </w:pPr>
            <w:r>
              <w:lastRenderedPageBreak/>
              <w:t>7.</w:t>
            </w:r>
          </w:p>
        </w:tc>
        <w:tc>
          <w:tcPr>
            <w:tcW w:w="3420" w:type="dxa"/>
          </w:tcPr>
          <w:p w:rsidR="00745F6C" w:rsidRDefault="00745F6C" w:rsidP="001B1A87">
            <w:pPr>
              <w:jc w:val="both"/>
            </w:pPr>
            <w:r>
              <w:t>Cita informācija</w:t>
            </w:r>
          </w:p>
        </w:tc>
        <w:tc>
          <w:tcPr>
            <w:tcW w:w="5219" w:type="dxa"/>
          </w:tcPr>
          <w:p w:rsidR="00745F6C" w:rsidRDefault="00745F6C" w:rsidP="001B1A87">
            <w:pPr>
              <w:jc w:val="both"/>
            </w:pPr>
            <w:r>
              <w:t>Nav</w:t>
            </w:r>
          </w:p>
          <w:p w:rsidR="00FB61AF" w:rsidRDefault="00FB61AF" w:rsidP="001B1A87">
            <w:pPr>
              <w:jc w:val="both"/>
            </w:pPr>
          </w:p>
        </w:tc>
      </w:tr>
    </w:tbl>
    <w:p w:rsidR="00FB61AF" w:rsidRDefault="00FB61AF" w:rsidP="00745F6C">
      <w:pPr>
        <w:jc w:val="both"/>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
        <w:gridCol w:w="3729"/>
        <w:gridCol w:w="5039"/>
      </w:tblGrid>
      <w:tr w:rsidR="00745F6C" w:rsidTr="001B1A87">
        <w:tc>
          <w:tcPr>
            <w:tcW w:w="9287" w:type="dxa"/>
            <w:gridSpan w:val="3"/>
          </w:tcPr>
          <w:p w:rsidR="00745F6C" w:rsidRDefault="00745F6C" w:rsidP="001B1A87">
            <w:pPr>
              <w:jc w:val="center"/>
            </w:pPr>
            <w:r w:rsidRPr="009E744B">
              <w:rPr>
                <w:b/>
                <w:bCs/>
              </w:rPr>
              <w:t>II. Tiesību akta projekta ietekme uz sabiedrību</w:t>
            </w:r>
          </w:p>
        </w:tc>
      </w:tr>
      <w:tr w:rsidR="00745F6C" w:rsidTr="001B1A87">
        <w:tc>
          <w:tcPr>
            <w:tcW w:w="519" w:type="dxa"/>
          </w:tcPr>
          <w:p w:rsidR="00745F6C" w:rsidRDefault="00745F6C" w:rsidP="001B1A87">
            <w:pPr>
              <w:jc w:val="both"/>
            </w:pPr>
            <w:r>
              <w:t>1.</w:t>
            </w:r>
          </w:p>
        </w:tc>
        <w:tc>
          <w:tcPr>
            <w:tcW w:w="3729" w:type="dxa"/>
          </w:tcPr>
          <w:p w:rsidR="00745F6C" w:rsidRDefault="00745F6C" w:rsidP="001B1A87">
            <w:pPr>
              <w:jc w:val="both"/>
            </w:pPr>
            <w:r>
              <w:t xml:space="preserve">Sabiedrības </w:t>
            </w:r>
            <w:proofErr w:type="spellStart"/>
            <w:r>
              <w:t>mērķgrupa</w:t>
            </w:r>
            <w:proofErr w:type="spellEnd"/>
          </w:p>
        </w:tc>
        <w:tc>
          <w:tcPr>
            <w:tcW w:w="5039" w:type="dxa"/>
          </w:tcPr>
          <w:p w:rsidR="00745F6C" w:rsidRDefault="00A5654A" w:rsidP="007610A3">
            <w:pPr>
              <w:jc w:val="both"/>
            </w:pPr>
            <w:r w:rsidRPr="008E6948">
              <w:t>Veselības aprūpes pakalpojumu saņēmēji - uz 2010.gada 31.decembri – 2 261 845 personas saskaņā ar veselības aprūpes pakalpojumu saņēmēju reģistra datiem.</w:t>
            </w:r>
          </w:p>
        </w:tc>
      </w:tr>
      <w:tr w:rsidR="00745F6C" w:rsidTr="001B1A87">
        <w:tc>
          <w:tcPr>
            <w:tcW w:w="519" w:type="dxa"/>
          </w:tcPr>
          <w:p w:rsidR="00745F6C" w:rsidRDefault="00745F6C" w:rsidP="001B1A87">
            <w:pPr>
              <w:jc w:val="both"/>
            </w:pPr>
            <w:r>
              <w:t>2.</w:t>
            </w:r>
          </w:p>
        </w:tc>
        <w:tc>
          <w:tcPr>
            <w:tcW w:w="3729" w:type="dxa"/>
          </w:tcPr>
          <w:p w:rsidR="00745F6C" w:rsidRDefault="00745F6C" w:rsidP="001B1A87">
            <w:pPr>
              <w:jc w:val="both"/>
            </w:pPr>
            <w:r>
              <w:t xml:space="preserve">Citas sabiedrības grupas (bez </w:t>
            </w:r>
            <w:proofErr w:type="spellStart"/>
            <w:r>
              <w:t>mērķgrupas</w:t>
            </w:r>
            <w:proofErr w:type="spellEnd"/>
            <w:r>
              <w:t>), kuras tiesiskais regulējums arī ietekmē vai varētu ietekmēt</w:t>
            </w:r>
          </w:p>
        </w:tc>
        <w:tc>
          <w:tcPr>
            <w:tcW w:w="5039" w:type="dxa"/>
          </w:tcPr>
          <w:p w:rsidR="00FB61AF" w:rsidRDefault="00A5654A" w:rsidP="001B1A87">
            <w:pPr>
              <w:jc w:val="both"/>
            </w:pPr>
            <w:r w:rsidRPr="008E6948">
              <w:t xml:space="preserve">Ārstniecības iestādes, ar kurām noslēgts </w:t>
            </w:r>
            <w:smartTag w:uri="schemas-tilde-lv/tildestengine" w:element="veidnes">
              <w:smartTagPr>
                <w:attr w:name="text" w:val="līgums"/>
                <w:attr w:name="baseform" w:val="līgums"/>
                <w:attr w:name="id" w:val="-1"/>
              </w:smartTagPr>
              <w:r w:rsidRPr="008E6948">
                <w:t>līgums</w:t>
              </w:r>
            </w:smartTag>
            <w:r w:rsidRPr="008E6948">
              <w:t xml:space="preserve"> par no valsts budžeta apmaksāto veselības aprūpes pakalpojumu sniegšanu – 2139</w:t>
            </w:r>
            <w:r w:rsidR="00680429">
              <w:t>, kā arī budžeta iestādes – Valsts asinsdonoru centrs un Neatliekamās medicīniskās palīdzības  dienests.</w:t>
            </w:r>
          </w:p>
        </w:tc>
      </w:tr>
      <w:tr w:rsidR="00745F6C" w:rsidTr="001B1A87">
        <w:tc>
          <w:tcPr>
            <w:tcW w:w="519" w:type="dxa"/>
          </w:tcPr>
          <w:p w:rsidR="00745F6C" w:rsidRDefault="00745F6C" w:rsidP="001B1A87">
            <w:pPr>
              <w:jc w:val="both"/>
            </w:pPr>
            <w:r>
              <w:t>3.</w:t>
            </w:r>
          </w:p>
        </w:tc>
        <w:tc>
          <w:tcPr>
            <w:tcW w:w="3729" w:type="dxa"/>
          </w:tcPr>
          <w:p w:rsidR="00745F6C" w:rsidRDefault="00745F6C" w:rsidP="001B1A87">
            <w:pPr>
              <w:jc w:val="both"/>
            </w:pPr>
            <w:r>
              <w:t>Tiesiskā regulējuma finansiālā ietekme</w:t>
            </w:r>
          </w:p>
        </w:tc>
        <w:tc>
          <w:tcPr>
            <w:tcW w:w="5039" w:type="dxa"/>
          </w:tcPr>
          <w:p w:rsidR="00FB61AF" w:rsidRPr="001115CF" w:rsidRDefault="00FF4349" w:rsidP="007610A3">
            <w:pPr>
              <w:pStyle w:val="NormalWeb"/>
              <w:spacing w:before="0" w:beforeAutospacing="0" w:after="0"/>
              <w:jc w:val="both"/>
            </w:pPr>
            <w:r w:rsidRPr="00FF4349">
              <w:t>Rīkojuma projekta realizēšanai ir nepieciešams papildus finansējums no valsts budžeta</w:t>
            </w:r>
            <w:r>
              <w:rPr>
                <w:color w:val="FF0000"/>
              </w:rPr>
              <w:t xml:space="preserve"> </w:t>
            </w:r>
            <w:r w:rsidRPr="00A4798A">
              <w:t xml:space="preserve">2011.gadā </w:t>
            </w:r>
            <w:r w:rsidR="00A4798A" w:rsidRPr="00A4798A">
              <w:t xml:space="preserve">2 216 215 </w:t>
            </w:r>
            <w:r w:rsidRPr="00A4798A">
              <w:t>latu apmērā.</w:t>
            </w:r>
          </w:p>
        </w:tc>
      </w:tr>
      <w:tr w:rsidR="00745F6C" w:rsidTr="001B1A87">
        <w:tc>
          <w:tcPr>
            <w:tcW w:w="519" w:type="dxa"/>
          </w:tcPr>
          <w:p w:rsidR="00745F6C" w:rsidRDefault="00745F6C" w:rsidP="001B1A87">
            <w:pPr>
              <w:jc w:val="both"/>
            </w:pPr>
            <w:r>
              <w:t>4.</w:t>
            </w:r>
          </w:p>
        </w:tc>
        <w:tc>
          <w:tcPr>
            <w:tcW w:w="3729" w:type="dxa"/>
          </w:tcPr>
          <w:p w:rsidR="00745F6C" w:rsidRDefault="00745F6C" w:rsidP="001B1A87">
            <w:pPr>
              <w:jc w:val="both"/>
            </w:pPr>
            <w:r>
              <w:t> Tiesiskā regulējuma nefinansiālā ietekme</w:t>
            </w:r>
          </w:p>
        </w:tc>
        <w:tc>
          <w:tcPr>
            <w:tcW w:w="5039" w:type="dxa"/>
          </w:tcPr>
          <w:p w:rsidR="00745F6C" w:rsidRPr="00FF4349" w:rsidRDefault="007610A3" w:rsidP="00A4798A">
            <w:pPr>
              <w:jc w:val="both"/>
            </w:pPr>
            <w:r w:rsidRPr="00FF4349">
              <w:t>Ja tiks piešķirts nepieciešamais papildus finansējums, tad iedzīvotājiem</w:t>
            </w:r>
            <w:r w:rsidR="00680429" w:rsidRPr="00FF4349">
              <w:t xml:space="preserve"> tiks nodrošināta valsts garantētajā apjomā</w:t>
            </w:r>
            <w:r w:rsidR="00FF4349" w:rsidRPr="00FF4349">
              <w:t xml:space="preserve"> atbilstoši Ministru kabineta 2006.gada 19.decembra noteikumiem Nr.1046 „Veselības aprūpes organizēšanas un finansēšanas kārtība” neatliekamās medicīniskās palīdzības sniegšana 2011.gada novembra un decembra mēneš</w:t>
            </w:r>
            <w:r w:rsidR="00A4798A">
              <w:t xml:space="preserve">os. </w:t>
            </w:r>
            <w:r w:rsidR="00FF4349" w:rsidRPr="00FF4349">
              <w:t>Ieguldot līdzekļus vienreizēju pasākumu izdevumu segšanai, tiks samazināts finansiālais slogs uz 2012.gada budžetu, palielināta pakalpojumu pieejamība, nodrošināti asins komponenti, asins plazmas preparāti un reaģenti.</w:t>
            </w:r>
          </w:p>
        </w:tc>
      </w:tr>
      <w:tr w:rsidR="00745F6C" w:rsidTr="001B1A87">
        <w:tc>
          <w:tcPr>
            <w:tcW w:w="519" w:type="dxa"/>
          </w:tcPr>
          <w:p w:rsidR="00745F6C" w:rsidRDefault="00745F6C" w:rsidP="001B1A87">
            <w:pPr>
              <w:jc w:val="both"/>
            </w:pPr>
            <w:r>
              <w:t>5.</w:t>
            </w:r>
          </w:p>
        </w:tc>
        <w:tc>
          <w:tcPr>
            <w:tcW w:w="3729" w:type="dxa"/>
          </w:tcPr>
          <w:p w:rsidR="00745F6C" w:rsidRDefault="00745F6C" w:rsidP="001B1A87">
            <w:pPr>
              <w:jc w:val="both"/>
            </w:pPr>
            <w:r>
              <w:t>Administratīvās procedūras raksturojums</w:t>
            </w:r>
          </w:p>
        </w:tc>
        <w:tc>
          <w:tcPr>
            <w:tcW w:w="5039" w:type="dxa"/>
          </w:tcPr>
          <w:p w:rsidR="00745F6C" w:rsidRDefault="00E15D0F" w:rsidP="001B1A87">
            <w:pPr>
              <w:jc w:val="both"/>
            </w:pPr>
            <w:r w:rsidRPr="00E31CBD">
              <w:t>Projekts šo jomu neskar.</w:t>
            </w:r>
          </w:p>
        </w:tc>
      </w:tr>
      <w:tr w:rsidR="00745F6C" w:rsidTr="001B1A87">
        <w:tc>
          <w:tcPr>
            <w:tcW w:w="519" w:type="dxa"/>
          </w:tcPr>
          <w:p w:rsidR="00745F6C" w:rsidRDefault="00745F6C" w:rsidP="001B1A87">
            <w:pPr>
              <w:jc w:val="both"/>
            </w:pPr>
            <w:r>
              <w:t>6.</w:t>
            </w:r>
          </w:p>
        </w:tc>
        <w:tc>
          <w:tcPr>
            <w:tcW w:w="3729" w:type="dxa"/>
          </w:tcPr>
          <w:p w:rsidR="00745F6C" w:rsidRDefault="00745F6C" w:rsidP="001B1A87">
            <w:pPr>
              <w:jc w:val="both"/>
            </w:pPr>
            <w:r>
              <w:t>Administratīvo i</w:t>
            </w:r>
            <w:smartTag w:uri="urn:schemas-microsoft-com:office:smarttags" w:element="PersonName">
              <w:r>
                <w:t>zm</w:t>
              </w:r>
            </w:smartTag>
            <w:r>
              <w:t>aksu monetārs novērtējums</w:t>
            </w:r>
          </w:p>
        </w:tc>
        <w:tc>
          <w:tcPr>
            <w:tcW w:w="5039" w:type="dxa"/>
          </w:tcPr>
          <w:p w:rsidR="00745F6C" w:rsidRDefault="00E15D0F" w:rsidP="001B1A87">
            <w:pPr>
              <w:jc w:val="both"/>
            </w:pPr>
            <w:r w:rsidRPr="00E31CBD">
              <w:t>Projekts šo jomu neskar.</w:t>
            </w:r>
          </w:p>
        </w:tc>
      </w:tr>
      <w:tr w:rsidR="00745F6C" w:rsidTr="001B1A87">
        <w:tc>
          <w:tcPr>
            <w:tcW w:w="519" w:type="dxa"/>
          </w:tcPr>
          <w:p w:rsidR="00745F6C" w:rsidRDefault="00745F6C" w:rsidP="001B1A87">
            <w:pPr>
              <w:jc w:val="both"/>
            </w:pPr>
            <w:r>
              <w:t>7.</w:t>
            </w:r>
          </w:p>
        </w:tc>
        <w:tc>
          <w:tcPr>
            <w:tcW w:w="3729" w:type="dxa"/>
          </w:tcPr>
          <w:p w:rsidR="00745F6C" w:rsidRDefault="00745F6C" w:rsidP="001B1A87">
            <w:pPr>
              <w:jc w:val="both"/>
            </w:pPr>
            <w:r>
              <w:t>Cita informācija</w:t>
            </w:r>
          </w:p>
        </w:tc>
        <w:tc>
          <w:tcPr>
            <w:tcW w:w="5039" w:type="dxa"/>
          </w:tcPr>
          <w:p w:rsidR="00745F6C" w:rsidRDefault="00745F6C" w:rsidP="001B1A87">
            <w:pPr>
              <w:jc w:val="both"/>
            </w:pPr>
            <w:r>
              <w:t>Nav</w:t>
            </w:r>
          </w:p>
        </w:tc>
      </w:tr>
    </w:tbl>
    <w:p w:rsidR="00FB61AF" w:rsidRDefault="00745F6C" w:rsidP="00745F6C">
      <w:pPr>
        <w:jc w:val="both"/>
      </w:pPr>
      <w:r>
        <w:t>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260"/>
        <w:gridCol w:w="1440"/>
        <w:gridCol w:w="1440"/>
        <w:gridCol w:w="1440"/>
        <w:gridCol w:w="1440"/>
      </w:tblGrid>
      <w:tr w:rsidR="00745F6C" w:rsidTr="001B1A87">
        <w:tc>
          <w:tcPr>
            <w:tcW w:w="9288" w:type="dxa"/>
            <w:gridSpan w:val="6"/>
          </w:tcPr>
          <w:p w:rsidR="00745F6C" w:rsidRDefault="00745F6C" w:rsidP="001B1A87">
            <w:pPr>
              <w:jc w:val="center"/>
            </w:pPr>
            <w:r w:rsidRPr="009E744B">
              <w:rPr>
                <w:b/>
                <w:bCs/>
              </w:rPr>
              <w:t>III. Tiesību akta projekta ietekme uz valsts budžetu un pašvaldību budžetiem</w:t>
            </w:r>
          </w:p>
        </w:tc>
      </w:tr>
      <w:tr w:rsidR="00745F6C" w:rsidTr="001B1A87">
        <w:tc>
          <w:tcPr>
            <w:tcW w:w="2268" w:type="dxa"/>
            <w:vMerge w:val="restart"/>
          </w:tcPr>
          <w:p w:rsidR="00745F6C" w:rsidRDefault="00745F6C" w:rsidP="001B1A87">
            <w:pPr>
              <w:jc w:val="center"/>
            </w:pPr>
            <w:r w:rsidRPr="009E744B">
              <w:rPr>
                <w:b/>
                <w:bCs/>
              </w:rPr>
              <w:t>Rādītāji</w:t>
            </w:r>
          </w:p>
        </w:tc>
        <w:tc>
          <w:tcPr>
            <w:tcW w:w="2700" w:type="dxa"/>
            <w:gridSpan w:val="2"/>
            <w:vMerge w:val="restart"/>
          </w:tcPr>
          <w:p w:rsidR="00745F6C" w:rsidRDefault="00E15D0F" w:rsidP="001B1A87">
            <w:pPr>
              <w:jc w:val="center"/>
            </w:pPr>
            <w:r>
              <w:rPr>
                <w:b/>
                <w:bCs/>
              </w:rPr>
              <w:t>2011</w:t>
            </w:r>
            <w:r w:rsidR="00745F6C" w:rsidRPr="009E744B">
              <w:rPr>
                <w:b/>
                <w:bCs/>
              </w:rPr>
              <w:t>.gads</w:t>
            </w:r>
          </w:p>
        </w:tc>
        <w:tc>
          <w:tcPr>
            <w:tcW w:w="4320" w:type="dxa"/>
            <w:gridSpan w:val="3"/>
          </w:tcPr>
          <w:p w:rsidR="00745F6C" w:rsidRPr="009E744B" w:rsidRDefault="00745F6C" w:rsidP="001B1A87">
            <w:pPr>
              <w:tabs>
                <w:tab w:val="left" w:pos="3480"/>
              </w:tabs>
              <w:jc w:val="center"/>
              <w:rPr>
                <w:b/>
              </w:rPr>
            </w:pPr>
            <w:r w:rsidRPr="009E744B">
              <w:rPr>
                <w:b/>
              </w:rPr>
              <w:t>Turpmākie trīs gadi (tūkst</w:t>
            </w:r>
            <w:smartTag w:uri="schemas-tilde-lv/tildestengine" w:element="currency2">
              <w:smartTagPr>
                <w:attr w:name="currency_id" w:val="48"/>
                <w:attr w:name="currency_key" w:val="LVL"/>
                <w:attr w:name="currency_value" w:val="."/>
                <w:attr w:name="currency_text" w:val="latu"/>
              </w:smartTagPr>
              <w:r w:rsidRPr="009E744B">
                <w:rPr>
                  <w:b/>
                </w:rPr>
                <w:t>. latu</w:t>
              </w:r>
            </w:smartTag>
            <w:r w:rsidRPr="009E744B">
              <w:rPr>
                <w:b/>
              </w:rPr>
              <w:t>)</w:t>
            </w:r>
          </w:p>
        </w:tc>
      </w:tr>
      <w:tr w:rsidR="00745F6C" w:rsidTr="001B1A87">
        <w:tc>
          <w:tcPr>
            <w:tcW w:w="2268" w:type="dxa"/>
            <w:vMerge/>
          </w:tcPr>
          <w:p w:rsidR="00745F6C" w:rsidRDefault="00745F6C" w:rsidP="001B1A87">
            <w:pPr>
              <w:jc w:val="both"/>
            </w:pPr>
          </w:p>
        </w:tc>
        <w:tc>
          <w:tcPr>
            <w:tcW w:w="2700" w:type="dxa"/>
            <w:gridSpan w:val="2"/>
            <w:vMerge/>
          </w:tcPr>
          <w:p w:rsidR="00745F6C" w:rsidRDefault="00745F6C" w:rsidP="001B1A87">
            <w:pPr>
              <w:jc w:val="both"/>
            </w:pPr>
          </w:p>
        </w:tc>
        <w:tc>
          <w:tcPr>
            <w:tcW w:w="1440" w:type="dxa"/>
          </w:tcPr>
          <w:p w:rsidR="00745F6C" w:rsidRDefault="00745F6C" w:rsidP="00E15D0F">
            <w:r w:rsidRPr="009E744B">
              <w:rPr>
                <w:b/>
                <w:bCs/>
              </w:rPr>
              <w:t>(201</w:t>
            </w:r>
            <w:r w:rsidR="00E15D0F">
              <w:rPr>
                <w:b/>
                <w:bCs/>
              </w:rPr>
              <w:t>2</w:t>
            </w:r>
            <w:r w:rsidRPr="009E744B">
              <w:rPr>
                <w:b/>
                <w:bCs/>
              </w:rPr>
              <w:t>.gads)</w:t>
            </w:r>
          </w:p>
        </w:tc>
        <w:tc>
          <w:tcPr>
            <w:tcW w:w="1440" w:type="dxa"/>
          </w:tcPr>
          <w:p w:rsidR="00745F6C" w:rsidRDefault="00745F6C" w:rsidP="00E15D0F">
            <w:pPr>
              <w:jc w:val="center"/>
            </w:pPr>
            <w:r w:rsidRPr="009E744B">
              <w:rPr>
                <w:b/>
                <w:bCs/>
              </w:rPr>
              <w:t>(201</w:t>
            </w:r>
            <w:r w:rsidR="00E15D0F">
              <w:rPr>
                <w:b/>
                <w:bCs/>
              </w:rPr>
              <w:t>3</w:t>
            </w:r>
            <w:r w:rsidRPr="009E744B">
              <w:rPr>
                <w:b/>
                <w:bCs/>
              </w:rPr>
              <w:t>.gads)</w:t>
            </w:r>
          </w:p>
        </w:tc>
        <w:tc>
          <w:tcPr>
            <w:tcW w:w="1440" w:type="dxa"/>
          </w:tcPr>
          <w:p w:rsidR="00745F6C" w:rsidRDefault="00745F6C" w:rsidP="00E15D0F">
            <w:pPr>
              <w:ind w:right="4"/>
              <w:jc w:val="center"/>
            </w:pPr>
            <w:r w:rsidRPr="009E744B">
              <w:rPr>
                <w:b/>
                <w:bCs/>
              </w:rPr>
              <w:t>(201</w:t>
            </w:r>
            <w:r w:rsidR="00E15D0F">
              <w:rPr>
                <w:b/>
                <w:bCs/>
              </w:rPr>
              <w:t>4</w:t>
            </w:r>
            <w:r w:rsidRPr="009E744B">
              <w:rPr>
                <w:b/>
                <w:bCs/>
              </w:rPr>
              <w:t>.gads)</w:t>
            </w:r>
          </w:p>
        </w:tc>
      </w:tr>
      <w:tr w:rsidR="00745F6C" w:rsidTr="001B1A87">
        <w:tc>
          <w:tcPr>
            <w:tcW w:w="2268" w:type="dxa"/>
            <w:vMerge/>
          </w:tcPr>
          <w:p w:rsidR="00745F6C" w:rsidRDefault="00745F6C" w:rsidP="001B1A87">
            <w:pPr>
              <w:jc w:val="both"/>
            </w:pPr>
          </w:p>
        </w:tc>
        <w:tc>
          <w:tcPr>
            <w:tcW w:w="1260" w:type="dxa"/>
          </w:tcPr>
          <w:p w:rsidR="00745F6C" w:rsidRDefault="00745F6C" w:rsidP="001B1A87">
            <w:pPr>
              <w:jc w:val="both"/>
            </w:pPr>
            <w:r>
              <w:t xml:space="preserve"> Saskaņā ar valsts </w:t>
            </w:r>
            <w:r>
              <w:lastRenderedPageBreak/>
              <w:t>budžetu kārtējam gadam</w:t>
            </w:r>
          </w:p>
        </w:tc>
        <w:tc>
          <w:tcPr>
            <w:tcW w:w="1440" w:type="dxa"/>
          </w:tcPr>
          <w:p w:rsidR="00745F6C" w:rsidRDefault="00745F6C" w:rsidP="001B1A87">
            <w:pPr>
              <w:ind w:left="-61"/>
              <w:jc w:val="both"/>
            </w:pPr>
            <w:r>
              <w:lastRenderedPageBreak/>
              <w:t> I</w:t>
            </w:r>
            <w:smartTag w:uri="urn:schemas-microsoft-com:office:smarttags" w:element="PersonName">
              <w:r>
                <w:t>zm</w:t>
              </w:r>
            </w:smartTag>
            <w:r>
              <w:t xml:space="preserve">aiņas kārtējā gadā, </w:t>
            </w:r>
            <w:r>
              <w:lastRenderedPageBreak/>
              <w:t>salīdzinot ar budžetu kārtējam gadam</w:t>
            </w:r>
          </w:p>
        </w:tc>
        <w:tc>
          <w:tcPr>
            <w:tcW w:w="1440" w:type="dxa"/>
          </w:tcPr>
          <w:p w:rsidR="00745F6C" w:rsidRDefault="00745F6C" w:rsidP="001B1A87">
            <w:pPr>
              <w:ind w:left="-108"/>
              <w:jc w:val="both"/>
            </w:pPr>
            <w:r>
              <w:lastRenderedPageBreak/>
              <w:t>I</w:t>
            </w:r>
            <w:smartTag w:uri="urn:schemas-microsoft-com:office:smarttags" w:element="PersonName">
              <w:r>
                <w:t>zm</w:t>
              </w:r>
            </w:smartTag>
            <w:r>
              <w:t xml:space="preserve">aiņas, salīdzinot ar </w:t>
            </w:r>
            <w:r>
              <w:lastRenderedPageBreak/>
              <w:t>kārtējo (n) gadu</w:t>
            </w:r>
          </w:p>
        </w:tc>
        <w:tc>
          <w:tcPr>
            <w:tcW w:w="1440" w:type="dxa"/>
          </w:tcPr>
          <w:p w:rsidR="00745F6C" w:rsidRDefault="00745F6C" w:rsidP="001B1A87">
            <w:pPr>
              <w:tabs>
                <w:tab w:val="left" w:pos="0"/>
              </w:tabs>
              <w:ind w:right="-108"/>
              <w:jc w:val="both"/>
            </w:pPr>
            <w:r>
              <w:lastRenderedPageBreak/>
              <w:t>I</w:t>
            </w:r>
            <w:smartTag w:uri="urn:schemas-microsoft-com:office:smarttags" w:element="PersonName">
              <w:r>
                <w:t>zm</w:t>
              </w:r>
            </w:smartTag>
            <w:r>
              <w:t xml:space="preserve">aiņas, salīdzinot ar </w:t>
            </w:r>
            <w:r>
              <w:lastRenderedPageBreak/>
              <w:t>kārtējo (n) gadu</w:t>
            </w:r>
          </w:p>
        </w:tc>
        <w:tc>
          <w:tcPr>
            <w:tcW w:w="1440" w:type="dxa"/>
          </w:tcPr>
          <w:p w:rsidR="00745F6C" w:rsidRDefault="00745F6C" w:rsidP="001B1A87">
            <w:pPr>
              <w:jc w:val="both"/>
            </w:pPr>
            <w:r>
              <w:lastRenderedPageBreak/>
              <w:t> I</w:t>
            </w:r>
            <w:smartTag w:uri="urn:schemas-microsoft-com:office:smarttags" w:element="PersonName">
              <w:r>
                <w:t>zm</w:t>
              </w:r>
            </w:smartTag>
            <w:r>
              <w:t xml:space="preserve">aiņas, salīdzinot ar </w:t>
            </w:r>
            <w:r>
              <w:lastRenderedPageBreak/>
              <w:t>kārtējo (n) gadu</w:t>
            </w:r>
          </w:p>
        </w:tc>
      </w:tr>
      <w:tr w:rsidR="00745F6C" w:rsidTr="001B1A87">
        <w:tc>
          <w:tcPr>
            <w:tcW w:w="2268" w:type="dxa"/>
          </w:tcPr>
          <w:p w:rsidR="00745F6C" w:rsidRDefault="00745F6C" w:rsidP="001B1A87">
            <w:pPr>
              <w:jc w:val="center"/>
            </w:pPr>
            <w:r>
              <w:lastRenderedPageBreak/>
              <w:t>1</w:t>
            </w:r>
          </w:p>
        </w:tc>
        <w:tc>
          <w:tcPr>
            <w:tcW w:w="1260" w:type="dxa"/>
          </w:tcPr>
          <w:p w:rsidR="00745F6C" w:rsidRDefault="00745F6C" w:rsidP="001B1A87">
            <w:pPr>
              <w:jc w:val="center"/>
            </w:pPr>
            <w:r>
              <w:t>2</w:t>
            </w:r>
          </w:p>
        </w:tc>
        <w:tc>
          <w:tcPr>
            <w:tcW w:w="1440" w:type="dxa"/>
          </w:tcPr>
          <w:p w:rsidR="00745F6C" w:rsidRDefault="00745F6C" w:rsidP="001B1A87">
            <w:pPr>
              <w:jc w:val="center"/>
            </w:pPr>
            <w:r>
              <w:t>3</w:t>
            </w:r>
          </w:p>
        </w:tc>
        <w:tc>
          <w:tcPr>
            <w:tcW w:w="1440" w:type="dxa"/>
          </w:tcPr>
          <w:p w:rsidR="00745F6C" w:rsidRDefault="00745F6C" w:rsidP="001B1A87">
            <w:pPr>
              <w:jc w:val="center"/>
            </w:pPr>
            <w:r>
              <w:t>4</w:t>
            </w:r>
          </w:p>
        </w:tc>
        <w:tc>
          <w:tcPr>
            <w:tcW w:w="1440" w:type="dxa"/>
          </w:tcPr>
          <w:p w:rsidR="00745F6C" w:rsidRDefault="00745F6C" w:rsidP="001B1A87">
            <w:pPr>
              <w:jc w:val="center"/>
            </w:pPr>
            <w:r>
              <w:t>5</w:t>
            </w:r>
          </w:p>
        </w:tc>
        <w:tc>
          <w:tcPr>
            <w:tcW w:w="1440" w:type="dxa"/>
          </w:tcPr>
          <w:p w:rsidR="00745F6C" w:rsidRDefault="00745F6C" w:rsidP="001B1A87">
            <w:pPr>
              <w:jc w:val="center"/>
            </w:pPr>
            <w:r>
              <w:t>6</w:t>
            </w:r>
          </w:p>
        </w:tc>
      </w:tr>
      <w:tr w:rsidR="00473B24" w:rsidTr="001B1A87">
        <w:tc>
          <w:tcPr>
            <w:tcW w:w="2268" w:type="dxa"/>
          </w:tcPr>
          <w:p w:rsidR="00473B24" w:rsidRDefault="00BE26C4" w:rsidP="001B1A87">
            <w:pPr>
              <w:jc w:val="both"/>
            </w:pPr>
            <w:r>
              <w:t>1.</w:t>
            </w:r>
            <w:r w:rsidR="00473B24">
              <w:t>Budžeta ieņēmumi:</w:t>
            </w:r>
          </w:p>
        </w:tc>
        <w:tc>
          <w:tcPr>
            <w:tcW w:w="1260" w:type="dxa"/>
          </w:tcPr>
          <w:p w:rsidR="00473B24" w:rsidRPr="00FF4349" w:rsidRDefault="006C2605" w:rsidP="008002D7">
            <w:pPr>
              <w:jc w:val="center"/>
              <w:rPr>
                <w:b/>
              </w:rPr>
            </w:pPr>
            <w:r w:rsidRPr="00FF4349">
              <w:rPr>
                <w:b/>
              </w:rPr>
              <w:t>2</w:t>
            </w:r>
            <w:r w:rsidR="0093766A" w:rsidRPr="00FF4349">
              <w:rPr>
                <w:b/>
              </w:rPr>
              <w:t>85 492,7</w:t>
            </w:r>
          </w:p>
        </w:tc>
        <w:tc>
          <w:tcPr>
            <w:tcW w:w="1440" w:type="dxa"/>
          </w:tcPr>
          <w:p w:rsidR="00473B24" w:rsidRPr="00FF4349" w:rsidRDefault="00473B24" w:rsidP="00473B24">
            <w:pPr>
              <w:jc w:val="center"/>
              <w:rPr>
                <w:b/>
              </w:rPr>
            </w:pPr>
            <w:r w:rsidRPr="00FF4349">
              <w:rPr>
                <w:b/>
              </w:rPr>
              <w:t>0</w:t>
            </w:r>
          </w:p>
        </w:tc>
        <w:tc>
          <w:tcPr>
            <w:tcW w:w="1440" w:type="dxa"/>
          </w:tcPr>
          <w:p w:rsidR="00473B24" w:rsidRPr="00FF4349" w:rsidRDefault="00473B24" w:rsidP="001B1A87">
            <w:pPr>
              <w:jc w:val="center"/>
            </w:pPr>
            <w:r w:rsidRPr="00FF4349">
              <w:t>0</w:t>
            </w:r>
          </w:p>
        </w:tc>
        <w:tc>
          <w:tcPr>
            <w:tcW w:w="1440" w:type="dxa"/>
          </w:tcPr>
          <w:p w:rsidR="00473B24" w:rsidRPr="00FF4349" w:rsidRDefault="00473B24" w:rsidP="001B1A87">
            <w:pPr>
              <w:jc w:val="center"/>
            </w:pPr>
            <w:r w:rsidRPr="00FF4349">
              <w:t>0</w:t>
            </w:r>
          </w:p>
        </w:tc>
        <w:tc>
          <w:tcPr>
            <w:tcW w:w="1440" w:type="dxa"/>
          </w:tcPr>
          <w:p w:rsidR="00473B24" w:rsidRPr="00FF4349" w:rsidRDefault="00473B24" w:rsidP="001B1A87">
            <w:pPr>
              <w:jc w:val="center"/>
            </w:pPr>
            <w:r w:rsidRPr="00FF4349">
              <w:t>0</w:t>
            </w:r>
          </w:p>
        </w:tc>
      </w:tr>
      <w:tr w:rsidR="00473B24" w:rsidTr="001B1A87">
        <w:tc>
          <w:tcPr>
            <w:tcW w:w="2268" w:type="dxa"/>
          </w:tcPr>
          <w:p w:rsidR="00473B24" w:rsidRDefault="00473B24" w:rsidP="001B1A87">
            <w:pPr>
              <w:jc w:val="both"/>
            </w:pPr>
            <w:r>
              <w:t>1.1. valsts pamatbudžets, tai skaitā ieņēmumi no maksas pakalpo-jumiem un citi pašu ieņēmumi</w:t>
            </w:r>
          </w:p>
        </w:tc>
        <w:tc>
          <w:tcPr>
            <w:tcW w:w="1260" w:type="dxa"/>
          </w:tcPr>
          <w:p w:rsidR="00473B24" w:rsidRPr="00FF4349" w:rsidRDefault="006C2605" w:rsidP="001B1A87">
            <w:pPr>
              <w:jc w:val="center"/>
            </w:pPr>
            <w:r w:rsidRPr="00FF4349">
              <w:t>2</w:t>
            </w:r>
            <w:r w:rsidR="0093766A" w:rsidRPr="00FF4349">
              <w:t>84 728,7</w:t>
            </w:r>
          </w:p>
          <w:p w:rsidR="006C2605" w:rsidRPr="00FF4349" w:rsidRDefault="006C2605" w:rsidP="001B1A87">
            <w:pPr>
              <w:jc w:val="center"/>
            </w:pPr>
          </w:p>
          <w:p w:rsidR="006C2605" w:rsidRPr="00FF4349" w:rsidRDefault="006C2605" w:rsidP="001B1A87">
            <w:pPr>
              <w:jc w:val="center"/>
            </w:pPr>
          </w:p>
          <w:p w:rsidR="006C2605" w:rsidRPr="00FB61AF" w:rsidRDefault="006C2605" w:rsidP="001B1A87">
            <w:pPr>
              <w:jc w:val="center"/>
            </w:pPr>
            <w:r w:rsidRPr="00FB61AF">
              <w:t>764,0</w:t>
            </w:r>
          </w:p>
        </w:tc>
        <w:tc>
          <w:tcPr>
            <w:tcW w:w="1440" w:type="dxa"/>
          </w:tcPr>
          <w:p w:rsidR="00473B24" w:rsidRPr="00FF4349" w:rsidRDefault="00473B24" w:rsidP="00473B24">
            <w:pPr>
              <w:jc w:val="center"/>
            </w:pPr>
            <w:r w:rsidRPr="00FF4349">
              <w:t>0</w:t>
            </w:r>
          </w:p>
        </w:tc>
        <w:tc>
          <w:tcPr>
            <w:tcW w:w="1440" w:type="dxa"/>
          </w:tcPr>
          <w:p w:rsidR="00473B24" w:rsidRPr="00FF4349" w:rsidRDefault="00473B24" w:rsidP="001B1A87">
            <w:pPr>
              <w:jc w:val="center"/>
            </w:pPr>
            <w:r w:rsidRPr="00FF4349">
              <w:t>0</w:t>
            </w:r>
          </w:p>
        </w:tc>
        <w:tc>
          <w:tcPr>
            <w:tcW w:w="1440" w:type="dxa"/>
          </w:tcPr>
          <w:p w:rsidR="00473B24" w:rsidRPr="00FF4349" w:rsidRDefault="00473B24" w:rsidP="001B1A87">
            <w:pPr>
              <w:jc w:val="center"/>
            </w:pPr>
            <w:r w:rsidRPr="00FF4349">
              <w:t>0</w:t>
            </w:r>
          </w:p>
        </w:tc>
        <w:tc>
          <w:tcPr>
            <w:tcW w:w="1440" w:type="dxa"/>
          </w:tcPr>
          <w:p w:rsidR="00473B24" w:rsidRPr="00FF4349" w:rsidRDefault="00473B24" w:rsidP="001B1A87">
            <w:pPr>
              <w:jc w:val="center"/>
            </w:pPr>
            <w:r w:rsidRPr="00FF4349">
              <w:t>0</w:t>
            </w:r>
          </w:p>
        </w:tc>
      </w:tr>
      <w:tr w:rsidR="00745F6C" w:rsidTr="001B1A87">
        <w:tc>
          <w:tcPr>
            <w:tcW w:w="2268" w:type="dxa"/>
          </w:tcPr>
          <w:p w:rsidR="00745F6C" w:rsidRDefault="00745F6C" w:rsidP="001B1A87">
            <w:pPr>
              <w:jc w:val="both"/>
            </w:pPr>
            <w:r>
              <w:t>1.2. valsts speciālais budžets</w:t>
            </w:r>
          </w:p>
        </w:tc>
        <w:tc>
          <w:tcPr>
            <w:tcW w:w="1260" w:type="dxa"/>
          </w:tcPr>
          <w:p w:rsidR="00745F6C" w:rsidRPr="00FF4349" w:rsidRDefault="00721A59" w:rsidP="001B1A87">
            <w:pPr>
              <w:jc w:val="center"/>
            </w:pPr>
            <w:r w:rsidRPr="00FF4349">
              <w:t>0</w:t>
            </w:r>
          </w:p>
        </w:tc>
        <w:tc>
          <w:tcPr>
            <w:tcW w:w="1440" w:type="dxa"/>
          </w:tcPr>
          <w:p w:rsidR="00745F6C" w:rsidRPr="00FF4349" w:rsidRDefault="00721A59" w:rsidP="001B1A87">
            <w:pPr>
              <w:jc w:val="center"/>
            </w:pPr>
            <w:r w:rsidRPr="00FF4349">
              <w:t>0</w:t>
            </w:r>
          </w:p>
        </w:tc>
        <w:tc>
          <w:tcPr>
            <w:tcW w:w="1440" w:type="dxa"/>
          </w:tcPr>
          <w:p w:rsidR="00745F6C" w:rsidRPr="00FF4349" w:rsidRDefault="00721A59" w:rsidP="001B1A87">
            <w:pPr>
              <w:jc w:val="center"/>
            </w:pPr>
            <w:r w:rsidRPr="00FF4349">
              <w:t>0</w:t>
            </w:r>
          </w:p>
        </w:tc>
        <w:tc>
          <w:tcPr>
            <w:tcW w:w="1440" w:type="dxa"/>
          </w:tcPr>
          <w:p w:rsidR="00745F6C" w:rsidRPr="00FF4349" w:rsidRDefault="00721A59" w:rsidP="001B1A87">
            <w:pPr>
              <w:jc w:val="center"/>
            </w:pPr>
            <w:r w:rsidRPr="00FF4349">
              <w:t>0</w:t>
            </w:r>
          </w:p>
        </w:tc>
        <w:tc>
          <w:tcPr>
            <w:tcW w:w="1440" w:type="dxa"/>
          </w:tcPr>
          <w:p w:rsidR="00745F6C" w:rsidRPr="00FF4349" w:rsidRDefault="00721A59" w:rsidP="001B1A87">
            <w:pPr>
              <w:jc w:val="center"/>
            </w:pPr>
            <w:r w:rsidRPr="00FF4349">
              <w:t>0</w:t>
            </w:r>
          </w:p>
        </w:tc>
      </w:tr>
      <w:tr w:rsidR="00745F6C" w:rsidTr="001B1A87">
        <w:tc>
          <w:tcPr>
            <w:tcW w:w="2268" w:type="dxa"/>
          </w:tcPr>
          <w:p w:rsidR="00745F6C" w:rsidRDefault="00745F6C" w:rsidP="001B1A87">
            <w:pPr>
              <w:jc w:val="both"/>
            </w:pPr>
            <w:r>
              <w:t>1.3. pašvaldību budžets</w:t>
            </w:r>
          </w:p>
        </w:tc>
        <w:tc>
          <w:tcPr>
            <w:tcW w:w="1260" w:type="dxa"/>
          </w:tcPr>
          <w:p w:rsidR="00745F6C" w:rsidRPr="00FF4349" w:rsidRDefault="00721A59" w:rsidP="001B1A87">
            <w:pPr>
              <w:jc w:val="center"/>
            </w:pPr>
            <w:r w:rsidRPr="00FF4349">
              <w:t>0</w:t>
            </w:r>
          </w:p>
        </w:tc>
        <w:tc>
          <w:tcPr>
            <w:tcW w:w="1440" w:type="dxa"/>
          </w:tcPr>
          <w:p w:rsidR="00745F6C" w:rsidRPr="00FF4349" w:rsidRDefault="00721A59" w:rsidP="001B1A87">
            <w:pPr>
              <w:jc w:val="center"/>
            </w:pPr>
            <w:r w:rsidRPr="00FF4349">
              <w:t>0</w:t>
            </w:r>
          </w:p>
        </w:tc>
        <w:tc>
          <w:tcPr>
            <w:tcW w:w="1440" w:type="dxa"/>
          </w:tcPr>
          <w:p w:rsidR="00745F6C" w:rsidRPr="00FF4349" w:rsidRDefault="00721A59" w:rsidP="001B1A87">
            <w:pPr>
              <w:jc w:val="center"/>
            </w:pPr>
            <w:r w:rsidRPr="00FF4349">
              <w:t>0</w:t>
            </w:r>
          </w:p>
        </w:tc>
        <w:tc>
          <w:tcPr>
            <w:tcW w:w="1440" w:type="dxa"/>
          </w:tcPr>
          <w:p w:rsidR="00745F6C" w:rsidRPr="00FF4349" w:rsidRDefault="00721A59" w:rsidP="001B1A87">
            <w:pPr>
              <w:jc w:val="center"/>
            </w:pPr>
            <w:r w:rsidRPr="00FF4349">
              <w:t>0</w:t>
            </w:r>
          </w:p>
        </w:tc>
        <w:tc>
          <w:tcPr>
            <w:tcW w:w="1440" w:type="dxa"/>
          </w:tcPr>
          <w:p w:rsidR="00745F6C" w:rsidRPr="00FF4349" w:rsidRDefault="00721A59" w:rsidP="001B1A87">
            <w:pPr>
              <w:jc w:val="center"/>
            </w:pPr>
            <w:r w:rsidRPr="00FF4349">
              <w:t>0</w:t>
            </w:r>
          </w:p>
        </w:tc>
      </w:tr>
      <w:tr w:rsidR="00473B24" w:rsidTr="001B1A87">
        <w:tc>
          <w:tcPr>
            <w:tcW w:w="2268" w:type="dxa"/>
          </w:tcPr>
          <w:p w:rsidR="00473B24" w:rsidRDefault="00473B24" w:rsidP="001B1A87">
            <w:pPr>
              <w:jc w:val="both"/>
            </w:pPr>
            <w:r>
              <w:t>2. Budžeta izdevumi:</w:t>
            </w:r>
          </w:p>
        </w:tc>
        <w:tc>
          <w:tcPr>
            <w:tcW w:w="1260" w:type="dxa"/>
          </w:tcPr>
          <w:p w:rsidR="00473B24" w:rsidRPr="00FF4349" w:rsidRDefault="006C2605" w:rsidP="0093766A">
            <w:pPr>
              <w:jc w:val="center"/>
              <w:rPr>
                <w:b/>
              </w:rPr>
            </w:pPr>
            <w:r w:rsidRPr="00FF4349">
              <w:rPr>
                <w:b/>
              </w:rPr>
              <w:t>2</w:t>
            </w:r>
            <w:r w:rsidR="0093766A" w:rsidRPr="00FF4349">
              <w:rPr>
                <w:b/>
              </w:rPr>
              <w:t>85 835,5</w:t>
            </w:r>
          </w:p>
        </w:tc>
        <w:tc>
          <w:tcPr>
            <w:tcW w:w="1440" w:type="dxa"/>
          </w:tcPr>
          <w:p w:rsidR="00473B24" w:rsidRPr="00A4798A" w:rsidRDefault="00473B24" w:rsidP="00BE26C4">
            <w:pPr>
              <w:jc w:val="center"/>
              <w:rPr>
                <w:b/>
              </w:rPr>
            </w:pPr>
            <w:r w:rsidRPr="00A4798A">
              <w:rPr>
                <w:b/>
              </w:rPr>
              <w:t xml:space="preserve"> </w:t>
            </w:r>
            <w:r w:rsidR="00BE26C4" w:rsidRPr="00A4798A">
              <w:rPr>
                <w:b/>
              </w:rPr>
              <w:t>2 216,2</w:t>
            </w:r>
          </w:p>
        </w:tc>
        <w:tc>
          <w:tcPr>
            <w:tcW w:w="1440" w:type="dxa"/>
          </w:tcPr>
          <w:p w:rsidR="00473B24" w:rsidRPr="00FF4349" w:rsidRDefault="00473B24" w:rsidP="001B1A87">
            <w:pPr>
              <w:jc w:val="center"/>
            </w:pPr>
            <w:r w:rsidRPr="00FF4349">
              <w:t>0</w:t>
            </w:r>
          </w:p>
        </w:tc>
        <w:tc>
          <w:tcPr>
            <w:tcW w:w="1440" w:type="dxa"/>
          </w:tcPr>
          <w:p w:rsidR="00473B24" w:rsidRPr="00FF4349" w:rsidRDefault="00473B24" w:rsidP="001B1A87">
            <w:pPr>
              <w:jc w:val="center"/>
            </w:pPr>
            <w:r w:rsidRPr="00FF4349">
              <w:t>0</w:t>
            </w:r>
          </w:p>
        </w:tc>
        <w:tc>
          <w:tcPr>
            <w:tcW w:w="1440" w:type="dxa"/>
          </w:tcPr>
          <w:p w:rsidR="00473B24" w:rsidRPr="00FF4349" w:rsidRDefault="00473B24" w:rsidP="001B1A87">
            <w:pPr>
              <w:jc w:val="center"/>
            </w:pPr>
            <w:r w:rsidRPr="00FF4349">
              <w:t>0</w:t>
            </w:r>
          </w:p>
        </w:tc>
      </w:tr>
      <w:tr w:rsidR="00473B24" w:rsidTr="001B1A87">
        <w:tc>
          <w:tcPr>
            <w:tcW w:w="2268" w:type="dxa"/>
          </w:tcPr>
          <w:p w:rsidR="00473B24" w:rsidRDefault="00473B24" w:rsidP="001B1A87">
            <w:pPr>
              <w:jc w:val="both"/>
            </w:pPr>
            <w:r>
              <w:t>2.1. valsts pamatbudžets</w:t>
            </w:r>
          </w:p>
        </w:tc>
        <w:tc>
          <w:tcPr>
            <w:tcW w:w="1260" w:type="dxa"/>
          </w:tcPr>
          <w:p w:rsidR="00473B24" w:rsidRPr="00FF4349" w:rsidRDefault="00FF76C8" w:rsidP="00473B24">
            <w:pPr>
              <w:jc w:val="center"/>
            </w:pPr>
            <w:r w:rsidRPr="00FF4349">
              <w:t>2</w:t>
            </w:r>
            <w:r w:rsidR="0093766A" w:rsidRPr="00FF4349">
              <w:t>85 835,5</w:t>
            </w:r>
          </w:p>
        </w:tc>
        <w:tc>
          <w:tcPr>
            <w:tcW w:w="1440" w:type="dxa"/>
          </w:tcPr>
          <w:p w:rsidR="00473B24" w:rsidRPr="00FB61AF" w:rsidRDefault="00BE26C4" w:rsidP="00473B24">
            <w:pPr>
              <w:jc w:val="center"/>
            </w:pPr>
            <w:r w:rsidRPr="00FB61AF">
              <w:t>2 216,2</w:t>
            </w:r>
          </w:p>
        </w:tc>
        <w:tc>
          <w:tcPr>
            <w:tcW w:w="1440" w:type="dxa"/>
          </w:tcPr>
          <w:p w:rsidR="00473B24" w:rsidRPr="00FF4349" w:rsidRDefault="00473B24" w:rsidP="001B1A87">
            <w:pPr>
              <w:jc w:val="center"/>
            </w:pPr>
            <w:r w:rsidRPr="00FF4349">
              <w:t>0</w:t>
            </w:r>
          </w:p>
        </w:tc>
        <w:tc>
          <w:tcPr>
            <w:tcW w:w="1440" w:type="dxa"/>
          </w:tcPr>
          <w:p w:rsidR="00473B24" w:rsidRPr="00FF4349" w:rsidRDefault="00473B24" w:rsidP="001B1A87">
            <w:pPr>
              <w:jc w:val="center"/>
            </w:pPr>
            <w:r w:rsidRPr="00FF4349">
              <w:t>0</w:t>
            </w:r>
          </w:p>
        </w:tc>
        <w:tc>
          <w:tcPr>
            <w:tcW w:w="1440" w:type="dxa"/>
          </w:tcPr>
          <w:p w:rsidR="00473B24" w:rsidRPr="00FF4349" w:rsidRDefault="00473B24" w:rsidP="001B1A87">
            <w:pPr>
              <w:jc w:val="center"/>
            </w:pPr>
            <w:r w:rsidRPr="00FF4349">
              <w:t>0</w:t>
            </w:r>
          </w:p>
        </w:tc>
      </w:tr>
      <w:tr w:rsidR="00473B24" w:rsidTr="001B1A87">
        <w:tc>
          <w:tcPr>
            <w:tcW w:w="2268" w:type="dxa"/>
          </w:tcPr>
          <w:p w:rsidR="00473B24" w:rsidRDefault="00473B24" w:rsidP="001B1A87">
            <w:pPr>
              <w:jc w:val="both"/>
            </w:pPr>
            <w:r>
              <w:t>2.2. valsts speciālais budžets</w:t>
            </w:r>
          </w:p>
        </w:tc>
        <w:tc>
          <w:tcPr>
            <w:tcW w:w="1260" w:type="dxa"/>
          </w:tcPr>
          <w:p w:rsidR="00473B24" w:rsidRPr="00FF4349" w:rsidRDefault="00473B24" w:rsidP="00473B24">
            <w:pPr>
              <w:jc w:val="center"/>
            </w:pPr>
            <w:r w:rsidRPr="00FF4349">
              <w:t>0</w:t>
            </w:r>
          </w:p>
        </w:tc>
        <w:tc>
          <w:tcPr>
            <w:tcW w:w="1440" w:type="dxa"/>
          </w:tcPr>
          <w:p w:rsidR="00473B24" w:rsidRPr="00FB61AF" w:rsidRDefault="00473B24" w:rsidP="00473B24">
            <w:pPr>
              <w:jc w:val="center"/>
            </w:pPr>
            <w:r w:rsidRPr="00FB61AF">
              <w:t>0</w:t>
            </w:r>
          </w:p>
        </w:tc>
        <w:tc>
          <w:tcPr>
            <w:tcW w:w="1440" w:type="dxa"/>
          </w:tcPr>
          <w:p w:rsidR="00473B24" w:rsidRPr="00FF4349" w:rsidRDefault="00473B24" w:rsidP="001B1A87">
            <w:pPr>
              <w:jc w:val="center"/>
            </w:pPr>
            <w:r w:rsidRPr="00FF4349">
              <w:t>0</w:t>
            </w:r>
          </w:p>
        </w:tc>
        <w:tc>
          <w:tcPr>
            <w:tcW w:w="1440" w:type="dxa"/>
          </w:tcPr>
          <w:p w:rsidR="00473B24" w:rsidRPr="00FF4349" w:rsidRDefault="00473B24" w:rsidP="001B1A87">
            <w:pPr>
              <w:jc w:val="center"/>
            </w:pPr>
            <w:r w:rsidRPr="00FF4349">
              <w:t>0</w:t>
            </w:r>
          </w:p>
        </w:tc>
        <w:tc>
          <w:tcPr>
            <w:tcW w:w="1440" w:type="dxa"/>
          </w:tcPr>
          <w:p w:rsidR="00473B24" w:rsidRPr="00FF4349" w:rsidRDefault="00473B24" w:rsidP="001B1A87">
            <w:pPr>
              <w:jc w:val="center"/>
            </w:pPr>
            <w:r w:rsidRPr="00FF4349">
              <w:t>0</w:t>
            </w:r>
          </w:p>
        </w:tc>
      </w:tr>
      <w:tr w:rsidR="00473B24" w:rsidTr="001B1A87">
        <w:tc>
          <w:tcPr>
            <w:tcW w:w="2268" w:type="dxa"/>
          </w:tcPr>
          <w:p w:rsidR="00473B24" w:rsidRDefault="00473B24" w:rsidP="001B1A87">
            <w:pPr>
              <w:jc w:val="both"/>
            </w:pPr>
            <w:r>
              <w:t>2.3. pašvaldību budžets</w:t>
            </w:r>
          </w:p>
        </w:tc>
        <w:tc>
          <w:tcPr>
            <w:tcW w:w="1260" w:type="dxa"/>
          </w:tcPr>
          <w:p w:rsidR="00473B24" w:rsidRPr="00FF4349" w:rsidRDefault="00473B24" w:rsidP="00473B24">
            <w:pPr>
              <w:jc w:val="center"/>
            </w:pPr>
            <w:r w:rsidRPr="00FF4349">
              <w:t>0</w:t>
            </w:r>
          </w:p>
        </w:tc>
        <w:tc>
          <w:tcPr>
            <w:tcW w:w="1440" w:type="dxa"/>
          </w:tcPr>
          <w:p w:rsidR="00473B24" w:rsidRPr="00FB61AF" w:rsidRDefault="00473B24" w:rsidP="00473B24">
            <w:pPr>
              <w:jc w:val="center"/>
            </w:pPr>
            <w:r w:rsidRPr="00FB61AF">
              <w:t>0</w:t>
            </w:r>
          </w:p>
        </w:tc>
        <w:tc>
          <w:tcPr>
            <w:tcW w:w="1440" w:type="dxa"/>
          </w:tcPr>
          <w:p w:rsidR="00473B24" w:rsidRPr="00FF4349" w:rsidRDefault="00473B24" w:rsidP="001B1A87">
            <w:pPr>
              <w:jc w:val="center"/>
            </w:pPr>
            <w:r w:rsidRPr="00FF4349">
              <w:t>0</w:t>
            </w:r>
          </w:p>
        </w:tc>
        <w:tc>
          <w:tcPr>
            <w:tcW w:w="1440" w:type="dxa"/>
          </w:tcPr>
          <w:p w:rsidR="00473B24" w:rsidRPr="00FF4349" w:rsidRDefault="00473B24" w:rsidP="001B1A87">
            <w:pPr>
              <w:jc w:val="center"/>
            </w:pPr>
            <w:r w:rsidRPr="00FF4349">
              <w:t>0</w:t>
            </w:r>
          </w:p>
        </w:tc>
        <w:tc>
          <w:tcPr>
            <w:tcW w:w="1440" w:type="dxa"/>
          </w:tcPr>
          <w:p w:rsidR="00473B24" w:rsidRPr="00FF4349" w:rsidRDefault="00473B24" w:rsidP="001B1A87">
            <w:pPr>
              <w:jc w:val="center"/>
            </w:pPr>
            <w:r w:rsidRPr="00FF4349">
              <w:t>0</w:t>
            </w:r>
          </w:p>
        </w:tc>
      </w:tr>
      <w:tr w:rsidR="00BE26C4" w:rsidTr="001B1A87">
        <w:tc>
          <w:tcPr>
            <w:tcW w:w="2268" w:type="dxa"/>
          </w:tcPr>
          <w:p w:rsidR="00BE26C4" w:rsidRDefault="00BE26C4" w:rsidP="001B1A87">
            <w:pPr>
              <w:jc w:val="both"/>
            </w:pPr>
            <w:r>
              <w:t>3. Finansiālā ietekme:</w:t>
            </w:r>
          </w:p>
        </w:tc>
        <w:tc>
          <w:tcPr>
            <w:tcW w:w="1260" w:type="dxa"/>
          </w:tcPr>
          <w:p w:rsidR="00BE26C4" w:rsidRPr="00FF4349" w:rsidRDefault="00BE26C4" w:rsidP="00473B24">
            <w:pPr>
              <w:jc w:val="center"/>
              <w:rPr>
                <w:b/>
              </w:rPr>
            </w:pPr>
            <w:r w:rsidRPr="00FF4349">
              <w:rPr>
                <w:b/>
              </w:rPr>
              <w:t>-342,8</w:t>
            </w:r>
          </w:p>
        </w:tc>
        <w:tc>
          <w:tcPr>
            <w:tcW w:w="1440" w:type="dxa"/>
          </w:tcPr>
          <w:p w:rsidR="00BE26C4" w:rsidRPr="00FB61AF" w:rsidRDefault="00BE26C4" w:rsidP="00A4798A">
            <w:pPr>
              <w:jc w:val="center"/>
              <w:rPr>
                <w:b/>
              </w:rPr>
            </w:pPr>
            <w:r w:rsidRPr="00FB61AF">
              <w:rPr>
                <w:b/>
              </w:rPr>
              <w:t xml:space="preserve"> - 2 216,2</w:t>
            </w:r>
          </w:p>
        </w:tc>
        <w:tc>
          <w:tcPr>
            <w:tcW w:w="1440" w:type="dxa"/>
          </w:tcPr>
          <w:p w:rsidR="00BE26C4" w:rsidRPr="00FF4349" w:rsidRDefault="00BE26C4" w:rsidP="001B1A87">
            <w:pPr>
              <w:jc w:val="center"/>
            </w:pPr>
            <w:r w:rsidRPr="00FF4349">
              <w:t>0</w:t>
            </w:r>
          </w:p>
        </w:tc>
        <w:tc>
          <w:tcPr>
            <w:tcW w:w="1440" w:type="dxa"/>
          </w:tcPr>
          <w:p w:rsidR="00BE26C4" w:rsidRPr="00FF4349" w:rsidRDefault="00BE26C4" w:rsidP="001B1A87">
            <w:pPr>
              <w:jc w:val="center"/>
            </w:pPr>
            <w:r w:rsidRPr="00FF4349">
              <w:t>0</w:t>
            </w:r>
          </w:p>
        </w:tc>
        <w:tc>
          <w:tcPr>
            <w:tcW w:w="1440" w:type="dxa"/>
          </w:tcPr>
          <w:p w:rsidR="00BE26C4" w:rsidRPr="00FF4349" w:rsidRDefault="00BE26C4" w:rsidP="001B1A87">
            <w:pPr>
              <w:jc w:val="center"/>
            </w:pPr>
            <w:r w:rsidRPr="00FF4349">
              <w:t>0</w:t>
            </w:r>
          </w:p>
        </w:tc>
      </w:tr>
      <w:tr w:rsidR="00BE26C4" w:rsidTr="001B1A87">
        <w:tc>
          <w:tcPr>
            <w:tcW w:w="2268" w:type="dxa"/>
          </w:tcPr>
          <w:p w:rsidR="00BE26C4" w:rsidRDefault="00BE26C4" w:rsidP="001B1A87">
            <w:pPr>
              <w:jc w:val="both"/>
            </w:pPr>
            <w:r>
              <w:t>3.1. valsts pamatbudžets</w:t>
            </w:r>
          </w:p>
        </w:tc>
        <w:tc>
          <w:tcPr>
            <w:tcW w:w="1260" w:type="dxa"/>
          </w:tcPr>
          <w:p w:rsidR="00BE26C4" w:rsidRPr="00FF4349" w:rsidRDefault="00BE26C4" w:rsidP="00473B24">
            <w:pPr>
              <w:jc w:val="center"/>
            </w:pPr>
            <w:r w:rsidRPr="00FF4349">
              <w:t>- 342,8</w:t>
            </w:r>
          </w:p>
        </w:tc>
        <w:tc>
          <w:tcPr>
            <w:tcW w:w="1440" w:type="dxa"/>
          </w:tcPr>
          <w:p w:rsidR="00BE26C4" w:rsidRPr="00FB61AF" w:rsidRDefault="00BE26C4" w:rsidP="00A4798A">
            <w:pPr>
              <w:jc w:val="center"/>
              <w:rPr>
                <w:i/>
              </w:rPr>
            </w:pPr>
            <w:r w:rsidRPr="00FB61AF">
              <w:rPr>
                <w:i/>
              </w:rPr>
              <w:t>- 2 216,2</w:t>
            </w:r>
          </w:p>
        </w:tc>
        <w:tc>
          <w:tcPr>
            <w:tcW w:w="1440" w:type="dxa"/>
          </w:tcPr>
          <w:p w:rsidR="00BE26C4" w:rsidRPr="00FF4349" w:rsidRDefault="00BE26C4" w:rsidP="001B1A87">
            <w:pPr>
              <w:jc w:val="center"/>
            </w:pPr>
            <w:r w:rsidRPr="00FF4349">
              <w:t>0</w:t>
            </w:r>
          </w:p>
        </w:tc>
        <w:tc>
          <w:tcPr>
            <w:tcW w:w="1440" w:type="dxa"/>
          </w:tcPr>
          <w:p w:rsidR="00BE26C4" w:rsidRPr="00FF4349" w:rsidRDefault="00BE26C4" w:rsidP="001B1A87">
            <w:pPr>
              <w:jc w:val="center"/>
            </w:pPr>
            <w:r w:rsidRPr="00FF4349">
              <w:t>0</w:t>
            </w:r>
          </w:p>
        </w:tc>
        <w:tc>
          <w:tcPr>
            <w:tcW w:w="1440" w:type="dxa"/>
          </w:tcPr>
          <w:p w:rsidR="00BE26C4" w:rsidRPr="00FF4349" w:rsidRDefault="00BE26C4" w:rsidP="001B1A87">
            <w:pPr>
              <w:jc w:val="center"/>
            </w:pPr>
            <w:r w:rsidRPr="00FF4349">
              <w:t>0</w:t>
            </w:r>
          </w:p>
        </w:tc>
      </w:tr>
      <w:tr w:rsidR="00745F6C" w:rsidTr="001B1A87">
        <w:tc>
          <w:tcPr>
            <w:tcW w:w="2268" w:type="dxa"/>
          </w:tcPr>
          <w:p w:rsidR="00745F6C" w:rsidRDefault="00745F6C" w:rsidP="001B1A87">
            <w:pPr>
              <w:jc w:val="both"/>
            </w:pPr>
            <w:r>
              <w:t>3.2. speciālais budžets</w:t>
            </w:r>
          </w:p>
        </w:tc>
        <w:tc>
          <w:tcPr>
            <w:tcW w:w="1260" w:type="dxa"/>
          </w:tcPr>
          <w:p w:rsidR="00745F6C" w:rsidRPr="00FF4349" w:rsidRDefault="00721A59" w:rsidP="001B1A87">
            <w:pPr>
              <w:jc w:val="center"/>
            </w:pPr>
            <w:r w:rsidRPr="00FF4349">
              <w:t>0</w:t>
            </w:r>
          </w:p>
        </w:tc>
        <w:tc>
          <w:tcPr>
            <w:tcW w:w="1440" w:type="dxa"/>
          </w:tcPr>
          <w:p w:rsidR="00745F6C" w:rsidRPr="00FB61AF" w:rsidRDefault="00721A59" w:rsidP="001B1A87">
            <w:pPr>
              <w:jc w:val="center"/>
            </w:pPr>
            <w:r w:rsidRPr="00FB61AF">
              <w:t>0</w:t>
            </w:r>
          </w:p>
        </w:tc>
        <w:tc>
          <w:tcPr>
            <w:tcW w:w="1440" w:type="dxa"/>
          </w:tcPr>
          <w:p w:rsidR="00745F6C" w:rsidRPr="00FF4349" w:rsidRDefault="00721A59" w:rsidP="001B1A87">
            <w:pPr>
              <w:jc w:val="center"/>
            </w:pPr>
            <w:r w:rsidRPr="00FF4349">
              <w:t>0</w:t>
            </w:r>
          </w:p>
        </w:tc>
        <w:tc>
          <w:tcPr>
            <w:tcW w:w="1440" w:type="dxa"/>
          </w:tcPr>
          <w:p w:rsidR="00745F6C" w:rsidRPr="00FF4349" w:rsidRDefault="00721A59" w:rsidP="001B1A87">
            <w:pPr>
              <w:jc w:val="center"/>
            </w:pPr>
            <w:r w:rsidRPr="00FF4349">
              <w:t>0</w:t>
            </w:r>
          </w:p>
        </w:tc>
        <w:tc>
          <w:tcPr>
            <w:tcW w:w="1440" w:type="dxa"/>
          </w:tcPr>
          <w:p w:rsidR="00745F6C" w:rsidRPr="00FF4349" w:rsidRDefault="00721A59" w:rsidP="001B1A87">
            <w:pPr>
              <w:jc w:val="center"/>
            </w:pPr>
            <w:r w:rsidRPr="00FF4349">
              <w:t>0</w:t>
            </w:r>
          </w:p>
        </w:tc>
      </w:tr>
      <w:tr w:rsidR="00745F6C" w:rsidTr="001B1A87">
        <w:tc>
          <w:tcPr>
            <w:tcW w:w="2268" w:type="dxa"/>
          </w:tcPr>
          <w:p w:rsidR="00745F6C" w:rsidRDefault="00745F6C" w:rsidP="001B1A87">
            <w:pPr>
              <w:jc w:val="both"/>
            </w:pPr>
            <w:r>
              <w:t>3.3. pašvaldību budžets</w:t>
            </w:r>
          </w:p>
        </w:tc>
        <w:tc>
          <w:tcPr>
            <w:tcW w:w="1260" w:type="dxa"/>
          </w:tcPr>
          <w:p w:rsidR="00745F6C" w:rsidRPr="00FF4349" w:rsidRDefault="00721A59" w:rsidP="001B1A87">
            <w:pPr>
              <w:jc w:val="center"/>
            </w:pPr>
            <w:r w:rsidRPr="00FF4349">
              <w:t>0</w:t>
            </w:r>
          </w:p>
        </w:tc>
        <w:tc>
          <w:tcPr>
            <w:tcW w:w="1440" w:type="dxa"/>
          </w:tcPr>
          <w:p w:rsidR="00745F6C" w:rsidRPr="00FB61AF" w:rsidRDefault="00721A59" w:rsidP="001B1A87">
            <w:pPr>
              <w:jc w:val="center"/>
            </w:pPr>
            <w:r w:rsidRPr="00FB61AF">
              <w:t>0</w:t>
            </w:r>
          </w:p>
        </w:tc>
        <w:tc>
          <w:tcPr>
            <w:tcW w:w="1440" w:type="dxa"/>
          </w:tcPr>
          <w:p w:rsidR="00745F6C" w:rsidRPr="00FF4349" w:rsidRDefault="00721A59" w:rsidP="001B1A87">
            <w:pPr>
              <w:jc w:val="center"/>
            </w:pPr>
            <w:r w:rsidRPr="00FF4349">
              <w:t>0</w:t>
            </w:r>
          </w:p>
        </w:tc>
        <w:tc>
          <w:tcPr>
            <w:tcW w:w="1440" w:type="dxa"/>
          </w:tcPr>
          <w:p w:rsidR="00745F6C" w:rsidRPr="00FF4349" w:rsidRDefault="00721A59" w:rsidP="001B1A87">
            <w:pPr>
              <w:jc w:val="center"/>
            </w:pPr>
            <w:r w:rsidRPr="00FF4349">
              <w:t>0</w:t>
            </w:r>
          </w:p>
        </w:tc>
        <w:tc>
          <w:tcPr>
            <w:tcW w:w="1440" w:type="dxa"/>
          </w:tcPr>
          <w:p w:rsidR="00745F6C" w:rsidRPr="00FF4349" w:rsidRDefault="00721A59" w:rsidP="001B1A87">
            <w:pPr>
              <w:jc w:val="center"/>
            </w:pPr>
            <w:r w:rsidRPr="00FF4349">
              <w:t>0</w:t>
            </w:r>
          </w:p>
        </w:tc>
      </w:tr>
      <w:tr w:rsidR="006B3292" w:rsidTr="006B3292">
        <w:trPr>
          <w:trHeight w:val="1932"/>
        </w:trPr>
        <w:tc>
          <w:tcPr>
            <w:tcW w:w="2268" w:type="dxa"/>
          </w:tcPr>
          <w:p w:rsidR="006B3292" w:rsidRDefault="006B3292" w:rsidP="001B1A87">
            <w:pPr>
              <w:jc w:val="both"/>
            </w:pPr>
            <w:r>
              <w:t>4. Finanšu līdzekļi papildu izde</w:t>
            </w:r>
            <w:r>
              <w:softHyphen/>
              <w:t>vumu finansēšanai (kompensējošu izdevumu samazinājumu norāda ar "+" zīmi)</w:t>
            </w:r>
          </w:p>
        </w:tc>
        <w:tc>
          <w:tcPr>
            <w:tcW w:w="1260" w:type="dxa"/>
          </w:tcPr>
          <w:p w:rsidR="006B3292" w:rsidRPr="00FF4349" w:rsidRDefault="006B3292" w:rsidP="001B1A87">
            <w:pPr>
              <w:jc w:val="center"/>
            </w:pPr>
            <w:r w:rsidRPr="00FF4349">
              <w:t>X</w:t>
            </w:r>
          </w:p>
        </w:tc>
        <w:tc>
          <w:tcPr>
            <w:tcW w:w="1440" w:type="dxa"/>
          </w:tcPr>
          <w:p w:rsidR="006B3292" w:rsidRPr="00FB61AF" w:rsidRDefault="00FB61AF" w:rsidP="00473B24">
            <w:pPr>
              <w:jc w:val="center"/>
              <w:rPr>
                <w:i/>
              </w:rPr>
            </w:pPr>
            <w:r w:rsidRPr="00FB61AF">
              <w:rPr>
                <w:b/>
              </w:rPr>
              <w:t>2 216,2</w:t>
            </w:r>
          </w:p>
          <w:p w:rsidR="006B3292" w:rsidRPr="00FB61AF" w:rsidRDefault="006B3292" w:rsidP="00473B24">
            <w:pPr>
              <w:jc w:val="center"/>
              <w:rPr>
                <w:b/>
              </w:rPr>
            </w:pPr>
          </w:p>
        </w:tc>
        <w:tc>
          <w:tcPr>
            <w:tcW w:w="1440" w:type="dxa"/>
          </w:tcPr>
          <w:p w:rsidR="006B3292" w:rsidRPr="00FF4349" w:rsidRDefault="006B3292" w:rsidP="001B1A87">
            <w:pPr>
              <w:jc w:val="center"/>
            </w:pPr>
            <w:r w:rsidRPr="00FF4349">
              <w:t>0</w:t>
            </w:r>
          </w:p>
          <w:p w:rsidR="006B3292" w:rsidRPr="00FF4349" w:rsidRDefault="006B3292" w:rsidP="001B1A87">
            <w:pPr>
              <w:jc w:val="center"/>
            </w:pPr>
          </w:p>
        </w:tc>
        <w:tc>
          <w:tcPr>
            <w:tcW w:w="1440" w:type="dxa"/>
          </w:tcPr>
          <w:p w:rsidR="006B3292" w:rsidRPr="00FF4349" w:rsidRDefault="006B3292" w:rsidP="001B1A87">
            <w:pPr>
              <w:jc w:val="center"/>
            </w:pPr>
            <w:r w:rsidRPr="00FF4349">
              <w:t>0</w:t>
            </w:r>
          </w:p>
          <w:p w:rsidR="006B3292" w:rsidRPr="00FF4349" w:rsidRDefault="006B3292" w:rsidP="001B1A87">
            <w:pPr>
              <w:jc w:val="center"/>
            </w:pPr>
          </w:p>
        </w:tc>
        <w:tc>
          <w:tcPr>
            <w:tcW w:w="1440" w:type="dxa"/>
          </w:tcPr>
          <w:p w:rsidR="006B3292" w:rsidRPr="00FF4349" w:rsidRDefault="006B3292" w:rsidP="001B1A87">
            <w:pPr>
              <w:jc w:val="center"/>
            </w:pPr>
            <w:r w:rsidRPr="00FF4349">
              <w:t>0</w:t>
            </w:r>
          </w:p>
          <w:p w:rsidR="006B3292" w:rsidRPr="00FF4349" w:rsidRDefault="006B3292" w:rsidP="001B1A87">
            <w:pPr>
              <w:jc w:val="center"/>
            </w:pPr>
          </w:p>
        </w:tc>
      </w:tr>
      <w:tr w:rsidR="00BE26C4" w:rsidTr="001B1A87">
        <w:tc>
          <w:tcPr>
            <w:tcW w:w="2268" w:type="dxa"/>
          </w:tcPr>
          <w:p w:rsidR="00BE26C4" w:rsidRDefault="00BE26C4" w:rsidP="001B1A87">
            <w:pPr>
              <w:jc w:val="both"/>
            </w:pPr>
            <w:r>
              <w:t>5. Precizēta finansiālā ietekme:</w:t>
            </w:r>
          </w:p>
        </w:tc>
        <w:tc>
          <w:tcPr>
            <w:tcW w:w="1260" w:type="dxa"/>
            <w:vMerge w:val="restart"/>
          </w:tcPr>
          <w:p w:rsidR="00BE26C4" w:rsidRPr="00FF4349" w:rsidRDefault="00BE26C4" w:rsidP="001B1A87">
            <w:pPr>
              <w:jc w:val="center"/>
            </w:pPr>
            <w:r w:rsidRPr="00FF4349">
              <w:t>X</w:t>
            </w:r>
          </w:p>
        </w:tc>
        <w:tc>
          <w:tcPr>
            <w:tcW w:w="1440" w:type="dxa"/>
          </w:tcPr>
          <w:p w:rsidR="00BE26C4" w:rsidRPr="00FB61AF" w:rsidRDefault="00FB61AF" w:rsidP="00A4798A">
            <w:pPr>
              <w:jc w:val="center"/>
              <w:rPr>
                <w:b/>
              </w:rPr>
            </w:pPr>
            <w:r>
              <w:rPr>
                <w:b/>
              </w:rPr>
              <w:t>0</w:t>
            </w:r>
          </w:p>
        </w:tc>
        <w:tc>
          <w:tcPr>
            <w:tcW w:w="1440" w:type="dxa"/>
          </w:tcPr>
          <w:p w:rsidR="00BE26C4" w:rsidRPr="00FF4349" w:rsidRDefault="00BE26C4" w:rsidP="001B1A87">
            <w:pPr>
              <w:jc w:val="center"/>
            </w:pPr>
            <w:r w:rsidRPr="00FF4349">
              <w:t>0</w:t>
            </w:r>
          </w:p>
        </w:tc>
        <w:tc>
          <w:tcPr>
            <w:tcW w:w="1440" w:type="dxa"/>
          </w:tcPr>
          <w:p w:rsidR="00BE26C4" w:rsidRPr="00FF4349" w:rsidRDefault="00BE26C4" w:rsidP="001B1A87">
            <w:pPr>
              <w:jc w:val="center"/>
            </w:pPr>
            <w:r w:rsidRPr="00FF4349">
              <w:t>0</w:t>
            </w:r>
          </w:p>
        </w:tc>
        <w:tc>
          <w:tcPr>
            <w:tcW w:w="1440" w:type="dxa"/>
          </w:tcPr>
          <w:p w:rsidR="00BE26C4" w:rsidRPr="00FF4349" w:rsidRDefault="00BE26C4" w:rsidP="001B1A87">
            <w:pPr>
              <w:jc w:val="center"/>
            </w:pPr>
            <w:r w:rsidRPr="00FF4349">
              <w:t>0</w:t>
            </w:r>
          </w:p>
        </w:tc>
      </w:tr>
      <w:tr w:rsidR="00BE26C4" w:rsidTr="001B1A87">
        <w:tc>
          <w:tcPr>
            <w:tcW w:w="2268" w:type="dxa"/>
          </w:tcPr>
          <w:p w:rsidR="00BE26C4" w:rsidRDefault="00BE26C4" w:rsidP="001B1A87">
            <w:pPr>
              <w:jc w:val="both"/>
            </w:pPr>
            <w:r>
              <w:t>5.1. valsts pamatbudžets</w:t>
            </w:r>
          </w:p>
        </w:tc>
        <w:tc>
          <w:tcPr>
            <w:tcW w:w="1260" w:type="dxa"/>
            <w:vMerge/>
          </w:tcPr>
          <w:p w:rsidR="00BE26C4" w:rsidRPr="00FF4349" w:rsidRDefault="00BE26C4" w:rsidP="001B1A87">
            <w:pPr>
              <w:jc w:val="both"/>
            </w:pPr>
          </w:p>
        </w:tc>
        <w:tc>
          <w:tcPr>
            <w:tcW w:w="1440" w:type="dxa"/>
          </w:tcPr>
          <w:p w:rsidR="00BE26C4" w:rsidRPr="00FB61AF" w:rsidRDefault="00FB61AF" w:rsidP="00A4798A">
            <w:pPr>
              <w:jc w:val="center"/>
            </w:pPr>
            <w:r w:rsidRPr="00FB61AF">
              <w:t>0</w:t>
            </w:r>
          </w:p>
        </w:tc>
        <w:tc>
          <w:tcPr>
            <w:tcW w:w="1440" w:type="dxa"/>
          </w:tcPr>
          <w:p w:rsidR="00BE26C4" w:rsidRPr="00FF4349" w:rsidRDefault="00BE26C4" w:rsidP="001B1A87">
            <w:pPr>
              <w:jc w:val="center"/>
            </w:pPr>
            <w:r w:rsidRPr="00FF4349">
              <w:t>0</w:t>
            </w:r>
          </w:p>
        </w:tc>
        <w:tc>
          <w:tcPr>
            <w:tcW w:w="1440" w:type="dxa"/>
          </w:tcPr>
          <w:p w:rsidR="00BE26C4" w:rsidRPr="00FF4349" w:rsidRDefault="00BE26C4" w:rsidP="001B1A87">
            <w:pPr>
              <w:jc w:val="center"/>
            </w:pPr>
            <w:r w:rsidRPr="00FF4349">
              <w:t>0</w:t>
            </w:r>
          </w:p>
        </w:tc>
        <w:tc>
          <w:tcPr>
            <w:tcW w:w="1440" w:type="dxa"/>
          </w:tcPr>
          <w:p w:rsidR="00BE26C4" w:rsidRPr="00FF4349" w:rsidRDefault="00BE26C4" w:rsidP="001B1A87">
            <w:pPr>
              <w:jc w:val="center"/>
            </w:pPr>
            <w:r w:rsidRPr="00FF4349">
              <w:t>0</w:t>
            </w:r>
          </w:p>
        </w:tc>
      </w:tr>
      <w:tr w:rsidR="00745F6C" w:rsidTr="001B1A87">
        <w:tc>
          <w:tcPr>
            <w:tcW w:w="2268" w:type="dxa"/>
          </w:tcPr>
          <w:p w:rsidR="00745F6C" w:rsidRDefault="00745F6C" w:rsidP="001B1A87">
            <w:pPr>
              <w:jc w:val="both"/>
            </w:pPr>
            <w:r>
              <w:t>5.2. speciālais budžets</w:t>
            </w:r>
          </w:p>
        </w:tc>
        <w:tc>
          <w:tcPr>
            <w:tcW w:w="1260" w:type="dxa"/>
            <w:vMerge/>
          </w:tcPr>
          <w:p w:rsidR="00745F6C" w:rsidRPr="00FF4349" w:rsidRDefault="00745F6C" w:rsidP="001B1A87">
            <w:pPr>
              <w:jc w:val="both"/>
            </w:pPr>
          </w:p>
        </w:tc>
        <w:tc>
          <w:tcPr>
            <w:tcW w:w="1440" w:type="dxa"/>
          </w:tcPr>
          <w:p w:rsidR="00745F6C" w:rsidRPr="00FB61AF" w:rsidRDefault="00721A59" w:rsidP="001B1A87">
            <w:pPr>
              <w:jc w:val="center"/>
            </w:pPr>
            <w:r w:rsidRPr="00FB61AF">
              <w:t>0</w:t>
            </w:r>
          </w:p>
        </w:tc>
        <w:tc>
          <w:tcPr>
            <w:tcW w:w="1440" w:type="dxa"/>
          </w:tcPr>
          <w:p w:rsidR="00745F6C" w:rsidRPr="00FF4349" w:rsidRDefault="00721A59" w:rsidP="001B1A87">
            <w:pPr>
              <w:jc w:val="center"/>
            </w:pPr>
            <w:r w:rsidRPr="00FF4349">
              <w:t>0</w:t>
            </w:r>
          </w:p>
        </w:tc>
        <w:tc>
          <w:tcPr>
            <w:tcW w:w="1440" w:type="dxa"/>
          </w:tcPr>
          <w:p w:rsidR="00745F6C" w:rsidRPr="00FF4349" w:rsidRDefault="00721A59" w:rsidP="001B1A87">
            <w:pPr>
              <w:jc w:val="center"/>
            </w:pPr>
            <w:r w:rsidRPr="00FF4349">
              <w:t>0</w:t>
            </w:r>
          </w:p>
        </w:tc>
        <w:tc>
          <w:tcPr>
            <w:tcW w:w="1440" w:type="dxa"/>
          </w:tcPr>
          <w:p w:rsidR="00745F6C" w:rsidRPr="00FF4349" w:rsidRDefault="00721A59" w:rsidP="001B1A87">
            <w:pPr>
              <w:jc w:val="center"/>
            </w:pPr>
            <w:r w:rsidRPr="00FF4349">
              <w:t>0</w:t>
            </w:r>
          </w:p>
        </w:tc>
      </w:tr>
      <w:tr w:rsidR="00745F6C" w:rsidTr="001B1A87">
        <w:tc>
          <w:tcPr>
            <w:tcW w:w="2268" w:type="dxa"/>
          </w:tcPr>
          <w:p w:rsidR="00745F6C" w:rsidRDefault="00745F6C" w:rsidP="001B1A87">
            <w:pPr>
              <w:jc w:val="both"/>
            </w:pPr>
            <w:r>
              <w:t> 5.3. pašvaldību budžets</w:t>
            </w:r>
          </w:p>
        </w:tc>
        <w:tc>
          <w:tcPr>
            <w:tcW w:w="1260" w:type="dxa"/>
            <w:vMerge/>
          </w:tcPr>
          <w:p w:rsidR="00745F6C" w:rsidRPr="00FF4349" w:rsidRDefault="00745F6C" w:rsidP="001B1A87">
            <w:pPr>
              <w:jc w:val="both"/>
            </w:pPr>
          </w:p>
        </w:tc>
        <w:tc>
          <w:tcPr>
            <w:tcW w:w="1440" w:type="dxa"/>
          </w:tcPr>
          <w:p w:rsidR="00745F6C" w:rsidRPr="00FF4349" w:rsidRDefault="00721A59" w:rsidP="001B1A87">
            <w:pPr>
              <w:jc w:val="center"/>
            </w:pPr>
            <w:r w:rsidRPr="00FF4349">
              <w:t>0</w:t>
            </w:r>
          </w:p>
        </w:tc>
        <w:tc>
          <w:tcPr>
            <w:tcW w:w="1440" w:type="dxa"/>
          </w:tcPr>
          <w:p w:rsidR="00745F6C" w:rsidRPr="00FF4349" w:rsidRDefault="00721A59" w:rsidP="001B1A87">
            <w:pPr>
              <w:jc w:val="center"/>
            </w:pPr>
            <w:r w:rsidRPr="00FF4349">
              <w:t>0</w:t>
            </w:r>
          </w:p>
        </w:tc>
        <w:tc>
          <w:tcPr>
            <w:tcW w:w="1440" w:type="dxa"/>
          </w:tcPr>
          <w:p w:rsidR="00745F6C" w:rsidRPr="00FF4349" w:rsidRDefault="00721A59" w:rsidP="001B1A87">
            <w:pPr>
              <w:jc w:val="center"/>
            </w:pPr>
            <w:r w:rsidRPr="00FF4349">
              <w:t>0</w:t>
            </w:r>
          </w:p>
        </w:tc>
        <w:tc>
          <w:tcPr>
            <w:tcW w:w="1440" w:type="dxa"/>
          </w:tcPr>
          <w:p w:rsidR="00745F6C" w:rsidRPr="00FF4349" w:rsidRDefault="00721A59" w:rsidP="001B1A87">
            <w:pPr>
              <w:jc w:val="center"/>
            </w:pPr>
            <w:r w:rsidRPr="00FF4349">
              <w:t>0</w:t>
            </w:r>
          </w:p>
        </w:tc>
      </w:tr>
      <w:tr w:rsidR="00745F6C" w:rsidTr="001B1A87">
        <w:tc>
          <w:tcPr>
            <w:tcW w:w="2268" w:type="dxa"/>
          </w:tcPr>
          <w:p w:rsidR="00745F6C" w:rsidRDefault="00745F6C" w:rsidP="001B1A87">
            <w:pPr>
              <w:jc w:val="both"/>
            </w:pPr>
            <w:r>
              <w:t xml:space="preserve">6. Detalizēts ieņēmumu un </w:t>
            </w:r>
            <w:r>
              <w:lastRenderedPageBreak/>
              <w:t>izdevu</w:t>
            </w:r>
            <w:r>
              <w:softHyphen/>
              <w:t>mu aprēķins (ja nepieciešams, detalizētu ieņēmumu un izdevumu aprēķinu var pievienot anotācijas pielikumā):</w:t>
            </w:r>
          </w:p>
          <w:p w:rsidR="0005611F" w:rsidRPr="0005611F" w:rsidRDefault="0005611F" w:rsidP="001B1A87">
            <w:pPr>
              <w:jc w:val="both"/>
              <w:rPr>
                <w:sz w:val="22"/>
                <w:szCs w:val="22"/>
              </w:rPr>
            </w:pPr>
            <w:r w:rsidRPr="0005611F">
              <w:rPr>
                <w:sz w:val="22"/>
                <w:szCs w:val="22"/>
              </w:rPr>
              <w:t>6.1. detalizēts ieņēmumu aprēķins</w:t>
            </w:r>
          </w:p>
          <w:p w:rsidR="0005611F" w:rsidRDefault="0005611F" w:rsidP="001B1A87">
            <w:pPr>
              <w:jc w:val="both"/>
            </w:pPr>
            <w:r w:rsidRPr="0005611F">
              <w:rPr>
                <w:sz w:val="22"/>
                <w:szCs w:val="22"/>
              </w:rPr>
              <w:t>6.2. detalizēts izdevumu aprēķins</w:t>
            </w:r>
          </w:p>
        </w:tc>
        <w:tc>
          <w:tcPr>
            <w:tcW w:w="7020" w:type="dxa"/>
            <w:gridSpan w:val="5"/>
          </w:tcPr>
          <w:p w:rsidR="0093766A" w:rsidRPr="002C599F" w:rsidRDefault="0093766A" w:rsidP="0093766A">
            <w:pPr>
              <w:jc w:val="both"/>
            </w:pPr>
            <w:r w:rsidRPr="002C599F">
              <w:lastRenderedPageBreak/>
              <w:t xml:space="preserve">Atbilstoši likumam „Par valsts budžetu 2011.gadam” ar 2011.gada 29.aprīlī izsludinātajiem grozījumiem valsts budžeta programmas </w:t>
            </w:r>
            <w:r w:rsidRPr="002C599F">
              <w:lastRenderedPageBreak/>
              <w:t>33.00.00 „Veselības aprūpes nodrošināšana” apakšprogrammā 33.01.00 „Ārstniecība” resursi izdevumu segšanai, lai nodrošinātu no valsts budžeta apmaksāto  veselības aprūpes pakalpojumu sniegšanu ārstniecības iestādēs, 255 181 995 lati, tai skaitā, dotācija no vispārējiem ieņēmumiem 254 417 995 lati un ieņēmumi no maksas pakalpojumiem un citi pašu ieņēmumi 764 </w:t>
            </w:r>
            <w:smartTag w:uri="schemas-tilde-lv/tildestengine" w:element="currency2">
              <w:smartTagPr>
                <w:attr w:name="currency_text" w:val="lati"/>
                <w:attr w:name="currency_value" w:val="000"/>
                <w:attr w:name="currency_key" w:val="LVL"/>
                <w:attr w:name="currency_id" w:val="48"/>
              </w:smartTagPr>
              <w:r w:rsidRPr="002C599F">
                <w:t>000 lati</w:t>
              </w:r>
            </w:smartTag>
            <w:r w:rsidRPr="002C599F">
              <w:t>.</w:t>
            </w:r>
          </w:p>
          <w:p w:rsidR="0093766A" w:rsidRDefault="0093766A" w:rsidP="0093766A">
            <w:pPr>
              <w:jc w:val="both"/>
            </w:pPr>
            <w:r w:rsidRPr="002C599F">
              <w:t>Savukārt, izdevumi valsts budžeta apakšprogrammā 33.01.00 „Ārstniecība” 255 524 835 lati, tai skaitā 3000 kodā „Subsīdijas un dotācijas” 254 768 244 lati un kodā 7400 „Valsts budžeta dotācijas un citi transferti pašvaldībām un no valsts budžeta daļēji finansētajām atvasinātajām publiskajām personām (izņemot pašvaldības)</w:t>
            </w:r>
            <w:r w:rsidR="0063369C">
              <w:t>”</w:t>
            </w:r>
            <w:r w:rsidRPr="002C599F">
              <w:t xml:space="preserve"> 756 591 lats, ņemot vērā maksas pakalpojumu un citu pašu ieņēmumu naudas līdzekļu atlikumu 342 840 latu apmērā. </w:t>
            </w:r>
          </w:p>
          <w:p w:rsidR="0063369C" w:rsidRDefault="00CB0F76" w:rsidP="006B3292">
            <w:pPr>
              <w:jc w:val="both"/>
              <w:rPr>
                <w:color w:val="000000"/>
              </w:rPr>
            </w:pPr>
            <w:r w:rsidRPr="00CF3180">
              <w:rPr>
                <w:color w:val="000000"/>
              </w:rPr>
              <w:t>Piešķirtais finansējums</w:t>
            </w:r>
            <w:r>
              <w:rPr>
                <w:color w:val="000000"/>
              </w:rPr>
              <w:t xml:space="preserve"> </w:t>
            </w:r>
            <w:r w:rsidRPr="00CF3180">
              <w:rPr>
                <w:color w:val="000000"/>
              </w:rPr>
              <w:t>valsts budžeta programmas 33.00.00 „Veselības aprūpes nodrošināšana” apakšprogrammā 33.13.00 „Sociālās drošības tīkla st</w:t>
            </w:r>
            <w:r>
              <w:rPr>
                <w:color w:val="000000"/>
              </w:rPr>
              <w:t>ratēģijas pasākumu īstenošana” S</w:t>
            </w:r>
            <w:r w:rsidRPr="00CF3180">
              <w:rPr>
                <w:color w:val="000000"/>
              </w:rPr>
              <w:t xml:space="preserve">ociālās drošības tīkla stratēģijas pasākumu īstenošanai </w:t>
            </w:r>
            <w:r w:rsidR="008002D7">
              <w:rPr>
                <w:color w:val="000000"/>
              </w:rPr>
              <w:t xml:space="preserve">ieņēmumi un izdevumi </w:t>
            </w:r>
            <w:r w:rsidR="008C4AF4">
              <w:rPr>
                <w:color w:val="000000"/>
              </w:rPr>
              <w:t>2011</w:t>
            </w:r>
            <w:r w:rsidR="0093766A">
              <w:rPr>
                <w:color w:val="000000"/>
              </w:rPr>
              <w:t>.gadā kopā 30 3</w:t>
            </w:r>
            <w:r w:rsidRPr="00CF3180">
              <w:rPr>
                <w:color w:val="000000"/>
              </w:rPr>
              <w:t>10 711 lati</w:t>
            </w:r>
            <w:r w:rsidR="008002D7">
              <w:rPr>
                <w:color w:val="000000"/>
              </w:rPr>
              <w:t>.</w:t>
            </w:r>
          </w:p>
          <w:p w:rsidR="008C4AF4" w:rsidRPr="00B16644" w:rsidRDefault="00CB0F76" w:rsidP="006B3292">
            <w:pPr>
              <w:jc w:val="both"/>
              <w:rPr>
                <w:color w:val="000000"/>
              </w:rPr>
            </w:pPr>
            <w:r>
              <w:rPr>
                <w:color w:val="000000"/>
              </w:rPr>
              <w:t>Tādējādi piešķirtais finansējums kopā veselības a</w:t>
            </w:r>
            <w:r w:rsidR="0093766A">
              <w:rPr>
                <w:color w:val="000000"/>
              </w:rPr>
              <w:t>prūpes pakalpojumu nodrošināšanai 2011</w:t>
            </w:r>
            <w:r w:rsidR="008002D7">
              <w:rPr>
                <w:color w:val="000000"/>
              </w:rPr>
              <w:t xml:space="preserve">.gadā </w:t>
            </w:r>
            <w:r w:rsidR="0093766A">
              <w:rPr>
                <w:color w:val="000000"/>
              </w:rPr>
              <w:t>285 492 706</w:t>
            </w:r>
            <w:r w:rsidR="00B941EE">
              <w:rPr>
                <w:color w:val="000000"/>
              </w:rPr>
              <w:t xml:space="preserve"> lati</w:t>
            </w:r>
            <w:r w:rsidR="008002D7">
              <w:rPr>
                <w:color w:val="000000"/>
              </w:rPr>
              <w:t xml:space="preserve"> </w:t>
            </w:r>
            <w:r w:rsidR="00B941EE">
              <w:rPr>
                <w:color w:val="000000"/>
              </w:rPr>
              <w:t>=</w:t>
            </w:r>
            <w:r w:rsidR="008002D7">
              <w:rPr>
                <w:color w:val="000000"/>
              </w:rPr>
              <w:t xml:space="preserve"> </w:t>
            </w:r>
            <w:r w:rsidR="00B941EE">
              <w:rPr>
                <w:color w:val="000000"/>
              </w:rPr>
              <w:t>(</w:t>
            </w:r>
            <w:r w:rsidR="0093766A" w:rsidRPr="002C599F">
              <w:t>255 181</w:t>
            </w:r>
            <w:r w:rsidR="0093766A">
              <w:t> </w:t>
            </w:r>
            <w:r w:rsidR="0093766A" w:rsidRPr="002C599F">
              <w:t>995 </w:t>
            </w:r>
            <w:r w:rsidR="0093766A">
              <w:t xml:space="preserve">lati </w:t>
            </w:r>
            <w:r w:rsidR="0093766A">
              <w:rPr>
                <w:color w:val="000000"/>
              </w:rPr>
              <w:t>+ 30 3</w:t>
            </w:r>
            <w:r w:rsidR="00B941EE">
              <w:rPr>
                <w:color w:val="000000"/>
              </w:rPr>
              <w:t>10 711 lati), izdevumi kopā 2</w:t>
            </w:r>
            <w:r w:rsidR="008C4AF4">
              <w:rPr>
                <w:color w:val="000000"/>
              </w:rPr>
              <w:t xml:space="preserve">85 835 546 </w:t>
            </w:r>
            <w:r w:rsidR="00B941EE">
              <w:rPr>
                <w:color w:val="000000"/>
              </w:rPr>
              <w:t>lati = (</w:t>
            </w:r>
            <w:r w:rsidR="008C4AF4" w:rsidRPr="002C599F">
              <w:t>255 524 835 lati</w:t>
            </w:r>
            <w:r w:rsidR="008C4AF4">
              <w:rPr>
                <w:color w:val="000000"/>
              </w:rPr>
              <w:t xml:space="preserve"> </w:t>
            </w:r>
            <w:r w:rsidR="00B941EE">
              <w:rPr>
                <w:color w:val="000000"/>
              </w:rPr>
              <w:t>+</w:t>
            </w:r>
            <w:r w:rsidR="00FF76C8">
              <w:rPr>
                <w:color w:val="000000"/>
              </w:rPr>
              <w:t xml:space="preserve"> </w:t>
            </w:r>
            <w:r w:rsidR="008C4AF4">
              <w:rPr>
                <w:color w:val="000000"/>
              </w:rPr>
              <w:t>30 3</w:t>
            </w:r>
            <w:r w:rsidR="00B941EE">
              <w:rPr>
                <w:color w:val="000000"/>
              </w:rPr>
              <w:t>10 711 lati), ņem</w:t>
            </w:r>
            <w:r w:rsidR="00B16644">
              <w:rPr>
                <w:color w:val="000000"/>
              </w:rPr>
              <w:t>ot vērā naudas līdzekļu atlikumu 342 840 latu apmērā</w:t>
            </w:r>
            <w:r w:rsidR="00B941EE">
              <w:rPr>
                <w:color w:val="000000"/>
              </w:rPr>
              <w:t>.</w:t>
            </w:r>
          </w:p>
          <w:p w:rsidR="00B16644" w:rsidRPr="00B16644" w:rsidRDefault="006B3292" w:rsidP="006B3292">
            <w:pPr>
              <w:jc w:val="both"/>
              <w:rPr>
                <w:color w:val="FF0000"/>
              </w:rPr>
            </w:pPr>
            <w:r w:rsidRPr="00FB61AF">
              <w:t>R</w:t>
            </w:r>
            <w:r w:rsidR="00745F6C" w:rsidRPr="00FB61AF">
              <w:t>īkojuma projekt</w:t>
            </w:r>
            <w:r w:rsidRPr="00FB61AF">
              <w:t xml:space="preserve">s paredz </w:t>
            </w:r>
            <w:r w:rsidR="00745F6C" w:rsidRPr="00FB61AF">
              <w:t xml:space="preserve"> </w:t>
            </w:r>
            <w:r w:rsidRPr="00FB61AF">
              <w:t>Fin</w:t>
            </w:r>
            <w:r w:rsidR="00101650" w:rsidRPr="00FB61AF">
              <w:t xml:space="preserve">anšu ministrijai no valsts </w:t>
            </w:r>
            <w:r w:rsidRPr="00FB61AF">
              <w:t xml:space="preserve">budžeta </w:t>
            </w:r>
            <w:r w:rsidR="00101650" w:rsidRPr="00FB61AF">
              <w:t>programmas 02.00</w:t>
            </w:r>
            <w:r w:rsidRPr="00FB61AF">
              <w:t xml:space="preserve">.00 "Līdzekļi neparedzētiem gadījumiem" piešķirt Veselības ministrijai papildus </w:t>
            </w:r>
            <w:r w:rsidR="00B16644" w:rsidRPr="00FB61AF">
              <w:rPr>
                <w:b/>
              </w:rPr>
              <w:t>2 216 215</w:t>
            </w:r>
            <w:r w:rsidR="00B16644" w:rsidRPr="00FB61AF">
              <w:t xml:space="preserve"> </w:t>
            </w:r>
            <w:r w:rsidRPr="00FB61AF">
              <w:rPr>
                <w:b/>
              </w:rPr>
              <w:t>latus =</w:t>
            </w:r>
            <w:r w:rsidRPr="00FB61AF">
              <w:t xml:space="preserve"> (</w:t>
            </w:r>
            <w:r w:rsidR="00B16644" w:rsidRPr="000440B7">
              <w:rPr>
                <w:u w:val="single"/>
              </w:rPr>
              <w:t>1 843 346 lati</w:t>
            </w:r>
            <w:r w:rsidR="00B16644" w:rsidRPr="00B16644">
              <w:t xml:space="preserve"> (neatliekamās medicīniskās palīdzības nodrošināšanai</w:t>
            </w:r>
            <w:r w:rsidR="00FF4349">
              <w:t xml:space="preserve"> 2011.gada novembra un decembra mēnesim</w:t>
            </w:r>
            <w:r w:rsidR="000440B7">
              <w:t>, kā arī vienreizējiem pasākumiem</w:t>
            </w:r>
            <w:r w:rsidR="00B16644" w:rsidRPr="00B16644">
              <w:t xml:space="preserve">) + </w:t>
            </w:r>
            <w:r w:rsidR="00B16644" w:rsidRPr="000440B7">
              <w:rPr>
                <w:u w:val="single"/>
              </w:rPr>
              <w:t>372 869</w:t>
            </w:r>
            <w:r w:rsidR="002C4727">
              <w:rPr>
                <w:u w:val="single"/>
              </w:rPr>
              <w:t xml:space="preserve"> </w:t>
            </w:r>
            <w:r w:rsidR="00B16644" w:rsidRPr="002C4727">
              <w:rPr>
                <w:u w:val="single"/>
              </w:rPr>
              <w:t>lati</w:t>
            </w:r>
            <w:r w:rsidR="00B16644" w:rsidRPr="00B16644">
              <w:t xml:space="preserve"> (asins plazmas preparātu iepirkumam, asins sagatavošanas maisu iegādei, reaģentu iegādei asins bakterioloģisko un vīrusu izmeklēšanai, u.c. pasākumiem).</w:t>
            </w:r>
          </w:p>
          <w:p w:rsidR="00B16644" w:rsidRPr="00B16644" w:rsidRDefault="00B16644" w:rsidP="006B3292">
            <w:pPr>
              <w:jc w:val="both"/>
              <w:rPr>
                <w:color w:val="FF0000"/>
              </w:rPr>
            </w:pPr>
          </w:p>
          <w:p w:rsidR="000440B7" w:rsidRPr="000440B7" w:rsidRDefault="000440B7" w:rsidP="006B3292">
            <w:pPr>
              <w:jc w:val="both"/>
            </w:pPr>
            <w:r w:rsidRPr="000440B7">
              <w:t xml:space="preserve">Papildu nepieciešamā finansējuma Neatliekamās medicīniskās palīdzības dienestam </w:t>
            </w:r>
            <w:r w:rsidRPr="000440B7">
              <w:rPr>
                <w:u w:val="single"/>
              </w:rPr>
              <w:t>1 843 346 lati</w:t>
            </w:r>
            <w:r w:rsidRPr="000440B7">
              <w:t xml:space="preserve"> atšifrējums:</w:t>
            </w:r>
          </w:p>
          <w:p w:rsidR="000440B7" w:rsidRDefault="000440B7" w:rsidP="006B3292">
            <w:pPr>
              <w:jc w:val="both"/>
              <w:rPr>
                <w:color w:val="FF0000"/>
              </w:rPr>
            </w:pPr>
          </w:p>
          <w:tbl>
            <w:tblPr>
              <w:tblW w:w="6751" w:type="dxa"/>
              <w:tblLayout w:type="fixed"/>
              <w:tblLook w:val="04A0"/>
            </w:tblPr>
            <w:tblGrid>
              <w:gridCol w:w="1838"/>
              <w:gridCol w:w="1985"/>
              <w:gridCol w:w="1417"/>
              <w:gridCol w:w="1511"/>
            </w:tblGrid>
            <w:tr w:rsidR="000440B7" w:rsidRPr="000440B7" w:rsidTr="000440B7">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B7" w:rsidRPr="000440B7" w:rsidRDefault="000440B7">
                  <w:pPr>
                    <w:rPr>
                      <w:b/>
                      <w:bCs/>
                      <w:color w:val="000000"/>
                      <w:sz w:val="20"/>
                      <w:szCs w:val="20"/>
                    </w:rPr>
                  </w:pPr>
                  <w:r w:rsidRPr="000440B7">
                    <w:rPr>
                      <w:b/>
                      <w:bCs/>
                      <w:color w:val="000000"/>
                      <w:sz w:val="20"/>
                      <w:szCs w:val="20"/>
                    </w:rPr>
                    <w:t>Spectērpu iegādei</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440B7" w:rsidRPr="000440B7" w:rsidRDefault="000440B7">
                  <w:pPr>
                    <w:jc w:val="center"/>
                    <w:rPr>
                      <w:b/>
                      <w:bCs/>
                      <w:color w:val="000000"/>
                      <w:sz w:val="20"/>
                      <w:szCs w:val="20"/>
                    </w:rPr>
                  </w:pPr>
                  <w:r>
                    <w:rPr>
                      <w:b/>
                      <w:bCs/>
                      <w:color w:val="000000"/>
                      <w:sz w:val="20"/>
                      <w:szCs w:val="20"/>
                    </w:rPr>
                    <w:t>Ga</w:t>
                  </w:r>
                  <w:r w:rsidRPr="000440B7">
                    <w:rPr>
                      <w:b/>
                      <w:bCs/>
                      <w:color w:val="000000"/>
                      <w:sz w:val="20"/>
                      <w:szCs w:val="20"/>
                    </w:rPr>
                    <w:t>b</w:t>
                  </w:r>
                  <w:r>
                    <w:rPr>
                      <w:b/>
                      <w:bCs/>
                      <w:color w:val="000000"/>
                      <w:sz w:val="20"/>
                      <w:szCs w:val="20"/>
                    </w:rPr>
                    <w:t>ali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440B7" w:rsidRPr="000440B7" w:rsidRDefault="000440B7">
                  <w:pPr>
                    <w:jc w:val="center"/>
                    <w:rPr>
                      <w:b/>
                      <w:bCs/>
                      <w:color w:val="000000"/>
                      <w:sz w:val="20"/>
                      <w:szCs w:val="20"/>
                    </w:rPr>
                  </w:pPr>
                  <w:r>
                    <w:rPr>
                      <w:b/>
                      <w:bCs/>
                      <w:color w:val="000000"/>
                      <w:sz w:val="20"/>
                      <w:szCs w:val="20"/>
                    </w:rPr>
                    <w:t>C</w:t>
                  </w:r>
                  <w:r w:rsidRPr="000440B7">
                    <w:rPr>
                      <w:b/>
                      <w:bCs/>
                      <w:color w:val="000000"/>
                      <w:sz w:val="20"/>
                      <w:szCs w:val="20"/>
                    </w:rPr>
                    <w:t>ena</w:t>
                  </w:r>
                  <w:r>
                    <w:rPr>
                      <w:b/>
                      <w:bCs/>
                      <w:color w:val="000000"/>
                      <w:sz w:val="20"/>
                      <w:szCs w:val="20"/>
                    </w:rPr>
                    <w:t xml:space="preserve"> (Ls)</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0440B7" w:rsidRPr="000440B7" w:rsidRDefault="000440B7">
                  <w:pPr>
                    <w:jc w:val="center"/>
                    <w:rPr>
                      <w:b/>
                      <w:bCs/>
                      <w:color w:val="000000"/>
                      <w:sz w:val="20"/>
                      <w:szCs w:val="20"/>
                    </w:rPr>
                  </w:pPr>
                  <w:r>
                    <w:rPr>
                      <w:b/>
                      <w:bCs/>
                      <w:color w:val="000000"/>
                      <w:sz w:val="20"/>
                      <w:szCs w:val="20"/>
                    </w:rPr>
                    <w:t>K</w:t>
                  </w:r>
                  <w:r w:rsidRPr="000440B7">
                    <w:rPr>
                      <w:b/>
                      <w:bCs/>
                      <w:color w:val="000000"/>
                      <w:sz w:val="20"/>
                      <w:szCs w:val="20"/>
                    </w:rPr>
                    <w:t>opā (Ls)</w:t>
                  </w:r>
                </w:p>
              </w:tc>
            </w:tr>
            <w:tr w:rsidR="000440B7" w:rsidRPr="000440B7" w:rsidTr="000440B7">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0440B7" w:rsidRPr="000440B7" w:rsidRDefault="000440B7" w:rsidP="000440B7">
                  <w:pPr>
                    <w:rPr>
                      <w:color w:val="000000"/>
                      <w:sz w:val="20"/>
                      <w:szCs w:val="20"/>
                    </w:rPr>
                  </w:pPr>
                  <w:r w:rsidRPr="000440B7">
                    <w:rPr>
                      <w:color w:val="000000"/>
                      <w:sz w:val="20"/>
                      <w:szCs w:val="20"/>
                    </w:rPr>
                    <w:t xml:space="preserve">Ziemas jakas </w:t>
                  </w:r>
                </w:p>
              </w:tc>
              <w:tc>
                <w:tcPr>
                  <w:tcW w:w="1985" w:type="dxa"/>
                  <w:tcBorders>
                    <w:top w:val="nil"/>
                    <w:left w:val="nil"/>
                    <w:bottom w:val="single" w:sz="4" w:space="0" w:color="auto"/>
                    <w:right w:val="single" w:sz="4" w:space="0" w:color="auto"/>
                  </w:tcBorders>
                  <w:shd w:val="clear" w:color="auto" w:fill="auto"/>
                  <w:noWrap/>
                  <w:vAlign w:val="center"/>
                  <w:hideMark/>
                </w:tcPr>
                <w:p w:rsidR="000440B7" w:rsidRPr="000440B7" w:rsidRDefault="000440B7">
                  <w:pPr>
                    <w:jc w:val="center"/>
                    <w:rPr>
                      <w:color w:val="000000"/>
                      <w:sz w:val="20"/>
                      <w:szCs w:val="20"/>
                    </w:rPr>
                  </w:pPr>
                  <w:r w:rsidRPr="000440B7">
                    <w:rPr>
                      <w:color w:val="000000"/>
                      <w:sz w:val="20"/>
                      <w:szCs w:val="20"/>
                    </w:rPr>
                    <w:t>2500</w:t>
                  </w:r>
                </w:p>
              </w:tc>
              <w:tc>
                <w:tcPr>
                  <w:tcW w:w="1417" w:type="dxa"/>
                  <w:tcBorders>
                    <w:top w:val="nil"/>
                    <w:left w:val="nil"/>
                    <w:bottom w:val="single" w:sz="4" w:space="0" w:color="auto"/>
                    <w:right w:val="single" w:sz="4" w:space="0" w:color="auto"/>
                  </w:tcBorders>
                  <w:shd w:val="clear" w:color="auto" w:fill="auto"/>
                  <w:noWrap/>
                  <w:vAlign w:val="center"/>
                  <w:hideMark/>
                </w:tcPr>
                <w:p w:rsidR="000440B7" w:rsidRPr="000440B7" w:rsidRDefault="000440B7">
                  <w:pPr>
                    <w:jc w:val="center"/>
                    <w:rPr>
                      <w:color w:val="000000"/>
                      <w:sz w:val="20"/>
                      <w:szCs w:val="20"/>
                    </w:rPr>
                  </w:pPr>
                  <w:r>
                    <w:rPr>
                      <w:color w:val="000000"/>
                      <w:sz w:val="20"/>
                      <w:szCs w:val="20"/>
                    </w:rPr>
                    <w:t>58,</w:t>
                  </w:r>
                  <w:r w:rsidRPr="000440B7">
                    <w:rPr>
                      <w:color w:val="000000"/>
                      <w:sz w:val="20"/>
                      <w:szCs w:val="20"/>
                    </w:rPr>
                    <w:t>32</w:t>
                  </w:r>
                </w:p>
              </w:tc>
              <w:tc>
                <w:tcPr>
                  <w:tcW w:w="1511" w:type="dxa"/>
                  <w:tcBorders>
                    <w:top w:val="nil"/>
                    <w:left w:val="nil"/>
                    <w:bottom w:val="single" w:sz="4" w:space="0" w:color="auto"/>
                    <w:right w:val="single" w:sz="4" w:space="0" w:color="auto"/>
                  </w:tcBorders>
                  <w:shd w:val="clear" w:color="auto" w:fill="auto"/>
                  <w:noWrap/>
                  <w:vAlign w:val="center"/>
                  <w:hideMark/>
                </w:tcPr>
                <w:p w:rsidR="000440B7" w:rsidRPr="000440B7" w:rsidRDefault="000440B7" w:rsidP="000440B7">
                  <w:pPr>
                    <w:ind w:firstLineChars="100" w:firstLine="200"/>
                    <w:jc w:val="center"/>
                    <w:rPr>
                      <w:color w:val="000000"/>
                      <w:sz w:val="20"/>
                      <w:szCs w:val="20"/>
                    </w:rPr>
                  </w:pPr>
                  <w:r w:rsidRPr="000440B7">
                    <w:rPr>
                      <w:color w:val="000000"/>
                      <w:sz w:val="20"/>
                      <w:szCs w:val="20"/>
                    </w:rPr>
                    <w:t>145</w:t>
                  </w:r>
                  <w:r>
                    <w:rPr>
                      <w:color w:val="000000"/>
                      <w:sz w:val="20"/>
                      <w:szCs w:val="20"/>
                    </w:rPr>
                    <w:t> </w:t>
                  </w:r>
                  <w:r w:rsidRPr="000440B7">
                    <w:rPr>
                      <w:color w:val="000000"/>
                      <w:sz w:val="20"/>
                      <w:szCs w:val="20"/>
                    </w:rPr>
                    <w:t>800</w:t>
                  </w:r>
                  <w:r>
                    <w:rPr>
                      <w:color w:val="000000"/>
                      <w:sz w:val="20"/>
                      <w:szCs w:val="20"/>
                    </w:rPr>
                    <w:t>,00</w:t>
                  </w:r>
                </w:p>
              </w:tc>
            </w:tr>
            <w:tr w:rsidR="000440B7" w:rsidRPr="000440B7" w:rsidTr="000440B7">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0440B7" w:rsidRPr="000440B7" w:rsidRDefault="000440B7" w:rsidP="000440B7">
                  <w:pPr>
                    <w:rPr>
                      <w:color w:val="000000"/>
                      <w:sz w:val="20"/>
                      <w:szCs w:val="20"/>
                    </w:rPr>
                  </w:pPr>
                  <w:r w:rsidRPr="000440B7">
                    <w:rPr>
                      <w:color w:val="000000"/>
                      <w:sz w:val="20"/>
                      <w:szCs w:val="20"/>
                    </w:rPr>
                    <w:t>Darba zābaki kurinātājiem</w:t>
                  </w:r>
                </w:p>
              </w:tc>
              <w:tc>
                <w:tcPr>
                  <w:tcW w:w="1985" w:type="dxa"/>
                  <w:tcBorders>
                    <w:top w:val="nil"/>
                    <w:left w:val="nil"/>
                    <w:bottom w:val="single" w:sz="4" w:space="0" w:color="auto"/>
                    <w:right w:val="single" w:sz="4" w:space="0" w:color="auto"/>
                  </w:tcBorders>
                  <w:shd w:val="clear" w:color="auto" w:fill="auto"/>
                  <w:noWrap/>
                  <w:vAlign w:val="center"/>
                  <w:hideMark/>
                </w:tcPr>
                <w:p w:rsidR="000440B7" w:rsidRPr="000440B7" w:rsidRDefault="000440B7">
                  <w:pPr>
                    <w:jc w:val="center"/>
                    <w:rPr>
                      <w:color w:val="000000"/>
                      <w:sz w:val="20"/>
                      <w:szCs w:val="20"/>
                    </w:rPr>
                  </w:pPr>
                  <w:r w:rsidRPr="000440B7">
                    <w:rPr>
                      <w:color w:val="000000"/>
                      <w:sz w:val="20"/>
                      <w:szCs w:val="20"/>
                    </w:rPr>
                    <w:t>21</w:t>
                  </w:r>
                </w:p>
              </w:tc>
              <w:tc>
                <w:tcPr>
                  <w:tcW w:w="1417" w:type="dxa"/>
                  <w:tcBorders>
                    <w:top w:val="nil"/>
                    <w:left w:val="nil"/>
                    <w:bottom w:val="single" w:sz="4" w:space="0" w:color="auto"/>
                    <w:right w:val="single" w:sz="4" w:space="0" w:color="auto"/>
                  </w:tcBorders>
                  <w:shd w:val="clear" w:color="auto" w:fill="auto"/>
                  <w:noWrap/>
                  <w:vAlign w:val="center"/>
                  <w:hideMark/>
                </w:tcPr>
                <w:p w:rsidR="000440B7" w:rsidRPr="000440B7" w:rsidRDefault="000440B7">
                  <w:pPr>
                    <w:jc w:val="center"/>
                    <w:rPr>
                      <w:color w:val="000000"/>
                      <w:sz w:val="20"/>
                      <w:szCs w:val="20"/>
                    </w:rPr>
                  </w:pPr>
                  <w:r w:rsidRPr="000440B7">
                    <w:rPr>
                      <w:color w:val="000000"/>
                      <w:sz w:val="20"/>
                      <w:szCs w:val="20"/>
                    </w:rPr>
                    <w:t>50</w:t>
                  </w:r>
                  <w:r>
                    <w:rPr>
                      <w:color w:val="000000"/>
                      <w:sz w:val="20"/>
                      <w:szCs w:val="20"/>
                    </w:rPr>
                    <w:t>,00</w:t>
                  </w:r>
                </w:p>
              </w:tc>
              <w:tc>
                <w:tcPr>
                  <w:tcW w:w="1511" w:type="dxa"/>
                  <w:tcBorders>
                    <w:top w:val="nil"/>
                    <w:left w:val="nil"/>
                    <w:bottom w:val="single" w:sz="4" w:space="0" w:color="auto"/>
                    <w:right w:val="single" w:sz="4" w:space="0" w:color="auto"/>
                  </w:tcBorders>
                  <w:shd w:val="clear" w:color="auto" w:fill="auto"/>
                  <w:noWrap/>
                  <w:vAlign w:val="center"/>
                  <w:hideMark/>
                </w:tcPr>
                <w:p w:rsidR="000440B7" w:rsidRPr="000440B7" w:rsidRDefault="000440B7" w:rsidP="000440B7">
                  <w:pPr>
                    <w:ind w:firstLineChars="100" w:firstLine="200"/>
                    <w:jc w:val="center"/>
                    <w:rPr>
                      <w:color w:val="000000"/>
                      <w:sz w:val="20"/>
                      <w:szCs w:val="20"/>
                    </w:rPr>
                  </w:pPr>
                  <w:r w:rsidRPr="000440B7">
                    <w:rPr>
                      <w:color w:val="000000"/>
                      <w:sz w:val="20"/>
                      <w:szCs w:val="20"/>
                    </w:rPr>
                    <w:t>1</w:t>
                  </w:r>
                  <w:r>
                    <w:rPr>
                      <w:color w:val="000000"/>
                      <w:sz w:val="20"/>
                      <w:szCs w:val="20"/>
                    </w:rPr>
                    <w:t> </w:t>
                  </w:r>
                  <w:r w:rsidRPr="000440B7">
                    <w:rPr>
                      <w:color w:val="000000"/>
                      <w:sz w:val="20"/>
                      <w:szCs w:val="20"/>
                    </w:rPr>
                    <w:t>050</w:t>
                  </w:r>
                  <w:r>
                    <w:rPr>
                      <w:color w:val="000000"/>
                      <w:sz w:val="20"/>
                      <w:szCs w:val="20"/>
                    </w:rPr>
                    <w:t>,00</w:t>
                  </w:r>
                </w:p>
              </w:tc>
            </w:tr>
            <w:tr w:rsidR="000440B7" w:rsidRPr="000440B7" w:rsidTr="000440B7">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0440B7" w:rsidRPr="000440B7" w:rsidRDefault="000440B7" w:rsidP="000440B7">
                  <w:pPr>
                    <w:rPr>
                      <w:color w:val="000000"/>
                      <w:sz w:val="20"/>
                      <w:szCs w:val="20"/>
                    </w:rPr>
                  </w:pPr>
                  <w:r w:rsidRPr="000440B7">
                    <w:rPr>
                      <w:color w:val="000000"/>
                      <w:sz w:val="20"/>
                      <w:szCs w:val="20"/>
                    </w:rPr>
                    <w:t>Darba apģērbu komplekti</w:t>
                  </w:r>
                </w:p>
              </w:tc>
              <w:tc>
                <w:tcPr>
                  <w:tcW w:w="1985" w:type="dxa"/>
                  <w:tcBorders>
                    <w:top w:val="nil"/>
                    <w:left w:val="nil"/>
                    <w:bottom w:val="single" w:sz="4" w:space="0" w:color="auto"/>
                    <w:right w:val="single" w:sz="4" w:space="0" w:color="auto"/>
                  </w:tcBorders>
                  <w:shd w:val="clear" w:color="auto" w:fill="auto"/>
                  <w:noWrap/>
                  <w:vAlign w:val="center"/>
                  <w:hideMark/>
                </w:tcPr>
                <w:p w:rsidR="000440B7" w:rsidRPr="000440B7" w:rsidRDefault="000440B7">
                  <w:pPr>
                    <w:jc w:val="center"/>
                    <w:rPr>
                      <w:color w:val="000000"/>
                      <w:sz w:val="20"/>
                      <w:szCs w:val="20"/>
                    </w:rPr>
                  </w:pPr>
                  <w:r w:rsidRPr="000440B7">
                    <w:rPr>
                      <w:color w:val="000000"/>
                      <w:sz w:val="20"/>
                      <w:szCs w:val="20"/>
                    </w:rPr>
                    <w:t>2500</w:t>
                  </w:r>
                </w:p>
              </w:tc>
              <w:tc>
                <w:tcPr>
                  <w:tcW w:w="1417" w:type="dxa"/>
                  <w:tcBorders>
                    <w:top w:val="nil"/>
                    <w:left w:val="nil"/>
                    <w:bottom w:val="single" w:sz="4" w:space="0" w:color="auto"/>
                    <w:right w:val="single" w:sz="4" w:space="0" w:color="auto"/>
                  </w:tcBorders>
                  <w:shd w:val="clear" w:color="auto" w:fill="auto"/>
                  <w:noWrap/>
                  <w:vAlign w:val="center"/>
                  <w:hideMark/>
                </w:tcPr>
                <w:p w:rsidR="000440B7" w:rsidRPr="000440B7" w:rsidRDefault="000440B7">
                  <w:pPr>
                    <w:jc w:val="center"/>
                    <w:rPr>
                      <w:color w:val="000000"/>
                      <w:sz w:val="20"/>
                      <w:szCs w:val="20"/>
                    </w:rPr>
                  </w:pPr>
                  <w:r>
                    <w:rPr>
                      <w:color w:val="000000"/>
                      <w:sz w:val="20"/>
                      <w:szCs w:val="20"/>
                    </w:rPr>
                    <w:t>86,</w:t>
                  </w:r>
                  <w:r w:rsidRPr="000440B7">
                    <w:rPr>
                      <w:color w:val="000000"/>
                      <w:sz w:val="20"/>
                      <w:szCs w:val="20"/>
                    </w:rPr>
                    <w:t>67</w:t>
                  </w:r>
                </w:p>
              </w:tc>
              <w:tc>
                <w:tcPr>
                  <w:tcW w:w="1511" w:type="dxa"/>
                  <w:tcBorders>
                    <w:top w:val="nil"/>
                    <w:left w:val="nil"/>
                    <w:bottom w:val="single" w:sz="4" w:space="0" w:color="auto"/>
                    <w:right w:val="single" w:sz="4" w:space="0" w:color="auto"/>
                  </w:tcBorders>
                  <w:shd w:val="clear" w:color="auto" w:fill="auto"/>
                  <w:noWrap/>
                  <w:vAlign w:val="center"/>
                  <w:hideMark/>
                </w:tcPr>
                <w:p w:rsidR="000440B7" w:rsidRPr="000440B7" w:rsidRDefault="000440B7" w:rsidP="000440B7">
                  <w:pPr>
                    <w:ind w:firstLineChars="100" w:firstLine="200"/>
                    <w:jc w:val="center"/>
                    <w:rPr>
                      <w:color w:val="000000"/>
                      <w:sz w:val="20"/>
                      <w:szCs w:val="20"/>
                    </w:rPr>
                  </w:pPr>
                  <w:r w:rsidRPr="000440B7">
                    <w:rPr>
                      <w:color w:val="000000"/>
                      <w:sz w:val="20"/>
                      <w:szCs w:val="20"/>
                    </w:rPr>
                    <w:t>216</w:t>
                  </w:r>
                  <w:r>
                    <w:rPr>
                      <w:color w:val="000000"/>
                      <w:sz w:val="20"/>
                      <w:szCs w:val="20"/>
                    </w:rPr>
                    <w:t> </w:t>
                  </w:r>
                  <w:r w:rsidRPr="000440B7">
                    <w:rPr>
                      <w:color w:val="000000"/>
                      <w:sz w:val="20"/>
                      <w:szCs w:val="20"/>
                    </w:rPr>
                    <w:t>675</w:t>
                  </w:r>
                  <w:r>
                    <w:rPr>
                      <w:color w:val="000000"/>
                      <w:sz w:val="20"/>
                      <w:szCs w:val="20"/>
                    </w:rPr>
                    <w:t>,00</w:t>
                  </w:r>
                </w:p>
              </w:tc>
            </w:tr>
            <w:tr w:rsidR="000440B7" w:rsidRPr="000440B7" w:rsidTr="000440B7">
              <w:trPr>
                <w:trHeight w:val="300"/>
              </w:trPr>
              <w:tc>
                <w:tcPr>
                  <w:tcW w:w="3823" w:type="dxa"/>
                  <w:gridSpan w:val="2"/>
                  <w:tcBorders>
                    <w:top w:val="nil"/>
                    <w:left w:val="single" w:sz="4" w:space="0" w:color="auto"/>
                    <w:bottom w:val="single" w:sz="4" w:space="0" w:color="auto"/>
                    <w:right w:val="single" w:sz="4" w:space="0" w:color="auto"/>
                  </w:tcBorders>
                  <w:shd w:val="clear" w:color="auto" w:fill="auto"/>
                  <w:noWrap/>
                  <w:vAlign w:val="center"/>
                  <w:hideMark/>
                </w:tcPr>
                <w:p w:rsidR="000440B7" w:rsidRPr="000440B7" w:rsidRDefault="000440B7">
                  <w:pPr>
                    <w:rPr>
                      <w:color w:val="000000"/>
                      <w:sz w:val="20"/>
                      <w:szCs w:val="20"/>
                    </w:rPr>
                  </w:pPr>
                  <w:r w:rsidRPr="000440B7">
                    <w:rPr>
                      <w:color w:val="000000"/>
                      <w:sz w:val="20"/>
                      <w:szCs w:val="20"/>
                    </w:rPr>
                    <w:t> </w:t>
                  </w:r>
                </w:p>
                <w:p w:rsidR="000440B7" w:rsidRPr="000440B7" w:rsidRDefault="000440B7">
                  <w:pPr>
                    <w:rPr>
                      <w:color w:val="000000"/>
                      <w:sz w:val="20"/>
                      <w:szCs w:val="20"/>
                    </w:rPr>
                  </w:pPr>
                  <w:r w:rsidRPr="000440B7">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0440B7" w:rsidRPr="000440B7" w:rsidRDefault="0063369C">
                  <w:pPr>
                    <w:jc w:val="center"/>
                    <w:rPr>
                      <w:b/>
                      <w:bCs/>
                      <w:color w:val="000000"/>
                      <w:sz w:val="20"/>
                      <w:szCs w:val="20"/>
                    </w:rPr>
                  </w:pPr>
                  <w:r>
                    <w:rPr>
                      <w:b/>
                      <w:bCs/>
                      <w:color w:val="000000"/>
                      <w:sz w:val="20"/>
                      <w:szCs w:val="20"/>
                    </w:rPr>
                    <w:t>Kopā</w:t>
                  </w:r>
                  <w:r w:rsidR="000440B7">
                    <w:rPr>
                      <w:b/>
                      <w:bCs/>
                      <w:color w:val="000000"/>
                      <w:sz w:val="20"/>
                      <w:szCs w:val="20"/>
                    </w:rPr>
                    <w:t>:</w:t>
                  </w:r>
                </w:p>
              </w:tc>
              <w:tc>
                <w:tcPr>
                  <w:tcW w:w="1511" w:type="dxa"/>
                  <w:tcBorders>
                    <w:top w:val="nil"/>
                    <w:left w:val="nil"/>
                    <w:bottom w:val="single" w:sz="4" w:space="0" w:color="auto"/>
                    <w:right w:val="single" w:sz="4" w:space="0" w:color="auto"/>
                  </w:tcBorders>
                  <w:shd w:val="clear" w:color="auto" w:fill="auto"/>
                  <w:noWrap/>
                  <w:vAlign w:val="center"/>
                  <w:hideMark/>
                </w:tcPr>
                <w:p w:rsidR="000440B7" w:rsidRPr="000440B7" w:rsidRDefault="000440B7" w:rsidP="000440B7">
                  <w:pPr>
                    <w:ind w:firstLineChars="100" w:firstLine="201"/>
                    <w:jc w:val="center"/>
                    <w:rPr>
                      <w:b/>
                      <w:bCs/>
                      <w:color w:val="000000"/>
                      <w:sz w:val="20"/>
                      <w:szCs w:val="20"/>
                    </w:rPr>
                  </w:pPr>
                  <w:r w:rsidRPr="000440B7">
                    <w:rPr>
                      <w:b/>
                      <w:bCs/>
                      <w:color w:val="000000"/>
                      <w:sz w:val="20"/>
                      <w:szCs w:val="20"/>
                    </w:rPr>
                    <w:t>363</w:t>
                  </w:r>
                  <w:r>
                    <w:rPr>
                      <w:b/>
                      <w:bCs/>
                      <w:color w:val="000000"/>
                      <w:sz w:val="20"/>
                      <w:szCs w:val="20"/>
                    </w:rPr>
                    <w:t> </w:t>
                  </w:r>
                  <w:r w:rsidRPr="000440B7">
                    <w:rPr>
                      <w:b/>
                      <w:bCs/>
                      <w:color w:val="000000"/>
                      <w:sz w:val="20"/>
                      <w:szCs w:val="20"/>
                    </w:rPr>
                    <w:t>525</w:t>
                  </w:r>
                  <w:r>
                    <w:rPr>
                      <w:b/>
                      <w:bCs/>
                      <w:color w:val="000000"/>
                      <w:sz w:val="20"/>
                      <w:szCs w:val="20"/>
                    </w:rPr>
                    <w:t>,00</w:t>
                  </w:r>
                </w:p>
              </w:tc>
            </w:tr>
            <w:tr w:rsidR="000440B7" w:rsidRPr="000440B7" w:rsidTr="000440B7">
              <w:trPr>
                <w:trHeight w:val="300"/>
              </w:trPr>
              <w:tc>
                <w:tcPr>
                  <w:tcW w:w="1838" w:type="dxa"/>
                  <w:tcBorders>
                    <w:top w:val="nil"/>
                    <w:left w:val="nil"/>
                    <w:bottom w:val="nil"/>
                    <w:right w:val="nil"/>
                  </w:tcBorders>
                  <w:shd w:val="clear" w:color="auto" w:fill="auto"/>
                  <w:noWrap/>
                  <w:vAlign w:val="center"/>
                  <w:hideMark/>
                </w:tcPr>
                <w:p w:rsidR="000440B7" w:rsidRPr="000440B7" w:rsidRDefault="000440B7">
                  <w:pPr>
                    <w:rPr>
                      <w:color w:val="000000"/>
                      <w:sz w:val="20"/>
                      <w:szCs w:val="20"/>
                    </w:rPr>
                  </w:pPr>
                </w:p>
              </w:tc>
              <w:tc>
                <w:tcPr>
                  <w:tcW w:w="1985" w:type="dxa"/>
                  <w:tcBorders>
                    <w:top w:val="nil"/>
                    <w:left w:val="nil"/>
                    <w:bottom w:val="nil"/>
                    <w:right w:val="nil"/>
                  </w:tcBorders>
                  <w:shd w:val="clear" w:color="auto" w:fill="auto"/>
                  <w:noWrap/>
                  <w:vAlign w:val="center"/>
                  <w:hideMark/>
                </w:tcPr>
                <w:p w:rsidR="000440B7" w:rsidRPr="000440B7" w:rsidRDefault="000440B7">
                  <w:pPr>
                    <w:rPr>
                      <w:color w:val="000000"/>
                      <w:sz w:val="20"/>
                      <w:szCs w:val="20"/>
                    </w:rPr>
                  </w:pPr>
                </w:p>
              </w:tc>
              <w:tc>
                <w:tcPr>
                  <w:tcW w:w="1417" w:type="dxa"/>
                  <w:tcBorders>
                    <w:top w:val="nil"/>
                    <w:left w:val="nil"/>
                    <w:bottom w:val="nil"/>
                    <w:right w:val="nil"/>
                  </w:tcBorders>
                  <w:shd w:val="clear" w:color="auto" w:fill="auto"/>
                  <w:noWrap/>
                  <w:vAlign w:val="center"/>
                  <w:hideMark/>
                </w:tcPr>
                <w:p w:rsidR="000440B7" w:rsidRPr="000440B7" w:rsidRDefault="000440B7">
                  <w:pPr>
                    <w:rPr>
                      <w:color w:val="000000"/>
                      <w:sz w:val="20"/>
                      <w:szCs w:val="20"/>
                    </w:rPr>
                  </w:pPr>
                </w:p>
              </w:tc>
              <w:tc>
                <w:tcPr>
                  <w:tcW w:w="1511" w:type="dxa"/>
                  <w:tcBorders>
                    <w:top w:val="nil"/>
                    <w:left w:val="nil"/>
                    <w:bottom w:val="nil"/>
                    <w:right w:val="nil"/>
                  </w:tcBorders>
                  <w:shd w:val="clear" w:color="auto" w:fill="auto"/>
                  <w:noWrap/>
                  <w:vAlign w:val="center"/>
                  <w:hideMark/>
                </w:tcPr>
                <w:p w:rsidR="000440B7" w:rsidRPr="000440B7" w:rsidRDefault="000440B7">
                  <w:pPr>
                    <w:rPr>
                      <w:color w:val="000000"/>
                      <w:sz w:val="20"/>
                      <w:szCs w:val="20"/>
                    </w:rPr>
                  </w:pPr>
                </w:p>
              </w:tc>
            </w:tr>
            <w:tr w:rsidR="000440B7" w:rsidRPr="000440B7" w:rsidTr="000440B7">
              <w:trPr>
                <w:trHeight w:val="900"/>
              </w:trPr>
              <w:tc>
                <w:tcPr>
                  <w:tcW w:w="1838" w:type="dxa"/>
                  <w:vMerge w:val="restart"/>
                  <w:tcBorders>
                    <w:top w:val="single" w:sz="4" w:space="0" w:color="auto"/>
                    <w:left w:val="single" w:sz="4" w:space="0" w:color="auto"/>
                    <w:right w:val="single" w:sz="4" w:space="0" w:color="auto"/>
                  </w:tcBorders>
                  <w:shd w:val="clear" w:color="auto" w:fill="auto"/>
                  <w:vAlign w:val="center"/>
                  <w:hideMark/>
                </w:tcPr>
                <w:p w:rsidR="000440B7" w:rsidRPr="000440B7" w:rsidRDefault="000440B7" w:rsidP="0063369C">
                  <w:pPr>
                    <w:rPr>
                      <w:b/>
                      <w:bCs/>
                      <w:color w:val="000000"/>
                      <w:sz w:val="20"/>
                      <w:szCs w:val="20"/>
                    </w:rPr>
                  </w:pPr>
                  <w:r w:rsidRPr="000440B7">
                    <w:rPr>
                      <w:b/>
                      <w:bCs/>
                      <w:color w:val="000000"/>
                      <w:sz w:val="20"/>
                      <w:szCs w:val="20"/>
                    </w:rPr>
                    <w:t>Transportlīdzekļu ar specializēto aprīkojumu nomas un autovadītāju pakalpojuma nodrošināšanai</w:t>
                  </w:r>
                </w:p>
                <w:p w:rsidR="000440B7" w:rsidRPr="000440B7" w:rsidRDefault="000440B7">
                  <w:pPr>
                    <w:rPr>
                      <w:color w:val="000000"/>
                      <w:sz w:val="20"/>
                      <w:szCs w:val="20"/>
                    </w:rPr>
                  </w:pPr>
                  <w:r w:rsidRPr="000440B7">
                    <w:rPr>
                      <w:color w:val="000000"/>
                      <w:sz w:val="20"/>
                      <w:szCs w:val="20"/>
                    </w:rPr>
                    <w:t> </w:t>
                  </w:r>
                </w:p>
                <w:p w:rsidR="000440B7" w:rsidRPr="000440B7" w:rsidRDefault="000440B7">
                  <w:pPr>
                    <w:rPr>
                      <w:color w:val="000000"/>
                      <w:sz w:val="20"/>
                      <w:szCs w:val="20"/>
                    </w:rPr>
                  </w:pPr>
                  <w:r w:rsidRPr="000440B7">
                    <w:rPr>
                      <w:color w:val="000000"/>
                      <w:sz w:val="20"/>
                      <w:szCs w:val="20"/>
                    </w:rPr>
                    <w:lastRenderedPageBreak/>
                    <w:t> </w:t>
                  </w:r>
                </w:p>
                <w:p w:rsidR="000440B7" w:rsidRPr="000440B7" w:rsidRDefault="000440B7" w:rsidP="000440B7">
                  <w:pPr>
                    <w:rPr>
                      <w:b/>
                      <w:bCs/>
                      <w:color w:val="000000"/>
                      <w:sz w:val="20"/>
                      <w:szCs w:val="20"/>
                    </w:rPr>
                  </w:pPr>
                  <w:r w:rsidRPr="000440B7">
                    <w:rPr>
                      <w:color w:val="000000"/>
                      <w:sz w:val="20"/>
                      <w:szCs w:val="20"/>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440B7" w:rsidRPr="000440B7" w:rsidRDefault="000440B7">
                  <w:pPr>
                    <w:jc w:val="center"/>
                    <w:rPr>
                      <w:b/>
                      <w:bCs/>
                      <w:color w:val="000000"/>
                      <w:sz w:val="20"/>
                      <w:szCs w:val="20"/>
                    </w:rPr>
                  </w:pPr>
                  <w:r>
                    <w:rPr>
                      <w:b/>
                      <w:bCs/>
                      <w:color w:val="000000"/>
                      <w:sz w:val="20"/>
                      <w:szCs w:val="20"/>
                    </w:rPr>
                    <w:lastRenderedPageBreak/>
                    <w:t xml:space="preserve">2011.gada </w:t>
                  </w:r>
                  <w:r w:rsidRPr="000440B7">
                    <w:rPr>
                      <w:b/>
                      <w:bCs/>
                      <w:color w:val="000000"/>
                      <w:sz w:val="20"/>
                      <w:szCs w:val="20"/>
                    </w:rPr>
                    <w:t>mēnesis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440B7" w:rsidRPr="000440B7" w:rsidRDefault="000440B7">
                  <w:pPr>
                    <w:jc w:val="center"/>
                    <w:rPr>
                      <w:b/>
                      <w:bCs/>
                      <w:color w:val="000000"/>
                      <w:sz w:val="20"/>
                      <w:szCs w:val="20"/>
                    </w:rPr>
                  </w:pPr>
                  <w:r w:rsidRPr="000440B7">
                    <w:rPr>
                      <w:b/>
                      <w:bCs/>
                      <w:color w:val="000000"/>
                      <w:sz w:val="20"/>
                      <w:szCs w:val="20"/>
                    </w:rPr>
                    <w:t>summa mēnesī</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0440B7" w:rsidRPr="000440B7" w:rsidRDefault="000440B7">
                  <w:pPr>
                    <w:jc w:val="center"/>
                    <w:rPr>
                      <w:b/>
                      <w:bCs/>
                      <w:color w:val="000000"/>
                      <w:sz w:val="20"/>
                      <w:szCs w:val="20"/>
                    </w:rPr>
                  </w:pPr>
                  <w:r>
                    <w:rPr>
                      <w:b/>
                      <w:bCs/>
                      <w:color w:val="000000"/>
                      <w:sz w:val="20"/>
                      <w:szCs w:val="20"/>
                    </w:rPr>
                    <w:t>K</w:t>
                  </w:r>
                  <w:r w:rsidRPr="000440B7">
                    <w:rPr>
                      <w:b/>
                      <w:bCs/>
                      <w:color w:val="000000"/>
                      <w:sz w:val="20"/>
                      <w:szCs w:val="20"/>
                    </w:rPr>
                    <w:t>opā (Ls)</w:t>
                  </w:r>
                </w:p>
              </w:tc>
            </w:tr>
            <w:tr w:rsidR="000440B7" w:rsidRPr="000440B7" w:rsidTr="000440B7">
              <w:trPr>
                <w:trHeight w:val="300"/>
              </w:trPr>
              <w:tc>
                <w:tcPr>
                  <w:tcW w:w="1838" w:type="dxa"/>
                  <w:vMerge/>
                  <w:tcBorders>
                    <w:left w:val="single" w:sz="4" w:space="0" w:color="auto"/>
                    <w:right w:val="single" w:sz="4" w:space="0" w:color="auto"/>
                  </w:tcBorders>
                  <w:shd w:val="clear" w:color="auto" w:fill="auto"/>
                  <w:vAlign w:val="center"/>
                  <w:hideMark/>
                </w:tcPr>
                <w:p w:rsidR="000440B7" w:rsidRPr="000440B7" w:rsidRDefault="000440B7" w:rsidP="000440B7">
                  <w:pP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hideMark/>
                </w:tcPr>
                <w:p w:rsidR="000440B7" w:rsidRPr="000440B7" w:rsidRDefault="000440B7">
                  <w:pPr>
                    <w:jc w:val="center"/>
                    <w:rPr>
                      <w:color w:val="000000"/>
                      <w:sz w:val="20"/>
                      <w:szCs w:val="20"/>
                    </w:rPr>
                  </w:pPr>
                  <w:r w:rsidRPr="000440B7">
                    <w:rPr>
                      <w:color w:val="000000"/>
                      <w:sz w:val="20"/>
                      <w:szCs w:val="20"/>
                    </w:rPr>
                    <w:t>novembris</w:t>
                  </w:r>
                </w:p>
              </w:tc>
              <w:tc>
                <w:tcPr>
                  <w:tcW w:w="1417" w:type="dxa"/>
                  <w:tcBorders>
                    <w:top w:val="nil"/>
                    <w:left w:val="nil"/>
                    <w:bottom w:val="single" w:sz="4" w:space="0" w:color="auto"/>
                    <w:right w:val="single" w:sz="4" w:space="0" w:color="auto"/>
                  </w:tcBorders>
                  <w:shd w:val="clear" w:color="auto" w:fill="auto"/>
                  <w:noWrap/>
                  <w:vAlign w:val="center"/>
                  <w:hideMark/>
                </w:tcPr>
                <w:p w:rsidR="000440B7" w:rsidRPr="000440B7" w:rsidRDefault="000440B7">
                  <w:pPr>
                    <w:jc w:val="right"/>
                    <w:rPr>
                      <w:color w:val="000000"/>
                      <w:sz w:val="20"/>
                      <w:szCs w:val="20"/>
                    </w:rPr>
                  </w:pPr>
                  <w:r w:rsidRPr="000440B7">
                    <w:rPr>
                      <w:color w:val="000000"/>
                      <w:sz w:val="20"/>
                      <w:szCs w:val="20"/>
                    </w:rPr>
                    <w:t>498</w:t>
                  </w:r>
                  <w:r>
                    <w:rPr>
                      <w:color w:val="000000"/>
                      <w:sz w:val="20"/>
                      <w:szCs w:val="20"/>
                    </w:rPr>
                    <w:t> </w:t>
                  </w:r>
                  <w:r w:rsidRPr="000440B7">
                    <w:rPr>
                      <w:color w:val="000000"/>
                      <w:sz w:val="20"/>
                      <w:szCs w:val="20"/>
                    </w:rPr>
                    <w:t>337</w:t>
                  </w:r>
                  <w:r>
                    <w:rPr>
                      <w:color w:val="000000"/>
                      <w:sz w:val="20"/>
                      <w:szCs w:val="20"/>
                    </w:rPr>
                    <w:t>,00</w:t>
                  </w:r>
                </w:p>
              </w:tc>
              <w:tc>
                <w:tcPr>
                  <w:tcW w:w="1511" w:type="dxa"/>
                  <w:tcBorders>
                    <w:top w:val="nil"/>
                    <w:left w:val="nil"/>
                    <w:bottom w:val="single" w:sz="4" w:space="0" w:color="auto"/>
                    <w:right w:val="single" w:sz="4" w:space="0" w:color="auto"/>
                  </w:tcBorders>
                  <w:shd w:val="clear" w:color="auto" w:fill="auto"/>
                  <w:noWrap/>
                  <w:vAlign w:val="center"/>
                  <w:hideMark/>
                </w:tcPr>
                <w:p w:rsidR="000440B7" w:rsidRPr="000440B7" w:rsidRDefault="000440B7" w:rsidP="000440B7">
                  <w:pPr>
                    <w:ind w:firstLineChars="100" w:firstLine="200"/>
                    <w:jc w:val="center"/>
                    <w:rPr>
                      <w:color w:val="000000"/>
                      <w:sz w:val="20"/>
                      <w:szCs w:val="20"/>
                    </w:rPr>
                  </w:pPr>
                  <w:r w:rsidRPr="000440B7">
                    <w:rPr>
                      <w:color w:val="000000"/>
                      <w:sz w:val="20"/>
                      <w:szCs w:val="20"/>
                    </w:rPr>
                    <w:t>498</w:t>
                  </w:r>
                  <w:r>
                    <w:rPr>
                      <w:color w:val="000000"/>
                      <w:sz w:val="20"/>
                      <w:szCs w:val="20"/>
                    </w:rPr>
                    <w:t> </w:t>
                  </w:r>
                  <w:r w:rsidRPr="000440B7">
                    <w:rPr>
                      <w:color w:val="000000"/>
                      <w:sz w:val="20"/>
                      <w:szCs w:val="20"/>
                    </w:rPr>
                    <w:t>337</w:t>
                  </w:r>
                  <w:r>
                    <w:rPr>
                      <w:color w:val="000000"/>
                      <w:sz w:val="20"/>
                      <w:szCs w:val="20"/>
                    </w:rPr>
                    <w:t>,00</w:t>
                  </w:r>
                </w:p>
              </w:tc>
            </w:tr>
            <w:tr w:rsidR="000440B7" w:rsidRPr="000440B7" w:rsidTr="000440B7">
              <w:trPr>
                <w:trHeight w:val="300"/>
              </w:trPr>
              <w:tc>
                <w:tcPr>
                  <w:tcW w:w="1838" w:type="dxa"/>
                  <w:vMerge/>
                  <w:tcBorders>
                    <w:left w:val="single" w:sz="4" w:space="0" w:color="auto"/>
                    <w:right w:val="single" w:sz="4" w:space="0" w:color="auto"/>
                  </w:tcBorders>
                  <w:shd w:val="clear" w:color="auto" w:fill="auto"/>
                  <w:noWrap/>
                  <w:vAlign w:val="center"/>
                  <w:hideMark/>
                </w:tcPr>
                <w:p w:rsidR="000440B7" w:rsidRPr="000440B7" w:rsidRDefault="000440B7" w:rsidP="000440B7">
                  <w:pP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hideMark/>
                </w:tcPr>
                <w:p w:rsidR="000440B7" w:rsidRPr="000440B7" w:rsidRDefault="000440B7">
                  <w:pPr>
                    <w:jc w:val="center"/>
                    <w:rPr>
                      <w:color w:val="000000"/>
                      <w:sz w:val="20"/>
                      <w:szCs w:val="20"/>
                    </w:rPr>
                  </w:pPr>
                  <w:r w:rsidRPr="000440B7">
                    <w:rPr>
                      <w:color w:val="000000"/>
                      <w:sz w:val="20"/>
                      <w:szCs w:val="20"/>
                    </w:rPr>
                    <w:t>decembris</w:t>
                  </w:r>
                </w:p>
              </w:tc>
              <w:tc>
                <w:tcPr>
                  <w:tcW w:w="1417" w:type="dxa"/>
                  <w:tcBorders>
                    <w:top w:val="nil"/>
                    <w:left w:val="nil"/>
                    <w:bottom w:val="single" w:sz="4" w:space="0" w:color="auto"/>
                    <w:right w:val="single" w:sz="4" w:space="0" w:color="auto"/>
                  </w:tcBorders>
                  <w:shd w:val="clear" w:color="auto" w:fill="auto"/>
                  <w:noWrap/>
                  <w:vAlign w:val="center"/>
                  <w:hideMark/>
                </w:tcPr>
                <w:p w:rsidR="000440B7" w:rsidRPr="000440B7" w:rsidRDefault="000440B7">
                  <w:pPr>
                    <w:jc w:val="right"/>
                    <w:rPr>
                      <w:color w:val="000000"/>
                      <w:sz w:val="20"/>
                      <w:szCs w:val="20"/>
                    </w:rPr>
                  </w:pPr>
                  <w:r w:rsidRPr="000440B7">
                    <w:rPr>
                      <w:color w:val="000000"/>
                      <w:sz w:val="20"/>
                      <w:szCs w:val="20"/>
                    </w:rPr>
                    <w:t>501</w:t>
                  </w:r>
                  <w:r>
                    <w:rPr>
                      <w:color w:val="000000"/>
                      <w:sz w:val="20"/>
                      <w:szCs w:val="20"/>
                    </w:rPr>
                    <w:t> </w:t>
                  </w:r>
                  <w:r w:rsidRPr="000440B7">
                    <w:rPr>
                      <w:color w:val="000000"/>
                      <w:sz w:val="20"/>
                      <w:szCs w:val="20"/>
                    </w:rPr>
                    <w:t>021</w:t>
                  </w:r>
                  <w:r>
                    <w:rPr>
                      <w:color w:val="000000"/>
                      <w:sz w:val="20"/>
                      <w:szCs w:val="20"/>
                    </w:rPr>
                    <w:t>,00</w:t>
                  </w:r>
                </w:p>
              </w:tc>
              <w:tc>
                <w:tcPr>
                  <w:tcW w:w="1511" w:type="dxa"/>
                  <w:tcBorders>
                    <w:top w:val="nil"/>
                    <w:left w:val="nil"/>
                    <w:bottom w:val="single" w:sz="4" w:space="0" w:color="auto"/>
                    <w:right w:val="single" w:sz="4" w:space="0" w:color="auto"/>
                  </w:tcBorders>
                  <w:shd w:val="clear" w:color="auto" w:fill="auto"/>
                  <w:noWrap/>
                  <w:vAlign w:val="center"/>
                  <w:hideMark/>
                </w:tcPr>
                <w:p w:rsidR="000440B7" w:rsidRPr="000440B7" w:rsidRDefault="000440B7" w:rsidP="000440B7">
                  <w:pPr>
                    <w:ind w:firstLineChars="100" w:firstLine="200"/>
                    <w:jc w:val="center"/>
                    <w:rPr>
                      <w:color w:val="000000"/>
                      <w:sz w:val="20"/>
                      <w:szCs w:val="20"/>
                    </w:rPr>
                  </w:pPr>
                  <w:r w:rsidRPr="000440B7">
                    <w:rPr>
                      <w:color w:val="000000"/>
                      <w:sz w:val="20"/>
                      <w:szCs w:val="20"/>
                    </w:rPr>
                    <w:t>501</w:t>
                  </w:r>
                  <w:r>
                    <w:rPr>
                      <w:color w:val="000000"/>
                      <w:sz w:val="20"/>
                      <w:szCs w:val="20"/>
                    </w:rPr>
                    <w:t> </w:t>
                  </w:r>
                  <w:r w:rsidRPr="000440B7">
                    <w:rPr>
                      <w:color w:val="000000"/>
                      <w:sz w:val="20"/>
                      <w:szCs w:val="20"/>
                    </w:rPr>
                    <w:t>021</w:t>
                  </w:r>
                  <w:r>
                    <w:rPr>
                      <w:color w:val="000000"/>
                      <w:sz w:val="20"/>
                      <w:szCs w:val="20"/>
                    </w:rPr>
                    <w:t>,00</w:t>
                  </w:r>
                </w:p>
              </w:tc>
            </w:tr>
            <w:tr w:rsidR="000440B7" w:rsidRPr="000440B7" w:rsidTr="000440B7">
              <w:trPr>
                <w:trHeight w:val="300"/>
              </w:trPr>
              <w:tc>
                <w:tcPr>
                  <w:tcW w:w="1838" w:type="dxa"/>
                  <w:vMerge/>
                  <w:tcBorders>
                    <w:left w:val="single" w:sz="4" w:space="0" w:color="auto"/>
                    <w:bottom w:val="single" w:sz="4" w:space="0" w:color="auto"/>
                    <w:right w:val="single" w:sz="4" w:space="0" w:color="auto"/>
                  </w:tcBorders>
                  <w:shd w:val="clear" w:color="auto" w:fill="auto"/>
                  <w:noWrap/>
                  <w:vAlign w:val="center"/>
                  <w:hideMark/>
                </w:tcPr>
                <w:p w:rsidR="000440B7" w:rsidRPr="000440B7" w:rsidRDefault="000440B7">
                  <w:pP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hideMark/>
                </w:tcPr>
                <w:p w:rsidR="000440B7" w:rsidRPr="000440B7" w:rsidRDefault="000440B7">
                  <w:pPr>
                    <w:jc w:val="center"/>
                    <w:rPr>
                      <w:color w:val="000000"/>
                      <w:sz w:val="20"/>
                      <w:szCs w:val="20"/>
                    </w:rPr>
                  </w:pPr>
                  <w:r w:rsidRPr="000440B7">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0440B7" w:rsidRPr="000440B7" w:rsidRDefault="0063369C">
                  <w:pPr>
                    <w:jc w:val="center"/>
                    <w:rPr>
                      <w:b/>
                      <w:bCs/>
                      <w:color w:val="000000"/>
                      <w:sz w:val="20"/>
                      <w:szCs w:val="20"/>
                    </w:rPr>
                  </w:pPr>
                  <w:r>
                    <w:rPr>
                      <w:b/>
                      <w:bCs/>
                      <w:color w:val="000000"/>
                      <w:sz w:val="20"/>
                      <w:szCs w:val="20"/>
                    </w:rPr>
                    <w:t>Kopā</w:t>
                  </w:r>
                  <w:r w:rsidR="000440B7">
                    <w:rPr>
                      <w:b/>
                      <w:bCs/>
                      <w:color w:val="000000"/>
                      <w:sz w:val="20"/>
                      <w:szCs w:val="20"/>
                    </w:rPr>
                    <w:t>:</w:t>
                  </w:r>
                </w:p>
              </w:tc>
              <w:tc>
                <w:tcPr>
                  <w:tcW w:w="1511" w:type="dxa"/>
                  <w:tcBorders>
                    <w:top w:val="nil"/>
                    <w:left w:val="nil"/>
                    <w:bottom w:val="single" w:sz="4" w:space="0" w:color="auto"/>
                    <w:right w:val="single" w:sz="4" w:space="0" w:color="auto"/>
                  </w:tcBorders>
                  <w:shd w:val="clear" w:color="auto" w:fill="auto"/>
                  <w:noWrap/>
                  <w:vAlign w:val="center"/>
                  <w:hideMark/>
                </w:tcPr>
                <w:p w:rsidR="000440B7" w:rsidRPr="000440B7" w:rsidRDefault="000440B7" w:rsidP="000440B7">
                  <w:pPr>
                    <w:ind w:firstLineChars="100" w:firstLine="201"/>
                    <w:jc w:val="center"/>
                    <w:rPr>
                      <w:b/>
                      <w:bCs/>
                      <w:color w:val="000000"/>
                      <w:sz w:val="20"/>
                      <w:szCs w:val="20"/>
                    </w:rPr>
                  </w:pPr>
                  <w:r w:rsidRPr="000440B7">
                    <w:rPr>
                      <w:b/>
                      <w:bCs/>
                      <w:color w:val="000000"/>
                      <w:sz w:val="20"/>
                      <w:szCs w:val="20"/>
                    </w:rPr>
                    <w:t>999</w:t>
                  </w:r>
                  <w:r>
                    <w:rPr>
                      <w:b/>
                      <w:bCs/>
                      <w:color w:val="000000"/>
                      <w:sz w:val="20"/>
                      <w:szCs w:val="20"/>
                    </w:rPr>
                    <w:t> </w:t>
                  </w:r>
                  <w:r w:rsidRPr="000440B7">
                    <w:rPr>
                      <w:b/>
                      <w:bCs/>
                      <w:color w:val="000000"/>
                      <w:sz w:val="20"/>
                      <w:szCs w:val="20"/>
                    </w:rPr>
                    <w:t>358</w:t>
                  </w:r>
                  <w:r>
                    <w:rPr>
                      <w:b/>
                      <w:bCs/>
                      <w:color w:val="000000"/>
                      <w:sz w:val="20"/>
                      <w:szCs w:val="20"/>
                    </w:rPr>
                    <w:t>,00</w:t>
                  </w:r>
                </w:p>
              </w:tc>
            </w:tr>
            <w:tr w:rsidR="000440B7" w:rsidRPr="000440B7" w:rsidTr="000440B7">
              <w:trPr>
                <w:trHeight w:val="300"/>
              </w:trPr>
              <w:tc>
                <w:tcPr>
                  <w:tcW w:w="1838" w:type="dxa"/>
                  <w:tcBorders>
                    <w:top w:val="nil"/>
                    <w:left w:val="nil"/>
                    <w:bottom w:val="nil"/>
                    <w:right w:val="nil"/>
                  </w:tcBorders>
                  <w:shd w:val="clear" w:color="auto" w:fill="auto"/>
                  <w:noWrap/>
                  <w:vAlign w:val="center"/>
                  <w:hideMark/>
                </w:tcPr>
                <w:p w:rsidR="000440B7" w:rsidRPr="000440B7" w:rsidRDefault="000440B7">
                  <w:pPr>
                    <w:rPr>
                      <w:color w:val="000000"/>
                      <w:sz w:val="20"/>
                      <w:szCs w:val="20"/>
                    </w:rPr>
                  </w:pPr>
                </w:p>
              </w:tc>
              <w:tc>
                <w:tcPr>
                  <w:tcW w:w="1985" w:type="dxa"/>
                  <w:tcBorders>
                    <w:top w:val="nil"/>
                    <w:left w:val="nil"/>
                    <w:bottom w:val="nil"/>
                    <w:right w:val="nil"/>
                  </w:tcBorders>
                  <w:shd w:val="clear" w:color="auto" w:fill="auto"/>
                  <w:noWrap/>
                  <w:vAlign w:val="center"/>
                  <w:hideMark/>
                </w:tcPr>
                <w:p w:rsidR="000440B7" w:rsidRPr="000440B7" w:rsidRDefault="000440B7">
                  <w:pPr>
                    <w:jc w:val="center"/>
                    <w:rPr>
                      <w:color w:val="000000"/>
                      <w:sz w:val="20"/>
                      <w:szCs w:val="20"/>
                    </w:rPr>
                  </w:pPr>
                </w:p>
              </w:tc>
              <w:tc>
                <w:tcPr>
                  <w:tcW w:w="1417" w:type="dxa"/>
                  <w:tcBorders>
                    <w:top w:val="nil"/>
                    <w:left w:val="nil"/>
                    <w:bottom w:val="nil"/>
                    <w:right w:val="nil"/>
                  </w:tcBorders>
                  <w:shd w:val="clear" w:color="auto" w:fill="auto"/>
                  <w:noWrap/>
                  <w:vAlign w:val="center"/>
                  <w:hideMark/>
                </w:tcPr>
                <w:p w:rsidR="000440B7" w:rsidRPr="000440B7" w:rsidRDefault="000440B7">
                  <w:pPr>
                    <w:rPr>
                      <w:color w:val="000000"/>
                      <w:sz w:val="20"/>
                      <w:szCs w:val="20"/>
                    </w:rPr>
                  </w:pPr>
                </w:p>
              </w:tc>
              <w:tc>
                <w:tcPr>
                  <w:tcW w:w="1511" w:type="dxa"/>
                  <w:tcBorders>
                    <w:top w:val="nil"/>
                    <w:left w:val="nil"/>
                    <w:bottom w:val="nil"/>
                    <w:right w:val="nil"/>
                  </w:tcBorders>
                  <w:shd w:val="clear" w:color="auto" w:fill="auto"/>
                  <w:noWrap/>
                  <w:vAlign w:val="center"/>
                  <w:hideMark/>
                </w:tcPr>
                <w:p w:rsidR="000440B7" w:rsidRPr="000440B7" w:rsidRDefault="000440B7">
                  <w:pPr>
                    <w:rPr>
                      <w:color w:val="000000"/>
                      <w:sz w:val="20"/>
                      <w:szCs w:val="20"/>
                    </w:rPr>
                  </w:pPr>
                </w:p>
              </w:tc>
            </w:tr>
            <w:tr w:rsidR="000440B7" w:rsidRPr="000440B7" w:rsidTr="000440B7">
              <w:trPr>
                <w:trHeight w:val="300"/>
              </w:trPr>
              <w:tc>
                <w:tcPr>
                  <w:tcW w:w="1838" w:type="dxa"/>
                  <w:vMerge w:val="restart"/>
                  <w:tcBorders>
                    <w:top w:val="single" w:sz="4" w:space="0" w:color="auto"/>
                    <w:left w:val="nil"/>
                    <w:right w:val="single" w:sz="4" w:space="0" w:color="auto"/>
                  </w:tcBorders>
                  <w:shd w:val="clear" w:color="auto" w:fill="auto"/>
                  <w:noWrap/>
                  <w:vAlign w:val="center"/>
                  <w:hideMark/>
                </w:tcPr>
                <w:p w:rsidR="000440B7" w:rsidRPr="000440B7" w:rsidRDefault="000440B7">
                  <w:pPr>
                    <w:rPr>
                      <w:b/>
                      <w:bCs/>
                      <w:color w:val="000000"/>
                      <w:sz w:val="20"/>
                      <w:szCs w:val="20"/>
                    </w:rPr>
                  </w:pPr>
                  <w:r w:rsidRPr="000440B7">
                    <w:rPr>
                      <w:b/>
                      <w:bCs/>
                      <w:color w:val="000000"/>
                      <w:sz w:val="20"/>
                      <w:szCs w:val="20"/>
                    </w:rPr>
                    <w:t>Degvielas iegādei</w:t>
                  </w:r>
                </w:p>
                <w:p w:rsidR="000440B7" w:rsidRPr="000440B7" w:rsidRDefault="000440B7">
                  <w:pPr>
                    <w:rPr>
                      <w:color w:val="000000"/>
                      <w:sz w:val="20"/>
                      <w:szCs w:val="20"/>
                    </w:rPr>
                  </w:pPr>
                  <w:r w:rsidRPr="000440B7">
                    <w:rPr>
                      <w:color w:val="000000"/>
                      <w:sz w:val="20"/>
                      <w:szCs w:val="20"/>
                    </w:rPr>
                    <w:t> </w:t>
                  </w:r>
                </w:p>
                <w:p w:rsidR="000440B7" w:rsidRPr="000440B7" w:rsidRDefault="000440B7" w:rsidP="000440B7">
                  <w:pPr>
                    <w:rPr>
                      <w:b/>
                      <w:bCs/>
                      <w:color w:val="000000"/>
                      <w:sz w:val="20"/>
                      <w:szCs w:val="20"/>
                    </w:rPr>
                  </w:pPr>
                  <w:r w:rsidRPr="000440B7">
                    <w:rPr>
                      <w:color w:val="000000"/>
                      <w:sz w:val="20"/>
                      <w:szCs w:val="20"/>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440B7" w:rsidRPr="000440B7" w:rsidRDefault="000440B7">
                  <w:pPr>
                    <w:jc w:val="center"/>
                    <w:rPr>
                      <w:b/>
                      <w:bCs/>
                      <w:color w:val="000000"/>
                      <w:sz w:val="20"/>
                      <w:szCs w:val="20"/>
                    </w:rPr>
                  </w:pPr>
                  <w:r w:rsidRPr="000440B7">
                    <w:rPr>
                      <w:b/>
                      <w:bCs/>
                      <w:color w:val="000000"/>
                      <w:sz w:val="20"/>
                      <w:szCs w:val="20"/>
                    </w:rPr>
                    <w:t>mēnesis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440B7" w:rsidRPr="000440B7" w:rsidRDefault="000440B7">
                  <w:pPr>
                    <w:jc w:val="center"/>
                    <w:rPr>
                      <w:b/>
                      <w:bCs/>
                      <w:color w:val="000000"/>
                      <w:sz w:val="20"/>
                      <w:szCs w:val="20"/>
                    </w:rPr>
                  </w:pPr>
                  <w:r w:rsidRPr="000440B7">
                    <w:rPr>
                      <w:b/>
                      <w:bCs/>
                      <w:color w:val="000000"/>
                      <w:sz w:val="20"/>
                      <w:szCs w:val="20"/>
                    </w:rPr>
                    <w:t>summa mēnesī</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0440B7" w:rsidRPr="000440B7" w:rsidRDefault="000440B7">
                  <w:pPr>
                    <w:jc w:val="center"/>
                    <w:rPr>
                      <w:b/>
                      <w:bCs/>
                      <w:color w:val="000000"/>
                      <w:sz w:val="20"/>
                      <w:szCs w:val="20"/>
                    </w:rPr>
                  </w:pPr>
                  <w:r>
                    <w:rPr>
                      <w:b/>
                      <w:bCs/>
                      <w:color w:val="000000"/>
                      <w:sz w:val="20"/>
                      <w:szCs w:val="20"/>
                    </w:rPr>
                    <w:t>K</w:t>
                  </w:r>
                  <w:r w:rsidRPr="000440B7">
                    <w:rPr>
                      <w:b/>
                      <w:bCs/>
                      <w:color w:val="000000"/>
                      <w:sz w:val="20"/>
                      <w:szCs w:val="20"/>
                    </w:rPr>
                    <w:t>opā (Ls)</w:t>
                  </w:r>
                </w:p>
              </w:tc>
            </w:tr>
            <w:tr w:rsidR="000440B7" w:rsidRPr="000440B7" w:rsidTr="000440B7">
              <w:trPr>
                <w:trHeight w:val="300"/>
              </w:trPr>
              <w:tc>
                <w:tcPr>
                  <w:tcW w:w="1838" w:type="dxa"/>
                  <w:vMerge/>
                  <w:tcBorders>
                    <w:left w:val="nil"/>
                    <w:right w:val="single" w:sz="4" w:space="0" w:color="auto"/>
                  </w:tcBorders>
                  <w:shd w:val="clear" w:color="auto" w:fill="auto"/>
                  <w:noWrap/>
                  <w:vAlign w:val="center"/>
                  <w:hideMark/>
                </w:tcPr>
                <w:p w:rsidR="000440B7" w:rsidRPr="000440B7" w:rsidRDefault="000440B7" w:rsidP="000440B7">
                  <w:pPr>
                    <w:rPr>
                      <w:color w:val="000000"/>
                      <w:sz w:val="20"/>
                      <w:szCs w:val="20"/>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0440B7" w:rsidRPr="000440B7" w:rsidRDefault="000440B7">
                  <w:pPr>
                    <w:jc w:val="center"/>
                    <w:rPr>
                      <w:color w:val="000000"/>
                      <w:sz w:val="20"/>
                      <w:szCs w:val="20"/>
                    </w:rPr>
                  </w:pPr>
                  <w:r w:rsidRPr="000440B7">
                    <w:rPr>
                      <w:color w:val="000000"/>
                      <w:sz w:val="20"/>
                      <w:szCs w:val="20"/>
                    </w:rPr>
                    <w:t xml:space="preserve"> novembris</w:t>
                  </w:r>
                </w:p>
              </w:tc>
              <w:tc>
                <w:tcPr>
                  <w:tcW w:w="1417" w:type="dxa"/>
                  <w:tcBorders>
                    <w:top w:val="nil"/>
                    <w:left w:val="nil"/>
                    <w:bottom w:val="single" w:sz="4" w:space="0" w:color="auto"/>
                    <w:right w:val="single" w:sz="4" w:space="0" w:color="auto"/>
                  </w:tcBorders>
                  <w:shd w:val="clear" w:color="auto" w:fill="auto"/>
                  <w:noWrap/>
                  <w:vAlign w:val="center"/>
                  <w:hideMark/>
                </w:tcPr>
                <w:p w:rsidR="000440B7" w:rsidRPr="000440B7" w:rsidRDefault="000440B7" w:rsidP="000440B7">
                  <w:pPr>
                    <w:ind w:firstLineChars="100" w:firstLine="200"/>
                    <w:jc w:val="right"/>
                    <w:rPr>
                      <w:color w:val="000000"/>
                      <w:sz w:val="20"/>
                      <w:szCs w:val="20"/>
                    </w:rPr>
                  </w:pPr>
                  <w:r w:rsidRPr="000440B7">
                    <w:rPr>
                      <w:color w:val="000000"/>
                      <w:sz w:val="20"/>
                      <w:szCs w:val="20"/>
                    </w:rPr>
                    <w:t>98</w:t>
                  </w:r>
                  <w:r>
                    <w:rPr>
                      <w:color w:val="000000"/>
                      <w:sz w:val="20"/>
                      <w:szCs w:val="20"/>
                    </w:rPr>
                    <w:t> </w:t>
                  </w:r>
                  <w:r w:rsidRPr="000440B7">
                    <w:rPr>
                      <w:color w:val="000000"/>
                      <w:sz w:val="20"/>
                      <w:szCs w:val="20"/>
                    </w:rPr>
                    <w:t>905</w:t>
                  </w:r>
                  <w:r>
                    <w:rPr>
                      <w:color w:val="000000"/>
                      <w:sz w:val="20"/>
                      <w:szCs w:val="20"/>
                    </w:rPr>
                    <w:t>,00</w:t>
                  </w:r>
                </w:p>
              </w:tc>
              <w:tc>
                <w:tcPr>
                  <w:tcW w:w="1511" w:type="dxa"/>
                  <w:tcBorders>
                    <w:top w:val="nil"/>
                    <w:left w:val="nil"/>
                    <w:bottom w:val="single" w:sz="4" w:space="0" w:color="auto"/>
                    <w:right w:val="single" w:sz="4" w:space="0" w:color="auto"/>
                  </w:tcBorders>
                  <w:shd w:val="clear" w:color="auto" w:fill="auto"/>
                  <w:noWrap/>
                  <w:vAlign w:val="center"/>
                  <w:hideMark/>
                </w:tcPr>
                <w:p w:rsidR="000440B7" w:rsidRPr="000440B7" w:rsidRDefault="000440B7" w:rsidP="000440B7">
                  <w:pPr>
                    <w:ind w:firstLineChars="100" w:firstLine="200"/>
                    <w:jc w:val="right"/>
                    <w:rPr>
                      <w:color w:val="000000"/>
                      <w:sz w:val="20"/>
                      <w:szCs w:val="20"/>
                    </w:rPr>
                  </w:pPr>
                  <w:r w:rsidRPr="000440B7">
                    <w:rPr>
                      <w:color w:val="000000"/>
                      <w:sz w:val="20"/>
                      <w:szCs w:val="20"/>
                    </w:rPr>
                    <w:t>98</w:t>
                  </w:r>
                  <w:r>
                    <w:rPr>
                      <w:color w:val="000000"/>
                      <w:sz w:val="20"/>
                      <w:szCs w:val="20"/>
                    </w:rPr>
                    <w:t> </w:t>
                  </w:r>
                  <w:r w:rsidRPr="000440B7">
                    <w:rPr>
                      <w:color w:val="000000"/>
                      <w:sz w:val="20"/>
                      <w:szCs w:val="20"/>
                    </w:rPr>
                    <w:t>905</w:t>
                  </w:r>
                  <w:r>
                    <w:rPr>
                      <w:color w:val="000000"/>
                      <w:sz w:val="20"/>
                      <w:szCs w:val="20"/>
                    </w:rPr>
                    <w:t>,00</w:t>
                  </w:r>
                </w:p>
              </w:tc>
            </w:tr>
            <w:tr w:rsidR="000440B7" w:rsidRPr="000440B7" w:rsidTr="000440B7">
              <w:trPr>
                <w:trHeight w:val="300"/>
              </w:trPr>
              <w:tc>
                <w:tcPr>
                  <w:tcW w:w="1838" w:type="dxa"/>
                  <w:vMerge/>
                  <w:tcBorders>
                    <w:left w:val="nil"/>
                    <w:right w:val="single" w:sz="4" w:space="0" w:color="auto"/>
                  </w:tcBorders>
                  <w:shd w:val="clear" w:color="auto" w:fill="auto"/>
                  <w:noWrap/>
                  <w:vAlign w:val="center"/>
                  <w:hideMark/>
                </w:tcPr>
                <w:p w:rsidR="000440B7" w:rsidRPr="000440B7" w:rsidRDefault="000440B7" w:rsidP="000440B7">
                  <w:pP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hideMark/>
                </w:tcPr>
                <w:p w:rsidR="000440B7" w:rsidRPr="000440B7" w:rsidRDefault="000440B7">
                  <w:pPr>
                    <w:jc w:val="center"/>
                    <w:rPr>
                      <w:color w:val="000000"/>
                      <w:sz w:val="20"/>
                      <w:szCs w:val="20"/>
                    </w:rPr>
                  </w:pPr>
                  <w:r w:rsidRPr="000440B7">
                    <w:rPr>
                      <w:color w:val="000000"/>
                      <w:sz w:val="20"/>
                      <w:szCs w:val="20"/>
                    </w:rPr>
                    <w:t xml:space="preserve">decembris </w:t>
                  </w:r>
                </w:p>
              </w:tc>
              <w:tc>
                <w:tcPr>
                  <w:tcW w:w="1417" w:type="dxa"/>
                  <w:tcBorders>
                    <w:top w:val="nil"/>
                    <w:left w:val="nil"/>
                    <w:bottom w:val="single" w:sz="4" w:space="0" w:color="auto"/>
                    <w:right w:val="single" w:sz="4" w:space="0" w:color="auto"/>
                  </w:tcBorders>
                  <w:shd w:val="clear" w:color="auto" w:fill="auto"/>
                  <w:noWrap/>
                  <w:vAlign w:val="center"/>
                  <w:hideMark/>
                </w:tcPr>
                <w:p w:rsidR="000440B7" w:rsidRPr="000440B7" w:rsidRDefault="000440B7" w:rsidP="000440B7">
                  <w:pPr>
                    <w:ind w:firstLineChars="100" w:firstLine="200"/>
                    <w:jc w:val="right"/>
                    <w:rPr>
                      <w:color w:val="000000"/>
                      <w:sz w:val="20"/>
                      <w:szCs w:val="20"/>
                    </w:rPr>
                  </w:pPr>
                  <w:r w:rsidRPr="000440B7">
                    <w:rPr>
                      <w:color w:val="000000"/>
                      <w:sz w:val="20"/>
                      <w:szCs w:val="20"/>
                    </w:rPr>
                    <w:t>98</w:t>
                  </w:r>
                  <w:r>
                    <w:rPr>
                      <w:color w:val="000000"/>
                      <w:sz w:val="20"/>
                      <w:szCs w:val="20"/>
                    </w:rPr>
                    <w:t> </w:t>
                  </w:r>
                  <w:r w:rsidRPr="000440B7">
                    <w:rPr>
                      <w:color w:val="000000"/>
                      <w:sz w:val="20"/>
                      <w:szCs w:val="20"/>
                    </w:rPr>
                    <w:t>905</w:t>
                  </w:r>
                  <w:r>
                    <w:rPr>
                      <w:color w:val="000000"/>
                      <w:sz w:val="20"/>
                      <w:szCs w:val="20"/>
                    </w:rPr>
                    <w:t>,00</w:t>
                  </w:r>
                </w:p>
              </w:tc>
              <w:tc>
                <w:tcPr>
                  <w:tcW w:w="1511" w:type="dxa"/>
                  <w:tcBorders>
                    <w:top w:val="nil"/>
                    <w:left w:val="nil"/>
                    <w:bottom w:val="single" w:sz="4" w:space="0" w:color="auto"/>
                    <w:right w:val="single" w:sz="4" w:space="0" w:color="auto"/>
                  </w:tcBorders>
                  <w:shd w:val="clear" w:color="auto" w:fill="auto"/>
                  <w:noWrap/>
                  <w:vAlign w:val="center"/>
                  <w:hideMark/>
                </w:tcPr>
                <w:p w:rsidR="000440B7" w:rsidRPr="000440B7" w:rsidRDefault="000440B7" w:rsidP="000440B7">
                  <w:pPr>
                    <w:ind w:firstLineChars="100" w:firstLine="200"/>
                    <w:jc w:val="right"/>
                    <w:rPr>
                      <w:color w:val="000000"/>
                      <w:sz w:val="20"/>
                      <w:szCs w:val="20"/>
                    </w:rPr>
                  </w:pPr>
                  <w:r w:rsidRPr="000440B7">
                    <w:rPr>
                      <w:color w:val="000000"/>
                      <w:sz w:val="20"/>
                      <w:szCs w:val="20"/>
                    </w:rPr>
                    <w:t>98</w:t>
                  </w:r>
                  <w:r>
                    <w:rPr>
                      <w:color w:val="000000"/>
                      <w:sz w:val="20"/>
                      <w:szCs w:val="20"/>
                    </w:rPr>
                    <w:t> </w:t>
                  </w:r>
                  <w:r w:rsidRPr="000440B7">
                    <w:rPr>
                      <w:color w:val="000000"/>
                      <w:sz w:val="20"/>
                      <w:szCs w:val="20"/>
                    </w:rPr>
                    <w:t>905</w:t>
                  </w:r>
                  <w:r>
                    <w:rPr>
                      <w:color w:val="000000"/>
                      <w:sz w:val="20"/>
                      <w:szCs w:val="20"/>
                    </w:rPr>
                    <w:t>,00</w:t>
                  </w:r>
                </w:p>
              </w:tc>
            </w:tr>
            <w:tr w:rsidR="000440B7" w:rsidRPr="000440B7" w:rsidTr="000440B7">
              <w:trPr>
                <w:trHeight w:val="300"/>
              </w:trPr>
              <w:tc>
                <w:tcPr>
                  <w:tcW w:w="1838" w:type="dxa"/>
                  <w:vMerge/>
                  <w:tcBorders>
                    <w:left w:val="nil"/>
                    <w:right w:val="single" w:sz="4" w:space="0" w:color="auto"/>
                  </w:tcBorders>
                  <w:shd w:val="clear" w:color="auto" w:fill="auto"/>
                  <w:noWrap/>
                  <w:vAlign w:val="center"/>
                  <w:hideMark/>
                </w:tcPr>
                <w:p w:rsidR="000440B7" w:rsidRPr="000440B7" w:rsidRDefault="000440B7">
                  <w:pP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hideMark/>
                </w:tcPr>
                <w:p w:rsidR="000440B7" w:rsidRPr="000440B7" w:rsidRDefault="000440B7">
                  <w:pPr>
                    <w:rPr>
                      <w:color w:val="000000"/>
                      <w:sz w:val="20"/>
                      <w:szCs w:val="20"/>
                    </w:rPr>
                  </w:pPr>
                  <w:r w:rsidRPr="000440B7">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0440B7" w:rsidRPr="000440B7" w:rsidRDefault="000440B7">
                  <w:pPr>
                    <w:jc w:val="center"/>
                    <w:rPr>
                      <w:b/>
                      <w:bCs/>
                      <w:color w:val="000000"/>
                      <w:sz w:val="20"/>
                      <w:szCs w:val="20"/>
                    </w:rPr>
                  </w:pPr>
                  <w:r w:rsidRPr="000440B7">
                    <w:rPr>
                      <w:b/>
                      <w:bCs/>
                      <w:color w:val="000000"/>
                      <w:sz w:val="20"/>
                      <w:szCs w:val="20"/>
                    </w:rPr>
                    <w:t>K</w:t>
                  </w:r>
                  <w:r w:rsidR="0063369C">
                    <w:rPr>
                      <w:b/>
                      <w:bCs/>
                      <w:color w:val="000000"/>
                      <w:sz w:val="20"/>
                      <w:szCs w:val="20"/>
                    </w:rPr>
                    <w:t>opā:</w:t>
                  </w:r>
                </w:p>
              </w:tc>
              <w:tc>
                <w:tcPr>
                  <w:tcW w:w="1511" w:type="dxa"/>
                  <w:tcBorders>
                    <w:top w:val="nil"/>
                    <w:left w:val="nil"/>
                    <w:bottom w:val="single" w:sz="4" w:space="0" w:color="auto"/>
                    <w:right w:val="single" w:sz="4" w:space="0" w:color="auto"/>
                  </w:tcBorders>
                  <w:shd w:val="clear" w:color="auto" w:fill="auto"/>
                  <w:noWrap/>
                  <w:vAlign w:val="center"/>
                  <w:hideMark/>
                </w:tcPr>
                <w:p w:rsidR="000440B7" w:rsidRPr="000440B7" w:rsidRDefault="000440B7" w:rsidP="000440B7">
                  <w:pPr>
                    <w:ind w:firstLineChars="100" w:firstLine="201"/>
                    <w:jc w:val="right"/>
                    <w:rPr>
                      <w:b/>
                      <w:bCs/>
                      <w:color w:val="000000"/>
                      <w:sz w:val="20"/>
                      <w:szCs w:val="20"/>
                    </w:rPr>
                  </w:pPr>
                  <w:r w:rsidRPr="000440B7">
                    <w:rPr>
                      <w:b/>
                      <w:bCs/>
                      <w:color w:val="000000"/>
                      <w:sz w:val="20"/>
                      <w:szCs w:val="20"/>
                    </w:rPr>
                    <w:t>197</w:t>
                  </w:r>
                  <w:r>
                    <w:rPr>
                      <w:b/>
                      <w:bCs/>
                      <w:color w:val="000000"/>
                      <w:sz w:val="20"/>
                      <w:szCs w:val="20"/>
                    </w:rPr>
                    <w:t> </w:t>
                  </w:r>
                  <w:r w:rsidRPr="000440B7">
                    <w:rPr>
                      <w:b/>
                      <w:bCs/>
                      <w:color w:val="000000"/>
                      <w:sz w:val="20"/>
                      <w:szCs w:val="20"/>
                    </w:rPr>
                    <w:t>810</w:t>
                  </w:r>
                  <w:r>
                    <w:rPr>
                      <w:b/>
                      <w:bCs/>
                      <w:color w:val="000000"/>
                      <w:sz w:val="20"/>
                      <w:szCs w:val="20"/>
                    </w:rPr>
                    <w:t>,00</w:t>
                  </w:r>
                </w:p>
              </w:tc>
            </w:tr>
            <w:tr w:rsidR="000440B7" w:rsidRPr="000440B7" w:rsidTr="000440B7">
              <w:trPr>
                <w:trHeight w:val="300"/>
              </w:trPr>
              <w:tc>
                <w:tcPr>
                  <w:tcW w:w="1838" w:type="dxa"/>
                  <w:vMerge/>
                  <w:tcBorders>
                    <w:left w:val="nil"/>
                    <w:bottom w:val="nil"/>
                    <w:right w:val="single" w:sz="4" w:space="0" w:color="auto"/>
                  </w:tcBorders>
                  <w:shd w:val="clear" w:color="auto" w:fill="auto"/>
                  <w:noWrap/>
                  <w:vAlign w:val="center"/>
                  <w:hideMark/>
                </w:tcPr>
                <w:p w:rsidR="000440B7" w:rsidRPr="000440B7" w:rsidRDefault="000440B7">
                  <w:pPr>
                    <w:rPr>
                      <w:color w:val="000000"/>
                      <w:sz w:val="20"/>
                      <w:szCs w:val="20"/>
                    </w:rPr>
                  </w:pPr>
                </w:p>
              </w:tc>
              <w:tc>
                <w:tcPr>
                  <w:tcW w:w="1985" w:type="dxa"/>
                  <w:tcBorders>
                    <w:top w:val="nil"/>
                    <w:left w:val="single" w:sz="4" w:space="0" w:color="auto"/>
                    <w:bottom w:val="nil"/>
                    <w:right w:val="nil"/>
                  </w:tcBorders>
                  <w:shd w:val="clear" w:color="auto" w:fill="auto"/>
                  <w:noWrap/>
                  <w:vAlign w:val="center"/>
                  <w:hideMark/>
                </w:tcPr>
                <w:p w:rsidR="000440B7" w:rsidRPr="000440B7" w:rsidRDefault="000440B7">
                  <w:pPr>
                    <w:rPr>
                      <w:color w:val="000000"/>
                      <w:sz w:val="20"/>
                      <w:szCs w:val="20"/>
                    </w:rPr>
                  </w:pPr>
                </w:p>
              </w:tc>
              <w:tc>
                <w:tcPr>
                  <w:tcW w:w="1417" w:type="dxa"/>
                  <w:tcBorders>
                    <w:top w:val="nil"/>
                    <w:left w:val="nil"/>
                    <w:bottom w:val="nil"/>
                    <w:right w:val="nil"/>
                  </w:tcBorders>
                  <w:shd w:val="clear" w:color="auto" w:fill="auto"/>
                  <w:noWrap/>
                  <w:vAlign w:val="center"/>
                  <w:hideMark/>
                </w:tcPr>
                <w:p w:rsidR="000440B7" w:rsidRPr="000440B7" w:rsidRDefault="000440B7">
                  <w:pPr>
                    <w:rPr>
                      <w:color w:val="000000"/>
                      <w:sz w:val="20"/>
                      <w:szCs w:val="20"/>
                    </w:rPr>
                  </w:pPr>
                </w:p>
              </w:tc>
              <w:tc>
                <w:tcPr>
                  <w:tcW w:w="1511" w:type="dxa"/>
                  <w:tcBorders>
                    <w:top w:val="nil"/>
                    <w:left w:val="nil"/>
                    <w:bottom w:val="nil"/>
                    <w:right w:val="nil"/>
                  </w:tcBorders>
                  <w:shd w:val="clear" w:color="auto" w:fill="auto"/>
                  <w:noWrap/>
                  <w:vAlign w:val="center"/>
                  <w:hideMark/>
                </w:tcPr>
                <w:p w:rsidR="000440B7" w:rsidRPr="000440B7" w:rsidRDefault="000440B7" w:rsidP="000440B7">
                  <w:pPr>
                    <w:ind w:firstLineChars="100" w:firstLine="200"/>
                    <w:jc w:val="right"/>
                    <w:rPr>
                      <w:color w:val="000000"/>
                      <w:sz w:val="20"/>
                      <w:szCs w:val="20"/>
                    </w:rPr>
                  </w:pPr>
                </w:p>
              </w:tc>
            </w:tr>
            <w:tr w:rsidR="000440B7" w:rsidRPr="000440B7" w:rsidTr="000440B7">
              <w:trPr>
                <w:trHeight w:val="300"/>
              </w:trPr>
              <w:tc>
                <w:tcPr>
                  <w:tcW w:w="1838" w:type="dxa"/>
                  <w:tcBorders>
                    <w:top w:val="single" w:sz="4" w:space="0" w:color="auto"/>
                    <w:left w:val="nil"/>
                    <w:bottom w:val="single" w:sz="4" w:space="0" w:color="auto"/>
                    <w:right w:val="single" w:sz="4" w:space="0" w:color="auto"/>
                  </w:tcBorders>
                  <w:shd w:val="clear" w:color="auto" w:fill="auto"/>
                  <w:noWrap/>
                  <w:vAlign w:val="center"/>
                  <w:hideMark/>
                </w:tcPr>
                <w:p w:rsidR="000440B7" w:rsidRPr="000440B7" w:rsidRDefault="000440B7">
                  <w:pPr>
                    <w:rPr>
                      <w:b/>
                      <w:bCs/>
                      <w:color w:val="000000"/>
                      <w:sz w:val="20"/>
                      <w:szCs w:val="20"/>
                    </w:rPr>
                  </w:pPr>
                  <w:r w:rsidRPr="000440B7">
                    <w:rPr>
                      <w:b/>
                      <w:bCs/>
                      <w:color w:val="000000"/>
                      <w:sz w:val="20"/>
                      <w:szCs w:val="20"/>
                    </w:rPr>
                    <w:t>Ziemas riepu iegādei</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440B7" w:rsidRPr="000440B7" w:rsidRDefault="000440B7">
                  <w:pPr>
                    <w:jc w:val="center"/>
                    <w:rPr>
                      <w:b/>
                      <w:bCs/>
                      <w:color w:val="000000"/>
                      <w:sz w:val="20"/>
                      <w:szCs w:val="20"/>
                    </w:rPr>
                  </w:pPr>
                  <w:r w:rsidRPr="000440B7">
                    <w:rPr>
                      <w:b/>
                      <w:bCs/>
                      <w:color w:val="000000"/>
                      <w:sz w:val="20"/>
                      <w:szCs w:val="20"/>
                    </w:rPr>
                    <w:t>komplekti, g</w:t>
                  </w:r>
                  <w:r>
                    <w:rPr>
                      <w:b/>
                      <w:bCs/>
                      <w:color w:val="000000"/>
                      <w:sz w:val="20"/>
                      <w:szCs w:val="20"/>
                    </w:rPr>
                    <w:t>a</w:t>
                  </w:r>
                  <w:r w:rsidRPr="000440B7">
                    <w:rPr>
                      <w:b/>
                      <w:bCs/>
                      <w:color w:val="000000"/>
                      <w:sz w:val="20"/>
                      <w:szCs w:val="20"/>
                    </w:rPr>
                    <w:t>b</w:t>
                  </w:r>
                  <w:r>
                    <w:rPr>
                      <w:b/>
                      <w:bCs/>
                      <w:color w:val="000000"/>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440B7" w:rsidRPr="000440B7" w:rsidRDefault="000440B7">
                  <w:pPr>
                    <w:jc w:val="center"/>
                    <w:rPr>
                      <w:b/>
                      <w:bCs/>
                      <w:color w:val="000000"/>
                      <w:sz w:val="20"/>
                      <w:szCs w:val="20"/>
                    </w:rPr>
                  </w:pPr>
                  <w:r>
                    <w:rPr>
                      <w:b/>
                      <w:bCs/>
                      <w:color w:val="000000"/>
                      <w:sz w:val="20"/>
                      <w:szCs w:val="20"/>
                    </w:rPr>
                    <w:t xml:space="preserve">1 komplekta vidējā </w:t>
                  </w:r>
                  <w:r w:rsidRPr="000440B7">
                    <w:rPr>
                      <w:b/>
                      <w:bCs/>
                      <w:color w:val="000000"/>
                      <w:sz w:val="20"/>
                      <w:szCs w:val="20"/>
                    </w:rPr>
                    <w:t>cena</w:t>
                  </w:r>
                  <w:r>
                    <w:rPr>
                      <w:b/>
                      <w:bCs/>
                      <w:color w:val="000000"/>
                      <w:sz w:val="20"/>
                      <w:szCs w:val="20"/>
                    </w:rPr>
                    <w:t xml:space="preserve"> (Ls)</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0440B7" w:rsidRPr="000440B7" w:rsidRDefault="000440B7">
                  <w:pPr>
                    <w:jc w:val="center"/>
                    <w:rPr>
                      <w:b/>
                      <w:bCs/>
                      <w:color w:val="000000"/>
                      <w:sz w:val="20"/>
                      <w:szCs w:val="20"/>
                    </w:rPr>
                  </w:pPr>
                  <w:r w:rsidRPr="000440B7">
                    <w:rPr>
                      <w:b/>
                      <w:bCs/>
                      <w:color w:val="000000"/>
                      <w:sz w:val="20"/>
                      <w:szCs w:val="20"/>
                    </w:rPr>
                    <w:t>kopā (Ls)</w:t>
                  </w:r>
                </w:p>
              </w:tc>
            </w:tr>
            <w:tr w:rsidR="000440B7" w:rsidRPr="000440B7" w:rsidTr="000440B7">
              <w:trPr>
                <w:trHeight w:val="300"/>
              </w:trPr>
              <w:tc>
                <w:tcPr>
                  <w:tcW w:w="1838" w:type="dxa"/>
                  <w:tcBorders>
                    <w:top w:val="nil"/>
                    <w:left w:val="nil"/>
                    <w:bottom w:val="single" w:sz="4" w:space="0" w:color="auto"/>
                    <w:right w:val="single" w:sz="4" w:space="0" w:color="auto"/>
                  </w:tcBorders>
                  <w:shd w:val="clear" w:color="auto" w:fill="auto"/>
                  <w:noWrap/>
                  <w:vAlign w:val="center"/>
                  <w:hideMark/>
                </w:tcPr>
                <w:p w:rsidR="000440B7" w:rsidRPr="000440B7" w:rsidRDefault="000440B7">
                  <w:pPr>
                    <w:rPr>
                      <w:b/>
                      <w:bCs/>
                      <w:color w:val="000000"/>
                      <w:sz w:val="20"/>
                      <w:szCs w:val="20"/>
                    </w:rPr>
                  </w:pPr>
                  <w:r w:rsidRPr="000440B7">
                    <w:rPr>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0440B7" w:rsidRPr="000440B7" w:rsidRDefault="000440B7">
                  <w:pPr>
                    <w:jc w:val="center"/>
                    <w:rPr>
                      <w:color w:val="000000"/>
                      <w:sz w:val="20"/>
                      <w:szCs w:val="20"/>
                    </w:rPr>
                  </w:pPr>
                  <w:r w:rsidRPr="000440B7">
                    <w:rPr>
                      <w:color w:val="000000"/>
                      <w:sz w:val="20"/>
                      <w:szCs w:val="20"/>
                    </w:rPr>
                    <w:t>106</w:t>
                  </w:r>
                </w:p>
              </w:tc>
              <w:tc>
                <w:tcPr>
                  <w:tcW w:w="1417" w:type="dxa"/>
                  <w:tcBorders>
                    <w:top w:val="nil"/>
                    <w:left w:val="nil"/>
                    <w:bottom w:val="single" w:sz="4" w:space="0" w:color="auto"/>
                    <w:right w:val="single" w:sz="4" w:space="0" w:color="auto"/>
                  </w:tcBorders>
                  <w:shd w:val="clear" w:color="auto" w:fill="auto"/>
                  <w:noWrap/>
                  <w:vAlign w:val="center"/>
                  <w:hideMark/>
                </w:tcPr>
                <w:p w:rsidR="000440B7" w:rsidRPr="000440B7" w:rsidRDefault="0063369C">
                  <w:pPr>
                    <w:jc w:val="center"/>
                    <w:rPr>
                      <w:color w:val="000000"/>
                      <w:sz w:val="20"/>
                      <w:szCs w:val="20"/>
                    </w:rPr>
                  </w:pPr>
                  <w:r>
                    <w:rPr>
                      <w:color w:val="000000"/>
                      <w:sz w:val="20"/>
                      <w:szCs w:val="20"/>
                    </w:rPr>
                    <w:t>205,</w:t>
                  </w:r>
                  <w:r w:rsidR="000440B7" w:rsidRPr="000440B7">
                    <w:rPr>
                      <w:color w:val="000000"/>
                      <w:sz w:val="20"/>
                      <w:szCs w:val="20"/>
                    </w:rPr>
                    <w:t>64</w:t>
                  </w:r>
                </w:p>
              </w:tc>
              <w:tc>
                <w:tcPr>
                  <w:tcW w:w="1511" w:type="dxa"/>
                  <w:tcBorders>
                    <w:top w:val="nil"/>
                    <w:left w:val="nil"/>
                    <w:bottom w:val="single" w:sz="4" w:space="0" w:color="auto"/>
                    <w:right w:val="single" w:sz="4" w:space="0" w:color="auto"/>
                  </w:tcBorders>
                  <w:shd w:val="clear" w:color="auto" w:fill="auto"/>
                  <w:noWrap/>
                  <w:vAlign w:val="center"/>
                  <w:hideMark/>
                </w:tcPr>
                <w:p w:rsidR="000440B7" w:rsidRPr="000440B7" w:rsidRDefault="000440B7" w:rsidP="000440B7">
                  <w:pPr>
                    <w:ind w:firstLineChars="100" w:firstLine="200"/>
                    <w:jc w:val="center"/>
                    <w:rPr>
                      <w:bCs/>
                      <w:color w:val="000000"/>
                      <w:sz w:val="20"/>
                      <w:szCs w:val="20"/>
                    </w:rPr>
                  </w:pPr>
                  <w:r w:rsidRPr="000440B7">
                    <w:rPr>
                      <w:bCs/>
                      <w:color w:val="000000"/>
                      <w:sz w:val="20"/>
                      <w:szCs w:val="20"/>
                    </w:rPr>
                    <w:t>21 798,00</w:t>
                  </w:r>
                </w:p>
              </w:tc>
            </w:tr>
            <w:tr w:rsidR="000440B7" w:rsidRPr="000440B7" w:rsidTr="000440B7">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0440B7" w:rsidRPr="000440B7" w:rsidRDefault="000440B7">
                  <w:pPr>
                    <w:rPr>
                      <w:b/>
                      <w:bCs/>
                      <w:color w:val="000000"/>
                      <w:sz w:val="20"/>
                      <w:szCs w:val="20"/>
                    </w:rPr>
                  </w:pPr>
                  <w:r w:rsidRPr="000440B7">
                    <w:rPr>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0440B7" w:rsidRPr="000440B7" w:rsidRDefault="000440B7">
                  <w:pPr>
                    <w:rPr>
                      <w:color w:val="000000"/>
                      <w:sz w:val="20"/>
                      <w:szCs w:val="20"/>
                    </w:rPr>
                  </w:pPr>
                  <w:r w:rsidRPr="000440B7">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0440B7" w:rsidRPr="000440B7" w:rsidRDefault="0063369C">
                  <w:pPr>
                    <w:jc w:val="center"/>
                    <w:rPr>
                      <w:b/>
                      <w:bCs/>
                      <w:color w:val="000000"/>
                      <w:sz w:val="20"/>
                      <w:szCs w:val="20"/>
                    </w:rPr>
                  </w:pPr>
                  <w:r>
                    <w:rPr>
                      <w:b/>
                      <w:bCs/>
                      <w:color w:val="000000"/>
                      <w:sz w:val="20"/>
                      <w:szCs w:val="20"/>
                    </w:rPr>
                    <w:t>Kopā</w:t>
                  </w:r>
                  <w:r w:rsidR="000440B7">
                    <w:rPr>
                      <w:b/>
                      <w:bCs/>
                      <w:color w:val="000000"/>
                      <w:sz w:val="20"/>
                      <w:szCs w:val="20"/>
                    </w:rPr>
                    <w:t>:</w:t>
                  </w:r>
                </w:p>
              </w:tc>
              <w:tc>
                <w:tcPr>
                  <w:tcW w:w="1511" w:type="dxa"/>
                  <w:tcBorders>
                    <w:top w:val="nil"/>
                    <w:left w:val="nil"/>
                    <w:bottom w:val="single" w:sz="4" w:space="0" w:color="auto"/>
                    <w:right w:val="single" w:sz="4" w:space="0" w:color="auto"/>
                  </w:tcBorders>
                  <w:shd w:val="clear" w:color="auto" w:fill="auto"/>
                  <w:noWrap/>
                  <w:vAlign w:val="center"/>
                  <w:hideMark/>
                </w:tcPr>
                <w:p w:rsidR="000440B7" w:rsidRPr="000440B7" w:rsidRDefault="000440B7" w:rsidP="000440B7">
                  <w:pPr>
                    <w:ind w:firstLineChars="100" w:firstLine="201"/>
                    <w:jc w:val="center"/>
                    <w:rPr>
                      <w:b/>
                      <w:bCs/>
                      <w:color w:val="000000"/>
                      <w:sz w:val="20"/>
                      <w:szCs w:val="20"/>
                    </w:rPr>
                  </w:pPr>
                  <w:r w:rsidRPr="000440B7">
                    <w:rPr>
                      <w:b/>
                      <w:bCs/>
                      <w:color w:val="000000"/>
                      <w:sz w:val="20"/>
                      <w:szCs w:val="20"/>
                    </w:rPr>
                    <w:t>21</w:t>
                  </w:r>
                  <w:r>
                    <w:rPr>
                      <w:b/>
                      <w:bCs/>
                      <w:color w:val="000000"/>
                      <w:sz w:val="20"/>
                      <w:szCs w:val="20"/>
                    </w:rPr>
                    <w:t> </w:t>
                  </w:r>
                  <w:r w:rsidRPr="000440B7">
                    <w:rPr>
                      <w:b/>
                      <w:bCs/>
                      <w:color w:val="000000"/>
                      <w:sz w:val="20"/>
                      <w:szCs w:val="20"/>
                    </w:rPr>
                    <w:t>798</w:t>
                  </w:r>
                  <w:r>
                    <w:rPr>
                      <w:b/>
                      <w:bCs/>
                      <w:color w:val="000000"/>
                      <w:sz w:val="20"/>
                      <w:szCs w:val="20"/>
                    </w:rPr>
                    <w:t>,00</w:t>
                  </w:r>
                </w:p>
              </w:tc>
            </w:tr>
            <w:tr w:rsidR="000440B7" w:rsidRPr="000440B7" w:rsidTr="000440B7">
              <w:trPr>
                <w:trHeight w:val="300"/>
              </w:trPr>
              <w:tc>
                <w:tcPr>
                  <w:tcW w:w="1838" w:type="dxa"/>
                  <w:tcBorders>
                    <w:top w:val="nil"/>
                    <w:left w:val="nil"/>
                    <w:bottom w:val="nil"/>
                    <w:right w:val="nil"/>
                  </w:tcBorders>
                  <w:shd w:val="clear" w:color="auto" w:fill="auto"/>
                  <w:noWrap/>
                  <w:vAlign w:val="center"/>
                  <w:hideMark/>
                </w:tcPr>
                <w:p w:rsidR="000440B7" w:rsidRPr="000440B7" w:rsidRDefault="000440B7">
                  <w:pPr>
                    <w:rPr>
                      <w:color w:val="000000"/>
                      <w:sz w:val="20"/>
                      <w:szCs w:val="20"/>
                    </w:rPr>
                  </w:pPr>
                </w:p>
              </w:tc>
              <w:tc>
                <w:tcPr>
                  <w:tcW w:w="1985" w:type="dxa"/>
                  <w:tcBorders>
                    <w:top w:val="nil"/>
                    <w:left w:val="nil"/>
                    <w:bottom w:val="nil"/>
                    <w:right w:val="nil"/>
                  </w:tcBorders>
                  <w:shd w:val="clear" w:color="auto" w:fill="auto"/>
                  <w:noWrap/>
                  <w:vAlign w:val="center"/>
                  <w:hideMark/>
                </w:tcPr>
                <w:p w:rsidR="000440B7" w:rsidRPr="000440B7" w:rsidRDefault="000440B7">
                  <w:pPr>
                    <w:rPr>
                      <w:color w:val="000000"/>
                      <w:sz w:val="20"/>
                      <w:szCs w:val="20"/>
                    </w:rPr>
                  </w:pPr>
                </w:p>
              </w:tc>
              <w:tc>
                <w:tcPr>
                  <w:tcW w:w="1417" w:type="dxa"/>
                  <w:tcBorders>
                    <w:top w:val="nil"/>
                    <w:left w:val="nil"/>
                    <w:bottom w:val="nil"/>
                    <w:right w:val="nil"/>
                  </w:tcBorders>
                  <w:shd w:val="clear" w:color="auto" w:fill="auto"/>
                  <w:noWrap/>
                  <w:vAlign w:val="center"/>
                  <w:hideMark/>
                </w:tcPr>
                <w:p w:rsidR="000440B7" w:rsidRPr="000440B7" w:rsidRDefault="000440B7">
                  <w:pPr>
                    <w:rPr>
                      <w:color w:val="000000"/>
                      <w:sz w:val="20"/>
                      <w:szCs w:val="20"/>
                    </w:rPr>
                  </w:pPr>
                </w:p>
              </w:tc>
              <w:tc>
                <w:tcPr>
                  <w:tcW w:w="1511" w:type="dxa"/>
                  <w:tcBorders>
                    <w:top w:val="nil"/>
                    <w:left w:val="nil"/>
                    <w:bottom w:val="nil"/>
                    <w:right w:val="nil"/>
                  </w:tcBorders>
                  <w:shd w:val="clear" w:color="auto" w:fill="auto"/>
                  <w:noWrap/>
                  <w:vAlign w:val="center"/>
                  <w:hideMark/>
                </w:tcPr>
                <w:p w:rsidR="000440B7" w:rsidRPr="000440B7" w:rsidRDefault="000440B7">
                  <w:pPr>
                    <w:rPr>
                      <w:color w:val="000000"/>
                      <w:sz w:val="20"/>
                      <w:szCs w:val="20"/>
                    </w:rPr>
                  </w:pPr>
                </w:p>
              </w:tc>
            </w:tr>
            <w:tr w:rsidR="000440B7" w:rsidRPr="000440B7" w:rsidTr="000440B7">
              <w:trPr>
                <w:trHeight w:val="300"/>
              </w:trPr>
              <w:tc>
                <w:tcPr>
                  <w:tcW w:w="1838" w:type="dxa"/>
                  <w:vMerge w:val="restart"/>
                  <w:tcBorders>
                    <w:top w:val="single" w:sz="4" w:space="0" w:color="auto"/>
                    <w:left w:val="single" w:sz="4" w:space="0" w:color="auto"/>
                    <w:right w:val="single" w:sz="4" w:space="0" w:color="auto"/>
                  </w:tcBorders>
                  <w:shd w:val="clear" w:color="auto" w:fill="auto"/>
                  <w:noWrap/>
                  <w:vAlign w:val="center"/>
                  <w:hideMark/>
                </w:tcPr>
                <w:p w:rsidR="000440B7" w:rsidRPr="000440B7" w:rsidRDefault="000440B7">
                  <w:pPr>
                    <w:rPr>
                      <w:b/>
                      <w:bCs/>
                      <w:color w:val="000000"/>
                      <w:sz w:val="20"/>
                      <w:szCs w:val="20"/>
                    </w:rPr>
                  </w:pPr>
                  <w:r w:rsidRPr="000440B7">
                    <w:rPr>
                      <w:b/>
                      <w:bCs/>
                      <w:color w:val="000000"/>
                      <w:sz w:val="20"/>
                      <w:szCs w:val="20"/>
                    </w:rPr>
                    <w:t>Medikamentu un medicīnas materiālu iegādei</w:t>
                  </w:r>
                </w:p>
                <w:p w:rsidR="000440B7" w:rsidRPr="000440B7" w:rsidRDefault="000440B7" w:rsidP="000440B7">
                  <w:pPr>
                    <w:rPr>
                      <w:b/>
                      <w:bCs/>
                      <w:color w:val="000000"/>
                      <w:sz w:val="20"/>
                      <w:szCs w:val="20"/>
                    </w:rPr>
                  </w:pPr>
                  <w:r w:rsidRPr="000440B7">
                    <w:rPr>
                      <w:b/>
                      <w:bCs/>
                      <w:color w:val="000000"/>
                      <w:sz w:val="20"/>
                      <w:szCs w:val="20"/>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440B7" w:rsidRPr="000440B7" w:rsidRDefault="000440B7">
                  <w:pPr>
                    <w:jc w:val="center"/>
                    <w:rPr>
                      <w:b/>
                      <w:bCs/>
                      <w:color w:val="000000"/>
                      <w:sz w:val="20"/>
                      <w:szCs w:val="20"/>
                    </w:rPr>
                  </w:pPr>
                  <w:r>
                    <w:rPr>
                      <w:b/>
                      <w:bCs/>
                      <w:color w:val="000000"/>
                      <w:sz w:val="20"/>
                      <w:szCs w:val="20"/>
                    </w:rPr>
                    <w:t xml:space="preserve">uz 1 </w:t>
                  </w:r>
                  <w:r w:rsidRPr="000440B7">
                    <w:rPr>
                      <w:b/>
                      <w:bCs/>
                      <w:color w:val="000000"/>
                      <w:sz w:val="20"/>
                      <w:szCs w:val="20"/>
                    </w:rPr>
                    <w:t>brigādi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440B7" w:rsidRPr="000440B7" w:rsidRDefault="000440B7">
                  <w:pPr>
                    <w:jc w:val="center"/>
                    <w:rPr>
                      <w:b/>
                      <w:bCs/>
                      <w:color w:val="000000"/>
                      <w:sz w:val="20"/>
                      <w:szCs w:val="20"/>
                    </w:rPr>
                  </w:pPr>
                  <w:r w:rsidRPr="000440B7">
                    <w:rPr>
                      <w:b/>
                      <w:bCs/>
                      <w:color w:val="000000"/>
                      <w:sz w:val="20"/>
                      <w:szCs w:val="20"/>
                    </w:rPr>
                    <w:t>brigāžu skaits</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0440B7" w:rsidRPr="000440B7" w:rsidRDefault="000440B7">
                  <w:pPr>
                    <w:jc w:val="center"/>
                    <w:rPr>
                      <w:b/>
                      <w:bCs/>
                      <w:color w:val="000000"/>
                      <w:sz w:val="20"/>
                      <w:szCs w:val="20"/>
                    </w:rPr>
                  </w:pPr>
                  <w:r w:rsidRPr="000440B7">
                    <w:rPr>
                      <w:b/>
                      <w:bCs/>
                      <w:color w:val="000000"/>
                      <w:sz w:val="20"/>
                      <w:szCs w:val="20"/>
                    </w:rPr>
                    <w:t>kopā (Ls)</w:t>
                  </w:r>
                </w:p>
              </w:tc>
            </w:tr>
            <w:tr w:rsidR="000440B7" w:rsidRPr="000440B7" w:rsidTr="000440B7">
              <w:trPr>
                <w:trHeight w:val="300"/>
              </w:trPr>
              <w:tc>
                <w:tcPr>
                  <w:tcW w:w="1838" w:type="dxa"/>
                  <w:vMerge/>
                  <w:tcBorders>
                    <w:left w:val="single" w:sz="4" w:space="0" w:color="auto"/>
                    <w:right w:val="single" w:sz="4" w:space="0" w:color="auto"/>
                  </w:tcBorders>
                  <w:shd w:val="clear" w:color="auto" w:fill="auto"/>
                  <w:noWrap/>
                  <w:vAlign w:val="center"/>
                  <w:hideMark/>
                </w:tcPr>
                <w:p w:rsidR="000440B7" w:rsidRPr="000440B7" w:rsidRDefault="000440B7" w:rsidP="000440B7">
                  <w:pPr>
                    <w:rPr>
                      <w:color w:val="000000"/>
                      <w:sz w:val="20"/>
                      <w:szCs w:val="20"/>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0440B7" w:rsidRPr="000440B7" w:rsidRDefault="0063369C">
                  <w:pPr>
                    <w:jc w:val="center"/>
                    <w:rPr>
                      <w:color w:val="000000"/>
                      <w:sz w:val="20"/>
                      <w:szCs w:val="20"/>
                    </w:rPr>
                  </w:pPr>
                  <w:r>
                    <w:rPr>
                      <w:color w:val="000000"/>
                      <w:sz w:val="20"/>
                      <w:szCs w:val="20"/>
                    </w:rPr>
                    <w:t>798,</w:t>
                  </w:r>
                  <w:r w:rsidR="000440B7" w:rsidRPr="000440B7">
                    <w:rPr>
                      <w:color w:val="000000"/>
                      <w:sz w:val="20"/>
                      <w:szCs w:val="20"/>
                    </w:rPr>
                    <w:t>5</w:t>
                  </w:r>
                </w:p>
              </w:tc>
              <w:tc>
                <w:tcPr>
                  <w:tcW w:w="1417" w:type="dxa"/>
                  <w:tcBorders>
                    <w:top w:val="nil"/>
                    <w:left w:val="nil"/>
                    <w:bottom w:val="single" w:sz="4" w:space="0" w:color="auto"/>
                    <w:right w:val="single" w:sz="4" w:space="0" w:color="auto"/>
                  </w:tcBorders>
                  <w:shd w:val="clear" w:color="auto" w:fill="auto"/>
                  <w:noWrap/>
                  <w:vAlign w:val="center"/>
                  <w:hideMark/>
                </w:tcPr>
                <w:p w:rsidR="000440B7" w:rsidRPr="000440B7" w:rsidRDefault="000440B7">
                  <w:pPr>
                    <w:jc w:val="center"/>
                    <w:rPr>
                      <w:color w:val="000000"/>
                      <w:sz w:val="20"/>
                      <w:szCs w:val="20"/>
                    </w:rPr>
                  </w:pPr>
                  <w:r w:rsidRPr="000440B7">
                    <w:rPr>
                      <w:color w:val="000000"/>
                      <w:sz w:val="20"/>
                      <w:szCs w:val="20"/>
                    </w:rPr>
                    <w:t>198</w:t>
                  </w:r>
                  <w:r w:rsidR="0063369C">
                    <w:rPr>
                      <w:color w:val="000000"/>
                      <w:sz w:val="20"/>
                      <w:szCs w:val="20"/>
                    </w:rPr>
                    <w:t>,00</w:t>
                  </w:r>
                </w:p>
              </w:tc>
              <w:tc>
                <w:tcPr>
                  <w:tcW w:w="1511" w:type="dxa"/>
                  <w:tcBorders>
                    <w:top w:val="nil"/>
                    <w:left w:val="nil"/>
                    <w:bottom w:val="single" w:sz="4" w:space="0" w:color="auto"/>
                    <w:right w:val="single" w:sz="4" w:space="0" w:color="auto"/>
                  </w:tcBorders>
                  <w:shd w:val="clear" w:color="auto" w:fill="auto"/>
                  <w:noWrap/>
                  <w:vAlign w:val="center"/>
                  <w:hideMark/>
                </w:tcPr>
                <w:p w:rsidR="000440B7" w:rsidRPr="000440B7" w:rsidRDefault="000440B7" w:rsidP="000440B7">
                  <w:pPr>
                    <w:ind w:firstLineChars="100" w:firstLine="200"/>
                    <w:jc w:val="center"/>
                    <w:rPr>
                      <w:bCs/>
                      <w:color w:val="000000"/>
                      <w:sz w:val="20"/>
                      <w:szCs w:val="20"/>
                    </w:rPr>
                  </w:pPr>
                  <w:r w:rsidRPr="000440B7">
                    <w:rPr>
                      <w:bCs/>
                      <w:color w:val="000000"/>
                      <w:sz w:val="20"/>
                      <w:szCs w:val="20"/>
                    </w:rPr>
                    <w:t>158 103,00</w:t>
                  </w:r>
                </w:p>
              </w:tc>
            </w:tr>
            <w:tr w:rsidR="000440B7" w:rsidRPr="000440B7" w:rsidTr="000440B7">
              <w:trPr>
                <w:trHeight w:val="300"/>
              </w:trPr>
              <w:tc>
                <w:tcPr>
                  <w:tcW w:w="1838" w:type="dxa"/>
                  <w:vMerge/>
                  <w:tcBorders>
                    <w:left w:val="single" w:sz="4" w:space="0" w:color="auto"/>
                    <w:bottom w:val="single" w:sz="4" w:space="0" w:color="auto"/>
                    <w:right w:val="single" w:sz="4" w:space="0" w:color="auto"/>
                  </w:tcBorders>
                  <w:shd w:val="clear" w:color="auto" w:fill="auto"/>
                  <w:noWrap/>
                  <w:vAlign w:val="center"/>
                  <w:hideMark/>
                </w:tcPr>
                <w:p w:rsidR="000440B7" w:rsidRPr="000440B7" w:rsidRDefault="000440B7">
                  <w:pPr>
                    <w:rPr>
                      <w:b/>
                      <w:bCs/>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hideMark/>
                </w:tcPr>
                <w:p w:rsidR="000440B7" w:rsidRPr="000440B7" w:rsidRDefault="000440B7">
                  <w:pPr>
                    <w:rPr>
                      <w:color w:val="000000"/>
                      <w:sz w:val="20"/>
                      <w:szCs w:val="20"/>
                    </w:rPr>
                  </w:pPr>
                  <w:r w:rsidRPr="000440B7">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0440B7" w:rsidRPr="000440B7" w:rsidRDefault="0063369C">
                  <w:pPr>
                    <w:jc w:val="center"/>
                    <w:rPr>
                      <w:b/>
                      <w:bCs/>
                      <w:color w:val="000000"/>
                      <w:sz w:val="20"/>
                      <w:szCs w:val="20"/>
                    </w:rPr>
                  </w:pPr>
                  <w:r>
                    <w:rPr>
                      <w:b/>
                      <w:bCs/>
                      <w:color w:val="000000"/>
                      <w:sz w:val="20"/>
                      <w:szCs w:val="20"/>
                    </w:rPr>
                    <w:t>Kopā</w:t>
                  </w:r>
                  <w:r w:rsidR="000440B7">
                    <w:rPr>
                      <w:b/>
                      <w:bCs/>
                      <w:color w:val="000000"/>
                      <w:sz w:val="20"/>
                      <w:szCs w:val="20"/>
                    </w:rPr>
                    <w:t>:</w:t>
                  </w:r>
                </w:p>
              </w:tc>
              <w:tc>
                <w:tcPr>
                  <w:tcW w:w="1511" w:type="dxa"/>
                  <w:tcBorders>
                    <w:top w:val="nil"/>
                    <w:left w:val="nil"/>
                    <w:bottom w:val="single" w:sz="4" w:space="0" w:color="auto"/>
                    <w:right w:val="single" w:sz="4" w:space="0" w:color="auto"/>
                  </w:tcBorders>
                  <w:shd w:val="clear" w:color="auto" w:fill="auto"/>
                  <w:noWrap/>
                  <w:vAlign w:val="center"/>
                  <w:hideMark/>
                </w:tcPr>
                <w:p w:rsidR="000440B7" w:rsidRPr="000440B7" w:rsidRDefault="000440B7" w:rsidP="000440B7">
                  <w:pPr>
                    <w:ind w:firstLineChars="100" w:firstLine="201"/>
                    <w:jc w:val="center"/>
                    <w:rPr>
                      <w:b/>
                      <w:bCs/>
                      <w:color w:val="000000"/>
                      <w:sz w:val="20"/>
                      <w:szCs w:val="20"/>
                    </w:rPr>
                  </w:pPr>
                  <w:r w:rsidRPr="000440B7">
                    <w:rPr>
                      <w:b/>
                      <w:bCs/>
                      <w:color w:val="000000"/>
                      <w:sz w:val="20"/>
                      <w:szCs w:val="20"/>
                    </w:rPr>
                    <w:t>158</w:t>
                  </w:r>
                  <w:r>
                    <w:rPr>
                      <w:b/>
                      <w:bCs/>
                      <w:color w:val="000000"/>
                      <w:sz w:val="20"/>
                      <w:szCs w:val="20"/>
                    </w:rPr>
                    <w:t> </w:t>
                  </w:r>
                  <w:r w:rsidRPr="000440B7">
                    <w:rPr>
                      <w:b/>
                      <w:bCs/>
                      <w:color w:val="000000"/>
                      <w:sz w:val="20"/>
                      <w:szCs w:val="20"/>
                    </w:rPr>
                    <w:t>103</w:t>
                  </w:r>
                  <w:r>
                    <w:rPr>
                      <w:b/>
                      <w:bCs/>
                      <w:color w:val="000000"/>
                      <w:sz w:val="20"/>
                      <w:szCs w:val="20"/>
                    </w:rPr>
                    <w:t>,00</w:t>
                  </w:r>
                </w:p>
              </w:tc>
            </w:tr>
            <w:tr w:rsidR="000440B7" w:rsidRPr="000440B7" w:rsidTr="000440B7">
              <w:trPr>
                <w:trHeight w:val="300"/>
              </w:trPr>
              <w:tc>
                <w:tcPr>
                  <w:tcW w:w="1838" w:type="dxa"/>
                  <w:tcBorders>
                    <w:top w:val="nil"/>
                    <w:left w:val="nil"/>
                    <w:bottom w:val="nil"/>
                    <w:right w:val="nil"/>
                  </w:tcBorders>
                  <w:shd w:val="clear" w:color="auto" w:fill="auto"/>
                  <w:noWrap/>
                  <w:vAlign w:val="center"/>
                  <w:hideMark/>
                </w:tcPr>
                <w:p w:rsidR="000440B7" w:rsidRPr="000440B7" w:rsidRDefault="000440B7">
                  <w:pPr>
                    <w:rPr>
                      <w:color w:val="000000"/>
                      <w:sz w:val="20"/>
                      <w:szCs w:val="20"/>
                    </w:rPr>
                  </w:pPr>
                </w:p>
              </w:tc>
              <w:tc>
                <w:tcPr>
                  <w:tcW w:w="1985" w:type="dxa"/>
                  <w:tcBorders>
                    <w:top w:val="nil"/>
                    <w:left w:val="nil"/>
                    <w:bottom w:val="nil"/>
                    <w:right w:val="nil"/>
                  </w:tcBorders>
                  <w:shd w:val="clear" w:color="auto" w:fill="auto"/>
                  <w:noWrap/>
                  <w:vAlign w:val="center"/>
                  <w:hideMark/>
                </w:tcPr>
                <w:p w:rsidR="000440B7" w:rsidRPr="000440B7" w:rsidRDefault="000440B7">
                  <w:pPr>
                    <w:rPr>
                      <w:color w:val="000000"/>
                      <w:sz w:val="20"/>
                      <w:szCs w:val="20"/>
                    </w:rPr>
                  </w:pPr>
                </w:p>
              </w:tc>
              <w:tc>
                <w:tcPr>
                  <w:tcW w:w="1417" w:type="dxa"/>
                  <w:tcBorders>
                    <w:top w:val="nil"/>
                    <w:left w:val="nil"/>
                    <w:bottom w:val="nil"/>
                    <w:right w:val="nil"/>
                  </w:tcBorders>
                  <w:shd w:val="clear" w:color="auto" w:fill="auto"/>
                  <w:noWrap/>
                  <w:vAlign w:val="center"/>
                  <w:hideMark/>
                </w:tcPr>
                <w:p w:rsidR="000440B7" w:rsidRPr="000440B7" w:rsidRDefault="000440B7">
                  <w:pPr>
                    <w:rPr>
                      <w:color w:val="000000"/>
                      <w:sz w:val="20"/>
                      <w:szCs w:val="20"/>
                    </w:rPr>
                  </w:pPr>
                </w:p>
              </w:tc>
              <w:tc>
                <w:tcPr>
                  <w:tcW w:w="1511" w:type="dxa"/>
                  <w:tcBorders>
                    <w:top w:val="nil"/>
                    <w:left w:val="nil"/>
                    <w:bottom w:val="nil"/>
                    <w:right w:val="nil"/>
                  </w:tcBorders>
                  <w:shd w:val="clear" w:color="auto" w:fill="auto"/>
                  <w:noWrap/>
                  <w:vAlign w:val="center"/>
                  <w:hideMark/>
                </w:tcPr>
                <w:p w:rsidR="000440B7" w:rsidRPr="000440B7" w:rsidRDefault="000440B7">
                  <w:pPr>
                    <w:rPr>
                      <w:color w:val="000000"/>
                      <w:sz w:val="20"/>
                      <w:szCs w:val="20"/>
                    </w:rPr>
                  </w:pPr>
                </w:p>
              </w:tc>
            </w:tr>
            <w:tr w:rsidR="002C4727" w:rsidRPr="000440B7" w:rsidTr="002C4727">
              <w:trPr>
                <w:trHeight w:val="300"/>
              </w:trPr>
              <w:tc>
                <w:tcPr>
                  <w:tcW w:w="1838" w:type="dxa"/>
                  <w:vMerge w:val="restart"/>
                  <w:tcBorders>
                    <w:top w:val="single" w:sz="4" w:space="0" w:color="auto"/>
                    <w:left w:val="single" w:sz="4" w:space="0" w:color="auto"/>
                    <w:right w:val="single" w:sz="4" w:space="0" w:color="auto"/>
                  </w:tcBorders>
                  <w:shd w:val="clear" w:color="auto" w:fill="auto"/>
                  <w:noWrap/>
                  <w:vAlign w:val="center"/>
                  <w:hideMark/>
                </w:tcPr>
                <w:p w:rsidR="002C4727" w:rsidRPr="002C4727" w:rsidRDefault="002C4727">
                  <w:pPr>
                    <w:rPr>
                      <w:b/>
                      <w:color w:val="000000"/>
                      <w:sz w:val="20"/>
                      <w:szCs w:val="20"/>
                    </w:rPr>
                  </w:pPr>
                  <w:proofErr w:type="spellStart"/>
                  <w:r w:rsidRPr="002C4727">
                    <w:rPr>
                      <w:b/>
                      <w:color w:val="000000"/>
                      <w:sz w:val="20"/>
                      <w:szCs w:val="20"/>
                    </w:rPr>
                    <w:t>Defibrilatoru</w:t>
                  </w:r>
                  <w:proofErr w:type="spellEnd"/>
                  <w:r w:rsidRPr="002C4727">
                    <w:rPr>
                      <w:b/>
                      <w:color w:val="000000"/>
                      <w:sz w:val="20"/>
                      <w:szCs w:val="20"/>
                    </w:rPr>
                    <w:t xml:space="preserve"> iegādei</w:t>
                  </w:r>
                </w:p>
                <w:p w:rsidR="002C4727" w:rsidRPr="002C4727" w:rsidRDefault="002C4727" w:rsidP="002C4727">
                  <w:pPr>
                    <w:rPr>
                      <w:b/>
                      <w:bCs/>
                      <w:color w:val="000000"/>
                      <w:sz w:val="20"/>
                      <w:szCs w:val="20"/>
                    </w:rPr>
                  </w:pPr>
                  <w:r w:rsidRPr="002C4727">
                    <w:rPr>
                      <w:b/>
                      <w:bCs/>
                      <w:color w:val="000000"/>
                      <w:sz w:val="20"/>
                      <w:szCs w:val="20"/>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C4727" w:rsidRPr="000440B7" w:rsidRDefault="002C4727">
                  <w:pPr>
                    <w:jc w:val="center"/>
                    <w:rPr>
                      <w:b/>
                      <w:bCs/>
                      <w:color w:val="000000"/>
                      <w:sz w:val="20"/>
                      <w:szCs w:val="20"/>
                    </w:rPr>
                  </w:pPr>
                  <w:proofErr w:type="spellStart"/>
                  <w:r w:rsidRPr="000440B7">
                    <w:rPr>
                      <w:b/>
                      <w:bCs/>
                      <w:color w:val="000000"/>
                      <w:sz w:val="20"/>
                      <w:szCs w:val="20"/>
                    </w:rPr>
                    <w:t>g</w:t>
                  </w:r>
                  <w:r>
                    <w:rPr>
                      <w:b/>
                      <w:bCs/>
                      <w:color w:val="000000"/>
                      <w:sz w:val="20"/>
                      <w:szCs w:val="20"/>
                    </w:rPr>
                    <w:t>a</w:t>
                  </w:r>
                  <w:r w:rsidRPr="000440B7">
                    <w:rPr>
                      <w:b/>
                      <w:bCs/>
                      <w:color w:val="000000"/>
                      <w:sz w:val="20"/>
                      <w:szCs w:val="20"/>
                    </w:rPr>
                    <w:t>b</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C4727" w:rsidRPr="000440B7" w:rsidRDefault="002C4727">
                  <w:pPr>
                    <w:jc w:val="center"/>
                    <w:rPr>
                      <w:b/>
                      <w:bCs/>
                      <w:color w:val="000000"/>
                      <w:sz w:val="20"/>
                      <w:szCs w:val="20"/>
                    </w:rPr>
                  </w:pPr>
                  <w:r>
                    <w:rPr>
                      <w:b/>
                      <w:bCs/>
                      <w:color w:val="000000"/>
                      <w:sz w:val="20"/>
                      <w:szCs w:val="20"/>
                    </w:rPr>
                    <w:t>Cena (</w:t>
                  </w:r>
                  <w:r w:rsidRPr="000440B7">
                    <w:rPr>
                      <w:b/>
                      <w:bCs/>
                      <w:color w:val="000000"/>
                      <w:sz w:val="20"/>
                      <w:szCs w:val="20"/>
                    </w:rPr>
                    <w:t>Ls</w:t>
                  </w:r>
                  <w:r>
                    <w:rPr>
                      <w:b/>
                      <w:bCs/>
                      <w:color w:val="000000"/>
                      <w:sz w:val="20"/>
                      <w:szCs w:val="20"/>
                    </w:rPr>
                    <w:t>)</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2C4727" w:rsidRPr="000440B7" w:rsidRDefault="002C4727">
                  <w:pPr>
                    <w:jc w:val="center"/>
                    <w:rPr>
                      <w:b/>
                      <w:bCs/>
                      <w:color w:val="000000"/>
                      <w:sz w:val="20"/>
                      <w:szCs w:val="20"/>
                    </w:rPr>
                  </w:pPr>
                  <w:r>
                    <w:rPr>
                      <w:b/>
                      <w:bCs/>
                      <w:color w:val="000000"/>
                      <w:sz w:val="20"/>
                      <w:szCs w:val="20"/>
                    </w:rPr>
                    <w:t>K</w:t>
                  </w:r>
                  <w:r w:rsidRPr="000440B7">
                    <w:rPr>
                      <w:b/>
                      <w:bCs/>
                      <w:color w:val="000000"/>
                      <w:sz w:val="20"/>
                      <w:szCs w:val="20"/>
                    </w:rPr>
                    <w:t>opā (Ls)</w:t>
                  </w:r>
                </w:p>
              </w:tc>
            </w:tr>
            <w:tr w:rsidR="002C4727" w:rsidRPr="000440B7" w:rsidTr="002C4727">
              <w:trPr>
                <w:trHeight w:val="300"/>
              </w:trPr>
              <w:tc>
                <w:tcPr>
                  <w:tcW w:w="1838" w:type="dxa"/>
                  <w:vMerge/>
                  <w:tcBorders>
                    <w:left w:val="single" w:sz="4" w:space="0" w:color="auto"/>
                    <w:right w:val="single" w:sz="4" w:space="0" w:color="auto"/>
                  </w:tcBorders>
                  <w:shd w:val="clear" w:color="auto" w:fill="auto"/>
                  <w:noWrap/>
                  <w:vAlign w:val="center"/>
                  <w:hideMark/>
                </w:tcPr>
                <w:p w:rsidR="002C4727" w:rsidRPr="000440B7" w:rsidRDefault="002C4727" w:rsidP="002C4727">
                  <w:pP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hideMark/>
                </w:tcPr>
                <w:p w:rsidR="002C4727" w:rsidRPr="000440B7" w:rsidRDefault="002C4727">
                  <w:pPr>
                    <w:jc w:val="center"/>
                    <w:rPr>
                      <w:color w:val="000000"/>
                      <w:sz w:val="20"/>
                      <w:szCs w:val="20"/>
                    </w:rPr>
                  </w:pPr>
                  <w:r w:rsidRPr="000440B7">
                    <w:rPr>
                      <w:color w:val="000000"/>
                      <w:sz w:val="20"/>
                      <w:szCs w:val="20"/>
                    </w:rPr>
                    <w:t>8</w:t>
                  </w:r>
                </w:p>
              </w:tc>
              <w:tc>
                <w:tcPr>
                  <w:tcW w:w="1417" w:type="dxa"/>
                  <w:tcBorders>
                    <w:top w:val="nil"/>
                    <w:left w:val="nil"/>
                    <w:bottom w:val="single" w:sz="4" w:space="0" w:color="auto"/>
                    <w:right w:val="single" w:sz="4" w:space="0" w:color="auto"/>
                  </w:tcBorders>
                  <w:shd w:val="clear" w:color="auto" w:fill="auto"/>
                  <w:noWrap/>
                  <w:vAlign w:val="center"/>
                  <w:hideMark/>
                </w:tcPr>
                <w:p w:rsidR="002C4727" w:rsidRPr="000440B7" w:rsidRDefault="002C4727">
                  <w:pPr>
                    <w:jc w:val="center"/>
                    <w:rPr>
                      <w:color w:val="000000"/>
                      <w:sz w:val="20"/>
                      <w:szCs w:val="20"/>
                    </w:rPr>
                  </w:pPr>
                  <w:r w:rsidRPr="000440B7">
                    <w:rPr>
                      <w:color w:val="000000"/>
                      <w:sz w:val="20"/>
                      <w:szCs w:val="20"/>
                    </w:rPr>
                    <w:t>12</w:t>
                  </w:r>
                  <w:r w:rsidR="0063369C">
                    <w:rPr>
                      <w:color w:val="000000"/>
                      <w:sz w:val="20"/>
                      <w:szCs w:val="20"/>
                    </w:rPr>
                    <w:t> </w:t>
                  </w:r>
                  <w:r w:rsidRPr="000440B7">
                    <w:rPr>
                      <w:color w:val="000000"/>
                      <w:sz w:val="20"/>
                      <w:szCs w:val="20"/>
                    </w:rPr>
                    <w:t>844</w:t>
                  </w:r>
                  <w:r w:rsidR="0063369C">
                    <w:rPr>
                      <w:color w:val="000000"/>
                      <w:sz w:val="20"/>
                      <w:szCs w:val="20"/>
                    </w:rPr>
                    <w:t>,00</w:t>
                  </w:r>
                </w:p>
              </w:tc>
              <w:tc>
                <w:tcPr>
                  <w:tcW w:w="1511" w:type="dxa"/>
                  <w:tcBorders>
                    <w:top w:val="nil"/>
                    <w:left w:val="nil"/>
                    <w:bottom w:val="single" w:sz="4" w:space="0" w:color="auto"/>
                    <w:right w:val="single" w:sz="4" w:space="0" w:color="auto"/>
                  </w:tcBorders>
                  <w:shd w:val="clear" w:color="auto" w:fill="auto"/>
                  <w:noWrap/>
                  <w:vAlign w:val="center"/>
                  <w:hideMark/>
                </w:tcPr>
                <w:p w:rsidR="002C4727" w:rsidRPr="000440B7" w:rsidRDefault="002C4727" w:rsidP="000440B7">
                  <w:pPr>
                    <w:ind w:firstLineChars="100" w:firstLine="200"/>
                    <w:jc w:val="center"/>
                    <w:rPr>
                      <w:bCs/>
                      <w:color w:val="000000"/>
                      <w:sz w:val="20"/>
                      <w:szCs w:val="20"/>
                    </w:rPr>
                  </w:pPr>
                  <w:r w:rsidRPr="000440B7">
                    <w:rPr>
                      <w:bCs/>
                      <w:color w:val="000000"/>
                      <w:sz w:val="20"/>
                      <w:szCs w:val="20"/>
                    </w:rPr>
                    <w:t>102 752,00</w:t>
                  </w:r>
                </w:p>
              </w:tc>
            </w:tr>
            <w:tr w:rsidR="002C4727" w:rsidRPr="000440B7" w:rsidTr="002C4727">
              <w:trPr>
                <w:trHeight w:val="300"/>
              </w:trPr>
              <w:tc>
                <w:tcPr>
                  <w:tcW w:w="1838" w:type="dxa"/>
                  <w:vMerge/>
                  <w:tcBorders>
                    <w:left w:val="single" w:sz="4" w:space="0" w:color="auto"/>
                    <w:bottom w:val="single" w:sz="4" w:space="0" w:color="auto"/>
                    <w:right w:val="single" w:sz="4" w:space="0" w:color="auto"/>
                  </w:tcBorders>
                  <w:shd w:val="clear" w:color="auto" w:fill="auto"/>
                  <w:noWrap/>
                  <w:vAlign w:val="center"/>
                  <w:hideMark/>
                </w:tcPr>
                <w:p w:rsidR="002C4727" w:rsidRPr="000440B7" w:rsidRDefault="002C4727">
                  <w:pPr>
                    <w:rPr>
                      <w:b/>
                      <w:bCs/>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hideMark/>
                </w:tcPr>
                <w:p w:rsidR="002C4727" w:rsidRPr="000440B7" w:rsidRDefault="002C4727">
                  <w:pPr>
                    <w:rPr>
                      <w:color w:val="000000"/>
                      <w:sz w:val="20"/>
                      <w:szCs w:val="20"/>
                    </w:rPr>
                  </w:pPr>
                  <w:r w:rsidRPr="000440B7">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2C4727" w:rsidRPr="000440B7" w:rsidRDefault="0063369C">
                  <w:pPr>
                    <w:jc w:val="center"/>
                    <w:rPr>
                      <w:b/>
                      <w:bCs/>
                      <w:color w:val="000000"/>
                      <w:sz w:val="20"/>
                      <w:szCs w:val="20"/>
                    </w:rPr>
                  </w:pPr>
                  <w:r>
                    <w:rPr>
                      <w:b/>
                      <w:bCs/>
                      <w:color w:val="000000"/>
                      <w:sz w:val="20"/>
                      <w:szCs w:val="20"/>
                    </w:rPr>
                    <w:t>Kopā</w:t>
                  </w:r>
                  <w:r w:rsidR="002C4727">
                    <w:rPr>
                      <w:b/>
                      <w:bCs/>
                      <w:color w:val="000000"/>
                      <w:sz w:val="20"/>
                      <w:szCs w:val="20"/>
                    </w:rPr>
                    <w:t>:</w:t>
                  </w:r>
                </w:p>
              </w:tc>
              <w:tc>
                <w:tcPr>
                  <w:tcW w:w="1511" w:type="dxa"/>
                  <w:tcBorders>
                    <w:top w:val="nil"/>
                    <w:left w:val="nil"/>
                    <w:bottom w:val="single" w:sz="4" w:space="0" w:color="auto"/>
                    <w:right w:val="single" w:sz="4" w:space="0" w:color="auto"/>
                  </w:tcBorders>
                  <w:shd w:val="clear" w:color="auto" w:fill="auto"/>
                  <w:noWrap/>
                  <w:vAlign w:val="center"/>
                  <w:hideMark/>
                </w:tcPr>
                <w:p w:rsidR="002C4727" w:rsidRPr="000440B7" w:rsidRDefault="002C4727" w:rsidP="000440B7">
                  <w:pPr>
                    <w:ind w:firstLineChars="100" w:firstLine="201"/>
                    <w:jc w:val="center"/>
                    <w:rPr>
                      <w:b/>
                      <w:bCs/>
                      <w:color w:val="000000"/>
                      <w:sz w:val="20"/>
                      <w:szCs w:val="20"/>
                    </w:rPr>
                  </w:pPr>
                  <w:r w:rsidRPr="000440B7">
                    <w:rPr>
                      <w:b/>
                      <w:bCs/>
                      <w:color w:val="000000"/>
                      <w:sz w:val="20"/>
                      <w:szCs w:val="20"/>
                    </w:rPr>
                    <w:t>102</w:t>
                  </w:r>
                  <w:r>
                    <w:rPr>
                      <w:b/>
                      <w:bCs/>
                      <w:color w:val="000000"/>
                      <w:sz w:val="20"/>
                      <w:szCs w:val="20"/>
                    </w:rPr>
                    <w:t> </w:t>
                  </w:r>
                  <w:r w:rsidRPr="000440B7">
                    <w:rPr>
                      <w:b/>
                      <w:bCs/>
                      <w:color w:val="000000"/>
                      <w:sz w:val="20"/>
                      <w:szCs w:val="20"/>
                    </w:rPr>
                    <w:t>752</w:t>
                  </w:r>
                  <w:r>
                    <w:rPr>
                      <w:b/>
                      <w:bCs/>
                      <w:color w:val="000000"/>
                      <w:sz w:val="20"/>
                      <w:szCs w:val="20"/>
                    </w:rPr>
                    <w:t>,00</w:t>
                  </w:r>
                </w:p>
              </w:tc>
            </w:tr>
            <w:tr w:rsidR="000440B7" w:rsidRPr="000440B7" w:rsidTr="000440B7">
              <w:trPr>
                <w:trHeight w:val="300"/>
              </w:trPr>
              <w:tc>
                <w:tcPr>
                  <w:tcW w:w="5240" w:type="dxa"/>
                  <w:gridSpan w:val="3"/>
                  <w:tcBorders>
                    <w:top w:val="nil"/>
                    <w:left w:val="single" w:sz="4" w:space="0" w:color="auto"/>
                    <w:bottom w:val="single" w:sz="4" w:space="0" w:color="auto"/>
                    <w:right w:val="single" w:sz="4" w:space="0" w:color="auto"/>
                  </w:tcBorders>
                  <w:shd w:val="clear" w:color="auto" w:fill="auto"/>
                  <w:noWrap/>
                  <w:vAlign w:val="center"/>
                  <w:hideMark/>
                </w:tcPr>
                <w:p w:rsidR="000440B7" w:rsidRPr="000440B7" w:rsidRDefault="000440B7">
                  <w:pPr>
                    <w:jc w:val="center"/>
                    <w:rPr>
                      <w:b/>
                      <w:bCs/>
                      <w:color w:val="000000"/>
                      <w:sz w:val="20"/>
                      <w:szCs w:val="20"/>
                    </w:rPr>
                  </w:pPr>
                  <w:r w:rsidRPr="000440B7">
                    <w:rPr>
                      <w:b/>
                      <w:bCs/>
                      <w:color w:val="000000"/>
                      <w:sz w:val="20"/>
                      <w:szCs w:val="20"/>
                    </w:rPr>
                    <w:t>Nepieciešamais finansējums kopā deficīta segšanai</w:t>
                  </w:r>
                </w:p>
              </w:tc>
              <w:tc>
                <w:tcPr>
                  <w:tcW w:w="1511" w:type="dxa"/>
                  <w:tcBorders>
                    <w:top w:val="nil"/>
                    <w:left w:val="nil"/>
                    <w:bottom w:val="single" w:sz="4" w:space="0" w:color="auto"/>
                    <w:right w:val="single" w:sz="4" w:space="0" w:color="auto"/>
                  </w:tcBorders>
                  <w:shd w:val="clear" w:color="auto" w:fill="auto"/>
                  <w:noWrap/>
                  <w:vAlign w:val="center"/>
                  <w:hideMark/>
                </w:tcPr>
                <w:p w:rsidR="000440B7" w:rsidRPr="000440B7" w:rsidRDefault="000440B7" w:rsidP="000440B7">
                  <w:pPr>
                    <w:ind w:firstLineChars="100" w:firstLine="201"/>
                    <w:jc w:val="center"/>
                    <w:rPr>
                      <w:b/>
                      <w:bCs/>
                      <w:sz w:val="20"/>
                      <w:szCs w:val="20"/>
                      <w:u w:val="single"/>
                    </w:rPr>
                  </w:pPr>
                  <w:r w:rsidRPr="000440B7">
                    <w:rPr>
                      <w:b/>
                      <w:bCs/>
                      <w:sz w:val="20"/>
                      <w:szCs w:val="20"/>
                      <w:u w:val="single"/>
                    </w:rPr>
                    <w:t>1 843 346,00</w:t>
                  </w:r>
                </w:p>
              </w:tc>
            </w:tr>
            <w:tr w:rsidR="000440B7" w:rsidRPr="000440B7" w:rsidTr="000440B7">
              <w:trPr>
                <w:trHeight w:val="315"/>
              </w:trPr>
              <w:tc>
                <w:tcPr>
                  <w:tcW w:w="1838" w:type="dxa"/>
                  <w:tcBorders>
                    <w:top w:val="nil"/>
                    <w:left w:val="nil"/>
                    <w:bottom w:val="nil"/>
                    <w:right w:val="nil"/>
                  </w:tcBorders>
                  <w:shd w:val="clear" w:color="auto" w:fill="auto"/>
                  <w:noWrap/>
                  <w:vAlign w:val="center"/>
                  <w:hideMark/>
                </w:tcPr>
                <w:p w:rsidR="000440B7" w:rsidRPr="000440B7" w:rsidRDefault="000440B7">
                  <w:pPr>
                    <w:rPr>
                      <w:color w:val="000000"/>
                      <w:sz w:val="20"/>
                      <w:szCs w:val="20"/>
                    </w:rPr>
                  </w:pPr>
                </w:p>
              </w:tc>
              <w:tc>
                <w:tcPr>
                  <w:tcW w:w="1985" w:type="dxa"/>
                  <w:tcBorders>
                    <w:top w:val="nil"/>
                    <w:left w:val="nil"/>
                    <w:bottom w:val="nil"/>
                    <w:right w:val="nil"/>
                  </w:tcBorders>
                  <w:shd w:val="clear" w:color="auto" w:fill="auto"/>
                  <w:noWrap/>
                  <w:vAlign w:val="center"/>
                  <w:hideMark/>
                </w:tcPr>
                <w:p w:rsidR="000440B7" w:rsidRPr="000440B7" w:rsidRDefault="000440B7">
                  <w:pPr>
                    <w:rPr>
                      <w:color w:val="000000"/>
                      <w:sz w:val="20"/>
                      <w:szCs w:val="20"/>
                    </w:rPr>
                  </w:pPr>
                </w:p>
              </w:tc>
              <w:tc>
                <w:tcPr>
                  <w:tcW w:w="1417" w:type="dxa"/>
                  <w:tcBorders>
                    <w:top w:val="nil"/>
                    <w:left w:val="nil"/>
                    <w:bottom w:val="nil"/>
                    <w:right w:val="nil"/>
                  </w:tcBorders>
                  <w:shd w:val="clear" w:color="auto" w:fill="auto"/>
                  <w:noWrap/>
                  <w:vAlign w:val="center"/>
                  <w:hideMark/>
                </w:tcPr>
                <w:p w:rsidR="000440B7" w:rsidRPr="000440B7" w:rsidRDefault="000440B7">
                  <w:pPr>
                    <w:rPr>
                      <w:color w:val="000000"/>
                      <w:sz w:val="20"/>
                      <w:szCs w:val="20"/>
                    </w:rPr>
                  </w:pPr>
                </w:p>
              </w:tc>
              <w:tc>
                <w:tcPr>
                  <w:tcW w:w="1511" w:type="dxa"/>
                  <w:tcBorders>
                    <w:top w:val="nil"/>
                    <w:left w:val="nil"/>
                    <w:bottom w:val="nil"/>
                    <w:right w:val="nil"/>
                  </w:tcBorders>
                  <w:shd w:val="clear" w:color="auto" w:fill="auto"/>
                  <w:noWrap/>
                  <w:vAlign w:val="center"/>
                  <w:hideMark/>
                </w:tcPr>
                <w:p w:rsidR="000440B7" w:rsidRPr="000440B7" w:rsidRDefault="000440B7">
                  <w:pPr>
                    <w:rPr>
                      <w:color w:val="000000"/>
                      <w:sz w:val="20"/>
                      <w:szCs w:val="20"/>
                    </w:rPr>
                  </w:pPr>
                </w:p>
              </w:tc>
            </w:tr>
          </w:tbl>
          <w:p w:rsidR="002C4727" w:rsidRDefault="002C4727" w:rsidP="006B3292">
            <w:pPr>
              <w:jc w:val="both"/>
              <w:rPr>
                <w:u w:val="single"/>
              </w:rPr>
            </w:pPr>
            <w:r w:rsidRPr="000440B7">
              <w:t>Papildu nepieciešamā finansējuma</w:t>
            </w:r>
            <w:r>
              <w:t xml:space="preserve"> Valsts asinsdonoru centram </w:t>
            </w:r>
            <w:r w:rsidRPr="000440B7">
              <w:rPr>
                <w:u w:val="single"/>
              </w:rPr>
              <w:t>372 869</w:t>
            </w:r>
            <w:r>
              <w:rPr>
                <w:u w:val="single"/>
              </w:rPr>
              <w:t xml:space="preserve"> </w:t>
            </w:r>
            <w:r w:rsidRPr="002C4727">
              <w:t>lati atšifrējums:</w:t>
            </w:r>
          </w:p>
          <w:p w:rsidR="002C4727" w:rsidRDefault="002C4727" w:rsidP="006B3292">
            <w:pPr>
              <w:jc w:val="both"/>
              <w:rPr>
                <w:color w:val="FF0000"/>
              </w:rPr>
            </w:pPr>
            <w:r>
              <w:t xml:space="preserve"> </w:t>
            </w:r>
          </w:p>
          <w:tbl>
            <w:tblPr>
              <w:tblW w:w="3700" w:type="dxa"/>
              <w:jc w:val="center"/>
              <w:tblLayout w:type="fixed"/>
              <w:tblLook w:val="04A0"/>
            </w:tblPr>
            <w:tblGrid>
              <w:gridCol w:w="2640"/>
              <w:gridCol w:w="1060"/>
            </w:tblGrid>
            <w:tr w:rsidR="002C4727" w:rsidTr="002C4727">
              <w:trPr>
                <w:trHeight w:val="315"/>
                <w:jc w:val="center"/>
              </w:trPr>
              <w:tc>
                <w:tcPr>
                  <w:tcW w:w="2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727" w:rsidRDefault="002C4727">
                  <w:pPr>
                    <w:rPr>
                      <w:color w:val="000000"/>
                    </w:rPr>
                  </w:pPr>
                  <w:r>
                    <w:rPr>
                      <w:color w:val="000000"/>
                    </w:rPr>
                    <w:t>Maisi asins sagatavošanai</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2C4727" w:rsidRDefault="002C4727">
                  <w:pPr>
                    <w:jc w:val="right"/>
                    <w:rPr>
                      <w:color w:val="000000"/>
                    </w:rPr>
                  </w:pPr>
                  <w:r>
                    <w:rPr>
                      <w:color w:val="000000"/>
                    </w:rPr>
                    <w:t>47 325</w:t>
                  </w:r>
                </w:p>
              </w:tc>
            </w:tr>
            <w:tr w:rsidR="002C4727" w:rsidTr="002C4727">
              <w:trPr>
                <w:trHeight w:val="315"/>
                <w:jc w:val="center"/>
              </w:trPr>
              <w:tc>
                <w:tcPr>
                  <w:tcW w:w="2640" w:type="dxa"/>
                  <w:tcBorders>
                    <w:top w:val="nil"/>
                    <w:left w:val="single" w:sz="4" w:space="0" w:color="auto"/>
                    <w:bottom w:val="single" w:sz="4" w:space="0" w:color="auto"/>
                    <w:right w:val="single" w:sz="4" w:space="0" w:color="auto"/>
                  </w:tcBorders>
                  <w:shd w:val="clear" w:color="auto" w:fill="auto"/>
                  <w:vAlign w:val="bottom"/>
                  <w:hideMark/>
                </w:tcPr>
                <w:p w:rsidR="002C4727" w:rsidRDefault="002C4727">
                  <w:pPr>
                    <w:rPr>
                      <w:color w:val="000000"/>
                    </w:rPr>
                  </w:pPr>
                  <w:r>
                    <w:rPr>
                      <w:color w:val="000000"/>
                    </w:rPr>
                    <w:t>Eritrocītu filtri</w:t>
                  </w:r>
                </w:p>
              </w:tc>
              <w:tc>
                <w:tcPr>
                  <w:tcW w:w="1060" w:type="dxa"/>
                  <w:tcBorders>
                    <w:top w:val="nil"/>
                    <w:left w:val="nil"/>
                    <w:bottom w:val="single" w:sz="4" w:space="0" w:color="auto"/>
                    <w:right w:val="single" w:sz="4" w:space="0" w:color="auto"/>
                  </w:tcBorders>
                  <w:shd w:val="clear" w:color="auto" w:fill="auto"/>
                  <w:noWrap/>
                  <w:vAlign w:val="bottom"/>
                  <w:hideMark/>
                </w:tcPr>
                <w:p w:rsidR="002C4727" w:rsidRDefault="002C4727">
                  <w:pPr>
                    <w:jc w:val="right"/>
                    <w:rPr>
                      <w:color w:val="000000"/>
                    </w:rPr>
                  </w:pPr>
                  <w:r>
                    <w:rPr>
                      <w:color w:val="000000"/>
                    </w:rPr>
                    <w:t>9 464</w:t>
                  </w:r>
                </w:p>
              </w:tc>
            </w:tr>
            <w:tr w:rsidR="002C4727" w:rsidTr="002C4727">
              <w:trPr>
                <w:trHeight w:val="630"/>
                <w:jc w:val="center"/>
              </w:trPr>
              <w:tc>
                <w:tcPr>
                  <w:tcW w:w="2640" w:type="dxa"/>
                  <w:tcBorders>
                    <w:top w:val="nil"/>
                    <w:left w:val="single" w:sz="4" w:space="0" w:color="auto"/>
                    <w:bottom w:val="single" w:sz="4" w:space="0" w:color="auto"/>
                    <w:right w:val="single" w:sz="4" w:space="0" w:color="auto"/>
                  </w:tcBorders>
                  <w:shd w:val="clear" w:color="auto" w:fill="auto"/>
                  <w:vAlign w:val="bottom"/>
                  <w:hideMark/>
                </w:tcPr>
                <w:p w:rsidR="002C4727" w:rsidRDefault="002C4727">
                  <w:pPr>
                    <w:rPr>
                      <w:color w:val="000000"/>
                    </w:rPr>
                  </w:pPr>
                  <w:r>
                    <w:rPr>
                      <w:color w:val="000000"/>
                    </w:rPr>
                    <w:t>Asmenīši asins komponentu sagatavošanai</w:t>
                  </w:r>
                </w:p>
              </w:tc>
              <w:tc>
                <w:tcPr>
                  <w:tcW w:w="1060" w:type="dxa"/>
                  <w:tcBorders>
                    <w:top w:val="nil"/>
                    <w:left w:val="nil"/>
                    <w:bottom w:val="single" w:sz="4" w:space="0" w:color="auto"/>
                    <w:right w:val="single" w:sz="4" w:space="0" w:color="auto"/>
                  </w:tcBorders>
                  <w:shd w:val="clear" w:color="auto" w:fill="auto"/>
                  <w:noWrap/>
                  <w:vAlign w:val="bottom"/>
                  <w:hideMark/>
                </w:tcPr>
                <w:p w:rsidR="002C4727" w:rsidRDefault="002C4727">
                  <w:pPr>
                    <w:jc w:val="right"/>
                    <w:rPr>
                      <w:color w:val="000000"/>
                    </w:rPr>
                  </w:pPr>
                  <w:r>
                    <w:rPr>
                      <w:color w:val="000000"/>
                    </w:rPr>
                    <w:t>11 153</w:t>
                  </w:r>
                </w:p>
              </w:tc>
            </w:tr>
            <w:tr w:rsidR="002C4727" w:rsidTr="002C4727">
              <w:trPr>
                <w:trHeight w:val="315"/>
                <w:jc w:val="center"/>
              </w:trPr>
              <w:tc>
                <w:tcPr>
                  <w:tcW w:w="2640" w:type="dxa"/>
                  <w:tcBorders>
                    <w:top w:val="nil"/>
                    <w:left w:val="single" w:sz="4" w:space="0" w:color="auto"/>
                    <w:bottom w:val="single" w:sz="4" w:space="0" w:color="auto"/>
                    <w:right w:val="single" w:sz="4" w:space="0" w:color="auto"/>
                  </w:tcBorders>
                  <w:shd w:val="clear" w:color="auto" w:fill="auto"/>
                  <w:vAlign w:val="bottom"/>
                  <w:hideMark/>
                </w:tcPr>
                <w:p w:rsidR="002C4727" w:rsidRDefault="002C4727">
                  <w:pPr>
                    <w:rPr>
                      <w:color w:val="000000"/>
                    </w:rPr>
                  </w:pPr>
                  <w:r>
                    <w:rPr>
                      <w:color w:val="000000"/>
                    </w:rPr>
                    <w:t>Plazmas preparātu iepirkums</w:t>
                  </w:r>
                </w:p>
              </w:tc>
              <w:tc>
                <w:tcPr>
                  <w:tcW w:w="1060" w:type="dxa"/>
                  <w:tcBorders>
                    <w:top w:val="nil"/>
                    <w:left w:val="nil"/>
                    <w:bottom w:val="single" w:sz="4" w:space="0" w:color="auto"/>
                    <w:right w:val="single" w:sz="4" w:space="0" w:color="auto"/>
                  </w:tcBorders>
                  <w:shd w:val="clear" w:color="auto" w:fill="auto"/>
                  <w:noWrap/>
                  <w:vAlign w:val="bottom"/>
                  <w:hideMark/>
                </w:tcPr>
                <w:p w:rsidR="002C4727" w:rsidRDefault="002C4727">
                  <w:pPr>
                    <w:jc w:val="right"/>
                    <w:rPr>
                      <w:color w:val="000000"/>
                    </w:rPr>
                  </w:pPr>
                  <w:r>
                    <w:rPr>
                      <w:color w:val="000000"/>
                    </w:rPr>
                    <w:t>250 000</w:t>
                  </w:r>
                </w:p>
              </w:tc>
            </w:tr>
            <w:tr w:rsidR="002C4727" w:rsidTr="002C4727">
              <w:trPr>
                <w:trHeight w:val="315"/>
                <w:jc w:val="center"/>
              </w:trPr>
              <w:tc>
                <w:tcPr>
                  <w:tcW w:w="2640" w:type="dxa"/>
                  <w:tcBorders>
                    <w:top w:val="nil"/>
                    <w:left w:val="single" w:sz="4" w:space="0" w:color="auto"/>
                    <w:bottom w:val="single" w:sz="4" w:space="0" w:color="auto"/>
                    <w:right w:val="single" w:sz="4" w:space="0" w:color="auto"/>
                  </w:tcBorders>
                  <w:shd w:val="clear" w:color="auto" w:fill="auto"/>
                  <w:vAlign w:val="bottom"/>
                  <w:hideMark/>
                </w:tcPr>
                <w:p w:rsidR="002C4727" w:rsidRDefault="002C4727">
                  <w:pPr>
                    <w:rPr>
                      <w:color w:val="000000"/>
                    </w:rPr>
                  </w:pPr>
                  <w:r>
                    <w:rPr>
                      <w:color w:val="000000"/>
                    </w:rPr>
                    <w:t>Reaģenti asins izmeklēšanai</w:t>
                  </w:r>
                </w:p>
              </w:tc>
              <w:tc>
                <w:tcPr>
                  <w:tcW w:w="1060" w:type="dxa"/>
                  <w:tcBorders>
                    <w:top w:val="nil"/>
                    <w:left w:val="nil"/>
                    <w:bottom w:val="single" w:sz="4" w:space="0" w:color="auto"/>
                    <w:right w:val="single" w:sz="4" w:space="0" w:color="auto"/>
                  </w:tcBorders>
                  <w:shd w:val="clear" w:color="auto" w:fill="auto"/>
                  <w:noWrap/>
                  <w:vAlign w:val="bottom"/>
                  <w:hideMark/>
                </w:tcPr>
                <w:p w:rsidR="002C4727" w:rsidRDefault="002C4727">
                  <w:pPr>
                    <w:jc w:val="right"/>
                    <w:rPr>
                      <w:color w:val="000000"/>
                    </w:rPr>
                  </w:pPr>
                  <w:r>
                    <w:rPr>
                      <w:color w:val="000000"/>
                    </w:rPr>
                    <w:t>54 927</w:t>
                  </w:r>
                </w:p>
              </w:tc>
            </w:tr>
            <w:tr w:rsidR="002C4727" w:rsidTr="002C4727">
              <w:trPr>
                <w:trHeight w:val="315"/>
                <w:jc w:val="center"/>
              </w:trPr>
              <w:tc>
                <w:tcPr>
                  <w:tcW w:w="2640" w:type="dxa"/>
                  <w:tcBorders>
                    <w:top w:val="nil"/>
                    <w:left w:val="single" w:sz="4" w:space="0" w:color="auto"/>
                    <w:bottom w:val="single" w:sz="4" w:space="0" w:color="auto"/>
                    <w:right w:val="single" w:sz="4" w:space="0" w:color="auto"/>
                  </w:tcBorders>
                  <w:shd w:val="clear" w:color="auto" w:fill="auto"/>
                  <w:vAlign w:val="bottom"/>
                  <w:hideMark/>
                </w:tcPr>
                <w:p w:rsidR="002C4727" w:rsidRPr="002C4727" w:rsidRDefault="002C4727" w:rsidP="002C4727">
                  <w:pPr>
                    <w:jc w:val="right"/>
                    <w:rPr>
                      <w:b/>
                      <w:bCs/>
                      <w:i/>
                      <w:color w:val="000000"/>
                    </w:rPr>
                  </w:pPr>
                  <w:r w:rsidRPr="002C4727">
                    <w:rPr>
                      <w:b/>
                      <w:bCs/>
                      <w:i/>
                      <w:color w:val="000000"/>
                    </w:rPr>
                    <w:t>Kopā:</w:t>
                  </w:r>
                </w:p>
              </w:tc>
              <w:tc>
                <w:tcPr>
                  <w:tcW w:w="1060" w:type="dxa"/>
                  <w:tcBorders>
                    <w:top w:val="nil"/>
                    <w:left w:val="nil"/>
                    <w:bottom w:val="single" w:sz="4" w:space="0" w:color="auto"/>
                    <w:right w:val="single" w:sz="4" w:space="0" w:color="auto"/>
                  </w:tcBorders>
                  <w:shd w:val="clear" w:color="auto" w:fill="auto"/>
                  <w:noWrap/>
                  <w:vAlign w:val="bottom"/>
                  <w:hideMark/>
                </w:tcPr>
                <w:p w:rsidR="002C4727" w:rsidRDefault="002C4727">
                  <w:pPr>
                    <w:jc w:val="right"/>
                    <w:rPr>
                      <w:b/>
                      <w:bCs/>
                      <w:color w:val="000000"/>
                    </w:rPr>
                  </w:pPr>
                  <w:r>
                    <w:rPr>
                      <w:b/>
                      <w:bCs/>
                      <w:color w:val="000000"/>
                    </w:rPr>
                    <w:t>372 869</w:t>
                  </w:r>
                </w:p>
              </w:tc>
            </w:tr>
          </w:tbl>
          <w:p w:rsidR="00B16644" w:rsidRDefault="00B16644" w:rsidP="006B3292">
            <w:pPr>
              <w:jc w:val="both"/>
              <w:rPr>
                <w:color w:val="FF0000"/>
              </w:rPr>
            </w:pPr>
          </w:p>
          <w:p w:rsidR="00DA157E" w:rsidRPr="00A01288" w:rsidRDefault="002C4727" w:rsidP="00DA157E">
            <w:pPr>
              <w:jc w:val="both"/>
              <w:rPr>
                <w:lang w:val="de-DE"/>
              </w:rPr>
            </w:pPr>
            <w:r>
              <w:t>Kopā nepieciešams 2011.gadā papildu finansējums</w:t>
            </w:r>
            <w:r w:rsidRPr="00DA157E">
              <w:rPr>
                <w:color w:val="FF0000"/>
              </w:rPr>
              <w:t xml:space="preserve"> </w:t>
            </w:r>
            <w:r w:rsidR="00FB61AF" w:rsidRPr="00FB61AF">
              <w:t xml:space="preserve">2 216 215 </w:t>
            </w:r>
            <w:r w:rsidRPr="00FB61AF">
              <w:t>lati</w:t>
            </w:r>
            <w:r w:rsidR="00DA157E">
              <w:t xml:space="preserve"> </w:t>
            </w:r>
            <w:r w:rsidR="00DA157E" w:rsidRPr="00A01288">
              <w:t>šādā sadalījumā pa izdevumu kodiem atbilstoši ekonomiskajām kategorijām:</w:t>
            </w:r>
          </w:p>
          <w:p w:rsidR="002C4727" w:rsidRDefault="002C4727" w:rsidP="002C4727">
            <w:pPr>
              <w:jc w:val="both"/>
            </w:pPr>
          </w:p>
          <w:p w:rsidR="00DA157E" w:rsidRDefault="002C4727" w:rsidP="002C4727">
            <w:pPr>
              <w:pStyle w:val="ListParagraph"/>
              <w:numPr>
                <w:ilvl w:val="0"/>
                <w:numId w:val="6"/>
              </w:numPr>
              <w:jc w:val="both"/>
              <w:rPr>
                <w:rFonts w:ascii="Times New Roman" w:hAnsi="Times New Roman"/>
                <w:sz w:val="24"/>
                <w:szCs w:val="24"/>
                <w:lang w:val="lv-LV"/>
              </w:rPr>
            </w:pPr>
            <w:r>
              <w:rPr>
                <w:rFonts w:ascii="Times New Roman" w:hAnsi="Times New Roman"/>
                <w:sz w:val="24"/>
                <w:szCs w:val="24"/>
                <w:lang w:val="lv-LV"/>
              </w:rPr>
              <w:t>valsts budžeta programmas 39.00.00 „</w:t>
            </w:r>
            <w:r w:rsidRPr="002C4727">
              <w:rPr>
                <w:rFonts w:ascii="Times New Roman" w:hAnsi="Times New Roman"/>
                <w:sz w:val="24"/>
                <w:szCs w:val="24"/>
                <w:lang w:val="lv-LV"/>
              </w:rPr>
              <w:t>Specializētās veselības aprūpes nodrošināšana</w:t>
            </w:r>
            <w:r>
              <w:rPr>
                <w:rFonts w:ascii="Times New Roman" w:hAnsi="Times New Roman"/>
                <w:sz w:val="24"/>
                <w:szCs w:val="24"/>
                <w:lang w:val="lv-LV"/>
              </w:rPr>
              <w:t>” apakšprogrammā 39.04</w:t>
            </w:r>
            <w:r w:rsidRPr="002C4727">
              <w:rPr>
                <w:rFonts w:ascii="Times New Roman" w:hAnsi="Times New Roman"/>
                <w:sz w:val="24"/>
                <w:szCs w:val="24"/>
                <w:lang w:val="lv-LV"/>
              </w:rPr>
              <w:t>.00</w:t>
            </w:r>
            <w:r>
              <w:rPr>
                <w:rFonts w:ascii="Times New Roman" w:hAnsi="Times New Roman"/>
                <w:sz w:val="24"/>
                <w:szCs w:val="24"/>
                <w:lang w:val="lv-LV"/>
              </w:rPr>
              <w:t xml:space="preserve"> „</w:t>
            </w:r>
            <w:r w:rsidRPr="002C4727">
              <w:rPr>
                <w:rFonts w:ascii="Times New Roman" w:hAnsi="Times New Roman"/>
                <w:sz w:val="24"/>
                <w:szCs w:val="24"/>
                <w:lang w:val="lv-LV"/>
              </w:rPr>
              <w:t>Neatliekamā medicīniskā palīdzība</w:t>
            </w:r>
            <w:r w:rsidR="00DA157E">
              <w:rPr>
                <w:rFonts w:ascii="Times New Roman" w:hAnsi="Times New Roman"/>
                <w:sz w:val="24"/>
                <w:szCs w:val="24"/>
                <w:lang w:val="lv-LV"/>
              </w:rPr>
              <w:t xml:space="preserve">” 1 843 346 lati </w:t>
            </w:r>
          </w:p>
          <w:p w:rsidR="00DA157E" w:rsidRPr="00A01288" w:rsidRDefault="00DA157E" w:rsidP="00DA157E">
            <w:pPr>
              <w:autoSpaceDE w:val="0"/>
              <w:autoSpaceDN w:val="0"/>
              <w:adjustRightInd w:val="0"/>
              <w:rPr>
                <w:lang w:val="de-DE"/>
              </w:rPr>
            </w:pPr>
            <w:r>
              <w:rPr>
                <w:lang w:val="de-DE"/>
              </w:rPr>
              <w:t xml:space="preserve">             </w:t>
            </w:r>
            <w:r w:rsidRPr="00A01288">
              <w:rPr>
                <w:lang w:val="de-DE"/>
              </w:rPr>
              <w:t xml:space="preserve">Preces un pakalpojumi (2000)  -  </w:t>
            </w:r>
            <w:r>
              <w:rPr>
                <w:lang w:val="de-DE"/>
              </w:rPr>
              <w:t xml:space="preserve">1 740 594 </w:t>
            </w:r>
            <w:r w:rsidRPr="00A01288">
              <w:rPr>
                <w:lang w:val="de-DE"/>
              </w:rPr>
              <w:t>lati;</w:t>
            </w:r>
          </w:p>
          <w:p w:rsidR="00DA157E" w:rsidRDefault="00DA157E" w:rsidP="00DA157E">
            <w:pPr>
              <w:jc w:val="both"/>
            </w:pPr>
            <w:r>
              <w:rPr>
                <w:lang w:val="de-DE"/>
              </w:rPr>
              <w:lastRenderedPageBreak/>
              <w:t xml:space="preserve">             </w:t>
            </w:r>
            <w:r w:rsidRPr="00A01288">
              <w:rPr>
                <w:lang w:val="de-DE"/>
              </w:rPr>
              <w:t xml:space="preserve">Pamatkapitāla veidošana (5000) -  </w:t>
            </w:r>
            <w:r>
              <w:rPr>
                <w:lang w:val="de-DE"/>
              </w:rPr>
              <w:t xml:space="preserve">102 752 lati </w:t>
            </w:r>
            <w:r w:rsidRPr="00A01288">
              <w:rPr>
                <w:lang w:val="de-DE"/>
              </w:rPr>
              <w:t>lati</w:t>
            </w:r>
            <w:r w:rsidR="002C4727" w:rsidRPr="00DA157E">
              <w:t>;</w:t>
            </w:r>
          </w:p>
          <w:p w:rsidR="00DA157E" w:rsidRPr="00DA157E" w:rsidRDefault="00DA157E" w:rsidP="00DA157E">
            <w:pPr>
              <w:jc w:val="both"/>
            </w:pPr>
          </w:p>
          <w:p w:rsidR="002C4727" w:rsidRPr="00DA157E" w:rsidRDefault="00DA157E" w:rsidP="00DA157E">
            <w:pPr>
              <w:pStyle w:val="ListParagraph"/>
              <w:numPr>
                <w:ilvl w:val="0"/>
                <w:numId w:val="6"/>
              </w:numPr>
              <w:jc w:val="both"/>
              <w:rPr>
                <w:rFonts w:ascii="Times New Roman" w:hAnsi="Times New Roman"/>
                <w:sz w:val="24"/>
                <w:szCs w:val="24"/>
                <w:lang w:val="lv-LV"/>
              </w:rPr>
            </w:pPr>
            <w:r>
              <w:rPr>
                <w:rFonts w:ascii="Times New Roman" w:hAnsi="Times New Roman"/>
                <w:sz w:val="24"/>
                <w:szCs w:val="24"/>
                <w:lang w:val="lv-LV"/>
              </w:rPr>
              <w:t>valsts budžeta programmas 39.00.00 „</w:t>
            </w:r>
            <w:r w:rsidRPr="002C4727">
              <w:rPr>
                <w:rFonts w:ascii="Times New Roman" w:hAnsi="Times New Roman"/>
                <w:sz w:val="24"/>
                <w:szCs w:val="24"/>
                <w:lang w:val="lv-LV"/>
              </w:rPr>
              <w:t>Specializētās veselības aprūpes nodrošināšana</w:t>
            </w:r>
            <w:r>
              <w:rPr>
                <w:rFonts w:ascii="Times New Roman" w:hAnsi="Times New Roman"/>
                <w:sz w:val="24"/>
                <w:szCs w:val="24"/>
                <w:lang w:val="lv-LV"/>
              </w:rPr>
              <w:t>” apakšprogrammā 39.03</w:t>
            </w:r>
            <w:r w:rsidRPr="002C4727">
              <w:rPr>
                <w:rFonts w:ascii="Times New Roman" w:hAnsi="Times New Roman"/>
                <w:sz w:val="24"/>
                <w:szCs w:val="24"/>
                <w:lang w:val="lv-LV"/>
              </w:rPr>
              <w:t>.00</w:t>
            </w:r>
            <w:r>
              <w:rPr>
                <w:rFonts w:ascii="Times New Roman" w:hAnsi="Times New Roman"/>
                <w:sz w:val="24"/>
                <w:szCs w:val="24"/>
                <w:lang w:val="lv-LV"/>
              </w:rPr>
              <w:t xml:space="preserve"> „</w:t>
            </w:r>
            <w:r w:rsidRPr="00DA157E">
              <w:rPr>
                <w:rFonts w:ascii="Times New Roman" w:hAnsi="Times New Roman"/>
                <w:sz w:val="24"/>
                <w:szCs w:val="24"/>
                <w:lang w:val="lv-LV"/>
              </w:rPr>
              <w:t>Asins un asins komponentu nodrošināšana</w:t>
            </w:r>
            <w:r w:rsidR="00FB61AF">
              <w:rPr>
                <w:rFonts w:ascii="Times New Roman" w:hAnsi="Times New Roman"/>
                <w:sz w:val="24"/>
                <w:szCs w:val="24"/>
                <w:lang w:val="lv-LV"/>
              </w:rPr>
              <w:t>” 372 869</w:t>
            </w:r>
            <w:r>
              <w:rPr>
                <w:rFonts w:ascii="Times New Roman" w:hAnsi="Times New Roman"/>
                <w:sz w:val="24"/>
                <w:szCs w:val="24"/>
                <w:lang w:val="lv-LV"/>
              </w:rPr>
              <w:t xml:space="preserve"> lati 2000 kodā (Preces un pakalpojumi).</w:t>
            </w:r>
          </w:p>
        </w:tc>
      </w:tr>
      <w:tr w:rsidR="00745F6C" w:rsidRPr="009E1ADF" w:rsidTr="001B1A87">
        <w:tc>
          <w:tcPr>
            <w:tcW w:w="2268" w:type="dxa"/>
          </w:tcPr>
          <w:p w:rsidR="00745F6C" w:rsidRPr="009E1ADF" w:rsidRDefault="00745F6C" w:rsidP="001B1A87">
            <w:pPr>
              <w:jc w:val="both"/>
            </w:pPr>
            <w:r w:rsidRPr="009E1ADF">
              <w:lastRenderedPageBreak/>
              <w:t>7. Cita informācija</w:t>
            </w:r>
          </w:p>
        </w:tc>
        <w:tc>
          <w:tcPr>
            <w:tcW w:w="7020" w:type="dxa"/>
            <w:gridSpan w:val="5"/>
          </w:tcPr>
          <w:p w:rsidR="00FB61AF" w:rsidRPr="009E1ADF" w:rsidRDefault="00DF62C4" w:rsidP="00F06B6A">
            <w:pPr>
              <w:jc w:val="both"/>
            </w:pPr>
            <w:r>
              <w:t>Nav</w:t>
            </w:r>
          </w:p>
        </w:tc>
      </w:tr>
    </w:tbl>
    <w:p w:rsidR="00FB61AF" w:rsidRDefault="00FB61AF" w:rsidP="0063369C">
      <w:pPr>
        <w:pStyle w:val="naisf"/>
        <w:spacing w:before="0" w:after="0"/>
        <w:ind w:firstLine="0"/>
        <w:rPr>
          <w:i/>
          <w:sz w:val="28"/>
          <w:szCs w:val="28"/>
        </w:rPr>
      </w:pPr>
    </w:p>
    <w:p w:rsidR="00390AC0" w:rsidRPr="0005611F" w:rsidRDefault="00390AC0" w:rsidP="0090751B">
      <w:pPr>
        <w:pStyle w:val="naisf"/>
        <w:spacing w:before="0" w:after="0"/>
        <w:jc w:val="center"/>
        <w:rPr>
          <w:i/>
          <w:sz w:val="28"/>
          <w:szCs w:val="28"/>
        </w:rPr>
      </w:pPr>
      <w:r>
        <w:rPr>
          <w:i/>
          <w:sz w:val="28"/>
          <w:szCs w:val="28"/>
        </w:rPr>
        <w:t>Anotācijas IV, V, VI</w:t>
      </w:r>
      <w:r w:rsidRPr="0005611F">
        <w:rPr>
          <w:i/>
          <w:sz w:val="28"/>
          <w:szCs w:val="28"/>
        </w:rPr>
        <w:t xml:space="preserve"> sadaļa – </w:t>
      </w:r>
      <w:r w:rsidR="0090751B" w:rsidRPr="008E6948">
        <w:rPr>
          <w:i/>
          <w:sz w:val="28"/>
          <w:szCs w:val="28"/>
        </w:rPr>
        <w:t>projekts šīs jomas neskar.</w:t>
      </w:r>
    </w:p>
    <w:p w:rsidR="00390AC0" w:rsidRDefault="00390AC0" w:rsidP="00390AC0">
      <w:pPr>
        <w:rPr>
          <w:i/>
          <w:sz w:val="28"/>
          <w:szCs w:val="28"/>
        </w:rPr>
      </w:pPr>
    </w:p>
    <w:tbl>
      <w:tblPr>
        <w:tblW w:w="9377" w:type="dxa"/>
        <w:jc w:val="center"/>
        <w:tblCellSpacing w:w="0"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2"/>
        <w:gridCol w:w="2737"/>
        <w:gridCol w:w="6058"/>
      </w:tblGrid>
      <w:tr w:rsidR="00390AC0" w:rsidRPr="00E03159" w:rsidTr="00390AC0">
        <w:trPr>
          <w:tblCellSpacing w:w="0" w:type="dxa"/>
          <w:jc w:val="center"/>
        </w:trPr>
        <w:tc>
          <w:tcPr>
            <w:tcW w:w="9377" w:type="dxa"/>
            <w:gridSpan w:val="3"/>
            <w:tcBorders>
              <w:top w:val="outset" w:sz="6" w:space="0" w:color="auto"/>
              <w:left w:val="outset" w:sz="6" w:space="0" w:color="auto"/>
              <w:bottom w:val="outset" w:sz="6" w:space="0" w:color="auto"/>
              <w:right w:val="outset" w:sz="6" w:space="0" w:color="auto"/>
            </w:tcBorders>
            <w:hideMark/>
          </w:tcPr>
          <w:p w:rsidR="00390AC0" w:rsidRPr="00C80A77" w:rsidRDefault="00390AC0" w:rsidP="00390AC0">
            <w:pPr>
              <w:spacing w:before="75" w:after="75"/>
              <w:jc w:val="center"/>
            </w:pPr>
            <w:r w:rsidRPr="00C80A77">
              <w:rPr>
                <w:b/>
                <w:bCs/>
              </w:rPr>
              <w:t> VII. Tiesību akta projekta izpildes nodrošināšana un tās ietekme uz institūcijām</w:t>
            </w:r>
          </w:p>
        </w:tc>
      </w:tr>
      <w:tr w:rsidR="00390AC0" w:rsidRPr="00C80A77" w:rsidTr="00390AC0">
        <w:trPr>
          <w:trHeight w:val="427"/>
          <w:tblCellSpacing w:w="0" w:type="dxa"/>
          <w:jc w:val="center"/>
        </w:trPr>
        <w:tc>
          <w:tcPr>
            <w:tcW w:w="582" w:type="dxa"/>
            <w:tcBorders>
              <w:top w:val="outset" w:sz="6" w:space="0" w:color="auto"/>
              <w:left w:val="outset" w:sz="6" w:space="0" w:color="auto"/>
              <w:bottom w:val="outset" w:sz="6" w:space="0" w:color="auto"/>
              <w:right w:val="outset" w:sz="6" w:space="0" w:color="auto"/>
            </w:tcBorders>
            <w:hideMark/>
          </w:tcPr>
          <w:p w:rsidR="00390AC0" w:rsidRPr="00C80A77" w:rsidRDefault="00390AC0" w:rsidP="00390AC0">
            <w:pPr>
              <w:spacing w:before="75" w:after="75"/>
            </w:pPr>
            <w:r w:rsidRPr="00C80A77">
              <w:t> 1.</w:t>
            </w:r>
          </w:p>
        </w:tc>
        <w:tc>
          <w:tcPr>
            <w:tcW w:w="2737" w:type="dxa"/>
            <w:tcBorders>
              <w:top w:val="outset" w:sz="6" w:space="0" w:color="auto"/>
              <w:left w:val="outset" w:sz="6" w:space="0" w:color="auto"/>
              <w:bottom w:val="outset" w:sz="6" w:space="0" w:color="auto"/>
              <w:right w:val="outset" w:sz="6" w:space="0" w:color="auto"/>
            </w:tcBorders>
            <w:hideMark/>
          </w:tcPr>
          <w:p w:rsidR="00390AC0" w:rsidRPr="00C80A77" w:rsidRDefault="00390AC0" w:rsidP="00390AC0">
            <w:pPr>
              <w:spacing w:before="75" w:after="75"/>
            </w:pPr>
            <w:r w:rsidRPr="00C80A77">
              <w:t> Projekta izpildē iesaistītās institūcijas</w:t>
            </w:r>
          </w:p>
        </w:tc>
        <w:tc>
          <w:tcPr>
            <w:tcW w:w="6058" w:type="dxa"/>
            <w:tcBorders>
              <w:top w:val="outset" w:sz="6" w:space="0" w:color="auto"/>
              <w:left w:val="outset" w:sz="6" w:space="0" w:color="auto"/>
              <w:bottom w:val="outset" w:sz="6" w:space="0" w:color="auto"/>
              <w:right w:val="outset" w:sz="6" w:space="0" w:color="auto"/>
            </w:tcBorders>
            <w:hideMark/>
          </w:tcPr>
          <w:p w:rsidR="00390AC0" w:rsidRPr="00C80A77" w:rsidRDefault="00390AC0" w:rsidP="00DF62C4">
            <w:pPr>
              <w:spacing w:before="75" w:after="75"/>
              <w:jc w:val="both"/>
            </w:pPr>
            <w:r w:rsidRPr="00C80A77">
              <w:t> </w:t>
            </w:r>
            <w:r w:rsidR="00DF62C4">
              <w:t>Rīkojuma projekta</w:t>
            </w:r>
            <w:r w:rsidRPr="00C80A77">
              <w:t xml:space="preserve"> izpildi nodrošinās </w:t>
            </w:r>
            <w:r w:rsidR="00DF62C4">
              <w:t xml:space="preserve">Veselības ministrija, Nacionālais veselības dienests, Valsts asinsdonoru centrs un Neatliekamās medicīniskās palīdzības dienests.  </w:t>
            </w:r>
          </w:p>
        </w:tc>
      </w:tr>
      <w:tr w:rsidR="00390AC0" w:rsidRPr="00C80A77" w:rsidTr="00390AC0">
        <w:trPr>
          <w:trHeight w:val="463"/>
          <w:tblCellSpacing w:w="0" w:type="dxa"/>
          <w:jc w:val="center"/>
        </w:trPr>
        <w:tc>
          <w:tcPr>
            <w:tcW w:w="582" w:type="dxa"/>
            <w:tcBorders>
              <w:top w:val="outset" w:sz="6" w:space="0" w:color="auto"/>
              <w:left w:val="outset" w:sz="6" w:space="0" w:color="auto"/>
              <w:bottom w:val="outset" w:sz="6" w:space="0" w:color="auto"/>
              <w:right w:val="outset" w:sz="6" w:space="0" w:color="auto"/>
            </w:tcBorders>
            <w:hideMark/>
          </w:tcPr>
          <w:p w:rsidR="00390AC0" w:rsidRPr="00C80A77" w:rsidRDefault="00390AC0" w:rsidP="00390AC0">
            <w:pPr>
              <w:spacing w:before="75" w:after="75"/>
            </w:pPr>
            <w:r w:rsidRPr="00C80A77">
              <w:t> 2.</w:t>
            </w:r>
          </w:p>
        </w:tc>
        <w:tc>
          <w:tcPr>
            <w:tcW w:w="2737" w:type="dxa"/>
            <w:tcBorders>
              <w:top w:val="outset" w:sz="6" w:space="0" w:color="auto"/>
              <w:left w:val="outset" w:sz="6" w:space="0" w:color="auto"/>
              <w:bottom w:val="outset" w:sz="6" w:space="0" w:color="auto"/>
              <w:right w:val="outset" w:sz="6" w:space="0" w:color="auto"/>
            </w:tcBorders>
            <w:hideMark/>
          </w:tcPr>
          <w:p w:rsidR="00390AC0" w:rsidRPr="00C80A77" w:rsidRDefault="00390AC0" w:rsidP="00390AC0">
            <w:pPr>
              <w:spacing w:before="75" w:after="75"/>
            </w:pPr>
            <w:r w:rsidRPr="00C80A77">
              <w:t> Projekta izpildes ietekme uz pārvaldes funkcijām</w:t>
            </w:r>
          </w:p>
        </w:tc>
        <w:tc>
          <w:tcPr>
            <w:tcW w:w="6058" w:type="dxa"/>
            <w:tcBorders>
              <w:top w:val="outset" w:sz="6" w:space="0" w:color="auto"/>
              <w:left w:val="outset" w:sz="6" w:space="0" w:color="auto"/>
              <w:bottom w:val="outset" w:sz="6" w:space="0" w:color="auto"/>
              <w:right w:val="outset" w:sz="6" w:space="0" w:color="auto"/>
            </w:tcBorders>
            <w:hideMark/>
          </w:tcPr>
          <w:p w:rsidR="00390AC0" w:rsidRPr="00C80A77" w:rsidRDefault="00390AC0" w:rsidP="00390AC0">
            <w:pPr>
              <w:spacing w:before="75" w:after="75"/>
            </w:pPr>
            <w:r w:rsidRPr="00C80A77">
              <w:t>Projekts šo jomu neskar.</w:t>
            </w:r>
          </w:p>
        </w:tc>
      </w:tr>
      <w:tr w:rsidR="00390AC0" w:rsidRPr="00C80A77" w:rsidTr="00390AC0">
        <w:trPr>
          <w:trHeight w:val="725"/>
          <w:tblCellSpacing w:w="0" w:type="dxa"/>
          <w:jc w:val="center"/>
        </w:trPr>
        <w:tc>
          <w:tcPr>
            <w:tcW w:w="582" w:type="dxa"/>
            <w:tcBorders>
              <w:top w:val="outset" w:sz="6" w:space="0" w:color="auto"/>
              <w:left w:val="outset" w:sz="6" w:space="0" w:color="auto"/>
              <w:bottom w:val="outset" w:sz="6" w:space="0" w:color="auto"/>
              <w:right w:val="outset" w:sz="6" w:space="0" w:color="auto"/>
            </w:tcBorders>
            <w:hideMark/>
          </w:tcPr>
          <w:p w:rsidR="00390AC0" w:rsidRPr="00C80A77" w:rsidRDefault="00390AC0" w:rsidP="00390AC0">
            <w:pPr>
              <w:spacing w:before="75" w:after="75"/>
            </w:pPr>
            <w:r w:rsidRPr="00C80A77">
              <w:t> 3.</w:t>
            </w:r>
          </w:p>
        </w:tc>
        <w:tc>
          <w:tcPr>
            <w:tcW w:w="2737" w:type="dxa"/>
            <w:tcBorders>
              <w:top w:val="outset" w:sz="6" w:space="0" w:color="auto"/>
              <w:left w:val="outset" w:sz="6" w:space="0" w:color="auto"/>
              <w:bottom w:val="outset" w:sz="6" w:space="0" w:color="auto"/>
              <w:right w:val="outset" w:sz="6" w:space="0" w:color="auto"/>
            </w:tcBorders>
            <w:hideMark/>
          </w:tcPr>
          <w:p w:rsidR="00390AC0" w:rsidRPr="00C80A77" w:rsidRDefault="00390AC0" w:rsidP="00390AC0">
            <w:pPr>
              <w:spacing w:before="75" w:after="75"/>
            </w:pPr>
            <w:r w:rsidRPr="00C80A77">
              <w:t> Projekta izpildes ietekme uz pārvaldes institucionālo struktūru.</w:t>
            </w:r>
          </w:p>
          <w:p w:rsidR="00390AC0" w:rsidRPr="00C80A77" w:rsidRDefault="00390AC0" w:rsidP="00390AC0">
            <w:pPr>
              <w:spacing w:before="75" w:after="75"/>
            </w:pPr>
            <w:r w:rsidRPr="00C80A77">
              <w:t>Jaunu institūciju izveide</w:t>
            </w:r>
          </w:p>
        </w:tc>
        <w:tc>
          <w:tcPr>
            <w:tcW w:w="6058" w:type="dxa"/>
            <w:tcBorders>
              <w:top w:val="outset" w:sz="6" w:space="0" w:color="auto"/>
              <w:left w:val="outset" w:sz="6" w:space="0" w:color="auto"/>
              <w:bottom w:val="outset" w:sz="6" w:space="0" w:color="auto"/>
              <w:right w:val="outset" w:sz="6" w:space="0" w:color="auto"/>
            </w:tcBorders>
            <w:hideMark/>
          </w:tcPr>
          <w:p w:rsidR="00390AC0" w:rsidRPr="00C80A77" w:rsidRDefault="00390AC0" w:rsidP="00390AC0">
            <w:pPr>
              <w:spacing w:before="75" w:after="75"/>
            </w:pPr>
            <w:r w:rsidRPr="00C80A77">
              <w:t> Projekts šo jomu neskar.</w:t>
            </w:r>
          </w:p>
        </w:tc>
      </w:tr>
      <w:tr w:rsidR="00390AC0" w:rsidRPr="00C80A77" w:rsidTr="00390AC0">
        <w:trPr>
          <w:trHeight w:val="780"/>
          <w:tblCellSpacing w:w="0" w:type="dxa"/>
          <w:jc w:val="center"/>
        </w:trPr>
        <w:tc>
          <w:tcPr>
            <w:tcW w:w="582" w:type="dxa"/>
            <w:tcBorders>
              <w:top w:val="outset" w:sz="6" w:space="0" w:color="auto"/>
              <w:left w:val="outset" w:sz="6" w:space="0" w:color="auto"/>
              <w:bottom w:val="outset" w:sz="6" w:space="0" w:color="auto"/>
              <w:right w:val="outset" w:sz="6" w:space="0" w:color="auto"/>
            </w:tcBorders>
            <w:hideMark/>
          </w:tcPr>
          <w:p w:rsidR="00390AC0" w:rsidRPr="00C80A77" w:rsidRDefault="00390AC0" w:rsidP="00390AC0">
            <w:pPr>
              <w:spacing w:before="75" w:after="75"/>
            </w:pPr>
            <w:r w:rsidRPr="00C80A77">
              <w:t> 4.</w:t>
            </w:r>
          </w:p>
        </w:tc>
        <w:tc>
          <w:tcPr>
            <w:tcW w:w="2737" w:type="dxa"/>
            <w:tcBorders>
              <w:top w:val="outset" w:sz="6" w:space="0" w:color="auto"/>
              <w:left w:val="outset" w:sz="6" w:space="0" w:color="auto"/>
              <w:bottom w:val="outset" w:sz="6" w:space="0" w:color="auto"/>
              <w:right w:val="outset" w:sz="6" w:space="0" w:color="auto"/>
            </w:tcBorders>
            <w:hideMark/>
          </w:tcPr>
          <w:p w:rsidR="00390AC0" w:rsidRPr="00C80A77" w:rsidRDefault="00390AC0" w:rsidP="00390AC0">
            <w:pPr>
              <w:spacing w:before="75" w:after="75"/>
            </w:pPr>
            <w:r w:rsidRPr="00C80A77">
              <w:t> Projekta izpildes ietekme uz pārvaldes institucionālo struktūru.</w:t>
            </w:r>
          </w:p>
          <w:p w:rsidR="00390AC0" w:rsidRPr="00C80A77" w:rsidRDefault="00390AC0" w:rsidP="00390AC0">
            <w:pPr>
              <w:spacing w:before="75" w:after="75"/>
            </w:pPr>
            <w:r w:rsidRPr="00C80A77">
              <w:t>Esošu institūciju likvidācija</w:t>
            </w:r>
          </w:p>
        </w:tc>
        <w:tc>
          <w:tcPr>
            <w:tcW w:w="6058" w:type="dxa"/>
            <w:tcBorders>
              <w:top w:val="outset" w:sz="6" w:space="0" w:color="auto"/>
              <w:left w:val="outset" w:sz="6" w:space="0" w:color="auto"/>
              <w:bottom w:val="outset" w:sz="6" w:space="0" w:color="auto"/>
              <w:right w:val="outset" w:sz="6" w:space="0" w:color="auto"/>
            </w:tcBorders>
            <w:hideMark/>
          </w:tcPr>
          <w:p w:rsidR="00390AC0" w:rsidRPr="00C80A77" w:rsidRDefault="00390AC0" w:rsidP="00390AC0">
            <w:pPr>
              <w:spacing w:before="75" w:after="75"/>
            </w:pPr>
            <w:r w:rsidRPr="00C80A77">
              <w:t> Projekts šo jomu neskar.</w:t>
            </w:r>
          </w:p>
        </w:tc>
      </w:tr>
      <w:tr w:rsidR="00390AC0" w:rsidRPr="00C80A77" w:rsidTr="00390AC0">
        <w:trPr>
          <w:trHeight w:val="703"/>
          <w:tblCellSpacing w:w="0" w:type="dxa"/>
          <w:jc w:val="center"/>
        </w:trPr>
        <w:tc>
          <w:tcPr>
            <w:tcW w:w="582" w:type="dxa"/>
            <w:tcBorders>
              <w:top w:val="outset" w:sz="6" w:space="0" w:color="auto"/>
              <w:left w:val="outset" w:sz="6" w:space="0" w:color="auto"/>
              <w:bottom w:val="outset" w:sz="6" w:space="0" w:color="auto"/>
              <w:right w:val="outset" w:sz="6" w:space="0" w:color="auto"/>
            </w:tcBorders>
            <w:hideMark/>
          </w:tcPr>
          <w:p w:rsidR="00390AC0" w:rsidRPr="00C80A77" w:rsidRDefault="00390AC0" w:rsidP="00390AC0">
            <w:pPr>
              <w:spacing w:before="75" w:after="75"/>
            </w:pPr>
            <w:r w:rsidRPr="00C80A77">
              <w:t> 5.</w:t>
            </w:r>
          </w:p>
        </w:tc>
        <w:tc>
          <w:tcPr>
            <w:tcW w:w="2737" w:type="dxa"/>
            <w:tcBorders>
              <w:top w:val="outset" w:sz="6" w:space="0" w:color="auto"/>
              <w:left w:val="outset" w:sz="6" w:space="0" w:color="auto"/>
              <w:bottom w:val="outset" w:sz="6" w:space="0" w:color="auto"/>
              <w:right w:val="outset" w:sz="6" w:space="0" w:color="auto"/>
            </w:tcBorders>
            <w:hideMark/>
          </w:tcPr>
          <w:p w:rsidR="00390AC0" w:rsidRPr="00C80A77" w:rsidRDefault="00390AC0" w:rsidP="00390AC0">
            <w:pPr>
              <w:spacing w:before="75" w:after="75"/>
            </w:pPr>
            <w:r w:rsidRPr="00C80A77">
              <w:t> Projekta izpildes ietekme uz pārvaldes institucionālo struktūru.</w:t>
            </w:r>
          </w:p>
          <w:p w:rsidR="00390AC0" w:rsidRPr="00C80A77" w:rsidRDefault="00390AC0" w:rsidP="00390AC0">
            <w:pPr>
              <w:spacing w:before="75" w:after="75"/>
            </w:pPr>
            <w:r w:rsidRPr="00C80A77">
              <w:t>Esošu institūciju reorganizācija</w:t>
            </w:r>
          </w:p>
        </w:tc>
        <w:tc>
          <w:tcPr>
            <w:tcW w:w="6058" w:type="dxa"/>
            <w:tcBorders>
              <w:top w:val="outset" w:sz="6" w:space="0" w:color="auto"/>
              <w:left w:val="outset" w:sz="6" w:space="0" w:color="auto"/>
              <w:bottom w:val="outset" w:sz="6" w:space="0" w:color="auto"/>
              <w:right w:val="outset" w:sz="6" w:space="0" w:color="auto"/>
            </w:tcBorders>
            <w:hideMark/>
          </w:tcPr>
          <w:p w:rsidR="00390AC0" w:rsidRPr="00C80A77" w:rsidRDefault="00390AC0" w:rsidP="00390AC0">
            <w:pPr>
              <w:spacing w:before="75" w:after="75"/>
            </w:pPr>
            <w:r w:rsidRPr="00C80A77">
              <w:t>Projekts šo jomu neskar.</w:t>
            </w:r>
          </w:p>
        </w:tc>
      </w:tr>
      <w:tr w:rsidR="00390AC0" w:rsidRPr="00C80A77" w:rsidTr="00390AC0">
        <w:trPr>
          <w:trHeight w:val="476"/>
          <w:tblCellSpacing w:w="0" w:type="dxa"/>
          <w:jc w:val="center"/>
        </w:trPr>
        <w:tc>
          <w:tcPr>
            <w:tcW w:w="582" w:type="dxa"/>
            <w:tcBorders>
              <w:top w:val="outset" w:sz="6" w:space="0" w:color="auto"/>
              <w:left w:val="outset" w:sz="6" w:space="0" w:color="auto"/>
              <w:bottom w:val="outset" w:sz="6" w:space="0" w:color="auto"/>
              <w:right w:val="outset" w:sz="6" w:space="0" w:color="auto"/>
            </w:tcBorders>
            <w:hideMark/>
          </w:tcPr>
          <w:p w:rsidR="00390AC0" w:rsidRPr="00C80A77" w:rsidRDefault="00390AC0" w:rsidP="00390AC0">
            <w:pPr>
              <w:spacing w:before="75" w:after="75"/>
            </w:pPr>
            <w:r w:rsidRPr="00C80A77">
              <w:t> 6.</w:t>
            </w:r>
          </w:p>
        </w:tc>
        <w:tc>
          <w:tcPr>
            <w:tcW w:w="2737" w:type="dxa"/>
            <w:tcBorders>
              <w:top w:val="outset" w:sz="6" w:space="0" w:color="auto"/>
              <w:left w:val="outset" w:sz="6" w:space="0" w:color="auto"/>
              <w:bottom w:val="outset" w:sz="6" w:space="0" w:color="auto"/>
              <w:right w:val="outset" w:sz="6" w:space="0" w:color="auto"/>
            </w:tcBorders>
            <w:hideMark/>
          </w:tcPr>
          <w:p w:rsidR="00390AC0" w:rsidRPr="00C80A77" w:rsidRDefault="00390AC0" w:rsidP="00390AC0">
            <w:pPr>
              <w:spacing w:before="75" w:after="75"/>
            </w:pPr>
            <w:r w:rsidRPr="00C80A77">
              <w:t> Cita informācija</w:t>
            </w:r>
          </w:p>
        </w:tc>
        <w:tc>
          <w:tcPr>
            <w:tcW w:w="6058" w:type="dxa"/>
            <w:tcBorders>
              <w:top w:val="outset" w:sz="6" w:space="0" w:color="auto"/>
              <w:left w:val="outset" w:sz="6" w:space="0" w:color="auto"/>
              <w:bottom w:val="outset" w:sz="6" w:space="0" w:color="auto"/>
              <w:right w:val="outset" w:sz="6" w:space="0" w:color="auto"/>
            </w:tcBorders>
            <w:hideMark/>
          </w:tcPr>
          <w:p w:rsidR="00390AC0" w:rsidRPr="00C80A77" w:rsidRDefault="00390AC0" w:rsidP="00390AC0">
            <w:pPr>
              <w:spacing w:before="75" w:after="75"/>
            </w:pPr>
            <w:r w:rsidRPr="00C80A77">
              <w:t> Nav</w:t>
            </w:r>
          </w:p>
        </w:tc>
      </w:tr>
    </w:tbl>
    <w:p w:rsidR="00F06B6A" w:rsidRDefault="00F06B6A" w:rsidP="00B941EE">
      <w:pPr>
        <w:jc w:val="both"/>
        <w:rPr>
          <w:sz w:val="28"/>
          <w:szCs w:val="28"/>
        </w:rPr>
      </w:pPr>
    </w:p>
    <w:p w:rsidR="00745F6C" w:rsidRDefault="00875D13" w:rsidP="00390AC0">
      <w:pPr>
        <w:jc w:val="center"/>
        <w:rPr>
          <w:sz w:val="28"/>
          <w:szCs w:val="28"/>
        </w:rPr>
      </w:pPr>
      <w:r>
        <w:rPr>
          <w:sz w:val="28"/>
          <w:szCs w:val="28"/>
        </w:rPr>
        <w:t>Veselības</w:t>
      </w:r>
      <w:r w:rsidR="00390AC0">
        <w:rPr>
          <w:sz w:val="28"/>
          <w:szCs w:val="28"/>
        </w:rPr>
        <w:t xml:space="preserve"> ministre</w:t>
      </w:r>
      <w:r w:rsidR="00745F6C" w:rsidRPr="00015298">
        <w:rPr>
          <w:sz w:val="28"/>
          <w:szCs w:val="28"/>
        </w:rPr>
        <w:tab/>
      </w:r>
      <w:r w:rsidR="00745F6C" w:rsidRPr="00015298">
        <w:rPr>
          <w:sz w:val="28"/>
          <w:szCs w:val="28"/>
        </w:rPr>
        <w:tab/>
      </w:r>
      <w:r w:rsidR="00745F6C" w:rsidRPr="00015298">
        <w:rPr>
          <w:sz w:val="28"/>
          <w:szCs w:val="28"/>
        </w:rPr>
        <w:tab/>
      </w:r>
      <w:r w:rsidR="00745F6C" w:rsidRPr="00015298">
        <w:rPr>
          <w:sz w:val="28"/>
          <w:szCs w:val="28"/>
        </w:rPr>
        <w:tab/>
      </w:r>
      <w:r w:rsidR="00745F6C" w:rsidRPr="00015298">
        <w:rPr>
          <w:sz w:val="28"/>
          <w:szCs w:val="28"/>
        </w:rPr>
        <w:tab/>
      </w:r>
      <w:r w:rsidR="00745F6C" w:rsidRPr="00015298">
        <w:rPr>
          <w:sz w:val="28"/>
          <w:szCs w:val="28"/>
        </w:rPr>
        <w:tab/>
      </w:r>
      <w:r w:rsidR="00745F6C" w:rsidRPr="00015298">
        <w:rPr>
          <w:sz w:val="28"/>
          <w:szCs w:val="28"/>
        </w:rPr>
        <w:tab/>
      </w:r>
      <w:r w:rsidR="00390AC0">
        <w:rPr>
          <w:sz w:val="28"/>
          <w:szCs w:val="28"/>
        </w:rPr>
        <w:t xml:space="preserve">               </w:t>
      </w:r>
      <w:proofErr w:type="spellStart"/>
      <w:r w:rsidR="00390AC0">
        <w:rPr>
          <w:sz w:val="28"/>
          <w:szCs w:val="28"/>
        </w:rPr>
        <w:t>I.Circene</w:t>
      </w:r>
      <w:proofErr w:type="spellEnd"/>
    </w:p>
    <w:p w:rsidR="00B941EE" w:rsidRDefault="00B941EE" w:rsidP="001800B4">
      <w:pPr>
        <w:pStyle w:val="naisf"/>
        <w:tabs>
          <w:tab w:val="left" w:pos="720"/>
        </w:tabs>
        <w:spacing w:before="0" w:after="0"/>
        <w:ind w:firstLine="0"/>
      </w:pPr>
    </w:p>
    <w:p w:rsidR="00E15D0F" w:rsidRDefault="00745F6C" w:rsidP="001800B4">
      <w:pPr>
        <w:pStyle w:val="naisf"/>
        <w:tabs>
          <w:tab w:val="left" w:pos="720"/>
        </w:tabs>
        <w:spacing w:before="0" w:after="0"/>
        <w:ind w:firstLine="0"/>
      </w:pPr>
      <w:r w:rsidRPr="003F2C13">
        <w:tab/>
      </w:r>
    </w:p>
    <w:p w:rsidR="001115CF" w:rsidRDefault="001115CF" w:rsidP="000C1759">
      <w:pPr>
        <w:pStyle w:val="naisf"/>
        <w:tabs>
          <w:tab w:val="left" w:pos="720"/>
        </w:tabs>
        <w:spacing w:before="0" w:after="0"/>
        <w:ind w:firstLine="0"/>
      </w:pPr>
      <w:r>
        <w:t>29.11.2011</w:t>
      </w:r>
      <w:r w:rsidR="0063369C">
        <w:t xml:space="preserve">    10:34</w:t>
      </w:r>
    </w:p>
    <w:p w:rsidR="0005611F" w:rsidRPr="00FB61AF" w:rsidRDefault="0063369C" w:rsidP="000C1759">
      <w:pPr>
        <w:pStyle w:val="naisf"/>
        <w:tabs>
          <w:tab w:val="left" w:pos="720"/>
        </w:tabs>
        <w:spacing w:before="0" w:after="0"/>
        <w:ind w:firstLine="0"/>
      </w:pPr>
      <w:r>
        <w:t>1623</w:t>
      </w:r>
    </w:p>
    <w:p w:rsidR="00745F6C" w:rsidRPr="00FB61AF" w:rsidRDefault="00C73D7D" w:rsidP="00745F6C">
      <w:pPr>
        <w:jc w:val="both"/>
      </w:pPr>
      <w:r w:rsidRPr="00FB61AF">
        <w:t>Ž.Zvaigzne</w:t>
      </w:r>
    </w:p>
    <w:p w:rsidR="00745F6C" w:rsidRPr="00FB61AF" w:rsidRDefault="00C73D7D" w:rsidP="00745F6C">
      <w:pPr>
        <w:jc w:val="both"/>
      </w:pPr>
      <w:r w:rsidRPr="00FB61AF">
        <w:t>67876041</w:t>
      </w:r>
      <w:r w:rsidR="00745F6C" w:rsidRPr="00FB61AF">
        <w:t xml:space="preserve">, </w:t>
      </w:r>
      <w:r w:rsidRPr="00FB61AF">
        <w:t>Zanete.Zvaigzne@v</w:t>
      </w:r>
      <w:r w:rsidR="00745F6C" w:rsidRPr="00FB61AF">
        <w:t>m.gov.lv</w:t>
      </w:r>
    </w:p>
    <w:p w:rsidR="00B46B32" w:rsidRPr="00FB61AF" w:rsidRDefault="00B46B32"/>
    <w:sectPr w:rsidR="00B46B32" w:rsidRPr="00FB61AF" w:rsidSect="003E5F91">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5CF" w:rsidRDefault="001115CF">
      <w:r>
        <w:separator/>
      </w:r>
    </w:p>
  </w:endnote>
  <w:endnote w:type="continuationSeparator" w:id="0">
    <w:p w:rsidR="001115CF" w:rsidRDefault="001115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5CF" w:rsidRPr="0090751B" w:rsidRDefault="001115CF" w:rsidP="00C73D7D">
    <w:pPr>
      <w:pStyle w:val="Footer"/>
      <w:rPr>
        <w:sz w:val="22"/>
        <w:szCs w:val="22"/>
      </w:rPr>
    </w:pPr>
    <w:r>
      <w:rPr>
        <w:sz w:val="22"/>
        <w:szCs w:val="22"/>
      </w:rPr>
      <w:t>VMAnot_291111_flp</w:t>
    </w:r>
    <w:r w:rsidRPr="0090751B">
      <w:rPr>
        <w:sz w:val="22"/>
        <w:szCs w:val="22"/>
      </w:rPr>
      <w:t>;</w:t>
    </w:r>
    <w:r>
      <w:rPr>
        <w:sz w:val="22"/>
        <w:szCs w:val="22"/>
      </w:rPr>
      <w:t xml:space="preserve"> </w:t>
    </w:r>
    <w:r w:rsidRPr="0090751B">
      <w:rPr>
        <w:sz w:val="22"/>
        <w:szCs w:val="22"/>
      </w:rPr>
      <w:t xml:space="preserve">Ministru kabineta rīkojuma projekta ”Par finanšu līdzekļu piešķiršanu no valsts budžeta programmas „Līdzekļi neparedzētiem gadījumiem”” sākotnējās </w:t>
    </w:r>
    <w:r>
      <w:rPr>
        <w:sz w:val="22"/>
        <w:szCs w:val="22"/>
      </w:rPr>
      <w:t>(</w:t>
    </w:r>
    <w:proofErr w:type="spellStart"/>
    <w:r>
      <w:rPr>
        <w:sz w:val="22"/>
        <w:szCs w:val="22"/>
      </w:rPr>
      <w:t>ex-ante</w:t>
    </w:r>
    <w:proofErr w:type="spellEnd"/>
    <w:r>
      <w:rPr>
        <w:sz w:val="22"/>
        <w:szCs w:val="22"/>
      </w:rPr>
      <w:t xml:space="preserve">) </w:t>
    </w:r>
    <w:r w:rsidRPr="0090751B">
      <w:rPr>
        <w:sz w:val="22"/>
        <w:szCs w:val="22"/>
      </w:rPr>
      <w:t>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5CF" w:rsidRPr="0090751B" w:rsidRDefault="001115CF" w:rsidP="00C73D7D">
    <w:pPr>
      <w:jc w:val="both"/>
      <w:rPr>
        <w:sz w:val="22"/>
        <w:szCs w:val="22"/>
      </w:rPr>
    </w:pPr>
    <w:r>
      <w:rPr>
        <w:sz w:val="22"/>
        <w:szCs w:val="22"/>
      </w:rPr>
      <w:t>VMAnot_291111_flp</w:t>
    </w:r>
    <w:r w:rsidRPr="0090751B">
      <w:rPr>
        <w:sz w:val="22"/>
        <w:szCs w:val="22"/>
      </w:rPr>
      <w:t>;</w:t>
    </w:r>
    <w:r>
      <w:rPr>
        <w:sz w:val="22"/>
        <w:szCs w:val="22"/>
      </w:rPr>
      <w:t xml:space="preserve"> </w:t>
    </w:r>
    <w:bookmarkStart w:id="0" w:name="OLE_LINK25"/>
    <w:bookmarkStart w:id="1" w:name="OLE_LINK26"/>
    <w:r w:rsidRPr="0090751B">
      <w:rPr>
        <w:sz w:val="22"/>
        <w:szCs w:val="22"/>
      </w:rPr>
      <w:t xml:space="preserve">Ministru kabineta rīkojuma projekta ”Par finanšu līdzekļu piešķiršanu no valsts budžeta programmas „Līdzekļi neparedzētiem gadījumiem”” sākotnējās </w:t>
    </w:r>
    <w:r>
      <w:rPr>
        <w:sz w:val="22"/>
        <w:szCs w:val="22"/>
      </w:rPr>
      <w:t>(</w:t>
    </w:r>
    <w:proofErr w:type="spellStart"/>
    <w:r>
      <w:rPr>
        <w:sz w:val="22"/>
        <w:szCs w:val="22"/>
      </w:rPr>
      <w:t>ex-ante</w:t>
    </w:r>
    <w:proofErr w:type="spellEnd"/>
    <w:r>
      <w:rPr>
        <w:sz w:val="22"/>
        <w:szCs w:val="22"/>
      </w:rPr>
      <w:t xml:space="preserve">) </w:t>
    </w:r>
    <w:r w:rsidRPr="0090751B">
      <w:rPr>
        <w:sz w:val="22"/>
        <w:szCs w:val="22"/>
      </w:rPr>
      <w:t>ietekmes novērtējuma ziņojums (anotācija)</w:t>
    </w:r>
    <w:bookmarkEnd w:id="0"/>
    <w:bookmarkEnd w:id="1"/>
  </w:p>
  <w:p w:rsidR="001115CF" w:rsidRPr="00C73D7D" w:rsidRDefault="001115CF" w:rsidP="00C73D7D">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5CF" w:rsidRDefault="001115CF">
      <w:r>
        <w:separator/>
      </w:r>
    </w:p>
  </w:footnote>
  <w:footnote w:type="continuationSeparator" w:id="0">
    <w:p w:rsidR="001115CF" w:rsidRDefault="001115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5CF" w:rsidRDefault="001115CF" w:rsidP="001B1A87">
    <w:pPr>
      <w:pStyle w:val="Header"/>
      <w:jc w:val="center"/>
    </w:pPr>
    <w:r>
      <w:rPr>
        <w:rStyle w:val="PageNumber"/>
      </w:rPr>
      <w:fldChar w:fldCharType="begin"/>
    </w:r>
    <w:r>
      <w:rPr>
        <w:rStyle w:val="PageNumber"/>
      </w:rPr>
      <w:instrText xml:space="preserve"> PAGE </w:instrText>
    </w:r>
    <w:r>
      <w:rPr>
        <w:rStyle w:val="PageNumber"/>
      </w:rPr>
      <w:fldChar w:fldCharType="separate"/>
    </w:r>
    <w:r w:rsidR="0063369C">
      <w:rPr>
        <w:rStyle w:val="PageNumber"/>
        <w:noProof/>
      </w:rPr>
      <w:t>7</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E4115"/>
    <w:multiLevelType w:val="hybridMultilevel"/>
    <w:tmpl w:val="14904534"/>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1999481F"/>
    <w:multiLevelType w:val="hybridMultilevel"/>
    <w:tmpl w:val="E028DD90"/>
    <w:lvl w:ilvl="0" w:tplc="248EE174">
      <w:start w:val="3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E6BF2"/>
    <w:multiLevelType w:val="hybridMultilevel"/>
    <w:tmpl w:val="519AD168"/>
    <w:lvl w:ilvl="0" w:tplc="0409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33629AA6">
      <w:start w:val="1"/>
      <w:numFmt w:val="decimal"/>
      <w:lvlText w:val="%3)"/>
      <w:lvlJc w:val="left"/>
      <w:pPr>
        <w:ind w:left="2160" w:hanging="360"/>
      </w:pPr>
      <w:rPr>
        <w:rFont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7643A31"/>
    <w:multiLevelType w:val="multilevel"/>
    <w:tmpl w:val="DAC8D04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BF308F0"/>
    <w:multiLevelType w:val="hybridMultilevel"/>
    <w:tmpl w:val="43A2F854"/>
    <w:lvl w:ilvl="0" w:tplc="A8CE8A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9C4CE7"/>
    <w:multiLevelType w:val="hybridMultilevel"/>
    <w:tmpl w:val="12A0C568"/>
    <w:lvl w:ilvl="0" w:tplc="23A25960">
      <w:start w:val="3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45F6C"/>
    <w:rsid w:val="00007923"/>
    <w:rsid w:val="000440B7"/>
    <w:rsid w:val="0005611F"/>
    <w:rsid w:val="000743AA"/>
    <w:rsid w:val="00095738"/>
    <w:rsid w:val="000C1759"/>
    <w:rsid w:val="000C2310"/>
    <w:rsid w:val="00101650"/>
    <w:rsid w:val="001115CF"/>
    <w:rsid w:val="00127234"/>
    <w:rsid w:val="00131969"/>
    <w:rsid w:val="0013462A"/>
    <w:rsid w:val="0015164B"/>
    <w:rsid w:val="00154422"/>
    <w:rsid w:val="0015783E"/>
    <w:rsid w:val="001800B4"/>
    <w:rsid w:val="001A0176"/>
    <w:rsid w:val="001B1A87"/>
    <w:rsid w:val="001F1CF2"/>
    <w:rsid w:val="00201C41"/>
    <w:rsid w:val="00211881"/>
    <w:rsid w:val="002C4727"/>
    <w:rsid w:val="00315931"/>
    <w:rsid w:val="00325608"/>
    <w:rsid w:val="00390AC0"/>
    <w:rsid w:val="003B13BF"/>
    <w:rsid w:val="003E346E"/>
    <w:rsid w:val="003E5F91"/>
    <w:rsid w:val="00437653"/>
    <w:rsid w:val="00454202"/>
    <w:rsid w:val="00464AB8"/>
    <w:rsid w:val="00473B24"/>
    <w:rsid w:val="00475230"/>
    <w:rsid w:val="00484A0B"/>
    <w:rsid w:val="004865D9"/>
    <w:rsid w:val="004B664C"/>
    <w:rsid w:val="00501080"/>
    <w:rsid w:val="00526E62"/>
    <w:rsid w:val="00534005"/>
    <w:rsid w:val="0057655C"/>
    <w:rsid w:val="00577301"/>
    <w:rsid w:val="005A5DDE"/>
    <w:rsid w:val="005C454F"/>
    <w:rsid w:val="005C7BB4"/>
    <w:rsid w:val="005F72CF"/>
    <w:rsid w:val="0063369C"/>
    <w:rsid w:val="00680429"/>
    <w:rsid w:val="00693104"/>
    <w:rsid w:val="006B2526"/>
    <w:rsid w:val="006B3292"/>
    <w:rsid w:val="006C2605"/>
    <w:rsid w:val="006C2B89"/>
    <w:rsid w:val="0071167F"/>
    <w:rsid w:val="00716F56"/>
    <w:rsid w:val="00721A59"/>
    <w:rsid w:val="007350D1"/>
    <w:rsid w:val="00745F6C"/>
    <w:rsid w:val="007610A3"/>
    <w:rsid w:val="007F0475"/>
    <w:rsid w:val="008002D7"/>
    <w:rsid w:val="00817453"/>
    <w:rsid w:val="00843BC3"/>
    <w:rsid w:val="00867418"/>
    <w:rsid w:val="00875D13"/>
    <w:rsid w:val="008C4AF4"/>
    <w:rsid w:val="00902265"/>
    <w:rsid w:val="0090751B"/>
    <w:rsid w:val="00915FF3"/>
    <w:rsid w:val="0093766A"/>
    <w:rsid w:val="00942E6F"/>
    <w:rsid w:val="009465D3"/>
    <w:rsid w:val="00971F2C"/>
    <w:rsid w:val="009E1ADF"/>
    <w:rsid w:val="00A15F5D"/>
    <w:rsid w:val="00A173D7"/>
    <w:rsid w:val="00A31D8F"/>
    <w:rsid w:val="00A34823"/>
    <w:rsid w:val="00A4798A"/>
    <w:rsid w:val="00A5654A"/>
    <w:rsid w:val="00AC27A2"/>
    <w:rsid w:val="00B14996"/>
    <w:rsid w:val="00B16644"/>
    <w:rsid w:val="00B1714B"/>
    <w:rsid w:val="00B46B32"/>
    <w:rsid w:val="00B54DE3"/>
    <w:rsid w:val="00B941EE"/>
    <w:rsid w:val="00BB1BC9"/>
    <w:rsid w:val="00BC2904"/>
    <w:rsid w:val="00BE26C4"/>
    <w:rsid w:val="00C03467"/>
    <w:rsid w:val="00C23CBF"/>
    <w:rsid w:val="00C73D7D"/>
    <w:rsid w:val="00CA4285"/>
    <w:rsid w:val="00CB0F76"/>
    <w:rsid w:val="00D253CD"/>
    <w:rsid w:val="00D2677D"/>
    <w:rsid w:val="00D41076"/>
    <w:rsid w:val="00D6703A"/>
    <w:rsid w:val="00D73A24"/>
    <w:rsid w:val="00DA157E"/>
    <w:rsid w:val="00DC4667"/>
    <w:rsid w:val="00DF4400"/>
    <w:rsid w:val="00DF62C4"/>
    <w:rsid w:val="00E15D0F"/>
    <w:rsid w:val="00E2499F"/>
    <w:rsid w:val="00E46E0B"/>
    <w:rsid w:val="00E912CD"/>
    <w:rsid w:val="00F06B6A"/>
    <w:rsid w:val="00F41F0B"/>
    <w:rsid w:val="00F553DD"/>
    <w:rsid w:val="00F608E6"/>
    <w:rsid w:val="00FB61AF"/>
    <w:rsid w:val="00FF4349"/>
    <w:rsid w:val="00FF7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5F6C"/>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5F6C"/>
    <w:pPr>
      <w:tabs>
        <w:tab w:val="center" w:pos="4153"/>
        <w:tab w:val="right" w:pos="8306"/>
      </w:tabs>
    </w:pPr>
  </w:style>
  <w:style w:type="paragraph" w:styleId="Footer">
    <w:name w:val="footer"/>
    <w:basedOn w:val="Normal"/>
    <w:rsid w:val="00745F6C"/>
    <w:pPr>
      <w:tabs>
        <w:tab w:val="center" w:pos="4153"/>
        <w:tab w:val="right" w:pos="8306"/>
      </w:tabs>
    </w:pPr>
  </w:style>
  <w:style w:type="character" w:styleId="PageNumber">
    <w:name w:val="page number"/>
    <w:basedOn w:val="DefaultParagraphFont"/>
    <w:rsid w:val="00745F6C"/>
  </w:style>
  <w:style w:type="paragraph" w:customStyle="1" w:styleId="naisf">
    <w:name w:val="naisf"/>
    <w:basedOn w:val="Normal"/>
    <w:rsid w:val="00745F6C"/>
    <w:pPr>
      <w:spacing w:before="75" w:after="75"/>
      <w:ind w:firstLine="375"/>
      <w:jc w:val="both"/>
    </w:pPr>
  </w:style>
  <w:style w:type="paragraph" w:customStyle="1" w:styleId="naisnod">
    <w:name w:val="naisnod"/>
    <w:basedOn w:val="Normal"/>
    <w:rsid w:val="00875D13"/>
    <w:pPr>
      <w:spacing w:before="150" w:after="150"/>
      <w:jc w:val="center"/>
    </w:pPr>
    <w:rPr>
      <w:rFonts w:eastAsia="Calibri"/>
      <w:b/>
      <w:bCs/>
    </w:rPr>
  </w:style>
  <w:style w:type="paragraph" w:customStyle="1" w:styleId="naiskr">
    <w:name w:val="naiskr"/>
    <w:basedOn w:val="Normal"/>
    <w:rsid w:val="00875D13"/>
    <w:pPr>
      <w:spacing w:before="75" w:after="75"/>
    </w:pPr>
    <w:rPr>
      <w:rFonts w:eastAsia="Calibri"/>
    </w:rPr>
  </w:style>
  <w:style w:type="paragraph" w:styleId="BodyTextIndent2">
    <w:name w:val="Body Text Indent 2"/>
    <w:basedOn w:val="Normal"/>
    <w:link w:val="BodyTextIndent2Char"/>
    <w:rsid w:val="00875D13"/>
    <w:pPr>
      <w:spacing w:after="120" w:line="480" w:lineRule="auto"/>
      <w:ind w:left="283"/>
    </w:pPr>
    <w:rPr>
      <w:rFonts w:eastAsia="Calibri"/>
    </w:rPr>
  </w:style>
  <w:style w:type="character" w:customStyle="1" w:styleId="BodyTextIndent2Char">
    <w:name w:val="Body Text Indent 2 Char"/>
    <w:basedOn w:val="DefaultParagraphFont"/>
    <w:link w:val="BodyTextIndent2"/>
    <w:rsid w:val="00875D13"/>
    <w:rPr>
      <w:rFonts w:eastAsia="Calibri"/>
      <w:sz w:val="24"/>
      <w:szCs w:val="24"/>
      <w:lang w:val="lv-LV" w:eastAsia="lv-LV"/>
    </w:rPr>
  </w:style>
  <w:style w:type="paragraph" w:styleId="ListParagraph">
    <w:name w:val="List Paragraph"/>
    <w:basedOn w:val="Normal"/>
    <w:uiPriority w:val="34"/>
    <w:qFormat/>
    <w:rsid w:val="005C454F"/>
    <w:pPr>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rsid w:val="00CA4285"/>
    <w:pPr>
      <w:spacing w:before="100" w:beforeAutospacing="1" w:after="119"/>
    </w:pPr>
  </w:style>
  <w:style w:type="paragraph" w:styleId="BalloonText">
    <w:name w:val="Balloon Text"/>
    <w:basedOn w:val="Normal"/>
    <w:link w:val="BalloonTextChar"/>
    <w:rsid w:val="006B3292"/>
    <w:rPr>
      <w:rFonts w:ascii="Tahoma" w:hAnsi="Tahoma" w:cs="Tahoma"/>
      <w:sz w:val="16"/>
      <w:szCs w:val="16"/>
    </w:rPr>
  </w:style>
  <w:style w:type="character" w:customStyle="1" w:styleId="BalloonTextChar">
    <w:name w:val="Balloon Text Char"/>
    <w:basedOn w:val="DefaultParagraphFont"/>
    <w:link w:val="BalloonText"/>
    <w:rsid w:val="006B3292"/>
    <w:rPr>
      <w:rFonts w:ascii="Tahoma" w:hAnsi="Tahoma" w:cs="Tahoma"/>
      <w:sz w:val="16"/>
      <w:szCs w:val="16"/>
      <w:lang w:val="lv-LV" w:eastAsia="lv-LV"/>
    </w:rPr>
  </w:style>
</w:styles>
</file>

<file path=word/webSettings.xml><?xml version="1.0" encoding="utf-8"?>
<w:webSettings xmlns:r="http://schemas.openxmlformats.org/officeDocument/2006/relationships" xmlns:w="http://schemas.openxmlformats.org/wordprocessingml/2006/main">
  <w:divs>
    <w:div w:id="316500483">
      <w:bodyDiv w:val="1"/>
      <w:marLeft w:val="0"/>
      <w:marRight w:val="0"/>
      <w:marTop w:val="0"/>
      <w:marBottom w:val="0"/>
      <w:divBdr>
        <w:top w:val="none" w:sz="0" w:space="0" w:color="auto"/>
        <w:left w:val="none" w:sz="0" w:space="0" w:color="auto"/>
        <w:bottom w:val="none" w:sz="0" w:space="0" w:color="auto"/>
        <w:right w:val="none" w:sz="0" w:space="0" w:color="auto"/>
      </w:divBdr>
    </w:div>
    <w:div w:id="144553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7</Pages>
  <Words>1623</Words>
  <Characters>11007</Characters>
  <Application>Microsoft Office Word</Application>
  <DocSecurity>0</DocSecurity>
  <Lines>647</Lines>
  <Paragraphs>350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(ex-ante)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(ex-ante) ietekmes novērtējuma ziņojums (anotācija)</dc:title>
  <dc:subject>anotācijas projekts</dc:subject>
  <dc:creator>Žanete Zvaigzne</dc:creator>
  <cp:keywords/>
  <dc:description>Zanete.Zvaigzne@vm.gov.lv; 67876041, Budžeta un investīciju departamenta Budžeta plānošanas nodaļa</dc:description>
  <cp:lastModifiedBy>zzvaigzne</cp:lastModifiedBy>
  <cp:revision>12</cp:revision>
  <cp:lastPrinted>2010-08-17T07:37:00Z</cp:lastPrinted>
  <dcterms:created xsi:type="dcterms:W3CDTF">2011-11-21T06:34:00Z</dcterms:created>
  <dcterms:modified xsi:type="dcterms:W3CDTF">2011-11-29T08:34:00Z</dcterms:modified>
</cp:coreProperties>
</file>