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3" w:rsidRPr="001A74EC" w:rsidRDefault="00CB2893" w:rsidP="00A87F98">
      <w:pPr>
        <w:ind w:right="185"/>
        <w:jc w:val="center"/>
        <w:rPr>
          <w:b/>
          <w:sz w:val="28"/>
          <w:szCs w:val="28"/>
          <w:lang w:val="lv-LV"/>
        </w:rPr>
      </w:pPr>
      <w:r w:rsidRPr="001A74EC">
        <w:rPr>
          <w:b/>
          <w:sz w:val="28"/>
          <w:szCs w:val="28"/>
          <w:lang w:val="lv-LV"/>
        </w:rPr>
        <w:t>Ministru kabineta noteikumu projekta</w:t>
      </w:r>
    </w:p>
    <w:p w:rsidR="003A1EB7" w:rsidRPr="001A74EC" w:rsidRDefault="003A1EB7" w:rsidP="00CB2893">
      <w:pPr>
        <w:jc w:val="center"/>
        <w:rPr>
          <w:b/>
          <w:sz w:val="28"/>
          <w:szCs w:val="28"/>
          <w:lang w:val="lv-LV"/>
        </w:rPr>
      </w:pPr>
      <w:r w:rsidRPr="001A74EC">
        <w:rPr>
          <w:b/>
          <w:sz w:val="28"/>
          <w:szCs w:val="28"/>
          <w:lang w:val="lv-LV"/>
        </w:rPr>
        <w:t>”</w:t>
      </w:r>
      <w:r w:rsidR="00F00812" w:rsidRPr="001A74EC">
        <w:rPr>
          <w:b/>
          <w:sz w:val="28"/>
          <w:szCs w:val="28"/>
          <w:lang w:val="lv-LV"/>
        </w:rPr>
        <w:t>Grozījumi Ministru kabineta 2006.</w:t>
      </w:r>
      <w:r w:rsidR="00281DB0" w:rsidRPr="001A74EC">
        <w:rPr>
          <w:b/>
          <w:sz w:val="28"/>
          <w:szCs w:val="28"/>
          <w:lang w:val="lv-LV"/>
        </w:rPr>
        <w:t>gada 17</w:t>
      </w:r>
      <w:r w:rsidRPr="001A74EC">
        <w:rPr>
          <w:b/>
          <w:sz w:val="28"/>
          <w:szCs w:val="28"/>
          <w:lang w:val="lv-LV"/>
        </w:rPr>
        <w:t>.</w:t>
      </w:r>
      <w:r w:rsidR="00281DB0" w:rsidRPr="001A74EC">
        <w:rPr>
          <w:b/>
          <w:sz w:val="28"/>
          <w:szCs w:val="28"/>
          <w:lang w:val="lv-LV"/>
        </w:rPr>
        <w:t>janvāra noteikumos Nr.57</w:t>
      </w:r>
      <w:r w:rsidRPr="001A74EC">
        <w:rPr>
          <w:b/>
          <w:sz w:val="28"/>
          <w:szCs w:val="28"/>
          <w:lang w:val="lv-LV"/>
        </w:rPr>
        <w:t xml:space="preserve"> ”</w:t>
      </w:r>
      <w:r w:rsidR="00281DB0" w:rsidRPr="001A74EC">
        <w:rPr>
          <w:b/>
          <w:sz w:val="28"/>
          <w:szCs w:val="28"/>
          <w:lang w:val="lv-LV"/>
        </w:rPr>
        <w:t>Noteikumi par z</w:t>
      </w:r>
      <w:r w:rsidR="00F00812" w:rsidRPr="001A74EC">
        <w:rPr>
          <w:b/>
          <w:sz w:val="28"/>
          <w:szCs w:val="28"/>
          <w:lang w:val="lv-LV"/>
        </w:rPr>
        <w:t xml:space="preserve">āļu </w:t>
      </w:r>
      <w:r w:rsidR="00281DB0" w:rsidRPr="001A74EC">
        <w:rPr>
          <w:b/>
          <w:sz w:val="28"/>
          <w:szCs w:val="28"/>
          <w:lang w:val="lv-LV"/>
        </w:rPr>
        <w:t>marķēšanas kārtību un zāļu lietošanas instrukcijai izvirzāmajām prasībām</w:t>
      </w:r>
      <w:r w:rsidR="00F00812" w:rsidRPr="001A74EC">
        <w:rPr>
          <w:b/>
          <w:sz w:val="28"/>
          <w:szCs w:val="28"/>
          <w:lang w:val="lv-LV"/>
        </w:rPr>
        <w:t xml:space="preserve">”” </w:t>
      </w:r>
    </w:p>
    <w:p w:rsidR="00CB2893" w:rsidRPr="001A74EC" w:rsidRDefault="00CB2893" w:rsidP="00CB2893">
      <w:pPr>
        <w:jc w:val="center"/>
        <w:rPr>
          <w:b/>
          <w:bCs/>
          <w:sz w:val="28"/>
          <w:szCs w:val="28"/>
          <w:lang w:val="lv-LV"/>
        </w:rPr>
      </w:pPr>
      <w:r w:rsidRPr="001A74EC">
        <w:rPr>
          <w:b/>
          <w:sz w:val="28"/>
          <w:szCs w:val="28"/>
          <w:lang w:val="lv-LV"/>
        </w:rPr>
        <w:t xml:space="preserve">sākotnējās ietekmes novērtējuma ziņojums </w:t>
      </w:r>
      <w:r w:rsidRPr="001A74EC">
        <w:rPr>
          <w:b/>
          <w:bCs/>
          <w:sz w:val="28"/>
          <w:szCs w:val="28"/>
          <w:lang w:val="lv-LV"/>
        </w:rPr>
        <w:t>(anotācija)</w:t>
      </w:r>
    </w:p>
    <w:p w:rsidR="00CB2893" w:rsidRPr="001A74EC" w:rsidRDefault="00CB2893" w:rsidP="00CB2893">
      <w:pPr>
        <w:rPr>
          <w:b/>
          <w:bCs/>
          <w:sz w:val="28"/>
          <w:szCs w:val="28"/>
          <w:lang w:val="lv-LV"/>
        </w:rPr>
      </w:pPr>
    </w:p>
    <w:p w:rsidR="00CB2893" w:rsidRPr="001A74EC" w:rsidRDefault="00CB2893" w:rsidP="00CB2893">
      <w:pPr>
        <w:jc w:val="center"/>
        <w:rPr>
          <w:b/>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25"/>
        <w:gridCol w:w="7371"/>
      </w:tblGrid>
      <w:tr w:rsidR="00CB2893" w:rsidRPr="001A74EC" w:rsidTr="00164724">
        <w:tc>
          <w:tcPr>
            <w:tcW w:w="9322" w:type="dxa"/>
            <w:gridSpan w:val="3"/>
          </w:tcPr>
          <w:p w:rsidR="00CB2893" w:rsidRPr="001A74EC" w:rsidRDefault="00CB2893" w:rsidP="00E20041">
            <w:pPr>
              <w:jc w:val="center"/>
              <w:rPr>
                <w:b/>
                <w:sz w:val="28"/>
                <w:szCs w:val="28"/>
                <w:lang w:val="lv-LV"/>
              </w:rPr>
            </w:pPr>
            <w:r w:rsidRPr="001A74EC">
              <w:rPr>
                <w:b/>
                <w:sz w:val="28"/>
                <w:szCs w:val="28"/>
                <w:lang w:val="lv-LV"/>
              </w:rPr>
              <w:t xml:space="preserve">I. Tiesību </w:t>
            </w:r>
            <w:smartTag w:uri="schemas-tilde-lv/tildestengine" w:element="veidnes">
              <w:smartTagPr>
                <w:attr w:name="text" w:val="akta"/>
                <w:attr w:name="id" w:val="-1"/>
                <w:attr w:name="baseform" w:val="akt|s"/>
              </w:smartTagPr>
              <w:r w:rsidRPr="001A74EC">
                <w:rPr>
                  <w:b/>
                  <w:sz w:val="28"/>
                  <w:szCs w:val="28"/>
                  <w:lang w:val="lv-LV"/>
                </w:rPr>
                <w:t>akta</w:t>
              </w:r>
            </w:smartTag>
            <w:r w:rsidRPr="001A74EC">
              <w:rPr>
                <w:b/>
                <w:sz w:val="28"/>
                <w:szCs w:val="28"/>
                <w:lang w:val="lv-LV"/>
              </w:rPr>
              <w:t xml:space="preserve"> projekta izstrādes nepieciešamība</w:t>
            </w:r>
          </w:p>
        </w:tc>
      </w:tr>
      <w:tr w:rsidR="00CB2893" w:rsidRPr="00426D06" w:rsidTr="00164724">
        <w:tc>
          <w:tcPr>
            <w:tcW w:w="426" w:type="dxa"/>
          </w:tcPr>
          <w:p w:rsidR="00CB2893" w:rsidRPr="001A74EC" w:rsidRDefault="00CB2893" w:rsidP="00E20041">
            <w:pPr>
              <w:rPr>
                <w:lang w:val="lv-LV"/>
              </w:rPr>
            </w:pPr>
            <w:r w:rsidRPr="001A74EC">
              <w:rPr>
                <w:lang w:val="lv-LV"/>
              </w:rPr>
              <w:t>1.</w:t>
            </w:r>
          </w:p>
        </w:tc>
        <w:tc>
          <w:tcPr>
            <w:tcW w:w="1525" w:type="dxa"/>
          </w:tcPr>
          <w:p w:rsidR="00CB2893" w:rsidRPr="001A74EC" w:rsidRDefault="00CB2893" w:rsidP="00E20041">
            <w:pPr>
              <w:jc w:val="both"/>
              <w:rPr>
                <w:lang w:val="lv-LV"/>
              </w:rPr>
            </w:pPr>
            <w:r w:rsidRPr="001A74EC">
              <w:rPr>
                <w:lang w:val="lv-LV"/>
              </w:rPr>
              <w:t>Pamatojums</w:t>
            </w:r>
          </w:p>
        </w:tc>
        <w:tc>
          <w:tcPr>
            <w:tcW w:w="7371" w:type="dxa"/>
          </w:tcPr>
          <w:p w:rsidR="005E3F05" w:rsidRPr="001A74EC" w:rsidRDefault="00952728" w:rsidP="005E5C8F">
            <w:pPr>
              <w:jc w:val="both"/>
              <w:rPr>
                <w:lang w:val="lv-LV"/>
              </w:rPr>
            </w:pPr>
            <w:r w:rsidRPr="001A74EC">
              <w:rPr>
                <w:lang w:val="lv-LV"/>
              </w:rPr>
              <w:t>Minist</w:t>
            </w:r>
            <w:r w:rsidR="00147C7C" w:rsidRPr="001A74EC">
              <w:rPr>
                <w:lang w:val="lv-LV"/>
              </w:rPr>
              <w:t>ru kabineta noteikumu projekts ”</w:t>
            </w:r>
            <w:r w:rsidR="00281DB0" w:rsidRPr="001A74EC">
              <w:rPr>
                <w:lang w:val="lv-LV"/>
              </w:rPr>
              <w:t>Grozījumi Ministru kabineta 2006.gada 17.janvāra noteikumos Nr.57 ”Noteikumi par zāļu marķēšanas kārtību un zāļu lietošanas instrukcijai izvirzāmajām prasībām</w:t>
            </w:r>
            <w:r w:rsidR="00AF046F" w:rsidRPr="001A74EC">
              <w:rPr>
                <w:lang w:val="lv-LV"/>
              </w:rPr>
              <w:t>”</w:t>
            </w:r>
            <w:r w:rsidRPr="001A74EC">
              <w:rPr>
                <w:lang w:val="lv-LV"/>
              </w:rPr>
              <w:t>”</w:t>
            </w:r>
            <w:r w:rsidR="00AF046F" w:rsidRPr="001A74EC">
              <w:rPr>
                <w:lang w:val="lv-LV"/>
              </w:rPr>
              <w:t xml:space="preserve"> (turpmāk - </w:t>
            </w:r>
            <w:r w:rsidR="003A6F8A" w:rsidRPr="001A74EC">
              <w:rPr>
                <w:lang w:val="lv-LV"/>
              </w:rPr>
              <w:t xml:space="preserve">Noteikumu projekts) ir izstrādāti saistībā </w:t>
            </w:r>
            <w:r w:rsidR="003124A7" w:rsidRPr="001A74EC">
              <w:rPr>
                <w:lang w:val="lv-LV"/>
              </w:rPr>
              <w:t>ar Farmācijas likuma 5.panta 3</w:t>
            </w:r>
            <w:r w:rsidR="00CB2893" w:rsidRPr="001A74EC">
              <w:rPr>
                <w:lang w:val="lv-LV"/>
              </w:rPr>
              <w:t>.</w:t>
            </w:r>
            <w:r w:rsidR="00ED66A5" w:rsidRPr="001A74EC">
              <w:rPr>
                <w:lang w:val="lv-LV"/>
              </w:rPr>
              <w:t xml:space="preserve"> un 12.</w:t>
            </w:r>
            <w:r w:rsidR="00CB2893" w:rsidRPr="001A74EC">
              <w:rPr>
                <w:lang w:val="lv-LV"/>
              </w:rPr>
              <w:t>punktu</w:t>
            </w:r>
            <w:r w:rsidR="004D7857" w:rsidRPr="001A74EC">
              <w:rPr>
                <w:lang w:val="lv-LV"/>
              </w:rPr>
              <w:t>, lai</w:t>
            </w:r>
            <w:r w:rsidR="0018103F" w:rsidRPr="001A74EC">
              <w:rPr>
                <w:lang w:val="lv-LV"/>
              </w:rPr>
              <w:t xml:space="preserve"> Ministru kabineta </w:t>
            </w:r>
            <w:r w:rsidR="00ED66A5" w:rsidRPr="001A74EC">
              <w:rPr>
                <w:lang w:val="lv-LV"/>
              </w:rPr>
              <w:t>2006.gada 17.janvāra noteikumos Nr.57</w:t>
            </w:r>
            <w:r w:rsidR="0018103F" w:rsidRPr="001A74EC">
              <w:rPr>
                <w:lang w:val="lv-LV"/>
              </w:rPr>
              <w:t xml:space="preserve"> “</w:t>
            </w:r>
            <w:r w:rsidR="00ED66A5" w:rsidRPr="001A74EC">
              <w:rPr>
                <w:lang w:val="lv-LV"/>
              </w:rPr>
              <w:t>Noteikumi par zāļu marķēšanas kārtību un zāļu lietošanas instrukcijai izvirzāmajām prasībām” (turpmāk - MK noteikumi Nr.57</w:t>
            </w:r>
            <w:r w:rsidR="0018103F" w:rsidRPr="001A74EC">
              <w:rPr>
                <w:lang w:val="lv-LV"/>
              </w:rPr>
              <w:t>)</w:t>
            </w:r>
            <w:r w:rsidR="005A577B" w:rsidRPr="001A74EC">
              <w:rPr>
                <w:lang w:val="lv-LV"/>
              </w:rPr>
              <w:t xml:space="preserve"> </w:t>
            </w:r>
            <w:r w:rsidR="0018103F" w:rsidRPr="001A74EC">
              <w:rPr>
                <w:lang w:val="lv-LV"/>
              </w:rPr>
              <w:t xml:space="preserve">ieviestu normas saistībā ar </w:t>
            </w:r>
            <w:r w:rsidR="00351843" w:rsidRPr="001A74EC">
              <w:rPr>
                <w:lang w:val="lv-LV"/>
              </w:rPr>
              <w:t>zāļu lietošanas instrukcijām</w:t>
            </w:r>
            <w:r w:rsidR="0018103F" w:rsidRPr="001A74EC">
              <w:rPr>
                <w:lang w:val="lv-LV"/>
              </w:rPr>
              <w:t>, kas izriet no</w:t>
            </w:r>
            <w:r w:rsidR="0074536C" w:rsidRPr="001A74EC">
              <w:rPr>
                <w:lang w:val="lv-LV"/>
              </w:rPr>
              <w:t xml:space="preserve"> </w:t>
            </w:r>
            <w:r w:rsidR="00CB2893" w:rsidRPr="001A74EC">
              <w:rPr>
                <w:lang w:val="lv-LV"/>
              </w:rPr>
              <w:t xml:space="preserve">Eiropas Parlamenta un Padomes 2010.gada 15.decembra Direktīvas Nr.2010/84/ES, ar kuru attiecībā uz </w:t>
            </w:r>
            <w:proofErr w:type="spellStart"/>
            <w:r w:rsidR="00CB2893" w:rsidRPr="001A74EC">
              <w:rPr>
                <w:lang w:val="lv-LV"/>
              </w:rPr>
              <w:t>farmakovigilanci</w:t>
            </w:r>
            <w:proofErr w:type="spellEnd"/>
            <w:r w:rsidR="00CB2893" w:rsidRPr="001A74EC">
              <w:rPr>
                <w:lang w:val="lv-LV"/>
              </w:rPr>
              <w:t xml:space="preserve"> groza Direktīvu 2001/83/EK par Kopienas kodeksu, kas attiecas uz cilvēk</w:t>
            </w:r>
            <w:r w:rsidR="00905F0C" w:rsidRPr="001A74EC">
              <w:rPr>
                <w:lang w:val="lv-LV"/>
              </w:rPr>
              <w:t>iem paredzētām zālēm (turpmāk - </w:t>
            </w:r>
            <w:r w:rsidR="00CB2893" w:rsidRPr="001A74EC">
              <w:rPr>
                <w:lang w:val="lv-LV"/>
              </w:rPr>
              <w:t>Direktīva</w:t>
            </w:r>
            <w:r w:rsidR="003F264B" w:rsidRPr="001A74EC">
              <w:rPr>
                <w:lang w:val="lv-LV"/>
              </w:rPr>
              <w:t xml:space="preserve"> </w:t>
            </w:r>
            <w:r w:rsidR="004D7857" w:rsidRPr="001A74EC">
              <w:rPr>
                <w:lang w:val="lv-LV"/>
              </w:rPr>
              <w:t>Nr.2010/84/ES</w:t>
            </w:r>
            <w:r w:rsidR="003F264B" w:rsidRPr="001A74EC">
              <w:rPr>
                <w:lang w:val="lv-LV"/>
              </w:rPr>
              <w:t>)</w:t>
            </w:r>
            <w:r w:rsidR="00305D7F" w:rsidRPr="001A74EC">
              <w:rPr>
                <w:lang w:val="lv-LV"/>
              </w:rPr>
              <w:t>.</w:t>
            </w:r>
          </w:p>
        </w:tc>
      </w:tr>
      <w:tr w:rsidR="00CB2893" w:rsidRPr="00426D06" w:rsidTr="00164724">
        <w:tc>
          <w:tcPr>
            <w:tcW w:w="426" w:type="dxa"/>
          </w:tcPr>
          <w:p w:rsidR="00CB2893" w:rsidRPr="001A74EC" w:rsidRDefault="00CB2893" w:rsidP="00E20041">
            <w:pPr>
              <w:rPr>
                <w:lang w:val="lv-LV"/>
              </w:rPr>
            </w:pPr>
            <w:r w:rsidRPr="001A74EC">
              <w:rPr>
                <w:lang w:val="lv-LV"/>
              </w:rPr>
              <w:t xml:space="preserve">2. </w:t>
            </w:r>
          </w:p>
        </w:tc>
        <w:tc>
          <w:tcPr>
            <w:tcW w:w="1525" w:type="dxa"/>
          </w:tcPr>
          <w:p w:rsidR="00CB2893" w:rsidRPr="001A74EC" w:rsidRDefault="00CB2893" w:rsidP="00E20041">
            <w:pPr>
              <w:jc w:val="both"/>
              <w:rPr>
                <w:lang w:val="lv-LV"/>
              </w:rPr>
            </w:pPr>
            <w:r w:rsidRPr="001A74EC">
              <w:rPr>
                <w:lang w:val="lv-LV"/>
              </w:rPr>
              <w:t>Pašreizējā situācija un problēmas</w:t>
            </w:r>
          </w:p>
        </w:tc>
        <w:tc>
          <w:tcPr>
            <w:tcW w:w="7371" w:type="dxa"/>
          </w:tcPr>
          <w:p w:rsidR="00A248F5" w:rsidRPr="00B72221" w:rsidRDefault="00987FF8" w:rsidP="00160038">
            <w:pPr>
              <w:pStyle w:val="naisf"/>
              <w:spacing w:before="0" w:beforeAutospacing="0" w:after="0" w:afterAutospacing="0"/>
              <w:jc w:val="both"/>
              <w:rPr>
                <w:lang w:val="lv-LV"/>
              </w:rPr>
            </w:pPr>
            <w:r w:rsidRPr="00B72221">
              <w:rPr>
                <w:lang w:val="lv-LV"/>
              </w:rPr>
              <w:t xml:space="preserve">Šobrīd zāļu lietošanas instrukcijās ietveramās prasības </w:t>
            </w:r>
            <w:r w:rsidR="00CB2893" w:rsidRPr="00B72221">
              <w:rPr>
                <w:lang w:val="lv-LV"/>
              </w:rPr>
              <w:t xml:space="preserve">nosaka </w:t>
            </w:r>
            <w:r w:rsidR="00531657" w:rsidRPr="00B72221">
              <w:rPr>
                <w:lang w:val="lv-LV"/>
              </w:rPr>
              <w:t>MK n</w:t>
            </w:r>
            <w:r w:rsidR="000F215C" w:rsidRPr="00B72221">
              <w:rPr>
                <w:lang w:val="lv-LV"/>
              </w:rPr>
              <w:t>oteikumi Nr.</w:t>
            </w:r>
            <w:r w:rsidRPr="00B72221">
              <w:rPr>
                <w:lang w:val="lv-LV"/>
              </w:rPr>
              <w:t>57</w:t>
            </w:r>
            <w:r w:rsidR="003F5045" w:rsidRPr="00B72221">
              <w:rPr>
                <w:lang w:val="lv-LV"/>
              </w:rPr>
              <w:t>.</w:t>
            </w:r>
          </w:p>
          <w:p w:rsidR="00FF033D" w:rsidRPr="00B72221" w:rsidRDefault="00A248F5" w:rsidP="00160038">
            <w:pPr>
              <w:pStyle w:val="Bezatstarpm"/>
              <w:jc w:val="both"/>
              <w:rPr>
                <w:rFonts w:ascii="Times New Roman" w:hAnsi="Times New Roman"/>
                <w:sz w:val="24"/>
                <w:szCs w:val="24"/>
              </w:rPr>
            </w:pPr>
            <w:r w:rsidRPr="00B72221">
              <w:rPr>
                <w:rFonts w:ascii="Times New Roman" w:hAnsi="Times New Roman"/>
                <w:sz w:val="24"/>
                <w:szCs w:val="24"/>
              </w:rPr>
              <w:t>1. </w:t>
            </w:r>
            <w:r w:rsidR="00191E34" w:rsidRPr="00B72221">
              <w:rPr>
                <w:rFonts w:ascii="Times New Roman" w:hAnsi="Times New Roman"/>
                <w:sz w:val="24"/>
                <w:szCs w:val="24"/>
              </w:rPr>
              <w:t xml:space="preserve">Tā kā </w:t>
            </w:r>
            <w:r w:rsidR="003341D8" w:rsidRPr="00B72221">
              <w:rPr>
                <w:rFonts w:ascii="Times New Roman" w:hAnsi="Times New Roman"/>
                <w:sz w:val="24"/>
                <w:szCs w:val="24"/>
              </w:rPr>
              <w:t xml:space="preserve">Direktīvas Nr.2010/84/ES normas </w:t>
            </w:r>
            <w:r w:rsidR="00D44F2C" w:rsidRPr="00B72221">
              <w:rPr>
                <w:rFonts w:ascii="Times New Roman" w:hAnsi="Times New Roman"/>
                <w:sz w:val="24"/>
                <w:szCs w:val="24"/>
              </w:rPr>
              <w:t>paplašina</w:t>
            </w:r>
            <w:r w:rsidR="003341D8" w:rsidRPr="00B72221">
              <w:rPr>
                <w:rFonts w:ascii="Times New Roman" w:hAnsi="Times New Roman"/>
                <w:sz w:val="24"/>
                <w:szCs w:val="24"/>
              </w:rPr>
              <w:t xml:space="preserve"> </w:t>
            </w:r>
            <w:r w:rsidR="004E4379" w:rsidRPr="00B72221">
              <w:rPr>
                <w:rFonts w:ascii="Times New Roman" w:hAnsi="Times New Roman"/>
                <w:sz w:val="24"/>
                <w:szCs w:val="24"/>
              </w:rPr>
              <w:t xml:space="preserve">informācijas norādi </w:t>
            </w:r>
            <w:r w:rsidR="003341D8" w:rsidRPr="00B72221">
              <w:rPr>
                <w:rFonts w:ascii="Times New Roman" w:hAnsi="Times New Roman"/>
                <w:sz w:val="24"/>
                <w:szCs w:val="24"/>
              </w:rPr>
              <w:t xml:space="preserve">zāļu </w:t>
            </w:r>
            <w:r w:rsidRPr="00B72221">
              <w:rPr>
                <w:rFonts w:ascii="Times New Roman" w:hAnsi="Times New Roman"/>
                <w:sz w:val="24"/>
                <w:szCs w:val="24"/>
              </w:rPr>
              <w:t>lietošanas instrukcijās</w:t>
            </w:r>
            <w:r w:rsidR="000C61FD" w:rsidRPr="00B72221">
              <w:rPr>
                <w:rFonts w:ascii="Times New Roman" w:hAnsi="Times New Roman"/>
                <w:sz w:val="24"/>
                <w:szCs w:val="24"/>
              </w:rPr>
              <w:t xml:space="preserve"> un </w:t>
            </w:r>
            <w:r w:rsidR="00EF3396" w:rsidRPr="00B72221">
              <w:rPr>
                <w:rFonts w:ascii="Times New Roman" w:hAnsi="Times New Roman"/>
                <w:sz w:val="24"/>
                <w:szCs w:val="24"/>
              </w:rPr>
              <w:t>ir</w:t>
            </w:r>
            <w:r w:rsidR="000C61FD" w:rsidRPr="00B72221">
              <w:rPr>
                <w:rFonts w:ascii="Times New Roman" w:hAnsi="Times New Roman"/>
                <w:sz w:val="24"/>
                <w:szCs w:val="24"/>
              </w:rPr>
              <w:t xml:space="preserve"> ieviesti</w:t>
            </w:r>
            <w:r w:rsidR="00DC6BBF" w:rsidRPr="00B72221">
              <w:rPr>
                <w:rFonts w:ascii="Times New Roman" w:hAnsi="Times New Roman"/>
                <w:sz w:val="24"/>
                <w:szCs w:val="24"/>
              </w:rPr>
              <w:t xml:space="preserve"> </w:t>
            </w:r>
            <w:r w:rsidR="000C61FD" w:rsidRPr="00B72221">
              <w:rPr>
                <w:rFonts w:ascii="Times New Roman" w:hAnsi="Times New Roman"/>
                <w:sz w:val="24"/>
                <w:szCs w:val="24"/>
              </w:rPr>
              <w:t>jauni</w:t>
            </w:r>
            <w:r w:rsidR="003341D8" w:rsidRPr="00B72221">
              <w:rPr>
                <w:rFonts w:ascii="Times New Roman" w:hAnsi="Times New Roman"/>
                <w:sz w:val="24"/>
                <w:szCs w:val="24"/>
              </w:rPr>
              <w:t xml:space="preserve"> pas</w:t>
            </w:r>
            <w:r w:rsidR="000C61FD" w:rsidRPr="00B72221">
              <w:rPr>
                <w:rFonts w:ascii="Times New Roman" w:hAnsi="Times New Roman"/>
                <w:sz w:val="24"/>
                <w:szCs w:val="24"/>
              </w:rPr>
              <w:t>ākumi</w:t>
            </w:r>
            <w:r w:rsidR="00191E34" w:rsidRPr="00B72221">
              <w:rPr>
                <w:rFonts w:ascii="Times New Roman" w:hAnsi="Times New Roman"/>
                <w:sz w:val="24"/>
                <w:szCs w:val="24"/>
              </w:rPr>
              <w:t xml:space="preserve"> zāļu drošuma uzraudzībai</w:t>
            </w:r>
            <w:r w:rsidR="00F106F6" w:rsidRPr="00B72221">
              <w:rPr>
                <w:rFonts w:ascii="Times New Roman" w:hAnsi="Times New Roman"/>
                <w:sz w:val="24"/>
                <w:szCs w:val="24"/>
              </w:rPr>
              <w:t xml:space="preserve"> un </w:t>
            </w:r>
            <w:proofErr w:type="spellStart"/>
            <w:r w:rsidR="00F106F6" w:rsidRPr="00B72221">
              <w:rPr>
                <w:rFonts w:ascii="Times New Roman" w:hAnsi="Times New Roman"/>
                <w:sz w:val="24"/>
                <w:szCs w:val="24"/>
              </w:rPr>
              <w:t>pār</w:t>
            </w:r>
            <w:r w:rsidR="009E3788" w:rsidRPr="00B72221">
              <w:rPr>
                <w:rFonts w:ascii="Times New Roman" w:hAnsi="Times New Roman"/>
                <w:sz w:val="24"/>
                <w:szCs w:val="24"/>
              </w:rPr>
              <w:t>r</w:t>
            </w:r>
            <w:r w:rsidR="00F106F6" w:rsidRPr="00B72221">
              <w:rPr>
                <w:rFonts w:ascii="Times New Roman" w:hAnsi="Times New Roman"/>
                <w:sz w:val="24"/>
                <w:szCs w:val="24"/>
              </w:rPr>
              <w:t>edzamībai</w:t>
            </w:r>
            <w:proofErr w:type="spellEnd"/>
            <w:r w:rsidR="00191E34" w:rsidRPr="00B72221">
              <w:rPr>
                <w:rFonts w:ascii="Times New Roman" w:hAnsi="Times New Roman"/>
                <w:sz w:val="24"/>
                <w:szCs w:val="24"/>
              </w:rPr>
              <w:t>,</w:t>
            </w:r>
            <w:r w:rsidR="00C87A2F" w:rsidRPr="00B72221">
              <w:rPr>
                <w:rFonts w:ascii="Times New Roman" w:hAnsi="Times New Roman"/>
                <w:sz w:val="24"/>
                <w:szCs w:val="24"/>
              </w:rPr>
              <w:t xml:space="preserve"> </w:t>
            </w:r>
            <w:r w:rsidR="006E5607" w:rsidRPr="00B72221">
              <w:rPr>
                <w:rFonts w:ascii="Times New Roman" w:hAnsi="Times New Roman"/>
                <w:sz w:val="24"/>
                <w:szCs w:val="24"/>
              </w:rPr>
              <w:t>nepieciešams grozīt</w:t>
            </w:r>
            <w:r w:rsidR="009D5F88" w:rsidRPr="00B72221">
              <w:rPr>
                <w:rFonts w:ascii="Times New Roman" w:hAnsi="Times New Roman"/>
                <w:sz w:val="24"/>
                <w:szCs w:val="24"/>
              </w:rPr>
              <w:t xml:space="preserve"> </w:t>
            </w:r>
            <w:r w:rsidR="00531657" w:rsidRPr="00B72221">
              <w:rPr>
                <w:rFonts w:ascii="Times New Roman" w:hAnsi="Times New Roman"/>
                <w:sz w:val="24"/>
                <w:szCs w:val="24"/>
              </w:rPr>
              <w:t>MK n</w:t>
            </w:r>
            <w:r w:rsidRPr="00B72221">
              <w:rPr>
                <w:rFonts w:ascii="Times New Roman" w:hAnsi="Times New Roman"/>
                <w:sz w:val="24"/>
                <w:szCs w:val="24"/>
              </w:rPr>
              <w:t>oteikumus Nr.57</w:t>
            </w:r>
            <w:r w:rsidR="004A19D4" w:rsidRPr="00B72221">
              <w:rPr>
                <w:rFonts w:ascii="Times New Roman" w:hAnsi="Times New Roman"/>
                <w:sz w:val="24"/>
                <w:szCs w:val="24"/>
              </w:rPr>
              <w:t>, lai</w:t>
            </w:r>
            <w:r w:rsidR="005F049C" w:rsidRPr="00B72221">
              <w:rPr>
                <w:rFonts w:ascii="Times New Roman" w:hAnsi="Times New Roman"/>
                <w:sz w:val="24"/>
                <w:szCs w:val="24"/>
              </w:rPr>
              <w:t xml:space="preserve"> ieviestu</w:t>
            </w:r>
            <w:r w:rsidR="00FF033D" w:rsidRPr="00B72221">
              <w:rPr>
                <w:rFonts w:ascii="Times New Roman" w:hAnsi="Times New Roman"/>
                <w:sz w:val="24"/>
                <w:szCs w:val="24"/>
              </w:rPr>
              <w:t>:</w:t>
            </w:r>
          </w:p>
          <w:p w:rsidR="0045435B" w:rsidRPr="00B72221" w:rsidRDefault="0031501F" w:rsidP="00715240">
            <w:pPr>
              <w:autoSpaceDE w:val="0"/>
              <w:autoSpaceDN w:val="0"/>
              <w:adjustRightInd w:val="0"/>
              <w:spacing w:before="60" w:after="60"/>
              <w:jc w:val="both"/>
              <w:rPr>
                <w:bCs/>
                <w:lang w:val="lv-LV" w:eastAsia="lv-LV"/>
              </w:rPr>
            </w:pPr>
            <w:r w:rsidRPr="00B72221">
              <w:rPr>
                <w:lang w:val="lv-LV"/>
              </w:rPr>
              <w:t>1)</w:t>
            </w:r>
            <w:r w:rsidR="005F049C" w:rsidRPr="00B72221">
              <w:rPr>
                <w:lang w:val="lv-LV"/>
              </w:rPr>
              <w:t> </w:t>
            </w:r>
            <w:r w:rsidR="005B096D" w:rsidRPr="00B72221">
              <w:rPr>
                <w:lang w:val="lv-LV"/>
              </w:rPr>
              <w:t xml:space="preserve">Direktīvas Nr.2010/84/ES </w:t>
            </w:r>
            <w:r w:rsidR="002C46CF" w:rsidRPr="00B72221">
              <w:rPr>
                <w:lang w:val="lv-LV"/>
              </w:rPr>
              <w:t xml:space="preserve">1.panta </w:t>
            </w:r>
            <w:r w:rsidR="00894801" w:rsidRPr="00B72221">
              <w:rPr>
                <w:lang w:val="lv-LV"/>
              </w:rPr>
              <w:t>18.punkta a)</w:t>
            </w:r>
            <w:r w:rsidR="009262DB" w:rsidRPr="00B72221">
              <w:rPr>
                <w:lang w:val="lv-LV"/>
              </w:rPr>
              <w:t> </w:t>
            </w:r>
            <w:r w:rsidR="00894801" w:rsidRPr="00B72221">
              <w:rPr>
                <w:lang w:val="lv-LV"/>
              </w:rPr>
              <w:t xml:space="preserve">apakšpunkta normu un </w:t>
            </w:r>
            <w:r w:rsidR="006C138E" w:rsidRPr="00B72221">
              <w:rPr>
                <w:lang w:val="lv-LV"/>
              </w:rPr>
              <w:t>z</w:t>
            </w:r>
            <w:r w:rsidR="00EF3396" w:rsidRPr="00B72221">
              <w:rPr>
                <w:lang w:val="lv-LV"/>
              </w:rPr>
              <w:t>āļu l</w:t>
            </w:r>
            <w:r w:rsidR="00083B1E" w:rsidRPr="00B72221">
              <w:rPr>
                <w:lang w:val="lv-LV"/>
              </w:rPr>
              <w:t>ietošanas instrukcijā</w:t>
            </w:r>
            <w:r w:rsidR="001336D0" w:rsidRPr="00B72221">
              <w:rPr>
                <w:lang w:val="lv-LV"/>
              </w:rPr>
              <w:t xml:space="preserve"> </w:t>
            </w:r>
            <w:r w:rsidR="00905F0C" w:rsidRPr="00B72221">
              <w:rPr>
                <w:lang w:val="lv-LV"/>
              </w:rPr>
              <w:t xml:space="preserve">iekļautu </w:t>
            </w:r>
            <w:r w:rsidR="009262DB" w:rsidRPr="00B72221">
              <w:rPr>
                <w:lang w:val="lv-LV"/>
              </w:rPr>
              <w:t xml:space="preserve">speciālu </w:t>
            </w:r>
            <w:r w:rsidR="00EF3396" w:rsidRPr="00B72221">
              <w:rPr>
                <w:lang w:val="lv-LV"/>
              </w:rPr>
              <w:t xml:space="preserve">norādi </w:t>
            </w:r>
            <w:r w:rsidR="00B3008D" w:rsidRPr="00B72221">
              <w:rPr>
                <w:lang w:val="lv-LV"/>
              </w:rPr>
              <w:t>zālēm, kurām noteikta papildus uz</w:t>
            </w:r>
            <w:r w:rsidR="00BF0F56" w:rsidRPr="00B72221">
              <w:rPr>
                <w:lang w:val="lv-LV"/>
              </w:rPr>
              <w:t xml:space="preserve">raudzība. </w:t>
            </w:r>
            <w:r w:rsidR="009262DB" w:rsidRPr="00B72221">
              <w:rPr>
                <w:lang w:val="lv-LV"/>
              </w:rPr>
              <w:t>Zāles, kurām ir noteikta papildus uzraudzība</w:t>
            </w:r>
            <w:r w:rsidR="00D0361D" w:rsidRPr="00B72221">
              <w:rPr>
                <w:lang w:val="lv-LV"/>
              </w:rPr>
              <w:t>,</w:t>
            </w:r>
            <w:r w:rsidR="009262DB" w:rsidRPr="00B72221">
              <w:rPr>
                <w:lang w:val="lv-LV"/>
              </w:rPr>
              <w:t xml:space="preserve"> ir iekļautas </w:t>
            </w:r>
            <w:proofErr w:type="spellStart"/>
            <w:r w:rsidR="00561EC7" w:rsidRPr="001A74EC">
              <w:t>Eiropas</w:t>
            </w:r>
            <w:proofErr w:type="spellEnd"/>
            <w:r w:rsidR="00561EC7" w:rsidRPr="001A74EC">
              <w:t xml:space="preserve"> </w:t>
            </w:r>
            <w:proofErr w:type="spellStart"/>
            <w:r w:rsidR="00561EC7" w:rsidRPr="001A74EC">
              <w:t>Parlamenta</w:t>
            </w:r>
            <w:proofErr w:type="spellEnd"/>
            <w:r w:rsidR="00561EC7" w:rsidRPr="001A74EC">
              <w:t xml:space="preserve"> un </w:t>
            </w:r>
            <w:proofErr w:type="spellStart"/>
            <w:r w:rsidR="00561EC7" w:rsidRPr="001A74EC">
              <w:t>Pa</w:t>
            </w:r>
            <w:r w:rsidR="00561EC7">
              <w:t>domes</w:t>
            </w:r>
            <w:proofErr w:type="spellEnd"/>
            <w:r w:rsidR="00561EC7">
              <w:t xml:space="preserve"> 2004.gada 31.marta </w:t>
            </w:r>
            <w:proofErr w:type="spellStart"/>
            <w:r w:rsidR="00561EC7">
              <w:t>Regulas</w:t>
            </w:r>
            <w:proofErr w:type="spellEnd"/>
            <w:r w:rsidR="00561EC7" w:rsidRPr="001A74EC">
              <w:t xml:space="preserve"> (EK) Nr. </w:t>
            </w:r>
            <w:hyperlink r:id="rId8" w:tgtFrame="_blank" w:tooltip="Atvērt regulas konsolidēto versiju" w:history="1">
              <w:r w:rsidR="00561EC7" w:rsidRPr="001A74EC">
                <w:rPr>
                  <w:rStyle w:val="Hipersaite"/>
                  <w:color w:val="auto"/>
                  <w:u w:val="none"/>
                </w:rPr>
                <w:t>726/2004</w:t>
              </w:r>
            </w:hyperlink>
            <w:r w:rsidR="00561EC7" w:rsidRPr="001A74EC">
              <w:t xml:space="preserve">, </w:t>
            </w:r>
            <w:proofErr w:type="spellStart"/>
            <w:r w:rsidR="00561EC7" w:rsidRPr="001A74EC">
              <w:t>ar</w:t>
            </w:r>
            <w:proofErr w:type="spellEnd"/>
            <w:r w:rsidR="00561EC7" w:rsidRPr="001A74EC">
              <w:t xml:space="preserve"> </w:t>
            </w:r>
            <w:proofErr w:type="spellStart"/>
            <w:r w:rsidR="00561EC7" w:rsidRPr="001A74EC">
              <w:t>ko</w:t>
            </w:r>
            <w:proofErr w:type="spellEnd"/>
            <w:r w:rsidR="00561EC7" w:rsidRPr="001A74EC">
              <w:t xml:space="preserve"> </w:t>
            </w:r>
            <w:proofErr w:type="spellStart"/>
            <w:r w:rsidR="00561EC7" w:rsidRPr="001A74EC">
              <w:t>nosaka</w:t>
            </w:r>
            <w:proofErr w:type="spellEnd"/>
            <w:r w:rsidR="00561EC7" w:rsidRPr="001A74EC">
              <w:t xml:space="preserve"> </w:t>
            </w:r>
            <w:proofErr w:type="spellStart"/>
            <w:r w:rsidR="00561EC7" w:rsidRPr="001A74EC">
              <w:t>cilvēkiem</w:t>
            </w:r>
            <w:proofErr w:type="spellEnd"/>
            <w:r w:rsidR="00561EC7" w:rsidRPr="001A74EC">
              <w:t xml:space="preserve"> </w:t>
            </w:r>
            <w:proofErr w:type="spellStart"/>
            <w:r w:rsidR="00561EC7" w:rsidRPr="001A74EC">
              <w:t>paredzēto</w:t>
            </w:r>
            <w:proofErr w:type="spellEnd"/>
            <w:r w:rsidR="00561EC7" w:rsidRPr="001A74EC">
              <w:t xml:space="preserve"> un </w:t>
            </w:r>
            <w:proofErr w:type="spellStart"/>
            <w:r w:rsidR="00561EC7" w:rsidRPr="001A74EC">
              <w:t>veterināro</w:t>
            </w:r>
            <w:proofErr w:type="spellEnd"/>
            <w:r w:rsidR="00561EC7" w:rsidRPr="001A74EC">
              <w:t xml:space="preserve"> </w:t>
            </w:r>
            <w:proofErr w:type="spellStart"/>
            <w:r w:rsidR="00561EC7" w:rsidRPr="001A74EC">
              <w:t>zāļu</w:t>
            </w:r>
            <w:proofErr w:type="spellEnd"/>
            <w:r w:rsidR="00561EC7" w:rsidRPr="001A74EC">
              <w:t xml:space="preserve"> </w:t>
            </w:r>
            <w:proofErr w:type="spellStart"/>
            <w:r w:rsidR="00561EC7" w:rsidRPr="001A74EC">
              <w:t>reģistrēšanas</w:t>
            </w:r>
            <w:proofErr w:type="spellEnd"/>
            <w:r w:rsidR="00561EC7" w:rsidRPr="001A74EC">
              <w:t xml:space="preserve"> un </w:t>
            </w:r>
            <w:proofErr w:type="spellStart"/>
            <w:r w:rsidR="00561EC7" w:rsidRPr="001A74EC">
              <w:t>uzraudzības</w:t>
            </w:r>
            <w:proofErr w:type="spellEnd"/>
            <w:r w:rsidR="00561EC7" w:rsidRPr="001A74EC">
              <w:t xml:space="preserve"> </w:t>
            </w:r>
            <w:proofErr w:type="spellStart"/>
            <w:r w:rsidR="00561EC7" w:rsidRPr="001A74EC">
              <w:t>Kopienas</w:t>
            </w:r>
            <w:proofErr w:type="spellEnd"/>
            <w:r w:rsidR="00561EC7" w:rsidRPr="001A74EC">
              <w:t xml:space="preserve"> </w:t>
            </w:r>
            <w:proofErr w:type="spellStart"/>
            <w:r w:rsidR="00561EC7" w:rsidRPr="001A74EC">
              <w:t>procedūras</w:t>
            </w:r>
            <w:proofErr w:type="spellEnd"/>
            <w:r w:rsidR="00561EC7" w:rsidRPr="001A74EC">
              <w:t xml:space="preserve"> un </w:t>
            </w:r>
            <w:proofErr w:type="spellStart"/>
            <w:r w:rsidR="00561EC7" w:rsidRPr="001A74EC">
              <w:t>izveido</w:t>
            </w:r>
            <w:proofErr w:type="spellEnd"/>
            <w:r w:rsidR="00561EC7" w:rsidRPr="001A74EC">
              <w:t xml:space="preserve"> </w:t>
            </w:r>
            <w:proofErr w:type="spellStart"/>
            <w:r w:rsidR="00561EC7" w:rsidRPr="001A74EC">
              <w:t>Eiropas</w:t>
            </w:r>
            <w:proofErr w:type="spellEnd"/>
            <w:r w:rsidR="00561EC7" w:rsidRPr="001A74EC">
              <w:t xml:space="preserve"> </w:t>
            </w:r>
            <w:proofErr w:type="spellStart"/>
            <w:r w:rsidR="00561EC7" w:rsidRPr="001A74EC">
              <w:t>Zāļu</w:t>
            </w:r>
            <w:proofErr w:type="spellEnd"/>
            <w:r w:rsidR="00561EC7" w:rsidRPr="001A74EC">
              <w:t xml:space="preserve"> </w:t>
            </w:r>
            <w:proofErr w:type="spellStart"/>
            <w:r w:rsidR="00561EC7" w:rsidRPr="001A74EC">
              <w:t>aģentūru</w:t>
            </w:r>
            <w:proofErr w:type="spellEnd"/>
            <w:r w:rsidR="001A5F7E">
              <w:t xml:space="preserve"> (</w:t>
            </w:r>
            <w:proofErr w:type="spellStart"/>
            <w:r w:rsidR="001A5F7E">
              <w:t>turpmāk</w:t>
            </w:r>
            <w:proofErr w:type="spellEnd"/>
            <w:r w:rsidR="001A5F7E">
              <w:t> - </w:t>
            </w:r>
            <w:r w:rsidR="00561EC7">
              <w:rPr>
                <w:bCs/>
                <w:lang w:val="lv-LV" w:eastAsia="lv-LV"/>
              </w:rPr>
              <w:t>Regula</w:t>
            </w:r>
            <w:r w:rsidR="009262DB" w:rsidRPr="00B72221">
              <w:rPr>
                <w:bCs/>
                <w:lang w:val="lv-LV" w:eastAsia="lv-LV"/>
              </w:rPr>
              <w:t xml:space="preserve"> (EK) Nr.726/2004</w:t>
            </w:r>
            <w:r w:rsidR="00561EC7">
              <w:rPr>
                <w:bCs/>
                <w:lang w:val="lv-LV" w:eastAsia="lv-LV"/>
              </w:rPr>
              <w:t>)</w:t>
            </w:r>
            <w:r w:rsidR="009262DB" w:rsidRPr="00B72221">
              <w:rPr>
                <w:bCs/>
                <w:lang w:val="lv-LV" w:eastAsia="lv-LV"/>
              </w:rPr>
              <w:t xml:space="preserve"> </w:t>
            </w:r>
            <w:r w:rsidR="00715240" w:rsidRPr="00B72221">
              <w:rPr>
                <w:bCs/>
                <w:lang w:val="lv-LV" w:eastAsia="lv-LV"/>
              </w:rPr>
              <w:t xml:space="preserve">(ar grozījumiem) </w:t>
            </w:r>
            <w:r w:rsidR="009262DB" w:rsidRPr="00B72221">
              <w:rPr>
                <w:bCs/>
                <w:lang w:val="lv-LV" w:eastAsia="lv-LV"/>
              </w:rPr>
              <w:t>23.</w:t>
            </w:r>
            <w:r w:rsidR="00715240" w:rsidRPr="00B72221">
              <w:rPr>
                <w:rFonts w:eastAsia="Calibri"/>
                <w:color w:val="000000"/>
                <w:lang w:val="lv-LV" w:eastAsia="lv-LV"/>
              </w:rPr>
              <w:t xml:space="preserve">pantā, </w:t>
            </w:r>
            <w:r w:rsidR="006101FB" w:rsidRPr="00B72221">
              <w:rPr>
                <w:bCs/>
                <w:lang w:val="lv-LV" w:eastAsia="lv-LV"/>
              </w:rPr>
              <w:t>un Eiropas Komisijai līdz 2012.gada 2.janvārim bija jāapstiprina melnais simbols</w:t>
            </w:r>
            <w:r w:rsidR="00DA5C46" w:rsidRPr="00B72221">
              <w:rPr>
                <w:bCs/>
                <w:lang w:val="lv-LV" w:eastAsia="lv-LV"/>
              </w:rPr>
              <w:t>, kas apzīmētu šīs zāles</w:t>
            </w:r>
            <w:r w:rsidR="006101FB" w:rsidRPr="00B72221">
              <w:rPr>
                <w:bCs/>
                <w:lang w:val="lv-LV" w:eastAsia="lv-LV"/>
              </w:rPr>
              <w:t>.</w:t>
            </w:r>
          </w:p>
          <w:p w:rsidR="00AC5922" w:rsidRPr="00B72221" w:rsidRDefault="003C0E7D" w:rsidP="009A725B">
            <w:pPr>
              <w:autoSpaceDE w:val="0"/>
              <w:autoSpaceDN w:val="0"/>
              <w:adjustRightInd w:val="0"/>
              <w:spacing w:before="60" w:after="60"/>
              <w:jc w:val="both"/>
              <w:rPr>
                <w:rFonts w:eastAsia="Calibri"/>
                <w:color w:val="000000"/>
                <w:lang w:val="lv-LV" w:eastAsia="lv-LV"/>
              </w:rPr>
            </w:pPr>
            <w:r w:rsidRPr="00B72221">
              <w:rPr>
                <w:lang w:val="lv-LV"/>
              </w:rPr>
              <w:t xml:space="preserve">Eiropas Parlamenta un Padomes 2010.gada 15.decembra Regulas </w:t>
            </w:r>
            <w:r w:rsidRPr="00B72221">
              <w:rPr>
                <w:lang w:val="lv-LV" w:eastAsia="lv-LV"/>
              </w:rPr>
              <w:t xml:space="preserve">(EK) Nr.1235/2010, </w:t>
            </w:r>
            <w:r w:rsidRPr="00B72221">
              <w:rPr>
                <w:rFonts w:eastAsia="Calibri"/>
                <w:bCs/>
                <w:color w:val="000000"/>
                <w:lang w:val="lv-LV" w:eastAsia="lv-LV"/>
              </w:rPr>
              <w:t xml:space="preserve">ar kuru attiecībā uz cilvēkiem paredzēto zāļu </w:t>
            </w:r>
            <w:proofErr w:type="spellStart"/>
            <w:r w:rsidRPr="00B72221">
              <w:rPr>
                <w:rFonts w:eastAsia="Calibri"/>
                <w:bCs/>
                <w:color w:val="000000"/>
                <w:lang w:val="lv-LV" w:eastAsia="lv-LV"/>
              </w:rPr>
              <w:t>farmakovigilanci</w:t>
            </w:r>
            <w:proofErr w:type="spellEnd"/>
            <w:r w:rsidRPr="00B72221">
              <w:rPr>
                <w:rFonts w:eastAsia="Calibri"/>
                <w:bCs/>
                <w:color w:val="000000"/>
                <w:lang w:val="lv-LV" w:eastAsia="lv-LV"/>
              </w:rPr>
              <w:t xml:space="preserve"> groza Regulu (EK) Nr. 726/2004, ar ko nosaka cilvēkiem paredzēto un veterināro zāļu reģistrēšanas un uzraudzības Kopienas procedūras un izveido Eiropas Zāļu aģentūru, un Regulu (EK) Nr. 1394/2007 par uzlabotas terapijas zālēm, 1.panta 11.punkta norma noteica </w:t>
            </w:r>
            <w:r w:rsidR="009A725B" w:rsidRPr="00B72221">
              <w:rPr>
                <w:rFonts w:eastAsia="Calibri"/>
                <w:bCs/>
                <w:color w:val="000000"/>
                <w:lang w:val="lv-LV" w:eastAsia="lv-LV"/>
              </w:rPr>
              <w:t>prasību zālēm ar papildus uzraudzību ieviest zāļu lietošanas instrukcijās</w:t>
            </w:r>
            <w:r w:rsidRPr="00B72221">
              <w:rPr>
                <w:rFonts w:eastAsia="Calibri"/>
                <w:color w:val="000000"/>
                <w:lang w:val="lv-LV" w:eastAsia="lv-LV"/>
              </w:rPr>
              <w:t xml:space="preserve"> </w:t>
            </w:r>
            <w:r w:rsidRPr="00B72221">
              <w:rPr>
                <w:bCs/>
                <w:lang w:val="lv-LV" w:eastAsia="lv-LV"/>
              </w:rPr>
              <w:t>melno</w:t>
            </w:r>
            <w:r w:rsidR="009A725B" w:rsidRPr="00B72221">
              <w:rPr>
                <w:bCs/>
                <w:lang w:val="lv-LV" w:eastAsia="lv-LV"/>
              </w:rPr>
              <w:t xml:space="preserve"> simbolu, nosakot pienākumu Eiropas Komisijai to </w:t>
            </w:r>
            <w:r w:rsidR="009A725B" w:rsidRPr="00B72221">
              <w:rPr>
                <w:bCs/>
                <w:lang w:val="lv-LV" w:eastAsia="lv-LV"/>
              </w:rPr>
              <w:lastRenderedPageBreak/>
              <w:t>apstiprināt</w:t>
            </w:r>
            <w:r w:rsidR="00715240" w:rsidRPr="00B72221">
              <w:rPr>
                <w:bCs/>
                <w:lang w:val="lv-LV" w:eastAsia="lv-LV"/>
              </w:rPr>
              <w:t xml:space="preserve"> līdz 2012.gada 2.janvārim</w:t>
            </w:r>
            <w:r w:rsidR="009A725B" w:rsidRPr="00B72221">
              <w:rPr>
                <w:bCs/>
                <w:lang w:val="lv-LV" w:eastAsia="lv-LV"/>
              </w:rPr>
              <w:t xml:space="preserve">. </w:t>
            </w:r>
            <w:r w:rsidR="00885C7B" w:rsidRPr="00B72221">
              <w:rPr>
                <w:bCs/>
                <w:lang w:val="lv-LV" w:eastAsia="lv-LV"/>
              </w:rPr>
              <w:t xml:space="preserve">Savukārt </w:t>
            </w:r>
            <w:r w:rsidR="00673E16" w:rsidRPr="00B72221">
              <w:rPr>
                <w:lang w:val="lv-LV"/>
              </w:rPr>
              <w:t>Eiropas Parlamenta un Pad</w:t>
            </w:r>
            <w:r w:rsidR="00B938BF" w:rsidRPr="00B72221">
              <w:rPr>
                <w:lang w:val="lv-LV"/>
              </w:rPr>
              <w:t>omes 2012.gada 25.oktobra Regulas</w:t>
            </w:r>
            <w:r w:rsidR="00673E16" w:rsidRPr="00B72221">
              <w:rPr>
                <w:lang w:val="lv-LV"/>
              </w:rPr>
              <w:t xml:space="preserve"> </w:t>
            </w:r>
            <w:r w:rsidR="00673E16" w:rsidRPr="00B72221">
              <w:rPr>
                <w:lang w:val="lv-LV" w:eastAsia="lv-LV"/>
              </w:rPr>
              <w:t xml:space="preserve">(EK) Nr.1027/2012, </w:t>
            </w:r>
            <w:r w:rsidR="00673E16" w:rsidRPr="00B72221">
              <w:rPr>
                <w:bCs/>
                <w:lang w:val="lv-LV" w:eastAsia="lv-LV"/>
              </w:rPr>
              <w:t>ar ko Regulu (EK) Nr.726/2004 groz</w:t>
            </w:r>
            <w:r w:rsidR="00B938BF" w:rsidRPr="00B72221">
              <w:rPr>
                <w:bCs/>
                <w:lang w:val="lv-LV" w:eastAsia="lv-LV"/>
              </w:rPr>
              <w:t xml:space="preserve">a attiecībā uz </w:t>
            </w:r>
            <w:proofErr w:type="spellStart"/>
            <w:r w:rsidR="00B938BF" w:rsidRPr="00B72221">
              <w:rPr>
                <w:bCs/>
                <w:lang w:val="lv-LV" w:eastAsia="lv-LV"/>
              </w:rPr>
              <w:t>farmakovigilanci</w:t>
            </w:r>
            <w:proofErr w:type="spellEnd"/>
            <w:r w:rsidR="00B938BF" w:rsidRPr="00B72221">
              <w:rPr>
                <w:bCs/>
                <w:lang w:val="lv-LV" w:eastAsia="lv-LV"/>
              </w:rPr>
              <w:t>,</w:t>
            </w:r>
            <w:r w:rsidR="00673E16" w:rsidRPr="00B72221">
              <w:rPr>
                <w:bCs/>
                <w:lang w:val="lv-LV" w:eastAsia="lv-LV"/>
              </w:rPr>
              <w:t xml:space="preserve"> (turpmāk - </w:t>
            </w:r>
            <w:r w:rsidR="00673E16" w:rsidRPr="00B72221">
              <w:rPr>
                <w:lang w:val="lv-LV" w:eastAsia="lv-LV"/>
              </w:rPr>
              <w:t>Regula (EK) Nr.1027/2012</w:t>
            </w:r>
            <w:r w:rsidR="00B938BF" w:rsidRPr="00B72221">
              <w:rPr>
                <w:lang w:val="lv-LV"/>
              </w:rPr>
              <w:t>)</w:t>
            </w:r>
            <w:r w:rsidR="006809B2" w:rsidRPr="00B72221">
              <w:rPr>
                <w:lang w:val="lv-LV"/>
              </w:rPr>
              <w:t>,</w:t>
            </w:r>
            <w:r w:rsidR="007A572B" w:rsidRPr="00B72221">
              <w:rPr>
                <w:lang w:val="lv-LV"/>
              </w:rPr>
              <w:t xml:space="preserve"> 1.panta 4.punkts paplašina</w:t>
            </w:r>
            <w:r w:rsidR="000C65CF" w:rsidRPr="00B72221">
              <w:rPr>
                <w:lang w:val="lv-LV"/>
              </w:rPr>
              <w:t xml:space="preserve"> </w:t>
            </w:r>
            <w:r w:rsidR="000C65CF" w:rsidRPr="00B72221">
              <w:rPr>
                <w:bCs/>
                <w:lang w:val="lv-LV" w:eastAsia="lv-LV"/>
              </w:rPr>
              <w:t>Regulas (EK) Nr.726/2004 (ar grozījumiem) 23.</w:t>
            </w:r>
            <w:r w:rsidR="000C65CF" w:rsidRPr="00B72221">
              <w:rPr>
                <w:color w:val="000000"/>
                <w:lang w:val="lv-LV" w:eastAsia="lv-LV"/>
              </w:rPr>
              <w:t>pantā</w:t>
            </w:r>
            <w:r w:rsidR="00B938BF" w:rsidRPr="00B72221">
              <w:rPr>
                <w:lang w:val="lv-LV"/>
              </w:rPr>
              <w:t xml:space="preserve"> </w:t>
            </w:r>
            <w:r w:rsidR="000C65CF" w:rsidRPr="00B72221">
              <w:rPr>
                <w:lang w:val="lv-LV"/>
              </w:rPr>
              <w:t>noteikto papildu</w:t>
            </w:r>
            <w:r w:rsidR="006809B2" w:rsidRPr="00B72221">
              <w:rPr>
                <w:lang w:val="lv-LV"/>
              </w:rPr>
              <w:t xml:space="preserve"> uzraudzība</w:t>
            </w:r>
            <w:r w:rsidR="000378AE" w:rsidRPr="00B72221">
              <w:rPr>
                <w:lang w:val="lv-LV"/>
              </w:rPr>
              <w:t>i pakļauto zāļu sarakstu</w:t>
            </w:r>
            <w:r w:rsidR="00A17967" w:rsidRPr="00B72221">
              <w:rPr>
                <w:lang w:val="lv-LV"/>
              </w:rPr>
              <w:t>, nosakot tā</w:t>
            </w:r>
            <w:r w:rsidR="00A233D4" w:rsidRPr="00B72221">
              <w:rPr>
                <w:lang w:val="lv-LV"/>
              </w:rPr>
              <w:t xml:space="preserve"> spēkā stāšanās datumu </w:t>
            </w:r>
            <w:r w:rsidR="00885C7B" w:rsidRPr="00B72221">
              <w:rPr>
                <w:lang w:val="lv-LV"/>
              </w:rPr>
              <w:t xml:space="preserve">ar </w:t>
            </w:r>
            <w:r w:rsidR="00A233D4" w:rsidRPr="00B72221">
              <w:rPr>
                <w:lang w:val="lv-LV"/>
              </w:rPr>
              <w:t>2013.gada 5.jūniju</w:t>
            </w:r>
            <w:r w:rsidR="000378AE" w:rsidRPr="00B72221">
              <w:rPr>
                <w:color w:val="000000" w:themeColor="text1"/>
                <w:lang w:val="lv-LV"/>
              </w:rPr>
              <w:t>.</w:t>
            </w:r>
            <w:r w:rsidR="00AC5922" w:rsidRPr="00B72221">
              <w:rPr>
                <w:color w:val="000000" w:themeColor="text1"/>
                <w:lang w:val="lv-LV"/>
              </w:rPr>
              <w:t xml:space="preserve"> </w:t>
            </w:r>
            <w:r w:rsidR="00885C7B" w:rsidRPr="00B72221">
              <w:rPr>
                <w:color w:val="000000" w:themeColor="text1"/>
                <w:lang w:val="lv-LV"/>
              </w:rPr>
              <w:t>V</w:t>
            </w:r>
            <w:r w:rsidR="00310C8F" w:rsidRPr="00B72221">
              <w:rPr>
                <w:color w:val="000000" w:themeColor="text1"/>
                <w:lang w:val="lv-LV" w:eastAsia="lv-LV"/>
              </w:rPr>
              <w:t>i</w:t>
            </w:r>
            <w:r w:rsidR="00310C8F" w:rsidRPr="00B72221">
              <w:rPr>
                <w:lang w:val="lv-LV" w:eastAsia="lv-LV"/>
              </w:rPr>
              <w:t xml:space="preserve">enlaicīgi </w:t>
            </w:r>
            <w:r w:rsidR="00AC5922" w:rsidRPr="00B72221">
              <w:rPr>
                <w:lang w:val="lv-LV" w:eastAsia="lv-LV"/>
              </w:rPr>
              <w:t xml:space="preserve">tiek pagarināts </w:t>
            </w:r>
            <w:r w:rsidR="000C65CF" w:rsidRPr="00B72221">
              <w:rPr>
                <w:lang w:val="lv-LV" w:eastAsia="lv-LV"/>
              </w:rPr>
              <w:t xml:space="preserve">arī </w:t>
            </w:r>
            <w:r w:rsidR="00AC5922" w:rsidRPr="00B72221">
              <w:rPr>
                <w:lang w:val="lv-LV" w:eastAsia="lv-LV"/>
              </w:rPr>
              <w:t>laika periods</w:t>
            </w:r>
            <w:r w:rsidR="00310C8F" w:rsidRPr="00B72221">
              <w:rPr>
                <w:lang w:val="lv-LV" w:eastAsia="lv-LV"/>
              </w:rPr>
              <w:t xml:space="preserve"> </w:t>
            </w:r>
            <w:r w:rsidR="008B4227" w:rsidRPr="00B72221">
              <w:rPr>
                <w:lang w:val="lv-LV" w:eastAsia="lv-LV"/>
              </w:rPr>
              <w:t>līdz 2013.gada 2.jūlijam</w:t>
            </w:r>
            <w:r w:rsidR="00310C8F" w:rsidRPr="00B72221">
              <w:rPr>
                <w:lang w:val="lv-LV" w:eastAsia="lv-LV"/>
              </w:rPr>
              <w:t xml:space="preserve">, kādā Eiropas </w:t>
            </w:r>
            <w:r w:rsidR="00AC5922" w:rsidRPr="00B72221">
              <w:rPr>
                <w:lang w:val="lv-LV" w:eastAsia="lv-LV"/>
              </w:rPr>
              <w:t>Komisijai</w:t>
            </w:r>
            <w:r w:rsidR="008B4227" w:rsidRPr="00B72221">
              <w:rPr>
                <w:lang w:val="lv-LV" w:eastAsia="lv-LV"/>
              </w:rPr>
              <w:t xml:space="preserve"> </w:t>
            </w:r>
            <w:r w:rsidR="00D0361D" w:rsidRPr="00B72221">
              <w:rPr>
                <w:lang w:val="lv-LV" w:eastAsia="lv-LV"/>
              </w:rPr>
              <w:t>izvēlas melno simbolu</w:t>
            </w:r>
            <w:r w:rsidR="00AC5922" w:rsidRPr="00B72221">
              <w:rPr>
                <w:lang w:val="lv-LV" w:eastAsia="lv-LV"/>
              </w:rPr>
              <w:t xml:space="preserve">, </w:t>
            </w:r>
            <w:r w:rsidR="00AC5922" w:rsidRPr="00B72221">
              <w:rPr>
                <w:lang w:val="lv-LV"/>
              </w:rPr>
              <w:t xml:space="preserve">pamatojoties uz </w:t>
            </w:r>
            <w:proofErr w:type="spellStart"/>
            <w:r w:rsidR="00AC5922" w:rsidRPr="00B72221">
              <w:rPr>
                <w:lang w:val="lv-LV"/>
              </w:rPr>
              <w:t>Farmakovigilances</w:t>
            </w:r>
            <w:proofErr w:type="spellEnd"/>
            <w:r w:rsidR="00AC5922" w:rsidRPr="00B72221">
              <w:rPr>
                <w:lang w:val="lv-LV"/>
              </w:rPr>
              <w:t xml:space="preserve"> riska novērtējuma padomdevējas komitejas ieteikumu</w:t>
            </w:r>
            <w:r w:rsidR="00310C8F" w:rsidRPr="00B72221">
              <w:rPr>
                <w:lang w:val="lv-LV" w:eastAsia="lv-LV"/>
              </w:rPr>
              <w:t>.</w:t>
            </w:r>
          </w:p>
          <w:p w:rsidR="00E37CA0" w:rsidRPr="00B72221" w:rsidRDefault="00E37CA0" w:rsidP="00160038">
            <w:pPr>
              <w:pStyle w:val="Bezatstarpm"/>
              <w:jc w:val="both"/>
              <w:rPr>
                <w:rFonts w:ascii="Times New Roman" w:hAnsi="Times New Roman"/>
                <w:sz w:val="24"/>
                <w:szCs w:val="24"/>
                <w:lang w:eastAsia="lv-LV"/>
              </w:rPr>
            </w:pPr>
          </w:p>
          <w:p w:rsidR="000A18A2" w:rsidRPr="00B72221" w:rsidRDefault="004D49C7" w:rsidP="00160038">
            <w:pPr>
              <w:pStyle w:val="Bezatstarpm"/>
              <w:jc w:val="both"/>
              <w:rPr>
                <w:rFonts w:ascii="Times New Roman" w:hAnsi="Times New Roman"/>
                <w:sz w:val="24"/>
                <w:szCs w:val="24"/>
              </w:rPr>
            </w:pPr>
            <w:r w:rsidRPr="00B72221">
              <w:rPr>
                <w:rFonts w:ascii="Times New Roman" w:hAnsi="Times New Roman"/>
                <w:sz w:val="24"/>
                <w:szCs w:val="24"/>
                <w:lang w:eastAsia="lv-LV"/>
              </w:rPr>
              <w:t xml:space="preserve">Līdz ar to pašlaik </w:t>
            </w:r>
            <w:r w:rsidRPr="00B72221">
              <w:rPr>
                <w:rFonts w:ascii="Times New Roman" w:hAnsi="Times New Roman"/>
                <w:sz w:val="24"/>
                <w:szCs w:val="24"/>
              </w:rPr>
              <w:t>Direktīvas Nr.2010/84/ES 1.panta 18.punkta a)</w:t>
            </w:r>
            <w:r w:rsidR="007F7F20" w:rsidRPr="00B72221">
              <w:rPr>
                <w:rFonts w:ascii="Times New Roman" w:hAnsi="Times New Roman"/>
                <w:sz w:val="24"/>
                <w:szCs w:val="24"/>
              </w:rPr>
              <w:t> </w:t>
            </w:r>
            <w:r w:rsidR="00AC5922" w:rsidRPr="00B72221">
              <w:rPr>
                <w:rFonts w:ascii="Times New Roman" w:hAnsi="Times New Roman"/>
                <w:sz w:val="24"/>
                <w:szCs w:val="24"/>
              </w:rPr>
              <w:t>apakšpunkta normu attiecībā uz melnā simbola ieviešanu</w:t>
            </w:r>
            <w:r w:rsidRPr="00B72221">
              <w:rPr>
                <w:rFonts w:ascii="Times New Roman" w:hAnsi="Times New Roman"/>
                <w:sz w:val="24"/>
                <w:szCs w:val="24"/>
              </w:rPr>
              <w:t xml:space="preserve"> </w:t>
            </w:r>
            <w:r w:rsidR="00AC5922" w:rsidRPr="00B72221">
              <w:rPr>
                <w:rFonts w:ascii="Times New Roman" w:hAnsi="Times New Roman"/>
                <w:sz w:val="24"/>
                <w:szCs w:val="24"/>
              </w:rPr>
              <w:t>nevar</w:t>
            </w:r>
            <w:r w:rsidRPr="00B72221">
              <w:rPr>
                <w:rFonts w:ascii="Times New Roman" w:hAnsi="Times New Roman"/>
                <w:sz w:val="24"/>
                <w:szCs w:val="24"/>
              </w:rPr>
              <w:t xml:space="preserve"> </w:t>
            </w:r>
            <w:r w:rsidR="00AC5922" w:rsidRPr="00B72221">
              <w:rPr>
                <w:rFonts w:ascii="Times New Roman" w:hAnsi="Times New Roman"/>
                <w:sz w:val="24"/>
                <w:szCs w:val="24"/>
              </w:rPr>
              <w:t>izpildīt</w:t>
            </w:r>
            <w:r w:rsidRPr="00B72221">
              <w:rPr>
                <w:rFonts w:ascii="Times New Roman" w:hAnsi="Times New Roman"/>
                <w:sz w:val="24"/>
                <w:szCs w:val="24"/>
              </w:rPr>
              <w:t xml:space="preserve">, jo </w:t>
            </w:r>
            <w:r w:rsidR="005434ED" w:rsidRPr="00B72221">
              <w:rPr>
                <w:rFonts w:ascii="Times New Roman" w:hAnsi="Times New Roman"/>
                <w:sz w:val="24"/>
                <w:szCs w:val="24"/>
              </w:rPr>
              <w:t xml:space="preserve">Eiropas Komisija nav apstiprinājusi </w:t>
            </w:r>
            <w:r w:rsidR="006407B0" w:rsidRPr="00B72221">
              <w:rPr>
                <w:rFonts w:ascii="Times New Roman" w:hAnsi="Times New Roman"/>
                <w:sz w:val="24"/>
                <w:szCs w:val="24"/>
              </w:rPr>
              <w:t>zāļu lietošanas instrukcijā norādāmo melno simbolu</w:t>
            </w:r>
            <w:r w:rsidR="005434ED" w:rsidRPr="00B72221">
              <w:rPr>
                <w:rFonts w:ascii="Times New Roman" w:hAnsi="Times New Roman"/>
                <w:sz w:val="24"/>
                <w:szCs w:val="24"/>
              </w:rPr>
              <w:t>, kas minēts</w:t>
            </w:r>
            <w:r w:rsidR="006407B0" w:rsidRPr="00B72221">
              <w:rPr>
                <w:rFonts w:ascii="Times New Roman" w:hAnsi="Times New Roman"/>
                <w:sz w:val="24"/>
                <w:szCs w:val="24"/>
              </w:rPr>
              <w:t xml:space="preserve"> </w:t>
            </w:r>
            <w:r w:rsidR="00205720" w:rsidRPr="00B72221">
              <w:rPr>
                <w:rFonts w:ascii="Times New Roman" w:hAnsi="Times New Roman"/>
                <w:bCs/>
                <w:sz w:val="24"/>
                <w:szCs w:val="24"/>
                <w:lang w:eastAsia="lv-LV"/>
              </w:rPr>
              <w:t>Regulas (EK) Nr.726/2004 (ar grozījumiem) 23.</w:t>
            </w:r>
            <w:r w:rsidR="00205720" w:rsidRPr="00B72221">
              <w:rPr>
                <w:rFonts w:ascii="Times New Roman" w:hAnsi="Times New Roman"/>
                <w:color w:val="000000"/>
                <w:sz w:val="24"/>
                <w:szCs w:val="24"/>
                <w:lang w:eastAsia="lv-LV"/>
              </w:rPr>
              <w:t>pantā</w:t>
            </w:r>
            <w:r w:rsidR="00205720" w:rsidRPr="00B72221">
              <w:rPr>
                <w:rFonts w:ascii="Times New Roman" w:hAnsi="Times New Roman"/>
                <w:sz w:val="24"/>
                <w:szCs w:val="24"/>
              </w:rPr>
              <w:t xml:space="preserve"> minētajām </w:t>
            </w:r>
            <w:r w:rsidR="006407B0" w:rsidRPr="00B72221">
              <w:rPr>
                <w:rFonts w:ascii="Times New Roman" w:hAnsi="Times New Roman"/>
                <w:sz w:val="24"/>
                <w:szCs w:val="24"/>
              </w:rPr>
              <w:t>papildu uzraudzībai noteiktajām zālēm</w:t>
            </w:r>
            <w:r w:rsidR="005434ED" w:rsidRPr="00B72221">
              <w:rPr>
                <w:rFonts w:ascii="Times New Roman" w:hAnsi="Times New Roman"/>
                <w:sz w:val="24"/>
                <w:szCs w:val="24"/>
              </w:rPr>
              <w:t>, kā arī nav</w:t>
            </w:r>
            <w:r w:rsidR="000A18A2" w:rsidRPr="00B72221">
              <w:rPr>
                <w:rFonts w:ascii="Times New Roman" w:hAnsi="Times New Roman"/>
                <w:sz w:val="24"/>
                <w:szCs w:val="24"/>
              </w:rPr>
              <w:t xml:space="preserve"> </w:t>
            </w:r>
            <w:r w:rsidR="00AC5922" w:rsidRPr="00B72221">
              <w:rPr>
                <w:rFonts w:ascii="Times New Roman" w:hAnsi="Times New Roman"/>
                <w:sz w:val="24"/>
                <w:szCs w:val="24"/>
              </w:rPr>
              <w:t>n</w:t>
            </w:r>
            <w:r w:rsidR="00DB50D9" w:rsidRPr="00B72221">
              <w:rPr>
                <w:rFonts w:ascii="Times New Roman" w:hAnsi="Times New Roman"/>
                <w:sz w:val="24"/>
                <w:szCs w:val="24"/>
              </w:rPr>
              <w:t>oteikusi pāreja periodu tā ievie</w:t>
            </w:r>
            <w:r w:rsidR="00AC5922" w:rsidRPr="00B72221">
              <w:rPr>
                <w:rFonts w:ascii="Times New Roman" w:hAnsi="Times New Roman"/>
                <w:sz w:val="24"/>
                <w:szCs w:val="24"/>
              </w:rPr>
              <w:t>šanai</w:t>
            </w:r>
            <w:r w:rsidR="00205720" w:rsidRPr="00B72221">
              <w:rPr>
                <w:rFonts w:ascii="Times New Roman" w:hAnsi="Times New Roman"/>
                <w:sz w:val="24"/>
                <w:szCs w:val="24"/>
              </w:rPr>
              <w:t xml:space="preserve">, </w:t>
            </w:r>
            <w:r w:rsidR="00055273" w:rsidRPr="00B72221">
              <w:rPr>
                <w:rFonts w:ascii="Times New Roman" w:hAnsi="Times New Roman"/>
                <w:sz w:val="24"/>
                <w:szCs w:val="24"/>
              </w:rPr>
              <w:t>un</w:t>
            </w:r>
            <w:r w:rsidR="00205720" w:rsidRPr="00B72221">
              <w:rPr>
                <w:rFonts w:ascii="Times New Roman" w:hAnsi="Times New Roman"/>
                <w:sz w:val="24"/>
                <w:szCs w:val="24"/>
              </w:rPr>
              <w:t xml:space="preserve"> nav vēl izveidots </w:t>
            </w:r>
            <w:r w:rsidR="00205720" w:rsidRPr="00B72221">
              <w:rPr>
                <w:rFonts w:ascii="Times New Roman" w:hAnsi="Times New Roman"/>
                <w:bCs/>
                <w:sz w:val="24"/>
                <w:szCs w:val="24"/>
                <w:lang w:eastAsia="lv-LV"/>
              </w:rPr>
              <w:t>Regulas (EK) Nr.726/2004 (ar grozījumiem) 23.</w:t>
            </w:r>
            <w:r w:rsidR="00205720" w:rsidRPr="00B72221">
              <w:rPr>
                <w:rFonts w:ascii="Times New Roman" w:hAnsi="Times New Roman"/>
                <w:color w:val="000000"/>
                <w:sz w:val="24"/>
                <w:szCs w:val="24"/>
                <w:lang w:eastAsia="lv-LV"/>
              </w:rPr>
              <w:t>pantā</w:t>
            </w:r>
            <w:r w:rsidR="00205720" w:rsidRPr="00B72221">
              <w:rPr>
                <w:rFonts w:ascii="Times New Roman" w:hAnsi="Times New Roman"/>
                <w:sz w:val="24"/>
                <w:szCs w:val="24"/>
              </w:rPr>
              <w:t xml:space="preserve"> minētais papildu uzraudzībai </w:t>
            </w:r>
            <w:r w:rsidR="00055273" w:rsidRPr="00B72221">
              <w:rPr>
                <w:rFonts w:ascii="Times New Roman" w:hAnsi="Times New Roman"/>
                <w:sz w:val="24"/>
                <w:szCs w:val="24"/>
              </w:rPr>
              <w:t xml:space="preserve">pakļauto zāļu saraksts, jo attiecīgā </w:t>
            </w:r>
            <w:r w:rsidR="00055273" w:rsidRPr="00B72221">
              <w:rPr>
                <w:rFonts w:ascii="Times New Roman" w:hAnsi="Times New Roman"/>
                <w:sz w:val="24"/>
                <w:szCs w:val="24"/>
                <w:lang w:eastAsia="lv-LV"/>
              </w:rPr>
              <w:t xml:space="preserve">Regula (EK) Nr.1027/2012 nosaka tā </w:t>
            </w:r>
            <w:r w:rsidR="00055273" w:rsidRPr="00B72221">
              <w:rPr>
                <w:rFonts w:ascii="Times New Roman" w:hAnsi="Times New Roman"/>
                <w:sz w:val="24"/>
                <w:szCs w:val="24"/>
              </w:rPr>
              <w:t>spēkā stāšanos ar 2013.gada 5.jūniju</w:t>
            </w:r>
            <w:r w:rsidR="00164724" w:rsidRPr="00B72221">
              <w:rPr>
                <w:rFonts w:ascii="Times New Roman" w:hAnsi="Times New Roman"/>
                <w:sz w:val="24"/>
                <w:szCs w:val="24"/>
              </w:rPr>
              <w:t>.</w:t>
            </w:r>
          </w:p>
          <w:p w:rsidR="00934A96" w:rsidRPr="00B72221" w:rsidRDefault="00934A96" w:rsidP="00160038">
            <w:pPr>
              <w:pStyle w:val="Bezatstarpm"/>
              <w:jc w:val="both"/>
              <w:rPr>
                <w:rFonts w:ascii="Times New Roman" w:hAnsi="Times New Roman"/>
                <w:sz w:val="24"/>
                <w:szCs w:val="24"/>
              </w:rPr>
            </w:pPr>
          </w:p>
          <w:p w:rsidR="009A41F5" w:rsidRPr="00B72221" w:rsidRDefault="000A18A2" w:rsidP="00160038">
            <w:pPr>
              <w:pStyle w:val="Bezatstarpm"/>
              <w:jc w:val="both"/>
              <w:rPr>
                <w:rFonts w:ascii="Times New Roman" w:hAnsi="Times New Roman"/>
                <w:sz w:val="24"/>
                <w:szCs w:val="24"/>
              </w:rPr>
            </w:pPr>
            <w:r w:rsidRPr="00B72221">
              <w:rPr>
                <w:rFonts w:ascii="Times New Roman" w:hAnsi="Times New Roman"/>
                <w:sz w:val="24"/>
                <w:szCs w:val="24"/>
              </w:rPr>
              <w:t>Atbilstoši Direktīvas Nr.2010/84/ES 1.panta 18.punkta b)apakšpunkta normai l</w:t>
            </w:r>
            <w:r w:rsidR="00BB69C4" w:rsidRPr="00B72221">
              <w:rPr>
                <w:rFonts w:ascii="Times New Roman" w:hAnsi="Times New Roman"/>
                <w:sz w:val="24"/>
                <w:szCs w:val="24"/>
              </w:rPr>
              <w:t xml:space="preserve">ietošanas instrukcijā </w:t>
            </w:r>
            <w:r w:rsidR="00F77034" w:rsidRPr="00B72221">
              <w:rPr>
                <w:rFonts w:ascii="Times New Roman" w:hAnsi="Times New Roman"/>
                <w:sz w:val="24"/>
                <w:szCs w:val="24"/>
              </w:rPr>
              <w:t xml:space="preserve">zālēm </w:t>
            </w:r>
            <w:r w:rsidR="00075530" w:rsidRPr="00B72221">
              <w:rPr>
                <w:rFonts w:ascii="Times New Roman" w:hAnsi="Times New Roman"/>
                <w:sz w:val="24"/>
                <w:szCs w:val="24"/>
              </w:rPr>
              <w:t>ir jāpievieno arī aicinājums pacientiem ziņot par zāļu blakusparādībām, darot zināmus iespējamos ziņošanas veidus</w:t>
            </w:r>
            <w:r w:rsidR="00FC0FF9" w:rsidRPr="00B72221">
              <w:rPr>
                <w:rFonts w:ascii="Times New Roman" w:hAnsi="Times New Roman"/>
                <w:sz w:val="24"/>
                <w:szCs w:val="24"/>
              </w:rPr>
              <w:t>.</w:t>
            </w:r>
            <w:r w:rsidR="004E1C8D" w:rsidRPr="00B72221">
              <w:rPr>
                <w:rFonts w:ascii="Times New Roman" w:hAnsi="Times New Roman"/>
                <w:sz w:val="24"/>
                <w:szCs w:val="24"/>
              </w:rPr>
              <w:t xml:space="preserve"> </w:t>
            </w:r>
            <w:r w:rsidR="00DD35DF" w:rsidRPr="00B72221">
              <w:rPr>
                <w:rFonts w:ascii="Times New Roman" w:hAnsi="Times New Roman"/>
                <w:sz w:val="24"/>
                <w:szCs w:val="24"/>
              </w:rPr>
              <w:t>Di</w:t>
            </w:r>
            <w:r w:rsidR="001F12CB" w:rsidRPr="00B72221">
              <w:rPr>
                <w:rFonts w:ascii="Times New Roman" w:hAnsi="Times New Roman"/>
                <w:sz w:val="24"/>
                <w:szCs w:val="24"/>
              </w:rPr>
              <w:t xml:space="preserve">rektīvā Nr.2010/84/ES </w:t>
            </w:r>
            <w:r w:rsidR="00DD35DF" w:rsidRPr="00B72221">
              <w:rPr>
                <w:rFonts w:ascii="Times New Roman" w:hAnsi="Times New Roman"/>
                <w:sz w:val="24"/>
                <w:szCs w:val="24"/>
                <w:lang w:eastAsia="lv-LV"/>
              </w:rPr>
              <w:t xml:space="preserve">nav noteikts </w:t>
            </w:r>
            <w:r w:rsidR="00522D39" w:rsidRPr="00B72221">
              <w:rPr>
                <w:rFonts w:ascii="Times New Roman" w:hAnsi="Times New Roman"/>
                <w:sz w:val="24"/>
                <w:szCs w:val="24"/>
                <w:lang w:eastAsia="lv-LV"/>
              </w:rPr>
              <w:t>kā konkrēti zāļu lietošanas instrukcijā</w:t>
            </w:r>
            <w:r w:rsidR="00603CCA" w:rsidRPr="00B72221">
              <w:rPr>
                <w:rFonts w:ascii="Times New Roman" w:hAnsi="Times New Roman"/>
                <w:sz w:val="24"/>
                <w:szCs w:val="24"/>
                <w:lang w:eastAsia="lv-LV"/>
              </w:rPr>
              <w:t xml:space="preserve"> </w:t>
            </w:r>
            <w:r w:rsidR="00AC2167" w:rsidRPr="00B72221">
              <w:rPr>
                <w:rFonts w:ascii="Times New Roman" w:hAnsi="Times New Roman"/>
                <w:sz w:val="24"/>
                <w:szCs w:val="24"/>
                <w:lang w:eastAsia="lv-LV"/>
              </w:rPr>
              <w:t>ir jānorāda norādes, un kāds ir to ieviešanas laiks</w:t>
            </w:r>
            <w:r w:rsidR="005D21D6" w:rsidRPr="00B72221">
              <w:rPr>
                <w:rFonts w:ascii="Times New Roman" w:hAnsi="Times New Roman"/>
                <w:sz w:val="24"/>
                <w:szCs w:val="24"/>
                <w:lang w:eastAsia="lv-LV"/>
              </w:rPr>
              <w:t xml:space="preserve">, ko ir paredzēts konkretizēt </w:t>
            </w:r>
            <w:r w:rsidR="005D21D6" w:rsidRPr="00B72221">
              <w:rPr>
                <w:rFonts w:ascii="Times New Roman" w:hAnsi="Times New Roman"/>
                <w:sz w:val="24"/>
                <w:szCs w:val="24"/>
              </w:rPr>
              <w:t>Eiropas Zāļu aģentūras apstiprinātajā kvalitātes pārskatā par cilvēkiem paredzēto produktu informācijas norādēm</w:t>
            </w:r>
            <w:r w:rsidR="009A41F5" w:rsidRPr="00B72221">
              <w:rPr>
                <w:rFonts w:ascii="Times New Roman" w:hAnsi="Times New Roman"/>
                <w:sz w:val="24"/>
                <w:szCs w:val="24"/>
              </w:rPr>
              <w:t>, kas nav vēl apstiprināts.</w:t>
            </w:r>
          </w:p>
          <w:p w:rsidR="00E37CA0" w:rsidRPr="00B72221" w:rsidRDefault="009A41F5" w:rsidP="00160038">
            <w:pPr>
              <w:pStyle w:val="Bezatstarpm"/>
              <w:jc w:val="both"/>
              <w:rPr>
                <w:rFonts w:ascii="Times New Roman" w:hAnsi="Times New Roman"/>
                <w:sz w:val="24"/>
                <w:szCs w:val="24"/>
              </w:rPr>
            </w:pPr>
            <w:r w:rsidRPr="00B72221">
              <w:rPr>
                <w:rFonts w:ascii="Times New Roman" w:hAnsi="Times New Roman"/>
                <w:sz w:val="24"/>
                <w:szCs w:val="24"/>
              </w:rPr>
              <w:t xml:space="preserve"> </w:t>
            </w:r>
          </w:p>
          <w:p w:rsidR="00934A96" w:rsidRPr="00B72221" w:rsidRDefault="00AC2167" w:rsidP="00160038">
            <w:pPr>
              <w:pStyle w:val="Bezatstarpm"/>
              <w:jc w:val="both"/>
              <w:rPr>
                <w:rFonts w:ascii="Times New Roman" w:hAnsi="Times New Roman"/>
                <w:sz w:val="24"/>
                <w:szCs w:val="24"/>
              </w:rPr>
            </w:pPr>
            <w:r w:rsidRPr="00B72221">
              <w:rPr>
                <w:rFonts w:ascii="Times New Roman" w:hAnsi="Times New Roman"/>
                <w:sz w:val="24"/>
                <w:szCs w:val="24"/>
              </w:rPr>
              <w:t xml:space="preserve">Līdz ar to pašreiz </w:t>
            </w:r>
            <w:r w:rsidR="00511C3B" w:rsidRPr="00B72221">
              <w:rPr>
                <w:rFonts w:ascii="Times New Roman" w:hAnsi="Times New Roman"/>
                <w:sz w:val="24"/>
                <w:szCs w:val="24"/>
              </w:rPr>
              <w:t>Direktīvas N</w:t>
            </w:r>
            <w:r w:rsidR="006A75E5" w:rsidRPr="00B72221">
              <w:rPr>
                <w:rFonts w:ascii="Times New Roman" w:hAnsi="Times New Roman"/>
                <w:sz w:val="24"/>
                <w:szCs w:val="24"/>
              </w:rPr>
              <w:t>r.2010/84/ES 1.panta 18.punkta a</w:t>
            </w:r>
            <w:r w:rsidR="00511C3B" w:rsidRPr="00B72221">
              <w:rPr>
                <w:rFonts w:ascii="Times New Roman" w:hAnsi="Times New Roman"/>
                <w:sz w:val="24"/>
                <w:szCs w:val="24"/>
              </w:rPr>
              <w:t>) apakšpunkta normu attiecībā uz</w:t>
            </w:r>
            <w:r w:rsidR="0045344B" w:rsidRPr="00B72221">
              <w:rPr>
                <w:rFonts w:ascii="Times New Roman" w:hAnsi="Times New Roman"/>
                <w:sz w:val="24"/>
                <w:szCs w:val="24"/>
              </w:rPr>
              <w:t xml:space="preserve"> zāļu lietošanas instrukcijā iek</w:t>
            </w:r>
            <w:r w:rsidR="00C47292" w:rsidRPr="00B72221">
              <w:rPr>
                <w:rFonts w:ascii="Times New Roman" w:hAnsi="Times New Roman"/>
                <w:sz w:val="24"/>
                <w:szCs w:val="24"/>
              </w:rPr>
              <w:t>ļaujam</w:t>
            </w:r>
            <w:r w:rsidR="0045344B" w:rsidRPr="00B72221">
              <w:rPr>
                <w:rFonts w:ascii="Times New Roman" w:hAnsi="Times New Roman"/>
                <w:sz w:val="24"/>
                <w:szCs w:val="24"/>
              </w:rPr>
              <w:t>iem standa</w:t>
            </w:r>
            <w:r w:rsidR="00C47292" w:rsidRPr="00B72221">
              <w:rPr>
                <w:rFonts w:ascii="Times New Roman" w:hAnsi="Times New Roman"/>
                <w:sz w:val="24"/>
                <w:szCs w:val="24"/>
              </w:rPr>
              <w:t>rtizēt</w:t>
            </w:r>
            <w:r w:rsidR="00FF255F" w:rsidRPr="00B72221">
              <w:rPr>
                <w:rFonts w:ascii="Times New Roman" w:hAnsi="Times New Roman"/>
                <w:sz w:val="24"/>
                <w:szCs w:val="24"/>
              </w:rPr>
              <w:t>iem</w:t>
            </w:r>
            <w:r w:rsidR="0045344B" w:rsidRPr="00B72221">
              <w:rPr>
                <w:rFonts w:ascii="Times New Roman" w:hAnsi="Times New Roman"/>
                <w:sz w:val="24"/>
                <w:szCs w:val="24"/>
              </w:rPr>
              <w:t xml:space="preserve"> tekstiem par </w:t>
            </w:r>
            <w:r w:rsidR="009A522D" w:rsidRPr="00B72221">
              <w:rPr>
                <w:rFonts w:ascii="Times New Roman" w:hAnsi="Times New Roman"/>
                <w:sz w:val="24"/>
                <w:szCs w:val="24"/>
              </w:rPr>
              <w:t xml:space="preserve">ziņošanu par </w:t>
            </w:r>
            <w:r w:rsidRPr="00B72221">
              <w:rPr>
                <w:rFonts w:ascii="Times New Roman" w:hAnsi="Times New Roman"/>
                <w:sz w:val="24"/>
                <w:szCs w:val="24"/>
              </w:rPr>
              <w:t>blakusparādībām nevar izpildīt, jo Eiropas Zāļu aģentūra nav apstiprinājusi</w:t>
            </w:r>
            <w:r w:rsidR="005D21D6" w:rsidRPr="00B72221">
              <w:rPr>
                <w:rFonts w:ascii="Times New Roman" w:hAnsi="Times New Roman"/>
                <w:sz w:val="24"/>
                <w:szCs w:val="24"/>
              </w:rPr>
              <w:t xml:space="preserve"> kvalitātes pārskatu par cilvēkiem paredzēto produktu informācijas norādēm</w:t>
            </w:r>
            <w:r w:rsidR="00E37CA0" w:rsidRPr="00B72221">
              <w:rPr>
                <w:rFonts w:ascii="Times New Roman" w:hAnsi="Times New Roman"/>
                <w:sz w:val="24"/>
                <w:szCs w:val="24"/>
              </w:rPr>
              <w:t xml:space="preserve">, </w:t>
            </w:r>
            <w:r w:rsidR="00A24F40" w:rsidRPr="00B72221">
              <w:rPr>
                <w:rFonts w:ascii="Times New Roman" w:hAnsi="Times New Roman"/>
                <w:sz w:val="24"/>
                <w:szCs w:val="24"/>
              </w:rPr>
              <w:t xml:space="preserve">kurā paredz </w:t>
            </w:r>
            <w:r w:rsidR="00FD238F" w:rsidRPr="00B72221">
              <w:rPr>
                <w:rFonts w:ascii="Times New Roman" w:hAnsi="Times New Roman"/>
                <w:sz w:val="24"/>
                <w:szCs w:val="24"/>
              </w:rPr>
              <w:t>norādīt</w:t>
            </w:r>
            <w:r w:rsidR="00A956A8" w:rsidRPr="00B72221">
              <w:rPr>
                <w:rFonts w:ascii="Times New Roman" w:hAnsi="Times New Roman"/>
                <w:sz w:val="24"/>
                <w:szCs w:val="24"/>
              </w:rPr>
              <w:t xml:space="preserve"> standartizētos</w:t>
            </w:r>
            <w:r w:rsidR="00A24F40" w:rsidRPr="00B72221">
              <w:rPr>
                <w:rFonts w:ascii="Times New Roman" w:hAnsi="Times New Roman"/>
                <w:sz w:val="24"/>
                <w:szCs w:val="24"/>
              </w:rPr>
              <w:t xml:space="preserve">  </w:t>
            </w:r>
            <w:r w:rsidR="00A956A8" w:rsidRPr="00B72221">
              <w:rPr>
                <w:rFonts w:ascii="Times New Roman" w:hAnsi="Times New Roman"/>
                <w:sz w:val="24"/>
                <w:szCs w:val="24"/>
              </w:rPr>
              <w:t>tekstus</w:t>
            </w:r>
            <w:r w:rsidR="00FD238F" w:rsidRPr="00B72221">
              <w:rPr>
                <w:rFonts w:ascii="Times New Roman" w:hAnsi="Times New Roman"/>
                <w:sz w:val="24"/>
                <w:szCs w:val="24"/>
              </w:rPr>
              <w:t>, kā arī</w:t>
            </w:r>
            <w:r w:rsidR="00A24F40" w:rsidRPr="00B72221">
              <w:rPr>
                <w:rFonts w:ascii="Times New Roman" w:hAnsi="Times New Roman"/>
                <w:sz w:val="24"/>
                <w:szCs w:val="24"/>
              </w:rPr>
              <w:t xml:space="preserve"> </w:t>
            </w:r>
            <w:r w:rsidR="000612CC" w:rsidRPr="00B72221">
              <w:rPr>
                <w:rFonts w:ascii="Times New Roman" w:hAnsi="Times New Roman"/>
                <w:sz w:val="24"/>
                <w:szCs w:val="24"/>
              </w:rPr>
              <w:t>nav noteikusi</w:t>
            </w:r>
            <w:r w:rsidR="00E37CA0" w:rsidRPr="00B72221">
              <w:rPr>
                <w:rFonts w:ascii="Times New Roman" w:hAnsi="Times New Roman"/>
                <w:sz w:val="24"/>
                <w:szCs w:val="24"/>
              </w:rPr>
              <w:t xml:space="preserve"> pārejas period</w:t>
            </w:r>
            <w:r w:rsidR="000612CC" w:rsidRPr="00B72221">
              <w:rPr>
                <w:rFonts w:ascii="Times New Roman" w:hAnsi="Times New Roman"/>
                <w:sz w:val="24"/>
                <w:szCs w:val="24"/>
              </w:rPr>
              <w:t xml:space="preserve">u </w:t>
            </w:r>
            <w:r w:rsidR="007E7D7D" w:rsidRPr="00B72221">
              <w:rPr>
                <w:rFonts w:ascii="Times New Roman" w:hAnsi="Times New Roman"/>
                <w:sz w:val="24"/>
                <w:szCs w:val="24"/>
              </w:rPr>
              <w:t>to</w:t>
            </w:r>
            <w:r w:rsidR="00E37CA0" w:rsidRPr="00B72221">
              <w:rPr>
                <w:rFonts w:ascii="Times New Roman" w:hAnsi="Times New Roman"/>
                <w:sz w:val="24"/>
                <w:szCs w:val="24"/>
              </w:rPr>
              <w:t xml:space="preserve"> ieviešanai</w:t>
            </w:r>
            <w:r w:rsidR="00C47292" w:rsidRPr="00B72221">
              <w:rPr>
                <w:rFonts w:ascii="Times New Roman" w:hAnsi="Times New Roman"/>
                <w:sz w:val="24"/>
                <w:szCs w:val="24"/>
              </w:rPr>
              <w:t>.</w:t>
            </w:r>
          </w:p>
          <w:p w:rsidR="00C47292" w:rsidRPr="00B72221" w:rsidRDefault="00C47292" w:rsidP="00160038">
            <w:pPr>
              <w:pStyle w:val="Bezatstarpm"/>
              <w:jc w:val="both"/>
              <w:rPr>
                <w:rFonts w:ascii="Times New Roman" w:hAnsi="Times New Roman"/>
                <w:sz w:val="24"/>
                <w:szCs w:val="24"/>
              </w:rPr>
            </w:pPr>
          </w:p>
          <w:p w:rsidR="00934A96" w:rsidRPr="00B72221" w:rsidRDefault="00934A96" w:rsidP="00934A96">
            <w:pPr>
              <w:pStyle w:val="Bezatstarpm"/>
              <w:jc w:val="both"/>
              <w:rPr>
                <w:rFonts w:ascii="Times New Roman" w:hAnsi="Times New Roman"/>
                <w:sz w:val="24"/>
                <w:szCs w:val="24"/>
              </w:rPr>
            </w:pPr>
            <w:r w:rsidRPr="00B72221">
              <w:rPr>
                <w:rFonts w:ascii="Times New Roman" w:hAnsi="Times New Roman"/>
                <w:sz w:val="24"/>
                <w:szCs w:val="24"/>
              </w:rPr>
              <w:t xml:space="preserve">Pašlaik pēc Eiropas Komisijas sniegtās informācijas </w:t>
            </w:r>
            <w:r w:rsidR="00FB164B" w:rsidRPr="00B72221">
              <w:rPr>
                <w:rFonts w:ascii="Times New Roman" w:hAnsi="Times New Roman"/>
                <w:sz w:val="24"/>
                <w:szCs w:val="24"/>
              </w:rPr>
              <w:t xml:space="preserve">pa e-pastu 2013.gada 18.janvārī </w:t>
            </w:r>
            <w:r w:rsidR="00BC5733" w:rsidRPr="00B72221">
              <w:rPr>
                <w:rFonts w:ascii="Times New Roman" w:hAnsi="Times New Roman"/>
                <w:sz w:val="24"/>
                <w:szCs w:val="24"/>
              </w:rPr>
              <w:t>Eiropas Komisija plānot melno simbolu apstiprināt trijstūra veidā</w:t>
            </w:r>
            <w:r w:rsidRPr="00B72221">
              <w:rPr>
                <w:rFonts w:ascii="Times New Roman" w:hAnsi="Times New Roman"/>
                <w:sz w:val="24"/>
                <w:szCs w:val="24"/>
              </w:rPr>
              <w:t> ”▼” 2013.gada martā/ aprīlī</w:t>
            </w:r>
            <w:r w:rsidR="00BC5733" w:rsidRPr="00B72221">
              <w:rPr>
                <w:rFonts w:ascii="Times New Roman" w:hAnsi="Times New Roman"/>
                <w:sz w:val="24"/>
                <w:szCs w:val="24"/>
              </w:rPr>
              <w:t>, kā arī</w:t>
            </w:r>
            <w:r w:rsidRPr="00B72221">
              <w:rPr>
                <w:rFonts w:ascii="Times New Roman" w:hAnsi="Times New Roman"/>
                <w:sz w:val="24"/>
                <w:szCs w:val="24"/>
              </w:rPr>
              <w:t xml:space="preserve"> noteikt pārejas periodu </w:t>
            </w:r>
            <w:r w:rsidR="006715CD" w:rsidRPr="00B72221">
              <w:rPr>
                <w:rFonts w:ascii="Times New Roman" w:hAnsi="Times New Roman"/>
                <w:sz w:val="24"/>
                <w:szCs w:val="24"/>
              </w:rPr>
              <w:t xml:space="preserve">tā ieviešanai zāļu lietošanas instrukcijās </w:t>
            </w:r>
            <w:r w:rsidRPr="00B72221">
              <w:rPr>
                <w:rFonts w:ascii="Times New Roman" w:hAnsi="Times New Roman"/>
                <w:sz w:val="24"/>
                <w:szCs w:val="24"/>
              </w:rPr>
              <w:t xml:space="preserve">līdz 2014.gada 1.janvārim zālēm, kuras reģistrētas līdz 01.07.2013., </w:t>
            </w:r>
            <w:r w:rsidR="00BC5733" w:rsidRPr="00B72221">
              <w:rPr>
                <w:rFonts w:ascii="Times New Roman" w:hAnsi="Times New Roman"/>
                <w:sz w:val="24"/>
                <w:szCs w:val="24"/>
              </w:rPr>
              <w:t>paredzot</w:t>
            </w:r>
            <w:r w:rsidRPr="00B72221">
              <w:rPr>
                <w:rFonts w:ascii="Times New Roman" w:hAnsi="Times New Roman"/>
                <w:sz w:val="24"/>
                <w:szCs w:val="24"/>
              </w:rPr>
              <w:t xml:space="preserve"> pārejas periodu </w:t>
            </w:r>
            <w:r w:rsidR="00BC5733" w:rsidRPr="00B72221">
              <w:rPr>
                <w:rFonts w:ascii="Times New Roman" w:hAnsi="Times New Roman"/>
                <w:sz w:val="24"/>
                <w:szCs w:val="24"/>
              </w:rPr>
              <w:t xml:space="preserve">arī </w:t>
            </w:r>
            <w:r w:rsidRPr="00B72221">
              <w:rPr>
                <w:rFonts w:ascii="Times New Roman" w:hAnsi="Times New Roman"/>
                <w:sz w:val="24"/>
                <w:szCs w:val="24"/>
              </w:rPr>
              <w:t>atlikušo zāļu krājumu realizācijai. Eiropas Komisija neplāno melno simbolu ieviest ar īstenošanas vai deleģēto aktu Regulas formā.</w:t>
            </w:r>
          </w:p>
          <w:p w:rsidR="005F42E5" w:rsidRPr="00B72221" w:rsidRDefault="005F42E5" w:rsidP="00160038">
            <w:pPr>
              <w:pStyle w:val="Bezatstarpm"/>
              <w:jc w:val="both"/>
              <w:rPr>
                <w:rFonts w:ascii="Times New Roman" w:hAnsi="Times New Roman"/>
                <w:sz w:val="24"/>
                <w:szCs w:val="24"/>
              </w:rPr>
            </w:pPr>
          </w:p>
          <w:p w:rsidR="00BB5F9C" w:rsidRPr="00B72221" w:rsidRDefault="00DF1948" w:rsidP="00160038">
            <w:pPr>
              <w:pStyle w:val="Bezatstarpm"/>
              <w:jc w:val="both"/>
              <w:rPr>
                <w:rFonts w:ascii="Times New Roman" w:hAnsi="Times New Roman"/>
                <w:sz w:val="24"/>
                <w:szCs w:val="24"/>
              </w:rPr>
            </w:pPr>
            <w:r w:rsidRPr="00B72221">
              <w:rPr>
                <w:rFonts w:ascii="Times New Roman" w:hAnsi="Times New Roman"/>
                <w:sz w:val="24"/>
                <w:szCs w:val="24"/>
              </w:rPr>
              <w:lastRenderedPageBreak/>
              <w:t xml:space="preserve">Pēc Zāļu valsts aģentūras sniegtās informācijas </w:t>
            </w:r>
            <w:r w:rsidR="0031501F" w:rsidRPr="00B72221">
              <w:rPr>
                <w:rFonts w:ascii="Times New Roman" w:hAnsi="Times New Roman"/>
                <w:sz w:val="24"/>
                <w:szCs w:val="24"/>
              </w:rPr>
              <w:t>t</w:t>
            </w:r>
            <w:r w:rsidR="00F50EBD" w:rsidRPr="00B72221">
              <w:rPr>
                <w:rFonts w:ascii="Times New Roman" w:hAnsi="Times New Roman"/>
                <w:sz w:val="24"/>
                <w:szCs w:val="24"/>
              </w:rPr>
              <w:t xml:space="preserve">irgū esošajām reģistrētajām zālēm </w:t>
            </w:r>
            <w:r w:rsidR="00F50EF2" w:rsidRPr="00B72221">
              <w:rPr>
                <w:rFonts w:ascii="Times New Roman" w:hAnsi="Times New Roman"/>
                <w:sz w:val="24"/>
                <w:szCs w:val="24"/>
              </w:rPr>
              <w:t xml:space="preserve">speciālo melno simbolu </w:t>
            </w:r>
            <w:r w:rsidR="000D7693" w:rsidRPr="00B72221">
              <w:rPr>
                <w:rFonts w:ascii="Times New Roman" w:hAnsi="Times New Roman"/>
                <w:sz w:val="24"/>
                <w:szCs w:val="24"/>
              </w:rPr>
              <w:t xml:space="preserve">zāļu </w:t>
            </w:r>
            <w:r w:rsidR="00F50EF2" w:rsidRPr="00B72221">
              <w:rPr>
                <w:rFonts w:ascii="Times New Roman" w:hAnsi="Times New Roman"/>
                <w:sz w:val="24"/>
                <w:szCs w:val="24"/>
              </w:rPr>
              <w:t xml:space="preserve">lietošanas instrukcijās </w:t>
            </w:r>
            <w:r w:rsidR="00CB6E22" w:rsidRPr="00B72221">
              <w:rPr>
                <w:rFonts w:ascii="Times New Roman" w:hAnsi="Times New Roman"/>
                <w:sz w:val="24"/>
                <w:szCs w:val="24"/>
              </w:rPr>
              <w:t xml:space="preserve">plānots </w:t>
            </w:r>
            <w:r w:rsidR="00276176" w:rsidRPr="00B72221">
              <w:rPr>
                <w:rFonts w:ascii="Times New Roman" w:hAnsi="Times New Roman"/>
                <w:sz w:val="24"/>
                <w:szCs w:val="24"/>
              </w:rPr>
              <w:t>ieviest</w:t>
            </w:r>
            <w:r w:rsidR="00FB6639" w:rsidRPr="00B72221">
              <w:rPr>
                <w:rFonts w:ascii="Times New Roman" w:hAnsi="Times New Roman"/>
                <w:sz w:val="24"/>
                <w:szCs w:val="24"/>
              </w:rPr>
              <w:t>, ne</w:t>
            </w:r>
            <w:r w:rsidR="00CB6E22" w:rsidRPr="00B72221">
              <w:rPr>
                <w:rFonts w:ascii="Times New Roman" w:hAnsi="Times New Roman"/>
                <w:sz w:val="24"/>
                <w:szCs w:val="24"/>
              </w:rPr>
              <w:t>ie</w:t>
            </w:r>
            <w:r w:rsidR="00FB6639" w:rsidRPr="00B72221">
              <w:rPr>
                <w:rFonts w:ascii="Times New Roman" w:hAnsi="Times New Roman"/>
                <w:sz w:val="24"/>
                <w:szCs w:val="24"/>
              </w:rPr>
              <w:t>sniedzot atsevišķu iesniegumu izmaiņu apstiprināšanai, bet</w:t>
            </w:r>
            <w:r w:rsidR="00F50EBD" w:rsidRPr="00B72221">
              <w:rPr>
                <w:rFonts w:ascii="Times New Roman" w:hAnsi="Times New Roman"/>
                <w:sz w:val="24"/>
                <w:szCs w:val="24"/>
              </w:rPr>
              <w:t xml:space="preserve"> iesniedzot iesniegumu izmaiņu apstiprināšanai nelielām IB tipa un nozīmīgām II tipa C klasifikācijas kategorijas ”</w:t>
            </w:r>
            <w:r w:rsidR="00F50EBD" w:rsidRPr="00B72221">
              <w:rPr>
                <w:rFonts w:ascii="Times New Roman" w:hAnsi="Times New Roman"/>
                <w:bCs/>
                <w:sz w:val="24"/>
                <w:szCs w:val="24"/>
              </w:rPr>
              <w:t>Drošuma un iedarbīguma izmaiņas un izmaiņas saistītas ar zāļu blakusparādību uzraudzību (</w:t>
            </w:r>
            <w:proofErr w:type="spellStart"/>
            <w:r w:rsidR="00F50EBD" w:rsidRPr="00B72221">
              <w:rPr>
                <w:rFonts w:ascii="Times New Roman" w:hAnsi="Times New Roman"/>
                <w:bCs/>
                <w:sz w:val="24"/>
                <w:szCs w:val="24"/>
              </w:rPr>
              <w:t>farmakovigilance</w:t>
            </w:r>
            <w:proofErr w:type="spellEnd"/>
            <w:r w:rsidR="00F50EBD" w:rsidRPr="00B72221">
              <w:rPr>
                <w:rFonts w:ascii="Times New Roman" w:hAnsi="Times New Roman"/>
                <w:bCs/>
                <w:sz w:val="24"/>
                <w:szCs w:val="24"/>
              </w:rPr>
              <w:t>)” izmaiņām</w:t>
            </w:r>
            <w:r w:rsidR="003E109C" w:rsidRPr="00B72221">
              <w:rPr>
                <w:rFonts w:ascii="Times New Roman" w:hAnsi="Times New Roman"/>
                <w:bCs/>
                <w:sz w:val="24"/>
                <w:szCs w:val="24"/>
              </w:rPr>
              <w:t xml:space="preserve"> para</w:t>
            </w:r>
            <w:r w:rsidR="00CB6E22" w:rsidRPr="00B72221">
              <w:rPr>
                <w:rFonts w:ascii="Times New Roman" w:hAnsi="Times New Roman"/>
                <w:bCs/>
                <w:sz w:val="24"/>
                <w:szCs w:val="24"/>
              </w:rPr>
              <w:t>stajā</w:t>
            </w:r>
            <w:r w:rsidR="003E109C" w:rsidRPr="00B72221">
              <w:rPr>
                <w:rFonts w:ascii="Times New Roman" w:hAnsi="Times New Roman"/>
                <w:bCs/>
                <w:sz w:val="24"/>
                <w:szCs w:val="24"/>
              </w:rPr>
              <w:t xml:space="preserve"> kārtībā, kāda</w:t>
            </w:r>
            <w:r w:rsidR="000D7693" w:rsidRPr="00B72221">
              <w:rPr>
                <w:rFonts w:ascii="Times New Roman" w:hAnsi="Times New Roman"/>
                <w:bCs/>
                <w:sz w:val="24"/>
                <w:szCs w:val="24"/>
              </w:rPr>
              <w:t xml:space="preserve"> </w:t>
            </w:r>
            <w:r w:rsidR="003E109C" w:rsidRPr="00B72221">
              <w:rPr>
                <w:rFonts w:ascii="Times New Roman" w:hAnsi="Times New Roman"/>
                <w:bCs/>
                <w:sz w:val="24"/>
                <w:szCs w:val="24"/>
              </w:rPr>
              <w:t>ir noteikta</w:t>
            </w:r>
            <w:r w:rsidR="000D7693" w:rsidRPr="00B72221">
              <w:rPr>
                <w:rFonts w:ascii="Times New Roman" w:hAnsi="Times New Roman"/>
                <w:bCs/>
                <w:sz w:val="24"/>
                <w:szCs w:val="24"/>
              </w:rPr>
              <w:t xml:space="preserve"> </w:t>
            </w:r>
            <w:r w:rsidR="009E3788" w:rsidRPr="00B72221">
              <w:rPr>
                <w:rFonts w:ascii="Times New Roman" w:hAnsi="Times New Roman"/>
                <w:bCs/>
                <w:sz w:val="24"/>
                <w:szCs w:val="24"/>
              </w:rPr>
              <w:t xml:space="preserve">Ministru kabineta 2006.gada </w:t>
            </w:r>
            <w:r w:rsidR="003E109C" w:rsidRPr="00B72221">
              <w:rPr>
                <w:rFonts w:ascii="Times New Roman" w:hAnsi="Times New Roman"/>
                <w:bCs/>
                <w:sz w:val="24"/>
                <w:szCs w:val="24"/>
              </w:rPr>
              <w:t>9.maija noteikumos</w:t>
            </w:r>
            <w:r w:rsidR="00E17C88" w:rsidRPr="00B72221">
              <w:rPr>
                <w:rFonts w:ascii="Times New Roman" w:hAnsi="Times New Roman"/>
                <w:bCs/>
                <w:sz w:val="24"/>
                <w:szCs w:val="24"/>
              </w:rPr>
              <w:t xml:space="preserve"> Nr.376 ”Zāļu reģistrēšanas kārtība”.</w:t>
            </w:r>
            <w:r w:rsidR="00E17C88" w:rsidRPr="00B72221">
              <w:rPr>
                <w:rFonts w:ascii="Times New Roman" w:hAnsi="Times New Roman"/>
                <w:sz w:val="24"/>
                <w:szCs w:val="24"/>
              </w:rPr>
              <w:t xml:space="preserve"> </w:t>
            </w:r>
          </w:p>
          <w:p w:rsidR="00DD35DF" w:rsidRPr="00B72221" w:rsidRDefault="009F4146" w:rsidP="00160038">
            <w:pPr>
              <w:pStyle w:val="Bezatstarpm"/>
              <w:jc w:val="both"/>
              <w:rPr>
                <w:rFonts w:ascii="Times New Roman" w:hAnsi="Times New Roman"/>
                <w:sz w:val="24"/>
                <w:szCs w:val="24"/>
              </w:rPr>
            </w:pPr>
            <w:r w:rsidRPr="00B72221">
              <w:rPr>
                <w:rFonts w:ascii="Times New Roman" w:hAnsi="Times New Roman"/>
                <w:sz w:val="24"/>
                <w:szCs w:val="24"/>
              </w:rPr>
              <w:t>Z</w:t>
            </w:r>
            <w:r w:rsidR="0074529F" w:rsidRPr="00B72221">
              <w:rPr>
                <w:rFonts w:ascii="Times New Roman" w:hAnsi="Times New Roman"/>
                <w:sz w:val="24"/>
                <w:szCs w:val="24"/>
              </w:rPr>
              <w:t xml:space="preserve">ālēm ar </w:t>
            </w:r>
            <w:r w:rsidR="00B46603" w:rsidRPr="00B72221">
              <w:rPr>
                <w:rFonts w:ascii="Times New Roman" w:hAnsi="Times New Roman"/>
                <w:sz w:val="24"/>
                <w:szCs w:val="24"/>
              </w:rPr>
              <w:t>papildus uzraudzību (</w:t>
            </w:r>
            <w:r w:rsidR="009957A2" w:rsidRPr="00B72221">
              <w:rPr>
                <w:rFonts w:ascii="Times New Roman" w:hAnsi="Times New Roman"/>
                <w:sz w:val="24"/>
                <w:szCs w:val="24"/>
              </w:rPr>
              <w:t xml:space="preserve">zāļu </w:t>
            </w:r>
            <w:r w:rsidR="00A12E90" w:rsidRPr="00B72221">
              <w:rPr>
                <w:rFonts w:ascii="Times New Roman" w:hAnsi="Times New Roman"/>
                <w:sz w:val="24"/>
                <w:szCs w:val="24"/>
              </w:rPr>
              <w:t xml:space="preserve">lietošanas instrukcijā </w:t>
            </w:r>
            <w:r w:rsidR="005D74A9" w:rsidRPr="00B72221">
              <w:rPr>
                <w:rFonts w:ascii="Times New Roman" w:hAnsi="Times New Roman"/>
                <w:sz w:val="24"/>
                <w:szCs w:val="24"/>
              </w:rPr>
              <w:t xml:space="preserve">ir </w:t>
            </w:r>
            <w:r w:rsidR="00B46603" w:rsidRPr="00B72221">
              <w:rPr>
                <w:rFonts w:ascii="Times New Roman" w:hAnsi="Times New Roman"/>
                <w:sz w:val="24"/>
                <w:szCs w:val="24"/>
              </w:rPr>
              <w:t>ietverts</w:t>
            </w:r>
            <w:r w:rsidR="00393AF9" w:rsidRPr="00B72221">
              <w:rPr>
                <w:rFonts w:ascii="Times New Roman" w:hAnsi="Times New Roman"/>
                <w:sz w:val="24"/>
                <w:szCs w:val="24"/>
              </w:rPr>
              <w:t xml:space="preserve"> melnais simbols</w:t>
            </w:r>
            <w:r w:rsidR="00B46603" w:rsidRPr="00B72221">
              <w:rPr>
                <w:rFonts w:ascii="Times New Roman" w:hAnsi="Times New Roman"/>
                <w:sz w:val="24"/>
                <w:szCs w:val="24"/>
              </w:rPr>
              <w:t>)</w:t>
            </w:r>
            <w:r w:rsidR="00A12E90" w:rsidRPr="00B72221">
              <w:rPr>
                <w:rFonts w:ascii="Times New Roman" w:hAnsi="Times New Roman"/>
                <w:sz w:val="24"/>
                <w:szCs w:val="24"/>
              </w:rPr>
              <w:t xml:space="preserve"> </w:t>
            </w:r>
            <w:r w:rsidR="00393AF9" w:rsidRPr="00B72221">
              <w:rPr>
                <w:rFonts w:ascii="Times New Roman" w:hAnsi="Times New Roman"/>
                <w:sz w:val="24"/>
                <w:szCs w:val="24"/>
              </w:rPr>
              <w:t>izm</w:t>
            </w:r>
            <w:r w:rsidR="00B46603" w:rsidRPr="00B72221">
              <w:rPr>
                <w:rFonts w:ascii="Times New Roman" w:hAnsi="Times New Roman"/>
                <w:sz w:val="24"/>
                <w:szCs w:val="24"/>
              </w:rPr>
              <w:t xml:space="preserve">aiņas ieviešamas bez kavēšanās, </w:t>
            </w:r>
            <w:r w:rsidR="00707BD9" w:rsidRPr="00B72221">
              <w:rPr>
                <w:rFonts w:ascii="Times New Roman" w:hAnsi="Times New Roman"/>
                <w:sz w:val="24"/>
                <w:szCs w:val="24"/>
              </w:rPr>
              <w:t>iesniedzot atsevišķu iesniegumu</w:t>
            </w:r>
            <w:r w:rsidR="005D74A9" w:rsidRPr="00B72221">
              <w:rPr>
                <w:rFonts w:ascii="Times New Roman" w:hAnsi="Times New Roman"/>
                <w:sz w:val="24"/>
                <w:szCs w:val="24"/>
              </w:rPr>
              <w:t>,</w:t>
            </w:r>
            <w:r w:rsidR="00B46603" w:rsidRPr="00B72221">
              <w:rPr>
                <w:rFonts w:ascii="Times New Roman" w:hAnsi="Times New Roman"/>
                <w:sz w:val="24"/>
                <w:szCs w:val="24"/>
              </w:rPr>
              <w:t xml:space="preserve"> j</w:t>
            </w:r>
            <w:r w:rsidR="00707BD9" w:rsidRPr="00B72221">
              <w:rPr>
                <w:rFonts w:ascii="Times New Roman" w:hAnsi="Times New Roman"/>
                <w:sz w:val="24"/>
                <w:szCs w:val="24"/>
              </w:rPr>
              <w:t>a sešu mēnešu laikā nav paredzēts iesniegt</w:t>
            </w:r>
            <w:r w:rsidR="005D74A9" w:rsidRPr="00B72221">
              <w:rPr>
                <w:rFonts w:ascii="Times New Roman" w:hAnsi="Times New Roman"/>
                <w:sz w:val="24"/>
                <w:szCs w:val="24"/>
              </w:rPr>
              <w:t xml:space="preserve"> iesniegumu izmaiņu apstiprināšanai C </w:t>
            </w:r>
            <w:r w:rsidR="00A80123" w:rsidRPr="00B72221">
              <w:rPr>
                <w:rFonts w:ascii="Times New Roman" w:hAnsi="Times New Roman"/>
                <w:sz w:val="24"/>
                <w:szCs w:val="24"/>
              </w:rPr>
              <w:t>klasifikācijas</w:t>
            </w:r>
            <w:r w:rsidR="005D74A9" w:rsidRPr="00B72221">
              <w:rPr>
                <w:rFonts w:ascii="Times New Roman" w:hAnsi="Times New Roman"/>
                <w:sz w:val="24"/>
                <w:szCs w:val="24"/>
              </w:rPr>
              <w:t xml:space="preserve"> kategorijas izmaiņai</w:t>
            </w:r>
            <w:r w:rsidR="005C3617" w:rsidRPr="00B72221">
              <w:rPr>
                <w:rFonts w:ascii="Times New Roman" w:hAnsi="Times New Roman"/>
                <w:sz w:val="24"/>
                <w:szCs w:val="24"/>
              </w:rPr>
              <w:t>.</w:t>
            </w:r>
          </w:p>
          <w:p w:rsidR="00BB5F9C" w:rsidRPr="00B72221" w:rsidRDefault="00BB5F9C" w:rsidP="00BB5F9C">
            <w:pPr>
              <w:pStyle w:val="Bezatstarpm"/>
              <w:jc w:val="both"/>
              <w:rPr>
                <w:rFonts w:ascii="Times New Roman" w:hAnsi="Times New Roman"/>
                <w:sz w:val="24"/>
                <w:szCs w:val="24"/>
              </w:rPr>
            </w:pPr>
            <w:r w:rsidRPr="00B72221">
              <w:rPr>
                <w:rFonts w:ascii="Times New Roman" w:hAnsi="Times New Roman"/>
                <w:sz w:val="24"/>
                <w:szCs w:val="24"/>
              </w:rPr>
              <w:t>Tirgū esošajām reģistrētajām zālēm, kurām nebūs noteikta papildus uzraudzība (zāļu lietošanas instrukcijā nav ietverts melnais simbols), norādes par ziņošanu par blakusparādībām plānots ieviest pēc iespējas ātrāk, bet ne vēlāk kā divu līdz trīs gadu laikā pēc EMEA kv</w:t>
            </w:r>
            <w:r w:rsidR="00E37CA0" w:rsidRPr="00B72221">
              <w:rPr>
                <w:rFonts w:ascii="Times New Roman" w:hAnsi="Times New Roman"/>
                <w:sz w:val="24"/>
                <w:szCs w:val="24"/>
              </w:rPr>
              <w:t>alitātes pārskata publicēšanas.</w:t>
            </w:r>
          </w:p>
          <w:p w:rsidR="008E2D15" w:rsidRPr="00B72221" w:rsidRDefault="008E2D15" w:rsidP="00BB5F9C">
            <w:pPr>
              <w:pStyle w:val="Bezatstarpm"/>
              <w:jc w:val="both"/>
              <w:rPr>
                <w:rFonts w:ascii="Times New Roman" w:hAnsi="Times New Roman"/>
                <w:sz w:val="24"/>
                <w:szCs w:val="24"/>
                <w:lang w:eastAsia="lv-LV"/>
              </w:rPr>
            </w:pPr>
          </w:p>
          <w:p w:rsidR="00E37CA0" w:rsidRPr="00B72221" w:rsidRDefault="00E37CA0" w:rsidP="00BB5F9C">
            <w:pPr>
              <w:pStyle w:val="Bezatstarpm"/>
              <w:jc w:val="both"/>
              <w:rPr>
                <w:rFonts w:ascii="Times New Roman" w:hAnsi="Times New Roman"/>
                <w:sz w:val="24"/>
                <w:szCs w:val="24"/>
              </w:rPr>
            </w:pPr>
            <w:r w:rsidRPr="00B72221">
              <w:rPr>
                <w:rFonts w:ascii="Times New Roman" w:hAnsi="Times New Roman"/>
                <w:sz w:val="24"/>
                <w:szCs w:val="24"/>
                <w:lang w:eastAsia="lv-LV"/>
              </w:rPr>
              <w:t xml:space="preserve">Pēc Zāļu valsts aģentūras sniegtās informācijas Eiropas Zāļu aģentūra (turpmāk - EMEA) pašlaik pārskata un 2013.gada I un II ceturksnī (marts - aprīlis) paredz publicēt savā </w:t>
            </w:r>
            <w:r w:rsidRPr="00B72221">
              <w:rPr>
                <w:rFonts w:ascii="Times New Roman" w:hAnsi="Times New Roman"/>
                <w:sz w:val="24"/>
                <w:szCs w:val="24"/>
              </w:rPr>
              <w:t xml:space="preserve">tīmekļa vietnē: </w:t>
            </w:r>
            <w:r w:rsidR="008E2D15" w:rsidRPr="00B72221">
              <w:rPr>
                <w:rFonts w:ascii="Times New Roman" w:hAnsi="Times New Roman"/>
                <w:sz w:val="24"/>
                <w:szCs w:val="24"/>
              </w:rPr>
              <w:t>(</w:t>
            </w:r>
            <w:hyperlink r:id="rId9" w:history="1">
              <w:r w:rsidRPr="00B72221">
                <w:rPr>
                  <w:rStyle w:val="Hipersaite"/>
                  <w:rFonts w:ascii="Times New Roman" w:hAnsi="Times New Roman"/>
                  <w:color w:val="auto"/>
                  <w:sz w:val="24"/>
                  <w:szCs w:val="24"/>
                  <w:u w:val="none"/>
                </w:rPr>
                <w:t>http://www.ema.europa.eu</w:t>
              </w:r>
            </w:hyperlink>
            <w:r w:rsidR="008E2D15" w:rsidRPr="00B72221">
              <w:t>)</w:t>
            </w:r>
            <w:r w:rsidRPr="00B72221">
              <w:rPr>
                <w:rFonts w:ascii="Times New Roman" w:hAnsi="Times New Roman"/>
                <w:sz w:val="24"/>
                <w:szCs w:val="24"/>
                <w:lang w:eastAsia="lv-LV"/>
              </w:rPr>
              <w:t xml:space="preserve"> visās ES oficiālajās valodās EMEA apstiprinātu </w:t>
            </w:r>
            <w:r w:rsidRPr="00B72221">
              <w:rPr>
                <w:rFonts w:ascii="Times New Roman" w:hAnsi="Times New Roman"/>
                <w:sz w:val="24"/>
                <w:szCs w:val="24"/>
              </w:rPr>
              <w:t>kvalitātes pārskatu par cilvēkiem paredzēto produktu informācijas norādēm, kurā tiks konkrēti norādīts, kurā vietā zāļu lietošanas instrukcijā ir norādāms Eiropas Komisijas apstiprinātais melnais simbols, un kādi standartizēti paskaidrojoši teksti un kurā vietā norādāmi par blaku</w:t>
            </w:r>
            <w:r w:rsidR="008E2D15" w:rsidRPr="00B72221">
              <w:rPr>
                <w:rFonts w:ascii="Times New Roman" w:hAnsi="Times New Roman"/>
                <w:sz w:val="24"/>
                <w:szCs w:val="24"/>
              </w:rPr>
              <w:t>sparādību paziņošanu.</w:t>
            </w:r>
          </w:p>
          <w:p w:rsidR="005F049C" w:rsidRPr="00B72221" w:rsidRDefault="005F049C" w:rsidP="00160038">
            <w:pPr>
              <w:pStyle w:val="CM4"/>
              <w:spacing w:before="60" w:after="60"/>
              <w:jc w:val="both"/>
              <w:rPr>
                <w:lang w:val="lv-LV"/>
              </w:rPr>
            </w:pPr>
          </w:p>
          <w:p w:rsidR="00870D64" w:rsidRPr="00B72221" w:rsidRDefault="0077722F" w:rsidP="00160038">
            <w:pPr>
              <w:pStyle w:val="CM4"/>
              <w:spacing w:before="60" w:after="60"/>
              <w:jc w:val="both"/>
              <w:rPr>
                <w:lang w:val="lv-LV"/>
              </w:rPr>
            </w:pPr>
            <w:r w:rsidRPr="00B72221">
              <w:rPr>
                <w:lang w:val="lv-LV"/>
              </w:rPr>
              <w:t>2) </w:t>
            </w:r>
            <w:r w:rsidR="005B096D" w:rsidRPr="00B72221">
              <w:rPr>
                <w:lang w:val="lv-LV"/>
              </w:rPr>
              <w:t xml:space="preserve">Direktīvas Nr.2010/84/ES </w:t>
            </w:r>
            <w:r w:rsidR="00321B99" w:rsidRPr="00B72221">
              <w:rPr>
                <w:lang w:val="lv-LV"/>
              </w:rPr>
              <w:t xml:space="preserve">1.panta 19.punkta normu </w:t>
            </w:r>
            <w:r w:rsidR="00264673" w:rsidRPr="00B72221">
              <w:rPr>
                <w:lang w:val="lv-LV"/>
              </w:rPr>
              <w:t>un operatīvāk varētu</w:t>
            </w:r>
            <w:r w:rsidR="00321B99" w:rsidRPr="00B72221">
              <w:rPr>
                <w:lang w:val="lv-LV"/>
              </w:rPr>
              <w:t xml:space="preserve"> risināt būtiskas zāļu apgādes problēmas.</w:t>
            </w:r>
            <w:r w:rsidR="00A4146D" w:rsidRPr="00B72221">
              <w:rPr>
                <w:lang w:val="lv-LV"/>
              </w:rPr>
              <w:t xml:space="preserve"> </w:t>
            </w:r>
            <w:r w:rsidR="0031332A" w:rsidRPr="00B72221">
              <w:rPr>
                <w:lang w:val="lv-LV"/>
              </w:rPr>
              <w:t>Pašreiz MK noteikumu Nr.57 7.6.apakšpunkts paredz Zāļu valsts aģentūrai tiesības</w:t>
            </w:r>
            <w:r w:rsidR="00CB2BCA" w:rsidRPr="00B72221">
              <w:rPr>
                <w:lang w:val="lv-LV"/>
              </w:rPr>
              <w:t xml:space="preserve"> atbrīvot zāles</w:t>
            </w:r>
            <w:r w:rsidR="0031332A" w:rsidRPr="00B72221">
              <w:rPr>
                <w:lang w:val="lv-LV"/>
              </w:rPr>
              <w:t xml:space="preserve"> </w:t>
            </w:r>
            <w:r w:rsidR="00AB56BA" w:rsidRPr="00B72221">
              <w:rPr>
                <w:lang w:val="lv-LV"/>
              </w:rPr>
              <w:t xml:space="preserve">no </w:t>
            </w:r>
            <w:r w:rsidR="00CB2BCA" w:rsidRPr="00B72221">
              <w:rPr>
                <w:lang w:val="lv-LV"/>
              </w:rPr>
              <w:t xml:space="preserve">datu </w:t>
            </w:r>
            <w:r w:rsidR="00AB56BA" w:rsidRPr="00B72221">
              <w:rPr>
                <w:lang w:val="lv-LV"/>
              </w:rPr>
              <w:t>norādes</w:t>
            </w:r>
            <w:r w:rsidR="00CB2BCA" w:rsidRPr="00B72221">
              <w:rPr>
                <w:lang w:val="lv-LV"/>
              </w:rPr>
              <w:t xml:space="preserve"> </w:t>
            </w:r>
            <w:r w:rsidR="008354BD" w:rsidRPr="00B72221">
              <w:rPr>
                <w:lang w:val="lv-LV"/>
              </w:rPr>
              <w:t xml:space="preserve">informācijā uz zāļu iepakojuma </w:t>
            </w:r>
            <w:r w:rsidR="00CB2BCA" w:rsidRPr="00B72221">
              <w:rPr>
                <w:lang w:val="lv-LV"/>
              </w:rPr>
              <w:t>marķējumā un lietošanas instrukcijā</w:t>
            </w:r>
            <w:r w:rsidR="00CE25E5" w:rsidRPr="00B72221">
              <w:rPr>
                <w:lang w:val="lv-LV"/>
              </w:rPr>
              <w:t>s vienīgi gadījumos</w:t>
            </w:r>
            <w:r w:rsidR="00E33589" w:rsidRPr="00B72221">
              <w:rPr>
                <w:lang w:val="lv-LV"/>
              </w:rPr>
              <w:t xml:space="preserve">, </w:t>
            </w:r>
            <w:r w:rsidR="007635A2" w:rsidRPr="00B72221">
              <w:rPr>
                <w:lang w:val="lv-LV"/>
              </w:rPr>
              <w:t>kad</w:t>
            </w:r>
            <w:r w:rsidR="0031332A" w:rsidRPr="00B72221">
              <w:rPr>
                <w:lang w:val="lv-LV"/>
              </w:rPr>
              <w:t xml:space="preserve"> zāles nav paredzētas piegādei tieši pacientam</w:t>
            </w:r>
            <w:r w:rsidR="00A4146D" w:rsidRPr="00B72221">
              <w:rPr>
                <w:lang w:val="lv-LV"/>
              </w:rPr>
              <w:t xml:space="preserve">, </w:t>
            </w:r>
            <w:r w:rsidR="00CE25E5" w:rsidRPr="00B72221">
              <w:rPr>
                <w:lang w:val="lv-LV"/>
              </w:rPr>
              <w:t>piemēram, zāles piegādā ārstniecības iestādei, kur ārst</w:t>
            </w:r>
            <w:r w:rsidR="00A4146D" w:rsidRPr="00B72221">
              <w:rPr>
                <w:lang w:val="lv-LV"/>
              </w:rPr>
              <w:t>s pēcāk zāles nozīmē pacientiem</w:t>
            </w:r>
            <w:r w:rsidR="001E080D" w:rsidRPr="00B72221">
              <w:rPr>
                <w:lang w:val="lv-LV"/>
              </w:rPr>
              <w:t>,</w:t>
            </w:r>
            <w:r w:rsidR="00870D64" w:rsidRPr="00B72221">
              <w:rPr>
                <w:lang w:val="lv-LV"/>
              </w:rPr>
              <w:t xml:space="preserve"> bet </w:t>
            </w:r>
            <w:r w:rsidR="00CB72DE" w:rsidRPr="00B72221">
              <w:rPr>
                <w:lang w:val="lv-LV"/>
              </w:rPr>
              <w:t xml:space="preserve">Direktīvas Nr.2010/84/ES 1.panta 19.punkta norma </w:t>
            </w:r>
            <w:r w:rsidR="00FF3CF6" w:rsidRPr="00B72221">
              <w:rPr>
                <w:lang w:val="lv-LV"/>
              </w:rPr>
              <w:t xml:space="preserve">paredz šādu atbrīvojumu arī gadījumos, kad ir būtiskas problēmas ar zāļu pieejamību, piemēram, </w:t>
            </w:r>
            <w:r w:rsidR="00884438" w:rsidRPr="00B72221">
              <w:rPr>
                <w:lang w:val="lv-LV"/>
              </w:rPr>
              <w:t>z</w:t>
            </w:r>
            <w:r w:rsidR="0032303C" w:rsidRPr="00B72221">
              <w:rPr>
                <w:lang w:val="lv-LV"/>
              </w:rPr>
              <w:t xml:space="preserve">āles ir nepieciešamas steidzami, </w:t>
            </w:r>
            <w:r w:rsidR="00223097" w:rsidRPr="00B72221">
              <w:rPr>
                <w:lang w:val="lv-LV"/>
              </w:rPr>
              <w:t>lai novērstu</w:t>
            </w:r>
            <w:r w:rsidR="0032303C" w:rsidRPr="00B72221">
              <w:rPr>
                <w:lang w:val="lv-LV"/>
              </w:rPr>
              <w:t xml:space="preserve"> </w:t>
            </w:r>
            <w:r w:rsidR="00223097" w:rsidRPr="00B72221">
              <w:rPr>
                <w:lang w:val="lv-LV"/>
              </w:rPr>
              <w:t>kritiskas situācijas, kad</w:t>
            </w:r>
            <w:r w:rsidR="008354BD" w:rsidRPr="00B72221">
              <w:rPr>
                <w:lang w:val="lv-LV"/>
              </w:rPr>
              <w:t xml:space="preserve"> zāļu nepieejamības dēļ var būt</w:t>
            </w:r>
            <w:r w:rsidR="007C78BD" w:rsidRPr="00B72221">
              <w:rPr>
                <w:lang w:val="lv-LV"/>
              </w:rPr>
              <w:t xml:space="preserve"> </w:t>
            </w:r>
            <w:r w:rsidR="00223097" w:rsidRPr="00B72221">
              <w:rPr>
                <w:lang w:val="lv-LV"/>
              </w:rPr>
              <w:t>apdraudēta pacienta veselība vai dzīvība</w:t>
            </w:r>
            <w:r w:rsidR="007C78BD" w:rsidRPr="00B72221">
              <w:rPr>
                <w:lang w:val="lv-LV"/>
              </w:rPr>
              <w:t>. Šādos gadījumos</w:t>
            </w:r>
            <w:r w:rsidR="0032303C" w:rsidRPr="00B72221">
              <w:rPr>
                <w:lang w:val="lv-LV"/>
              </w:rPr>
              <w:t xml:space="preserve"> </w:t>
            </w:r>
            <w:r w:rsidR="00BB1562" w:rsidRPr="00B72221">
              <w:rPr>
                <w:lang w:val="lv-LV"/>
              </w:rPr>
              <w:t xml:space="preserve">uz konkrētu laiku </w:t>
            </w:r>
            <w:r w:rsidR="007C78BD" w:rsidRPr="00B72221">
              <w:rPr>
                <w:lang w:val="lv-LV"/>
              </w:rPr>
              <w:t xml:space="preserve">attiecīgo zāļu </w:t>
            </w:r>
            <w:r w:rsidR="0032303C" w:rsidRPr="00B72221">
              <w:rPr>
                <w:lang w:val="lv-LV"/>
              </w:rPr>
              <w:t xml:space="preserve">marķējumā un lietošanas instrukcijās </w:t>
            </w:r>
            <w:r w:rsidR="00BB1562" w:rsidRPr="00B72221">
              <w:rPr>
                <w:lang w:val="lv-LV"/>
              </w:rPr>
              <w:t>ir pieļaujams</w:t>
            </w:r>
            <w:r w:rsidR="007C78BD" w:rsidRPr="00B72221">
              <w:rPr>
                <w:lang w:val="lv-LV"/>
              </w:rPr>
              <w:t xml:space="preserve"> </w:t>
            </w:r>
            <w:r w:rsidR="00BB1562" w:rsidRPr="00B72221">
              <w:rPr>
                <w:lang w:val="lv-LV"/>
              </w:rPr>
              <w:t>nenorādīt visus datus</w:t>
            </w:r>
            <w:r w:rsidR="007C78BD" w:rsidRPr="00B72221">
              <w:rPr>
                <w:lang w:val="lv-LV"/>
              </w:rPr>
              <w:t xml:space="preserve"> atbilstoši EK tiesību normām, un k</w:t>
            </w:r>
            <w:r w:rsidR="003B7C58" w:rsidRPr="00B72221">
              <w:rPr>
                <w:lang w:val="lv-LV"/>
              </w:rPr>
              <w:t xml:space="preserve">atru </w:t>
            </w:r>
            <w:r w:rsidR="00BB1562" w:rsidRPr="00B72221">
              <w:rPr>
                <w:lang w:val="lv-LV"/>
              </w:rPr>
              <w:t xml:space="preserve">šādu </w:t>
            </w:r>
            <w:r w:rsidR="003B7C58" w:rsidRPr="00B72221">
              <w:rPr>
                <w:lang w:val="lv-LV"/>
              </w:rPr>
              <w:t>gad</w:t>
            </w:r>
            <w:r w:rsidR="000D24D0" w:rsidRPr="00B72221">
              <w:rPr>
                <w:lang w:val="lv-LV"/>
              </w:rPr>
              <w:t>ījumu valsts kompetentā iestāde</w:t>
            </w:r>
            <w:r w:rsidR="003B7C58" w:rsidRPr="00B72221">
              <w:rPr>
                <w:lang w:val="lv-LV"/>
              </w:rPr>
              <w:t xml:space="preserve"> izvērtē atsevišķi. </w:t>
            </w:r>
            <w:r w:rsidR="00D7023C" w:rsidRPr="00B72221">
              <w:rPr>
                <w:lang w:val="lv-LV"/>
              </w:rPr>
              <w:t>Ja šādos gadījumos kompetentajai iestād</w:t>
            </w:r>
            <w:r w:rsidR="000D24D0" w:rsidRPr="00B72221">
              <w:rPr>
                <w:lang w:val="lv-LV"/>
              </w:rPr>
              <w:t xml:space="preserve">ei </w:t>
            </w:r>
            <w:r w:rsidR="00CC779A" w:rsidRPr="00B72221">
              <w:rPr>
                <w:lang w:val="lv-LV"/>
              </w:rPr>
              <w:t xml:space="preserve">nav </w:t>
            </w:r>
            <w:r w:rsidR="000D24D0" w:rsidRPr="00B72221">
              <w:rPr>
                <w:lang w:val="lv-LV"/>
              </w:rPr>
              <w:t>tiesību piešķirt atbrīvojumu,</w:t>
            </w:r>
            <w:r w:rsidR="00D7023C" w:rsidRPr="00B72221">
              <w:rPr>
                <w:lang w:val="lv-LV"/>
              </w:rPr>
              <w:t xml:space="preserve"> tas</w:t>
            </w:r>
            <w:r w:rsidR="007635A2" w:rsidRPr="00B72221">
              <w:rPr>
                <w:lang w:val="lv-LV"/>
              </w:rPr>
              <w:t xml:space="preserve"> </w:t>
            </w:r>
            <w:r w:rsidR="00CC779A" w:rsidRPr="00B72221">
              <w:rPr>
                <w:lang w:val="lv-LV"/>
              </w:rPr>
              <w:t xml:space="preserve">var radīt </w:t>
            </w:r>
            <w:r w:rsidR="007635A2" w:rsidRPr="00B72221">
              <w:rPr>
                <w:lang w:val="lv-LV"/>
              </w:rPr>
              <w:t xml:space="preserve">būtiskas problēmas </w:t>
            </w:r>
            <w:r w:rsidR="00CC779A" w:rsidRPr="00B72221">
              <w:rPr>
                <w:lang w:val="lv-LV"/>
              </w:rPr>
              <w:t>zāļu pieejamības aspektā</w:t>
            </w:r>
            <w:r w:rsidR="007635A2" w:rsidRPr="00B72221">
              <w:rPr>
                <w:lang w:val="lv-LV"/>
              </w:rPr>
              <w:t xml:space="preserve">. </w:t>
            </w:r>
            <w:r w:rsidR="00D7023C" w:rsidRPr="00B72221">
              <w:rPr>
                <w:lang w:val="lv-LV"/>
              </w:rPr>
              <w:t xml:space="preserve">Tas attiecas arī uz </w:t>
            </w:r>
            <w:r w:rsidR="00D7023C" w:rsidRPr="00B72221">
              <w:rPr>
                <w:lang w:val="lv-LV"/>
              </w:rPr>
              <w:lastRenderedPageBreak/>
              <w:t xml:space="preserve">gadījumiem, kad zāles ir nepieciešamas medicīniskās palīdzības sniegšanai katastrofas, dabas stihijas vai epidēmijas gadījumā. </w:t>
            </w:r>
            <w:r w:rsidR="004B57F7" w:rsidRPr="00B72221">
              <w:rPr>
                <w:lang w:val="lv-LV"/>
              </w:rPr>
              <w:t>A</w:t>
            </w:r>
            <w:r w:rsidR="00D77F29" w:rsidRPr="00B72221">
              <w:rPr>
                <w:lang w:val="lv-LV"/>
              </w:rPr>
              <w:t xml:space="preserve">tbrīvojums ir </w:t>
            </w:r>
            <w:r w:rsidR="00027F8B" w:rsidRPr="00B72221">
              <w:rPr>
                <w:lang w:val="lv-LV"/>
              </w:rPr>
              <w:t xml:space="preserve">pamatojams ar </w:t>
            </w:r>
            <w:r w:rsidR="005D5B87" w:rsidRPr="00B72221">
              <w:rPr>
                <w:lang w:val="lv-LV"/>
              </w:rPr>
              <w:t>sabiedrīb</w:t>
            </w:r>
            <w:r w:rsidR="00D77F29" w:rsidRPr="00B72221">
              <w:rPr>
                <w:lang w:val="lv-LV"/>
              </w:rPr>
              <w:t xml:space="preserve">as veselības aizsardzības </w:t>
            </w:r>
            <w:r w:rsidR="00900E7C" w:rsidRPr="00B72221">
              <w:rPr>
                <w:lang w:val="lv-LV"/>
              </w:rPr>
              <w:t>apsvērumiem</w:t>
            </w:r>
            <w:r w:rsidR="00323EEF" w:rsidRPr="00B72221">
              <w:rPr>
                <w:lang w:val="lv-LV"/>
              </w:rPr>
              <w:t>,</w:t>
            </w:r>
            <w:r w:rsidR="005D5B87" w:rsidRPr="00B72221">
              <w:rPr>
                <w:lang w:val="lv-LV"/>
              </w:rPr>
              <w:t xml:space="preserve"> </w:t>
            </w:r>
            <w:r w:rsidR="00900E7C" w:rsidRPr="00B72221">
              <w:rPr>
                <w:lang w:val="lv-LV"/>
              </w:rPr>
              <w:t xml:space="preserve">kas EK tiesību nomās un MK noteikumos Nr.57 </w:t>
            </w:r>
            <w:r w:rsidR="002F5B5D" w:rsidRPr="00B72221">
              <w:rPr>
                <w:lang w:val="lv-LV"/>
              </w:rPr>
              <w:t xml:space="preserve">līdz šim </w:t>
            </w:r>
            <w:r w:rsidR="00900E7C" w:rsidRPr="00B72221">
              <w:rPr>
                <w:lang w:val="lv-LV"/>
              </w:rPr>
              <w:t xml:space="preserve">nebija </w:t>
            </w:r>
            <w:r w:rsidR="002F5B5D" w:rsidRPr="00B72221">
              <w:rPr>
                <w:lang w:val="lv-LV"/>
              </w:rPr>
              <w:t>akcentēts</w:t>
            </w:r>
            <w:r w:rsidR="006762C0" w:rsidRPr="00B72221">
              <w:rPr>
                <w:lang w:val="lv-LV"/>
              </w:rPr>
              <w:t>, piemēram,</w:t>
            </w:r>
            <w:r w:rsidR="00900E7C" w:rsidRPr="00B72221">
              <w:rPr>
                <w:lang w:val="lv-LV"/>
              </w:rPr>
              <w:t xml:space="preserve"> </w:t>
            </w:r>
            <w:r w:rsidR="006762C0" w:rsidRPr="00B72221">
              <w:rPr>
                <w:lang w:val="lv-LV"/>
              </w:rPr>
              <w:t xml:space="preserve">ja nav pieejamas </w:t>
            </w:r>
            <w:r w:rsidR="009F0F34" w:rsidRPr="00B72221">
              <w:rPr>
                <w:lang w:val="lv-LV"/>
              </w:rPr>
              <w:t>dzīvībai svarīgas</w:t>
            </w:r>
            <w:r w:rsidR="006762C0" w:rsidRPr="00B72221">
              <w:rPr>
                <w:lang w:val="lv-LV"/>
              </w:rPr>
              <w:t xml:space="preserve"> zāles</w:t>
            </w:r>
            <w:r w:rsidR="001A3A5B" w:rsidRPr="00B72221">
              <w:rPr>
                <w:lang w:val="lv-LV"/>
              </w:rPr>
              <w:t xml:space="preserve"> (a</w:t>
            </w:r>
            <w:r w:rsidR="006762C0" w:rsidRPr="00B72221">
              <w:rPr>
                <w:lang w:val="lv-LV"/>
              </w:rPr>
              <w:t>drenalīns), narkotiskās zāles, zāles</w:t>
            </w:r>
            <w:r w:rsidR="001A3A5B" w:rsidRPr="00B72221">
              <w:rPr>
                <w:lang w:val="lv-LV"/>
              </w:rPr>
              <w:t xml:space="preserve"> tuberkulozes </w:t>
            </w:r>
            <w:r w:rsidR="006762C0" w:rsidRPr="00B72221">
              <w:rPr>
                <w:lang w:val="lv-LV"/>
              </w:rPr>
              <w:t>ārstēšanai, vakcīnas, jaunas</w:t>
            </w:r>
            <w:r w:rsidR="001548C1" w:rsidRPr="00B72221">
              <w:rPr>
                <w:lang w:val="lv-LV"/>
              </w:rPr>
              <w:t xml:space="preserve"> centralizēti</w:t>
            </w:r>
            <w:r w:rsidR="006762C0" w:rsidRPr="00B72221">
              <w:rPr>
                <w:lang w:val="lv-LV"/>
              </w:rPr>
              <w:t xml:space="preserve"> reģistrējamas zāles</w:t>
            </w:r>
            <w:r w:rsidR="001A3A5B" w:rsidRPr="00B72221">
              <w:rPr>
                <w:lang w:val="lv-LV"/>
              </w:rPr>
              <w:t xml:space="preserve">, </w:t>
            </w:r>
            <w:r w:rsidR="001548C1" w:rsidRPr="00B72221">
              <w:rPr>
                <w:lang w:val="lv-LV"/>
              </w:rPr>
              <w:t>onkoloģisko</w:t>
            </w:r>
            <w:r w:rsidR="006762C0" w:rsidRPr="00B72221">
              <w:rPr>
                <w:lang w:val="lv-LV"/>
              </w:rPr>
              <w:t xml:space="preserve"> slimību ārstēšanai paredzētās zāles</w:t>
            </w:r>
            <w:r w:rsidR="001548C1" w:rsidRPr="00B72221">
              <w:rPr>
                <w:lang w:val="lv-LV"/>
              </w:rPr>
              <w:t xml:space="preserve">, </w:t>
            </w:r>
            <w:proofErr w:type="spellStart"/>
            <w:r w:rsidR="006762C0" w:rsidRPr="00B72221">
              <w:rPr>
                <w:lang w:val="lv-LV"/>
              </w:rPr>
              <w:t>anestētiķi</w:t>
            </w:r>
            <w:proofErr w:type="spellEnd"/>
            <w:r w:rsidR="00804521" w:rsidRPr="00B72221">
              <w:rPr>
                <w:lang w:val="lv-LV"/>
              </w:rPr>
              <w:t xml:space="preserve">, </w:t>
            </w:r>
            <w:r w:rsidR="00844138" w:rsidRPr="00B72221">
              <w:rPr>
                <w:lang w:val="lv-LV"/>
              </w:rPr>
              <w:t xml:space="preserve">kompensējamās zāles, </w:t>
            </w:r>
            <w:r w:rsidR="006762C0" w:rsidRPr="00B72221">
              <w:rPr>
                <w:lang w:val="lv-LV"/>
              </w:rPr>
              <w:t xml:space="preserve">un </w:t>
            </w:r>
            <w:r w:rsidR="005575FC" w:rsidRPr="00B72221">
              <w:rPr>
                <w:lang w:val="lv-LV"/>
              </w:rPr>
              <w:t>situācijās, kad</w:t>
            </w:r>
            <w:r w:rsidR="00804521" w:rsidRPr="00B72221">
              <w:rPr>
                <w:lang w:val="lv-LV"/>
              </w:rPr>
              <w:t>:</w:t>
            </w:r>
          </w:p>
          <w:p w:rsidR="00CC7627" w:rsidRPr="00B72221" w:rsidRDefault="00CC7627" w:rsidP="00160038">
            <w:pPr>
              <w:pStyle w:val="CM4"/>
              <w:spacing w:before="60" w:after="60"/>
              <w:jc w:val="both"/>
              <w:rPr>
                <w:lang w:val="lv-LV"/>
              </w:rPr>
            </w:pPr>
            <w:r w:rsidRPr="00B72221">
              <w:rPr>
                <w:lang w:val="lv-LV"/>
              </w:rPr>
              <w:t>-</w:t>
            </w:r>
            <w:r w:rsidR="00B331D1" w:rsidRPr="00B72221">
              <w:rPr>
                <w:lang w:val="lv-LV"/>
              </w:rPr>
              <w:t> </w:t>
            </w:r>
            <w:r w:rsidR="00A007F3" w:rsidRPr="00B72221">
              <w:rPr>
                <w:lang w:val="lv-LV"/>
              </w:rPr>
              <w:t xml:space="preserve">zāles nav reģistrētas Latvijā, bet ir </w:t>
            </w:r>
            <w:r w:rsidR="00386733" w:rsidRPr="00B72221">
              <w:rPr>
                <w:lang w:val="lv-LV"/>
              </w:rPr>
              <w:t xml:space="preserve">reģistrēts citā valstī, </w:t>
            </w:r>
            <w:r w:rsidR="00870D64" w:rsidRPr="00B72221">
              <w:rPr>
                <w:lang w:val="lv-LV"/>
              </w:rPr>
              <w:t>un</w:t>
            </w:r>
            <w:r w:rsidR="00865A61" w:rsidRPr="00B72221">
              <w:rPr>
                <w:lang w:val="lv-LV"/>
              </w:rPr>
              <w:t xml:space="preserve"> ražotājfirma nav griezusies Latvijā, lai </w:t>
            </w:r>
            <w:r w:rsidR="00870D64" w:rsidRPr="00B72221">
              <w:rPr>
                <w:lang w:val="lv-LV"/>
              </w:rPr>
              <w:t>zāles</w:t>
            </w:r>
            <w:r w:rsidR="00865A61" w:rsidRPr="00B72221">
              <w:rPr>
                <w:lang w:val="lv-LV"/>
              </w:rPr>
              <w:t xml:space="preserve"> reģistr</w:t>
            </w:r>
            <w:r w:rsidRPr="00B72221">
              <w:rPr>
                <w:lang w:val="lv-LV"/>
              </w:rPr>
              <w:t>ētu</w:t>
            </w:r>
            <w:r w:rsidR="002469F1" w:rsidRPr="00B72221">
              <w:rPr>
                <w:lang w:val="lv-LV"/>
              </w:rPr>
              <w:t>, vai z</w:t>
            </w:r>
            <w:r w:rsidRPr="00B72221">
              <w:rPr>
                <w:lang w:val="lv-LV"/>
              </w:rPr>
              <w:t xml:space="preserve">āles </w:t>
            </w:r>
            <w:r w:rsidR="002469F1" w:rsidRPr="00B72221">
              <w:rPr>
                <w:lang w:val="lv-LV"/>
              </w:rPr>
              <w:t>ir</w:t>
            </w:r>
            <w:r w:rsidRPr="00B72221">
              <w:rPr>
                <w:lang w:val="lv-LV"/>
              </w:rPr>
              <w:t xml:space="preserve"> reģistrētas, bet netiek laistas tirgū Latvijā,</w:t>
            </w:r>
            <w:r w:rsidR="005575FC" w:rsidRPr="00B72221">
              <w:rPr>
                <w:lang w:val="lv-LV"/>
              </w:rPr>
              <w:t xml:space="preserve"> vai zālēm ir kvalitātes defekti vai ražotne tiek slēgta, vai zāles izmanto aktīvās vielas, kura piegādēs ir pārtraukumi, vai</w:t>
            </w:r>
          </w:p>
          <w:p w:rsidR="009767FD" w:rsidRPr="00B72221" w:rsidRDefault="00B331D1" w:rsidP="00DC6A47">
            <w:pPr>
              <w:jc w:val="both"/>
              <w:rPr>
                <w:lang w:val="lv-LV"/>
              </w:rPr>
            </w:pPr>
            <w:r w:rsidRPr="00B72221">
              <w:rPr>
                <w:lang w:val="lv-LV"/>
              </w:rPr>
              <w:t>- </w:t>
            </w:r>
            <w:r w:rsidR="008B1022" w:rsidRPr="00B72221">
              <w:rPr>
                <w:lang w:val="lv-LV"/>
              </w:rPr>
              <w:t>zāļu piegādēs ir pārt</w:t>
            </w:r>
            <w:r w:rsidR="00B155A7" w:rsidRPr="00B72221">
              <w:rPr>
                <w:lang w:val="lv-LV"/>
              </w:rPr>
              <w:t xml:space="preserve">raukumi vai </w:t>
            </w:r>
            <w:r w:rsidR="00552F07" w:rsidRPr="00B72221">
              <w:rPr>
                <w:lang w:val="lv-LV"/>
              </w:rPr>
              <w:t>ražotājfirma pēkšņi ir mainījusi zāļu iepakojumu</w:t>
            </w:r>
            <w:r w:rsidR="00870D64" w:rsidRPr="00B72221">
              <w:rPr>
                <w:lang w:val="lv-LV"/>
              </w:rPr>
              <w:t>,</w:t>
            </w:r>
            <w:r w:rsidR="00C93976" w:rsidRPr="00B72221">
              <w:rPr>
                <w:lang w:val="lv-LV"/>
              </w:rPr>
              <w:t xml:space="preserve"> </w:t>
            </w:r>
            <w:r w:rsidR="00552F07" w:rsidRPr="00B72221">
              <w:rPr>
                <w:lang w:val="lv-LV"/>
              </w:rPr>
              <w:t>uz kur</w:t>
            </w:r>
            <w:r w:rsidR="00870D64" w:rsidRPr="00B72221">
              <w:rPr>
                <w:lang w:val="lv-LV"/>
              </w:rPr>
              <w:t>a</w:t>
            </w:r>
            <w:r w:rsidR="00552F07" w:rsidRPr="00B72221">
              <w:rPr>
                <w:lang w:val="lv-LV"/>
              </w:rPr>
              <w:t xml:space="preserve"> nav iespiesta informācija</w:t>
            </w:r>
            <w:r w:rsidR="002469F1" w:rsidRPr="00B72221">
              <w:rPr>
                <w:lang w:val="lv-LV"/>
              </w:rPr>
              <w:t>, piemēram visās oficiālajās</w:t>
            </w:r>
            <w:r w:rsidR="00552F07" w:rsidRPr="00B72221">
              <w:rPr>
                <w:lang w:val="lv-LV"/>
              </w:rPr>
              <w:t xml:space="preserve"> valsts valodā</w:t>
            </w:r>
            <w:r w:rsidR="002469F1" w:rsidRPr="00B72221">
              <w:rPr>
                <w:lang w:val="lv-LV"/>
              </w:rPr>
              <w:t>s</w:t>
            </w:r>
            <w:r w:rsidR="00870D64" w:rsidRPr="00B72221">
              <w:rPr>
                <w:lang w:val="lv-LV"/>
              </w:rPr>
              <w:t>,</w:t>
            </w:r>
            <w:r w:rsidR="00384E7C" w:rsidRPr="00B72221">
              <w:rPr>
                <w:lang w:val="lv-LV"/>
              </w:rPr>
              <w:t xml:space="preserve"> vai ir izmaiņas zāļu piegādes ķēdē un </w:t>
            </w:r>
            <w:r w:rsidR="00844138" w:rsidRPr="00B72221">
              <w:rPr>
                <w:lang w:val="lv-LV"/>
              </w:rPr>
              <w:t>importēto zāļu marķējumā un lietošanas instrukcijās norādītā valoda neatbilst apstiprinātajam zāļu marķējumam un lietošanas instrukcijai reģistrācijas dokumentācijā</w:t>
            </w:r>
            <w:r w:rsidR="00DC6A47" w:rsidRPr="00B72221">
              <w:rPr>
                <w:lang w:val="lv-LV"/>
              </w:rPr>
              <w:t>.</w:t>
            </w:r>
          </w:p>
          <w:p w:rsidR="00070ED8" w:rsidRPr="00B72221" w:rsidRDefault="00070ED8" w:rsidP="00160038">
            <w:pPr>
              <w:jc w:val="both"/>
              <w:rPr>
                <w:lang w:val="lv-LV"/>
              </w:rPr>
            </w:pPr>
          </w:p>
          <w:p w:rsidR="00070ED8" w:rsidRPr="00B72221" w:rsidRDefault="00070ED8" w:rsidP="00160038">
            <w:pPr>
              <w:jc w:val="both"/>
              <w:rPr>
                <w:lang w:val="lv-LV"/>
              </w:rPr>
            </w:pPr>
            <w:r w:rsidRPr="00B72221">
              <w:rPr>
                <w:lang w:val="lv-LV"/>
              </w:rPr>
              <w:t xml:space="preserve">2. Pašlaik MK noteikumu Nr.57 14.8.apakšpunkta norma paredz zāļu lietošanas instrukcijā norādīt zālēm identifikācijas numuru, kuru tām piešķir Zāļu valsts </w:t>
            </w:r>
            <w:r w:rsidR="00094B8B" w:rsidRPr="00B72221">
              <w:rPr>
                <w:lang w:val="lv-LV"/>
              </w:rPr>
              <w:t xml:space="preserve">aģentūra, kas ir uzskatāms </w:t>
            </w:r>
            <w:r w:rsidRPr="00B72221">
              <w:rPr>
                <w:lang w:val="lv-LV"/>
              </w:rPr>
              <w:t xml:space="preserve">zāļu reģistrācijas īpašniekiem </w:t>
            </w:r>
            <w:r w:rsidR="00094B8B" w:rsidRPr="00B72221">
              <w:rPr>
                <w:lang w:val="lv-LV"/>
              </w:rPr>
              <w:t>par administratīvo slo</w:t>
            </w:r>
            <w:r w:rsidR="009A1B06" w:rsidRPr="00B72221">
              <w:rPr>
                <w:lang w:val="lv-LV"/>
              </w:rPr>
              <w:t>gu. Līdz ar to MK noteikumi Nr.</w:t>
            </w:r>
            <w:r w:rsidR="00094B8B" w:rsidRPr="00B72221">
              <w:rPr>
                <w:lang w:val="lv-LV"/>
              </w:rPr>
              <w:t>57 ir jāprecizē</w:t>
            </w:r>
            <w:r w:rsidR="001665E7" w:rsidRPr="00B72221">
              <w:rPr>
                <w:lang w:val="lv-LV"/>
              </w:rPr>
              <w:t>,</w:t>
            </w:r>
            <w:r w:rsidR="00094B8B" w:rsidRPr="00B72221">
              <w:rPr>
                <w:lang w:val="lv-LV"/>
              </w:rPr>
              <w:t xml:space="preserve"> </w:t>
            </w:r>
            <w:r w:rsidRPr="00B72221">
              <w:rPr>
                <w:lang w:val="lv-LV"/>
              </w:rPr>
              <w:t>svītrojot</w:t>
            </w:r>
            <w:r w:rsidR="00094B8B" w:rsidRPr="00B72221">
              <w:rPr>
                <w:lang w:val="lv-LV"/>
              </w:rPr>
              <w:t xml:space="preserve"> 14.8.apakšpunkta normu.</w:t>
            </w:r>
          </w:p>
          <w:p w:rsidR="00094B8B" w:rsidRPr="00B72221" w:rsidRDefault="00094B8B" w:rsidP="00160038">
            <w:pPr>
              <w:jc w:val="both"/>
              <w:rPr>
                <w:lang w:val="lv-LV"/>
              </w:rPr>
            </w:pPr>
          </w:p>
          <w:p w:rsidR="00376763" w:rsidRPr="00B72221" w:rsidRDefault="00070ED8" w:rsidP="00160038">
            <w:pPr>
              <w:jc w:val="both"/>
              <w:rPr>
                <w:bCs/>
                <w:lang w:val="lv-LV"/>
              </w:rPr>
            </w:pPr>
            <w:r w:rsidRPr="00B72221">
              <w:rPr>
                <w:lang w:val="lv-LV"/>
              </w:rPr>
              <w:t>3</w:t>
            </w:r>
            <w:r w:rsidR="000846B6" w:rsidRPr="00B72221">
              <w:rPr>
                <w:lang w:val="lv-LV"/>
              </w:rPr>
              <w:t>. </w:t>
            </w:r>
            <w:r w:rsidR="008D10FC" w:rsidRPr="00B72221">
              <w:rPr>
                <w:lang w:val="lv-LV"/>
              </w:rPr>
              <w:t>MK noteikumos</w:t>
            </w:r>
            <w:r w:rsidR="005B7F01" w:rsidRPr="00B72221">
              <w:rPr>
                <w:lang w:val="lv-LV"/>
              </w:rPr>
              <w:t xml:space="preserve"> Nr.</w:t>
            </w:r>
            <w:r w:rsidR="002B667F" w:rsidRPr="00B72221">
              <w:rPr>
                <w:lang w:val="lv-LV"/>
              </w:rPr>
              <w:t>57</w:t>
            </w:r>
            <w:r w:rsidR="005B7F01" w:rsidRPr="00B72221">
              <w:rPr>
                <w:lang w:val="lv-LV"/>
              </w:rPr>
              <w:t xml:space="preserve"> ir redakcionāli jāprecizē </w:t>
            </w:r>
            <w:r w:rsidR="002B0817" w:rsidRPr="00B72221">
              <w:rPr>
                <w:lang w:val="lv-LV"/>
              </w:rPr>
              <w:t xml:space="preserve">terminoloģija </w:t>
            </w:r>
            <w:r w:rsidR="005B7F01" w:rsidRPr="00B72221">
              <w:rPr>
                <w:lang w:val="lv-LV"/>
              </w:rPr>
              <w:t>atbilstoši Ministru ka</w:t>
            </w:r>
            <w:r w:rsidR="006239AF" w:rsidRPr="00B72221">
              <w:rPr>
                <w:lang w:val="lv-LV"/>
              </w:rPr>
              <w:t>bineta 2009. gada 3</w:t>
            </w:r>
            <w:r w:rsidR="005B7F01" w:rsidRPr="00B72221">
              <w:rPr>
                <w:lang w:val="lv-LV"/>
              </w:rPr>
              <w:t xml:space="preserve"> februāra noteikumu Nr. 108 ”Normatīvo aktu projektu sagatavošanas noteikumi” </w:t>
            </w:r>
            <w:r w:rsidR="00F42504" w:rsidRPr="00B72221">
              <w:rPr>
                <w:bCs/>
                <w:lang w:val="lv-LV"/>
              </w:rPr>
              <w:t>(turpmāk -</w:t>
            </w:r>
            <w:r w:rsidR="005B7F01" w:rsidRPr="00B72221">
              <w:rPr>
                <w:bCs/>
                <w:lang w:val="lv-LV"/>
              </w:rPr>
              <w:t> MK noteikumi Nr.108)</w:t>
            </w:r>
            <w:r w:rsidR="00A248F5" w:rsidRPr="00B72221">
              <w:rPr>
                <w:bCs/>
                <w:lang w:val="lv-LV"/>
              </w:rPr>
              <w:t xml:space="preserve"> 2.2</w:t>
            </w:r>
            <w:r w:rsidR="00967ABA" w:rsidRPr="00B72221">
              <w:rPr>
                <w:bCs/>
                <w:lang w:val="lv-LV"/>
              </w:rPr>
              <w:t>.apakšpunktam</w:t>
            </w:r>
            <w:r w:rsidR="002B0817" w:rsidRPr="00B72221">
              <w:rPr>
                <w:bCs/>
                <w:lang w:val="lv-LV"/>
              </w:rPr>
              <w:t>.</w:t>
            </w:r>
          </w:p>
        </w:tc>
      </w:tr>
      <w:tr w:rsidR="00CB2893" w:rsidRPr="001A74EC" w:rsidTr="00164724">
        <w:tc>
          <w:tcPr>
            <w:tcW w:w="426" w:type="dxa"/>
          </w:tcPr>
          <w:p w:rsidR="00CB2893" w:rsidRPr="001A74EC" w:rsidRDefault="00CB2893" w:rsidP="00E20041">
            <w:pPr>
              <w:rPr>
                <w:lang w:val="lv-LV"/>
              </w:rPr>
            </w:pPr>
            <w:r w:rsidRPr="001A74EC">
              <w:rPr>
                <w:lang w:val="lv-LV"/>
              </w:rPr>
              <w:lastRenderedPageBreak/>
              <w:t xml:space="preserve">3. </w:t>
            </w:r>
          </w:p>
        </w:tc>
        <w:tc>
          <w:tcPr>
            <w:tcW w:w="1525" w:type="dxa"/>
          </w:tcPr>
          <w:p w:rsidR="00CB2893" w:rsidRPr="001A74EC" w:rsidRDefault="00CB2893" w:rsidP="00E20041">
            <w:pPr>
              <w:jc w:val="both"/>
              <w:rPr>
                <w:lang w:val="lv-LV"/>
              </w:rPr>
            </w:pPr>
            <w:r w:rsidRPr="001A74EC">
              <w:rPr>
                <w:lang w:val="lv-LV"/>
              </w:rPr>
              <w:t>Saistītie politikas ietekmes novērtējumi un pētījumi</w:t>
            </w:r>
          </w:p>
        </w:tc>
        <w:tc>
          <w:tcPr>
            <w:tcW w:w="7371" w:type="dxa"/>
          </w:tcPr>
          <w:p w:rsidR="00CB2893" w:rsidRPr="001A74EC" w:rsidRDefault="002E1D0A" w:rsidP="00E20041">
            <w:pPr>
              <w:autoSpaceDE w:val="0"/>
              <w:autoSpaceDN w:val="0"/>
              <w:adjustRightInd w:val="0"/>
              <w:jc w:val="both"/>
              <w:rPr>
                <w:lang w:val="lv-LV"/>
              </w:rPr>
            </w:pPr>
            <w:proofErr w:type="spellStart"/>
            <w:r w:rsidRPr="001A74EC">
              <w:t>Projekts</w:t>
            </w:r>
            <w:proofErr w:type="spellEnd"/>
            <w:r w:rsidRPr="001A74EC">
              <w:t xml:space="preserve"> </w:t>
            </w:r>
            <w:proofErr w:type="spellStart"/>
            <w:r w:rsidRPr="001A74EC">
              <w:t>šo</w:t>
            </w:r>
            <w:proofErr w:type="spellEnd"/>
            <w:r w:rsidRPr="001A74EC">
              <w:t xml:space="preserve"> </w:t>
            </w:r>
            <w:proofErr w:type="spellStart"/>
            <w:r w:rsidRPr="001A74EC">
              <w:t>jomu</w:t>
            </w:r>
            <w:proofErr w:type="spellEnd"/>
            <w:r w:rsidRPr="001A74EC">
              <w:t xml:space="preserve"> </w:t>
            </w:r>
            <w:proofErr w:type="spellStart"/>
            <w:r w:rsidRPr="001A74EC">
              <w:t>neskar</w:t>
            </w:r>
            <w:proofErr w:type="spellEnd"/>
          </w:p>
        </w:tc>
      </w:tr>
      <w:tr w:rsidR="00CB2893" w:rsidRPr="001A74EC" w:rsidTr="00164724">
        <w:tc>
          <w:tcPr>
            <w:tcW w:w="426" w:type="dxa"/>
          </w:tcPr>
          <w:p w:rsidR="00CB2893" w:rsidRPr="001A74EC" w:rsidRDefault="00CB2893" w:rsidP="00E20041">
            <w:pPr>
              <w:rPr>
                <w:lang w:val="lv-LV"/>
              </w:rPr>
            </w:pPr>
            <w:r w:rsidRPr="001A74EC">
              <w:rPr>
                <w:lang w:val="lv-LV"/>
              </w:rPr>
              <w:t>4.</w:t>
            </w:r>
          </w:p>
        </w:tc>
        <w:tc>
          <w:tcPr>
            <w:tcW w:w="1525" w:type="dxa"/>
          </w:tcPr>
          <w:p w:rsidR="00CB2893" w:rsidRPr="001A74EC" w:rsidRDefault="00CB2893" w:rsidP="00E20041">
            <w:pPr>
              <w:jc w:val="both"/>
              <w:rPr>
                <w:lang w:val="lv-LV"/>
              </w:rPr>
            </w:pPr>
            <w:r w:rsidRPr="001A74EC">
              <w:rPr>
                <w:lang w:val="lv-LV"/>
              </w:rPr>
              <w:t>Tiesiskā regulējuma mērķis un būtība</w:t>
            </w:r>
          </w:p>
        </w:tc>
        <w:tc>
          <w:tcPr>
            <w:tcW w:w="7371" w:type="dxa"/>
          </w:tcPr>
          <w:p w:rsidR="00952728" w:rsidRPr="001A74EC" w:rsidRDefault="00952728" w:rsidP="002E2A00">
            <w:pPr>
              <w:pStyle w:val="naisf"/>
              <w:spacing w:before="0" w:beforeAutospacing="0" w:after="0" w:afterAutospacing="0"/>
              <w:jc w:val="both"/>
              <w:rPr>
                <w:lang w:val="lv-LV"/>
              </w:rPr>
            </w:pPr>
            <w:r w:rsidRPr="001A74EC">
              <w:rPr>
                <w:lang w:val="lv-LV"/>
              </w:rPr>
              <w:t>Noteikumu projekta tiesiskā regulējuma mērķis ir ieviest Direktīvas Nr.2010/84/ES prasības attiecībā uz informāciju zāļu lietošanas instrukcijā</w:t>
            </w:r>
            <w:r w:rsidR="0077497C" w:rsidRPr="001A74EC">
              <w:rPr>
                <w:lang w:val="lv-LV"/>
              </w:rPr>
              <w:t>, kā arī</w:t>
            </w:r>
            <w:r w:rsidRPr="001A74EC">
              <w:rPr>
                <w:lang w:val="lv-LV"/>
              </w:rPr>
              <w:t xml:space="preserve"> precizēt terminoloģiju.</w:t>
            </w:r>
            <w:r w:rsidR="001665E7">
              <w:rPr>
                <w:lang w:val="lv-LV"/>
              </w:rPr>
              <w:t xml:space="preserve"> </w:t>
            </w:r>
            <w:r w:rsidRPr="001A74EC">
              <w:rPr>
                <w:lang w:val="lv-LV"/>
              </w:rPr>
              <w:t>Noteikumu projekts paredz:</w:t>
            </w:r>
          </w:p>
          <w:p w:rsidR="001E080D" w:rsidRPr="001A74EC" w:rsidRDefault="002E2A00" w:rsidP="00242A09">
            <w:pPr>
              <w:pStyle w:val="naisf"/>
              <w:spacing w:before="0" w:beforeAutospacing="0" w:after="0" w:afterAutospacing="0"/>
              <w:jc w:val="both"/>
              <w:rPr>
                <w:lang w:val="lv-LV"/>
              </w:rPr>
            </w:pPr>
            <w:r w:rsidRPr="001A74EC">
              <w:rPr>
                <w:lang w:val="lv-LV"/>
              </w:rPr>
              <w:t>1.</w:t>
            </w:r>
            <w:r w:rsidR="00C21E53" w:rsidRPr="001A74EC">
              <w:rPr>
                <w:lang w:val="lv-LV"/>
              </w:rPr>
              <w:t> </w:t>
            </w:r>
            <w:r w:rsidR="00B416D7" w:rsidRPr="001A74EC">
              <w:rPr>
                <w:lang w:val="lv-LV"/>
              </w:rPr>
              <w:t>Novērts</w:t>
            </w:r>
            <w:r w:rsidR="00173B68" w:rsidRPr="001A74EC">
              <w:rPr>
                <w:lang w:val="lv-LV"/>
              </w:rPr>
              <w:t xml:space="preserve"> zāļu </w:t>
            </w:r>
            <w:r w:rsidR="00B416D7" w:rsidRPr="001A74EC">
              <w:rPr>
                <w:lang w:val="lv-LV"/>
              </w:rPr>
              <w:t>pieejamības samazinā</w:t>
            </w:r>
            <w:r w:rsidR="00C87B68" w:rsidRPr="001A74EC">
              <w:rPr>
                <w:lang w:val="lv-LV"/>
              </w:rPr>
              <w:t>šanas risku</w:t>
            </w:r>
            <w:r w:rsidR="00B416D7" w:rsidRPr="001A74EC">
              <w:rPr>
                <w:lang w:val="lv-LV"/>
              </w:rPr>
              <w:t xml:space="preserve"> </w:t>
            </w:r>
            <w:r w:rsidRPr="001A74EC">
              <w:rPr>
                <w:lang w:val="lv-LV"/>
              </w:rPr>
              <w:t>(Noteikumu projekta 1.punkts).</w:t>
            </w:r>
          </w:p>
          <w:p w:rsidR="00E131DC" w:rsidRPr="001A74EC" w:rsidRDefault="00E131DC" w:rsidP="008F2C67">
            <w:pPr>
              <w:jc w:val="both"/>
              <w:rPr>
                <w:lang w:val="lv-LV"/>
              </w:rPr>
            </w:pPr>
          </w:p>
          <w:p w:rsidR="00E131DC" w:rsidRPr="00D3013A" w:rsidRDefault="002E2A00" w:rsidP="00AD76B4">
            <w:pPr>
              <w:pStyle w:val="Bezatstarpm"/>
              <w:jc w:val="both"/>
              <w:rPr>
                <w:rFonts w:ascii="Times New Roman" w:hAnsi="Times New Roman"/>
                <w:sz w:val="24"/>
                <w:szCs w:val="24"/>
              </w:rPr>
            </w:pPr>
            <w:r w:rsidRPr="001A74EC">
              <w:t>2.</w:t>
            </w:r>
            <w:r w:rsidR="00474B43" w:rsidRPr="001A74EC">
              <w:t> </w:t>
            </w:r>
            <w:r w:rsidR="00A61210" w:rsidRPr="00AD76B4">
              <w:rPr>
                <w:rFonts w:ascii="Times New Roman" w:hAnsi="Times New Roman"/>
                <w:sz w:val="24"/>
                <w:szCs w:val="24"/>
              </w:rPr>
              <w:t>I</w:t>
            </w:r>
            <w:r w:rsidRPr="00AD76B4">
              <w:rPr>
                <w:rFonts w:ascii="Times New Roman" w:hAnsi="Times New Roman"/>
                <w:sz w:val="24"/>
                <w:szCs w:val="24"/>
              </w:rPr>
              <w:t xml:space="preserve">eviest zālēm </w:t>
            </w:r>
            <w:r w:rsidR="00426D06" w:rsidRPr="00AD76B4">
              <w:rPr>
                <w:rFonts w:ascii="Times New Roman" w:hAnsi="Times New Roman"/>
                <w:sz w:val="24"/>
                <w:szCs w:val="24"/>
              </w:rPr>
              <w:t xml:space="preserve">lietošanas instrukcijās </w:t>
            </w:r>
            <w:r w:rsidR="002019E0" w:rsidRPr="00AD76B4">
              <w:rPr>
                <w:rFonts w:ascii="Times New Roman" w:hAnsi="Times New Roman"/>
                <w:sz w:val="24"/>
                <w:szCs w:val="24"/>
              </w:rPr>
              <w:t>norādi par paziņošanu par blakusparādībām</w:t>
            </w:r>
            <w:r w:rsidR="009B02E9" w:rsidRPr="00AD76B4">
              <w:rPr>
                <w:rFonts w:ascii="Times New Roman" w:hAnsi="Times New Roman"/>
                <w:sz w:val="24"/>
                <w:szCs w:val="24"/>
              </w:rPr>
              <w:t xml:space="preserve"> </w:t>
            </w:r>
            <w:r w:rsidR="00426D06" w:rsidRPr="00AD76B4">
              <w:rPr>
                <w:rFonts w:ascii="Times New Roman" w:hAnsi="Times New Roman"/>
                <w:sz w:val="24"/>
                <w:szCs w:val="24"/>
              </w:rPr>
              <w:t xml:space="preserve">un </w:t>
            </w:r>
            <w:r w:rsidR="00AD76B4" w:rsidRPr="00AD76B4">
              <w:rPr>
                <w:rFonts w:ascii="Times New Roman" w:hAnsi="Times New Roman"/>
                <w:iCs/>
                <w:sz w:val="24"/>
                <w:szCs w:val="24"/>
              </w:rPr>
              <w:t>R</w:t>
            </w:r>
            <w:r w:rsidR="00AD76B4" w:rsidRPr="00AD76B4">
              <w:rPr>
                <w:rFonts w:ascii="Times New Roman" w:hAnsi="Times New Roman"/>
                <w:sz w:val="24"/>
                <w:szCs w:val="24"/>
                <w:lang w:eastAsia="lv-LV"/>
              </w:rPr>
              <w:t>egulas (EK) Nr.726/2004 23.pantā minētajā sarakstā</w:t>
            </w:r>
            <w:r w:rsidR="00AD76B4">
              <w:rPr>
                <w:rFonts w:ascii="Times New Roman" w:hAnsi="Times New Roman"/>
                <w:sz w:val="24"/>
                <w:szCs w:val="24"/>
                <w:lang w:eastAsia="lv-LV"/>
              </w:rPr>
              <w:t xml:space="preserve"> iekļautajām zālēm </w:t>
            </w:r>
            <w:r w:rsidR="00AD76B4" w:rsidRPr="00AD76B4">
              <w:rPr>
                <w:rFonts w:ascii="Times New Roman" w:hAnsi="Times New Roman"/>
                <w:sz w:val="24"/>
                <w:szCs w:val="24"/>
                <w:lang w:eastAsia="lv-LV"/>
              </w:rPr>
              <w:t>norādi</w:t>
            </w:r>
            <w:r w:rsidR="00AD76B4">
              <w:rPr>
                <w:rFonts w:ascii="Times New Roman" w:hAnsi="Times New Roman"/>
                <w:sz w:val="24"/>
                <w:szCs w:val="24"/>
                <w:lang w:eastAsia="lv-LV"/>
              </w:rPr>
              <w:t>:</w:t>
            </w:r>
            <w:r w:rsidR="00AD76B4" w:rsidRPr="00AD76B4">
              <w:rPr>
                <w:rFonts w:ascii="Times New Roman" w:hAnsi="Times New Roman"/>
                <w:sz w:val="24"/>
                <w:szCs w:val="24"/>
                <w:lang w:eastAsia="lv-LV"/>
              </w:rPr>
              <w:t xml:space="preserve"> “Šīs zāles tiek papildus uzraudzītas”, pirms tās norādot Regulas (EK) Nr.726/2004 23.pantā minēto melno </w:t>
            </w:r>
            <w:r w:rsidR="00AD76B4" w:rsidRPr="00AD76B4">
              <w:rPr>
                <w:rFonts w:ascii="Times New Roman" w:hAnsi="Times New Roman"/>
                <w:sz w:val="24"/>
                <w:szCs w:val="24"/>
                <w:lang w:eastAsia="lv-LV"/>
              </w:rPr>
              <w:lastRenderedPageBreak/>
              <w:t xml:space="preserve">simbolu, kas </w:t>
            </w:r>
            <w:r w:rsidR="00AD76B4" w:rsidRPr="00D3013A">
              <w:rPr>
                <w:rFonts w:ascii="Times New Roman" w:hAnsi="Times New Roman"/>
                <w:sz w:val="24"/>
                <w:szCs w:val="24"/>
                <w:lang w:eastAsia="lv-LV"/>
              </w:rPr>
              <w:t>identificē zāles, kurām nepieciešama papildus uzraudzība, ar</w:t>
            </w:r>
            <w:r w:rsidR="00AD76B4" w:rsidRPr="00D3013A">
              <w:rPr>
                <w:rFonts w:ascii="Times New Roman" w:hAnsi="Times New Roman"/>
                <w:sz w:val="24"/>
                <w:szCs w:val="24"/>
              </w:rPr>
              <w:t xml:space="preserve"> standartizētu paskaidrojuma teikumu</w:t>
            </w:r>
            <w:r w:rsidR="00AD76B4" w:rsidRPr="00D3013A">
              <w:rPr>
                <w:rFonts w:ascii="Times New Roman" w:hAnsi="Times New Roman"/>
                <w:sz w:val="24"/>
                <w:szCs w:val="24"/>
                <w:lang w:eastAsia="lv-LV"/>
              </w:rPr>
              <w:t xml:space="preserve"> </w:t>
            </w:r>
            <w:r w:rsidR="009B02E9" w:rsidRPr="00D3013A">
              <w:rPr>
                <w:rFonts w:ascii="Times New Roman" w:hAnsi="Times New Roman"/>
                <w:sz w:val="24"/>
                <w:szCs w:val="24"/>
              </w:rPr>
              <w:t>(Noteikumu projekta 5.punkts)</w:t>
            </w:r>
            <w:r w:rsidR="000B1348" w:rsidRPr="00D3013A">
              <w:rPr>
                <w:rFonts w:ascii="Times New Roman" w:hAnsi="Times New Roman"/>
                <w:sz w:val="24"/>
                <w:szCs w:val="24"/>
              </w:rPr>
              <w:t xml:space="preserve"> un </w:t>
            </w:r>
            <w:r w:rsidR="0074426F" w:rsidRPr="00D3013A">
              <w:rPr>
                <w:rFonts w:ascii="Times New Roman" w:hAnsi="Times New Roman"/>
                <w:sz w:val="24"/>
                <w:szCs w:val="24"/>
              </w:rPr>
              <w:t xml:space="preserve">ieviest pārejas periodu norma piemērošanai </w:t>
            </w:r>
            <w:r w:rsidR="00935966" w:rsidRPr="00D3013A">
              <w:rPr>
                <w:rFonts w:ascii="Times New Roman" w:hAnsi="Times New Roman"/>
                <w:sz w:val="24"/>
                <w:szCs w:val="24"/>
              </w:rPr>
              <w:t xml:space="preserve">saskaņojot to ar </w:t>
            </w:r>
            <w:r w:rsidR="00935966" w:rsidRPr="00D3013A">
              <w:rPr>
                <w:rFonts w:ascii="Times New Roman" w:hAnsi="Times New Roman"/>
                <w:sz w:val="24"/>
                <w:szCs w:val="24"/>
                <w:lang w:eastAsia="lv-LV"/>
              </w:rPr>
              <w:t>Regulas (EK) Nr.1027/2012</w:t>
            </w:r>
            <w:r w:rsidR="00D3013A" w:rsidRPr="00D3013A">
              <w:rPr>
                <w:rFonts w:ascii="Times New Roman" w:hAnsi="Times New Roman"/>
                <w:sz w:val="24"/>
                <w:szCs w:val="24"/>
                <w:lang w:eastAsia="lv-LV"/>
              </w:rPr>
              <w:t xml:space="preserve"> piemērošanas datumu (Noteikumu projekta 6.punkts).</w:t>
            </w:r>
          </w:p>
          <w:p w:rsidR="009B02E9" w:rsidRPr="00D3013A" w:rsidRDefault="009B02E9" w:rsidP="00312031">
            <w:pPr>
              <w:jc w:val="both"/>
              <w:rPr>
                <w:lang w:val="lv-LV"/>
              </w:rPr>
            </w:pPr>
          </w:p>
          <w:p w:rsidR="00964910" w:rsidRPr="001A74EC" w:rsidRDefault="00E131DC" w:rsidP="00312031">
            <w:pPr>
              <w:jc w:val="both"/>
              <w:rPr>
                <w:lang w:val="lv-LV"/>
              </w:rPr>
            </w:pPr>
            <w:r w:rsidRPr="00D3013A">
              <w:rPr>
                <w:lang w:val="lv-LV"/>
              </w:rPr>
              <w:t>3</w:t>
            </w:r>
            <w:r w:rsidR="00242A09" w:rsidRPr="00D3013A">
              <w:rPr>
                <w:lang w:val="lv-LV"/>
              </w:rPr>
              <w:t>. </w:t>
            </w:r>
            <w:r w:rsidR="000C61FD" w:rsidRPr="00D3013A">
              <w:rPr>
                <w:lang w:val="lv-LV"/>
              </w:rPr>
              <w:t>Lai izslēgtu normas dublēšanu ar Note</w:t>
            </w:r>
            <w:r w:rsidR="00D4265A" w:rsidRPr="00D3013A">
              <w:rPr>
                <w:lang w:val="lv-LV"/>
              </w:rPr>
              <w:t>ikumu projekta 5</w:t>
            </w:r>
            <w:r w:rsidR="00A61210" w:rsidRPr="00D3013A">
              <w:rPr>
                <w:lang w:val="lv-LV"/>
              </w:rPr>
              <w:t>.punk</w:t>
            </w:r>
            <w:r w:rsidR="000C61FD" w:rsidRPr="00D3013A">
              <w:rPr>
                <w:lang w:val="lv-LV"/>
              </w:rPr>
              <w:t>ta</w:t>
            </w:r>
            <w:r w:rsidR="000C61FD" w:rsidRPr="001A74EC">
              <w:rPr>
                <w:lang w:val="lv-LV"/>
              </w:rPr>
              <w:t xml:space="preserve"> normu, MK n</w:t>
            </w:r>
            <w:r w:rsidR="00A61210" w:rsidRPr="001A74EC">
              <w:rPr>
                <w:lang w:val="lv-LV"/>
              </w:rPr>
              <w:t xml:space="preserve">oteikumu Nr.57 </w:t>
            </w:r>
            <w:r w:rsidR="000C61FD" w:rsidRPr="001A74EC">
              <w:rPr>
                <w:lang w:val="lv-LV"/>
              </w:rPr>
              <w:t xml:space="preserve">precizēta </w:t>
            </w:r>
            <w:r w:rsidR="00B767FD" w:rsidRPr="001A74EC">
              <w:rPr>
                <w:lang w:val="lv-LV"/>
              </w:rPr>
              <w:t xml:space="preserve">14.5.apakšpunkta norma </w:t>
            </w:r>
            <w:r w:rsidR="000C61FD" w:rsidRPr="001A74EC">
              <w:rPr>
                <w:lang w:val="lv-LV"/>
              </w:rPr>
              <w:t xml:space="preserve">(Noteikumu projekta </w:t>
            </w:r>
            <w:r w:rsidR="00D4265A">
              <w:rPr>
                <w:lang w:val="lv-LV"/>
              </w:rPr>
              <w:t>3</w:t>
            </w:r>
            <w:r w:rsidR="000C61FD" w:rsidRPr="001A74EC">
              <w:rPr>
                <w:lang w:val="lv-LV"/>
              </w:rPr>
              <w:t>.punkts).</w:t>
            </w:r>
          </w:p>
          <w:p w:rsidR="00E131DC" w:rsidRPr="001A74EC" w:rsidRDefault="00E131DC" w:rsidP="00242A09">
            <w:pPr>
              <w:pStyle w:val="naisf"/>
              <w:spacing w:before="0" w:beforeAutospacing="0" w:after="0" w:afterAutospacing="0"/>
              <w:jc w:val="both"/>
              <w:rPr>
                <w:lang w:val="lv-LV"/>
              </w:rPr>
            </w:pPr>
          </w:p>
          <w:p w:rsidR="008047D0" w:rsidRPr="001A74EC" w:rsidRDefault="00E131DC" w:rsidP="00242A09">
            <w:pPr>
              <w:pStyle w:val="naisf"/>
              <w:spacing w:before="0" w:beforeAutospacing="0" w:after="0" w:afterAutospacing="0"/>
              <w:jc w:val="both"/>
              <w:rPr>
                <w:lang w:val="lv-LV"/>
              </w:rPr>
            </w:pPr>
            <w:r w:rsidRPr="001A74EC">
              <w:rPr>
                <w:lang w:val="lv-LV"/>
              </w:rPr>
              <w:t>4</w:t>
            </w:r>
            <w:r w:rsidR="00991C1D" w:rsidRPr="001A74EC">
              <w:rPr>
                <w:lang w:val="lv-LV"/>
              </w:rPr>
              <w:t>.</w:t>
            </w:r>
            <w:r w:rsidR="00CD3CEF" w:rsidRPr="001A74EC">
              <w:rPr>
                <w:lang w:val="lv-LV"/>
              </w:rPr>
              <w:t> </w:t>
            </w:r>
            <w:r w:rsidR="002E2A00" w:rsidRPr="001A74EC">
              <w:rPr>
                <w:lang w:val="lv-LV"/>
              </w:rPr>
              <w:t>Samazināt zāļu reģistrācijas īpašniekiem administratīvo slogu</w:t>
            </w:r>
            <w:r w:rsidR="00C5792D" w:rsidRPr="001A74EC">
              <w:rPr>
                <w:lang w:val="lv-LV"/>
              </w:rPr>
              <w:t xml:space="preserve">, svītrojot </w:t>
            </w:r>
            <w:r w:rsidR="002E2A00" w:rsidRPr="001A74EC">
              <w:rPr>
                <w:lang w:val="lv-LV"/>
              </w:rPr>
              <w:t>MK noteikumu Nr.57 14.8</w:t>
            </w:r>
            <w:r w:rsidR="00753D87" w:rsidRPr="001A74EC">
              <w:rPr>
                <w:lang w:val="lv-LV"/>
              </w:rPr>
              <w:t>.</w:t>
            </w:r>
            <w:r w:rsidR="002E2A00" w:rsidRPr="001A74EC">
              <w:rPr>
                <w:lang w:val="lv-LV"/>
              </w:rPr>
              <w:t>apakš</w:t>
            </w:r>
            <w:r w:rsidR="00753D87" w:rsidRPr="001A74EC">
              <w:rPr>
                <w:lang w:val="lv-LV"/>
              </w:rPr>
              <w:t>punkta normu</w:t>
            </w:r>
            <w:r w:rsidR="002613A8" w:rsidRPr="001A74EC">
              <w:rPr>
                <w:lang w:val="lv-LV"/>
              </w:rPr>
              <w:t xml:space="preserve"> </w:t>
            </w:r>
            <w:r w:rsidR="00D4265A">
              <w:rPr>
                <w:lang w:val="lv-LV"/>
              </w:rPr>
              <w:t>(Noteikumu projekta 4</w:t>
            </w:r>
            <w:r w:rsidR="00753D87" w:rsidRPr="001A74EC">
              <w:rPr>
                <w:lang w:val="lv-LV"/>
              </w:rPr>
              <w:t>.punkts).</w:t>
            </w:r>
          </w:p>
          <w:p w:rsidR="00E131DC" w:rsidRPr="001A74EC" w:rsidRDefault="00E131DC" w:rsidP="004764E5">
            <w:pPr>
              <w:jc w:val="both"/>
              <w:rPr>
                <w:lang w:val="lv-LV"/>
              </w:rPr>
            </w:pPr>
          </w:p>
          <w:p w:rsidR="00FC692F" w:rsidRPr="001A74EC" w:rsidRDefault="00E131DC" w:rsidP="004764E5">
            <w:pPr>
              <w:jc w:val="both"/>
              <w:rPr>
                <w:lang w:val="lv-LV"/>
              </w:rPr>
            </w:pPr>
            <w:r w:rsidRPr="001A74EC">
              <w:rPr>
                <w:lang w:val="lv-LV"/>
              </w:rPr>
              <w:t>5</w:t>
            </w:r>
            <w:r w:rsidR="002E2A00" w:rsidRPr="001A74EC">
              <w:rPr>
                <w:lang w:val="lv-LV"/>
              </w:rPr>
              <w:t>.</w:t>
            </w:r>
            <w:r w:rsidR="0045352D" w:rsidRPr="001A74EC">
              <w:rPr>
                <w:lang w:val="lv-LV"/>
              </w:rPr>
              <w:t> </w:t>
            </w:r>
            <w:r w:rsidR="002E2A00" w:rsidRPr="001A74EC">
              <w:rPr>
                <w:lang w:val="lv-LV"/>
              </w:rPr>
              <w:t xml:space="preserve">Nodrošināt terminoloģijas </w:t>
            </w:r>
            <w:r w:rsidR="002E2A00" w:rsidRPr="001A74EC">
              <w:rPr>
                <w:bCs/>
                <w:lang w:val="lv-LV"/>
              </w:rPr>
              <w:t xml:space="preserve">atbilstību </w:t>
            </w:r>
            <w:r w:rsidR="002B667F" w:rsidRPr="001A74EC">
              <w:rPr>
                <w:lang w:val="lv-LV"/>
              </w:rPr>
              <w:t>MK noteikumu Nr. 108</w:t>
            </w:r>
            <w:r w:rsidR="002E2A00" w:rsidRPr="001A74EC">
              <w:rPr>
                <w:lang w:val="lv-LV"/>
              </w:rPr>
              <w:t xml:space="preserve"> </w:t>
            </w:r>
            <w:r w:rsidR="002E2A00" w:rsidRPr="001A74EC">
              <w:rPr>
                <w:bCs/>
                <w:lang w:val="lv-LV"/>
              </w:rPr>
              <w:t xml:space="preserve">2.2.apakšpunktam, precizējot </w:t>
            </w:r>
            <w:r w:rsidR="00655540" w:rsidRPr="001A74EC">
              <w:rPr>
                <w:lang w:val="lv-LV"/>
              </w:rPr>
              <w:t xml:space="preserve">terminoloģiju </w:t>
            </w:r>
            <w:r w:rsidR="000D7E97" w:rsidRPr="001A74EC">
              <w:rPr>
                <w:lang w:val="lv-LV"/>
              </w:rPr>
              <w:t>MK noteikumu Nr.57</w:t>
            </w:r>
            <w:r w:rsidR="00DD5BEE" w:rsidRPr="001A74EC">
              <w:rPr>
                <w:lang w:val="lv-LV"/>
              </w:rPr>
              <w:t xml:space="preserve"> </w:t>
            </w:r>
            <w:r w:rsidR="000D7E97" w:rsidRPr="001A74EC">
              <w:rPr>
                <w:lang w:val="lv-LV"/>
              </w:rPr>
              <w:t>pielikuma 14. un 40.</w:t>
            </w:r>
            <w:r w:rsidR="00914070" w:rsidRPr="001A74EC">
              <w:rPr>
                <w:lang w:val="lv-LV"/>
              </w:rPr>
              <w:t>p</w:t>
            </w:r>
            <w:r w:rsidR="000D7E97" w:rsidRPr="001A74EC">
              <w:rPr>
                <w:lang w:val="lv-LV"/>
              </w:rPr>
              <w:t xml:space="preserve">unktā (Noteikumu projekta </w:t>
            </w:r>
            <w:r w:rsidR="000B1348">
              <w:rPr>
                <w:lang w:val="lv-LV"/>
              </w:rPr>
              <w:t>8</w:t>
            </w:r>
            <w:r w:rsidR="00403EFF" w:rsidRPr="001A74EC">
              <w:rPr>
                <w:lang w:val="lv-LV"/>
              </w:rPr>
              <w:t>.</w:t>
            </w:r>
            <w:r w:rsidR="000B1348">
              <w:rPr>
                <w:lang w:val="lv-LV"/>
              </w:rPr>
              <w:t xml:space="preserve"> un 9</w:t>
            </w:r>
            <w:r w:rsidR="00991C1D" w:rsidRPr="001A74EC">
              <w:rPr>
                <w:lang w:val="lv-LV"/>
              </w:rPr>
              <w:t>.</w:t>
            </w:r>
            <w:r w:rsidR="00403EFF" w:rsidRPr="001A74EC">
              <w:rPr>
                <w:lang w:val="lv-LV"/>
              </w:rPr>
              <w:t>punkts).</w:t>
            </w:r>
          </w:p>
          <w:p w:rsidR="00E131DC" w:rsidRPr="001A74EC" w:rsidRDefault="00E131DC" w:rsidP="00AE0BC6">
            <w:pPr>
              <w:jc w:val="both"/>
              <w:rPr>
                <w:lang w:val="lv-LV"/>
              </w:rPr>
            </w:pPr>
          </w:p>
          <w:p w:rsidR="00E131DC" w:rsidRDefault="00AD0C8F" w:rsidP="00AE0BC6">
            <w:pPr>
              <w:jc w:val="both"/>
              <w:rPr>
                <w:bCs/>
                <w:lang w:val="lv-LV"/>
              </w:rPr>
            </w:pPr>
            <w:r w:rsidRPr="001A74EC">
              <w:rPr>
                <w:lang w:val="lv-LV"/>
              </w:rPr>
              <w:t>6</w:t>
            </w:r>
            <w:r w:rsidR="0065415D" w:rsidRPr="001A74EC">
              <w:rPr>
                <w:lang w:val="lv-LV"/>
              </w:rPr>
              <w:t>. Noteikumu p</w:t>
            </w:r>
            <w:r w:rsidR="00AE0BC6" w:rsidRPr="001A74EC">
              <w:rPr>
                <w:lang w:val="lv-LV"/>
              </w:rPr>
              <w:t xml:space="preserve">rojekta </w:t>
            </w:r>
            <w:r w:rsidR="000B1348">
              <w:rPr>
                <w:lang w:val="lv-LV"/>
              </w:rPr>
              <w:t>7</w:t>
            </w:r>
            <w:r w:rsidR="00FC692F" w:rsidRPr="001A74EC">
              <w:rPr>
                <w:bCs/>
                <w:lang w:val="lv-LV"/>
              </w:rPr>
              <w:t xml:space="preserve">.punktā norādīt atsauci uz </w:t>
            </w:r>
            <w:r w:rsidR="00FC692F" w:rsidRPr="001A74EC">
              <w:rPr>
                <w:lang w:val="lv-LV"/>
              </w:rPr>
              <w:t>Eiropas Komisijas direktīvu Nr.2010/84/ES</w:t>
            </w:r>
            <w:r w:rsidR="00FC692F" w:rsidRPr="001A74EC">
              <w:rPr>
                <w:bCs/>
                <w:lang w:val="lv-LV"/>
              </w:rPr>
              <w:t>, līdz ar to ir apliecināta šīs direktīvas ieviešana</w:t>
            </w:r>
            <w:r w:rsidR="00001EF2" w:rsidRPr="001A74EC">
              <w:rPr>
                <w:bCs/>
                <w:lang w:val="lv-LV"/>
              </w:rPr>
              <w:t xml:space="preserve"> saistībā ar zāļu </w:t>
            </w:r>
            <w:r w:rsidR="00AE0BC6" w:rsidRPr="001A74EC">
              <w:rPr>
                <w:bCs/>
                <w:lang w:val="lv-LV"/>
              </w:rPr>
              <w:t>lietošanas instrukcijā iekļaujam</w:t>
            </w:r>
            <w:r w:rsidR="00A61210" w:rsidRPr="001A74EC">
              <w:rPr>
                <w:bCs/>
                <w:lang w:val="lv-LV"/>
              </w:rPr>
              <w:t>o</w:t>
            </w:r>
            <w:r w:rsidR="00AE0BC6" w:rsidRPr="001A74EC">
              <w:rPr>
                <w:bCs/>
                <w:lang w:val="lv-LV"/>
              </w:rPr>
              <w:t xml:space="preserve"> inform</w:t>
            </w:r>
            <w:r w:rsidR="00A61210" w:rsidRPr="001A74EC">
              <w:rPr>
                <w:bCs/>
                <w:lang w:val="lv-LV"/>
              </w:rPr>
              <w:t>āciju</w:t>
            </w:r>
            <w:r w:rsidR="00D4265A">
              <w:rPr>
                <w:bCs/>
                <w:lang w:val="lv-LV"/>
              </w:rPr>
              <w:t>.</w:t>
            </w:r>
          </w:p>
          <w:p w:rsidR="00D4265A" w:rsidRPr="001A74EC" w:rsidRDefault="00D4265A" w:rsidP="00AE0BC6">
            <w:pPr>
              <w:jc w:val="both"/>
              <w:rPr>
                <w:lang w:val="lv-LV"/>
              </w:rPr>
            </w:pPr>
          </w:p>
          <w:p w:rsidR="000B1348" w:rsidRDefault="00AD0C8F" w:rsidP="00AE0BC6">
            <w:pPr>
              <w:jc w:val="both"/>
            </w:pPr>
            <w:r w:rsidRPr="001A74EC">
              <w:rPr>
                <w:lang w:val="lv-LV"/>
              </w:rPr>
              <w:t>7</w:t>
            </w:r>
            <w:r w:rsidR="00242A09" w:rsidRPr="001A74EC">
              <w:rPr>
                <w:lang w:val="lv-LV"/>
              </w:rPr>
              <w:t>. </w:t>
            </w:r>
            <w:r w:rsidR="00A248F5" w:rsidRPr="001A74EC">
              <w:rPr>
                <w:lang w:val="lv-LV"/>
              </w:rPr>
              <w:t xml:space="preserve">Noteikumu projekta 2.punktā ir tehnisks precizējums, ieviešot saīsinājumu </w:t>
            </w:r>
            <w:r w:rsidR="00A248F5" w:rsidRPr="00B72221">
              <w:rPr>
                <w:lang w:val="lv-LV"/>
              </w:rPr>
              <w:t xml:space="preserve">Regulai (EK) Nr. </w:t>
            </w:r>
            <w:hyperlink r:id="rId10" w:tgtFrame="_blank" w:tooltip="Atvērt regulas konsolidēto versiju" w:history="1">
              <w:r w:rsidR="00A248F5" w:rsidRPr="001A74EC">
                <w:rPr>
                  <w:rStyle w:val="Hipersaite"/>
                  <w:color w:val="auto"/>
                  <w:u w:val="none"/>
                </w:rPr>
                <w:t>726/2004</w:t>
              </w:r>
            </w:hyperlink>
            <w:r w:rsidR="00B72221">
              <w:t>.</w:t>
            </w:r>
          </w:p>
          <w:p w:rsidR="00B72221" w:rsidRPr="001A74EC" w:rsidRDefault="00B72221" w:rsidP="00AE0BC6">
            <w:pPr>
              <w:jc w:val="both"/>
              <w:rPr>
                <w:lang w:val="lv-LV"/>
              </w:rPr>
            </w:pPr>
          </w:p>
          <w:p w:rsidR="002E2A00" w:rsidRPr="001A74EC" w:rsidRDefault="002E2A00" w:rsidP="00752A04">
            <w:pPr>
              <w:jc w:val="both"/>
              <w:rPr>
                <w:lang w:val="lv-LV"/>
              </w:rPr>
            </w:pPr>
            <w:r w:rsidRPr="001A74EC">
              <w:rPr>
                <w:lang w:val="lv-LV"/>
              </w:rPr>
              <w:t xml:space="preserve">Līdz ar to ir </w:t>
            </w:r>
            <w:r w:rsidR="00752A04" w:rsidRPr="001A74EC">
              <w:rPr>
                <w:lang w:val="lv-LV"/>
              </w:rPr>
              <w:t xml:space="preserve">atrisinātas Anotācijas I sadaļas 2.punktā </w:t>
            </w:r>
            <w:r w:rsidRPr="001A74EC">
              <w:rPr>
                <w:lang w:val="lv-LV"/>
              </w:rPr>
              <w:t>minētās problēmas.</w:t>
            </w:r>
          </w:p>
        </w:tc>
      </w:tr>
      <w:tr w:rsidR="00CB2893" w:rsidRPr="001A74EC" w:rsidTr="00164724">
        <w:tc>
          <w:tcPr>
            <w:tcW w:w="426" w:type="dxa"/>
          </w:tcPr>
          <w:p w:rsidR="00CB2893" w:rsidRPr="001A74EC" w:rsidRDefault="00CB2893" w:rsidP="00E20041">
            <w:pPr>
              <w:rPr>
                <w:lang w:val="lv-LV"/>
              </w:rPr>
            </w:pPr>
            <w:r w:rsidRPr="001A74EC">
              <w:rPr>
                <w:lang w:val="lv-LV"/>
              </w:rPr>
              <w:lastRenderedPageBreak/>
              <w:t>5.</w:t>
            </w:r>
          </w:p>
        </w:tc>
        <w:tc>
          <w:tcPr>
            <w:tcW w:w="1525" w:type="dxa"/>
          </w:tcPr>
          <w:p w:rsidR="00CB2893" w:rsidRPr="001A74EC" w:rsidRDefault="00CB2893" w:rsidP="00E20041">
            <w:pPr>
              <w:jc w:val="both"/>
              <w:rPr>
                <w:lang w:val="lv-LV"/>
              </w:rPr>
            </w:pPr>
            <w:r w:rsidRPr="001A74EC">
              <w:rPr>
                <w:lang w:val="lv-LV"/>
              </w:rPr>
              <w:t>Projekta izstrādē iesaistītās institūcijas</w:t>
            </w:r>
          </w:p>
        </w:tc>
        <w:tc>
          <w:tcPr>
            <w:tcW w:w="7371" w:type="dxa"/>
          </w:tcPr>
          <w:p w:rsidR="00CB2893" w:rsidRPr="001A74EC" w:rsidRDefault="00CD71A7" w:rsidP="00E20041">
            <w:pPr>
              <w:pStyle w:val="Virsraksts6"/>
              <w:spacing w:before="0" w:after="0"/>
              <w:jc w:val="both"/>
              <w:rPr>
                <w:b w:val="0"/>
                <w:bCs w:val="0"/>
                <w:sz w:val="24"/>
                <w:szCs w:val="24"/>
                <w:lang w:val="lv-LV"/>
              </w:rPr>
            </w:pPr>
            <w:r w:rsidRPr="001A74EC">
              <w:rPr>
                <w:b w:val="0"/>
                <w:bCs w:val="0"/>
                <w:sz w:val="24"/>
                <w:szCs w:val="24"/>
                <w:lang w:val="lv-LV"/>
              </w:rPr>
              <w:t>Zāļu valsts aģentūra</w:t>
            </w:r>
          </w:p>
        </w:tc>
      </w:tr>
      <w:tr w:rsidR="00CB2893" w:rsidRPr="001A74EC" w:rsidTr="00164724">
        <w:tc>
          <w:tcPr>
            <w:tcW w:w="426" w:type="dxa"/>
          </w:tcPr>
          <w:p w:rsidR="00CB2893" w:rsidRPr="001A74EC" w:rsidRDefault="00CB2893" w:rsidP="00E20041">
            <w:pPr>
              <w:rPr>
                <w:lang w:val="lv-LV"/>
              </w:rPr>
            </w:pPr>
            <w:r w:rsidRPr="001A74EC">
              <w:rPr>
                <w:lang w:val="lv-LV"/>
              </w:rPr>
              <w:t>6.</w:t>
            </w:r>
          </w:p>
        </w:tc>
        <w:tc>
          <w:tcPr>
            <w:tcW w:w="1525" w:type="dxa"/>
          </w:tcPr>
          <w:p w:rsidR="00CB2893" w:rsidRPr="001A74EC" w:rsidRDefault="00CB2893" w:rsidP="00E20041">
            <w:pPr>
              <w:jc w:val="both"/>
              <w:rPr>
                <w:lang w:val="lv-LV"/>
              </w:rPr>
            </w:pPr>
            <w:r w:rsidRPr="001A74EC">
              <w:rPr>
                <w:lang w:val="lv-LV"/>
              </w:rPr>
              <w:t>Iemesli, kādēļ netika nodrošināta sabiedrības līdzdalība</w:t>
            </w:r>
          </w:p>
        </w:tc>
        <w:tc>
          <w:tcPr>
            <w:tcW w:w="7371" w:type="dxa"/>
          </w:tcPr>
          <w:p w:rsidR="00CB2893" w:rsidRPr="001A74EC" w:rsidRDefault="002A25B9" w:rsidP="00E20041">
            <w:pPr>
              <w:jc w:val="both"/>
              <w:rPr>
                <w:lang w:val="lv-LV"/>
              </w:rPr>
            </w:pPr>
            <w:r w:rsidRPr="001A74EC">
              <w:rPr>
                <w:lang w:val="lv-LV"/>
              </w:rPr>
              <w:t>Projekts šo jomu neskar</w:t>
            </w:r>
          </w:p>
        </w:tc>
      </w:tr>
      <w:tr w:rsidR="00CB2893" w:rsidRPr="001A74EC" w:rsidTr="00164724">
        <w:tc>
          <w:tcPr>
            <w:tcW w:w="426" w:type="dxa"/>
          </w:tcPr>
          <w:p w:rsidR="00CB2893" w:rsidRPr="001A74EC" w:rsidRDefault="00CB2893" w:rsidP="00E20041">
            <w:pPr>
              <w:rPr>
                <w:lang w:val="lv-LV"/>
              </w:rPr>
            </w:pPr>
            <w:r w:rsidRPr="001A74EC">
              <w:rPr>
                <w:lang w:val="lv-LV"/>
              </w:rPr>
              <w:t xml:space="preserve">7. </w:t>
            </w:r>
          </w:p>
        </w:tc>
        <w:tc>
          <w:tcPr>
            <w:tcW w:w="1525" w:type="dxa"/>
          </w:tcPr>
          <w:p w:rsidR="00CB2893" w:rsidRPr="001A74EC" w:rsidRDefault="00CB2893" w:rsidP="00E20041">
            <w:pPr>
              <w:jc w:val="both"/>
              <w:rPr>
                <w:lang w:val="lv-LV"/>
              </w:rPr>
            </w:pPr>
            <w:r w:rsidRPr="001A74EC">
              <w:rPr>
                <w:lang w:val="lv-LV"/>
              </w:rPr>
              <w:t>Cita informācija</w:t>
            </w:r>
          </w:p>
        </w:tc>
        <w:tc>
          <w:tcPr>
            <w:tcW w:w="7371" w:type="dxa"/>
          </w:tcPr>
          <w:p w:rsidR="00CB2893" w:rsidRPr="001A74EC" w:rsidRDefault="00876159" w:rsidP="00E20041">
            <w:pPr>
              <w:pStyle w:val="naisc"/>
              <w:spacing w:before="0" w:after="0"/>
              <w:jc w:val="both"/>
              <w:rPr>
                <w:lang w:bidi="lo-LA"/>
              </w:rPr>
            </w:pPr>
            <w:r w:rsidRPr="001A74EC">
              <w:rPr>
                <w:lang w:bidi="lo-LA"/>
              </w:rPr>
              <w:t>Nav</w:t>
            </w:r>
          </w:p>
        </w:tc>
      </w:tr>
    </w:tbl>
    <w:p w:rsidR="00CB2893" w:rsidRPr="001A74EC" w:rsidRDefault="00CB2893" w:rsidP="00CB2893">
      <w:pPr>
        <w:jc w:val="center"/>
        <w:rPr>
          <w:b/>
          <w:sz w:val="28"/>
          <w:szCs w:val="28"/>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5408"/>
      </w:tblGrid>
      <w:tr w:rsidR="00CB2893" w:rsidRPr="00426D06" w:rsidTr="00E20041">
        <w:tc>
          <w:tcPr>
            <w:tcW w:w="9344" w:type="dxa"/>
            <w:gridSpan w:val="3"/>
          </w:tcPr>
          <w:p w:rsidR="00CB2893" w:rsidRPr="001A74EC" w:rsidRDefault="00CB2893" w:rsidP="00E20041">
            <w:pPr>
              <w:jc w:val="center"/>
              <w:rPr>
                <w:b/>
                <w:sz w:val="28"/>
                <w:szCs w:val="28"/>
                <w:lang w:val="lv-LV"/>
              </w:rPr>
            </w:pPr>
            <w:r w:rsidRPr="001A74EC">
              <w:rPr>
                <w:b/>
                <w:sz w:val="28"/>
                <w:szCs w:val="28"/>
                <w:lang w:val="lv-LV"/>
              </w:rPr>
              <w:t xml:space="preserve">II. Tiesību </w:t>
            </w:r>
            <w:smartTag w:uri="schemas-tilde-lv/tildestengine" w:element="veidnes">
              <w:smartTagPr>
                <w:attr w:name="baseform" w:val="akt|s"/>
                <w:attr w:name="id" w:val="-1"/>
                <w:attr w:name="text" w:val="akta"/>
              </w:smartTagPr>
              <w:r w:rsidRPr="001A74EC">
                <w:rPr>
                  <w:b/>
                  <w:sz w:val="28"/>
                  <w:szCs w:val="28"/>
                  <w:lang w:val="lv-LV"/>
                </w:rPr>
                <w:t>akta</w:t>
              </w:r>
            </w:smartTag>
            <w:r w:rsidRPr="001A74EC">
              <w:rPr>
                <w:b/>
                <w:sz w:val="28"/>
                <w:szCs w:val="28"/>
                <w:lang w:val="lv-LV"/>
              </w:rPr>
              <w:t xml:space="preserve"> projekta ietekme uz sabiedrību</w:t>
            </w:r>
          </w:p>
        </w:tc>
      </w:tr>
      <w:tr w:rsidR="00CB2893" w:rsidRPr="00426D06" w:rsidTr="00AC6E58">
        <w:tc>
          <w:tcPr>
            <w:tcW w:w="534" w:type="dxa"/>
          </w:tcPr>
          <w:p w:rsidR="00CB2893" w:rsidRPr="001A74EC" w:rsidRDefault="00CB2893" w:rsidP="00E20041">
            <w:pPr>
              <w:rPr>
                <w:lang w:val="lv-LV"/>
              </w:rPr>
            </w:pPr>
            <w:r w:rsidRPr="001A74EC">
              <w:rPr>
                <w:lang w:val="lv-LV"/>
              </w:rPr>
              <w:t>1.</w:t>
            </w:r>
          </w:p>
        </w:tc>
        <w:tc>
          <w:tcPr>
            <w:tcW w:w="3402" w:type="dxa"/>
          </w:tcPr>
          <w:p w:rsidR="00CB2893" w:rsidRPr="001A74EC" w:rsidRDefault="00CB2893" w:rsidP="00E20041">
            <w:pPr>
              <w:jc w:val="both"/>
              <w:rPr>
                <w:lang w:val="lv-LV"/>
              </w:rPr>
            </w:pPr>
            <w:r w:rsidRPr="001A74EC">
              <w:rPr>
                <w:lang w:val="lv-LV"/>
              </w:rPr>
              <w:t>Sabiedrības mērķgrupa</w:t>
            </w:r>
          </w:p>
        </w:tc>
        <w:tc>
          <w:tcPr>
            <w:tcW w:w="5408" w:type="dxa"/>
          </w:tcPr>
          <w:p w:rsidR="00C636F0" w:rsidRPr="001A74EC" w:rsidRDefault="00752A04" w:rsidP="00752A04">
            <w:pPr>
              <w:spacing w:before="75" w:after="75"/>
              <w:jc w:val="both"/>
              <w:rPr>
                <w:lang w:val="lv-LV"/>
              </w:rPr>
            </w:pPr>
            <w:r w:rsidRPr="001A74EC">
              <w:rPr>
                <w:lang w:val="lv-LV"/>
              </w:rPr>
              <w:t>Noteikumu projekta</w:t>
            </w:r>
            <w:r w:rsidR="00C636F0" w:rsidRPr="001A74EC">
              <w:rPr>
                <w:lang w:val="lv-LV"/>
              </w:rPr>
              <w:t xml:space="preserve"> pa</w:t>
            </w:r>
            <w:r w:rsidR="00F00812" w:rsidRPr="001A74EC">
              <w:rPr>
                <w:lang w:val="lv-LV"/>
              </w:rPr>
              <w:t>matprasība</w:t>
            </w:r>
            <w:r w:rsidR="00C636F0" w:rsidRPr="001A74EC">
              <w:rPr>
                <w:lang w:val="lv-LV"/>
              </w:rPr>
              <w:t xml:space="preserve">s attieksies uz </w:t>
            </w:r>
            <w:r w:rsidRPr="001A74EC">
              <w:rPr>
                <w:lang w:val="lv-LV"/>
              </w:rPr>
              <w:t xml:space="preserve">aptuveni 125 </w:t>
            </w:r>
            <w:r w:rsidR="00C636F0" w:rsidRPr="001A74EC">
              <w:rPr>
                <w:lang w:val="lv-LV"/>
              </w:rPr>
              <w:t>zāļu reģistrācijas īpašniekiem, kas ir jau r</w:t>
            </w:r>
            <w:r w:rsidR="00CD71A7" w:rsidRPr="001A74EC">
              <w:rPr>
                <w:lang w:val="lv-LV"/>
              </w:rPr>
              <w:t>eģistrējuši vai reģistrēs zāles</w:t>
            </w:r>
            <w:r w:rsidRPr="001A74EC">
              <w:rPr>
                <w:lang w:val="lv-LV"/>
              </w:rPr>
              <w:t>, kā arī uz Zāļu valsts aģentūras amatpersonām, kuras iesaistītas noteikumu projektā iekļauto pienākumu izpildē</w:t>
            </w:r>
          </w:p>
        </w:tc>
      </w:tr>
      <w:tr w:rsidR="00CB2893" w:rsidRPr="001A74EC" w:rsidTr="00AC6E58">
        <w:tc>
          <w:tcPr>
            <w:tcW w:w="534" w:type="dxa"/>
          </w:tcPr>
          <w:p w:rsidR="00CB2893" w:rsidRPr="001A74EC" w:rsidRDefault="00CB2893" w:rsidP="00E20041">
            <w:pPr>
              <w:rPr>
                <w:lang w:val="lv-LV"/>
              </w:rPr>
            </w:pPr>
            <w:r w:rsidRPr="001A74EC">
              <w:rPr>
                <w:lang w:val="lv-LV"/>
              </w:rPr>
              <w:t xml:space="preserve">2. </w:t>
            </w:r>
          </w:p>
        </w:tc>
        <w:tc>
          <w:tcPr>
            <w:tcW w:w="3402" w:type="dxa"/>
          </w:tcPr>
          <w:p w:rsidR="00CB2893" w:rsidRPr="001A74EC" w:rsidRDefault="00CB2893" w:rsidP="00E20041">
            <w:pPr>
              <w:jc w:val="both"/>
              <w:rPr>
                <w:lang w:val="lv-LV"/>
              </w:rPr>
            </w:pPr>
            <w:r w:rsidRPr="001A74EC">
              <w:rPr>
                <w:lang w:val="lv-LV"/>
              </w:rPr>
              <w:t xml:space="preserve">Citas sabiedrības grupas (bez </w:t>
            </w:r>
            <w:r w:rsidRPr="001A74EC">
              <w:rPr>
                <w:lang w:val="lv-LV"/>
              </w:rPr>
              <w:lastRenderedPageBreak/>
              <w:t>mērķgrupas), kuras tiesiskais regulējums arī ietekmē vai varētu ietekmēt</w:t>
            </w:r>
          </w:p>
        </w:tc>
        <w:tc>
          <w:tcPr>
            <w:tcW w:w="5408" w:type="dxa"/>
          </w:tcPr>
          <w:p w:rsidR="00CB2893" w:rsidRPr="001A74EC" w:rsidRDefault="007B1B60" w:rsidP="00E20041">
            <w:pPr>
              <w:pStyle w:val="naiskr"/>
              <w:spacing w:before="0" w:after="0"/>
              <w:jc w:val="both"/>
            </w:pPr>
            <w:r w:rsidRPr="001A74EC">
              <w:lastRenderedPageBreak/>
              <w:t>P</w:t>
            </w:r>
            <w:r w:rsidR="00C636F0" w:rsidRPr="001A74EC">
              <w:t>rojekts šo jomu neskar</w:t>
            </w:r>
          </w:p>
        </w:tc>
      </w:tr>
      <w:tr w:rsidR="00CB2893" w:rsidRPr="001A74EC" w:rsidTr="00AC6E58">
        <w:tc>
          <w:tcPr>
            <w:tcW w:w="534" w:type="dxa"/>
          </w:tcPr>
          <w:p w:rsidR="00CB2893" w:rsidRPr="001A74EC" w:rsidRDefault="00CB2893" w:rsidP="00E20041">
            <w:pPr>
              <w:rPr>
                <w:lang w:val="lv-LV"/>
              </w:rPr>
            </w:pPr>
            <w:r w:rsidRPr="001A74EC">
              <w:rPr>
                <w:lang w:val="lv-LV"/>
              </w:rPr>
              <w:lastRenderedPageBreak/>
              <w:t xml:space="preserve">3. </w:t>
            </w:r>
          </w:p>
        </w:tc>
        <w:tc>
          <w:tcPr>
            <w:tcW w:w="3402" w:type="dxa"/>
          </w:tcPr>
          <w:p w:rsidR="00CB2893" w:rsidRPr="001A74EC" w:rsidRDefault="00CB2893" w:rsidP="00E20041">
            <w:pPr>
              <w:jc w:val="both"/>
              <w:rPr>
                <w:lang w:val="lv-LV"/>
              </w:rPr>
            </w:pPr>
            <w:r w:rsidRPr="001A74EC">
              <w:rPr>
                <w:lang w:val="lv-LV"/>
              </w:rPr>
              <w:t>Tiesiskā regulējuma finansiālā ietekme</w:t>
            </w:r>
          </w:p>
        </w:tc>
        <w:tc>
          <w:tcPr>
            <w:tcW w:w="5408" w:type="dxa"/>
          </w:tcPr>
          <w:p w:rsidR="00CB2893" w:rsidRPr="001A74EC" w:rsidRDefault="00EE5163" w:rsidP="00E20041">
            <w:pPr>
              <w:jc w:val="both"/>
              <w:rPr>
                <w:lang w:val="lv-LV"/>
              </w:rPr>
            </w:pPr>
            <w:r w:rsidRPr="001A74EC">
              <w:rPr>
                <w:lang w:val="lv-LV"/>
              </w:rPr>
              <w:t>P</w:t>
            </w:r>
            <w:r w:rsidR="00C636F0" w:rsidRPr="001A74EC">
              <w:rPr>
                <w:lang w:val="lv-LV"/>
              </w:rPr>
              <w:t>rojekts šo jomu neskar</w:t>
            </w:r>
          </w:p>
        </w:tc>
      </w:tr>
      <w:tr w:rsidR="00CB2893" w:rsidRPr="00426D06" w:rsidTr="00AC6E58">
        <w:tc>
          <w:tcPr>
            <w:tcW w:w="534" w:type="dxa"/>
          </w:tcPr>
          <w:p w:rsidR="00CB2893" w:rsidRPr="001A74EC" w:rsidRDefault="00CB2893" w:rsidP="00E20041">
            <w:pPr>
              <w:rPr>
                <w:lang w:val="lv-LV"/>
              </w:rPr>
            </w:pPr>
            <w:r w:rsidRPr="001A74EC">
              <w:rPr>
                <w:lang w:val="lv-LV"/>
              </w:rPr>
              <w:t>4.</w:t>
            </w:r>
          </w:p>
        </w:tc>
        <w:tc>
          <w:tcPr>
            <w:tcW w:w="3402" w:type="dxa"/>
          </w:tcPr>
          <w:p w:rsidR="00CB2893" w:rsidRPr="001A74EC" w:rsidRDefault="00CB2893" w:rsidP="00E20041">
            <w:pPr>
              <w:jc w:val="both"/>
              <w:rPr>
                <w:lang w:val="lv-LV"/>
              </w:rPr>
            </w:pPr>
            <w:r w:rsidRPr="001A74EC">
              <w:rPr>
                <w:lang w:val="lv-LV"/>
              </w:rPr>
              <w:t>Tiesiskā regulējuma nefinansiālā ietekme</w:t>
            </w:r>
          </w:p>
        </w:tc>
        <w:tc>
          <w:tcPr>
            <w:tcW w:w="5408" w:type="dxa"/>
          </w:tcPr>
          <w:p w:rsidR="00CB2893" w:rsidRPr="001A74EC" w:rsidRDefault="00752A04" w:rsidP="003B71D2">
            <w:pPr>
              <w:jc w:val="both"/>
              <w:rPr>
                <w:lang w:val="lv-LV"/>
              </w:rPr>
            </w:pPr>
            <w:r w:rsidRPr="001A74EC">
              <w:rPr>
                <w:lang w:val="lv-LV"/>
              </w:rPr>
              <w:t>Noteikumu projekta</w:t>
            </w:r>
            <w:r w:rsidR="003B71D2">
              <w:rPr>
                <w:lang w:val="lv-LV"/>
              </w:rPr>
              <w:t>m</w:t>
            </w:r>
            <w:r w:rsidRPr="001A74EC">
              <w:rPr>
                <w:lang w:val="lv-LV"/>
              </w:rPr>
              <w:t xml:space="preserve"> ietekme </w:t>
            </w:r>
            <w:r w:rsidR="001665E7">
              <w:rPr>
                <w:lang w:val="lv-LV"/>
              </w:rPr>
              <w:t xml:space="preserve">uz </w:t>
            </w:r>
            <w:r w:rsidR="003B71D2">
              <w:rPr>
                <w:lang w:val="lv-LV"/>
              </w:rPr>
              <w:t xml:space="preserve">sabiedrības </w:t>
            </w:r>
            <w:r w:rsidR="001665E7">
              <w:rPr>
                <w:lang w:val="lv-LV"/>
              </w:rPr>
              <w:t>veselību</w:t>
            </w:r>
            <w:r w:rsidR="003B71D2">
              <w:rPr>
                <w:lang w:val="lv-LV"/>
              </w:rPr>
              <w:t xml:space="preserve">, jo </w:t>
            </w:r>
            <w:r w:rsidRPr="001A74EC">
              <w:rPr>
                <w:lang w:val="lv-LV"/>
              </w:rPr>
              <w:t>pilnīgāk nodrošināt</w:t>
            </w:r>
            <w:r w:rsidR="00326C6F" w:rsidRPr="001A74EC">
              <w:rPr>
                <w:lang w:val="lv-LV"/>
              </w:rPr>
              <w:t>a</w:t>
            </w:r>
            <w:r w:rsidRPr="001A74EC">
              <w:rPr>
                <w:lang w:val="lv-LV"/>
              </w:rPr>
              <w:t xml:space="preserve"> sabiedrības veselības aizsardzīb</w:t>
            </w:r>
            <w:r w:rsidR="00326C6F" w:rsidRPr="001A74EC">
              <w:rPr>
                <w:lang w:val="lv-LV"/>
              </w:rPr>
              <w:t>a</w:t>
            </w:r>
            <w:r w:rsidRPr="001A74EC">
              <w:rPr>
                <w:lang w:val="lv-LV"/>
              </w:rPr>
              <w:t xml:space="preserve">, </w:t>
            </w:r>
            <w:r w:rsidR="003B71D2">
              <w:rPr>
                <w:lang w:val="lv-LV"/>
              </w:rPr>
              <w:t>ieviešot</w:t>
            </w:r>
            <w:r w:rsidR="00EF2C60" w:rsidRPr="001A74EC">
              <w:rPr>
                <w:lang w:val="lv-LV"/>
              </w:rPr>
              <w:t xml:space="preserve"> </w:t>
            </w:r>
            <w:r w:rsidR="003B71D2">
              <w:rPr>
                <w:lang w:val="lv-LV"/>
              </w:rPr>
              <w:t>zālēm papildus uzraudzību ar papildus informācijas norādi</w:t>
            </w:r>
            <w:r w:rsidR="00EF2C60" w:rsidRPr="001A74EC">
              <w:rPr>
                <w:lang w:val="lv-LV"/>
              </w:rPr>
              <w:t xml:space="preserve"> </w:t>
            </w:r>
            <w:r w:rsidR="003B71D2">
              <w:rPr>
                <w:lang w:val="lv-LV"/>
              </w:rPr>
              <w:t>to</w:t>
            </w:r>
            <w:r w:rsidRPr="001A74EC">
              <w:rPr>
                <w:lang w:val="lv-LV"/>
              </w:rPr>
              <w:t xml:space="preserve"> lietošanas instrukcijās</w:t>
            </w:r>
          </w:p>
        </w:tc>
      </w:tr>
      <w:tr w:rsidR="00CB2893" w:rsidRPr="001A74EC" w:rsidTr="00AC6E58">
        <w:tc>
          <w:tcPr>
            <w:tcW w:w="534" w:type="dxa"/>
          </w:tcPr>
          <w:p w:rsidR="00CB2893" w:rsidRPr="001A74EC" w:rsidRDefault="00CB2893" w:rsidP="00E20041">
            <w:pPr>
              <w:rPr>
                <w:lang w:val="lv-LV"/>
              </w:rPr>
            </w:pPr>
            <w:r w:rsidRPr="001A74EC">
              <w:rPr>
                <w:lang w:val="lv-LV"/>
              </w:rPr>
              <w:t>5.</w:t>
            </w:r>
          </w:p>
        </w:tc>
        <w:tc>
          <w:tcPr>
            <w:tcW w:w="3402" w:type="dxa"/>
          </w:tcPr>
          <w:p w:rsidR="00CB2893" w:rsidRPr="001A74EC" w:rsidRDefault="00CB2893" w:rsidP="00E20041">
            <w:pPr>
              <w:jc w:val="both"/>
              <w:rPr>
                <w:lang w:val="lv-LV"/>
              </w:rPr>
            </w:pPr>
            <w:r w:rsidRPr="001A74EC">
              <w:rPr>
                <w:lang w:val="lv-LV"/>
              </w:rPr>
              <w:t>Administratīvās procedūras raksturojums</w:t>
            </w:r>
          </w:p>
        </w:tc>
        <w:tc>
          <w:tcPr>
            <w:tcW w:w="5408" w:type="dxa"/>
          </w:tcPr>
          <w:p w:rsidR="00CB2893" w:rsidRPr="001A74EC" w:rsidRDefault="00EF2C60" w:rsidP="00EF2C60">
            <w:pPr>
              <w:rPr>
                <w:lang w:val="lv-LV"/>
              </w:rPr>
            </w:pPr>
            <w:r w:rsidRPr="001A74EC">
              <w:rPr>
                <w:lang w:val="lv-LV"/>
              </w:rPr>
              <w:t>Noteikumu p</w:t>
            </w:r>
            <w:r w:rsidR="00F00812" w:rsidRPr="001A74EC">
              <w:rPr>
                <w:lang w:val="lv-LV"/>
              </w:rPr>
              <w:t xml:space="preserve">rojekts </w:t>
            </w:r>
            <w:r w:rsidRPr="001A74EC">
              <w:rPr>
                <w:lang w:val="lv-LV"/>
              </w:rPr>
              <w:t>administratīvās procedūras neietekmē.</w:t>
            </w:r>
          </w:p>
        </w:tc>
      </w:tr>
      <w:tr w:rsidR="00CB2893" w:rsidRPr="001A74EC" w:rsidTr="00AC6E58">
        <w:tc>
          <w:tcPr>
            <w:tcW w:w="534" w:type="dxa"/>
          </w:tcPr>
          <w:p w:rsidR="00CB2893" w:rsidRPr="001A74EC" w:rsidRDefault="00CB2893" w:rsidP="00E20041">
            <w:pPr>
              <w:rPr>
                <w:lang w:val="lv-LV"/>
              </w:rPr>
            </w:pPr>
            <w:r w:rsidRPr="001A74EC">
              <w:rPr>
                <w:lang w:val="lv-LV"/>
              </w:rPr>
              <w:t>6.</w:t>
            </w:r>
          </w:p>
        </w:tc>
        <w:tc>
          <w:tcPr>
            <w:tcW w:w="3402" w:type="dxa"/>
          </w:tcPr>
          <w:p w:rsidR="00CB2893" w:rsidRPr="001A74EC" w:rsidRDefault="00CB2893" w:rsidP="00E20041">
            <w:pPr>
              <w:jc w:val="both"/>
              <w:rPr>
                <w:lang w:val="lv-LV"/>
              </w:rPr>
            </w:pPr>
            <w:r w:rsidRPr="001A74EC">
              <w:rPr>
                <w:lang w:val="lv-LV"/>
              </w:rPr>
              <w:t>Administratīvo izmaksu monetārs novērtējums</w:t>
            </w:r>
          </w:p>
        </w:tc>
        <w:tc>
          <w:tcPr>
            <w:tcW w:w="5408" w:type="dxa"/>
          </w:tcPr>
          <w:p w:rsidR="00CB2893" w:rsidRPr="001A74EC" w:rsidRDefault="00EE5163" w:rsidP="00E20041">
            <w:pPr>
              <w:rPr>
                <w:lang w:val="lv-LV"/>
              </w:rPr>
            </w:pPr>
            <w:r w:rsidRPr="001A74EC">
              <w:rPr>
                <w:lang w:val="lv-LV"/>
              </w:rPr>
              <w:t>P</w:t>
            </w:r>
            <w:r w:rsidR="00F00812" w:rsidRPr="001A74EC">
              <w:rPr>
                <w:lang w:val="lv-LV"/>
              </w:rPr>
              <w:t>rojekts šo jomu neskar</w:t>
            </w:r>
          </w:p>
        </w:tc>
      </w:tr>
      <w:tr w:rsidR="00CB2893" w:rsidRPr="001A74EC" w:rsidTr="00AC6E58">
        <w:trPr>
          <w:trHeight w:val="337"/>
        </w:trPr>
        <w:tc>
          <w:tcPr>
            <w:tcW w:w="534" w:type="dxa"/>
          </w:tcPr>
          <w:p w:rsidR="00CB2893" w:rsidRPr="001A74EC" w:rsidRDefault="001A7FB2" w:rsidP="00E20041">
            <w:pPr>
              <w:rPr>
                <w:lang w:val="lv-LV"/>
              </w:rPr>
            </w:pPr>
            <w:r w:rsidRPr="001A74EC">
              <w:rPr>
                <w:lang w:val="lv-LV"/>
              </w:rPr>
              <w:t>7.</w:t>
            </w:r>
          </w:p>
        </w:tc>
        <w:tc>
          <w:tcPr>
            <w:tcW w:w="3402" w:type="dxa"/>
          </w:tcPr>
          <w:p w:rsidR="00CB2893" w:rsidRPr="001A74EC" w:rsidRDefault="001A7FB2" w:rsidP="00E20041">
            <w:pPr>
              <w:jc w:val="both"/>
              <w:rPr>
                <w:lang w:val="lv-LV"/>
              </w:rPr>
            </w:pPr>
            <w:r w:rsidRPr="001A74EC">
              <w:rPr>
                <w:lang w:val="lv-LV"/>
              </w:rPr>
              <w:t>Cita inform</w:t>
            </w:r>
            <w:r w:rsidR="000A16CA" w:rsidRPr="001A74EC">
              <w:rPr>
                <w:lang w:val="lv-LV"/>
              </w:rPr>
              <w:t>ā</w:t>
            </w:r>
            <w:r w:rsidR="00CB2893" w:rsidRPr="001A74EC">
              <w:rPr>
                <w:lang w:val="lv-LV"/>
              </w:rPr>
              <w:t>cija</w:t>
            </w:r>
          </w:p>
        </w:tc>
        <w:tc>
          <w:tcPr>
            <w:tcW w:w="5408" w:type="dxa"/>
          </w:tcPr>
          <w:p w:rsidR="00CB2893" w:rsidRPr="001A74EC" w:rsidRDefault="00FD245D" w:rsidP="001A7FB2">
            <w:pPr>
              <w:pStyle w:val="naiskr"/>
              <w:spacing w:before="0" w:after="0"/>
              <w:jc w:val="both"/>
            </w:pPr>
            <w:r w:rsidRPr="001A74EC">
              <w:rPr>
                <w:iCs/>
              </w:rPr>
              <w:t>Nav</w:t>
            </w:r>
          </w:p>
        </w:tc>
      </w:tr>
    </w:tbl>
    <w:p w:rsidR="0034672E" w:rsidRPr="001A74EC" w:rsidRDefault="0034672E" w:rsidP="0034672E">
      <w:pPr>
        <w:jc w:val="both"/>
        <w:rPr>
          <w:lang w:val="lv-LV"/>
        </w:rPr>
      </w:pPr>
    </w:p>
    <w:p w:rsidR="005B7014" w:rsidRPr="001A74EC" w:rsidRDefault="005B7014" w:rsidP="000A16CA">
      <w:pPr>
        <w:pStyle w:val="Bezatstarpm"/>
        <w:jc w:val="center"/>
        <w:rPr>
          <w:rFonts w:ascii="Times New Roman" w:hAnsi="Times New Roman"/>
          <w:sz w:val="24"/>
          <w:szCs w:val="24"/>
        </w:rPr>
      </w:pPr>
      <w:r w:rsidRPr="001A74EC">
        <w:rPr>
          <w:rFonts w:ascii="Times New Roman" w:hAnsi="Times New Roman"/>
          <w:sz w:val="24"/>
          <w:szCs w:val="24"/>
        </w:rPr>
        <w:t>Anotā</w:t>
      </w:r>
      <w:r w:rsidR="00CB2098" w:rsidRPr="001A74EC">
        <w:rPr>
          <w:rFonts w:ascii="Times New Roman" w:hAnsi="Times New Roman"/>
          <w:sz w:val="24"/>
          <w:szCs w:val="24"/>
        </w:rPr>
        <w:t xml:space="preserve">cijas III sadaļa - projekts šo </w:t>
      </w:r>
      <w:r w:rsidRPr="001A74EC">
        <w:rPr>
          <w:rFonts w:ascii="Times New Roman" w:hAnsi="Times New Roman"/>
          <w:sz w:val="24"/>
          <w:szCs w:val="24"/>
        </w:rPr>
        <w:t>jomu neskar.</w:t>
      </w:r>
    </w:p>
    <w:p w:rsidR="00CB2893" w:rsidRPr="001A74EC" w:rsidRDefault="00CB2893" w:rsidP="000A16CA">
      <w:pPr>
        <w:pStyle w:val="Bezatstarpm"/>
        <w:rPr>
          <w:rFonts w:ascii="Times New Roman" w:hAnsi="Times New Roman"/>
          <w:i/>
          <w:sz w:val="24"/>
          <w:szCs w:val="24"/>
        </w:rPr>
      </w:pPr>
    </w:p>
    <w:tbl>
      <w:tblPr>
        <w:tblW w:w="9420"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42"/>
        <w:gridCol w:w="7070"/>
      </w:tblGrid>
      <w:tr w:rsidR="00CB2893" w:rsidRPr="00426D06" w:rsidTr="001A7FB2">
        <w:trPr>
          <w:jc w:val="center"/>
        </w:trPr>
        <w:tc>
          <w:tcPr>
            <w:tcW w:w="9420" w:type="dxa"/>
            <w:gridSpan w:val="3"/>
          </w:tcPr>
          <w:p w:rsidR="00CB2893" w:rsidRPr="001A74EC" w:rsidRDefault="00CB2893" w:rsidP="00E20041">
            <w:pPr>
              <w:pStyle w:val="naisnod"/>
              <w:spacing w:before="0" w:after="0"/>
              <w:rPr>
                <w:sz w:val="28"/>
                <w:szCs w:val="28"/>
              </w:rPr>
            </w:pPr>
            <w:r w:rsidRPr="001A74EC">
              <w:rPr>
                <w:sz w:val="28"/>
                <w:szCs w:val="28"/>
              </w:rPr>
              <w:t>IV. Tiesību akta projekta ietekme uz spēkā esošo tiesību normu sistēmu</w:t>
            </w:r>
          </w:p>
        </w:tc>
      </w:tr>
      <w:tr w:rsidR="00CB2893" w:rsidRPr="00426D06" w:rsidTr="00D03BCB">
        <w:trPr>
          <w:jc w:val="center"/>
        </w:trPr>
        <w:tc>
          <w:tcPr>
            <w:tcW w:w="508" w:type="dxa"/>
          </w:tcPr>
          <w:p w:rsidR="00CB2893" w:rsidRPr="001A74EC" w:rsidRDefault="00CB2893" w:rsidP="001A7FB2">
            <w:pPr>
              <w:pStyle w:val="naiskr"/>
              <w:tabs>
                <w:tab w:val="left" w:pos="2628"/>
              </w:tabs>
              <w:spacing w:before="0" w:after="0"/>
              <w:ind w:left="-228"/>
              <w:jc w:val="both"/>
              <w:rPr>
                <w:iCs/>
              </w:rPr>
            </w:pPr>
            <w:r w:rsidRPr="001A74EC">
              <w:rPr>
                <w:iCs/>
              </w:rPr>
              <w:t>1</w:t>
            </w:r>
            <w:r w:rsidR="001A7FB2" w:rsidRPr="001A74EC">
              <w:rPr>
                <w:iCs/>
              </w:rPr>
              <w:t>1.</w:t>
            </w:r>
          </w:p>
        </w:tc>
        <w:tc>
          <w:tcPr>
            <w:tcW w:w="1842" w:type="dxa"/>
          </w:tcPr>
          <w:p w:rsidR="00CB2893" w:rsidRPr="001A74EC" w:rsidRDefault="00CB2893" w:rsidP="00E20041">
            <w:pPr>
              <w:pStyle w:val="naiskr"/>
              <w:tabs>
                <w:tab w:val="left" w:pos="2628"/>
              </w:tabs>
              <w:spacing w:before="0" w:after="0"/>
              <w:jc w:val="both"/>
              <w:rPr>
                <w:iCs/>
              </w:rPr>
            </w:pPr>
            <w:r w:rsidRPr="001A74EC">
              <w:t>Nepieciešamie saistītie tiesību aktu projekti</w:t>
            </w:r>
          </w:p>
        </w:tc>
        <w:tc>
          <w:tcPr>
            <w:tcW w:w="7070" w:type="dxa"/>
          </w:tcPr>
          <w:p w:rsidR="008E153A" w:rsidRPr="001A74EC" w:rsidRDefault="002B667F" w:rsidP="008E153A">
            <w:pPr>
              <w:pStyle w:val="naisf"/>
              <w:spacing w:before="0" w:beforeAutospacing="0" w:after="0" w:afterAutospacing="0"/>
              <w:jc w:val="both"/>
              <w:rPr>
                <w:spacing w:val="-6"/>
                <w:lang w:val="lv-LV"/>
              </w:rPr>
            </w:pPr>
            <w:r w:rsidRPr="001A74EC">
              <w:rPr>
                <w:spacing w:val="-6"/>
                <w:lang w:val="lv-LV"/>
              </w:rPr>
              <w:t>Lai ieviestu pilnībā</w:t>
            </w:r>
            <w:r w:rsidR="00AB2B0D" w:rsidRPr="001A74EC">
              <w:rPr>
                <w:spacing w:val="-6"/>
                <w:lang w:val="lv-LV"/>
              </w:rPr>
              <w:t xml:space="preserve"> Direktīvas 2010/84/ES normas, ir nepieciešams</w:t>
            </w:r>
            <w:r w:rsidR="008022B8" w:rsidRPr="001A74EC">
              <w:rPr>
                <w:spacing w:val="-6"/>
                <w:lang w:val="lv-LV"/>
              </w:rPr>
              <w:t xml:space="preserve"> p</w:t>
            </w:r>
            <w:r w:rsidR="00754720" w:rsidRPr="001A74EC">
              <w:rPr>
                <w:spacing w:val="-6"/>
                <w:lang w:val="lv-LV"/>
              </w:rPr>
              <w:t>ieņemt</w:t>
            </w:r>
            <w:r w:rsidR="008E153A" w:rsidRPr="001A74EC">
              <w:rPr>
                <w:spacing w:val="-6"/>
                <w:lang w:val="lv-LV"/>
              </w:rPr>
              <w:t>:</w:t>
            </w:r>
          </w:p>
          <w:p w:rsidR="00CB5E68" w:rsidRPr="001A74EC" w:rsidRDefault="008022B8" w:rsidP="00D964EB">
            <w:pPr>
              <w:pStyle w:val="naisf"/>
              <w:spacing w:before="0" w:beforeAutospacing="0" w:after="0" w:afterAutospacing="0"/>
              <w:jc w:val="both"/>
              <w:rPr>
                <w:spacing w:val="-6"/>
                <w:lang w:val="lv-LV"/>
              </w:rPr>
            </w:pPr>
            <w:r w:rsidRPr="001A74EC">
              <w:rPr>
                <w:spacing w:val="-6"/>
                <w:lang w:val="lv-LV"/>
              </w:rPr>
              <w:t>1.</w:t>
            </w:r>
            <w:r w:rsidR="00E64D7C" w:rsidRPr="001A74EC">
              <w:rPr>
                <w:spacing w:val="-6"/>
                <w:lang w:val="lv-LV"/>
              </w:rPr>
              <w:t> </w:t>
            </w:r>
            <w:r w:rsidRPr="001A74EC">
              <w:rPr>
                <w:spacing w:val="-6"/>
                <w:lang w:val="lv-LV"/>
              </w:rPr>
              <w:t>J</w:t>
            </w:r>
            <w:r w:rsidR="00AB2B0D" w:rsidRPr="001A74EC">
              <w:rPr>
                <w:spacing w:val="-6"/>
                <w:lang w:val="lv-LV"/>
              </w:rPr>
              <w:t xml:space="preserve">aunus noteikumus par </w:t>
            </w:r>
            <w:proofErr w:type="spellStart"/>
            <w:r w:rsidR="00AB2B0D" w:rsidRPr="001A74EC">
              <w:rPr>
                <w:spacing w:val="-6"/>
                <w:lang w:val="lv-LV"/>
              </w:rPr>
              <w:t>farmakovigilanci</w:t>
            </w:r>
            <w:proofErr w:type="spellEnd"/>
            <w:r w:rsidR="00AB2B0D" w:rsidRPr="001A74EC">
              <w:rPr>
                <w:spacing w:val="-6"/>
                <w:lang w:val="lv-LV"/>
              </w:rPr>
              <w:t>, lai uzraudzītu reģistrēto zāļu lietošanas drošumu un konstatētu jebkādas riska un ieguvuma samēra izmaiņas</w:t>
            </w:r>
            <w:r w:rsidR="00E86D01" w:rsidRPr="001A74EC">
              <w:rPr>
                <w:spacing w:val="-6"/>
                <w:lang w:val="lv-LV"/>
              </w:rPr>
              <w:t>.</w:t>
            </w:r>
            <w:r w:rsidR="003E6725" w:rsidRPr="001A74EC">
              <w:rPr>
                <w:spacing w:val="-6"/>
                <w:lang w:val="lv-LV"/>
              </w:rPr>
              <w:t xml:space="preserve"> </w:t>
            </w:r>
            <w:r w:rsidR="00E86D01" w:rsidRPr="001A74EC">
              <w:rPr>
                <w:lang w:val="lv-LV"/>
              </w:rPr>
              <w:t>Ministru kabineta noteikumu projekts ”</w:t>
            </w:r>
            <w:proofErr w:type="spellStart"/>
            <w:r w:rsidR="00E86D01" w:rsidRPr="001A74EC">
              <w:rPr>
                <w:lang w:val="lv-LV"/>
              </w:rPr>
              <w:t>Farmakovigilances</w:t>
            </w:r>
            <w:proofErr w:type="spellEnd"/>
            <w:r w:rsidR="00E86D01" w:rsidRPr="001A74EC">
              <w:rPr>
                <w:lang w:val="lv-LV"/>
              </w:rPr>
              <w:t xml:space="preserve"> kārtība”, izsludināts Valsts sekretāru 2012.gada 24.maija sanāksmē (VSS</w:t>
            </w:r>
            <w:r w:rsidR="007A6CDC" w:rsidRPr="001A74EC">
              <w:rPr>
                <w:lang w:val="lv-LV"/>
              </w:rPr>
              <w:t> </w:t>
            </w:r>
            <w:r w:rsidR="00E86D01" w:rsidRPr="001A74EC">
              <w:rPr>
                <w:lang w:val="lv-LV"/>
              </w:rPr>
              <w:t>-</w:t>
            </w:r>
            <w:r w:rsidR="007A6CDC" w:rsidRPr="001A74EC">
              <w:rPr>
                <w:lang w:val="lv-LV"/>
              </w:rPr>
              <w:t> </w:t>
            </w:r>
            <w:r w:rsidR="006D4780">
              <w:rPr>
                <w:lang w:val="lv-LV"/>
              </w:rPr>
              <w:t xml:space="preserve">512) un pieņemti Ministru kabinetā 2013.gada 22.janvārī, </w:t>
            </w:r>
            <w:r w:rsidR="00E86D01" w:rsidRPr="001A74EC">
              <w:rPr>
                <w:lang w:val="lv-LV"/>
              </w:rPr>
              <w:t>kas aizvietos esošos Ministru kabineta 2006.gada 6.decembra noteikum</w:t>
            </w:r>
            <w:r w:rsidR="002B667F" w:rsidRPr="001A74EC">
              <w:rPr>
                <w:lang w:val="lv-LV"/>
              </w:rPr>
              <w:t>us</w:t>
            </w:r>
            <w:r w:rsidR="00E86D01" w:rsidRPr="001A74EC">
              <w:rPr>
                <w:lang w:val="lv-LV"/>
              </w:rPr>
              <w:t xml:space="preserve"> Nr.919 “Zāļu lietošanas izraisīto blak</w:t>
            </w:r>
            <w:r w:rsidRPr="001A74EC">
              <w:rPr>
                <w:lang w:val="lv-LV"/>
              </w:rPr>
              <w:t>usparādību uzraudzības kārtība”.</w:t>
            </w:r>
          </w:p>
          <w:p w:rsidR="00F70FB2" w:rsidRDefault="00F70FB2" w:rsidP="008E153A">
            <w:pPr>
              <w:jc w:val="both"/>
              <w:rPr>
                <w:spacing w:val="-6"/>
                <w:lang w:val="lv-LV"/>
              </w:rPr>
            </w:pPr>
          </w:p>
          <w:p w:rsidR="00102F3B" w:rsidRDefault="008E153A" w:rsidP="00FB18A4">
            <w:pPr>
              <w:jc w:val="both"/>
              <w:rPr>
                <w:lang w:val="lv-LV"/>
              </w:rPr>
            </w:pPr>
            <w:r w:rsidRPr="001A74EC">
              <w:rPr>
                <w:spacing w:val="-6"/>
                <w:lang w:val="lv-LV"/>
              </w:rPr>
              <w:t>2. </w:t>
            </w:r>
            <w:r w:rsidR="008022B8" w:rsidRPr="001A74EC">
              <w:rPr>
                <w:spacing w:val="-6"/>
                <w:lang w:val="lv-LV"/>
              </w:rPr>
              <w:t>G</w:t>
            </w:r>
            <w:r w:rsidR="005A6ABA" w:rsidRPr="001A74EC">
              <w:rPr>
                <w:spacing w:val="-6"/>
                <w:lang w:val="lv-LV"/>
              </w:rPr>
              <w:t xml:space="preserve">rozījumus </w:t>
            </w:r>
            <w:r w:rsidR="00C61BE7" w:rsidRPr="001A74EC">
              <w:rPr>
                <w:lang w:val="lv-LV"/>
              </w:rPr>
              <w:t xml:space="preserve">Ministru kabineta 2006.gada 9.maija noteikumos Nr.376 ”Zāļu reģistrēšanas kārtība” </w:t>
            </w:r>
            <w:r w:rsidR="00507C0E" w:rsidRPr="001A74EC">
              <w:rPr>
                <w:lang w:val="lv-LV"/>
              </w:rPr>
              <w:t>(turpmāk - </w:t>
            </w:r>
            <w:r w:rsidR="00EF2C60" w:rsidRPr="001A74EC">
              <w:rPr>
                <w:lang w:val="lv-LV"/>
              </w:rPr>
              <w:t>MK noteikum</w:t>
            </w:r>
            <w:r w:rsidR="003056C3" w:rsidRPr="001A74EC">
              <w:rPr>
                <w:lang w:val="lv-LV"/>
              </w:rPr>
              <w:t>i</w:t>
            </w:r>
            <w:r w:rsidR="00EF2C60" w:rsidRPr="001A74EC">
              <w:rPr>
                <w:lang w:val="lv-LV"/>
              </w:rPr>
              <w:t xml:space="preserve"> Nr.376) </w:t>
            </w:r>
            <w:r w:rsidR="00EC63ED" w:rsidRPr="001A74EC">
              <w:rPr>
                <w:spacing w:val="-6"/>
                <w:lang w:val="lv-LV"/>
              </w:rPr>
              <w:t xml:space="preserve">saistībā ar </w:t>
            </w:r>
            <w:r w:rsidR="00C61BE7" w:rsidRPr="001A74EC">
              <w:rPr>
                <w:lang w:val="lv-LV"/>
              </w:rPr>
              <w:t>saistībā ar zāļu reģistrāciju, lai ieviestu jaunus pasākumus zāļu drošuma uzraudzībai</w:t>
            </w:r>
            <w:r w:rsidR="00220757" w:rsidRPr="001A74EC">
              <w:rPr>
                <w:spacing w:val="-6"/>
                <w:lang w:val="lv-LV"/>
              </w:rPr>
              <w:t>.</w:t>
            </w:r>
            <w:r w:rsidR="0034698A" w:rsidRPr="001A74EC">
              <w:rPr>
                <w:spacing w:val="-6"/>
                <w:lang w:val="lv-LV"/>
              </w:rPr>
              <w:t xml:space="preserve"> </w:t>
            </w:r>
            <w:r w:rsidR="0034698A" w:rsidRPr="001A74EC">
              <w:rPr>
                <w:lang w:val="lv-LV"/>
              </w:rPr>
              <w:t>Ministru kabineta noteikumu projekt</w:t>
            </w:r>
            <w:r w:rsidR="00F2260E" w:rsidRPr="001A74EC">
              <w:rPr>
                <w:lang w:val="lv-LV"/>
              </w:rPr>
              <w:t>u</w:t>
            </w:r>
            <w:r w:rsidR="0034698A" w:rsidRPr="001A74EC">
              <w:rPr>
                <w:lang w:val="lv-LV"/>
              </w:rPr>
              <w:t xml:space="preserve"> </w:t>
            </w:r>
            <w:r w:rsidR="00412D3D" w:rsidRPr="001A74EC">
              <w:rPr>
                <w:lang w:val="lv-LV"/>
              </w:rPr>
              <w:t xml:space="preserve">”Grozījumi </w:t>
            </w:r>
            <w:r w:rsidR="00C61BE7" w:rsidRPr="001A74EC">
              <w:rPr>
                <w:lang w:val="lv-LV"/>
              </w:rPr>
              <w:t>Ministru kabineta 2006.gada 9.maija noteikumos Nr.376 ”Zāļu reģistrēšanas kārtība”</w:t>
            </w:r>
            <w:r w:rsidR="00304587" w:rsidRPr="001A74EC">
              <w:rPr>
                <w:lang w:val="lv-LV"/>
              </w:rPr>
              <w:t xml:space="preserve">” </w:t>
            </w:r>
            <w:r w:rsidR="001D3FAB" w:rsidRPr="001A74EC">
              <w:rPr>
                <w:lang w:val="lv-LV"/>
              </w:rPr>
              <w:t>ir izsludināt</w:t>
            </w:r>
            <w:r w:rsidR="00046C3E" w:rsidRPr="001A74EC">
              <w:rPr>
                <w:lang w:val="lv-LV"/>
              </w:rPr>
              <w:t>a</w:t>
            </w:r>
            <w:r w:rsidR="001D3FAB" w:rsidRPr="001A74EC">
              <w:rPr>
                <w:lang w:val="lv-LV"/>
              </w:rPr>
              <w:t xml:space="preserve"> Valsts sekretāru sanāksmē 2012.gada </w:t>
            </w:r>
            <w:r w:rsidR="00046C3E" w:rsidRPr="001A74EC">
              <w:rPr>
                <w:lang w:val="lv-LV"/>
              </w:rPr>
              <w:t>12.</w:t>
            </w:r>
            <w:r w:rsidR="008D338D" w:rsidRPr="001A74EC">
              <w:rPr>
                <w:lang w:val="lv-LV"/>
              </w:rPr>
              <w:t>oktobrī</w:t>
            </w:r>
            <w:r w:rsidRPr="001A74EC">
              <w:rPr>
                <w:lang w:val="lv-LV"/>
              </w:rPr>
              <w:t xml:space="preserve"> (VSS -</w:t>
            </w:r>
            <w:r w:rsidR="007A6CDC" w:rsidRPr="001A74EC">
              <w:rPr>
                <w:lang w:val="lv-LV"/>
              </w:rPr>
              <w:t> </w:t>
            </w:r>
            <w:r w:rsidR="00046C3E" w:rsidRPr="001A74EC">
              <w:rPr>
                <w:lang w:val="lv-LV"/>
              </w:rPr>
              <w:t>1067</w:t>
            </w:r>
            <w:r w:rsidR="00855129">
              <w:rPr>
                <w:lang w:val="lv-LV"/>
              </w:rPr>
              <w:t>). Paredzēts iesniegt Ministru kabinetā līdz 2013.gada 1.februārim.</w:t>
            </w:r>
          </w:p>
          <w:p w:rsidR="00135798" w:rsidRDefault="00135798" w:rsidP="00FB18A4">
            <w:pPr>
              <w:jc w:val="both"/>
              <w:rPr>
                <w:lang w:val="lv-LV"/>
              </w:rPr>
            </w:pPr>
          </w:p>
          <w:p w:rsidR="00135798" w:rsidRPr="005E178F" w:rsidRDefault="00130DD0" w:rsidP="00135798">
            <w:pPr>
              <w:shd w:val="clear" w:color="auto" w:fill="FFFFFF"/>
              <w:ind w:left="10" w:right="38" w:hanging="10"/>
              <w:jc w:val="both"/>
              <w:rPr>
                <w:lang w:val="lv-LV"/>
              </w:rPr>
            </w:pPr>
            <w:r w:rsidRPr="005E178F">
              <w:rPr>
                <w:lang w:val="lv-LV"/>
              </w:rPr>
              <w:t>3. G</w:t>
            </w:r>
            <w:r w:rsidRPr="005E178F">
              <w:rPr>
                <w:spacing w:val="-6"/>
                <w:lang w:val="lv-LV"/>
              </w:rPr>
              <w:t>rozījumus</w:t>
            </w:r>
            <w:r w:rsidR="00135798" w:rsidRPr="005E178F">
              <w:rPr>
                <w:spacing w:val="-6"/>
                <w:lang w:val="lv-LV"/>
              </w:rPr>
              <w:t xml:space="preserve"> </w:t>
            </w:r>
            <w:r w:rsidR="00135798" w:rsidRPr="005E178F">
              <w:rPr>
                <w:lang w:val="lv-LV"/>
              </w:rPr>
              <w:t>Ministru kabineta 2007.gada 26.jūnija noteikumos Nr.416 ”Zāļu izplatīšanas un kvalitātes kontroles kārtība” (turpmāk - MK noteikumi Nr.416), kurus paredzēts iesniegts Ministru kabinetā 2013.gada I ceturksnī, lai</w:t>
            </w:r>
            <w:r w:rsidR="00135798" w:rsidRPr="005E178F">
              <w:rPr>
                <w:spacing w:val="-6"/>
                <w:lang w:val="lv-LV"/>
              </w:rPr>
              <w:t xml:space="preserve"> </w:t>
            </w:r>
            <w:r w:rsidR="00135798" w:rsidRPr="005E178F">
              <w:rPr>
                <w:lang w:val="lv-LV"/>
              </w:rPr>
              <w:t xml:space="preserve">tehniski precizētu MK noteikumu Nr.416 112.punkta normu atbilstoši Direktīvas Nr.2010/84/ES 1.panta 23.punkta a) apakšpunkta normai, un </w:t>
            </w:r>
            <w:r w:rsidR="00135798" w:rsidRPr="005E178F">
              <w:rPr>
                <w:color w:val="000000"/>
                <w:lang w:val="lv-LV"/>
              </w:rPr>
              <w:t xml:space="preserve">atļautu </w:t>
            </w:r>
            <w:r w:rsidR="00135798" w:rsidRPr="005E178F">
              <w:rPr>
                <w:rFonts w:cs="EUAlbertina"/>
                <w:lang w:val="lv-LV"/>
              </w:rPr>
              <w:t xml:space="preserve">ārkārtas apstākļos </w:t>
            </w:r>
            <w:r w:rsidR="00135798" w:rsidRPr="005E178F">
              <w:rPr>
                <w:rFonts w:cs="EUAlbertina"/>
                <w:lang w:val="lv-LV"/>
              </w:rPr>
              <w:lastRenderedPageBreak/>
              <w:t xml:space="preserve">piegādāt pārejas periodā zāles pacientiem, kas ar tām jau tiek ārstēti, ja zāļu piegāde tiek aizliegta, vai zāles tiek atsauktas no tirgus. </w:t>
            </w:r>
            <w:r w:rsidR="00135798" w:rsidRPr="005E178F">
              <w:rPr>
                <w:lang w:val="lv-LV"/>
              </w:rPr>
              <w:t>Šajā gadījumā tiktu novērstas kritiskas situācijas, kad zāļu nepieejamības dēļ var būt apdraudēta pacienta veselība vai dzīvība.</w:t>
            </w:r>
          </w:p>
          <w:p w:rsidR="00135798" w:rsidRPr="005E178F" w:rsidRDefault="00135798" w:rsidP="00135798">
            <w:pPr>
              <w:shd w:val="clear" w:color="auto" w:fill="FFFFFF"/>
              <w:ind w:right="38"/>
              <w:jc w:val="both"/>
              <w:rPr>
                <w:lang w:val="lv-LV"/>
              </w:rPr>
            </w:pPr>
            <w:r w:rsidRPr="005E178F">
              <w:rPr>
                <w:lang w:val="lv-LV"/>
              </w:rPr>
              <w:t>Noteikumu projektu ir paredzēts izsludināt Valsts</w:t>
            </w:r>
            <w:r w:rsidR="001A5F7E">
              <w:rPr>
                <w:lang w:val="lv-LV"/>
              </w:rPr>
              <w:t xml:space="preserve"> sekretāru sanāksmē 2013.gada I </w:t>
            </w:r>
            <w:r w:rsidRPr="005E178F">
              <w:rPr>
                <w:lang w:val="lv-LV"/>
              </w:rPr>
              <w:t xml:space="preserve">ceturksnī, vienlaicīgi ieviešot </w:t>
            </w:r>
            <w:r w:rsidRPr="005E178F">
              <w:rPr>
                <w:bCs/>
                <w:spacing w:val="-6"/>
                <w:lang w:val="lv-LV"/>
              </w:rPr>
              <w:t>Eiropas Parlamenta un Padomes 2011.gada  8.jūnija Direktīvas 2011/62/ES, ar ko groza Direktīvu 2001/83/EK par Kopienas kodeksu, kas attiecas uz cilvēkiem paredzētām zālēm, attiecībā uz to, kā novērst viltotu zāļu nokļūšanu legālas piegādes ķēdē.</w:t>
            </w:r>
          </w:p>
          <w:p w:rsidR="00135798" w:rsidRPr="005E178F" w:rsidRDefault="00135798" w:rsidP="00135798">
            <w:pPr>
              <w:pStyle w:val="Sarakstarindkopa"/>
              <w:spacing w:after="0" w:line="240" w:lineRule="auto"/>
              <w:ind w:left="0" w:right="-2"/>
              <w:jc w:val="both"/>
              <w:rPr>
                <w:rFonts w:ascii="Times New Roman" w:hAnsi="Times New Roman"/>
                <w:sz w:val="24"/>
                <w:szCs w:val="24"/>
              </w:rPr>
            </w:pPr>
            <w:r w:rsidRPr="005E178F">
              <w:rPr>
                <w:rFonts w:ascii="Times New Roman" w:hAnsi="Times New Roman"/>
                <w:sz w:val="24"/>
                <w:szCs w:val="24"/>
              </w:rPr>
              <w:t>Atbildīgā institūcija - Veselības ministrija.</w:t>
            </w:r>
          </w:p>
          <w:p w:rsidR="00135798" w:rsidRPr="00F00447" w:rsidRDefault="00135798" w:rsidP="00135798">
            <w:pPr>
              <w:pStyle w:val="Sarakstarindkopa"/>
              <w:spacing w:after="0" w:line="240" w:lineRule="auto"/>
              <w:ind w:left="0" w:right="-2"/>
              <w:jc w:val="both"/>
              <w:rPr>
                <w:rFonts w:ascii="Times New Roman" w:hAnsi="Times New Roman"/>
                <w:sz w:val="24"/>
                <w:szCs w:val="24"/>
              </w:rPr>
            </w:pPr>
          </w:p>
          <w:p w:rsidR="00135798" w:rsidRPr="0002213C" w:rsidRDefault="00135798" w:rsidP="00135798">
            <w:pPr>
              <w:pStyle w:val="Sarakstarindkopa"/>
              <w:spacing w:after="0" w:line="240" w:lineRule="auto"/>
              <w:ind w:left="0" w:right="-2"/>
              <w:jc w:val="both"/>
              <w:rPr>
                <w:rFonts w:ascii="Times New Roman" w:hAnsi="Times New Roman"/>
                <w:sz w:val="24"/>
                <w:szCs w:val="24"/>
              </w:rPr>
            </w:pPr>
            <w:r w:rsidRPr="0002213C">
              <w:rPr>
                <w:rFonts w:ascii="Times New Roman" w:hAnsi="Times New Roman"/>
                <w:sz w:val="24"/>
                <w:szCs w:val="24"/>
              </w:rPr>
              <w:t xml:space="preserve">Direktīvas Nr.2010/84/ES 1.panta 19.punkta norma paredz kompetentajai iestādei </w:t>
            </w:r>
            <w:r w:rsidRPr="0002213C">
              <w:rPr>
                <w:rFonts w:ascii="Times New Roman" w:hAnsi="Times New Roman"/>
                <w:color w:val="000000"/>
                <w:sz w:val="24"/>
                <w:szCs w:val="24"/>
              </w:rPr>
              <w:t>piešķirt pilnīgu vai daļēju atbrīvojumu no pienākuma nodrošināt marķējumu un lietošanas instrukciju tās dalībvalsts oficiālajā valodā, ja nav paredzēts zāles piegādāt tieši pacientam vai ja ir būtiskas problēmas ar zāļu pieejamību, uzliekot veikt pasākumus, kurus tās uzskata par nepieciešamiem cilvēku veselības aizsardzībai</w:t>
            </w:r>
            <w:r w:rsidR="00CF5A1C" w:rsidRPr="0002213C">
              <w:rPr>
                <w:rFonts w:ascii="Times New Roman" w:hAnsi="Times New Roman"/>
                <w:color w:val="000000"/>
                <w:sz w:val="24"/>
                <w:szCs w:val="24"/>
              </w:rPr>
              <w:t>. P</w:t>
            </w:r>
            <w:r w:rsidR="00003927" w:rsidRPr="0002213C">
              <w:rPr>
                <w:rFonts w:ascii="Times New Roman" w:hAnsi="Times New Roman"/>
                <w:color w:val="000000"/>
                <w:sz w:val="24"/>
                <w:szCs w:val="24"/>
              </w:rPr>
              <w:t xml:space="preserve">ašreiz </w:t>
            </w:r>
            <w:r w:rsidRPr="0002213C">
              <w:rPr>
                <w:rFonts w:ascii="Times New Roman" w:hAnsi="Times New Roman"/>
                <w:color w:val="000000"/>
                <w:sz w:val="24"/>
                <w:szCs w:val="24"/>
              </w:rPr>
              <w:t>Farmācijas likuma normas</w:t>
            </w:r>
            <w:r w:rsidR="00003927" w:rsidRPr="0002213C">
              <w:rPr>
                <w:rFonts w:ascii="Times New Roman" w:hAnsi="Times New Roman"/>
                <w:sz w:val="24"/>
                <w:szCs w:val="24"/>
              </w:rPr>
              <w:t xml:space="preserve"> šādu izņēmumu </w:t>
            </w:r>
            <w:r w:rsidR="007D4D13" w:rsidRPr="0002213C">
              <w:rPr>
                <w:rFonts w:ascii="Times New Roman" w:hAnsi="Times New Roman"/>
                <w:sz w:val="24"/>
                <w:szCs w:val="24"/>
              </w:rPr>
              <w:t xml:space="preserve">no marķējuma un zāļu lietošanas instrukcijas atbrīvošanas no informācijas norādes valsts valodā </w:t>
            </w:r>
            <w:r w:rsidR="00CF5A1C" w:rsidRPr="0002213C">
              <w:rPr>
                <w:rFonts w:ascii="Times New Roman" w:hAnsi="Times New Roman"/>
                <w:sz w:val="24"/>
                <w:szCs w:val="24"/>
              </w:rPr>
              <w:t xml:space="preserve">neparedz, kas var būt šķērslis Zāļu valsts aģentūrai pieņemt </w:t>
            </w:r>
            <w:r w:rsidR="009B79A4" w:rsidRPr="0002213C">
              <w:rPr>
                <w:rFonts w:ascii="Times New Roman" w:hAnsi="Times New Roman"/>
                <w:sz w:val="24"/>
                <w:szCs w:val="24"/>
              </w:rPr>
              <w:t xml:space="preserve">atbilstošo </w:t>
            </w:r>
            <w:r w:rsidR="00CF5A1C" w:rsidRPr="0002213C">
              <w:rPr>
                <w:rFonts w:ascii="Times New Roman" w:hAnsi="Times New Roman"/>
                <w:sz w:val="24"/>
                <w:szCs w:val="24"/>
              </w:rPr>
              <w:t>lēmumu.</w:t>
            </w:r>
            <w:r w:rsidRPr="0002213C">
              <w:rPr>
                <w:rFonts w:ascii="Times New Roman" w:hAnsi="Times New Roman"/>
                <w:sz w:val="24"/>
                <w:szCs w:val="24"/>
              </w:rPr>
              <w:t xml:space="preserve"> </w:t>
            </w:r>
          </w:p>
          <w:p w:rsidR="00135798" w:rsidRPr="00135798" w:rsidRDefault="00135798" w:rsidP="009722EB">
            <w:pPr>
              <w:jc w:val="both"/>
              <w:rPr>
                <w:lang w:val="lv-LV"/>
              </w:rPr>
            </w:pPr>
            <w:r w:rsidRPr="0002213C">
              <w:rPr>
                <w:lang w:val="lv-LV"/>
              </w:rPr>
              <w:t xml:space="preserve">Ņemot vērā, ka var rasties situācija, piemēram, kad tirgū laisto zāļu ražošanu uz laiku vai pavisam pārtrauc, vai steidzami nepieciešamas nereģistrētas zāles, </w:t>
            </w:r>
            <w:r w:rsidR="00FB3B57" w:rsidRPr="0002213C">
              <w:rPr>
                <w:lang w:val="lv-LV"/>
              </w:rPr>
              <w:t>vai zāles nepieciešamas, piemē</w:t>
            </w:r>
            <w:r w:rsidR="009B79A4" w:rsidRPr="0002213C">
              <w:rPr>
                <w:lang w:val="lv-LV"/>
              </w:rPr>
              <w:t>ram, katastrofu</w:t>
            </w:r>
            <w:r w:rsidR="00FB3B57" w:rsidRPr="0002213C">
              <w:rPr>
                <w:lang w:val="lv-LV"/>
              </w:rPr>
              <w:t xml:space="preserve"> gadījumā</w:t>
            </w:r>
            <w:r w:rsidR="009B79A4" w:rsidRPr="0002213C">
              <w:rPr>
                <w:lang w:val="lv-LV"/>
              </w:rPr>
              <w:t>,</w:t>
            </w:r>
            <w:r w:rsidR="00FB3B57" w:rsidRPr="0002213C">
              <w:rPr>
                <w:lang w:val="lv-LV"/>
              </w:rPr>
              <w:t xml:space="preserve"> un </w:t>
            </w:r>
            <w:r w:rsidRPr="0002213C">
              <w:rPr>
                <w:lang w:val="lv-LV"/>
              </w:rPr>
              <w:t xml:space="preserve">laiks, </w:t>
            </w:r>
            <w:r w:rsidR="003D5050" w:rsidRPr="0002213C">
              <w:rPr>
                <w:lang w:val="lv-LV"/>
              </w:rPr>
              <w:t xml:space="preserve">kas vajadzīgs, </w:t>
            </w:r>
            <w:r w:rsidRPr="0002213C">
              <w:rPr>
                <w:lang w:val="lv-LV"/>
              </w:rPr>
              <w:t>lai zālēm nodrošinātu informāciju marķējumā un lietošanas i</w:t>
            </w:r>
            <w:r w:rsidR="00FB3B57" w:rsidRPr="0002213C">
              <w:rPr>
                <w:lang w:val="lv-LV"/>
              </w:rPr>
              <w:t>nstrukcijās valsts valodā</w:t>
            </w:r>
            <w:r w:rsidR="003D5050" w:rsidRPr="0002213C">
              <w:rPr>
                <w:lang w:val="lv-LV"/>
              </w:rPr>
              <w:t>,</w:t>
            </w:r>
            <w:r w:rsidR="00FB3B57" w:rsidRPr="0002213C">
              <w:rPr>
                <w:lang w:val="lv-LV"/>
              </w:rPr>
              <w:t xml:space="preserve"> rada </w:t>
            </w:r>
            <w:r w:rsidRPr="0002213C">
              <w:rPr>
                <w:lang w:val="lv-LV"/>
              </w:rPr>
              <w:t xml:space="preserve">risku patērētāju veselībai un pat dzīvībai, jo vajadzīgās zāles </w:t>
            </w:r>
            <w:r w:rsidR="003D5050" w:rsidRPr="0002213C">
              <w:rPr>
                <w:lang w:val="lv-LV"/>
              </w:rPr>
              <w:t xml:space="preserve">pacienti var nesaņemt ātri, būtu </w:t>
            </w:r>
            <w:r w:rsidRPr="0002213C">
              <w:rPr>
                <w:lang w:val="lv-LV"/>
              </w:rPr>
              <w:t xml:space="preserve">sagatavojami </w:t>
            </w:r>
            <w:r w:rsidR="009B79A4" w:rsidRPr="0002213C">
              <w:rPr>
                <w:lang w:val="lv-LV"/>
              </w:rPr>
              <w:t xml:space="preserve">attiecīgi </w:t>
            </w:r>
            <w:r w:rsidRPr="0002213C">
              <w:rPr>
                <w:lang w:val="lv-LV"/>
              </w:rPr>
              <w:t>grozījumi Farmācijas likumā</w:t>
            </w:r>
            <w:r w:rsidR="009B79A4" w:rsidRPr="0002213C">
              <w:rPr>
                <w:lang w:val="lv-LV"/>
              </w:rPr>
              <w:t>, kas paredzētu šādu izņēmuma gadījumu.</w:t>
            </w:r>
          </w:p>
        </w:tc>
      </w:tr>
      <w:tr w:rsidR="00CB2893" w:rsidRPr="005519A6" w:rsidTr="0058747D">
        <w:trPr>
          <w:trHeight w:val="663"/>
          <w:jc w:val="center"/>
        </w:trPr>
        <w:tc>
          <w:tcPr>
            <w:tcW w:w="508" w:type="dxa"/>
          </w:tcPr>
          <w:p w:rsidR="00CB2893" w:rsidRPr="001A74EC" w:rsidRDefault="00CB2893" w:rsidP="00E20041">
            <w:pPr>
              <w:pStyle w:val="naiskr"/>
              <w:tabs>
                <w:tab w:val="left" w:pos="2628"/>
              </w:tabs>
              <w:spacing w:before="0" w:after="0"/>
              <w:jc w:val="both"/>
              <w:rPr>
                <w:iCs/>
              </w:rPr>
            </w:pPr>
            <w:r w:rsidRPr="001A74EC">
              <w:rPr>
                <w:iCs/>
              </w:rPr>
              <w:lastRenderedPageBreak/>
              <w:t>2.</w:t>
            </w:r>
          </w:p>
        </w:tc>
        <w:tc>
          <w:tcPr>
            <w:tcW w:w="1842" w:type="dxa"/>
          </w:tcPr>
          <w:p w:rsidR="00CB2893" w:rsidRPr="001A74EC" w:rsidRDefault="00CB2893" w:rsidP="00E20041">
            <w:pPr>
              <w:pStyle w:val="naiskr"/>
              <w:tabs>
                <w:tab w:val="left" w:pos="2628"/>
              </w:tabs>
              <w:spacing w:before="0" w:after="0"/>
              <w:jc w:val="both"/>
              <w:rPr>
                <w:iCs/>
              </w:rPr>
            </w:pPr>
            <w:r w:rsidRPr="001A74EC">
              <w:t>Cita informācija</w:t>
            </w:r>
          </w:p>
        </w:tc>
        <w:tc>
          <w:tcPr>
            <w:tcW w:w="7070" w:type="dxa"/>
          </w:tcPr>
          <w:p w:rsidR="005519A6" w:rsidRPr="001A74EC" w:rsidRDefault="007C1238" w:rsidP="00135798">
            <w:pPr>
              <w:ind w:right="-2"/>
              <w:jc w:val="both"/>
            </w:pPr>
            <w:proofErr w:type="spellStart"/>
            <w:r w:rsidRPr="00FB18A4">
              <w:rPr>
                <w:iCs/>
              </w:rPr>
              <w:t>Noteikumu</w:t>
            </w:r>
            <w:proofErr w:type="spellEnd"/>
            <w:r w:rsidRPr="00FB18A4">
              <w:rPr>
                <w:iCs/>
              </w:rPr>
              <w:t xml:space="preserve"> </w:t>
            </w:r>
            <w:proofErr w:type="spellStart"/>
            <w:r w:rsidR="00F82533" w:rsidRPr="00FB18A4">
              <w:t>projekts</w:t>
            </w:r>
            <w:proofErr w:type="spellEnd"/>
            <w:r w:rsidR="00F82533" w:rsidRPr="00FB18A4">
              <w:t xml:space="preserve"> </w:t>
            </w:r>
            <w:proofErr w:type="spellStart"/>
            <w:r w:rsidR="00F82533" w:rsidRPr="00FB18A4">
              <w:t>nestāsies</w:t>
            </w:r>
            <w:proofErr w:type="spellEnd"/>
            <w:r w:rsidR="00F82533" w:rsidRPr="00FB18A4">
              <w:t xml:space="preserve"> spēkā ātrāk par Ministru kabineta noteikumu projektu ”</w:t>
            </w:r>
            <w:proofErr w:type="spellStart"/>
            <w:r w:rsidR="00F82533" w:rsidRPr="00FB18A4">
              <w:t>Farmakovigilances</w:t>
            </w:r>
            <w:proofErr w:type="spellEnd"/>
            <w:r w:rsidR="00F82533" w:rsidRPr="00FB18A4">
              <w:t xml:space="preserve"> </w:t>
            </w:r>
            <w:proofErr w:type="spellStart"/>
            <w:r w:rsidR="00F82533" w:rsidRPr="00FB18A4">
              <w:t>kārtība</w:t>
            </w:r>
            <w:proofErr w:type="spellEnd"/>
            <w:r w:rsidR="00F82533" w:rsidRPr="00FB18A4">
              <w:t>”.</w:t>
            </w:r>
            <w:r w:rsidR="00B20E9B">
              <w:t xml:space="preserve"> </w:t>
            </w:r>
            <w:proofErr w:type="spellStart"/>
            <w:r w:rsidR="00B20E9B" w:rsidRPr="00FB18A4">
              <w:t>Ministru</w:t>
            </w:r>
            <w:proofErr w:type="spellEnd"/>
            <w:r w:rsidR="00B20E9B" w:rsidRPr="00FB18A4">
              <w:t xml:space="preserve"> </w:t>
            </w:r>
            <w:proofErr w:type="spellStart"/>
            <w:r w:rsidR="00B20E9B" w:rsidRPr="00FB18A4">
              <w:t>kabineta</w:t>
            </w:r>
            <w:proofErr w:type="spellEnd"/>
            <w:r w:rsidR="00B20E9B" w:rsidRPr="00FB18A4">
              <w:t xml:space="preserve"> </w:t>
            </w:r>
            <w:proofErr w:type="spellStart"/>
            <w:r w:rsidR="00B20E9B" w:rsidRPr="00FB18A4">
              <w:t>noteikumu</w:t>
            </w:r>
            <w:proofErr w:type="spellEnd"/>
            <w:r w:rsidR="00B20E9B" w:rsidRPr="00FB18A4">
              <w:t xml:space="preserve"> </w:t>
            </w:r>
            <w:proofErr w:type="spellStart"/>
            <w:r w:rsidR="00B20E9B" w:rsidRPr="00FB18A4">
              <w:t>proje</w:t>
            </w:r>
            <w:r w:rsidR="00B20E9B">
              <w:t>ktu</w:t>
            </w:r>
            <w:proofErr w:type="spellEnd"/>
            <w:r w:rsidR="00B20E9B">
              <w:t xml:space="preserve"> ”</w:t>
            </w:r>
            <w:proofErr w:type="spellStart"/>
            <w:r w:rsidR="00B20E9B">
              <w:t>Farmakovigilances</w:t>
            </w:r>
            <w:proofErr w:type="spellEnd"/>
            <w:r w:rsidR="00B20E9B">
              <w:t xml:space="preserve"> </w:t>
            </w:r>
            <w:proofErr w:type="spellStart"/>
            <w:r w:rsidR="00B20E9B">
              <w:t>kārtība</w:t>
            </w:r>
            <w:proofErr w:type="spellEnd"/>
            <w:r w:rsidR="00B20E9B">
              <w:t xml:space="preserve">” </w:t>
            </w:r>
            <w:proofErr w:type="spellStart"/>
            <w:r w:rsidR="00B20E9B">
              <w:t>ir</w:t>
            </w:r>
            <w:proofErr w:type="spellEnd"/>
            <w:r w:rsidR="00B20E9B">
              <w:t xml:space="preserve"> </w:t>
            </w:r>
            <w:proofErr w:type="spellStart"/>
            <w:r w:rsidR="00B20E9B">
              <w:t>pieņemts</w:t>
            </w:r>
            <w:proofErr w:type="spellEnd"/>
            <w:r w:rsidR="00B20E9B">
              <w:t xml:space="preserve"> 2013.gada 22.janvāra </w:t>
            </w:r>
            <w:proofErr w:type="spellStart"/>
            <w:r w:rsidR="00B20E9B">
              <w:t>Ministru</w:t>
            </w:r>
            <w:proofErr w:type="spellEnd"/>
            <w:r w:rsidR="00B20E9B">
              <w:t xml:space="preserve"> </w:t>
            </w:r>
            <w:proofErr w:type="spellStart"/>
            <w:r w:rsidR="00B20E9B">
              <w:t>kabineta</w:t>
            </w:r>
            <w:proofErr w:type="spellEnd"/>
            <w:r w:rsidR="00B20E9B">
              <w:t xml:space="preserve"> </w:t>
            </w:r>
            <w:proofErr w:type="spellStart"/>
            <w:r w:rsidR="00B20E9B">
              <w:t>sēdē</w:t>
            </w:r>
            <w:proofErr w:type="spellEnd"/>
            <w:r w:rsidR="00B20E9B">
              <w:t>.</w:t>
            </w:r>
          </w:p>
        </w:tc>
      </w:tr>
    </w:tbl>
    <w:p w:rsidR="00CB2893" w:rsidRPr="001A74EC" w:rsidRDefault="00CB2893" w:rsidP="00CB2893">
      <w:pPr>
        <w:ind w:firstLine="720"/>
        <w:jc w:val="both"/>
        <w:rPr>
          <w:sz w:val="28"/>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10"/>
        <w:gridCol w:w="7088"/>
      </w:tblGrid>
      <w:tr w:rsidR="00AD3332" w:rsidRPr="001A74EC" w:rsidTr="000F1E84">
        <w:trPr>
          <w:tblCellSpacing w:w="0" w:type="dxa"/>
        </w:trPr>
        <w:tc>
          <w:tcPr>
            <w:tcW w:w="9498" w:type="dxa"/>
            <w:gridSpan w:val="2"/>
            <w:tcBorders>
              <w:top w:val="outset" w:sz="6" w:space="0" w:color="auto"/>
              <w:left w:val="outset" w:sz="6" w:space="0" w:color="auto"/>
              <w:bottom w:val="outset" w:sz="6" w:space="0" w:color="auto"/>
              <w:right w:val="outset" w:sz="6" w:space="0" w:color="auto"/>
            </w:tcBorders>
          </w:tcPr>
          <w:p w:rsidR="00AD3332" w:rsidRPr="001A74EC" w:rsidRDefault="00AD3332" w:rsidP="0066690A">
            <w:pPr>
              <w:pStyle w:val="naisc"/>
              <w:rPr>
                <w:b/>
                <w:bCs/>
                <w:sz w:val="28"/>
                <w:szCs w:val="28"/>
              </w:rPr>
            </w:pPr>
            <w:r w:rsidRPr="001A74EC">
              <w:rPr>
                <w:b/>
                <w:bCs/>
                <w:sz w:val="28"/>
                <w:szCs w:val="28"/>
              </w:rPr>
              <w:t>V. Tiesību akta projekta atbilstība Latvijas Republikas starptautiskajām saistībām</w:t>
            </w:r>
          </w:p>
        </w:tc>
      </w:tr>
      <w:tr w:rsidR="00AD3332" w:rsidRPr="001A74EC"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6"/>
        </w:trPr>
        <w:tc>
          <w:tcPr>
            <w:tcW w:w="2410" w:type="dxa"/>
            <w:tcBorders>
              <w:top w:val="single" w:sz="4" w:space="0" w:color="auto"/>
              <w:left w:val="single" w:sz="4" w:space="0" w:color="auto"/>
              <w:bottom w:val="single" w:sz="4" w:space="0" w:color="auto"/>
              <w:right w:val="single" w:sz="4" w:space="0" w:color="auto"/>
            </w:tcBorders>
            <w:hideMark/>
          </w:tcPr>
          <w:p w:rsidR="00AD3332" w:rsidRPr="001A74EC" w:rsidRDefault="00AD3332" w:rsidP="0066690A">
            <w:pPr>
              <w:ind w:left="57"/>
            </w:pPr>
            <w:r w:rsidRPr="001A74EC">
              <w:rPr>
                <w:lang w:val="lv-LV"/>
              </w:rPr>
              <w:t xml:space="preserve">Saistības pret </w:t>
            </w:r>
            <w:proofErr w:type="spellStart"/>
            <w:r w:rsidRPr="001A74EC">
              <w:t>Eiropas</w:t>
            </w:r>
            <w:proofErr w:type="spellEnd"/>
            <w:r w:rsidRPr="001A74EC">
              <w:t xml:space="preserve"> </w:t>
            </w:r>
            <w:proofErr w:type="spellStart"/>
            <w:r w:rsidRPr="001A74EC">
              <w:t>Savienību</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935E4E" w:rsidRPr="001A74EC" w:rsidRDefault="00111DD7" w:rsidP="00096225">
            <w:pPr>
              <w:jc w:val="both"/>
              <w:rPr>
                <w:lang w:val="lv-LV"/>
              </w:rPr>
            </w:pPr>
            <w:r w:rsidRPr="001A74EC">
              <w:rPr>
                <w:lang w:val="lv-LV"/>
              </w:rPr>
              <w:t>Direktīva Nr.2010/84/ES</w:t>
            </w:r>
          </w:p>
        </w:tc>
      </w:tr>
      <w:tr w:rsidR="00AD3332" w:rsidRPr="001A74EC"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
        </w:trPr>
        <w:tc>
          <w:tcPr>
            <w:tcW w:w="2410" w:type="dxa"/>
            <w:tcBorders>
              <w:top w:val="single" w:sz="4" w:space="0" w:color="auto"/>
              <w:left w:val="single" w:sz="4" w:space="0" w:color="auto"/>
              <w:bottom w:val="single" w:sz="4" w:space="0" w:color="auto"/>
              <w:right w:val="single" w:sz="4" w:space="0" w:color="auto"/>
            </w:tcBorders>
            <w:hideMark/>
          </w:tcPr>
          <w:p w:rsidR="00AD3332" w:rsidRPr="001A74EC" w:rsidRDefault="00AD3332" w:rsidP="0066690A">
            <w:pPr>
              <w:ind w:left="57"/>
            </w:pPr>
            <w:proofErr w:type="spellStart"/>
            <w:r w:rsidRPr="001A74EC">
              <w:t>Citas</w:t>
            </w:r>
            <w:proofErr w:type="spellEnd"/>
            <w:r w:rsidRPr="001A74EC">
              <w:t xml:space="preserve"> </w:t>
            </w:r>
            <w:proofErr w:type="spellStart"/>
            <w:r w:rsidRPr="001A74EC">
              <w:t>starptautiskās</w:t>
            </w:r>
            <w:proofErr w:type="spellEnd"/>
            <w:r w:rsidRPr="001A74EC">
              <w:t xml:space="preserve"> </w:t>
            </w:r>
            <w:proofErr w:type="spellStart"/>
            <w:r w:rsidRPr="001A74EC">
              <w:t>saistības</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AD3332" w:rsidRPr="001A74EC" w:rsidRDefault="003B3939" w:rsidP="0066690A">
            <w:pPr>
              <w:ind w:left="57"/>
              <w:jc w:val="both"/>
            </w:pPr>
            <w:proofErr w:type="spellStart"/>
            <w:r w:rsidRPr="001A74EC">
              <w:t>Projekts</w:t>
            </w:r>
            <w:proofErr w:type="spellEnd"/>
            <w:r w:rsidRPr="001A74EC">
              <w:t xml:space="preserve"> </w:t>
            </w:r>
            <w:proofErr w:type="spellStart"/>
            <w:r w:rsidRPr="001A74EC">
              <w:t>šo</w:t>
            </w:r>
            <w:proofErr w:type="spellEnd"/>
            <w:r w:rsidRPr="001A74EC">
              <w:t xml:space="preserve"> </w:t>
            </w:r>
            <w:proofErr w:type="spellStart"/>
            <w:r w:rsidRPr="001A74EC">
              <w:t>jomu</w:t>
            </w:r>
            <w:proofErr w:type="spellEnd"/>
            <w:r w:rsidRPr="001A74EC">
              <w:t xml:space="preserve"> </w:t>
            </w:r>
            <w:proofErr w:type="spellStart"/>
            <w:r w:rsidRPr="001A74EC">
              <w:t>neskar</w:t>
            </w:r>
            <w:proofErr w:type="spellEnd"/>
          </w:p>
        </w:tc>
      </w:tr>
      <w:tr w:rsidR="00AD3332" w:rsidRPr="001A74EC"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5"/>
        </w:trPr>
        <w:tc>
          <w:tcPr>
            <w:tcW w:w="2410" w:type="dxa"/>
            <w:tcBorders>
              <w:top w:val="single" w:sz="4" w:space="0" w:color="auto"/>
              <w:left w:val="single" w:sz="4" w:space="0" w:color="auto"/>
              <w:bottom w:val="single" w:sz="4" w:space="0" w:color="auto"/>
              <w:right w:val="single" w:sz="4" w:space="0" w:color="auto"/>
            </w:tcBorders>
            <w:hideMark/>
          </w:tcPr>
          <w:p w:rsidR="00AD3332" w:rsidRPr="001A74EC" w:rsidRDefault="00AD3332" w:rsidP="0066690A">
            <w:pPr>
              <w:ind w:left="57"/>
            </w:pPr>
            <w:proofErr w:type="spellStart"/>
            <w:r w:rsidRPr="001A74EC">
              <w:t>Cita</w:t>
            </w:r>
            <w:proofErr w:type="spellEnd"/>
            <w:r w:rsidRPr="001A74EC">
              <w:t xml:space="preserve"> </w:t>
            </w:r>
            <w:proofErr w:type="spellStart"/>
            <w:r w:rsidRPr="001A74EC">
              <w:t>informācija</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AD3332" w:rsidRPr="001A74EC" w:rsidRDefault="00907AD4" w:rsidP="0066690A">
            <w:pPr>
              <w:ind w:left="57"/>
            </w:pPr>
            <w:proofErr w:type="spellStart"/>
            <w:r w:rsidRPr="001A74EC">
              <w:t>Nav</w:t>
            </w:r>
            <w:proofErr w:type="spellEnd"/>
          </w:p>
        </w:tc>
      </w:tr>
    </w:tbl>
    <w:p w:rsidR="0066690A" w:rsidRPr="001A74EC" w:rsidRDefault="0066690A" w:rsidP="00CB2893">
      <w:pPr>
        <w:rPr>
          <w:sz w:val="28"/>
          <w:szCs w:val="28"/>
          <w:lang w:val="lv-LV"/>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2"/>
        <w:gridCol w:w="2693"/>
        <w:gridCol w:w="3260"/>
        <w:gridCol w:w="1701"/>
      </w:tblGrid>
      <w:tr w:rsidR="0066690A" w:rsidRPr="00426D06" w:rsidTr="009B3F17">
        <w:trPr>
          <w:cantSplit/>
          <w:trHeight w:val="523"/>
        </w:trPr>
        <w:tc>
          <w:tcPr>
            <w:tcW w:w="935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66690A" w:rsidRPr="00C42301" w:rsidRDefault="0066690A" w:rsidP="005B7C9C">
            <w:pPr>
              <w:ind w:left="398" w:hanging="341"/>
              <w:jc w:val="center"/>
              <w:rPr>
                <w:b/>
                <w:lang w:val="lv-LV"/>
              </w:rPr>
            </w:pPr>
            <w:r w:rsidRPr="00C42301">
              <w:rPr>
                <w:b/>
                <w:lang w:val="lv-LV"/>
              </w:rPr>
              <w:lastRenderedPageBreak/>
              <w:t>1.tabula</w:t>
            </w:r>
          </w:p>
          <w:p w:rsidR="0066690A" w:rsidRPr="00C42301" w:rsidRDefault="0066690A" w:rsidP="005B7C9C">
            <w:pPr>
              <w:ind w:left="57"/>
              <w:jc w:val="center"/>
              <w:rPr>
                <w:lang w:val="lv-LV"/>
              </w:rPr>
            </w:pPr>
            <w:r w:rsidRPr="00C42301">
              <w:rPr>
                <w:b/>
                <w:lang w:val="lv-LV"/>
              </w:rPr>
              <w:t>Tiesību akta projekta atbilstība ES tiesību aktiem</w:t>
            </w:r>
          </w:p>
        </w:tc>
      </w:tr>
      <w:tr w:rsidR="0066690A" w:rsidRPr="001A74EC" w:rsidTr="00675061">
        <w:trPr>
          <w:cantSplit/>
          <w:trHeight w:val="653"/>
        </w:trPr>
        <w:tc>
          <w:tcPr>
            <w:tcW w:w="4395"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C42301" w:rsidRDefault="0066690A" w:rsidP="0066690A">
            <w:pPr>
              <w:ind w:left="57"/>
            </w:pPr>
            <w:proofErr w:type="spellStart"/>
            <w:r w:rsidRPr="00C42301">
              <w:t>Attiecīgā</w:t>
            </w:r>
            <w:proofErr w:type="spellEnd"/>
            <w:r w:rsidRPr="00C42301">
              <w:t xml:space="preserve"> ES </w:t>
            </w:r>
            <w:proofErr w:type="spellStart"/>
            <w:r w:rsidRPr="00C42301">
              <w:t>tiesību</w:t>
            </w:r>
            <w:proofErr w:type="spellEnd"/>
            <w:r w:rsidRPr="00C42301">
              <w:t xml:space="preserve"> </w:t>
            </w:r>
            <w:proofErr w:type="spellStart"/>
            <w:r w:rsidRPr="00C42301">
              <w:t>akta</w:t>
            </w:r>
            <w:proofErr w:type="spellEnd"/>
            <w:r w:rsidRPr="00C42301">
              <w:t xml:space="preserve"> </w:t>
            </w:r>
            <w:proofErr w:type="spellStart"/>
            <w:r w:rsidRPr="00C42301">
              <w:t>datums</w:t>
            </w:r>
            <w:proofErr w:type="spellEnd"/>
            <w:r w:rsidRPr="00C42301">
              <w:t xml:space="preserve">, </w:t>
            </w:r>
            <w:proofErr w:type="spellStart"/>
            <w:r w:rsidRPr="00C42301">
              <w:t>numurs</w:t>
            </w:r>
            <w:proofErr w:type="spellEnd"/>
            <w:r w:rsidRPr="00C42301">
              <w:t xml:space="preserve"> un </w:t>
            </w:r>
            <w:proofErr w:type="spellStart"/>
            <w:r w:rsidRPr="00C42301">
              <w:t>nosaukums</w:t>
            </w:r>
            <w:proofErr w:type="spellEnd"/>
          </w:p>
        </w:tc>
        <w:tc>
          <w:tcPr>
            <w:tcW w:w="496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C42301" w:rsidRDefault="00935E4E" w:rsidP="001C2D8D">
            <w:pPr>
              <w:jc w:val="both"/>
              <w:rPr>
                <w:lang w:val="lv-LV"/>
              </w:rPr>
            </w:pPr>
            <w:r w:rsidRPr="00C42301">
              <w:rPr>
                <w:lang w:val="lv-LV"/>
              </w:rPr>
              <w:t>Direktīva Nr.2010/84/ES</w:t>
            </w:r>
          </w:p>
        </w:tc>
      </w:tr>
      <w:tr w:rsidR="00086DC5"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Pr>
        <w:tc>
          <w:tcPr>
            <w:tcW w:w="1702" w:type="dxa"/>
            <w:tcBorders>
              <w:top w:val="outset" w:sz="6" w:space="0" w:color="auto"/>
              <w:left w:val="outset" w:sz="6" w:space="0" w:color="auto"/>
              <w:bottom w:val="outset" w:sz="6" w:space="0" w:color="auto"/>
              <w:right w:val="outset" w:sz="6" w:space="0" w:color="auto"/>
            </w:tcBorders>
            <w:vAlign w:val="center"/>
          </w:tcPr>
          <w:p w:rsidR="00086DC5" w:rsidRPr="00C42301" w:rsidRDefault="00086DC5" w:rsidP="00086DC5">
            <w:pPr>
              <w:ind w:left="57"/>
              <w:jc w:val="center"/>
              <w:rPr>
                <w:lang w:val="lv-LV"/>
              </w:rPr>
            </w:pPr>
            <w:r w:rsidRPr="00C42301">
              <w:rPr>
                <w:lang w:val="lv-LV"/>
              </w:rPr>
              <w:t>A</w:t>
            </w:r>
          </w:p>
        </w:tc>
        <w:tc>
          <w:tcPr>
            <w:tcW w:w="2693" w:type="dxa"/>
            <w:tcBorders>
              <w:top w:val="outset" w:sz="6" w:space="0" w:color="auto"/>
              <w:left w:val="outset" w:sz="6" w:space="0" w:color="auto"/>
              <w:bottom w:val="outset" w:sz="6" w:space="0" w:color="auto"/>
              <w:right w:val="outset" w:sz="6" w:space="0" w:color="auto"/>
            </w:tcBorders>
            <w:vAlign w:val="center"/>
          </w:tcPr>
          <w:p w:rsidR="00086DC5" w:rsidRPr="00C42301" w:rsidRDefault="00086DC5" w:rsidP="00086DC5">
            <w:pPr>
              <w:ind w:left="57"/>
              <w:jc w:val="center"/>
              <w:rPr>
                <w:lang w:val="lv-LV"/>
              </w:rPr>
            </w:pPr>
            <w:r w:rsidRPr="00C42301">
              <w:rPr>
                <w:lang w:val="lv-LV"/>
              </w:rPr>
              <w:t>B</w:t>
            </w:r>
          </w:p>
        </w:tc>
        <w:tc>
          <w:tcPr>
            <w:tcW w:w="3260" w:type="dxa"/>
            <w:tcBorders>
              <w:top w:val="outset" w:sz="6" w:space="0" w:color="auto"/>
              <w:left w:val="outset" w:sz="6" w:space="0" w:color="auto"/>
              <w:bottom w:val="outset" w:sz="6" w:space="0" w:color="auto"/>
              <w:right w:val="outset" w:sz="6" w:space="0" w:color="auto"/>
            </w:tcBorders>
            <w:vAlign w:val="center"/>
          </w:tcPr>
          <w:p w:rsidR="00086DC5" w:rsidRPr="00C42301" w:rsidRDefault="00086DC5" w:rsidP="00CD762C">
            <w:pPr>
              <w:ind w:left="57"/>
              <w:jc w:val="both"/>
              <w:rPr>
                <w:lang w:val="lv-LV"/>
              </w:rPr>
            </w:pPr>
            <w:r w:rsidRPr="00C42301">
              <w:rPr>
                <w:lang w:val="lv-LV"/>
              </w:rPr>
              <w:t>C</w:t>
            </w:r>
          </w:p>
        </w:tc>
        <w:tc>
          <w:tcPr>
            <w:tcW w:w="1701" w:type="dxa"/>
            <w:tcBorders>
              <w:top w:val="outset" w:sz="6" w:space="0" w:color="auto"/>
              <w:left w:val="outset" w:sz="6" w:space="0" w:color="auto"/>
              <w:bottom w:val="outset" w:sz="6" w:space="0" w:color="auto"/>
              <w:right w:val="outset" w:sz="6" w:space="0" w:color="auto"/>
            </w:tcBorders>
            <w:vAlign w:val="center"/>
          </w:tcPr>
          <w:p w:rsidR="00086DC5" w:rsidRPr="00C42301" w:rsidRDefault="00086DC5" w:rsidP="00086DC5">
            <w:pPr>
              <w:ind w:left="57"/>
              <w:jc w:val="center"/>
              <w:rPr>
                <w:lang w:val="lv-LV"/>
              </w:rPr>
            </w:pPr>
            <w:r w:rsidRPr="00C42301">
              <w:rPr>
                <w:lang w:val="lv-LV"/>
              </w:rPr>
              <w:t>D</w:t>
            </w:r>
          </w:p>
        </w:tc>
      </w:tr>
      <w:tr w:rsidR="00111DD7" w:rsidRPr="00426D06" w:rsidTr="00675061">
        <w:trPr>
          <w:cantSplit/>
          <w:trHeight w:val="2237"/>
        </w:trPr>
        <w:tc>
          <w:tcPr>
            <w:tcW w:w="170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C42301" w:rsidRDefault="00111DD7" w:rsidP="00086DC5">
            <w:pPr>
              <w:spacing w:after="120"/>
              <w:ind w:left="57"/>
              <w:jc w:val="both"/>
              <w:rPr>
                <w:spacing w:val="-3"/>
                <w:lang w:val="lv-LV"/>
              </w:rPr>
            </w:pPr>
            <w:r w:rsidRPr="00C42301">
              <w:rPr>
                <w:spacing w:val="-3"/>
                <w:lang w:val="lv-LV"/>
              </w:rPr>
              <w:t>Attiecīgā ES tiesību akta panta numurs (uzskaitot katru tiesību akta vienību – pantu, daļu, punktu, apakšpunktu)</w:t>
            </w:r>
          </w:p>
        </w:tc>
        <w:tc>
          <w:tcPr>
            <w:tcW w:w="269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C42301" w:rsidRDefault="00111DD7" w:rsidP="00086DC5">
            <w:pPr>
              <w:spacing w:after="120"/>
              <w:ind w:left="57"/>
              <w:jc w:val="both"/>
              <w:rPr>
                <w:spacing w:val="-3"/>
                <w:lang w:val="lv-LV"/>
              </w:rPr>
            </w:pPr>
            <w:r w:rsidRPr="00C42301">
              <w:rPr>
                <w:spacing w:val="-3"/>
                <w:lang w:val="lv-LV"/>
              </w:rPr>
              <w:t>Projekta vienība, kas pārņem vai ievieš katru šīs tabulas A ailē minēto ES tiesību akta vienību, vai tiesību akts, kur attiecīgā ES tiesību akta vienība pārņemta vai ieviesta.</w:t>
            </w:r>
          </w:p>
        </w:tc>
        <w:tc>
          <w:tcPr>
            <w:tcW w:w="3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C42301" w:rsidRDefault="00111DD7" w:rsidP="00111DD7">
            <w:pPr>
              <w:jc w:val="both"/>
              <w:rPr>
                <w:lang w:val="lv-LV"/>
              </w:rPr>
            </w:pPr>
            <w:r w:rsidRPr="00C42301">
              <w:rPr>
                <w:lang w:val="lv-LV"/>
              </w:rPr>
              <w:t>Informācija par to, vai šīs tabulas A ailē minētās ES tiesību akta vienības tiek pārņemtas vai ieviestas pilnībā vai daļēji.</w:t>
            </w:r>
          </w:p>
          <w:p w:rsidR="00111DD7" w:rsidRPr="00C42301" w:rsidRDefault="00111DD7" w:rsidP="00111DD7">
            <w:pPr>
              <w:jc w:val="both"/>
              <w:rPr>
                <w:lang w:val="lv-LV"/>
              </w:rPr>
            </w:pPr>
            <w:r w:rsidRPr="00C42301">
              <w:rPr>
                <w:lang w:val="lv-LV"/>
              </w:rPr>
              <w:t>Ja attiecīgā ES tiesību akta vienība tiek pārņemta vai ieviesta daļēji, sniedz attiecīgu skaidrojumu, kā arī precīzi norāda, kad un kādā veidā ES tiesību akta vienība tiks pārņemta vai ieviesta pilnībā.</w:t>
            </w:r>
          </w:p>
          <w:p w:rsidR="00111DD7" w:rsidRPr="00C42301" w:rsidRDefault="00111DD7" w:rsidP="00111DD7">
            <w:pPr>
              <w:spacing w:after="120"/>
              <w:ind w:left="57"/>
              <w:jc w:val="both"/>
              <w:rPr>
                <w:spacing w:val="-3"/>
                <w:lang w:val="lv-LV"/>
              </w:rPr>
            </w:pPr>
            <w:r w:rsidRPr="00C42301">
              <w:rPr>
                <w:lang w:val="lv-LV"/>
              </w:rPr>
              <w:t>Norāda institūciju, kas ir atbildīga par šo saistību izpildi pilnībā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C42301" w:rsidRDefault="00111DD7" w:rsidP="00111DD7">
            <w:pPr>
              <w:jc w:val="both"/>
              <w:rPr>
                <w:lang w:val="lv-LV"/>
              </w:rPr>
            </w:pPr>
            <w:r w:rsidRPr="00C42301">
              <w:rPr>
                <w:lang w:val="lv-LV"/>
              </w:rPr>
              <w:t>Informācija par to, vai šīs tabulas B ailē minētās projekta vienības paredz stingrākas prasības nekā šīs tabulas A ailē minētās ES tiesību akta vienības.</w:t>
            </w:r>
          </w:p>
          <w:p w:rsidR="00111DD7" w:rsidRPr="00C42301" w:rsidRDefault="00111DD7" w:rsidP="00111DD7">
            <w:pPr>
              <w:jc w:val="both"/>
              <w:rPr>
                <w:lang w:val="lv-LV"/>
              </w:rPr>
            </w:pPr>
            <w:r w:rsidRPr="00C42301">
              <w:rPr>
                <w:lang w:val="lv-LV"/>
              </w:rPr>
              <w:t>Ja projekts satur stingrākas prasības nekā attiecīgais ES tiesību akts, norāda pamatojumu un samērīgumu.</w:t>
            </w:r>
          </w:p>
          <w:p w:rsidR="00111DD7" w:rsidRPr="00C42301" w:rsidRDefault="00111DD7" w:rsidP="009F4390">
            <w:pPr>
              <w:jc w:val="both"/>
              <w:rPr>
                <w:lang w:val="lv-LV"/>
              </w:rPr>
            </w:pPr>
            <w:r w:rsidRPr="00C42301">
              <w:rPr>
                <w:lang w:val="lv-LV"/>
              </w:rPr>
              <w:t>Norāda iespējamās alternatīvas (t.sk. alternatīvas, kas nepared</w:t>
            </w:r>
            <w:r w:rsidR="009F4390" w:rsidRPr="00C42301">
              <w:rPr>
                <w:lang w:val="lv-LV"/>
              </w:rPr>
              <w:t>z tiesiskā regulējuma izstrādi) - </w:t>
            </w:r>
            <w:r w:rsidRPr="00C42301">
              <w:rPr>
                <w:lang w:val="lv-LV"/>
              </w:rPr>
              <w:t>kādos gadījumos būtu iespējams izvairīties no stingrāku prasību noteikšanas, nekā paredzēts attiecīgajos ES tiesību aktos</w:t>
            </w:r>
          </w:p>
        </w:tc>
      </w:tr>
      <w:tr w:rsidR="00111DD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C42301" w:rsidRDefault="00111DD7" w:rsidP="00D53B32">
            <w:pPr>
              <w:ind w:left="57"/>
              <w:rPr>
                <w:spacing w:val="-3"/>
                <w:lang w:val="lv-LV"/>
              </w:rPr>
            </w:pPr>
            <w:r w:rsidRPr="00C42301">
              <w:rPr>
                <w:spacing w:val="-3"/>
                <w:lang w:val="lv-LV"/>
              </w:rPr>
              <w:lastRenderedPageBreak/>
              <w:t>2010/84/ES 1.panta 1.punkts a)apakšpunkts</w:t>
            </w:r>
          </w:p>
        </w:tc>
        <w:tc>
          <w:tcPr>
            <w:tcW w:w="2693" w:type="dxa"/>
            <w:tcBorders>
              <w:top w:val="outset" w:sz="6" w:space="0" w:color="auto"/>
              <w:left w:val="outset" w:sz="6" w:space="0" w:color="auto"/>
              <w:bottom w:val="outset" w:sz="6" w:space="0" w:color="auto"/>
              <w:right w:val="outset" w:sz="6" w:space="0" w:color="auto"/>
            </w:tcBorders>
          </w:tcPr>
          <w:p w:rsidR="00E11805" w:rsidRPr="00C42301" w:rsidRDefault="00E11805" w:rsidP="00F86920">
            <w:pPr>
              <w:rPr>
                <w:iCs/>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Pr="00C42301">
              <w:t xml:space="preserve"> </w:t>
            </w:r>
            <w:proofErr w:type="spellStart"/>
            <w:r w:rsidRPr="00C42301">
              <w:t>ar</w:t>
            </w:r>
            <w:proofErr w:type="spellEnd"/>
            <w:r w:rsidRPr="00C42301">
              <w:rPr>
                <w:iCs/>
              </w:rPr>
              <w:t> </w:t>
            </w:r>
            <w:proofErr w:type="spellStart"/>
            <w:r w:rsidRPr="00C42301">
              <w:t>grozījumiem</w:t>
            </w:r>
            <w:proofErr w:type="spellEnd"/>
            <w:r w:rsidRPr="00C42301">
              <w:rPr>
                <w:iCs/>
              </w:rPr>
              <w:t xml:space="preserve"> </w:t>
            </w:r>
            <w:proofErr w:type="spellStart"/>
            <w:r w:rsidRPr="00C42301">
              <w:rPr>
                <w:iCs/>
              </w:rPr>
              <w:t>Farmācijas</w:t>
            </w:r>
            <w:proofErr w:type="spellEnd"/>
            <w:r w:rsidRPr="00C42301">
              <w:rPr>
                <w:iCs/>
              </w:rPr>
              <w:t xml:space="preserve"> </w:t>
            </w:r>
            <w:proofErr w:type="spellStart"/>
            <w:r w:rsidRPr="00C42301">
              <w:rPr>
                <w:iCs/>
              </w:rPr>
              <w:t>likumā</w:t>
            </w:r>
            <w:proofErr w:type="spellEnd"/>
          </w:p>
          <w:p w:rsidR="00111DD7" w:rsidRPr="00C42301" w:rsidRDefault="00111DD7" w:rsidP="00F86920"/>
        </w:tc>
        <w:tc>
          <w:tcPr>
            <w:tcW w:w="3260" w:type="dxa"/>
            <w:tcBorders>
              <w:top w:val="outset" w:sz="6" w:space="0" w:color="auto"/>
              <w:left w:val="outset" w:sz="6" w:space="0" w:color="auto"/>
              <w:bottom w:val="outset" w:sz="6" w:space="0" w:color="auto"/>
              <w:right w:val="outset" w:sz="6" w:space="0" w:color="auto"/>
            </w:tcBorders>
          </w:tcPr>
          <w:p w:rsidR="00111DD7" w:rsidRPr="00C42301" w:rsidRDefault="00705043" w:rsidP="00E11805">
            <w:pPr>
              <w:jc w:val="both"/>
            </w:pPr>
            <w:proofErr w:type="spellStart"/>
            <w:r w:rsidRPr="00C42301">
              <w:t>Nav</w:t>
            </w:r>
            <w:proofErr w:type="spellEnd"/>
            <w:r w:rsidRPr="00C42301">
              <w:t xml:space="preserve"> </w:t>
            </w:r>
          </w:p>
        </w:tc>
        <w:tc>
          <w:tcPr>
            <w:tcW w:w="1701" w:type="dxa"/>
            <w:tcBorders>
              <w:top w:val="outset" w:sz="6" w:space="0" w:color="auto"/>
              <w:left w:val="outset" w:sz="6" w:space="0" w:color="auto"/>
              <w:bottom w:val="outset" w:sz="6" w:space="0" w:color="auto"/>
              <w:right w:val="outset" w:sz="6" w:space="0" w:color="auto"/>
            </w:tcBorders>
          </w:tcPr>
          <w:p w:rsidR="00111DD7" w:rsidRPr="00C42301" w:rsidRDefault="00111DD7" w:rsidP="003B6EE2">
            <w:pPr>
              <w:jc w:val="both"/>
            </w:pPr>
            <w:proofErr w:type="spellStart"/>
            <w:r w:rsidRPr="00C42301">
              <w:t>Nav</w:t>
            </w:r>
            <w:proofErr w:type="spellEnd"/>
          </w:p>
        </w:tc>
      </w:tr>
      <w:tr w:rsidR="00111DD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C42301" w:rsidRDefault="009F4390" w:rsidP="00E20041">
            <w:pPr>
              <w:ind w:left="57"/>
              <w:rPr>
                <w:spacing w:val="-3"/>
                <w:lang w:val="lv-LV"/>
              </w:rPr>
            </w:pPr>
            <w:r w:rsidRPr="00C42301">
              <w:rPr>
                <w:spacing w:val="-3"/>
                <w:lang w:val="lv-LV"/>
              </w:rPr>
              <w:t>2010/84/ES 1.panta 1.punkts b) - </w:t>
            </w:r>
            <w:r w:rsidR="00111DD7" w:rsidRPr="00C42301">
              <w:rPr>
                <w:spacing w:val="-3"/>
                <w:lang w:val="lv-LV"/>
              </w:rPr>
              <w:t>d) apakšpunkts</w:t>
            </w:r>
          </w:p>
        </w:tc>
        <w:tc>
          <w:tcPr>
            <w:tcW w:w="2693" w:type="dxa"/>
            <w:tcBorders>
              <w:top w:val="outset" w:sz="6" w:space="0" w:color="auto"/>
              <w:left w:val="outset" w:sz="6" w:space="0" w:color="auto"/>
              <w:bottom w:val="outset" w:sz="6" w:space="0" w:color="auto"/>
              <w:right w:val="outset" w:sz="6" w:space="0" w:color="auto"/>
            </w:tcBorders>
          </w:tcPr>
          <w:p w:rsidR="00E11805" w:rsidRPr="00C42301" w:rsidRDefault="00E11805" w:rsidP="00F86920">
            <w:pPr>
              <w:pStyle w:val="Bezatstarpm"/>
              <w:rPr>
                <w:rFonts w:ascii="Times New Roman" w:hAnsi="Times New Roman"/>
                <w:sz w:val="24"/>
                <w:szCs w:val="24"/>
              </w:rPr>
            </w:pPr>
            <w:r w:rsidRPr="00C42301">
              <w:rPr>
                <w:rFonts w:ascii="Times New Roman" w:hAnsi="Times New Roman"/>
                <w:sz w:val="24"/>
                <w:szCs w:val="24"/>
              </w:rPr>
              <w:t xml:space="preserve">Direktīvas </w:t>
            </w:r>
            <w:r w:rsidR="005E1EBC" w:rsidRPr="00C42301">
              <w:rPr>
                <w:rFonts w:ascii="Times New Roman" w:hAnsi="Times New Roman"/>
                <w:sz w:val="24"/>
                <w:szCs w:val="24"/>
              </w:rPr>
              <w:t xml:space="preserve">Nr.2010/84/ES </w:t>
            </w:r>
            <w:r w:rsidRPr="00C42301">
              <w:rPr>
                <w:rFonts w:ascii="Times New Roman" w:hAnsi="Times New Roman"/>
                <w:sz w:val="24"/>
                <w:szCs w:val="24"/>
              </w:rPr>
              <w:t xml:space="preserve">norma </w:t>
            </w:r>
            <w:r w:rsidR="00807AAE" w:rsidRPr="00C42301">
              <w:rPr>
                <w:rFonts w:ascii="Times New Roman" w:hAnsi="Times New Roman"/>
                <w:sz w:val="24"/>
                <w:szCs w:val="24"/>
              </w:rPr>
              <w:t xml:space="preserve">tiks pārņemta </w:t>
            </w:r>
            <w:r w:rsidRPr="00C42301">
              <w:rPr>
                <w:rFonts w:ascii="Times New Roman" w:hAnsi="Times New Roman"/>
                <w:sz w:val="24"/>
                <w:szCs w:val="24"/>
              </w:rPr>
              <w:t>ar Ministru kabineta noteikumiem ”</w:t>
            </w:r>
            <w:proofErr w:type="spellStart"/>
            <w:r w:rsidRPr="00C42301">
              <w:rPr>
                <w:rFonts w:ascii="Times New Roman" w:hAnsi="Times New Roman"/>
                <w:sz w:val="24"/>
                <w:szCs w:val="24"/>
              </w:rPr>
              <w:t>Farmakovigilances</w:t>
            </w:r>
            <w:proofErr w:type="spellEnd"/>
            <w:r w:rsidRPr="00C42301">
              <w:rPr>
                <w:rFonts w:ascii="Times New Roman" w:hAnsi="Times New Roman"/>
                <w:sz w:val="24"/>
                <w:szCs w:val="24"/>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111DD7" w:rsidRPr="00C42301" w:rsidRDefault="008C27B5" w:rsidP="005454A0">
            <w:pPr>
              <w:jc w:val="both"/>
              <w:rPr>
                <w:iCs/>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111DD7" w:rsidRPr="00C42301" w:rsidRDefault="00111DD7" w:rsidP="000D79E9">
            <w:pPr>
              <w:ind w:left="57"/>
              <w:rPr>
                <w:spacing w:val="-3"/>
                <w:lang w:val="lv-LV"/>
              </w:rPr>
            </w:pPr>
            <w:r w:rsidRPr="00C42301">
              <w:rPr>
                <w:spacing w:val="-3"/>
                <w:lang w:val="lv-LV"/>
              </w:rPr>
              <w:t>Nav</w:t>
            </w:r>
          </w:p>
        </w:tc>
      </w:tr>
      <w:tr w:rsidR="00111DD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C42301" w:rsidRDefault="00111DD7" w:rsidP="00DA6037">
            <w:pPr>
              <w:ind w:left="57"/>
              <w:rPr>
                <w:spacing w:val="-3"/>
                <w:lang w:val="lv-LV"/>
              </w:rPr>
            </w:pPr>
            <w:r w:rsidRPr="00C42301">
              <w:rPr>
                <w:spacing w:val="-3"/>
                <w:lang w:val="lv-LV"/>
              </w:rPr>
              <w:t>2010/84/ES 1.panta 2.punkts a) apakšpunkts</w:t>
            </w:r>
          </w:p>
        </w:tc>
        <w:tc>
          <w:tcPr>
            <w:tcW w:w="2693" w:type="dxa"/>
            <w:tcBorders>
              <w:top w:val="outset" w:sz="6" w:space="0" w:color="auto"/>
              <w:left w:val="outset" w:sz="6" w:space="0" w:color="auto"/>
              <w:bottom w:val="outset" w:sz="6" w:space="0" w:color="auto"/>
              <w:right w:val="outset" w:sz="6" w:space="0" w:color="auto"/>
            </w:tcBorders>
          </w:tcPr>
          <w:p w:rsidR="00B3416F" w:rsidRPr="00C42301" w:rsidRDefault="00B3416F" w:rsidP="00F86920">
            <w:r w:rsidRPr="00C42301">
              <w:rPr>
                <w:lang w:val="lv-LV"/>
              </w:rPr>
              <w:t xml:space="preserve">Direktīvas </w:t>
            </w:r>
            <w:r w:rsidR="005E1EBC"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111DD7" w:rsidRPr="00C42301" w:rsidRDefault="008C27B5" w:rsidP="00534192">
            <w:pPr>
              <w:spacing w:after="120"/>
              <w:ind w:left="57"/>
              <w:jc w:val="both"/>
              <w:rPr>
                <w:spacing w:val="-3"/>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111DD7" w:rsidRPr="00C42301" w:rsidRDefault="00111DD7" w:rsidP="005F102C">
            <w:proofErr w:type="spellStart"/>
            <w:r w:rsidRPr="00C42301">
              <w:t>Nav</w:t>
            </w:r>
            <w:proofErr w:type="spellEnd"/>
          </w:p>
        </w:tc>
      </w:tr>
      <w:tr w:rsidR="00111DD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C42301" w:rsidRDefault="00111DD7" w:rsidP="00E20041">
            <w:pPr>
              <w:ind w:left="57"/>
              <w:rPr>
                <w:spacing w:val="-3"/>
                <w:lang w:val="lv-LV"/>
              </w:rPr>
            </w:pPr>
            <w:r w:rsidRPr="00C42301">
              <w:rPr>
                <w:spacing w:val="-3"/>
                <w:lang w:val="lv-LV"/>
              </w:rPr>
              <w:t>2010/84/ES 1.panta 2.punkts b) apakšpunkts</w:t>
            </w:r>
          </w:p>
        </w:tc>
        <w:tc>
          <w:tcPr>
            <w:tcW w:w="2693" w:type="dxa"/>
            <w:tcBorders>
              <w:top w:val="outset" w:sz="6" w:space="0" w:color="auto"/>
              <w:left w:val="outset" w:sz="6" w:space="0" w:color="auto"/>
              <w:bottom w:val="outset" w:sz="6" w:space="0" w:color="auto"/>
              <w:right w:val="outset" w:sz="6" w:space="0" w:color="auto"/>
            </w:tcBorders>
          </w:tcPr>
          <w:p w:rsidR="00476B20" w:rsidRPr="00C42301" w:rsidRDefault="00476B20" w:rsidP="00F86920">
            <w:pPr>
              <w:pStyle w:val="Bezatstarpm"/>
              <w:rPr>
                <w:rFonts w:ascii="Times New Roman" w:hAnsi="Times New Roman"/>
                <w:sz w:val="24"/>
                <w:szCs w:val="24"/>
              </w:rPr>
            </w:pPr>
            <w:r w:rsidRPr="00C42301">
              <w:rPr>
                <w:rFonts w:ascii="Times New Roman" w:hAnsi="Times New Roman"/>
                <w:sz w:val="24"/>
                <w:szCs w:val="24"/>
              </w:rPr>
              <w:t xml:space="preserve">Direktīvas </w:t>
            </w:r>
            <w:r w:rsidR="005E1EBC" w:rsidRPr="00C42301">
              <w:rPr>
                <w:rFonts w:ascii="Times New Roman" w:hAnsi="Times New Roman"/>
                <w:sz w:val="24"/>
                <w:szCs w:val="24"/>
              </w:rPr>
              <w:t xml:space="preserve">Nr.2010/84/ES </w:t>
            </w:r>
            <w:r w:rsidRPr="00C42301">
              <w:rPr>
                <w:rFonts w:ascii="Times New Roman" w:hAnsi="Times New Roman"/>
                <w:sz w:val="24"/>
                <w:szCs w:val="24"/>
              </w:rPr>
              <w:t xml:space="preserve">norma </w:t>
            </w:r>
            <w:r w:rsidR="00807AAE" w:rsidRPr="00C42301">
              <w:rPr>
                <w:rFonts w:ascii="Times New Roman" w:hAnsi="Times New Roman"/>
                <w:sz w:val="24"/>
                <w:szCs w:val="24"/>
              </w:rPr>
              <w:t xml:space="preserve">tiks pārņemta </w:t>
            </w:r>
            <w:r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111DD7"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111DD7" w:rsidRPr="00C42301" w:rsidRDefault="00111DD7" w:rsidP="005F102C">
            <w:pPr>
              <w:spacing w:after="120"/>
              <w:rPr>
                <w:spacing w:val="-3"/>
                <w:lang w:val="lv-LV"/>
              </w:rPr>
            </w:pPr>
            <w:r w:rsidRPr="00C42301">
              <w:rPr>
                <w:spacing w:val="-3"/>
                <w:lang w:val="lv-LV"/>
              </w:rPr>
              <w:t>Nav</w:t>
            </w:r>
          </w:p>
        </w:tc>
      </w:tr>
      <w:tr w:rsidR="003056C3"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C42301" w:rsidRDefault="003056C3" w:rsidP="00E20041">
            <w:pPr>
              <w:ind w:left="57"/>
              <w:rPr>
                <w:spacing w:val="-3"/>
                <w:lang w:val="lv-LV"/>
              </w:rPr>
            </w:pPr>
            <w:r w:rsidRPr="00C42301">
              <w:rPr>
                <w:spacing w:val="-3"/>
                <w:lang w:val="lv-LV"/>
              </w:rPr>
              <w:t>2010/84/ES 1.panta 2.punkts c) apakšpunkts</w:t>
            </w:r>
          </w:p>
        </w:tc>
        <w:tc>
          <w:tcPr>
            <w:tcW w:w="2693" w:type="dxa"/>
            <w:tcBorders>
              <w:top w:val="outset" w:sz="6" w:space="0" w:color="auto"/>
              <w:left w:val="outset" w:sz="6" w:space="0" w:color="auto"/>
              <w:bottom w:val="outset" w:sz="6" w:space="0" w:color="auto"/>
              <w:right w:val="outset" w:sz="6" w:space="0" w:color="auto"/>
            </w:tcBorders>
          </w:tcPr>
          <w:p w:rsidR="003056C3" w:rsidRPr="00C42301" w:rsidRDefault="003056C3" w:rsidP="00F86920">
            <w:pPr>
              <w:pStyle w:val="Bezatstarpm"/>
              <w:rPr>
                <w:rFonts w:ascii="Times New Roman" w:hAnsi="Times New Roman"/>
                <w:sz w:val="24"/>
                <w:szCs w:val="24"/>
              </w:rPr>
            </w:pPr>
            <w:r w:rsidRPr="00C42301">
              <w:rPr>
                <w:rFonts w:ascii="Times New Roman" w:hAnsi="Times New Roman"/>
                <w:sz w:val="24"/>
                <w:szCs w:val="24"/>
              </w:rPr>
              <w:t>MK noteikumi Nr.376 (17.13., 17.15., 17.17. un 17.18.apakšpunkts)</w:t>
            </w:r>
            <w:r w:rsidR="00476B20" w:rsidRPr="00C42301">
              <w:rPr>
                <w:rFonts w:ascii="Times New Roman" w:hAnsi="Times New Roman"/>
                <w:sz w:val="24"/>
                <w:szCs w:val="24"/>
              </w:rPr>
              <w:t>.</w:t>
            </w:r>
          </w:p>
          <w:p w:rsidR="00476B20" w:rsidRPr="00C42301" w:rsidRDefault="005E3C37" w:rsidP="005E3C37">
            <w:pPr>
              <w:pStyle w:val="Bezatstarpm"/>
              <w:rPr>
                <w:rFonts w:ascii="Times New Roman" w:hAnsi="Times New Roman"/>
                <w:spacing w:val="-3"/>
                <w:sz w:val="24"/>
                <w:szCs w:val="24"/>
              </w:rPr>
            </w:pPr>
            <w:r w:rsidRPr="00C42301">
              <w:rPr>
                <w:rFonts w:ascii="Times New Roman" w:hAnsi="Times New Roman"/>
                <w:sz w:val="24"/>
                <w:szCs w:val="24"/>
              </w:rPr>
              <w:t>Pilnībā d</w:t>
            </w:r>
            <w:r w:rsidR="00476B20" w:rsidRPr="00C42301">
              <w:rPr>
                <w:rFonts w:ascii="Times New Roman" w:hAnsi="Times New Roman"/>
                <w:sz w:val="24"/>
                <w:szCs w:val="24"/>
              </w:rPr>
              <w:t xml:space="preserve">irektīvas norma </w:t>
            </w:r>
            <w:r w:rsidR="00807AAE" w:rsidRPr="00C42301">
              <w:rPr>
                <w:rFonts w:ascii="Times New Roman" w:hAnsi="Times New Roman"/>
                <w:sz w:val="24"/>
                <w:szCs w:val="24"/>
              </w:rPr>
              <w:t xml:space="preserve">tiks pārņemta </w:t>
            </w:r>
            <w:r w:rsidR="00476B20"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3056C3" w:rsidRPr="00C42301" w:rsidRDefault="008C27B5" w:rsidP="00A832A5">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C42301" w:rsidRDefault="003056C3" w:rsidP="005F102C">
            <w:proofErr w:type="spellStart"/>
            <w:r w:rsidRPr="00C42301">
              <w:t>Nav</w:t>
            </w:r>
            <w:proofErr w:type="spellEnd"/>
          </w:p>
        </w:tc>
      </w:tr>
      <w:tr w:rsidR="003056C3"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C42301" w:rsidRDefault="003056C3" w:rsidP="00BF7780">
            <w:pPr>
              <w:ind w:left="57"/>
              <w:rPr>
                <w:spacing w:val="-3"/>
                <w:lang w:val="lv-LV"/>
              </w:rPr>
            </w:pPr>
            <w:r w:rsidRPr="00C42301">
              <w:rPr>
                <w:spacing w:val="-3"/>
                <w:lang w:val="lv-LV"/>
              </w:rPr>
              <w:t>2010/84/ES 1.panta 2.punkts d) apakšpunkts</w:t>
            </w:r>
          </w:p>
        </w:tc>
        <w:tc>
          <w:tcPr>
            <w:tcW w:w="2693" w:type="dxa"/>
            <w:tcBorders>
              <w:top w:val="outset" w:sz="6" w:space="0" w:color="auto"/>
              <w:left w:val="outset" w:sz="6" w:space="0" w:color="auto"/>
              <w:bottom w:val="outset" w:sz="6" w:space="0" w:color="auto"/>
              <w:right w:val="outset" w:sz="6" w:space="0" w:color="auto"/>
            </w:tcBorders>
          </w:tcPr>
          <w:p w:rsidR="003056C3" w:rsidRPr="00C42301" w:rsidRDefault="00476B20" w:rsidP="00F86920">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C42301" w:rsidRDefault="003056C3" w:rsidP="005F102C">
            <w:pPr>
              <w:spacing w:after="120"/>
              <w:rPr>
                <w:spacing w:val="-3"/>
                <w:lang w:val="lv-LV"/>
              </w:rPr>
            </w:pPr>
            <w:r w:rsidRPr="00C42301">
              <w:rPr>
                <w:spacing w:val="-3"/>
                <w:lang w:val="lv-LV"/>
              </w:rPr>
              <w:t>Nav</w:t>
            </w:r>
          </w:p>
        </w:tc>
      </w:tr>
      <w:tr w:rsidR="003056C3"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C42301" w:rsidRDefault="003056C3" w:rsidP="00BF7780">
            <w:pPr>
              <w:ind w:left="57"/>
              <w:rPr>
                <w:spacing w:val="-3"/>
                <w:lang w:val="lv-LV"/>
              </w:rPr>
            </w:pPr>
            <w:r w:rsidRPr="00C42301">
              <w:rPr>
                <w:spacing w:val="-3"/>
                <w:lang w:val="lv-LV"/>
              </w:rPr>
              <w:t>2010/84/ES 1.panta 2.punkts e) apakšpunkts</w:t>
            </w:r>
          </w:p>
        </w:tc>
        <w:tc>
          <w:tcPr>
            <w:tcW w:w="2693" w:type="dxa"/>
            <w:tcBorders>
              <w:top w:val="outset" w:sz="6" w:space="0" w:color="auto"/>
              <w:left w:val="outset" w:sz="6" w:space="0" w:color="auto"/>
              <w:bottom w:val="outset" w:sz="6" w:space="0" w:color="auto"/>
              <w:right w:val="outset" w:sz="6" w:space="0" w:color="auto"/>
            </w:tcBorders>
          </w:tcPr>
          <w:p w:rsidR="003056C3" w:rsidRPr="00C42301" w:rsidRDefault="00476B20" w:rsidP="00F86920">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C42301" w:rsidRDefault="003056C3" w:rsidP="005F102C">
            <w:proofErr w:type="spellStart"/>
            <w:r w:rsidRPr="00C42301">
              <w:t>Nav</w:t>
            </w:r>
            <w:proofErr w:type="spellEnd"/>
          </w:p>
        </w:tc>
      </w:tr>
      <w:tr w:rsidR="003056C3"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C42301" w:rsidRDefault="0007751C" w:rsidP="00845B87">
            <w:pPr>
              <w:ind w:left="57"/>
              <w:rPr>
                <w:spacing w:val="-3"/>
                <w:lang w:val="lv-LV"/>
              </w:rPr>
            </w:pPr>
            <w:r w:rsidRPr="00C42301">
              <w:rPr>
                <w:spacing w:val="-3"/>
                <w:lang w:val="lv-LV"/>
              </w:rPr>
              <w:t xml:space="preserve">2010/84/ES </w:t>
            </w:r>
            <w:r w:rsidR="003056C3" w:rsidRPr="00C42301">
              <w:rPr>
                <w:spacing w:val="-3"/>
                <w:lang w:val="lv-LV"/>
              </w:rPr>
              <w:t>1.panta 3.punkts</w:t>
            </w:r>
          </w:p>
        </w:tc>
        <w:tc>
          <w:tcPr>
            <w:tcW w:w="2693" w:type="dxa"/>
            <w:tcBorders>
              <w:top w:val="outset" w:sz="6" w:space="0" w:color="auto"/>
              <w:left w:val="outset" w:sz="6" w:space="0" w:color="auto"/>
              <w:bottom w:val="outset" w:sz="6" w:space="0" w:color="auto"/>
              <w:right w:val="outset" w:sz="6" w:space="0" w:color="auto"/>
            </w:tcBorders>
          </w:tcPr>
          <w:p w:rsidR="003056C3" w:rsidRPr="00C42301" w:rsidRDefault="00476B20" w:rsidP="00F86920">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C42301" w:rsidRDefault="003056C3" w:rsidP="005F102C">
            <w:pPr>
              <w:spacing w:after="120"/>
              <w:rPr>
                <w:spacing w:val="-3"/>
                <w:lang w:val="lv-LV"/>
              </w:rPr>
            </w:pPr>
            <w:r w:rsidRPr="00C42301">
              <w:rPr>
                <w:spacing w:val="-3"/>
                <w:lang w:val="lv-LV"/>
              </w:rPr>
              <w:t>Nav</w:t>
            </w:r>
          </w:p>
        </w:tc>
      </w:tr>
      <w:tr w:rsidR="005E3C3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C42301" w:rsidRDefault="0007751C" w:rsidP="00E20041">
            <w:pPr>
              <w:ind w:left="57"/>
              <w:rPr>
                <w:spacing w:val="-3"/>
                <w:lang w:val="lv-LV"/>
              </w:rPr>
            </w:pPr>
            <w:r w:rsidRPr="00C42301">
              <w:rPr>
                <w:spacing w:val="-3"/>
                <w:lang w:val="lv-LV"/>
              </w:rPr>
              <w:t xml:space="preserve">2010/84/ES </w:t>
            </w:r>
            <w:r w:rsidR="005E3C37" w:rsidRPr="00C42301">
              <w:rPr>
                <w:spacing w:val="-3"/>
                <w:lang w:val="lv-LV"/>
              </w:rPr>
              <w:t>1.panta 4.punkts</w:t>
            </w:r>
          </w:p>
        </w:tc>
        <w:tc>
          <w:tcPr>
            <w:tcW w:w="2693" w:type="dxa"/>
            <w:tcBorders>
              <w:top w:val="outset" w:sz="6" w:space="0" w:color="auto"/>
              <w:left w:val="outset" w:sz="6" w:space="0" w:color="auto"/>
              <w:bottom w:val="outset" w:sz="6" w:space="0" w:color="auto"/>
              <w:right w:val="outset" w:sz="6" w:space="0" w:color="auto"/>
            </w:tcBorders>
          </w:tcPr>
          <w:p w:rsidR="005E3C37" w:rsidRPr="00C42301" w:rsidRDefault="005E3C37" w:rsidP="00F86920">
            <w:pPr>
              <w:spacing w:after="120"/>
              <w:rPr>
                <w:spacing w:val="-3"/>
                <w:lang w:val="lv-LV"/>
              </w:rPr>
            </w:pPr>
            <w:r w:rsidRPr="00C42301">
              <w:t xml:space="preserve">MK </w:t>
            </w:r>
            <w:proofErr w:type="spellStart"/>
            <w:r w:rsidRPr="00C42301">
              <w:t>noteikumi</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C42301" w:rsidRDefault="005E3C37" w:rsidP="0053563C">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C42301" w:rsidRDefault="005E3C37" w:rsidP="00D45818">
            <w:pPr>
              <w:spacing w:after="120"/>
              <w:ind w:left="57"/>
              <w:jc w:val="both"/>
              <w:rPr>
                <w:lang w:val="lv-LV"/>
              </w:rPr>
            </w:pPr>
            <w:proofErr w:type="spellStart"/>
            <w:r w:rsidRPr="00C42301">
              <w:t>Nav</w:t>
            </w:r>
            <w:proofErr w:type="spellEnd"/>
          </w:p>
        </w:tc>
      </w:tr>
      <w:tr w:rsidR="005E3C3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C42301" w:rsidRDefault="0007751C" w:rsidP="002721FB">
            <w:pPr>
              <w:ind w:left="57"/>
              <w:rPr>
                <w:spacing w:val="-3"/>
                <w:lang w:val="lv-LV"/>
              </w:rPr>
            </w:pPr>
            <w:r w:rsidRPr="00C42301">
              <w:rPr>
                <w:spacing w:val="-3"/>
                <w:lang w:val="lv-LV"/>
              </w:rPr>
              <w:t xml:space="preserve">2010/84/ES </w:t>
            </w:r>
            <w:r w:rsidR="005E3C37" w:rsidRPr="00C42301">
              <w:rPr>
                <w:spacing w:val="-3"/>
                <w:lang w:val="lv-LV"/>
              </w:rPr>
              <w:t>1.panta 5.punkts</w:t>
            </w:r>
          </w:p>
        </w:tc>
        <w:tc>
          <w:tcPr>
            <w:tcW w:w="2693" w:type="dxa"/>
            <w:tcBorders>
              <w:top w:val="outset" w:sz="6" w:space="0" w:color="auto"/>
              <w:left w:val="outset" w:sz="6" w:space="0" w:color="auto"/>
              <w:bottom w:val="outset" w:sz="6" w:space="0" w:color="auto"/>
              <w:right w:val="outset" w:sz="6" w:space="0" w:color="auto"/>
            </w:tcBorders>
          </w:tcPr>
          <w:p w:rsidR="005E3C37" w:rsidRPr="00C42301" w:rsidRDefault="005E3C37" w:rsidP="00F86920">
            <w:pPr>
              <w:spacing w:after="120"/>
              <w:rPr>
                <w:spacing w:val="-3"/>
                <w:lang w:val="lv-LV"/>
              </w:rPr>
            </w:pPr>
            <w:r w:rsidRPr="00C42301">
              <w:t xml:space="preserve">MK </w:t>
            </w:r>
            <w:proofErr w:type="spellStart"/>
            <w:r w:rsidRPr="00C42301">
              <w:t>noteikumi</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C42301" w:rsidRDefault="005E3C37" w:rsidP="0053563C">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C42301" w:rsidRDefault="005E3C37" w:rsidP="00D45818">
            <w:pPr>
              <w:spacing w:after="120"/>
              <w:ind w:left="57"/>
              <w:jc w:val="both"/>
              <w:rPr>
                <w:lang w:val="lv-LV"/>
              </w:rPr>
            </w:pPr>
            <w:proofErr w:type="spellStart"/>
            <w:r w:rsidRPr="00C42301">
              <w:t>Nav</w:t>
            </w:r>
            <w:proofErr w:type="spellEnd"/>
          </w:p>
        </w:tc>
      </w:tr>
      <w:tr w:rsidR="005E3C37"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C42301" w:rsidRDefault="0007751C" w:rsidP="002721FB">
            <w:pPr>
              <w:ind w:left="57"/>
              <w:rPr>
                <w:spacing w:val="-3"/>
                <w:lang w:val="lv-LV"/>
              </w:rPr>
            </w:pPr>
            <w:r w:rsidRPr="00C42301">
              <w:rPr>
                <w:spacing w:val="-3"/>
                <w:lang w:val="lv-LV"/>
              </w:rPr>
              <w:lastRenderedPageBreak/>
              <w:t xml:space="preserve">2010/84/ES </w:t>
            </w:r>
            <w:r w:rsidR="005E3C37" w:rsidRPr="00C42301">
              <w:rPr>
                <w:spacing w:val="-3"/>
                <w:lang w:val="lv-LV"/>
              </w:rPr>
              <w:t>1.panta 6.punkts</w:t>
            </w:r>
          </w:p>
        </w:tc>
        <w:tc>
          <w:tcPr>
            <w:tcW w:w="2693" w:type="dxa"/>
            <w:tcBorders>
              <w:top w:val="outset" w:sz="6" w:space="0" w:color="auto"/>
              <w:left w:val="outset" w:sz="6" w:space="0" w:color="auto"/>
              <w:bottom w:val="outset" w:sz="6" w:space="0" w:color="auto"/>
              <w:right w:val="outset" w:sz="6" w:space="0" w:color="auto"/>
            </w:tcBorders>
          </w:tcPr>
          <w:p w:rsidR="005E3C37" w:rsidRPr="00C42301" w:rsidRDefault="005E3C37" w:rsidP="00F86920">
            <w:pPr>
              <w:spacing w:after="120"/>
              <w:rPr>
                <w:spacing w:val="-3"/>
                <w:lang w:val="lv-LV"/>
              </w:rPr>
            </w:pPr>
            <w:r w:rsidRPr="00C42301">
              <w:t xml:space="preserve">MK </w:t>
            </w:r>
            <w:proofErr w:type="spellStart"/>
            <w:r w:rsidRPr="00C42301">
              <w:t>noteikumi</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C42301" w:rsidRDefault="005E3C37" w:rsidP="0053563C">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C42301" w:rsidRDefault="005E3C37" w:rsidP="00D45818">
            <w:pPr>
              <w:spacing w:after="120"/>
              <w:ind w:left="57"/>
              <w:jc w:val="both"/>
              <w:rPr>
                <w:lang w:val="lv-LV"/>
              </w:rPr>
            </w:pPr>
            <w:proofErr w:type="spellStart"/>
            <w:r w:rsidRPr="00C42301">
              <w:t>Nav</w:t>
            </w:r>
            <w:proofErr w:type="spellEnd"/>
          </w:p>
        </w:tc>
      </w:tr>
      <w:tr w:rsidR="003056C3"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C42301" w:rsidRDefault="0007751C" w:rsidP="00B2646E">
            <w:pPr>
              <w:ind w:left="57"/>
              <w:rPr>
                <w:spacing w:val="-3"/>
                <w:lang w:val="lv-LV"/>
              </w:rPr>
            </w:pPr>
            <w:r w:rsidRPr="00C42301">
              <w:rPr>
                <w:spacing w:val="-3"/>
                <w:lang w:val="lv-LV"/>
              </w:rPr>
              <w:t xml:space="preserve">2010/84/ES </w:t>
            </w:r>
            <w:r w:rsidR="003056C3" w:rsidRPr="00C42301">
              <w:rPr>
                <w:spacing w:val="-3"/>
                <w:lang w:val="lv-LV"/>
              </w:rPr>
              <w:t>1.panta 7.punkts (attiecībā uz Direktīvas 2001/83 21.panta 3.punktu)</w:t>
            </w:r>
          </w:p>
        </w:tc>
        <w:tc>
          <w:tcPr>
            <w:tcW w:w="2693" w:type="dxa"/>
            <w:tcBorders>
              <w:top w:val="outset" w:sz="6" w:space="0" w:color="auto"/>
              <w:left w:val="outset" w:sz="6" w:space="0" w:color="auto"/>
              <w:bottom w:val="outset" w:sz="6" w:space="0" w:color="auto"/>
              <w:right w:val="outset" w:sz="6" w:space="0" w:color="auto"/>
            </w:tcBorders>
          </w:tcPr>
          <w:p w:rsidR="003056C3" w:rsidRPr="00C42301" w:rsidRDefault="003056C3" w:rsidP="00F86920">
            <w:pPr>
              <w:pStyle w:val="Bezatstarpm"/>
              <w:rPr>
                <w:rFonts w:ascii="Times New Roman" w:hAnsi="Times New Roman"/>
                <w:sz w:val="24"/>
                <w:szCs w:val="24"/>
              </w:rPr>
            </w:pPr>
            <w:r w:rsidRPr="00C42301">
              <w:rPr>
                <w:rFonts w:ascii="Times New Roman" w:hAnsi="Times New Roman"/>
                <w:sz w:val="24"/>
                <w:szCs w:val="24"/>
              </w:rPr>
              <w:t>MK noteikumi Nr.376 (15.</w:t>
            </w:r>
            <w:r w:rsidRPr="00C42301">
              <w:rPr>
                <w:rFonts w:ascii="Times New Roman" w:hAnsi="Times New Roman"/>
                <w:sz w:val="24"/>
                <w:szCs w:val="24"/>
                <w:vertAlign w:val="superscript"/>
              </w:rPr>
              <w:t>1</w:t>
            </w:r>
            <w:r w:rsidRPr="00C42301">
              <w:rPr>
                <w:rFonts w:ascii="Times New Roman" w:hAnsi="Times New Roman"/>
                <w:sz w:val="24"/>
                <w:szCs w:val="24"/>
              </w:rPr>
              <w:t>7.apakšpunkts)</w:t>
            </w:r>
          </w:p>
          <w:p w:rsidR="003056C3" w:rsidRPr="00C42301" w:rsidRDefault="005E3C37" w:rsidP="00F86920">
            <w:pPr>
              <w:pStyle w:val="Bezatstarpm"/>
              <w:rPr>
                <w:rFonts w:ascii="Times New Roman" w:hAnsi="Times New Roman"/>
                <w:sz w:val="24"/>
                <w:szCs w:val="24"/>
              </w:rPr>
            </w:pPr>
            <w:r w:rsidRPr="00C42301">
              <w:rPr>
                <w:rFonts w:ascii="Times New Roman" w:hAnsi="Times New Roman"/>
                <w:sz w:val="24"/>
                <w:szCs w:val="24"/>
              </w:rPr>
              <w:t>Pilnībā d</w:t>
            </w:r>
            <w:r w:rsidR="00977D46" w:rsidRPr="00C42301">
              <w:rPr>
                <w:rFonts w:ascii="Times New Roman" w:hAnsi="Times New Roman"/>
                <w:sz w:val="24"/>
                <w:szCs w:val="24"/>
              </w:rPr>
              <w:t xml:space="preserve">irektīvas norma </w:t>
            </w:r>
            <w:r w:rsidR="00807AAE" w:rsidRPr="00C42301">
              <w:rPr>
                <w:rFonts w:ascii="Times New Roman" w:hAnsi="Times New Roman"/>
                <w:sz w:val="24"/>
                <w:szCs w:val="24"/>
              </w:rPr>
              <w:t xml:space="preserve">tiks pārņemta </w:t>
            </w:r>
            <w:r w:rsidR="00977D46"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3056C3"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C42301" w:rsidRDefault="003056C3"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20041">
            <w:pPr>
              <w:ind w:left="57"/>
              <w:rPr>
                <w:spacing w:val="-3"/>
                <w:lang w:val="lv-LV"/>
              </w:rPr>
            </w:pPr>
            <w:r w:rsidRPr="00C42301">
              <w:rPr>
                <w:spacing w:val="-3"/>
                <w:lang w:val="lv-LV"/>
              </w:rPr>
              <w:t xml:space="preserve">2010/84/ES </w:t>
            </w:r>
            <w:r w:rsidR="00463FE8" w:rsidRPr="00C42301">
              <w:rPr>
                <w:spacing w:val="-3"/>
                <w:lang w:val="lv-LV"/>
              </w:rPr>
              <w:t>1.panta 7.punkts (attiecībā uz Direktīvas 2001/83 21.panta 4.punktu)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F86920">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DD4EC6">
            <w:pPr>
              <w:ind w:left="57"/>
              <w:rPr>
                <w:spacing w:val="-3"/>
                <w:lang w:val="lv-LV"/>
              </w:rPr>
            </w:pPr>
            <w:r w:rsidRPr="00C42301">
              <w:rPr>
                <w:spacing w:val="-3"/>
                <w:lang w:val="lv-LV"/>
              </w:rPr>
              <w:t xml:space="preserve">2010/84/ES </w:t>
            </w:r>
            <w:r w:rsidR="00463FE8" w:rsidRPr="00C42301">
              <w:rPr>
                <w:spacing w:val="-3"/>
                <w:lang w:val="lv-LV"/>
              </w:rPr>
              <w:t>1.panta 8.punkts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20041">
            <w:pPr>
              <w:ind w:left="57"/>
              <w:rPr>
                <w:spacing w:val="-3"/>
                <w:lang w:val="lv-LV"/>
              </w:rPr>
            </w:pPr>
            <w:r w:rsidRPr="00C42301">
              <w:rPr>
                <w:spacing w:val="-3"/>
                <w:lang w:val="lv-LV"/>
              </w:rPr>
              <w:t xml:space="preserve">2010/84/ES </w:t>
            </w:r>
            <w:r w:rsidR="00463FE8" w:rsidRPr="00C42301">
              <w:rPr>
                <w:spacing w:val="-3"/>
                <w:lang w:val="lv-LV"/>
              </w:rPr>
              <w:t>1.panta 9.punkts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2D03B6">
            <w:pPr>
              <w:ind w:left="57"/>
              <w:rPr>
                <w:spacing w:val="-3"/>
                <w:lang w:val="lv-LV"/>
              </w:rPr>
            </w:pPr>
            <w:r w:rsidRPr="00C42301">
              <w:rPr>
                <w:spacing w:val="-3"/>
                <w:lang w:val="lv-LV"/>
              </w:rPr>
              <w:t xml:space="preserve">2010/84/ES </w:t>
            </w:r>
            <w:r w:rsidR="00463FE8" w:rsidRPr="00C42301">
              <w:rPr>
                <w:spacing w:val="-3"/>
                <w:lang w:val="lv-LV"/>
              </w:rPr>
              <w:t>1.panta 10.punkts (attiecībā uz Direktīvas 2001/83 22.a) pantu)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BE6BB5">
            <w:pPr>
              <w:ind w:left="57"/>
              <w:rPr>
                <w:spacing w:val="-3"/>
                <w:lang w:val="lv-LV"/>
              </w:rPr>
            </w:pPr>
            <w:r w:rsidRPr="00C42301">
              <w:rPr>
                <w:spacing w:val="-3"/>
                <w:lang w:val="lv-LV"/>
              </w:rPr>
              <w:t xml:space="preserve">2010/84/ES </w:t>
            </w:r>
            <w:r w:rsidR="00463FE8" w:rsidRPr="00C42301">
              <w:rPr>
                <w:spacing w:val="-3"/>
                <w:lang w:val="lv-LV"/>
              </w:rPr>
              <w:t>1.panta 10.punkts (attiecībā uz Direktīvas 2001/83 22.c) panta 1.punktu)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465C7E">
            <w:pPr>
              <w:ind w:left="57"/>
              <w:rPr>
                <w:spacing w:val="-3"/>
                <w:lang w:val="lv-LV"/>
              </w:rPr>
            </w:pPr>
            <w:r w:rsidRPr="00C42301">
              <w:rPr>
                <w:spacing w:val="-3"/>
                <w:lang w:val="lv-LV"/>
              </w:rPr>
              <w:lastRenderedPageBreak/>
              <w:t xml:space="preserve">2010/84/ES </w:t>
            </w:r>
            <w:r w:rsidR="00463FE8" w:rsidRPr="00C42301">
              <w:rPr>
                <w:spacing w:val="-3"/>
                <w:lang w:val="lv-LV"/>
              </w:rPr>
              <w:t>1.panta 10.punkts (attiecībā uz Direktīvas 2001/83 22.c) panta 2.punktu)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roofErr w:type="spellStart"/>
            <w:r w:rsidRPr="00C42301">
              <w:t>Direktīvas</w:t>
            </w:r>
            <w:proofErr w:type="spellEnd"/>
            <w:r w:rsidR="005E1EBC" w:rsidRPr="00C42301">
              <w:t xml:space="preserve"> </w:t>
            </w:r>
            <w:r w:rsidR="005E1EBC" w:rsidRPr="00C42301">
              <w:rPr>
                <w:lang w:val="lv-LV"/>
              </w:rPr>
              <w:t>Nr.2010/84/ES</w:t>
            </w:r>
            <w:r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8E5D79">
            <w:pPr>
              <w:ind w:left="57"/>
              <w:rPr>
                <w:spacing w:val="-3"/>
                <w:lang w:val="lv-LV"/>
              </w:rPr>
            </w:pPr>
            <w:r w:rsidRPr="00C42301">
              <w:rPr>
                <w:spacing w:val="-3"/>
                <w:lang w:val="lv-LV"/>
              </w:rPr>
              <w:t xml:space="preserve">2010/84/ES </w:t>
            </w:r>
            <w:r w:rsidR="00463FE8" w:rsidRPr="00C42301">
              <w:rPr>
                <w:spacing w:val="-3"/>
                <w:lang w:val="lv-LV"/>
              </w:rPr>
              <w:t>1.panta 11.punkts (attiecībā uz Direktīvas 2001/83 23.panta 1.punktu)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463FE8">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0A0FCE">
            <w:pPr>
              <w:ind w:left="57"/>
              <w:rPr>
                <w:spacing w:val="-3"/>
                <w:lang w:val="lv-LV"/>
              </w:rPr>
            </w:pPr>
            <w:r w:rsidRPr="00C42301">
              <w:rPr>
                <w:spacing w:val="-3"/>
                <w:lang w:val="lv-LV"/>
              </w:rPr>
              <w:t xml:space="preserve">2010/84/ES </w:t>
            </w:r>
            <w:r w:rsidR="00463FE8" w:rsidRPr="00C42301">
              <w:rPr>
                <w:spacing w:val="-3"/>
                <w:lang w:val="lv-LV"/>
              </w:rPr>
              <w:t>1.panta 11.punkts (attiecībā uz Direktīvas 2001/83 23.panta 2.punktu)</w:t>
            </w:r>
          </w:p>
        </w:tc>
        <w:tc>
          <w:tcPr>
            <w:tcW w:w="2693" w:type="dxa"/>
            <w:tcBorders>
              <w:top w:val="outset" w:sz="6" w:space="0" w:color="auto"/>
              <w:left w:val="outset" w:sz="6" w:space="0" w:color="auto"/>
              <w:bottom w:val="outset" w:sz="6" w:space="0" w:color="auto"/>
              <w:right w:val="outset" w:sz="6" w:space="0" w:color="auto"/>
            </w:tcBorders>
          </w:tcPr>
          <w:p w:rsidR="003D2614" w:rsidRPr="00C42301" w:rsidRDefault="00463FE8" w:rsidP="003D2614">
            <w:pPr>
              <w:pStyle w:val="Bezatstarpm"/>
              <w:rPr>
                <w:rFonts w:ascii="Times New Roman" w:hAnsi="Times New Roman"/>
                <w:sz w:val="24"/>
                <w:szCs w:val="24"/>
              </w:rPr>
            </w:pPr>
            <w:r w:rsidRPr="00C42301">
              <w:rPr>
                <w:rFonts w:ascii="Times New Roman" w:hAnsi="Times New Roman"/>
                <w:sz w:val="24"/>
                <w:szCs w:val="24"/>
              </w:rPr>
              <w:t>MK noteikumi Nr.376 (120.4.2.apakšpunkts)</w:t>
            </w:r>
            <w:r w:rsidR="009F4390" w:rsidRPr="00C42301">
              <w:rPr>
                <w:rFonts w:ascii="Times New Roman" w:hAnsi="Times New Roman"/>
                <w:sz w:val="24"/>
                <w:szCs w:val="24"/>
              </w:rPr>
              <w:t>.</w:t>
            </w:r>
          </w:p>
          <w:p w:rsidR="00463FE8" w:rsidRPr="00C42301" w:rsidRDefault="005E3C37" w:rsidP="005E3C37">
            <w:pPr>
              <w:pStyle w:val="Bezatstarpm"/>
              <w:rPr>
                <w:rFonts w:ascii="Times New Roman" w:hAnsi="Times New Roman"/>
                <w:sz w:val="24"/>
                <w:szCs w:val="24"/>
              </w:rPr>
            </w:pPr>
            <w:r w:rsidRPr="00C42301">
              <w:rPr>
                <w:rFonts w:ascii="Times New Roman" w:hAnsi="Times New Roman"/>
                <w:sz w:val="24"/>
                <w:szCs w:val="24"/>
              </w:rPr>
              <w:t>Pilnībā d</w:t>
            </w:r>
            <w:r w:rsidR="00042608" w:rsidRPr="00C42301">
              <w:rPr>
                <w:rFonts w:ascii="Times New Roman" w:hAnsi="Times New Roman"/>
                <w:sz w:val="24"/>
                <w:szCs w:val="24"/>
              </w:rPr>
              <w:t xml:space="preserve">irektīvas norma </w:t>
            </w:r>
            <w:r w:rsidR="00807AAE" w:rsidRPr="00C42301">
              <w:rPr>
                <w:rFonts w:ascii="Times New Roman" w:hAnsi="Times New Roman"/>
                <w:sz w:val="24"/>
                <w:szCs w:val="24"/>
              </w:rPr>
              <w:t xml:space="preserve">tiks pārņemta </w:t>
            </w:r>
            <w:r w:rsidR="00042608"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FF64F0">
            <w:pPr>
              <w:ind w:left="57"/>
              <w:rPr>
                <w:spacing w:val="-3"/>
                <w:lang w:val="lv-LV"/>
              </w:rPr>
            </w:pPr>
            <w:r w:rsidRPr="00C42301">
              <w:rPr>
                <w:spacing w:val="-3"/>
                <w:lang w:val="lv-LV"/>
              </w:rPr>
              <w:t xml:space="preserve">2010/84/ES </w:t>
            </w:r>
            <w:r w:rsidR="00463FE8" w:rsidRPr="00C42301">
              <w:rPr>
                <w:spacing w:val="-3"/>
                <w:lang w:val="lv-LV"/>
              </w:rPr>
              <w:t>1.panta 11.punkts (attiecībā uz Direktīvas 2001/83 23.panta 3.punktu)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042608">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A800A1">
            <w:pPr>
              <w:ind w:left="57"/>
              <w:rPr>
                <w:spacing w:val="-3"/>
                <w:lang w:val="lv-LV"/>
              </w:rPr>
            </w:pPr>
            <w:r w:rsidRPr="00C42301">
              <w:rPr>
                <w:spacing w:val="-3"/>
                <w:lang w:val="lv-LV"/>
              </w:rPr>
              <w:t xml:space="preserve">2010/84/ES </w:t>
            </w:r>
            <w:r w:rsidR="00463FE8" w:rsidRPr="00C42301">
              <w:rPr>
                <w:spacing w:val="-3"/>
                <w:lang w:val="lv-LV"/>
              </w:rPr>
              <w:t>1.panta 11.punkts (attiecībā uz Direktīvas 2001/83 23.panta 4.punktu)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042608">
            <w:pPr>
              <w:spacing w:after="120"/>
              <w:rPr>
                <w:spacing w:val="-3"/>
                <w:lang w:val="lv-LV"/>
              </w:rPr>
            </w:pPr>
            <w:proofErr w:type="spellStart"/>
            <w:r w:rsidRPr="00C42301">
              <w:t>Direktīvas</w:t>
            </w:r>
            <w:proofErr w:type="spellEnd"/>
            <w:r w:rsidRPr="00C42301">
              <w:t xml:space="preserve"> </w:t>
            </w:r>
            <w:r w:rsidR="005E1EBC" w:rsidRPr="00C42301">
              <w:rPr>
                <w:lang w:val="lv-LV"/>
              </w:rPr>
              <w:t>Nr.2010/84/ES</w:t>
            </w:r>
            <w:r w:rsidR="005E1EBC" w:rsidRPr="00C42301">
              <w:t xml:space="preserve"> </w:t>
            </w:r>
            <w:proofErr w:type="spellStart"/>
            <w:r w:rsidRPr="00C42301">
              <w:t>norma</w:t>
            </w:r>
            <w:proofErr w:type="spellEnd"/>
            <w:r w:rsidRPr="00C42301">
              <w:t xml:space="preserve">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proofErr w:type="spellStart"/>
            <w:r w:rsidRPr="00C42301">
              <w:t>ar</w:t>
            </w:r>
            <w:proofErr w:type="spellEnd"/>
            <w:r w:rsidRPr="00C42301">
              <w:t xml:space="preserve"> </w:t>
            </w:r>
            <w:proofErr w:type="spellStart"/>
            <w:r w:rsidRPr="00C42301">
              <w:t>grozījumiem</w:t>
            </w:r>
            <w:proofErr w:type="spellEnd"/>
            <w:r w:rsidRPr="00C42301">
              <w:t xml:space="preserve"> MK </w:t>
            </w:r>
            <w:proofErr w:type="spellStart"/>
            <w:r w:rsidRPr="00C42301">
              <w:t>noteikumos</w:t>
            </w:r>
            <w:proofErr w:type="spellEnd"/>
            <w:r w:rsidRPr="00C42301">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255DCA">
            <w:pPr>
              <w:ind w:left="57"/>
              <w:rPr>
                <w:spacing w:val="-3"/>
                <w:lang w:val="lv-LV"/>
              </w:rPr>
            </w:pPr>
            <w:r w:rsidRPr="00C42301">
              <w:rPr>
                <w:spacing w:val="-3"/>
                <w:lang w:val="lv-LV"/>
              </w:rPr>
              <w:lastRenderedPageBreak/>
              <w:t xml:space="preserve">2010/84/ES </w:t>
            </w:r>
            <w:r w:rsidR="00463FE8" w:rsidRPr="00C42301">
              <w:rPr>
                <w:spacing w:val="-3"/>
                <w:lang w:val="lv-LV"/>
              </w:rPr>
              <w:t>1.panta 12.punkts a) apakšpunkts (attiecībā uz Direktīvas 2001/83 24.panta 2.punktu)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042608">
            <w:pPr>
              <w:pStyle w:val="Bezatstarpm"/>
              <w:jc w:val="both"/>
              <w:rPr>
                <w:rFonts w:ascii="Times New Roman" w:hAnsi="Times New Roman"/>
                <w:sz w:val="24"/>
                <w:szCs w:val="24"/>
              </w:rPr>
            </w:pPr>
            <w:r w:rsidRPr="00C42301">
              <w:rPr>
                <w:rFonts w:ascii="Times New Roman" w:hAnsi="Times New Roman"/>
                <w:sz w:val="24"/>
                <w:szCs w:val="24"/>
              </w:rPr>
              <w:t>MK noteikumi Nr.376 (84. un 84.</w:t>
            </w:r>
            <w:r w:rsidRPr="00C42301">
              <w:rPr>
                <w:rFonts w:ascii="Times New Roman" w:hAnsi="Times New Roman"/>
                <w:sz w:val="24"/>
                <w:szCs w:val="24"/>
                <w:vertAlign w:val="superscript"/>
              </w:rPr>
              <w:t>1</w:t>
            </w:r>
            <w:r w:rsidRPr="00C42301">
              <w:rPr>
                <w:rFonts w:ascii="Times New Roman" w:hAnsi="Times New Roman"/>
                <w:sz w:val="24"/>
                <w:szCs w:val="24"/>
              </w:rPr>
              <w:t>punkts)</w:t>
            </w:r>
            <w:r w:rsidR="00042608" w:rsidRPr="00C42301">
              <w:rPr>
                <w:rFonts w:ascii="Times New Roman" w:hAnsi="Times New Roman"/>
                <w:sz w:val="24"/>
                <w:szCs w:val="24"/>
              </w:rPr>
              <w:t>.</w:t>
            </w:r>
          </w:p>
          <w:p w:rsidR="00463FE8" w:rsidRPr="00C42301" w:rsidRDefault="00D45818" w:rsidP="00D45818">
            <w:pPr>
              <w:pStyle w:val="Bezatstarpm"/>
              <w:jc w:val="both"/>
              <w:rPr>
                <w:rFonts w:ascii="Times New Roman" w:hAnsi="Times New Roman"/>
                <w:sz w:val="24"/>
                <w:szCs w:val="24"/>
              </w:rPr>
            </w:pPr>
            <w:r w:rsidRPr="00C42301">
              <w:rPr>
                <w:rFonts w:ascii="Times New Roman" w:hAnsi="Times New Roman"/>
                <w:sz w:val="24"/>
                <w:szCs w:val="24"/>
              </w:rPr>
              <w:t>Pilnībā d</w:t>
            </w:r>
            <w:r w:rsidR="00042608" w:rsidRPr="00C42301">
              <w:rPr>
                <w:rFonts w:ascii="Times New Roman" w:hAnsi="Times New Roman"/>
                <w:sz w:val="24"/>
                <w:szCs w:val="24"/>
              </w:rPr>
              <w:t xml:space="preserve">irektīvas norma </w:t>
            </w:r>
            <w:r w:rsidR="00807AAE" w:rsidRPr="00C42301">
              <w:rPr>
                <w:rFonts w:ascii="Times New Roman" w:hAnsi="Times New Roman"/>
                <w:sz w:val="24"/>
                <w:szCs w:val="24"/>
              </w:rPr>
              <w:t xml:space="preserve">tiks pārņemta </w:t>
            </w:r>
            <w:r w:rsidR="00042608"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832F5A">
            <w:pPr>
              <w:ind w:left="57"/>
              <w:rPr>
                <w:spacing w:val="-3"/>
                <w:lang w:val="lv-LV"/>
              </w:rPr>
            </w:pPr>
            <w:r w:rsidRPr="00C42301">
              <w:rPr>
                <w:spacing w:val="-3"/>
                <w:lang w:val="lv-LV"/>
              </w:rPr>
              <w:t xml:space="preserve">2010/84/ES </w:t>
            </w:r>
            <w:r w:rsidR="00463FE8" w:rsidRPr="00C42301">
              <w:rPr>
                <w:spacing w:val="-3"/>
                <w:lang w:val="lv-LV"/>
              </w:rPr>
              <w:t>1.panta 12.punkts b) apakšpunkts (attiecībā uz Direktīvas 2001/83 24.panta 3.punktu)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r w:rsidRPr="00C42301">
              <w:rPr>
                <w:lang w:val="lv-LV"/>
              </w:rPr>
              <w:t xml:space="preserve">Direktīvas </w:t>
            </w:r>
            <w:r w:rsidR="005E1EBC"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463FE8" w:rsidP="00AC4989">
            <w:pPr>
              <w:ind w:left="57"/>
              <w:rPr>
                <w:spacing w:val="-3"/>
                <w:lang w:val="lv-LV"/>
              </w:rPr>
            </w:pPr>
            <w:r w:rsidRPr="00C42301">
              <w:rPr>
                <w:spacing w:val="-3"/>
                <w:lang w:val="lv-LV"/>
              </w:rPr>
              <w:t>2010/</w:t>
            </w:r>
            <w:r w:rsidR="0007751C" w:rsidRPr="00C42301">
              <w:rPr>
                <w:spacing w:val="-3"/>
                <w:lang w:val="lv-LV"/>
              </w:rPr>
              <w:t xml:space="preserve">84/ES </w:t>
            </w:r>
            <w:r w:rsidRPr="00C42301">
              <w:rPr>
                <w:spacing w:val="-3"/>
                <w:lang w:val="lv-LV"/>
              </w:rPr>
              <w:t>1.panta 13.punkts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pPr>
              <w:spacing w:after="120"/>
              <w:rPr>
                <w:spacing w:val="-3"/>
                <w:lang w:val="lv-LV"/>
              </w:rPr>
            </w:pPr>
            <w:r w:rsidRPr="00C42301">
              <w:rPr>
                <w:lang w:val="lv-LV"/>
              </w:rPr>
              <w:t xml:space="preserve">Direktīvas </w:t>
            </w:r>
            <w:r w:rsidR="005E1EBC"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493383">
            <w:pPr>
              <w:ind w:left="57"/>
              <w:rPr>
                <w:spacing w:val="-3"/>
                <w:lang w:val="lv-LV"/>
              </w:rPr>
            </w:pPr>
            <w:r w:rsidRPr="00C42301">
              <w:rPr>
                <w:spacing w:val="-3"/>
                <w:lang w:val="lv-LV"/>
              </w:rPr>
              <w:t xml:space="preserve">2010/84/ES </w:t>
            </w:r>
            <w:r w:rsidR="00463FE8" w:rsidRPr="00C42301">
              <w:rPr>
                <w:spacing w:val="-3"/>
                <w:lang w:val="lv-LV"/>
              </w:rPr>
              <w:t>1.panta 14.punkta a) apakšpunkts (attiecībā uz Direktīvas 2001/83 27.panta 1.punktu)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r w:rsidRPr="00C42301">
              <w:rPr>
                <w:lang w:val="lv-LV"/>
              </w:rPr>
              <w:t xml:space="preserve">Direktīvas </w:t>
            </w:r>
            <w:r w:rsidR="00050088"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493383">
            <w:pPr>
              <w:ind w:left="57"/>
              <w:rPr>
                <w:spacing w:val="-3"/>
                <w:lang w:val="lv-LV"/>
              </w:rPr>
            </w:pPr>
            <w:r w:rsidRPr="00C42301">
              <w:rPr>
                <w:spacing w:val="-3"/>
                <w:lang w:val="lv-LV"/>
              </w:rPr>
              <w:t xml:space="preserve">2010/84/ES </w:t>
            </w:r>
            <w:r w:rsidR="00463FE8" w:rsidRPr="00C42301">
              <w:rPr>
                <w:spacing w:val="-3"/>
                <w:lang w:val="lv-LV"/>
              </w:rPr>
              <w:t>1.panta 14.punkta b) apakšpunkts (attiecībā uz Direktīvas 2001/83 27.panta 2.punktu)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pPr>
              <w:spacing w:after="120"/>
              <w:rPr>
                <w:spacing w:val="-3"/>
                <w:lang w:val="lv-LV"/>
              </w:rPr>
            </w:pPr>
            <w:r w:rsidRPr="00C42301">
              <w:rPr>
                <w:lang w:val="lv-LV"/>
              </w:rPr>
              <w:t xml:space="preserve">Direktīvas </w:t>
            </w:r>
            <w:r w:rsidR="00050088"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493383">
            <w:pPr>
              <w:ind w:left="57"/>
              <w:rPr>
                <w:spacing w:val="-3"/>
                <w:lang w:val="lv-LV"/>
              </w:rPr>
            </w:pPr>
            <w:r w:rsidRPr="00C42301">
              <w:rPr>
                <w:spacing w:val="-3"/>
                <w:lang w:val="lv-LV"/>
              </w:rPr>
              <w:lastRenderedPageBreak/>
              <w:t xml:space="preserve">2010/84/ES </w:t>
            </w:r>
            <w:r w:rsidR="00463FE8" w:rsidRPr="00C42301">
              <w:rPr>
                <w:spacing w:val="-3"/>
                <w:lang w:val="lv-LV"/>
              </w:rPr>
              <w:t>1.panta 15.punkts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pPr>
              <w:spacing w:after="120"/>
              <w:rPr>
                <w:spacing w:val="-3"/>
                <w:lang w:val="lv-LV"/>
              </w:rPr>
            </w:pPr>
            <w:r w:rsidRPr="00C42301">
              <w:rPr>
                <w:lang w:val="lv-LV"/>
              </w:rPr>
              <w:t xml:space="preserve">Direktīvas </w:t>
            </w:r>
            <w:r w:rsidR="00050088"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0B778C">
            <w:pPr>
              <w:ind w:left="57"/>
              <w:rPr>
                <w:spacing w:val="-3"/>
                <w:lang w:val="lv-LV"/>
              </w:rPr>
            </w:pPr>
            <w:r w:rsidRPr="00C42301">
              <w:rPr>
                <w:spacing w:val="-3"/>
                <w:lang w:val="lv-LV"/>
              </w:rPr>
              <w:t xml:space="preserve">2010/84/ES </w:t>
            </w:r>
            <w:r w:rsidR="00463FE8" w:rsidRPr="00C42301">
              <w:rPr>
                <w:spacing w:val="-3"/>
                <w:lang w:val="lv-LV"/>
              </w:rPr>
              <w:t>1.panta 16.punkta a) apakšpunkts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r w:rsidRPr="00C42301">
              <w:rPr>
                <w:lang w:val="lv-LV"/>
              </w:rPr>
              <w:t xml:space="preserve">Direktīvas </w:t>
            </w:r>
            <w:r w:rsidR="00050088"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0B778C">
            <w:pPr>
              <w:ind w:left="57"/>
              <w:rPr>
                <w:spacing w:val="-3"/>
                <w:lang w:val="lv-LV"/>
              </w:rPr>
            </w:pPr>
            <w:r w:rsidRPr="00C42301">
              <w:rPr>
                <w:spacing w:val="-3"/>
                <w:lang w:val="lv-LV"/>
              </w:rPr>
              <w:t xml:space="preserve">2010/84/ES </w:t>
            </w:r>
            <w:r w:rsidR="00463FE8" w:rsidRPr="00C42301">
              <w:rPr>
                <w:spacing w:val="-3"/>
                <w:lang w:val="lv-LV"/>
              </w:rPr>
              <w:t>1.panta 16.punkta b) apakšpunkts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pPr>
              <w:spacing w:after="120"/>
              <w:rPr>
                <w:spacing w:val="-3"/>
                <w:lang w:val="lv-LV"/>
              </w:rPr>
            </w:pPr>
            <w:r w:rsidRPr="00C42301">
              <w:rPr>
                <w:lang w:val="lv-LV"/>
              </w:rPr>
              <w:t>Direktīvas</w:t>
            </w:r>
            <w:r w:rsidR="00050088" w:rsidRPr="00C42301">
              <w:rPr>
                <w:lang w:val="lv-LV"/>
              </w:rPr>
              <w:t xml:space="preserve"> Nr.2010/84/ES</w:t>
            </w:r>
            <w:r w:rsidRPr="00C42301">
              <w:rPr>
                <w:lang w:val="lv-LV"/>
              </w:rPr>
              <w:t xml:space="preserve"> 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9A2044">
            <w:pPr>
              <w:ind w:left="57"/>
              <w:rPr>
                <w:spacing w:val="-3"/>
                <w:lang w:val="lv-LV"/>
              </w:rPr>
            </w:pPr>
            <w:r w:rsidRPr="00C42301">
              <w:rPr>
                <w:spacing w:val="-3"/>
                <w:lang w:val="lv-LV"/>
              </w:rPr>
              <w:t xml:space="preserve">2010/84/ES </w:t>
            </w:r>
            <w:r w:rsidR="00463FE8" w:rsidRPr="00C42301">
              <w:rPr>
                <w:spacing w:val="-3"/>
                <w:lang w:val="lv-LV"/>
              </w:rPr>
              <w:t>1.panta 17.punkts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F150F">
            <w:r w:rsidRPr="00C42301">
              <w:rPr>
                <w:lang w:val="lv-LV"/>
              </w:rPr>
              <w:t xml:space="preserve">Direktīvas </w:t>
            </w:r>
            <w:r w:rsidR="00050088" w:rsidRPr="00C42301">
              <w:rPr>
                <w:lang w:val="lv-LV"/>
              </w:rPr>
              <w:t xml:space="preserve">Nr.2010/84/ES </w:t>
            </w:r>
            <w:r w:rsidRPr="00C42301">
              <w:rPr>
                <w:lang w:val="lv-LV"/>
              </w:rPr>
              <w:t xml:space="preserve">norma </w:t>
            </w:r>
            <w:proofErr w:type="spellStart"/>
            <w:r w:rsidR="00807AAE" w:rsidRPr="00C42301">
              <w:t>tiks</w:t>
            </w:r>
            <w:proofErr w:type="spellEnd"/>
            <w:r w:rsidR="00807AAE" w:rsidRPr="00C42301">
              <w:t xml:space="preserve"> </w:t>
            </w:r>
            <w:proofErr w:type="spellStart"/>
            <w:r w:rsidR="00807AAE" w:rsidRPr="00C42301">
              <w:t>pārņemta</w:t>
            </w:r>
            <w:proofErr w:type="spellEnd"/>
            <w:r w:rsidR="00807AAE" w:rsidRPr="00C42301">
              <w:t xml:space="preserve"> </w:t>
            </w:r>
            <w:r w:rsidRPr="00C42301">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534192">
            <w:pPr>
              <w:spacing w:after="120"/>
              <w:ind w:left="57"/>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roofErr w:type="spellStart"/>
            <w:r w:rsidRPr="00C42301">
              <w:t>Nav</w:t>
            </w:r>
            <w:proofErr w:type="spellEnd"/>
          </w:p>
        </w:tc>
      </w:tr>
      <w:tr w:rsidR="00463FE8" w:rsidRPr="00AE5582"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AC1982">
            <w:pPr>
              <w:ind w:left="57"/>
              <w:rPr>
                <w:spacing w:val="-3"/>
                <w:lang w:val="lv-LV"/>
              </w:rPr>
            </w:pPr>
            <w:r w:rsidRPr="00C42301">
              <w:rPr>
                <w:spacing w:val="-3"/>
                <w:lang w:val="lv-LV"/>
              </w:rPr>
              <w:lastRenderedPageBreak/>
              <w:t xml:space="preserve">2010/84/ES </w:t>
            </w:r>
            <w:r w:rsidR="00463FE8" w:rsidRPr="00C42301">
              <w:rPr>
                <w:spacing w:val="-3"/>
                <w:lang w:val="lv-LV"/>
              </w:rPr>
              <w:t>1.panta 18.punkts a)apakšpunkts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177C70" w:rsidP="0021554E">
            <w:pPr>
              <w:spacing w:after="120"/>
              <w:rPr>
                <w:spacing w:val="-3"/>
                <w:lang w:val="lv-LV"/>
              </w:rPr>
            </w:pPr>
            <w:r>
              <w:rPr>
                <w:spacing w:val="-3"/>
                <w:lang w:val="lv-LV"/>
              </w:rPr>
              <w:t xml:space="preserve">3. un </w:t>
            </w:r>
            <w:r w:rsidR="00A86BA9">
              <w:rPr>
                <w:spacing w:val="-3"/>
                <w:lang w:val="lv-LV"/>
              </w:rPr>
              <w:t>5</w:t>
            </w:r>
            <w:r w:rsidR="00463FE8" w:rsidRPr="00C42301">
              <w:rPr>
                <w:spacing w:val="-3"/>
                <w:lang w:val="lv-LV"/>
              </w:rPr>
              <w:t>.</w:t>
            </w:r>
            <w:r w:rsidR="009F4390" w:rsidRPr="00C42301">
              <w:rPr>
                <w:spacing w:val="-3"/>
                <w:lang w:val="lv-LV"/>
              </w:rPr>
              <w:t>punkts</w:t>
            </w:r>
          </w:p>
        </w:tc>
        <w:tc>
          <w:tcPr>
            <w:tcW w:w="3260" w:type="dxa"/>
            <w:tcBorders>
              <w:top w:val="outset" w:sz="6" w:space="0" w:color="auto"/>
              <w:left w:val="outset" w:sz="6" w:space="0" w:color="auto"/>
              <w:bottom w:val="outset" w:sz="6" w:space="0" w:color="auto"/>
              <w:right w:val="outset" w:sz="6" w:space="0" w:color="auto"/>
            </w:tcBorders>
          </w:tcPr>
          <w:p w:rsidR="006407B0" w:rsidRPr="00582010" w:rsidRDefault="00463FE8" w:rsidP="006407B0">
            <w:pPr>
              <w:pStyle w:val="Bezatstarpm"/>
              <w:jc w:val="both"/>
              <w:rPr>
                <w:rFonts w:ascii="Times New Roman" w:hAnsi="Times New Roman"/>
                <w:sz w:val="24"/>
                <w:szCs w:val="24"/>
              </w:rPr>
            </w:pPr>
            <w:r w:rsidRPr="00582010">
              <w:rPr>
                <w:rFonts w:ascii="Times New Roman" w:hAnsi="Times New Roman"/>
                <w:sz w:val="24"/>
                <w:szCs w:val="24"/>
              </w:rPr>
              <w:t>Direktīvas norma ieviesta</w:t>
            </w:r>
            <w:r w:rsidR="00AE5582" w:rsidRPr="00582010">
              <w:rPr>
                <w:rFonts w:ascii="Times New Roman" w:hAnsi="Times New Roman"/>
                <w:sz w:val="24"/>
                <w:szCs w:val="24"/>
              </w:rPr>
              <w:t xml:space="preserve"> </w:t>
            </w:r>
            <w:r w:rsidR="00E252AE">
              <w:rPr>
                <w:rFonts w:ascii="Times New Roman" w:hAnsi="Times New Roman"/>
                <w:sz w:val="24"/>
                <w:szCs w:val="24"/>
              </w:rPr>
              <w:t>pilnīgi</w:t>
            </w:r>
            <w:r w:rsidR="00AE5582" w:rsidRPr="00582010">
              <w:rPr>
                <w:rFonts w:ascii="Times New Roman" w:hAnsi="Times New Roman"/>
                <w:sz w:val="24"/>
                <w:szCs w:val="24"/>
              </w:rPr>
              <w:t xml:space="preserve">. </w:t>
            </w:r>
            <w:r w:rsidR="00E252AE">
              <w:rPr>
                <w:rFonts w:ascii="Times New Roman" w:hAnsi="Times New Roman"/>
                <w:sz w:val="24"/>
                <w:szCs w:val="24"/>
              </w:rPr>
              <w:t xml:space="preserve">Skatīt Anotācijas </w:t>
            </w:r>
            <w:r w:rsidR="00582010" w:rsidRPr="00582010">
              <w:rPr>
                <w:rFonts w:ascii="Times New Roman" w:hAnsi="Times New Roman"/>
                <w:sz w:val="24"/>
                <w:szCs w:val="24"/>
              </w:rPr>
              <w:t>I sadaļas 2.1.apakšpunktu.</w:t>
            </w:r>
          </w:p>
          <w:p w:rsidR="00582010" w:rsidRPr="00582010" w:rsidRDefault="00582010" w:rsidP="00A24F40">
            <w:pPr>
              <w:pStyle w:val="Bezatstarpm"/>
              <w:jc w:val="both"/>
              <w:rPr>
                <w:rFonts w:ascii="Times New Roman" w:hAnsi="Times New Roman"/>
                <w:sz w:val="24"/>
                <w:szCs w:val="24"/>
                <w:lang w:eastAsia="lv-LV"/>
              </w:rPr>
            </w:pPr>
          </w:p>
          <w:p w:rsidR="00A24F40" w:rsidRPr="00582010" w:rsidRDefault="00F856A0" w:rsidP="00A24F40">
            <w:pPr>
              <w:pStyle w:val="Bezatstarpm"/>
              <w:jc w:val="both"/>
              <w:rPr>
                <w:rFonts w:ascii="Times New Roman" w:hAnsi="Times New Roman"/>
                <w:sz w:val="24"/>
                <w:szCs w:val="24"/>
              </w:rPr>
            </w:pPr>
            <w:r w:rsidRPr="00582010">
              <w:rPr>
                <w:rFonts w:ascii="Times New Roman" w:hAnsi="Times New Roman"/>
                <w:sz w:val="24"/>
                <w:szCs w:val="24"/>
                <w:lang w:eastAsia="lv-LV"/>
              </w:rPr>
              <w:t>P</w:t>
            </w:r>
            <w:r w:rsidR="00A24F40" w:rsidRPr="00582010">
              <w:rPr>
                <w:rFonts w:ascii="Times New Roman" w:hAnsi="Times New Roman"/>
                <w:sz w:val="24"/>
                <w:szCs w:val="24"/>
                <w:lang w:eastAsia="lv-LV"/>
              </w:rPr>
              <w:t xml:space="preserve">ašlaik </w:t>
            </w:r>
            <w:r w:rsidR="00A24F40" w:rsidRPr="00582010">
              <w:rPr>
                <w:rFonts w:ascii="Times New Roman" w:hAnsi="Times New Roman"/>
                <w:sz w:val="24"/>
                <w:szCs w:val="24"/>
              </w:rPr>
              <w:t>Direktīvas Nr.2010/84/ES 1.panta 18.punkta a) apakšpunkta norm</w:t>
            </w:r>
            <w:r w:rsidR="00DF0833">
              <w:rPr>
                <w:rFonts w:ascii="Times New Roman" w:hAnsi="Times New Roman"/>
                <w:sz w:val="24"/>
                <w:szCs w:val="24"/>
              </w:rPr>
              <w:t>ā</w:t>
            </w:r>
            <w:r w:rsidR="00A24F40" w:rsidRPr="00582010">
              <w:rPr>
                <w:rFonts w:ascii="Times New Roman" w:hAnsi="Times New Roman"/>
                <w:sz w:val="24"/>
                <w:szCs w:val="24"/>
              </w:rPr>
              <w:t xml:space="preserve"> </w:t>
            </w:r>
            <w:r w:rsidR="00DF0833">
              <w:rPr>
                <w:rFonts w:ascii="Times New Roman" w:hAnsi="Times New Roman"/>
                <w:sz w:val="24"/>
                <w:szCs w:val="24"/>
              </w:rPr>
              <w:t>minēto melnā simbolu</w:t>
            </w:r>
            <w:r w:rsidR="00A24F40" w:rsidRPr="00582010">
              <w:rPr>
                <w:rFonts w:ascii="Times New Roman" w:hAnsi="Times New Roman"/>
                <w:sz w:val="24"/>
                <w:szCs w:val="24"/>
              </w:rPr>
              <w:t xml:space="preserve"> </w:t>
            </w:r>
            <w:r w:rsidR="00DF0833">
              <w:rPr>
                <w:rFonts w:ascii="Times New Roman" w:hAnsi="Times New Roman"/>
                <w:sz w:val="24"/>
                <w:szCs w:val="24"/>
              </w:rPr>
              <w:t xml:space="preserve">nevar </w:t>
            </w:r>
            <w:r w:rsidR="00B451A6">
              <w:rPr>
                <w:rFonts w:ascii="Times New Roman" w:hAnsi="Times New Roman"/>
                <w:sz w:val="24"/>
                <w:szCs w:val="24"/>
              </w:rPr>
              <w:t>iekļaut</w:t>
            </w:r>
            <w:r w:rsidR="00DF0833">
              <w:rPr>
                <w:rFonts w:ascii="Times New Roman" w:hAnsi="Times New Roman"/>
                <w:sz w:val="24"/>
                <w:szCs w:val="24"/>
              </w:rPr>
              <w:t xml:space="preserve"> Noteikumu projektā</w:t>
            </w:r>
            <w:r w:rsidR="00B451A6">
              <w:rPr>
                <w:rFonts w:ascii="Times New Roman" w:hAnsi="Times New Roman"/>
                <w:sz w:val="24"/>
                <w:szCs w:val="24"/>
              </w:rPr>
              <w:t>, norādot konkrētu simbolu</w:t>
            </w:r>
            <w:r w:rsidR="00A24F40" w:rsidRPr="00582010">
              <w:rPr>
                <w:rFonts w:ascii="Times New Roman" w:hAnsi="Times New Roman"/>
                <w:sz w:val="24"/>
                <w:szCs w:val="24"/>
              </w:rPr>
              <w:t xml:space="preserve">, jo Eiropas Komisijas zāļu lietošanas instrukcijā norādāmo melno simbolu papildu uzraudzībai noteiktajām zālēm vēl nav apstiprinājusi, kā arī </w:t>
            </w:r>
            <w:r w:rsidR="00FB6C57" w:rsidRPr="00582010">
              <w:rPr>
                <w:rFonts w:ascii="Times New Roman" w:hAnsi="Times New Roman"/>
                <w:sz w:val="24"/>
                <w:szCs w:val="24"/>
              </w:rPr>
              <w:t xml:space="preserve">nav </w:t>
            </w:r>
            <w:r w:rsidR="00A24F40" w:rsidRPr="00582010">
              <w:rPr>
                <w:rFonts w:ascii="Times New Roman" w:hAnsi="Times New Roman"/>
                <w:sz w:val="24"/>
                <w:szCs w:val="24"/>
              </w:rPr>
              <w:t>noteikusi pāreja</w:t>
            </w:r>
            <w:r w:rsidR="00B451A6">
              <w:rPr>
                <w:rFonts w:ascii="Times New Roman" w:hAnsi="Times New Roman"/>
                <w:sz w:val="24"/>
                <w:szCs w:val="24"/>
              </w:rPr>
              <w:t>s periodu tā ieviešanai zāļu lietošanas instrukcijās.</w:t>
            </w:r>
          </w:p>
          <w:p w:rsidR="00F856A0" w:rsidRPr="00582010" w:rsidRDefault="00F856A0" w:rsidP="00F856A0">
            <w:pPr>
              <w:pStyle w:val="Bezatstarpm"/>
              <w:jc w:val="both"/>
              <w:rPr>
                <w:rFonts w:ascii="Times New Roman" w:hAnsi="Times New Roman"/>
                <w:sz w:val="24"/>
                <w:szCs w:val="24"/>
              </w:rPr>
            </w:pPr>
            <w:r w:rsidRPr="00582010">
              <w:rPr>
                <w:rFonts w:ascii="Times New Roman" w:hAnsi="Times New Roman"/>
                <w:sz w:val="24"/>
                <w:szCs w:val="24"/>
              </w:rPr>
              <w:t>Pašreiz Direktīvas Nr.2010/84/ES 1.panta 18.punkta a) apakšpunkta normu attiecībā uz zāļu lietošanas instrukcijā iek</w:t>
            </w:r>
            <w:r w:rsidR="00AB09BB" w:rsidRPr="00582010">
              <w:rPr>
                <w:rFonts w:ascii="Times New Roman" w:hAnsi="Times New Roman"/>
                <w:sz w:val="24"/>
                <w:szCs w:val="24"/>
              </w:rPr>
              <w:t>ļaujamajiem standartizēt</w:t>
            </w:r>
            <w:r w:rsidR="001C6A99" w:rsidRPr="00582010">
              <w:rPr>
                <w:rFonts w:ascii="Times New Roman" w:hAnsi="Times New Roman"/>
                <w:sz w:val="24"/>
                <w:szCs w:val="24"/>
              </w:rPr>
              <w:t>iem</w:t>
            </w:r>
            <w:r w:rsidR="00C10E84" w:rsidRPr="00582010">
              <w:rPr>
                <w:rFonts w:ascii="Times New Roman" w:hAnsi="Times New Roman"/>
                <w:sz w:val="24"/>
                <w:szCs w:val="24"/>
              </w:rPr>
              <w:t xml:space="preserve"> </w:t>
            </w:r>
            <w:r w:rsidRPr="00582010">
              <w:rPr>
                <w:rFonts w:ascii="Times New Roman" w:hAnsi="Times New Roman"/>
                <w:sz w:val="24"/>
                <w:szCs w:val="24"/>
              </w:rPr>
              <w:t xml:space="preserve">tekstiem par </w:t>
            </w:r>
            <w:r w:rsidR="00C10E84" w:rsidRPr="00582010">
              <w:rPr>
                <w:rFonts w:ascii="Times New Roman" w:hAnsi="Times New Roman"/>
                <w:sz w:val="24"/>
                <w:szCs w:val="24"/>
              </w:rPr>
              <w:t>paziņošanu</w:t>
            </w:r>
            <w:r w:rsidRPr="00582010">
              <w:rPr>
                <w:rFonts w:ascii="Times New Roman" w:hAnsi="Times New Roman"/>
                <w:sz w:val="24"/>
                <w:szCs w:val="24"/>
              </w:rPr>
              <w:t xml:space="preserve"> par blakusparādībām nevar </w:t>
            </w:r>
            <w:r w:rsidR="00B451A6">
              <w:rPr>
                <w:rFonts w:ascii="Times New Roman" w:hAnsi="Times New Roman"/>
                <w:sz w:val="24"/>
                <w:szCs w:val="24"/>
              </w:rPr>
              <w:t>konkrēti Noteikumu projektā</w:t>
            </w:r>
            <w:r w:rsidR="006E585D">
              <w:rPr>
                <w:rFonts w:ascii="Times New Roman" w:hAnsi="Times New Roman"/>
                <w:sz w:val="24"/>
                <w:szCs w:val="24"/>
              </w:rPr>
              <w:t xml:space="preserve"> iekļaut</w:t>
            </w:r>
            <w:r w:rsidRPr="00582010">
              <w:rPr>
                <w:rFonts w:ascii="Times New Roman" w:hAnsi="Times New Roman"/>
                <w:sz w:val="24"/>
                <w:szCs w:val="24"/>
              </w:rPr>
              <w:t xml:space="preserve">, jo </w:t>
            </w:r>
            <w:r w:rsidR="006E585D">
              <w:rPr>
                <w:rFonts w:ascii="Times New Roman" w:hAnsi="Times New Roman"/>
                <w:sz w:val="24"/>
                <w:szCs w:val="24"/>
              </w:rPr>
              <w:t xml:space="preserve">tie tiks noteikti ar </w:t>
            </w:r>
            <w:r w:rsidRPr="00582010">
              <w:rPr>
                <w:rFonts w:ascii="Times New Roman" w:hAnsi="Times New Roman"/>
                <w:sz w:val="24"/>
                <w:szCs w:val="24"/>
              </w:rPr>
              <w:t xml:space="preserve">Eiropas Zāļu aģentūra kvalitātes pārskatu par cilvēkiem paredzēto produktu informācijas norādēm, </w:t>
            </w:r>
            <w:r w:rsidR="006E585D">
              <w:rPr>
                <w:rFonts w:ascii="Times New Roman" w:hAnsi="Times New Roman"/>
                <w:sz w:val="24"/>
                <w:szCs w:val="24"/>
              </w:rPr>
              <w:t>kurš vēl nav apstiprināts.</w:t>
            </w:r>
          </w:p>
          <w:p w:rsidR="004556B5" w:rsidRPr="00582010" w:rsidRDefault="00D53517" w:rsidP="009E73E9">
            <w:pPr>
              <w:pStyle w:val="Bezatstarpm"/>
              <w:jc w:val="both"/>
              <w:rPr>
                <w:rFonts w:ascii="Times New Roman" w:hAnsi="Times New Roman"/>
                <w:sz w:val="24"/>
                <w:szCs w:val="24"/>
              </w:rPr>
            </w:pPr>
            <w:r w:rsidRPr="00582010">
              <w:rPr>
                <w:rFonts w:ascii="Times New Roman" w:hAnsi="Times New Roman"/>
                <w:sz w:val="24"/>
                <w:szCs w:val="24"/>
              </w:rPr>
              <w:t>Attiecīgās normas ietveramas MK noteikumos</w:t>
            </w:r>
            <w:r w:rsidR="009E73E9" w:rsidRPr="00582010">
              <w:rPr>
                <w:rFonts w:ascii="Times New Roman" w:hAnsi="Times New Roman"/>
                <w:sz w:val="24"/>
                <w:szCs w:val="24"/>
              </w:rPr>
              <w:t xml:space="preserve"> Nr.57 </w:t>
            </w:r>
            <w:r w:rsidRPr="00582010">
              <w:rPr>
                <w:rFonts w:ascii="Times New Roman" w:hAnsi="Times New Roman"/>
                <w:sz w:val="24"/>
                <w:szCs w:val="24"/>
              </w:rPr>
              <w:t xml:space="preserve">pēc </w:t>
            </w:r>
            <w:r w:rsidR="002203D1" w:rsidRPr="00582010">
              <w:rPr>
                <w:rFonts w:ascii="Times New Roman" w:hAnsi="Times New Roman"/>
                <w:sz w:val="24"/>
                <w:szCs w:val="24"/>
              </w:rPr>
              <w:t>tam, kad Eiropas Komisija ir apstiprinājusi</w:t>
            </w:r>
            <w:r w:rsidRPr="00582010">
              <w:rPr>
                <w:rFonts w:ascii="Times New Roman" w:hAnsi="Times New Roman"/>
                <w:sz w:val="24"/>
                <w:szCs w:val="24"/>
              </w:rPr>
              <w:t xml:space="preserve"> </w:t>
            </w:r>
            <w:r w:rsidR="00CE04B0" w:rsidRPr="00582010">
              <w:rPr>
                <w:rFonts w:ascii="Times New Roman" w:hAnsi="Times New Roman"/>
                <w:sz w:val="24"/>
                <w:szCs w:val="24"/>
              </w:rPr>
              <w:t xml:space="preserve">konkrētu </w:t>
            </w:r>
            <w:r w:rsidRPr="00582010">
              <w:rPr>
                <w:rFonts w:ascii="Times New Roman" w:hAnsi="Times New Roman"/>
                <w:sz w:val="24"/>
                <w:szCs w:val="24"/>
              </w:rPr>
              <w:t>meln</w:t>
            </w:r>
            <w:r w:rsidR="002203D1" w:rsidRPr="00582010">
              <w:rPr>
                <w:rFonts w:ascii="Times New Roman" w:hAnsi="Times New Roman"/>
                <w:sz w:val="24"/>
                <w:szCs w:val="24"/>
              </w:rPr>
              <w:t>o</w:t>
            </w:r>
            <w:r w:rsidRPr="00582010">
              <w:rPr>
                <w:rFonts w:ascii="Times New Roman" w:hAnsi="Times New Roman"/>
                <w:sz w:val="24"/>
                <w:szCs w:val="24"/>
              </w:rPr>
              <w:t xml:space="preserve"> simbo</w:t>
            </w:r>
            <w:r w:rsidR="002203D1" w:rsidRPr="00582010">
              <w:rPr>
                <w:rFonts w:ascii="Times New Roman" w:hAnsi="Times New Roman"/>
                <w:sz w:val="24"/>
                <w:szCs w:val="24"/>
              </w:rPr>
              <w:t>lu</w:t>
            </w:r>
            <w:r w:rsidR="00CE04B0" w:rsidRPr="00582010">
              <w:rPr>
                <w:rFonts w:ascii="Times New Roman" w:hAnsi="Times New Roman"/>
                <w:sz w:val="24"/>
                <w:szCs w:val="24"/>
              </w:rPr>
              <w:t>,</w:t>
            </w:r>
            <w:r w:rsidRPr="00582010">
              <w:rPr>
                <w:rFonts w:ascii="Times New Roman" w:hAnsi="Times New Roman"/>
                <w:sz w:val="24"/>
                <w:szCs w:val="24"/>
              </w:rPr>
              <w:t xml:space="preserve"> </w:t>
            </w:r>
            <w:r w:rsidR="002203D1" w:rsidRPr="00582010">
              <w:rPr>
                <w:rFonts w:ascii="Times New Roman" w:hAnsi="Times New Roman"/>
                <w:sz w:val="24"/>
                <w:szCs w:val="24"/>
              </w:rPr>
              <w:t>un Eiropas Zāļu aģentūra ir apstiprinājusi kvalitātes pārskatu par cilvēkiem paredzēto produktu informācijas norādēm.</w:t>
            </w:r>
          </w:p>
          <w:p w:rsidR="00463FE8" w:rsidRPr="00582010" w:rsidRDefault="004556B5" w:rsidP="009E73E9">
            <w:pPr>
              <w:pStyle w:val="Bezatstarpm"/>
              <w:jc w:val="both"/>
              <w:rPr>
                <w:highlight w:val="yellow"/>
              </w:rPr>
            </w:pPr>
            <w:r w:rsidRPr="00582010">
              <w:rPr>
                <w:rFonts w:ascii="Times New Roman" w:hAnsi="Times New Roman"/>
                <w:sz w:val="24"/>
                <w:szCs w:val="24"/>
              </w:rPr>
              <w:t>Atbildībā – Veselības ministrija</w:t>
            </w:r>
            <w:r w:rsidR="009E73E9" w:rsidRPr="00582010">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FF150F">
            <w:pPr>
              <w:spacing w:after="120"/>
              <w:rPr>
                <w:spacing w:val="-3"/>
                <w:lang w:val="lv-LV"/>
              </w:rPr>
            </w:pPr>
            <w:r w:rsidRPr="00C42301">
              <w:rPr>
                <w:spacing w:val="-3"/>
                <w:lang w:val="lv-LV"/>
              </w:rPr>
              <w:t>Stingrākas prasības neparedz</w:t>
            </w:r>
          </w:p>
        </w:tc>
      </w:tr>
      <w:tr w:rsidR="00463FE8" w:rsidRPr="00AE5582"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11611">
            <w:pPr>
              <w:ind w:left="57"/>
              <w:rPr>
                <w:spacing w:val="-3"/>
                <w:lang w:val="lv-LV"/>
              </w:rPr>
            </w:pPr>
            <w:r w:rsidRPr="00C42301">
              <w:rPr>
                <w:spacing w:val="-3"/>
                <w:lang w:val="lv-LV"/>
              </w:rPr>
              <w:lastRenderedPageBreak/>
              <w:t xml:space="preserve">2010/84/ES </w:t>
            </w:r>
            <w:r w:rsidR="00463FE8" w:rsidRPr="00C42301">
              <w:rPr>
                <w:spacing w:val="-3"/>
                <w:lang w:val="lv-LV"/>
              </w:rPr>
              <w:t>1.panta 18.punkts</w:t>
            </w:r>
          </w:p>
          <w:p w:rsidR="00463FE8" w:rsidRPr="00C42301" w:rsidRDefault="00463FE8" w:rsidP="00E11611">
            <w:pPr>
              <w:ind w:left="57"/>
              <w:rPr>
                <w:spacing w:val="-3"/>
                <w:lang w:val="lv-LV"/>
              </w:rPr>
            </w:pPr>
            <w:r w:rsidRPr="00C42301">
              <w:rPr>
                <w:spacing w:val="-3"/>
                <w:lang w:val="lv-LV"/>
              </w:rPr>
              <w:t>b)apakšpunkts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E11611">
            <w:pPr>
              <w:spacing w:after="120"/>
              <w:rPr>
                <w:spacing w:val="-3"/>
                <w:lang w:val="lv-LV"/>
              </w:rPr>
            </w:pPr>
            <w:r w:rsidRPr="00C42301">
              <w:rPr>
                <w:spacing w:val="-3"/>
                <w:lang w:val="lv-LV"/>
              </w:rPr>
              <w:t>Nav</w:t>
            </w:r>
          </w:p>
        </w:tc>
        <w:tc>
          <w:tcPr>
            <w:tcW w:w="3260" w:type="dxa"/>
            <w:tcBorders>
              <w:top w:val="outset" w:sz="6" w:space="0" w:color="auto"/>
              <w:left w:val="outset" w:sz="6" w:space="0" w:color="auto"/>
              <w:bottom w:val="outset" w:sz="6" w:space="0" w:color="auto"/>
              <w:right w:val="outset" w:sz="6" w:space="0" w:color="auto"/>
            </w:tcBorders>
          </w:tcPr>
          <w:p w:rsidR="00463FE8" w:rsidRPr="007F2C74" w:rsidRDefault="00463FE8" w:rsidP="00E11611">
            <w:pPr>
              <w:spacing w:after="120"/>
              <w:ind w:left="57"/>
              <w:jc w:val="both"/>
              <w:rPr>
                <w:highlight w:val="yellow"/>
                <w:lang w:val="lv-LV"/>
              </w:rPr>
            </w:pPr>
            <w:r w:rsidRPr="003B0D22">
              <w:rPr>
                <w:lang w:val="lv-LV"/>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E11611">
            <w:pPr>
              <w:spacing w:after="120"/>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A107B0">
            <w:pPr>
              <w:ind w:left="57"/>
              <w:rPr>
                <w:spacing w:val="-3"/>
                <w:lang w:val="lv-LV"/>
              </w:rPr>
            </w:pPr>
            <w:r w:rsidRPr="00C42301">
              <w:rPr>
                <w:spacing w:val="-3"/>
                <w:lang w:val="lv-LV"/>
              </w:rPr>
              <w:t xml:space="preserve">2010/84/ES </w:t>
            </w:r>
            <w:r w:rsidR="00463FE8" w:rsidRPr="00C42301">
              <w:rPr>
                <w:spacing w:val="-3"/>
                <w:lang w:val="lv-LV"/>
              </w:rPr>
              <w:t>1.panta 19.punkts</w:t>
            </w:r>
          </w:p>
        </w:tc>
        <w:tc>
          <w:tcPr>
            <w:tcW w:w="2693" w:type="dxa"/>
            <w:tcBorders>
              <w:top w:val="outset" w:sz="6" w:space="0" w:color="auto"/>
              <w:left w:val="outset" w:sz="6" w:space="0" w:color="auto"/>
              <w:bottom w:val="outset" w:sz="6" w:space="0" w:color="auto"/>
              <w:right w:val="outset" w:sz="6" w:space="0" w:color="auto"/>
            </w:tcBorders>
          </w:tcPr>
          <w:p w:rsidR="00FB1F02" w:rsidRPr="00C42301" w:rsidRDefault="00FB1F02" w:rsidP="00FB1F02">
            <w:pPr>
              <w:pStyle w:val="Bezatstarpm"/>
              <w:jc w:val="both"/>
              <w:rPr>
                <w:rFonts w:ascii="Times New Roman" w:hAnsi="Times New Roman"/>
                <w:sz w:val="24"/>
                <w:szCs w:val="24"/>
              </w:rPr>
            </w:pPr>
            <w:r w:rsidRPr="00C42301">
              <w:rPr>
                <w:rFonts w:ascii="Times New Roman" w:hAnsi="Times New Roman"/>
                <w:sz w:val="24"/>
                <w:szCs w:val="24"/>
              </w:rPr>
              <w:t>MK noteikumi Nr.57 (7.6.apakšpunkts</w:t>
            </w:r>
            <w:r w:rsidR="00553E5D" w:rsidRPr="00C42301">
              <w:rPr>
                <w:rFonts w:ascii="Times New Roman" w:hAnsi="Times New Roman"/>
                <w:sz w:val="24"/>
                <w:szCs w:val="24"/>
              </w:rPr>
              <w:t>)</w:t>
            </w:r>
          </w:p>
          <w:p w:rsidR="00463FE8" w:rsidRPr="00C42301" w:rsidRDefault="00C91646" w:rsidP="00D03BCB">
            <w:pPr>
              <w:pStyle w:val="Bezatstarpm"/>
              <w:rPr>
                <w:rFonts w:ascii="Times New Roman" w:hAnsi="Times New Roman"/>
                <w:spacing w:val="-3"/>
                <w:sz w:val="24"/>
                <w:szCs w:val="24"/>
              </w:rPr>
            </w:pPr>
            <w:r w:rsidRPr="00C42301">
              <w:rPr>
                <w:rFonts w:ascii="Times New Roman" w:hAnsi="Times New Roman"/>
                <w:spacing w:val="-3"/>
                <w:sz w:val="24"/>
                <w:szCs w:val="24"/>
              </w:rPr>
              <w:t>1.</w:t>
            </w:r>
            <w:r w:rsidR="00463FE8" w:rsidRPr="00C42301">
              <w:rPr>
                <w:rFonts w:ascii="Times New Roman" w:hAnsi="Times New Roman"/>
                <w:spacing w:val="-3"/>
                <w:sz w:val="24"/>
                <w:szCs w:val="24"/>
              </w:rPr>
              <w:t>punkts</w:t>
            </w:r>
          </w:p>
          <w:p w:rsidR="00E35788" w:rsidRPr="00C42301" w:rsidRDefault="00E35788" w:rsidP="00A107B0">
            <w:pPr>
              <w:pStyle w:val="Bezatstarpm"/>
              <w:rPr>
                <w:rFonts w:ascii="Times New Roman" w:hAnsi="Times New Roman"/>
                <w:spacing w:val="-3"/>
                <w:sz w:val="24"/>
                <w:szCs w:val="24"/>
              </w:rPr>
            </w:pP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463FE8" w:rsidP="00A74D13">
            <w:pPr>
              <w:spacing w:after="120"/>
              <w:ind w:left="57"/>
              <w:jc w:val="both"/>
              <w:rPr>
                <w:lang w:val="lv-LV"/>
              </w:rPr>
            </w:pPr>
            <w:r w:rsidRPr="00C42301">
              <w:rPr>
                <w:lang w:val="lv-LV"/>
              </w:rPr>
              <w:t>Direktīvas norma pilnībā ieviesta</w:t>
            </w:r>
          </w:p>
          <w:p w:rsidR="00463FE8" w:rsidRPr="00C42301" w:rsidRDefault="00463FE8" w:rsidP="001D273C">
            <w:pPr>
              <w:spacing w:after="120"/>
              <w:ind w:left="57"/>
              <w:jc w:val="both"/>
              <w:rPr>
                <w:lang w:val="lv-LV"/>
              </w:rPr>
            </w:pP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A107B0">
            <w:pPr>
              <w:ind w:left="57"/>
              <w:rPr>
                <w:spacing w:val="-3"/>
                <w:lang w:val="lv-LV"/>
              </w:rPr>
            </w:pPr>
            <w:r w:rsidRPr="00C42301">
              <w:rPr>
                <w:spacing w:val="-3"/>
                <w:lang w:val="lv-LV"/>
              </w:rPr>
              <w:t>Stingrākas prasības neparedz</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A107B0">
            <w:pPr>
              <w:ind w:left="57"/>
              <w:rPr>
                <w:spacing w:val="-3"/>
                <w:lang w:val="lv-LV"/>
              </w:rPr>
            </w:pPr>
            <w:r w:rsidRPr="00C42301">
              <w:rPr>
                <w:spacing w:val="-3"/>
                <w:lang w:val="lv-LV"/>
              </w:rPr>
              <w:t xml:space="preserve">2010/84/ES </w:t>
            </w:r>
            <w:r w:rsidR="00463FE8" w:rsidRPr="00C42301">
              <w:rPr>
                <w:spacing w:val="-3"/>
                <w:lang w:val="lv-LV"/>
              </w:rPr>
              <w:t>1.panta 20.punkts (attiecībā uz Direktīvas 2001/83 IX sadaļu, izņemot jauno 104. a) panta 2., 3. un 4.punktu un Direktīvas 2001/83 jauno 107. c) un j) pantu)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042608">
            <w:pPr>
              <w:pStyle w:val="Bezatstarpm"/>
              <w:jc w:val="both"/>
              <w:rPr>
                <w:rFonts w:ascii="Times New Roman" w:hAnsi="Times New Roman"/>
                <w:spacing w:val="-3"/>
                <w:sz w:val="24"/>
                <w:szCs w:val="24"/>
              </w:rPr>
            </w:pPr>
            <w:r w:rsidRPr="00C42301">
              <w:rPr>
                <w:rFonts w:ascii="Times New Roman" w:hAnsi="Times New Roman"/>
                <w:sz w:val="24"/>
                <w:szCs w:val="24"/>
              </w:rPr>
              <w:t xml:space="preserve">Direktīvas </w:t>
            </w:r>
            <w:r w:rsidR="00050088" w:rsidRPr="00C42301">
              <w:rPr>
                <w:rFonts w:ascii="Times New Roman" w:hAnsi="Times New Roman"/>
                <w:sz w:val="24"/>
                <w:szCs w:val="24"/>
              </w:rPr>
              <w:t xml:space="preserve">Nr.2010/84/ES </w:t>
            </w:r>
            <w:r w:rsidRPr="00C42301">
              <w:rPr>
                <w:rFonts w:ascii="Times New Roman" w:hAnsi="Times New Roman"/>
                <w:sz w:val="24"/>
                <w:szCs w:val="24"/>
              </w:rPr>
              <w:t xml:space="preserve">normas </w:t>
            </w:r>
            <w:r w:rsidR="00807AAE" w:rsidRPr="00C42301">
              <w:rPr>
                <w:rFonts w:ascii="Times New Roman" w:hAnsi="Times New Roman"/>
                <w:sz w:val="24"/>
                <w:szCs w:val="24"/>
              </w:rPr>
              <w:t>tiks pārņemta</w:t>
            </w:r>
            <w:r w:rsidR="00856920">
              <w:rPr>
                <w:rFonts w:ascii="Times New Roman" w:hAnsi="Times New Roman"/>
                <w:sz w:val="24"/>
                <w:szCs w:val="24"/>
              </w:rPr>
              <w:t>s</w:t>
            </w:r>
            <w:r w:rsidR="00807AAE" w:rsidRPr="00C42301">
              <w:rPr>
                <w:rFonts w:ascii="Times New Roman" w:hAnsi="Times New Roman"/>
                <w:sz w:val="24"/>
                <w:szCs w:val="24"/>
              </w:rPr>
              <w:t xml:space="preserve"> </w:t>
            </w:r>
            <w:r w:rsidRPr="00C42301">
              <w:rPr>
                <w:rFonts w:ascii="Times New Roman" w:hAnsi="Times New Roman"/>
                <w:sz w:val="24"/>
                <w:szCs w:val="24"/>
              </w:rPr>
              <w:t>ar Ministru kabineta noteikumiem ”</w:t>
            </w:r>
            <w:proofErr w:type="spellStart"/>
            <w:r w:rsidRPr="00C42301">
              <w:rPr>
                <w:rFonts w:ascii="Times New Roman" w:hAnsi="Times New Roman"/>
                <w:sz w:val="24"/>
                <w:szCs w:val="24"/>
              </w:rPr>
              <w:t>Farmakovigilances</w:t>
            </w:r>
            <w:proofErr w:type="spellEnd"/>
            <w:r w:rsidRPr="00C42301">
              <w:rPr>
                <w:rFonts w:ascii="Times New Roman" w:hAnsi="Times New Roman"/>
                <w:sz w:val="24"/>
                <w:szCs w:val="24"/>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C85F34" w:rsidP="008D2617">
            <w:pPr>
              <w:pStyle w:val="naisf"/>
              <w:spacing w:before="0" w:beforeAutospacing="0" w:after="0" w:afterAutospacing="0"/>
              <w:jc w:val="both"/>
              <w:rPr>
                <w:lang w:val="lv-LV"/>
              </w:rPr>
            </w:pPr>
            <w:r w:rsidRPr="00C42301">
              <w:t> </w:t>
            </w:r>
            <w:proofErr w:type="spellStart"/>
            <w:r w:rsidR="008C27B5"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proofErr w:type="spellStart"/>
            <w:r w:rsidRPr="00C42301">
              <w:rPr>
                <w:spacing w:val="-3"/>
              </w:rPr>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CA46CA">
            <w:pPr>
              <w:ind w:left="57"/>
              <w:jc w:val="both"/>
              <w:rPr>
                <w:spacing w:val="-3"/>
                <w:lang w:val="lv-LV"/>
              </w:rPr>
            </w:pPr>
            <w:r w:rsidRPr="00C42301">
              <w:rPr>
                <w:spacing w:val="-3"/>
                <w:lang w:val="lv-LV"/>
              </w:rPr>
              <w:t xml:space="preserve">2010/84/ES </w:t>
            </w:r>
            <w:r w:rsidR="00463FE8" w:rsidRPr="00C42301">
              <w:rPr>
                <w:spacing w:val="-3"/>
                <w:lang w:val="lv-LV"/>
              </w:rPr>
              <w:t>1.panta 20.punkts (attiecībā uz Direktīvas 2001/83 jauno 104. a) panta 2., 3. un 4.punktu)</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042608" w:rsidP="00F86920">
            <w:pPr>
              <w:pStyle w:val="Bezatstarpm"/>
              <w:rPr>
                <w:rFonts w:ascii="Times New Roman" w:hAnsi="Times New Roman"/>
                <w:spacing w:val="-3"/>
                <w:sz w:val="24"/>
                <w:szCs w:val="24"/>
              </w:rPr>
            </w:pPr>
            <w:r w:rsidRPr="00C42301">
              <w:rPr>
                <w:rFonts w:ascii="Times New Roman" w:hAnsi="Times New Roman"/>
                <w:sz w:val="24"/>
                <w:szCs w:val="24"/>
              </w:rPr>
              <w:t xml:space="preserve">Direktīvas </w:t>
            </w:r>
            <w:r w:rsidR="00050088" w:rsidRPr="00C42301">
              <w:rPr>
                <w:rFonts w:ascii="Times New Roman" w:hAnsi="Times New Roman"/>
                <w:sz w:val="24"/>
                <w:szCs w:val="24"/>
              </w:rPr>
              <w:t xml:space="preserve">Nr.2010/84/ES </w:t>
            </w:r>
            <w:r w:rsidRPr="00C42301">
              <w:rPr>
                <w:rFonts w:ascii="Times New Roman" w:hAnsi="Times New Roman"/>
                <w:sz w:val="24"/>
                <w:szCs w:val="24"/>
              </w:rPr>
              <w:t xml:space="preserve">norma </w:t>
            </w:r>
            <w:r w:rsidR="00807AAE" w:rsidRPr="00C42301">
              <w:rPr>
                <w:rFonts w:ascii="Times New Roman" w:hAnsi="Times New Roman"/>
                <w:sz w:val="24"/>
                <w:szCs w:val="24"/>
              </w:rPr>
              <w:t xml:space="preserve">tiks pārņemta </w:t>
            </w:r>
            <w:r w:rsidRPr="00C42301">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3D170E">
            <w:pPr>
              <w:spacing w:after="120"/>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proofErr w:type="spellStart"/>
            <w:r w:rsidRPr="00C42301">
              <w:rPr>
                <w:spacing w:val="-3"/>
              </w:rPr>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A450F5">
            <w:pPr>
              <w:ind w:left="57"/>
              <w:jc w:val="both"/>
              <w:rPr>
                <w:spacing w:val="-3"/>
                <w:lang w:val="lv-LV"/>
              </w:rPr>
            </w:pPr>
            <w:r w:rsidRPr="00C42301">
              <w:rPr>
                <w:spacing w:val="-3"/>
                <w:lang w:val="lv-LV"/>
              </w:rPr>
              <w:t xml:space="preserve">2010/84/ES </w:t>
            </w:r>
            <w:r w:rsidR="00463FE8" w:rsidRPr="00C42301">
              <w:rPr>
                <w:spacing w:val="-3"/>
                <w:lang w:val="lv-LV"/>
              </w:rPr>
              <w:t>1.panta 20.punkts (attiecībā uz Direktīvas 2001/83 jauno 107. c) pantu)</w:t>
            </w:r>
          </w:p>
        </w:tc>
        <w:tc>
          <w:tcPr>
            <w:tcW w:w="2693" w:type="dxa"/>
            <w:tcBorders>
              <w:top w:val="outset" w:sz="6" w:space="0" w:color="auto"/>
              <w:left w:val="outset" w:sz="6" w:space="0" w:color="auto"/>
              <w:bottom w:val="outset" w:sz="6" w:space="0" w:color="auto"/>
              <w:right w:val="outset" w:sz="6" w:space="0" w:color="auto"/>
            </w:tcBorders>
          </w:tcPr>
          <w:p w:rsidR="007B4F20" w:rsidRPr="00C42301" w:rsidRDefault="007B4F20" w:rsidP="007B4F20">
            <w:pPr>
              <w:pStyle w:val="Bezatstarpm"/>
              <w:rPr>
                <w:rFonts w:ascii="Times New Roman" w:hAnsi="Times New Roman"/>
                <w:sz w:val="24"/>
                <w:szCs w:val="24"/>
              </w:rPr>
            </w:pPr>
            <w:r w:rsidRPr="00C42301">
              <w:rPr>
                <w:rFonts w:ascii="Times New Roman" w:hAnsi="Times New Roman"/>
                <w:sz w:val="24"/>
                <w:szCs w:val="24"/>
              </w:rPr>
              <w:t xml:space="preserve">Direktīvas </w:t>
            </w:r>
            <w:r w:rsidR="00050088" w:rsidRPr="00C42301">
              <w:rPr>
                <w:rFonts w:ascii="Times New Roman" w:hAnsi="Times New Roman"/>
                <w:sz w:val="24"/>
                <w:szCs w:val="24"/>
              </w:rPr>
              <w:t xml:space="preserve">Nr.2010/84/ES </w:t>
            </w:r>
            <w:r w:rsidRPr="00C42301">
              <w:rPr>
                <w:rFonts w:ascii="Times New Roman" w:hAnsi="Times New Roman"/>
                <w:sz w:val="24"/>
                <w:szCs w:val="24"/>
              </w:rPr>
              <w:t xml:space="preserve">norma tiks pārņemta </w:t>
            </w:r>
            <w:r w:rsidR="009F4390" w:rsidRPr="00C42301">
              <w:rPr>
                <w:rFonts w:ascii="Times New Roman" w:hAnsi="Times New Roman"/>
                <w:sz w:val="24"/>
                <w:szCs w:val="24"/>
              </w:rPr>
              <w:t>ar:</w:t>
            </w:r>
          </w:p>
          <w:p w:rsidR="007B4F20" w:rsidRPr="00C42301" w:rsidRDefault="007B4F20" w:rsidP="007B4F20">
            <w:pPr>
              <w:pStyle w:val="Bezatstarpm"/>
              <w:rPr>
                <w:rFonts w:ascii="Times New Roman" w:hAnsi="Times New Roman"/>
                <w:sz w:val="24"/>
                <w:szCs w:val="24"/>
              </w:rPr>
            </w:pPr>
            <w:r w:rsidRPr="00C42301">
              <w:rPr>
                <w:rFonts w:ascii="Times New Roman" w:hAnsi="Times New Roman"/>
                <w:sz w:val="24"/>
                <w:szCs w:val="24"/>
              </w:rPr>
              <w:t>- Ministru kabineta noteikumiem ”</w:t>
            </w:r>
            <w:proofErr w:type="spellStart"/>
            <w:r w:rsidRPr="00C42301">
              <w:rPr>
                <w:rFonts w:ascii="Times New Roman" w:hAnsi="Times New Roman"/>
                <w:sz w:val="24"/>
                <w:szCs w:val="24"/>
              </w:rPr>
              <w:t>Farmakovigilances</w:t>
            </w:r>
            <w:proofErr w:type="spellEnd"/>
            <w:r w:rsidRPr="00C42301">
              <w:rPr>
                <w:rFonts w:ascii="Times New Roman" w:hAnsi="Times New Roman"/>
                <w:sz w:val="24"/>
                <w:szCs w:val="24"/>
              </w:rPr>
              <w:t xml:space="preserve"> kārtība”</w:t>
            </w:r>
          </w:p>
          <w:p w:rsidR="00463FE8" w:rsidRPr="00C42301" w:rsidRDefault="007B4F20" w:rsidP="00F86920">
            <w:pPr>
              <w:pStyle w:val="Bezatstarpm"/>
              <w:rPr>
                <w:rFonts w:ascii="Times New Roman" w:hAnsi="Times New Roman"/>
                <w:spacing w:val="-3"/>
                <w:sz w:val="24"/>
                <w:szCs w:val="24"/>
              </w:rPr>
            </w:pPr>
            <w:r w:rsidRPr="00C42301">
              <w:rPr>
                <w:rFonts w:ascii="Times New Roman" w:hAnsi="Times New Roman"/>
                <w:sz w:val="24"/>
                <w:szCs w:val="24"/>
              </w:rPr>
              <w:t>- </w:t>
            </w:r>
            <w:r w:rsidR="00042608" w:rsidRPr="00C42301">
              <w:rPr>
                <w:rFonts w:ascii="Times New Roman" w:hAnsi="Times New Roman"/>
                <w:sz w:val="24"/>
                <w:szCs w:val="24"/>
              </w:rPr>
              <w:t>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3D170E">
            <w:pPr>
              <w:spacing w:after="120"/>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proofErr w:type="spellStart"/>
            <w:r w:rsidRPr="00C42301">
              <w:rPr>
                <w:spacing w:val="-3"/>
              </w:rPr>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6110B4">
            <w:pPr>
              <w:ind w:left="57"/>
              <w:jc w:val="both"/>
              <w:rPr>
                <w:spacing w:val="-3"/>
                <w:lang w:val="lv-LV"/>
              </w:rPr>
            </w:pPr>
            <w:r w:rsidRPr="00C42301">
              <w:rPr>
                <w:spacing w:val="-3"/>
                <w:lang w:val="lv-LV"/>
              </w:rPr>
              <w:lastRenderedPageBreak/>
              <w:t xml:space="preserve">2010/84/ES </w:t>
            </w:r>
            <w:r w:rsidR="00463FE8" w:rsidRPr="00C42301">
              <w:rPr>
                <w:spacing w:val="-3"/>
                <w:lang w:val="lv-LV"/>
              </w:rPr>
              <w:t xml:space="preserve">1.panta 21.punkts </w:t>
            </w:r>
          </w:p>
        </w:tc>
        <w:tc>
          <w:tcPr>
            <w:tcW w:w="2693" w:type="dxa"/>
            <w:tcBorders>
              <w:top w:val="outset" w:sz="6" w:space="0" w:color="auto"/>
              <w:left w:val="outset" w:sz="6" w:space="0" w:color="auto"/>
              <w:bottom w:val="outset" w:sz="6" w:space="0" w:color="auto"/>
              <w:right w:val="outset" w:sz="6" w:space="0" w:color="auto"/>
            </w:tcBorders>
          </w:tcPr>
          <w:p w:rsidR="00042608" w:rsidRPr="00C42301" w:rsidRDefault="00E35FD2" w:rsidP="00F86920">
            <w:pPr>
              <w:pStyle w:val="Bezatstarpm"/>
              <w:rPr>
                <w:rFonts w:ascii="Times New Roman" w:hAnsi="Times New Roman"/>
                <w:sz w:val="24"/>
                <w:szCs w:val="24"/>
              </w:rPr>
            </w:pPr>
            <w:r w:rsidRPr="00C42301">
              <w:rPr>
                <w:rFonts w:ascii="Times New Roman" w:hAnsi="Times New Roman"/>
                <w:sz w:val="24"/>
                <w:szCs w:val="24"/>
              </w:rPr>
              <w:t xml:space="preserve">Direktīvas </w:t>
            </w:r>
            <w:r w:rsidR="00050088" w:rsidRPr="00C42301">
              <w:rPr>
                <w:rFonts w:ascii="Times New Roman" w:hAnsi="Times New Roman"/>
                <w:sz w:val="24"/>
                <w:szCs w:val="24"/>
              </w:rPr>
              <w:t xml:space="preserve">Nr.2010/84/ES </w:t>
            </w:r>
            <w:r w:rsidRPr="00C42301">
              <w:rPr>
                <w:rFonts w:ascii="Times New Roman" w:hAnsi="Times New Roman"/>
                <w:sz w:val="24"/>
                <w:szCs w:val="24"/>
              </w:rPr>
              <w:t xml:space="preserve">norma tiks pārņemta </w:t>
            </w:r>
            <w:r w:rsidR="00042608" w:rsidRPr="00C42301">
              <w:rPr>
                <w:rFonts w:ascii="Times New Roman" w:hAnsi="Times New Roman"/>
                <w:sz w:val="24"/>
                <w:szCs w:val="24"/>
              </w:rPr>
              <w:t>ar Ministru kabineta noteikumiem ”</w:t>
            </w:r>
            <w:proofErr w:type="spellStart"/>
            <w:r w:rsidR="00042608" w:rsidRPr="00C42301">
              <w:rPr>
                <w:rFonts w:ascii="Times New Roman" w:hAnsi="Times New Roman"/>
                <w:sz w:val="24"/>
                <w:szCs w:val="24"/>
              </w:rPr>
              <w:t>Farmakovigilances</w:t>
            </w:r>
            <w:proofErr w:type="spellEnd"/>
            <w:r w:rsidR="00042608" w:rsidRPr="00C42301">
              <w:rPr>
                <w:rFonts w:ascii="Times New Roman" w:hAnsi="Times New Roman"/>
                <w:sz w:val="24"/>
                <w:szCs w:val="24"/>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B279EE">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D45818" w:rsidP="003D170E">
            <w:pPr>
              <w:rPr>
                <w:spacing w:val="-3"/>
                <w:lang w:val="lv-LV"/>
              </w:rPr>
            </w:pPr>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B1073B">
            <w:pPr>
              <w:ind w:left="57"/>
              <w:jc w:val="both"/>
              <w:rPr>
                <w:spacing w:val="-3"/>
                <w:lang w:val="lv-LV"/>
              </w:rPr>
            </w:pPr>
            <w:r w:rsidRPr="00C42301">
              <w:rPr>
                <w:spacing w:val="-3"/>
                <w:lang w:val="lv-LV"/>
              </w:rPr>
              <w:t xml:space="preserve">2010/84/ES </w:t>
            </w:r>
            <w:r w:rsidR="00463FE8" w:rsidRPr="00C42301">
              <w:rPr>
                <w:spacing w:val="-3"/>
                <w:lang w:val="lv-LV"/>
              </w:rPr>
              <w:t>1.panta 22.punkts</w:t>
            </w:r>
          </w:p>
        </w:tc>
        <w:tc>
          <w:tcPr>
            <w:tcW w:w="2693" w:type="dxa"/>
            <w:tcBorders>
              <w:top w:val="outset" w:sz="6" w:space="0" w:color="auto"/>
              <w:left w:val="outset" w:sz="6" w:space="0" w:color="auto"/>
              <w:bottom w:val="outset" w:sz="6" w:space="0" w:color="auto"/>
              <w:right w:val="outset" w:sz="6" w:space="0" w:color="auto"/>
            </w:tcBorders>
          </w:tcPr>
          <w:p w:rsidR="00042608" w:rsidRPr="00C42301" w:rsidRDefault="00463FE8" w:rsidP="00F86920">
            <w:pPr>
              <w:pStyle w:val="Bezatstarpm"/>
              <w:rPr>
                <w:rFonts w:ascii="Times New Roman" w:hAnsi="Times New Roman"/>
                <w:spacing w:val="-3"/>
                <w:sz w:val="24"/>
                <w:szCs w:val="24"/>
              </w:rPr>
            </w:pPr>
            <w:r w:rsidRPr="00C42301">
              <w:rPr>
                <w:rFonts w:ascii="Times New Roman" w:hAnsi="Times New Roman"/>
                <w:spacing w:val="-3"/>
                <w:sz w:val="24"/>
                <w:szCs w:val="24"/>
              </w:rPr>
              <w:t>Farmācijas likuma 31.pants</w:t>
            </w:r>
            <w:r w:rsidR="00042608" w:rsidRPr="00C42301">
              <w:rPr>
                <w:rFonts w:ascii="Times New Roman" w:hAnsi="Times New Roman"/>
                <w:spacing w:val="-3"/>
                <w:sz w:val="24"/>
                <w:szCs w:val="24"/>
              </w:rPr>
              <w:t>.</w:t>
            </w:r>
          </w:p>
          <w:p w:rsidR="00E35FD2" w:rsidRPr="00C42301" w:rsidRDefault="00E35FD2" w:rsidP="00E35FD2">
            <w:pPr>
              <w:pStyle w:val="Bezatstarpm"/>
              <w:rPr>
                <w:rFonts w:ascii="Times New Roman" w:hAnsi="Times New Roman"/>
                <w:sz w:val="24"/>
                <w:szCs w:val="24"/>
              </w:rPr>
            </w:pPr>
            <w:r w:rsidRPr="00C42301">
              <w:rPr>
                <w:rFonts w:ascii="Times New Roman" w:hAnsi="Times New Roman"/>
                <w:sz w:val="24"/>
                <w:szCs w:val="24"/>
              </w:rPr>
              <w:t>Direktīvas norma tiks p</w:t>
            </w:r>
            <w:r w:rsidR="009F4390" w:rsidRPr="00C42301">
              <w:rPr>
                <w:rFonts w:ascii="Times New Roman" w:hAnsi="Times New Roman"/>
                <w:sz w:val="24"/>
                <w:szCs w:val="24"/>
              </w:rPr>
              <w:t>ārņemta ar</w:t>
            </w:r>
          </w:p>
          <w:p w:rsidR="00042608" w:rsidRPr="00C42301" w:rsidRDefault="00042608" w:rsidP="00640B8A">
            <w:pPr>
              <w:pStyle w:val="Bezatstarpm"/>
              <w:rPr>
                <w:rFonts w:ascii="Times New Roman" w:hAnsi="Times New Roman"/>
                <w:sz w:val="24"/>
                <w:szCs w:val="24"/>
              </w:rPr>
            </w:pPr>
            <w:r w:rsidRPr="00C42301">
              <w:rPr>
                <w:rFonts w:ascii="Times New Roman" w:hAnsi="Times New Roman"/>
                <w:sz w:val="24"/>
                <w:szCs w:val="24"/>
              </w:rPr>
              <w:t xml:space="preserve"> </w:t>
            </w:r>
            <w:r w:rsidR="00640B8A" w:rsidRPr="00C42301">
              <w:rPr>
                <w:rFonts w:ascii="Times New Roman" w:hAnsi="Times New Roman"/>
                <w:sz w:val="24"/>
                <w:szCs w:val="24"/>
              </w:rPr>
              <w:t>g</w:t>
            </w:r>
            <w:r w:rsidRPr="00C42301">
              <w:rPr>
                <w:rFonts w:ascii="Times New Roman" w:hAnsi="Times New Roman"/>
                <w:sz w:val="24"/>
                <w:szCs w:val="24"/>
              </w:rPr>
              <w:t>rozījumiem</w:t>
            </w:r>
            <w:r w:rsidR="00E35FD2" w:rsidRPr="00C42301">
              <w:rPr>
                <w:rFonts w:ascii="Times New Roman" w:hAnsi="Times New Roman"/>
                <w:sz w:val="24"/>
                <w:szCs w:val="24"/>
              </w:rPr>
              <w:t xml:space="preserve"> </w:t>
            </w:r>
            <w:r w:rsidRPr="00C42301">
              <w:rPr>
                <w:rFonts w:ascii="Times New Roman" w:hAnsi="Times New Roman"/>
                <w:sz w:val="24"/>
                <w:szCs w:val="24"/>
              </w:rPr>
              <w:t>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F86920">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B1073B">
            <w:pPr>
              <w:ind w:left="57"/>
              <w:jc w:val="both"/>
              <w:rPr>
                <w:spacing w:val="-3"/>
                <w:lang w:val="lv-LV"/>
              </w:rPr>
            </w:pPr>
            <w:r w:rsidRPr="00C42301">
              <w:rPr>
                <w:spacing w:val="-3"/>
                <w:lang w:val="lv-LV"/>
              </w:rPr>
              <w:t xml:space="preserve">2010/84/ES </w:t>
            </w:r>
            <w:r w:rsidR="00463FE8" w:rsidRPr="00C42301">
              <w:rPr>
                <w:spacing w:val="-3"/>
                <w:lang w:val="lv-LV"/>
              </w:rPr>
              <w:t>1.panta 23.punkts</w:t>
            </w:r>
          </w:p>
        </w:tc>
        <w:tc>
          <w:tcPr>
            <w:tcW w:w="2693" w:type="dxa"/>
            <w:tcBorders>
              <w:top w:val="outset" w:sz="6" w:space="0" w:color="auto"/>
              <w:left w:val="outset" w:sz="6" w:space="0" w:color="auto"/>
              <w:bottom w:val="outset" w:sz="6" w:space="0" w:color="auto"/>
              <w:right w:val="outset" w:sz="6" w:space="0" w:color="auto"/>
            </w:tcBorders>
          </w:tcPr>
          <w:p w:rsidR="00042608" w:rsidRPr="00C42301" w:rsidRDefault="00463FE8" w:rsidP="00B1073B">
            <w:pPr>
              <w:pStyle w:val="Bezatstarpm"/>
              <w:rPr>
                <w:rFonts w:ascii="Times New Roman" w:hAnsi="Times New Roman"/>
                <w:sz w:val="24"/>
                <w:szCs w:val="24"/>
              </w:rPr>
            </w:pPr>
            <w:r w:rsidRPr="00C42301">
              <w:rPr>
                <w:rFonts w:ascii="Times New Roman" w:hAnsi="Times New Roman"/>
                <w:sz w:val="24"/>
                <w:szCs w:val="24"/>
              </w:rPr>
              <w:t>MK noteikumi Nr.416 (112.punkts)</w:t>
            </w:r>
            <w:r w:rsidR="00042608" w:rsidRPr="00C42301">
              <w:rPr>
                <w:rFonts w:ascii="Times New Roman" w:hAnsi="Times New Roman"/>
                <w:sz w:val="24"/>
                <w:szCs w:val="24"/>
              </w:rPr>
              <w:t>.</w:t>
            </w:r>
          </w:p>
          <w:p w:rsidR="00042608" w:rsidRPr="00C42301" w:rsidRDefault="009F4390" w:rsidP="00204CA6">
            <w:pPr>
              <w:pStyle w:val="Bezatstarpm"/>
              <w:rPr>
                <w:rFonts w:ascii="Times New Roman" w:hAnsi="Times New Roman"/>
                <w:spacing w:val="-3"/>
                <w:sz w:val="24"/>
                <w:szCs w:val="24"/>
              </w:rPr>
            </w:pPr>
            <w:r w:rsidRPr="00C42301">
              <w:rPr>
                <w:rFonts w:ascii="Times New Roman" w:hAnsi="Times New Roman"/>
                <w:sz w:val="24"/>
                <w:szCs w:val="24"/>
              </w:rPr>
              <w:t>Direktīvas</w:t>
            </w:r>
            <w:r w:rsidR="00050088" w:rsidRPr="00C42301">
              <w:rPr>
                <w:rFonts w:ascii="Times New Roman" w:hAnsi="Times New Roman"/>
                <w:sz w:val="24"/>
                <w:szCs w:val="24"/>
              </w:rPr>
              <w:t xml:space="preserve"> Nr.2010/84/ES</w:t>
            </w:r>
            <w:r w:rsidRPr="00C42301">
              <w:rPr>
                <w:rFonts w:ascii="Times New Roman" w:hAnsi="Times New Roman"/>
                <w:sz w:val="24"/>
                <w:szCs w:val="24"/>
              </w:rPr>
              <w:t xml:space="preserve"> norma tiks pārņemta</w:t>
            </w:r>
            <w:r w:rsidR="00B5761D" w:rsidRPr="00C42301">
              <w:rPr>
                <w:rFonts w:ascii="Times New Roman" w:hAnsi="Times New Roman"/>
                <w:sz w:val="24"/>
                <w:szCs w:val="24"/>
              </w:rPr>
              <w:t xml:space="preserve"> pilnībā</w:t>
            </w:r>
            <w:r w:rsidRPr="00C42301">
              <w:rPr>
                <w:rFonts w:ascii="Times New Roman" w:hAnsi="Times New Roman"/>
                <w:sz w:val="24"/>
                <w:szCs w:val="24"/>
              </w:rPr>
              <w:t xml:space="preserve">, </w:t>
            </w:r>
            <w:r w:rsidR="00D35975" w:rsidRPr="00C42301">
              <w:rPr>
                <w:rFonts w:ascii="Times New Roman" w:hAnsi="Times New Roman"/>
                <w:sz w:val="24"/>
                <w:szCs w:val="24"/>
              </w:rPr>
              <w:t>precizējot  MK noteikumu</w:t>
            </w:r>
            <w:r w:rsidR="00204CA6" w:rsidRPr="00C42301">
              <w:rPr>
                <w:rFonts w:ascii="Times New Roman" w:hAnsi="Times New Roman"/>
                <w:sz w:val="24"/>
                <w:szCs w:val="24"/>
              </w:rPr>
              <w:t>s</w:t>
            </w:r>
            <w:r w:rsidR="00042608" w:rsidRPr="00C42301">
              <w:rPr>
                <w:rFonts w:ascii="Times New Roman" w:hAnsi="Times New Roman"/>
                <w:sz w:val="24"/>
                <w:szCs w:val="24"/>
              </w:rPr>
              <w:t xml:space="preserve"> Nr.416</w:t>
            </w:r>
            <w:r w:rsidR="00204CA6" w:rsidRPr="00C42301">
              <w:rPr>
                <w:rFonts w:ascii="Times New Roman" w:hAnsi="Times New Roman"/>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F86920">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507C0E" w:rsidP="00C00FFC">
            <w:pPr>
              <w:ind w:left="57"/>
              <w:jc w:val="both"/>
              <w:rPr>
                <w:spacing w:val="-3"/>
                <w:lang w:val="lv-LV"/>
              </w:rPr>
            </w:pPr>
            <w:r w:rsidRPr="00C42301">
              <w:rPr>
                <w:spacing w:val="-3"/>
                <w:lang w:val="lv-LV"/>
              </w:rPr>
              <w:t xml:space="preserve">2010/84/ES </w:t>
            </w:r>
            <w:r w:rsidR="00463FE8" w:rsidRPr="00C42301">
              <w:rPr>
                <w:spacing w:val="-3"/>
                <w:lang w:val="lv-LV"/>
              </w:rPr>
              <w:t>1.panta 24.punkts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C00FFC">
            <w:pPr>
              <w:pStyle w:val="Bezatstarpm"/>
              <w:rPr>
                <w:rFonts w:ascii="Times New Roman" w:hAnsi="Times New Roman"/>
                <w:spacing w:val="-3"/>
                <w:sz w:val="24"/>
                <w:szCs w:val="24"/>
              </w:rPr>
            </w:pPr>
            <w:r w:rsidRPr="00C42301">
              <w:rPr>
                <w:rFonts w:ascii="Times New Roman" w:hAnsi="Times New Roman"/>
                <w:spacing w:val="-3"/>
                <w:sz w:val="24"/>
                <w:szCs w:val="24"/>
              </w:rPr>
              <w:t>Nav</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463FE8" w:rsidP="00C00FFC">
            <w:pPr>
              <w:pStyle w:val="Bezatstarpm"/>
              <w:jc w:val="both"/>
              <w:rPr>
                <w:rFonts w:ascii="Times New Roman" w:hAnsi="Times New Roman"/>
                <w:sz w:val="24"/>
                <w:szCs w:val="24"/>
              </w:rPr>
            </w:pPr>
            <w:r w:rsidRPr="00C42301">
              <w:rPr>
                <w:rFonts w:ascii="Times New Roman" w:hAnsi="Times New Roman"/>
                <w:spacing w:val="-3"/>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3D170E">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C00FFC">
            <w:pPr>
              <w:ind w:left="57"/>
              <w:jc w:val="both"/>
              <w:rPr>
                <w:spacing w:val="-3"/>
                <w:lang w:val="lv-LV"/>
              </w:rPr>
            </w:pPr>
            <w:r w:rsidRPr="00C42301">
              <w:rPr>
                <w:spacing w:val="-3"/>
                <w:lang w:val="lv-LV"/>
              </w:rPr>
              <w:t xml:space="preserve">2010/84/ES </w:t>
            </w:r>
            <w:r w:rsidR="00463FE8" w:rsidRPr="00C42301">
              <w:rPr>
                <w:spacing w:val="-3"/>
                <w:lang w:val="lv-LV"/>
              </w:rPr>
              <w:t>1.panta 25.punkts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2A312F">
            <w:pPr>
              <w:pStyle w:val="Bezatstarpm"/>
              <w:jc w:val="both"/>
              <w:rPr>
                <w:rFonts w:ascii="Times New Roman" w:hAnsi="Times New Roman"/>
                <w:sz w:val="24"/>
                <w:szCs w:val="24"/>
              </w:rPr>
            </w:pPr>
            <w:r w:rsidRPr="00C42301">
              <w:rPr>
                <w:rFonts w:ascii="Times New Roman" w:hAnsi="Times New Roman"/>
                <w:sz w:val="24"/>
                <w:szCs w:val="24"/>
              </w:rPr>
              <w:t xml:space="preserve">Direktīvas </w:t>
            </w:r>
            <w:r w:rsidR="00050088" w:rsidRPr="00C42301">
              <w:rPr>
                <w:rFonts w:ascii="Times New Roman" w:hAnsi="Times New Roman"/>
                <w:sz w:val="24"/>
                <w:szCs w:val="24"/>
              </w:rPr>
              <w:t xml:space="preserve">Nr.2010/84/ES </w:t>
            </w:r>
            <w:r w:rsidRPr="00C42301">
              <w:rPr>
                <w:rFonts w:ascii="Times New Roman" w:hAnsi="Times New Roman"/>
                <w:sz w:val="24"/>
                <w:szCs w:val="24"/>
              </w:rPr>
              <w:t xml:space="preserve">norma tiks pārņemta </w:t>
            </w:r>
            <w:r w:rsidR="002A312F" w:rsidRPr="00C42301">
              <w:rPr>
                <w:rFonts w:ascii="Times New Roman" w:hAnsi="Times New Roman"/>
                <w:sz w:val="24"/>
                <w:szCs w:val="24"/>
              </w:rPr>
              <w:t>ar</w:t>
            </w:r>
            <w:r w:rsidR="009C545F" w:rsidRPr="00C42301">
              <w:rPr>
                <w:rFonts w:ascii="Times New Roman" w:hAnsi="Times New Roman"/>
                <w:sz w:val="24"/>
                <w:szCs w:val="24"/>
              </w:rPr>
              <w:t xml:space="preserve"> </w:t>
            </w:r>
            <w:r w:rsidR="002A312F" w:rsidRPr="00C42301">
              <w:rPr>
                <w:rFonts w:ascii="Times New Roman" w:hAnsi="Times New Roman"/>
                <w:sz w:val="24"/>
                <w:szCs w:val="24"/>
              </w:rPr>
              <w:t>Ministru kabineta noteikumiem ”</w:t>
            </w:r>
            <w:proofErr w:type="spellStart"/>
            <w:r w:rsidR="002A312F" w:rsidRPr="00C42301">
              <w:rPr>
                <w:rFonts w:ascii="Times New Roman" w:hAnsi="Times New Roman"/>
                <w:sz w:val="24"/>
                <w:szCs w:val="24"/>
              </w:rPr>
              <w:t>Farmakovigilances</w:t>
            </w:r>
            <w:proofErr w:type="spellEnd"/>
            <w:r w:rsidR="002A312F" w:rsidRPr="00C42301">
              <w:rPr>
                <w:rFonts w:ascii="Times New Roman" w:hAnsi="Times New Roman"/>
                <w:sz w:val="24"/>
                <w:szCs w:val="24"/>
              </w:rPr>
              <w:t xml:space="preserve"> kārtī</w:t>
            </w:r>
            <w:r w:rsidR="009C2D7A" w:rsidRPr="00C42301">
              <w:rPr>
                <w:rFonts w:ascii="Times New Roman" w:hAnsi="Times New Roman"/>
                <w:sz w:val="24"/>
                <w:szCs w:val="24"/>
              </w:rPr>
              <w:t>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6F3CE1">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FE7A66">
            <w:pPr>
              <w:ind w:left="57"/>
              <w:jc w:val="both"/>
              <w:rPr>
                <w:spacing w:val="-3"/>
                <w:lang w:val="lv-LV"/>
              </w:rPr>
            </w:pPr>
            <w:r w:rsidRPr="00C42301">
              <w:rPr>
                <w:spacing w:val="-3"/>
                <w:lang w:val="lv-LV"/>
              </w:rPr>
              <w:t xml:space="preserve">2010/84/ES </w:t>
            </w:r>
            <w:r w:rsidR="00463FE8" w:rsidRPr="00C42301">
              <w:rPr>
                <w:spacing w:val="-3"/>
                <w:lang w:val="lv-LV"/>
              </w:rPr>
              <w:t>1.panta 26.punkts</w:t>
            </w:r>
          </w:p>
        </w:tc>
        <w:tc>
          <w:tcPr>
            <w:tcW w:w="2693" w:type="dxa"/>
            <w:tcBorders>
              <w:top w:val="outset" w:sz="6" w:space="0" w:color="auto"/>
              <w:left w:val="outset" w:sz="6" w:space="0" w:color="auto"/>
              <w:bottom w:val="outset" w:sz="6" w:space="0" w:color="auto"/>
              <w:right w:val="outset" w:sz="6" w:space="0" w:color="auto"/>
            </w:tcBorders>
          </w:tcPr>
          <w:p w:rsidR="002A312F" w:rsidRPr="00C42301" w:rsidRDefault="00CD5FB5" w:rsidP="00F86920">
            <w:pPr>
              <w:pStyle w:val="Bezatstarpm"/>
              <w:rPr>
                <w:rFonts w:ascii="Times New Roman" w:hAnsi="Times New Roman"/>
                <w:sz w:val="24"/>
                <w:szCs w:val="24"/>
              </w:rPr>
            </w:pPr>
            <w:r w:rsidRPr="00C42301">
              <w:rPr>
                <w:rFonts w:ascii="Times New Roman" w:hAnsi="Times New Roman"/>
                <w:sz w:val="24"/>
                <w:szCs w:val="24"/>
              </w:rPr>
              <w:t>Nav</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F86920">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B8130E">
            <w:pPr>
              <w:ind w:left="57"/>
              <w:jc w:val="both"/>
              <w:rPr>
                <w:spacing w:val="-3"/>
                <w:lang w:val="lv-LV"/>
              </w:rPr>
            </w:pPr>
            <w:r w:rsidRPr="00C42301">
              <w:rPr>
                <w:spacing w:val="-3"/>
                <w:lang w:val="lv-LV"/>
              </w:rPr>
              <w:t xml:space="preserve">2010/84/ES </w:t>
            </w:r>
            <w:r w:rsidR="00463FE8" w:rsidRPr="00C42301">
              <w:rPr>
                <w:spacing w:val="-3"/>
                <w:lang w:val="lv-LV"/>
              </w:rPr>
              <w:t>1.panta 27.punkts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D45818">
            <w:pPr>
              <w:pStyle w:val="Bezatstarpm"/>
              <w:rPr>
                <w:rFonts w:ascii="Times New Roman" w:hAnsi="Times New Roman"/>
                <w:sz w:val="24"/>
                <w:szCs w:val="24"/>
              </w:rPr>
            </w:pPr>
            <w:r w:rsidRPr="00C42301">
              <w:rPr>
                <w:rFonts w:ascii="Times New Roman" w:hAnsi="Times New Roman"/>
                <w:sz w:val="24"/>
                <w:szCs w:val="24"/>
              </w:rPr>
              <w:t>MK noteikumi Nr.416 (87. un 87.</w:t>
            </w:r>
            <w:r w:rsidRPr="00C42301">
              <w:rPr>
                <w:rFonts w:ascii="Times New Roman" w:hAnsi="Times New Roman"/>
                <w:sz w:val="24"/>
                <w:szCs w:val="24"/>
                <w:vertAlign w:val="superscript"/>
              </w:rPr>
              <w:t>1</w:t>
            </w:r>
            <w:r w:rsidRPr="00C42301">
              <w:rPr>
                <w:rFonts w:ascii="Times New Roman" w:hAnsi="Times New Roman"/>
                <w:sz w:val="24"/>
                <w:szCs w:val="24"/>
              </w:rPr>
              <w:t>punkts)</w:t>
            </w:r>
            <w:r w:rsidR="002A312F" w:rsidRPr="00C42301">
              <w:rPr>
                <w:rFonts w:ascii="Times New Roman" w:hAnsi="Times New Roman"/>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F86920">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D45818" w:rsidP="00185D59">
            <w:pPr>
              <w:rPr>
                <w:spacing w:val="-3"/>
                <w:highlight w:val="green"/>
                <w:lang w:val="lv-LV"/>
              </w:rPr>
            </w:pPr>
            <w:proofErr w:type="spellStart"/>
            <w:r w:rsidRPr="00C42301">
              <w:t>Nav</w:t>
            </w:r>
            <w:proofErr w:type="spellEnd"/>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1648A7">
            <w:pPr>
              <w:ind w:left="57"/>
              <w:jc w:val="both"/>
              <w:rPr>
                <w:spacing w:val="-3"/>
                <w:lang w:val="lv-LV"/>
              </w:rPr>
            </w:pPr>
            <w:r w:rsidRPr="00C42301">
              <w:rPr>
                <w:spacing w:val="-3"/>
                <w:lang w:val="lv-LV"/>
              </w:rPr>
              <w:t xml:space="preserve">2010/84/ES </w:t>
            </w:r>
            <w:r w:rsidR="00463FE8" w:rsidRPr="00C42301">
              <w:rPr>
                <w:spacing w:val="-3"/>
                <w:lang w:val="lv-LV"/>
              </w:rPr>
              <w:t>1.panta 28.punkts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463FE8" w:rsidP="001648A7">
            <w:pPr>
              <w:pStyle w:val="Bezatstarpm"/>
              <w:jc w:val="both"/>
              <w:rPr>
                <w:rFonts w:ascii="Times New Roman" w:hAnsi="Times New Roman"/>
                <w:sz w:val="24"/>
                <w:szCs w:val="24"/>
              </w:rPr>
            </w:pPr>
            <w:r w:rsidRPr="00C42301">
              <w:rPr>
                <w:rFonts w:ascii="Times New Roman" w:hAnsi="Times New Roman"/>
                <w:sz w:val="24"/>
                <w:szCs w:val="24"/>
              </w:rPr>
              <w:t>Nav</w:t>
            </w:r>
          </w:p>
          <w:p w:rsidR="00463FE8" w:rsidRPr="00C42301" w:rsidRDefault="00463FE8" w:rsidP="001648A7">
            <w:pPr>
              <w:pStyle w:val="Bezatstarpm"/>
              <w:jc w:val="both"/>
              <w:rPr>
                <w:rFonts w:ascii="Times New Roman" w:hAnsi="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463FE8" w:rsidP="001648A7">
            <w:pPr>
              <w:pStyle w:val="Bezatstarpm"/>
              <w:jc w:val="both"/>
              <w:rPr>
                <w:rFonts w:ascii="Times New Roman" w:hAnsi="Times New Roman"/>
                <w:sz w:val="24"/>
                <w:szCs w:val="24"/>
              </w:rPr>
            </w:pPr>
            <w:r w:rsidRPr="00C42301">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463FE8" w:rsidP="00E56363">
            <w:pPr>
              <w:rPr>
                <w:spacing w:val="-3"/>
                <w:lang w:val="lv-LV"/>
              </w:rPr>
            </w:pPr>
            <w:r w:rsidRPr="00C42301">
              <w:rPr>
                <w:spacing w:val="-3"/>
                <w:lang w:val="lv-LV"/>
              </w:rPr>
              <w:t>2010/84/ES  2.panta</w:t>
            </w:r>
          </w:p>
          <w:p w:rsidR="00463FE8" w:rsidRPr="00C42301" w:rsidRDefault="00463FE8" w:rsidP="00E56363">
            <w:pPr>
              <w:rPr>
                <w:lang w:val="lv-LV" w:eastAsia="lv-LV"/>
              </w:rPr>
            </w:pPr>
            <w:r w:rsidRPr="00C42301">
              <w:rPr>
                <w:spacing w:val="-3"/>
                <w:lang w:val="lv-LV"/>
              </w:rPr>
              <w:t>1.punkts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Pr="00C42301">
              <w:t xml:space="preserve"> </w:t>
            </w:r>
            <w:r w:rsidR="00050088" w:rsidRPr="00C42301">
              <w:rPr>
                <w:lang w:val="lv-LV"/>
              </w:rPr>
              <w:t>Nr.2010/84/ES</w:t>
            </w:r>
            <w:r w:rsidR="00050088"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8C27B5">
            <w:pPr>
              <w:spacing w:after="120"/>
              <w:jc w:val="both"/>
              <w:rPr>
                <w:spacing w:val="-3"/>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B5E62">
            <w:pPr>
              <w:rPr>
                <w:spacing w:val="-3"/>
                <w:lang w:val="lv-LV"/>
              </w:rPr>
            </w:pPr>
            <w:r w:rsidRPr="00C42301">
              <w:rPr>
                <w:spacing w:val="-3"/>
                <w:lang w:val="lv-LV"/>
              </w:rPr>
              <w:lastRenderedPageBreak/>
              <w:t xml:space="preserve">2010/84/ES </w:t>
            </w:r>
            <w:r w:rsidR="00463FE8" w:rsidRPr="00C42301">
              <w:rPr>
                <w:spacing w:val="-3"/>
                <w:lang w:val="lv-LV"/>
              </w:rPr>
              <w:t>2.panta</w:t>
            </w:r>
          </w:p>
          <w:p w:rsidR="00463FE8" w:rsidRPr="00C42301" w:rsidRDefault="00463FE8" w:rsidP="00EB5E62">
            <w:pPr>
              <w:rPr>
                <w:lang w:val="lv-LV" w:eastAsia="lv-LV"/>
              </w:rPr>
            </w:pPr>
            <w:r w:rsidRPr="00C42301">
              <w:rPr>
                <w:spacing w:val="-3"/>
                <w:lang w:val="lv-LV"/>
              </w:rPr>
              <w:t>2.punkts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Pr="00C42301">
              <w:t xml:space="preserve"> </w:t>
            </w:r>
            <w:r w:rsidR="00050088" w:rsidRPr="00C42301">
              <w:rPr>
                <w:lang w:val="lv-LV"/>
              </w:rPr>
              <w:t>Nr.2010/84/ES</w:t>
            </w:r>
            <w:r w:rsidR="00050088"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6F3CE1">
            <w:pPr>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667"/>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B5E62">
            <w:pPr>
              <w:rPr>
                <w:spacing w:val="-3"/>
                <w:lang w:val="lv-LV"/>
              </w:rPr>
            </w:pPr>
            <w:r w:rsidRPr="00C42301">
              <w:rPr>
                <w:spacing w:val="-3"/>
                <w:lang w:val="lv-LV"/>
              </w:rPr>
              <w:t xml:space="preserve">2010/84/ES </w:t>
            </w:r>
            <w:r w:rsidR="00463FE8" w:rsidRPr="00C42301">
              <w:rPr>
                <w:spacing w:val="-3"/>
                <w:lang w:val="lv-LV"/>
              </w:rPr>
              <w:t>2.panta</w:t>
            </w:r>
          </w:p>
          <w:p w:rsidR="00463FE8" w:rsidRPr="00C42301" w:rsidRDefault="00463FE8" w:rsidP="00EB5E62">
            <w:pPr>
              <w:rPr>
                <w:lang w:val="lv-LV" w:eastAsia="lv-LV"/>
              </w:rPr>
            </w:pPr>
            <w:r w:rsidRPr="00C42301">
              <w:rPr>
                <w:spacing w:val="-3"/>
                <w:lang w:val="lv-LV"/>
              </w:rPr>
              <w:t>3.punkts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Pr="00C42301">
              <w:t xml:space="preserve"> </w:t>
            </w:r>
            <w:r w:rsidR="00050088" w:rsidRPr="00C42301">
              <w:rPr>
                <w:lang w:val="lv-LV"/>
              </w:rPr>
              <w:t>Nr.2010/84/ES</w:t>
            </w:r>
            <w:r w:rsidR="00050088"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6F3CE1">
            <w:pPr>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B5E62">
            <w:pPr>
              <w:rPr>
                <w:spacing w:val="-3"/>
                <w:lang w:val="lv-LV"/>
              </w:rPr>
            </w:pPr>
            <w:r w:rsidRPr="00C42301">
              <w:rPr>
                <w:spacing w:val="-3"/>
                <w:lang w:val="lv-LV"/>
              </w:rPr>
              <w:t xml:space="preserve">2010/84/ES </w:t>
            </w:r>
            <w:r w:rsidR="00463FE8" w:rsidRPr="00C42301">
              <w:rPr>
                <w:spacing w:val="-3"/>
                <w:lang w:val="lv-LV"/>
              </w:rPr>
              <w:t>2.panta</w:t>
            </w:r>
          </w:p>
          <w:p w:rsidR="00463FE8" w:rsidRPr="00C42301" w:rsidRDefault="00463FE8" w:rsidP="00EB5E62">
            <w:pPr>
              <w:rPr>
                <w:lang w:val="lv-LV" w:eastAsia="lv-LV"/>
              </w:rPr>
            </w:pPr>
            <w:r w:rsidRPr="00C42301">
              <w:rPr>
                <w:spacing w:val="-3"/>
                <w:lang w:val="lv-LV"/>
              </w:rPr>
              <w:t>4.punkts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Pr="00C42301">
              <w:t xml:space="preserve"> </w:t>
            </w:r>
            <w:r w:rsidR="00050088" w:rsidRPr="00C42301">
              <w:rPr>
                <w:lang w:val="lv-LV"/>
              </w:rPr>
              <w:t>Nr.2010/84/ES</w:t>
            </w:r>
            <w:r w:rsidR="00050088"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6F3CE1">
            <w:pPr>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07751C" w:rsidP="00EB5E62">
            <w:pPr>
              <w:rPr>
                <w:spacing w:val="-3"/>
                <w:lang w:val="lv-LV"/>
              </w:rPr>
            </w:pPr>
            <w:r w:rsidRPr="00C42301">
              <w:rPr>
                <w:spacing w:val="-3"/>
                <w:lang w:val="lv-LV"/>
              </w:rPr>
              <w:t xml:space="preserve">2010/84/ES </w:t>
            </w:r>
            <w:r w:rsidR="00463FE8" w:rsidRPr="00C42301">
              <w:rPr>
                <w:spacing w:val="-3"/>
                <w:lang w:val="lv-LV"/>
              </w:rPr>
              <w:t>2.panta</w:t>
            </w:r>
          </w:p>
          <w:p w:rsidR="00463FE8" w:rsidRPr="00C42301" w:rsidRDefault="00463FE8" w:rsidP="00EB5E62">
            <w:pPr>
              <w:rPr>
                <w:lang w:val="lv-LV" w:eastAsia="lv-LV"/>
              </w:rPr>
            </w:pPr>
            <w:r w:rsidRPr="00C42301">
              <w:rPr>
                <w:spacing w:val="-3"/>
                <w:lang w:val="lv-LV"/>
              </w:rPr>
              <w:t>5.punkts</w:t>
            </w:r>
          </w:p>
        </w:tc>
        <w:tc>
          <w:tcPr>
            <w:tcW w:w="2693" w:type="dxa"/>
            <w:tcBorders>
              <w:top w:val="outset" w:sz="6" w:space="0" w:color="auto"/>
              <w:left w:val="outset" w:sz="6" w:space="0" w:color="auto"/>
              <w:bottom w:val="outset" w:sz="6"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Pr="00C42301">
              <w:t xml:space="preserve"> </w:t>
            </w:r>
            <w:r w:rsidR="00050088" w:rsidRPr="00C42301">
              <w:rPr>
                <w:lang w:val="lv-LV"/>
              </w:rPr>
              <w:t>Nr.2010/84/ES</w:t>
            </w:r>
            <w:r w:rsidR="00050088"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outset" w:sz="6" w:space="0" w:color="auto"/>
              <w:right w:val="outset" w:sz="6" w:space="0" w:color="auto"/>
            </w:tcBorders>
          </w:tcPr>
          <w:p w:rsidR="00463FE8" w:rsidRPr="00C42301" w:rsidRDefault="008C27B5" w:rsidP="006F3CE1">
            <w:pPr>
              <w:jc w:val="both"/>
              <w:rPr>
                <w:lang w:val="lv-LV"/>
              </w:rPr>
            </w:pPr>
            <w:proofErr w:type="spellStart"/>
            <w:r w:rsidRPr="00C42301">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A74EC"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single" w:sz="4" w:space="0" w:color="auto"/>
              <w:right w:val="outset" w:sz="6" w:space="0" w:color="auto"/>
            </w:tcBorders>
          </w:tcPr>
          <w:p w:rsidR="00463FE8" w:rsidRPr="00C42301" w:rsidRDefault="0007751C" w:rsidP="00EB5E62">
            <w:pPr>
              <w:rPr>
                <w:spacing w:val="-3"/>
                <w:lang w:val="lv-LV"/>
              </w:rPr>
            </w:pPr>
            <w:r w:rsidRPr="00C42301">
              <w:rPr>
                <w:spacing w:val="-3"/>
                <w:lang w:val="lv-LV"/>
              </w:rPr>
              <w:t xml:space="preserve">2010/84/ES </w:t>
            </w:r>
            <w:r w:rsidR="00463FE8" w:rsidRPr="00C42301">
              <w:rPr>
                <w:spacing w:val="-3"/>
                <w:lang w:val="lv-LV"/>
              </w:rPr>
              <w:t>2.panta</w:t>
            </w:r>
          </w:p>
          <w:p w:rsidR="00463FE8" w:rsidRPr="00C42301" w:rsidRDefault="00463FE8" w:rsidP="00EB5E62">
            <w:pPr>
              <w:rPr>
                <w:lang w:val="lv-LV" w:eastAsia="lv-LV"/>
              </w:rPr>
            </w:pPr>
            <w:r w:rsidRPr="00C42301">
              <w:rPr>
                <w:spacing w:val="-3"/>
                <w:lang w:val="lv-LV"/>
              </w:rPr>
              <w:t>6.punkts</w:t>
            </w:r>
          </w:p>
        </w:tc>
        <w:tc>
          <w:tcPr>
            <w:tcW w:w="2693" w:type="dxa"/>
            <w:tcBorders>
              <w:top w:val="outset" w:sz="6" w:space="0" w:color="auto"/>
              <w:left w:val="outset" w:sz="6" w:space="0" w:color="auto"/>
              <w:bottom w:val="single" w:sz="4" w:space="0" w:color="auto"/>
              <w:right w:val="outset" w:sz="6" w:space="0" w:color="auto"/>
            </w:tcBorders>
          </w:tcPr>
          <w:p w:rsidR="00463FE8" w:rsidRPr="00C42301" w:rsidRDefault="00E35FD2" w:rsidP="00F86920">
            <w:pPr>
              <w:rPr>
                <w:lang w:val="lv-LV" w:eastAsia="lv-LV"/>
              </w:rPr>
            </w:pPr>
            <w:proofErr w:type="spellStart"/>
            <w:r w:rsidRPr="00C42301">
              <w:t>Direktīvas</w:t>
            </w:r>
            <w:proofErr w:type="spellEnd"/>
            <w:r w:rsidR="00050088" w:rsidRPr="00C42301">
              <w:t xml:space="preserve"> </w:t>
            </w:r>
            <w:r w:rsidR="00050088" w:rsidRPr="00C42301">
              <w:rPr>
                <w:lang w:val="lv-LV"/>
              </w:rPr>
              <w:t>Nr.2010/84/ES</w:t>
            </w:r>
            <w:r w:rsidRPr="00C42301">
              <w:t xml:space="preserve"> </w:t>
            </w:r>
            <w:proofErr w:type="spellStart"/>
            <w:r w:rsidRPr="00C42301">
              <w:t>norma</w:t>
            </w:r>
            <w:proofErr w:type="spellEnd"/>
            <w:r w:rsidRPr="00C42301">
              <w:t xml:space="preserve"> </w:t>
            </w:r>
            <w:proofErr w:type="spellStart"/>
            <w:r w:rsidRPr="00C42301">
              <w:t>tiks</w:t>
            </w:r>
            <w:proofErr w:type="spellEnd"/>
            <w:r w:rsidRPr="00C42301">
              <w:t xml:space="preserve"> </w:t>
            </w:r>
            <w:proofErr w:type="spellStart"/>
            <w:r w:rsidRPr="00C42301">
              <w:t>pārņemta</w:t>
            </w:r>
            <w:proofErr w:type="spellEnd"/>
            <w:r w:rsidRPr="00C42301">
              <w:t xml:space="preserve"> </w:t>
            </w:r>
            <w:r w:rsidR="002A312F" w:rsidRPr="00C42301">
              <w:rPr>
                <w:lang w:val="lv-LV"/>
              </w:rPr>
              <w:t>ar Ministru kabineta noteikumiem ”</w:t>
            </w:r>
            <w:proofErr w:type="spellStart"/>
            <w:r w:rsidR="002A312F" w:rsidRPr="00C42301">
              <w:rPr>
                <w:lang w:val="lv-LV"/>
              </w:rPr>
              <w:t>Farmakovigilances</w:t>
            </w:r>
            <w:proofErr w:type="spellEnd"/>
            <w:r w:rsidR="002A312F" w:rsidRPr="00C42301">
              <w:rPr>
                <w:lang w:val="lv-LV"/>
              </w:rPr>
              <w:t xml:space="preserve"> kārtība”</w:t>
            </w:r>
          </w:p>
        </w:tc>
        <w:tc>
          <w:tcPr>
            <w:tcW w:w="3260" w:type="dxa"/>
            <w:tcBorders>
              <w:top w:val="outset" w:sz="6" w:space="0" w:color="auto"/>
              <w:left w:val="outset" w:sz="6" w:space="0" w:color="auto"/>
              <w:bottom w:val="single" w:sz="4" w:space="0" w:color="auto"/>
              <w:right w:val="outset" w:sz="6" w:space="0" w:color="auto"/>
            </w:tcBorders>
          </w:tcPr>
          <w:p w:rsidR="00463FE8" w:rsidRPr="00C42301" w:rsidRDefault="008C27B5" w:rsidP="006F3CE1">
            <w:pPr>
              <w:jc w:val="both"/>
              <w:rPr>
                <w:lang w:val="lv-LV"/>
              </w:rPr>
            </w:pPr>
            <w:proofErr w:type="spellStart"/>
            <w:r w:rsidRPr="00C42301">
              <w:t>Nav</w:t>
            </w:r>
            <w:proofErr w:type="spellEnd"/>
          </w:p>
        </w:tc>
        <w:tc>
          <w:tcPr>
            <w:tcW w:w="1701" w:type="dxa"/>
            <w:tcBorders>
              <w:top w:val="outset" w:sz="6" w:space="0" w:color="auto"/>
              <w:left w:val="outset" w:sz="6" w:space="0" w:color="auto"/>
              <w:bottom w:val="single" w:sz="4" w:space="0" w:color="auto"/>
              <w:right w:val="outset" w:sz="6" w:space="0" w:color="auto"/>
            </w:tcBorders>
          </w:tcPr>
          <w:p w:rsidR="00463FE8" w:rsidRPr="00C42301" w:rsidRDefault="00463FE8" w:rsidP="00185D59">
            <w:pPr>
              <w:jc w:val="both"/>
              <w:rPr>
                <w:spacing w:val="-3"/>
                <w:lang w:val="lv-LV"/>
              </w:rPr>
            </w:pPr>
            <w:r w:rsidRPr="00C42301">
              <w:rPr>
                <w:spacing w:val="-3"/>
                <w:lang w:val="lv-LV"/>
              </w:rPr>
              <w:t>Nav</w:t>
            </w:r>
          </w:p>
        </w:tc>
      </w:tr>
      <w:tr w:rsidR="00463FE8" w:rsidRPr="001F7556"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281"/>
        </w:trPr>
        <w:tc>
          <w:tcPr>
            <w:tcW w:w="1702" w:type="dxa"/>
            <w:tcBorders>
              <w:top w:val="single" w:sz="4" w:space="0" w:color="auto"/>
              <w:left w:val="single" w:sz="4" w:space="0" w:color="auto"/>
              <w:bottom w:val="nil"/>
              <w:right w:val="single" w:sz="4" w:space="0" w:color="auto"/>
            </w:tcBorders>
          </w:tcPr>
          <w:p w:rsidR="00463FE8" w:rsidRPr="00C42301" w:rsidRDefault="00463FE8" w:rsidP="00E20041">
            <w:pPr>
              <w:ind w:left="57"/>
              <w:rPr>
                <w:spacing w:val="-3"/>
                <w:lang w:val="lv-LV"/>
              </w:rPr>
            </w:pPr>
            <w:r w:rsidRPr="00C42301">
              <w:rPr>
                <w:spacing w:val="-3"/>
                <w:lang w:val="lv-LV"/>
              </w:rPr>
              <w:t>Kā ir izmantota ES tiesību aktā paredzētā rīcības brīvība dalībvalstij pārņemt vai ieviest noteiktas ES tiesību akta normas?</w:t>
            </w:r>
          </w:p>
          <w:p w:rsidR="00463FE8" w:rsidRPr="00C42301" w:rsidRDefault="00463FE8" w:rsidP="00E20041">
            <w:pPr>
              <w:ind w:left="57"/>
              <w:rPr>
                <w:spacing w:val="-3"/>
                <w:lang w:val="lv-LV"/>
              </w:rPr>
            </w:pPr>
            <w:r w:rsidRPr="00C42301">
              <w:rPr>
                <w:spacing w:val="-3"/>
                <w:lang w:val="lv-LV"/>
              </w:rPr>
              <w:t>Kādēļ?</w:t>
            </w:r>
          </w:p>
        </w:tc>
        <w:tc>
          <w:tcPr>
            <w:tcW w:w="7654" w:type="dxa"/>
            <w:gridSpan w:val="3"/>
            <w:tcBorders>
              <w:top w:val="single" w:sz="4" w:space="0" w:color="auto"/>
              <w:left w:val="single" w:sz="4" w:space="0" w:color="auto"/>
              <w:bottom w:val="nil"/>
              <w:right w:val="single" w:sz="4" w:space="0" w:color="auto"/>
            </w:tcBorders>
          </w:tcPr>
          <w:p w:rsidR="0054764D" w:rsidRPr="00582010" w:rsidRDefault="00582010" w:rsidP="0030000D">
            <w:pPr>
              <w:pStyle w:val="Bezatstarpm"/>
              <w:jc w:val="both"/>
              <w:rPr>
                <w:rFonts w:ascii="Times New Roman" w:hAnsi="Times New Roman"/>
                <w:b/>
                <w:color w:val="000000"/>
                <w:sz w:val="24"/>
                <w:szCs w:val="24"/>
              </w:rPr>
            </w:pPr>
            <w:r w:rsidRPr="00582010">
              <w:rPr>
                <w:rFonts w:ascii="Times New Roman" w:hAnsi="Times New Roman"/>
              </w:rPr>
              <w:t>Projekts šo jomu neskar</w:t>
            </w:r>
          </w:p>
        </w:tc>
      </w:tr>
      <w:tr w:rsidR="00463FE8" w:rsidRPr="001A74EC"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913"/>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463FE8" w:rsidP="002B4282">
            <w:pPr>
              <w:rPr>
                <w:spacing w:val="-3"/>
                <w:lang w:val="lv-LV"/>
              </w:rPr>
            </w:pPr>
            <w:r w:rsidRPr="00C42301">
              <w:rPr>
                <w:spacing w:val="-4"/>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54" w:type="dxa"/>
            <w:gridSpan w:val="3"/>
            <w:tcBorders>
              <w:top w:val="outset" w:sz="6" w:space="0" w:color="auto"/>
              <w:left w:val="outset" w:sz="6" w:space="0" w:color="auto"/>
              <w:bottom w:val="outset" w:sz="6" w:space="0" w:color="auto"/>
              <w:right w:val="outset" w:sz="6" w:space="0" w:color="auto"/>
            </w:tcBorders>
          </w:tcPr>
          <w:p w:rsidR="00463FE8" w:rsidRPr="00C42301" w:rsidRDefault="00463FE8" w:rsidP="00E20041">
            <w:pPr>
              <w:ind w:left="57"/>
              <w:jc w:val="both"/>
              <w:rPr>
                <w:lang w:val="lv-LV"/>
              </w:rPr>
            </w:pPr>
            <w:proofErr w:type="spellStart"/>
            <w:r w:rsidRPr="00C42301">
              <w:t>Projekts</w:t>
            </w:r>
            <w:proofErr w:type="spellEnd"/>
            <w:r w:rsidRPr="00C42301">
              <w:t xml:space="preserve"> </w:t>
            </w:r>
            <w:proofErr w:type="spellStart"/>
            <w:r w:rsidRPr="00C42301">
              <w:t>šo</w:t>
            </w:r>
            <w:proofErr w:type="spellEnd"/>
            <w:r w:rsidRPr="00C42301">
              <w:t xml:space="preserve"> </w:t>
            </w:r>
            <w:proofErr w:type="spellStart"/>
            <w:r w:rsidRPr="00C42301">
              <w:t>jomu</w:t>
            </w:r>
            <w:proofErr w:type="spellEnd"/>
            <w:r w:rsidRPr="00C42301">
              <w:t xml:space="preserve"> </w:t>
            </w:r>
            <w:proofErr w:type="spellStart"/>
            <w:r w:rsidRPr="00C42301">
              <w:t>neskar</w:t>
            </w:r>
            <w:proofErr w:type="spellEnd"/>
          </w:p>
        </w:tc>
      </w:tr>
      <w:tr w:rsidR="00463FE8" w:rsidRPr="00102F3B"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428"/>
        </w:trPr>
        <w:tc>
          <w:tcPr>
            <w:tcW w:w="1702" w:type="dxa"/>
            <w:tcBorders>
              <w:top w:val="outset" w:sz="6" w:space="0" w:color="auto"/>
              <w:left w:val="outset" w:sz="6" w:space="0" w:color="auto"/>
              <w:bottom w:val="outset" w:sz="6" w:space="0" w:color="auto"/>
              <w:right w:val="outset" w:sz="6" w:space="0" w:color="auto"/>
            </w:tcBorders>
          </w:tcPr>
          <w:p w:rsidR="00463FE8" w:rsidRPr="00C42301" w:rsidRDefault="00463FE8" w:rsidP="00E20041">
            <w:pPr>
              <w:ind w:left="57"/>
              <w:rPr>
                <w:lang w:val="lv-LV"/>
              </w:rPr>
            </w:pPr>
            <w:r w:rsidRPr="00C42301">
              <w:rPr>
                <w:lang w:val="lv-LV"/>
              </w:rPr>
              <w:t>Cita informācija</w:t>
            </w:r>
          </w:p>
        </w:tc>
        <w:tc>
          <w:tcPr>
            <w:tcW w:w="7654" w:type="dxa"/>
            <w:gridSpan w:val="3"/>
            <w:tcBorders>
              <w:top w:val="outset" w:sz="6" w:space="0" w:color="auto"/>
              <w:left w:val="outset" w:sz="6" w:space="0" w:color="auto"/>
              <w:bottom w:val="outset" w:sz="6" w:space="0" w:color="auto"/>
              <w:right w:val="outset" w:sz="6" w:space="0" w:color="auto"/>
            </w:tcBorders>
          </w:tcPr>
          <w:p w:rsidR="00463FE8" w:rsidRPr="00582010" w:rsidRDefault="00582010" w:rsidP="00102F3B">
            <w:pPr>
              <w:pStyle w:val="Bezatstarpm"/>
              <w:jc w:val="both"/>
              <w:rPr>
                <w:rFonts w:ascii="Times New Roman" w:hAnsi="Times New Roman"/>
                <w:sz w:val="24"/>
                <w:szCs w:val="24"/>
              </w:rPr>
            </w:pPr>
            <w:r w:rsidRPr="00582010">
              <w:rPr>
                <w:rFonts w:ascii="Times New Roman" w:hAnsi="Times New Roman"/>
                <w:sz w:val="24"/>
                <w:szCs w:val="24"/>
              </w:rPr>
              <w:t>Nav</w:t>
            </w:r>
          </w:p>
        </w:tc>
      </w:tr>
    </w:tbl>
    <w:p w:rsidR="00CB2893" w:rsidRPr="001A74EC" w:rsidRDefault="00CB2893" w:rsidP="00CB2893">
      <w:pPr>
        <w:rPr>
          <w:sz w:val="28"/>
          <w:szCs w:val="28"/>
          <w:lang w:val="lv-LV"/>
        </w:rPr>
      </w:pPr>
    </w:p>
    <w:tbl>
      <w:tblPr>
        <w:tblW w:w="9541"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70"/>
        <w:gridCol w:w="2835"/>
        <w:gridCol w:w="2736"/>
      </w:tblGrid>
      <w:tr w:rsidR="002A25B9" w:rsidRPr="001A74EC" w:rsidTr="00D964EB">
        <w:trPr>
          <w:tblCellSpacing w:w="0" w:type="dxa"/>
        </w:trPr>
        <w:tc>
          <w:tcPr>
            <w:tcW w:w="9541" w:type="dxa"/>
            <w:gridSpan w:val="3"/>
            <w:tcBorders>
              <w:top w:val="outset" w:sz="6" w:space="0" w:color="auto"/>
              <w:left w:val="outset" w:sz="6" w:space="0" w:color="auto"/>
              <w:bottom w:val="outset" w:sz="6" w:space="0" w:color="auto"/>
              <w:right w:val="outset" w:sz="6" w:space="0" w:color="auto"/>
            </w:tcBorders>
          </w:tcPr>
          <w:p w:rsidR="002A25B9" w:rsidRPr="001A74EC" w:rsidRDefault="002A25B9" w:rsidP="005B7C9C">
            <w:pPr>
              <w:pStyle w:val="naisf"/>
              <w:jc w:val="center"/>
              <w:rPr>
                <w:b/>
                <w:lang w:val="lv-LV"/>
              </w:rPr>
            </w:pPr>
            <w:r w:rsidRPr="001A74EC">
              <w:rPr>
                <w:b/>
                <w:lang w:val="lv-LV"/>
              </w:rPr>
              <w:t>2.tabula</w:t>
            </w:r>
          </w:p>
          <w:p w:rsidR="002A25B9" w:rsidRPr="001A74EC" w:rsidRDefault="002A25B9" w:rsidP="005B7C9C">
            <w:pPr>
              <w:pStyle w:val="naisf"/>
              <w:jc w:val="center"/>
              <w:rPr>
                <w:b/>
                <w:lang w:val="lv-LV"/>
              </w:rPr>
            </w:pPr>
            <w:r w:rsidRPr="001A74EC">
              <w:rPr>
                <w:b/>
                <w:lang w:val="lv-LV"/>
              </w:rPr>
              <w:t>Ar tiesību akta projektu izpildītās vai uzņemtās saistības, kas izriet no starptautiskajiem tiesību aktiem vai starptautiskas institūcijas vai organizācijas dokumentiem.</w:t>
            </w:r>
          </w:p>
          <w:p w:rsidR="002A25B9" w:rsidRPr="001A74EC" w:rsidRDefault="002A25B9" w:rsidP="005B7C9C">
            <w:pPr>
              <w:pStyle w:val="naisc"/>
              <w:rPr>
                <w:b/>
                <w:bCs/>
              </w:rPr>
            </w:pPr>
            <w:r w:rsidRPr="001A74EC">
              <w:rPr>
                <w:b/>
              </w:rPr>
              <w:t>Pasākumi šo saistību izpildei</w:t>
            </w:r>
          </w:p>
        </w:tc>
      </w:tr>
      <w:tr w:rsidR="002A25B9" w:rsidRPr="001A74EC" w:rsidTr="00D964EB">
        <w:trPr>
          <w:trHeight w:val="694"/>
          <w:tblCellSpacing w:w="0" w:type="dxa"/>
        </w:trPr>
        <w:tc>
          <w:tcPr>
            <w:tcW w:w="3970" w:type="dxa"/>
            <w:tcBorders>
              <w:top w:val="outset" w:sz="6" w:space="0" w:color="auto"/>
              <w:left w:val="outset" w:sz="6" w:space="0" w:color="auto"/>
              <w:bottom w:val="outset" w:sz="6" w:space="0" w:color="auto"/>
              <w:right w:val="outset" w:sz="6" w:space="0" w:color="auto"/>
            </w:tcBorders>
            <w:vAlign w:val="center"/>
          </w:tcPr>
          <w:p w:rsidR="002A25B9" w:rsidRPr="001A74EC" w:rsidRDefault="002A25B9" w:rsidP="002A25B9">
            <w:pPr>
              <w:pStyle w:val="naisf"/>
              <w:rPr>
                <w:spacing w:val="-6"/>
                <w:lang w:val="lv-LV"/>
              </w:rPr>
            </w:pPr>
            <w:r w:rsidRPr="001A74EC">
              <w:rPr>
                <w:spacing w:val="-6"/>
                <w:lang w:val="lv-LV"/>
              </w:rPr>
              <w:t>Attiecīgā starptautiskā tiesību akta vai starptautiskas institūcijas vai organizācijas dokumenta (turpmāk – starptautiskais dokuments) datums, numurs un nosaukums</w:t>
            </w:r>
          </w:p>
        </w:tc>
        <w:tc>
          <w:tcPr>
            <w:tcW w:w="5571" w:type="dxa"/>
            <w:gridSpan w:val="2"/>
            <w:tcBorders>
              <w:top w:val="outset" w:sz="6" w:space="0" w:color="auto"/>
              <w:left w:val="outset" w:sz="6" w:space="0" w:color="auto"/>
              <w:bottom w:val="outset" w:sz="6" w:space="0" w:color="auto"/>
              <w:right w:val="outset" w:sz="6" w:space="0" w:color="auto"/>
            </w:tcBorders>
          </w:tcPr>
          <w:p w:rsidR="002A25B9" w:rsidRPr="001A74EC" w:rsidRDefault="00027846" w:rsidP="002A25B9">
            <w:pPr>
              <w:pStyle w:val="naisf"/>
              <w:rPr>
                <w:lang w:val="lv-LV"/>
              </w:rPr>
            </w:pPr>
            <w:r w:rsidRPr="001A74EC">
              <w:rPr>
                <w:lang w:val="lv-LV"/>
              </w:rPr>
              <w:t>Projekts šo jomu neskar</w:t>
            </w:r>
          </w:p>
        </w:tc>
      </w:tr>
      <w:tr w:rsidR="002A25B9" w:rsidRPr="001A74EC" w:rsidTr="00D964EB">
        <w:trPr>
          <w:trHeight w:val="380"/>
          <w:tblCellSpacing w:w="0" w:type="dxa"/>
        </w:trPr>
        <w:tc>
          <w:tcPr>
            <w:tcW w:w="3970" w:type="dxa"/>
            <w:tcBorders>
              <w:top w:val="outset" w:sz="6" w:space="0" w:color="auto"/>
              <w:left w:val="outset" w:sz="6" w:space="0" w:color="auto"/>
              <w:bottom w:val="outset" w:sz="6" w:space="0" w:color="auto"/>
              <w:right w:val="outset" w:sz="6" w:space="0" w:color="auto"/>
            </w:tcBorders>
            <w:vAlign w:val="center"/>
          </w:tcPr>
          <w:p w:rsidR="002A25B9" w:rsidRPr="001A74EC" w:rsidRDefault="002A25B9" w:rsidP="002A25B9">
            <w:pPr>
              <w:pStyle w:val="naisf"/>
              <w:ind w:firstLine="115"/>
              <w:rPr>
                <w:lang w:val="lv-LV"/>
              </w:rPr>
            </w:pPr>
            <w:r w:rsidRPr="001A74EC">
              <w:rPr>
                <w:lang w:val="lv-LV"/>
              </w:rPr>
              <w:t>A</w:t>
            </w:r>
          </w:p>
        </w:tc>
        <w:tc>
          <w:tcPr>
            <w:tcW w:w="2835" w:type="dxa"/>
            <w:tcBorders>
              <w:top w:val="outset" w:sz="6" w:space="0" w:color="auto"/>
              <w:left w:val="outset" w:sz="6" w:space="0" w:color="auto"/>
              <w:bottom w:val="outset" w:sz="6" w:space="0" w:color="auto"/>
              <w:right w:val="outset" w:sz="6" w:space="0" w:color="auto"/>
            </w:tcBorders>
            <w:vAlign w:val="center"/>
          </w:tcPr>
          <w:p w:rsidR="002A25B9" w:rsidRPr="001A74EC" w:rsidRDefault="002A25B9" w:rsidP="002A25B9">
            <w:pPr>
              <w:pStyle w:val="naisf"/>
              <w:ind w:firstLine="127"/>
              <w:rPr>
                <w:lang w:val="lv-LV"/>
              </w:rPr>
            </w:pPr>
            <w:r w:rsidRPr="001A74EC">
              <w:rPr>
                <w:lang w:val="lv-LV"/>
              </w:rPr>
              <w:t>B</w:t>
            </w:r>
          </w:p>
        </w:tc>
        <w:tc>
          <w:tcPr>
            <w:tcW w:w="2736" w:type="dxa"/>
            <w:tcBorders>
              <w:top w:val="outset" w:sz="6" w:space="0" w:color="auto"/>
              <w:left w:val="outset" w:sz="6" w:space="0" w:color="auto"/>
              <w:bottom w:val="outset" w:sz="6" w:space="0" w:color="auto"/>
              <w:right w:val="outset" w:sz="6" w:space="0" w:color="auto"/>
            </w:tcBorders>
            <w:vAlign w:val="center"/>
          </w:tcPr>
          <w:p w:rsidR="002A25B9" w:rsidRPr="001A74EC" w:rsidRDefault="002A25B9" w:rsidP="002A25B9">
            <w:pPr>
              <w:pStyle w:val="naisf"/>
              <w:ind w:firstLine="127"/>
              <w:rPr>
                <w:lang w:val="lv-LV"/>
              </w:rPr>
            </w:pPr>
            <w:r w:rsidRPr="001A74EC">
              <w:rPr>
                <w:lang w:val="lv-LV"/>
              </w:rPr>
              <w:t>C</w:t>
            </w:r>
          </w:p>
        </w:tc>
      </w:tr>
      <w:tr w:rsidR="002A25B9" w:rsidRPr="00426D06" w:rsidTr="00D964EB">
        <w:trPr>
          <w:trHeight w:val="694"/>
          <w:tblCellSpacing w:w="0" w:type="dxa"/>
        </w:trPr>
        <w:tc>
          <w:tcPr>
            <w:tcW w:w="3970" w:type="dxa"/>
            <w:tcBorders>
              <w:top w:val="outset" w:sz="6" w:space="0" w:color="auto"/>
              <w:left w:val="outset" w:sz="6" w:space="0" w:color="auto"/>
              <w:bottom w:val="outset" w:sz="6" w:space="0" w:color="auto"/>
              <w:right w:val="outset" w:sz="6" w:space="0" w:color="auto"/>
            </w:tcBorders>
          </w:tcPr>
          <w:p w:rsidR="002A25B9" w:rsidRPr="001A74EC" w:rsidRDefault="002A25B9" w:rsidP="002A25B9">
            <w:pPr>
              <w:pStyle w:val="naisf"/>
              <w:rPr>
                <w:spacing w:val="-6"/>
                <w:lang w:val="lv-LV"/>
              </w:rPr>
            </w:pPr>
            <w:r w:rsidRPr="001A74EC">
              <w:rPr>
                <w:spacing w:val="-6"/>
                <w:lang w:val="lv-LV"/>
              </w:rPr>
              <w:t>Starptautiskās saistības (pēc būtības), kas izriet no norādītā starptautiskā dokumenta.</w:t>
            </w:r>
            <w:r w:rsidR="00D964EB">
              <w:rPr>
                <w:spacing w:val="-6"/>
                <w:lang w:val="lv-LV"/>
              </w:rPr>
              <w:t xml:space="preserve"> </w:t>
            </w:r>
            <w:r w:rsidRPr="001A74EC">
              <w:rPr>
                <w:spacing w:val="-6"/>
                <w:lang w:val="lv-LV"/>
              </w:rPr>
              <w:t>Konkrēti veicamie pasākumi vai uzdevumi, kas nepieciešami šo starptautisko saistību izpildei</w:t>
            </w:r>
          </w:p>
        </w:tc>
        <w:tc>
          <w:tcPr>
            <w:tcW w:w="2835" w:type="dxa"/>
            <w:tcBorders>
              <w:top w:val="outset" w:sz="6" w:space="0" w:color="auto"/>
              <w:left w:val="outset" w:sz="6" w:space="0" w:color="auto"/>
              <w:bottom w:val="outset" w:sz="6" w:space="0" w:color="auto"/>
              <w:right w:val="outset" w:sz="6" w:space="0" w:color="auto"/>
            </w:tcBorders>
          </w:tcPr>
          <w:p w:rsidR="002A25B9" w:rsidRPr="001A74EC" w:rsidRDefault="002A25B9" w:rsidP="002A25B9">
            <w:pPr>
              <w:pStyle w:val="naisf"/>
              <w:rPr>
                <w:spacing w:val="-6"/>
                <w:lang w:val="lv-LV"/>
              </w:rPr>
            </w:pPr>
            <w:r w:rsidRPr="001A74EC">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36" w:type="dxa"/>
            <w:tcBorders>
              <w:top w:val="outset" w:sz="6" w:space="0" w:color="auto"/>
              <w:left w:val="outset" w:sz="6" w:space="0" w:color="auto"/>
              <w:bottom w:val="outset" w:sz="6" w:space="0" w:color="auto"/>
              <w:right w:val="outset" w:sz="6" w:space="0" w:color="auto"/>
            </w:tcBorders>
          </w:tcPr>
          <w:p w:rsidR="002A25B9" w:rsidRPr="001A74EC" w:rsidRDefault="002A25B9" w:rsidP="002A25B9">
            <w:pPr>
              <w:pStyle w:val="naisf"/>
              <w:rPr>
                <w:spacing w:val="-6"/>
                <w:lang w:val="lv-LV"/>
              </w:rPr>
            </w:pPr>
            <w:r w:rsidRPr="001A74EC">
              <w:rPr>
                <w:spacing w:val="-6"/>
                <w:lang w:val="lv-LV"/>
              </w:rPr>
              <w:t>Informācija par to, vai starptautiskās saistības, kas minētas šīs tabulas A ailē, tiek izpildītas pilnībā vai daļēji.</w:t>
            </w:r>
            <w:r w:rsidR="00D964EB">
              <w:rPr>
                <w:spacing w:val="-6"/>
                <w:lang w:val="lv-LV"/>
              </w:rPr>
              <w:t xml:space="preserve"> </w:t>
            </w:r>
            <w:r w:rsidRPr="001A74EC">
              <w:rPr>
                <w:spacing w:val="-6"/>
                <w:lang w:val="lv-LV"/>
              </w:rPr>
              <w:t xml:space="preserve">Ja attiecīgās starptautiskās saistības tiek izpildītas daļēji, sniedz attiecīgu skaidrojumu, kā arī precīzi norāda, kad un kādā </w:t>
            </w:r>
            <w:r w:rsidRPr="001A74EC">
              <w:rPr>
                <w:spacing w:val="-6"/>
                <w:lang w:val="lv-LV"/>
              </w:rPr>
              <w:lastRenderedPageBreak/>
              <w:t>veidā starptautiskās saistības tiks izpildītas pilnībā.</w:t>
            </w:r>
            <w:r w:rsidR="00D964EB">
              <w:rPr>
                <w:spacing w:val="-6"/>
                <w:lang w:val="lv-LV"/>
              </w:rPr>
              <w:t xml:space="preserve"> </w:t>
            </w:r>
            <w:r w:rsidRPr="001A74EC">
              <w:rPr>
                <w:spacing w:val="-6"/>
                <w:lang w:val="lv-LV"/>
              </w:rPr>
              <w:t>Norāda institūciju, kas ir atbildīga par šo saistību izpildi pilnībā</w:t>
            </w:r>
          </w:p>
        </w:tc>
      </w:tr>
      <w:tr w:rsidR="002A25B9" w:rsidRPr="001A74EC" w:rsidTr="00D964EB">
        <w:trPr>
          <w:trHeight w:val="411"/>
          <w:tblCellSpacing w:w="0" w:type="dxa"/>
        </w:trPr>
        <w:tc>
          <w:tcPr>
            <w:tcW w:w="3970" w:type="dxa"/>
            <w:tcBorders>
              <w:top w:val="outset" w:sz="6" w:space="0" w:color="auto"/>
              <w:left w:val="outset" w:sz="6" w:space="0" w:color="auto"/>
              <w:bottom w:val="outset" w:sz="6" w:space="0" w:color="auto"/>
              <w:right w:val="outset" w:sz="6" w:space="0" w:color="auto"/>
            </w:tcBorders>
          </w:tcPr>
          <w:p w:rsidR="002A25B9" w:rsidRPr="001A74EC" w:rsidRDefault="00027846" w:rsidP="002A25B9">
            <w:pPr>
              <w:pStyle w:val="naisf"/>
              <w:rPr>
                <w:lang w:val="lv-LV"/>
              </w:rPr>
            </w:pPr>
            <w:r w:rsidRPr="001A74EC">
              <w:rPr>
                <w:lang w:val="lv-LV"/>
              </w:rPr>
              <w:lastRenderedPageBreak/>
              <w:t>Nav</w:t>
            </w:r>
          </w:p>
        </w:tc>
        <w:tc>
          <w:tcPr>
            <w:tcW w:w="2835" w:type="dxa"/>
            <w:tcBorders>
              <w:top w:val="outset" w:sz="6" w:space="0" w:color="auto"/>
              <w:left w:val="outset" w:sz="6" w:space="0" w:color="auto"/>
              <w:bottom w:val="outset" w:sz="6" w:space="0" w:color="auto"/>
              <w:right w:val="outset" w:sz="6" w:space="0" w:color="auto"/>
            </w:tcBorders>
          </w:tcPr>
          <w:p w:rsidR="002A25B9" w:rsidRPr="001A74EC" w:rsidRDefault="00027846" w:rsidP="002A25B9">
            <w:pPr>
              <w:pStyle w:val="naisf"/>
              <w:rPr>
                <w:lang w:val="lv-LV"/>
              </w:rPr>
            </w:pPr>
            <w:r w:rsidRPr="001A74EC">
              <w:rPr>
                <w:lang w:val="lv-LV"/>
              </w:rPr>
              <w:t>Nav</w:t>
            </w:r>
          </w:p>
        </w:tc>
        <w:tc>
          <w:tcPr>
            <w:tcW w:w="2736" w:type="dxa"/>
            <w:tcBorders>
              <w:top w:val="outset" w:sz="6" w:space="0" w:color="auto"/>
              <w:left w:val="outset" w:sz="6" w:space="0" w:color="auto"/>
              <w:bottom w:val="outset" w:sz="6" w:space="0" w:color="auto"/>
              <w:right w:val="outset" w:sz="6" w:space="0" w:color="auto"/>
            </w:tcBorders>
          </w:tcPr>
          <w:p w:rsidR="002A25B9" w:rsidRPr="001A74EC" w:rsidRDefault="00027846" w:rsidP="002A25B9">
            <w:pPr>
              <w:pStyle w:val="naisf"/>
              <w:rPr>
                <w:lang w:val="lv-LV"/>
              </w:rPr>
            </w:pPr>
            <w:r w:rsidRPr="001A74EC">
              <w:rPr>
                <w:lang w:val="lv-LV"/>
              </w:rPr>
              <w:t>Nav</w:t>
            </w:r>
          </w:p>
        </w:tc>
      </w:tr>
      <w:tr w:rsidR="002A25B9" w:rsidRPr="001A74EC" w:rsidTr="00D964EB">
        <w:trPr>
          <w:trHeight w:val="694"/>
          <w:tblCellSpacing w:w="0" w:type="dxa"/>
        </w:trPr>
        <w:tc>
          <w:tcPr>
            <w:tcW w:w="3970" w:type="dxa"/>
            <w:tcBorders>
              <w:top w:val="outset" w:sz="6" w:space="0" w:color="auto"/>
              <w:left w:val="outset" w:sz="6" w:space="0" w:color="auto"/>
              <w:bottom w:val="outset" w:sz="6" w:space="0" w:color="auto"/>
              <w:right w:val="outset" w:sz="6" w:space="0" w:color="auto"/>
            </w:tcBorders>
          </w:tcPr>
          <w:p w:rsidR="002A25B9" w:rsidRPr="001A74EC" w:rsidRDefault="002A25B9" w:rsidP="002A25B9">
            <w:pPr>
              <w:pStyle w:val="naisf"/>
              <w:rPr>
                <w:spacing w:val="6"/>
                <w:lang w:val="lv-LV"/>
              </w:rPr>
            </w:pPr>
            <w:r w:rsidRPr="001A74EC">
              <w:rPr>
                <w:spacing w:val="6"/>
                <w:lang w:val="lv-LV"/>
              </w:rPr>
              <w:t>Vai starptautiskajā dokumentā paredzētās saistības nav pretrunā ar jau esošajām Latvijas Republikas starptautiskajām saistībām</w:t>
            </w:r>
          </w:p>
        </w:tc>
        <w:tc>
          <w:tcPr>
            <w:tcW w:w="5571" w:type="dxa"/>
            <w:gridSpan w:val="2"/>
            <w:tcBorders>
              <w:top w:val="outset" w:sz="6" w:space="0" w:color="auto"/>
              <w:left w:val="outset" w:sz="6" w:space="0" w:color="auto"/>
              <w:bottom w:val="outset" w:sz="6" w:space="0" w:color="auto"/>
              <w:right w:val="outset" w:sz="6" w:space="0" w:color="auto"/>
            </w:tcBorders>
          </w:tcPr>
          <w:p w:rsidR="002A25B9" w:rsidRPr="001A74EC" w:rsidRDefault="00027846" w:rsidP="002A25B9">
            <w:pPr>
              <w:pStyle w:val="naisf"/>
              <w:rPr>
                <w:lang w:val="lv-LV"/>
              </w:rPr>
            </w:pPr>
            <w:r w:rsidRPr="001A74EC">
              <w:rPr>
                <w:lang w:val="lv-LV"/>
              </w:rPr>
              <w:t>Projekts šo jomu neskar</w:t>
            </w:r>
          </w:p>
        </w:tc>
      </w:tr>
      <w:tr w:rsidR="002A25B9" w:rsidRPr="001A74EC" w:rsidTr="00D964EB">
        <w:trPr>
          <w:trHeight w:val="694"/>
          <w:tblCellSpacing w:w="0" w:type="dxa"/>
        </w:trPr>
        <w:tc>
          <w:tcPr>
            <w:tcW w:w="3970" w:type="dxa"/>
            <w:tcBorders>
              <w:top w:val="outset" w:sz="6" w:space="0" w:color="auto"/>
              <w:left w:val="outset" w:sz="6" w:space="0" w:color="auto"/>
              <w:bottom w:val="single" w:sz="4" w:space="0" w:color="auto"/>
              <w:right w:val="outset" w:sz="6" w:space="0" w:color="auto"/>
            </w:tcBorders>
          </w:tcPr>
          <w:p w:rsidR="002A25B9" w:rsidRPr="001A74EC" w:rsidRDefault="002A25B9" w:rsidP="002A25B9">
            <w:pPr>
              <w:pStyle w:val="naisf"/>
              <w:rPr>
                <w:lang w:val="lv-LV"/>
              </w:rPr>
            </w:pPr>
            <w:r w:rsidRPr="001A74EC">
              <w:rPr>
                <w:lang w:val="lv-LV"/>
              </w:rPr>
              <w:t>Cita informācija</w:t>
            </w:r>
          </w:p>
        </w:tc>
        <w:tc>
          <w:tcPr>
            <w:tcW w:w="5571" w:type="dxa"/>
            <w:gridSpan w:val="2"/>
            <w:tcBorders>
              <w:top w:val="outset" w:sz="6" w:space="0" w:color="auto"/>
              <w:left w:val="outset" w:sz="6" w:space="0" w:color="auto"/>
              <w:bottom w:val="single" w:sz="4" w:space="0" w:color="auto"/>
              <w:right w:val="outset" w:sz="6" w:space="0" w:color="auto"/>
            </w:tcBorders>
          </w:tcPr>
          <w:p w:rsidR="002A25B9" w:rsidRPr="001A74EC" w:rsidRDefault="00907AD4" w:rsidP="002A25B9">
            <w:pPr>
              <w:pStyle w:val="naisf"/>
              <w:rPr>
                <w:lang w:val="lv-LV"/>
              </w:rPr>
            </w:pPr>
            <w:r w:rsidRPr="001A74EC">
              <w:rPr>
                <w:lang w:val="lv-LV"/>
              </w:rPr>
              <w:t>Nav</w:t>
            </w:r>
          </w:p>
        </w:tc>
      </w:tr>
    </w:tbl>
    <w:p w:rsidR="002A25B9" w:rsidRPr="001A74EC" w:rsidRDefault="002A25B9" w:rsidP="00A72D53">
      <w:pPr>
        <w:pStyle w:val="Bezatstarpm"/>
        <w:ind w:left="-567"/>
      </w:pPr>
    </w:p>
    <w:tbl>
      <w:tblPr>
        <w:tblW w:w="943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5"/>
        <w:gridCol w:w="2126"/>
        <w:gridCol w:w="6794"/>
      </w:tblGrid>
      <w:tr w:rsidR="00CB2893" w:rsidRPr="00426D06" w:rsidTr="006B73A1">
        <w:trPr>
          <w:jc w:val="center"/>
        </w:trPr>
        <w:tc>
          <w:tcPr>
            <w:tcW w:w="9435" w:type="dxa"/>
            <w:gridSpan w:val="3"/>
          </w:tcPr>
          <w:p w:rsidR="00CB2893" w:rsidRPr="001A74EC" w:rsidRDefault="00CB2893" w:rsidP="00E20041">
            <w:pPr>
              <w:pStyle w:val="naisnod"/>
              <w:spacing w:before="0" w:after="0"/>
              <w:ind w:left="57" w:right="57"/>
            </w:pPr>
            <w:r w:rsidRPr="001A74EC">
              <w:t>VI. Sabiedrības līdzdalība un šīs līdzdalības rezultāti</w:t>
            </w:r>
          </w:p>
        </w:tc>
      </w:tr>
      <w:tr w:rsidR="00CB2893" w:rsidRPr="00426D06" w:rsidTr="00AC6E58">
        <w:trPr>
          <w:trHeight w:val="553"/>
          <w:jc w:val="center"/>
        </w:trPr>
        <w:tc>
          <w:tcPr>
            <w:tcW w:w="515" w:type="dxa"/>
          </w:tcPr>
          <w:p w:rsidR="00CB2893" w:rsidRPr="001A74EC" w:rsidRDefault="00CB2893" w:rsidP="00E20041">
            <w:pPr>
              <w:pStyle w:val="naiskr"/>
              <w:spacing w:before="0" w:after="0"/>
              <w:ind w:left="57" w:right="57"/>
              <w:rPr>
                <w:bCs/>
              </w:rPr>
            </w:pPr>
            <w:r w:rsidRPr="001A74EC">
              <w:rPr>
                <w:bCs/>
              </w:rPr>
              <w:t>1.</w:t>
            </w:r>
          </w:p>
        </w:tc>
        <w:tc>
          <w:tcPr>
            <w:tcW w:w="2126" w:type="dxa"/>
          </w:tcPr>
          <w:p w:rsidR="00CB2893" w:rsidRPr="001A74EC" w:rsidRDefault="00CB2893" w:rsidP="00E20041">
            <w:pPr>
              <w:pStyle w:val="naiskr"/>
              <w:tabs>
                <w:tab w:val="left" w:pos="170"/>
              </w:tabs>
              <w:spacing w:before="0" w:after="0"/>
              <w:ind w:left="57" w:right="57"/>
            </w:pPr>
            <w:r w:rsidRPr="001A74EC">
              <w:t>Sabiedrības informēšana par projekta izstrādes uzsākšanu</w:t>
            </w:r>
          </w:p>
        </w:tc>
        <w:tc>
          <w:tcPr>
            <w:tcW w:w="6794" w:type="dxa"/>
          </w:tcPr>
          <w:p w:rsidR="00CB2893" w:rsidRPr="001A74EC" w:rsidRDefault="002C3A96" w:rsidP="002051CB">
            <w:pPr>
              <w:pStyle w:val="naiskr"/>
              <w:spacing w:before="0" w:after="0"/>
              <w:ind w:left="57" w:right="57"/>
              <w:jc w:val="both"/>
            </w:pPr>
            <w:r w:rsidRPr="001A74EC">
              <w:t>Farmācijas jomas konsultatīvā</w:t>
            </w:r>
            <w:r w:rsidR="006D5447" w:rsidRPr="001A74EC">
              <w:t>s padom</w:t>
            </w:r>
            <w:r w:rsidR="004708B9" w:rsidRPr="001A74EC">
              <w:t xml:space="preserve">es locekļi </w:t>
            </w:r>
            <w:r w:rsidR="00030F8F">
              <w:t xml:space="preserve">tika </w:t>
            </w:r>
            <w:r w:rsidR="004708B9" w:rsidRPr="001A74EC">
              <w:t>informēti 2012.gada 15</w:t>
            </w:r>
            <w:r w:rsidR="006D5447" w:rsidRPr="001A74EC">
              <w:t>.oktobrī</w:t>
            </w:r>
            <w:r w:rsidRPr="001A74EC">
              <w:t xml:space="preserve"> ar </w:t>
            </w:r>
            <w:r w:rsidR="006D5447" w:rsidRPr="001A74EC">
              <w:t>lūgumu sn</w:t>
            </w:r>
            <w:r w:rsidR="00907AD4" w:rsidRPr="001A74EC">
              <w:t>iegt viedokli līdz 2012.</w:t>
            </w:r>
            <w:r w:rsidR="004708B9" w:rsidRPr="001A74EC">
              <w:t>gada 29</w:t>
            </w:r>
            <w:r w:rsidR="006D5447" w:rsidRPr="001A74EC">
              <w:t>.</w:t>
            </w:r>
            <w:r w:rsidR="002051CB" w:rsidRPr="001A74EC">
              <w:t>oktobrim</w:t>
            </w:r>
            <w:r w:rsidRPr="001A74EC">
              <w:t>.</w:t>
            </w:r>
          </w:p>
        </w:tc>
      </w:tr>
      <w:tr w:rsidR="00CB2893" w:rsidRPr="00426D06" w:rsidTr="00AC6E58">
        <w:trPr>
          <w:trHeight w:val="339"/>
          <w:jc w:val="center"/>
        </w:trPr>
        <w:tc>
          <w:tcPr>
            <w:tcW w:w="515" w:type="dxa"/>
          </w:tcPr>
          <w:p w:rsidR="00CB2893" w:rsidRPr="001A74EC" w:rsidRDefault="00CB2893" w:rsidP="00E20041">
            <w:pPr>
              <w:pStyle w:val="naiskr"/>
              <w:spacing w:before="0" w:after="0"/>
              <w:ind w:left="57" w:right="57"/>
              <w:rPr>
                <w:bCs/>
              </w:rPr>
            </w:pPr>
            <w:r w:rsidRPr="001A74EC">
              <w:rPr>
                <w:bCs/>
              </w:rPr>
              <w:t>2.</w:t>
            </w:r>
          </w:p>
        </w:tc>
        <w:tc>
          <w:tcPr>
            <w:tcW w:w="2126" w:type="dxa"/>
          </w:tcPr>
          <w:p w:rsidR="00CB2893" w:rsidRPr="001A74EC" w:rsidRDefault="00CB2893" w:rsidP="00E20041">
            <w:pPr>
              <w:pStyle w:val="naiskr"/>
              <w:spacing w:before="0" w:after="0"/>
              <w:ind w:left="57" w:right="57"/>
            </w:pPr>
            <w:r w:rsidRPr="001A74EC">
              <w:t xml:space="preserve">Sabiedrības līdzdalība projekta izstrādē </w:t>
            </w:r>
          </w:p>
        </w:tc>
        <w:tc>
          <w:tcPr>
            <w:tcW w:w="6794" w:type="dxa"/>
          </w:tcPr>
          <w:p w:rsidR="00CB2893" w:rsidRPr="001A74EC" w:rsidRDefault="00653A0F" w:rsidP="00E86F30">
            <w:pPr>
              <w:pStyle w:val="naiskr"/>
              <w:spacing w:before="0" w:after="0"/>
              <w:ind w:right="57"/>
              <w:jc w:val="both"/>
            </w:pPr>
            <w:r w:rsidRPr="001A74EC">
              <w:t> </w:t>
            </w:r>
            <w:r w:rsidR="00020906" w:rsidRPr="001A74EC">
              <w:t xml:space="preserve">Ierosinājumus </w:t>
            </w:r>
            <w:r w:rsidR="00863A5E" w:rsidRPr="001A74EC">
              <w:t xml:space="preserve">no Farmācijas jomas konsultatīvās padomes locekļiem </w:t>
            </w:r>
            <w:r w:rsidR="00020906" w:rsidRPr="001A74EC">
              <w:t>ir iesūtījusi Starptautisko inovatīvo farmaceitisko firmu asociācija</w:t>
            </w:r>
            <w:r w:rsidR="00E86F30" w:rsidRPr="001A74EC">
              <w:t>, ar kuru jautājumi ir pārrunāti</w:t>
            </w:r>
            <w:r w:rsidR="00020906" w:rsidRPr="001A74EC">
              <w:t xml:space="preserve">. Veselības ministrijā 2012.gada </w:t>
            </w:r>
            <w:r w:rsidR="00F3666C" w:rsidRPr="001A74EC">
              <w:t>IV ceturksnī</w:t>
            </w:r>
            <w:r w:rsidR="00020906" w:rsidRPr="001A74EC">
              <w:t xml:space="preserve"> </w:t>
            </w:r>
            <w:r w:rsidR="00E86F30" w:rsidRPr="001A74EC">
              <w:t xml:space="preserve">atkārtotās </w:t>
            </w:r>
            <w:r w:rsidR="00020906" w:rsidRPr="001A74EC">
              <w:t>sanāksmē</w:t>
            </w:r>
            <w:r w:rsidR="00F3666C" w:rsidRPr="001A74EC">
              <w:t>s</w:t>
            </w:r>
            <w:r w:rsidR="00020906" w:rsidRPr="001A74EC">
              <w:t>, piedaloties Zāļu valsts aģentūrai.</w:t>
            </w:r>
          </w:p>
        </w:tc>
      </w:tr>
      <w:tr w:rsidR="00CB2893" w:rsidRPr="00426D06" w:rsidTr="00AC6E58">
        <w:trPr>
          <w:trHeight w:val="375"/>
          <w:jc w:val="center"/>
        </w:trPr>
        <w:tc>
          <w:tcPr>
            <w:tcW w:w="515" w:type="dxa"/>
          </w:tcPr>
          <w:p w:rsidR="00CB2893" w:rsidRPr="001A74EC" w:rsidRDefault="00CB2893" w:rsidP="00E20041">
            <w:pPr>
              <w:pStyle w:val="naiskr"/>
              <w:spacing w:before="0" w:after="0"/>
              <w:ind w:left="57" w:right="57"/>
              <w:rPr>
                <w:bCs/>
              </w:rPr>
            </w:pPr>
            <w:r w:rsidRPr="001A74EC">
              <w:rPr>
                <w:bCs/>
              </w:rPr>
              <w:t>3.</w:t>
            </w:r>
          </w:p>
        </w:tc>
        <w:tc>
          <w:tcPr>
            <w:tcW w:w="2126" w:type="dxa"/>
          </w:tcPr>
          <w:p w:rsidR="00CB2893" w:rsidRPr="001A74EC" w:rsidRDefault="00CB2893" w:rsidP="00E20041">
            <w:pPr>
              <w:pStyle w:val="naiskr"/>
              <w:spacing w:before="0" w:after="0"/>
              <w:ind w:left="57" w:right="57"/>
            </w:pPr>
            <w:r w:rsidRPr="001A74EC">
              <w:t xml:space="preserve">Sabiedrības līdzdalības rezultāti </w:t>
            </w:r>
          </w:p>
        </w:tc>
        <w:tc>
          <w:tcPr>
            <w:tcW w:w="6794" w:type="dxa"/>
          </w:tcPr>
          <w:p w:rsidR="00030F8F" w:rsidRPr="001A74EC" w:rsidRDefault="00CF4D98" w:rsidP="001C3A30">
            <w:pPr>
              <w:pStyle w:val="naiskr"/>
              <w:spacing w:before="0" w:after="0"/>
              <w:ind w:left="57" w:right="57"/>
              <w:jc w:val="both"/>
            </w:pPr>
            <w:r w:rsidRPr="001A74EC">
              <w:t>Starptautisko inovatīvo farmaceitisko firmu asociācija</w:t>
            </w:r>
            <w:r>
              <w:t xml:space="preserve">i sanāksmēs skaidrota </w:t>
            </w:r>
            <w:r w:rsidR="004075D5" w:rsidRPr="00AC797D">
              <w:t>Direktīvas Nr.2010/84/ES 1.panta 1</w:t>
            </w:r>
            <w:r w:rsidR="001625C6" w:rsidRPr="00AC797D">
              <w:t>8</w:t>
            </w:r>
            <w:r w:rsidR="001B6874" w:rsidRPr="00AC797D">
              <w:t xml:space="preserve">.punkta </w:t>
            </w:r>
            <w:r>
              <w:t xml:space="preserve">un </w:t>
            </w:r>
            <w:r w:rsidR="003B0E6A" w:rsidRPr="00AC797D">
              <w:t xml:space="preserve"> Dir</w:t>
            </w:r>
            <w:r w:rsidR="00EC0F52">
              <w:t xml:space="preserve">ektīvas </w:t>
            </w:r>
            <w:r>
              <w:t>19.punkta normas ieviešanas iespēja, arī</w:t>
            </w:r>
            <w:r w:rsidR="00EC0F52">
              <w:t xml:space="preserve"> saistībā ar </w:t>
            </w:r>
            <w:r w:rsidR="003B0E6A" w:rsidRPr="00AC797D">
              <w:t>Zāļu valsts aģentūra</w:t>
            </w:r>
            <w:r w:rsidR="00EC0F52">
              <w:t>s</w:t>
            </w:r>
            <w:r w:rsidR="003B0E6A" w:rsidRPr="00AC797D">
              <w:t xml:space="preserve"> </w:t>
            </w:r>
            <w:r w:rsidR="00EC0F52">
              <w:t>rīcību</w:t>
            </w:r>
            <w:r w:rsidR="00AC797D" w:rsidRPr="00AC797D">
              <w:rPr>
                <w:color w:val="000000"/>
              </w:rPr>
              <w:t>.</w:t>
            </w:r>
            <w:r w:rsidR="002D3213">
              <w:rPr>
                <w:color w:val="000000"/>
              </w:rPr>
              <w:t xml:space="preserve"> </w:t>
            </w:r>
            <w:r w:rsidR="002D3213" w:rsidRPr="00817B70">
              <w:t xml:space="preserve">Atbrīvojumu no pienākuma nodrošināt marķējumā un zāļu lietošanas instrukcijā atsevišķu informāciju, kāda ir apstiprinātajā zāļu marķējumā un lietošanas instrukcijā zāļu reģistrācijas dokumentācijā paredz Direktīvas Nr.2010/84/ES 1.panta 19.punkta norma. Anotācijā ir parādīta kaitējumu risku analīze, parādot, kā šī norma var ietekmēt sabiedrības veselību. Atbrīvojums ir pamatojams ar sabiedrības veselības aizsardzības apsvērumiem, kas EK tiesību nomās un MK noteikumos </w:t>
            </w:r>
            <w:r w:rsidR="002D3213">
              <w:t>Nr.57 līdz šim nebija akcentēts.</w:t>
            </w:r>
          </w:p>
        </w:tc>
      </w:tr>
      <w:tr w:rsidR="00CB2893" w:rsidRPr="00426D06" w:rsidTr="00AC6E58">
        <w:trPr>
          <w:trHeight w:val="592"/>
          <w:jc w:val="center"/>
        </w:trPr>
        <w:tc>
          <w:tcPr>
            <w:tcW w:w="515" w:type="dxa"/>
          </w:tcPr>
          <w:p w:rsidR="00CB2893" w:rsidRPr="001A74EC" w:rsidRDefault="00CB2893" w:rsidP="00E20041">
            <w:pPr>
              <w:pStyle w:val="naiskr"/>
              <w:spacing w:before="0" w:after="0"/>
              <w:ind w:left="57" w:right="57"/>
              <w:rPr>
                <w:bCs/>
              </w:rPr>
            </w:pPr>
            <w:r w:rsidRPr="001A74EC">
              <w:rPr>
                <w:bCs/>
              </w:rPr>
              <w:t>4.</w:t>
            </w:r>
          </w:p>
        </w:tc>
        <w:tc>
          <w:tcPr>
            <w:tcW w:w="2126" w:type="dxa"/>
          </w:tcPr>
          <w:p w:rsidR="00CB2893" w:rsidRPr="001A74EC" w:rsidRDefault="00CB2893" w:rsidP="00E20041">
            <w:pPr>
              <w:pStyle w:val="naiskr"/>
              <w:spacing w:before="0" w:after="0"/>
              <w:ind w:left="57" w:right="57"/>
            </w:pPr>
            <w:r w:rsidRPr="001A74EC">
              <w:t>Saeimas un ekspertu līdzdalība</w:t>
            </w:r>
          </w:p>
        </w:tc>
        <w:tc>
          <w:tcPr>
            <w:tcW w:w="6794" w:type="dxa"/>
          </w:tcPr>
          <w:p w:rsidR="00CB2893" w:rsidRPr="001A74EC" w:rsidRDefault="0043622F" w:rsidP="00E20041">
            <w:pPr>
              <w:pStyle w:val="naiskr"/>
              <w:spacing w:before="0" w:after="0"/>
              <w:ind w:left="57" w:right="57"/>
              <w:jc w:val="both"/>
            </w:pPr>
            <w:r w:rsidRPr="001A74EC">
              <w:t>Konsultācijas ar Saeimas komisiju vai apakškomisiju, kā arī ar ekspertiem nav notikušas.</w:t>
            </w:r>
          </w:p>
        </w:tc>
      </w:tr>
      <w:tr w:rsidR="00CB2893" w:rsidRPr="00426D06" w:rsidTr="00AC6E58">
        <w:trPr>
          <w:trHeight w:val="476"/>
          <w:jc w:val="center"/>
        </w:trPr>
        <w:tc>
          <w:tcPr>
            <w:tcW w:w="515" w:type="dxa"/>
          </w:tcPr>
          <w:p w:rsidR="00CB2893" w:rsidRPr="001A74EC" w:rsidRDefault="00CB2893" w:rsidP="00E20041">
            <w:pPr>
              <w:pStyle w:val="naiskr"/>
              <w:spacing w:before="0" w:after="0"/>
              <w:ind w:left="57" w:right="57"/>
              <w:rPr>
                <w:bCs/>
              </w:rPr>
            </w:pPr>
            <w:r w:rsidRPr="001A74EC">
              <w:rPr>
                <w:bCs/>
              </w:rPr>
              <w:t>5.</w:t>
            </w:r>
          </w:p>
        </w:tc>
        <w:tc>
          <w:tcPr>
            <w:tcW w:w="2126" w:type="dxa"/>
          </w:tcPr>
          <w:p w:rsidR="00CB2893" w:rsidRPr="001A74EC" w:rsidRDefault="00CB2893" w:rsidP="00E20041">
            <w:pPr>
              <w:pStyle w:val="naiskr"/>
              <w:spacing w:before="0" w:after="0"/>
              <w:ind w:left="57" w:right="57"/>
            </w:pPr>
            <w:r w:rsidRPr="001A74EC">
              <w:t>Cita informācija</w:t>
            </w:r>
          </w:p>
          <w:p w:rsidR="00CB2893" w:rsidRPr="001A74EC" w:rsidRDefault="00CB2893" w:rsidP="00E20041">
            <w:pPr>
              <w:pStyle w:val="naiskr"/>
              <w:spacing w:before="0" w:after="0"/>
              <w:ind w:left="57" w:right="57"/>
            </w:pPr>
          </w:p>
        </w:tc>
        <w:tc>
          <w:tcPr>
            <w:tcW w:w="6794" w:type="dxa"/>
          </w:tcPr>
          <w:p w:rsidR="00CB2893" w:rsidRPr="001A74EC" w:rsidRDefault="0043622F" w:rsidP="00E20041">
            <w:pPr>
              <w:pStyle w:val="naiskr"/>
              <w:spacing w:before="0" w:after="0"/>
              <w:ind w:left="57" w:right="57"/>
              <w:jc w:val="both"/>
            </w:pPr>
            <w:r w:rsidRPr="001A74EC">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1A74EC">
              <w:t>Sustento</w:t>
            </w:r>
            <w:proofErr w:type="spellEnd"/>
            <w:r w:rsidRPr="001A74EC">
              <w:t xml:space="preserve">”, Latvijas Ķīmijas un farmācijas uzņēmēju asociācijas, Latvijas Patērētāju interešu aizstāvības asociācijas, Latvijas </w:t>
            </w:r>
            <w:proofErr w:type="spellStart"/>
            <w:r w:rsidRPr="001A74EC">
              <w:t>Patentbrīvo</w:t>
            </w:r>
            <w:proofErr w:type="spellEnd"/>
            <w:r w:rsidRPr="001A74EC">
              <w:t xml:space="preserve"> medikamentu asociācijas, Latvijas Zāļu </w:t>
            </w:r>
            <w:r w:rsidRPr="001A74EC">
              <w:lastRenderedPageBreak/>
              <w:t>lieltirgotāju asociācijas un Starptautisko inovatīvo farmaceitisko firmu asociācijas.</w:t>
            </w:r>
          </w:p>
          <w:p w:rsidR="0043622F" w:rsidRPr="001A74EC" w:rsidRDefault="0043622F" w:rsidP="0043622F">
            <w:pPr>
              <w:pStyle w:val="naiskr"/>
              <w:spacing w:before="0" w:after="0"/>
              <w:ind w:left="57" w:right="57"/>
              <w:jc w:val="both"/>
            </w:pPr>
            <w:r w:rsidRPr="001A74EC">
              <w:t>Farmācijas jomas konsultatīvās padome ir izveidota, lai saskaņotu valsts institūciju un nevalstisko organizāciju viedokļus farmā</w:t>
            </w:r>
            <w:r w:rsidR="00811B9F" w:rsidRPr="001A74EC">
              <w:t>cijas jomas politikas veidošanā</w:t>
            </w:r>
            <w:r w:rsidR="001B4AD9" w:rsidRPr="001A74EC">
              <w:t>.</w:t>
            </w:r>
          </w:p>
        </w:tc>
      </w:tr>
    </w:tbl>
    <w:p w:rsidR="00CB2893" w:rsidRPr="001A74EC" w:rsidRDefault="00CB2893" w:rsidP="007A18C0">
      <w:pPr>
        <w:rPr>
          <w:lang w:val="lv-LV"/>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110"/>
        <w:gridCol w:w="4820"/>
      </w:tblGrid>
      <w:tr w:rsidR="00CB2893" w:rsidRPr="00426D06" w:rsidTr="002655E7">
        <w:tc>
          <w:tcPr>
            <w:tcW w:w="9498" w:type="dxa"/>
            <w:gridSpan w:val="3"/>
            <w:tcBorders>
              <w:top w:val="single" w:sz="4" w:space="0" w:color="auto"/>
            </w:tcBorders>
          </w:tcPr>
          <w:p w:rsidR="00CB2893" w:rsidRPr="001A74EC" w:rsidRDefault="00CB2893" w:rsidP="00E20041">
            <w:pPr>
              <w:pStyle w:val="naisnod"/>
              <w:spacing w:before="0" w:after="0"/>
              <w:ind w:left="57" w:right="57"/>
            </w:pPr>
            <w:r w:rsidRPr="001A74EC">
              <w:t>VII. Tiesību akta projekta izpildes nodrošināšana un tās ietekme uz institūcijām</w:t>
            </w:r>
          </w:p>
        </w:tc>
      </w:tr>
      <w:tr w:rsidR="00CB2893" w:rsidRPr="001A74EC" w:rsidTr="00486011">
        <w:trPr>
          <w:trHeight w:val="427"/>
        </w:trPr>
        <w:tc>
          <w:tcPr>
            <w:tcW w:w="568" w:type="dxa"/>
          </w:tcPr>
          <w:p w:rsidR="00CB2893" w:rsidRPr="001A74EC" w:rsidRDefault="00CB2893" w:rsidP="00E20041">
            <w:pPr>
              <w:pStyle w:val="naisnod"/>
              <w:spacing w:before="0" w:after="0"/>
              <w:ind w:left="57" w:right="57"/>
              <w:jc w:val="left"/>
              <w:rPr>
                <w:b w:val="0"/>
              </w:rPr>
            </w:pPr>
            <w:r w:rsidRPr="001A74EC">
              <w:rPr>
                <w:b w:val="0"/>
              </w:rPr>
              <w:t>1.</w:t>
            </w:r>
          </w:p>
        </w:tc>
        <w:tc>
          <w:tcPr>
            <w:tcW w:w="4110" w:type="dxa"/>
          </w:tcPr>
          <w:p w:rsidR="00CB2893" w:rsidRPr="001A74EC" w:rsidRDefault="00CB2893" w:rsidP="00E20041">
            <w:pPr>
              <w:pStyle w:val="naisf"/>
              <w:spacing w:before="0" w:after="0"/>
              <w:ind w:left="57" w:right="57"/>
              <w:rPr>
                <w:lang w:val="lv-LV"/>
              </w:rPr>
            </w:pPr>
            <w:r w:rsidRPr="001A74EC">
              <w:rPr>
                <w:lang w:val="lv-LV"/>
              </w:rPr>
              <w:t xml:space="preserve">Projekta izpildē iesaistītās institūcijas </w:t>
            </w:r>
          </w:p>
        </w:tc>
        <w:tc>
          <w:tcPr>
            <w:tcW w:w="4820" w:type="dxa"/>
          </w:tcPr>
          <w:p w:rsidR="00CB2893" w:rsidRPr="001A74EC" w:rsidRDefault="00E1762F" w:rsidP="002C3A96">
            <w:pPr>
              <w:pStyle w:val="naisnod"/>
              <w:spacing w:before="0" w:after="0"/>
              <w:ind w:right="57"/>
              <w:jc w:val="both"/>
              <w:rPr>
                <w:b w:val="0"/>
              </w:rPr>
            </w:pPr>
            <w:r w:rsidRPr="001A74EC">
              <w:rPr>
                <w:b w:val="0"/>
              </w:rPr>
              <w:t>Zāļu valsts aģentūra</w:t>
            </w:r>
          </w:p>
        </w:tc>
      </w:tr>
      <w:tr w:rsidR="00CB2893" w:rsidRPr="001A74EC" w:rsidTr="00486011">
        <w:trPr>
          <w:trHeight w:val="463"/>
        </w:trPr>
        <w:tc>
          <w:tcPr>
            <w:tcW w:w="568" w:type="dxa"/>
          </w:tcPr>
          <w:p w:rsidR="00CB2893" w:rsidRPr="001A74EC" w:rsidRDefault="00CB2893" w:rsidP="00E20041">
            <w:pPr>
              <w:pStyle w:val="naisnod"/>
              <w:spacing w:before="0" w:after="0"/>
              <w:ind w:left="57" w:right="57"/>
              <w:jc w:val="left"/>
              <w:rPr>
                <w:b w:val="0"/>
              </w:rPr>
            </w:pPr>
            <w:r w:rsidRPr="001A74EC">
              <w:rPr>
                <w:b w:val="0"/>
              </w:rPr>
              <w:t>2.</w:t>
            </w:r>
          </w:p>
        </w:tc>
        <w:tc>
          <w:tcPr>
            <w:tcW w:w="4110" w:type="dxa"/>
          </w:tcPr>
          <w:p w:rsidR="00CB2893" w:rsidRPr="001A74EC" w:rsidRDefault="00CB2893" w:rsidP="00E20041">
            <w:pPr>
              <w:pStyle w:val="naisf"/>
              <w:spacing w:before="0" w:after="0"/>
              <w:ind w:left="57" w:right="57"/>
              <w:rPr>
                <w:lang w:val="lv-LV"/>
              </w:rPr>
            </w:pPr>
            <w:r w:rsidRPr="001A74EC">
              <w:rPr>
                <w:lang w:val="lv-LV"/>
              </w:rPr>
              <w:t xml:space="preserve">Projekta izpildes ietekme uz pārvaldes funkcijām </w:t>
            </w:r>
          </w:p>
        </w:tc>
        <w:tc>
          <w:tcPr>
            <w:tcW w:w="4820" w:type="dxa"/>
          </w:tcPr>
          <w:p w:rsidR="00CB2893" w:rsidRPr="001A74EC" w:rsidRDefault="006F3CE1" w:rsidP="00AA62C8">
            <w:pPr>
              <w:jc w:val="both"/>
              <w:rPr>
                <w:lang w:val="lv-LV"/>
              </w:rPr>
            </w:pPr>
            <w:r w:rsidRPr="001A74EC">
              <w:rPr>
                <w:lang w:val="lv-LV"/>
              </w:rPr>
              <w:t>Noteikumu projektam nav ietekmes uz pārvaldes funkcijām</w:t>
            </w:r>
          </w:p>
        </w:tc>
      </w:tr>
      <w:tr w:rsidR="000F0872" w:rsidRPr="001A74EC" w:rsidTr="00486011">
        <w:trPr>
          <w:trHeight w:val="725"/>
        </w:trPr>
        <w:tc>
          <w:tcPr>
            <w:tcW w:w="568" w:type="dxa"/>
          </w:tcPr>
          <w:p w:rsidR="000F0872" w:rsidRPr="001A74EC" w:rsidRDefault="000F0872" w:rsidP="00E20041">
            <w:pPr>
              <w:pStyle w:val="naisnod"/>
              <w:spacing w:before="0" w:after="0"/>
              <w:ind w:left="57" w:right="57"/>
              <w:jc w:val="left"/>
              <w:rPr>
                <w:b w:val="0"/>
              </w:rPr>
            </w:pPr>
            <w:r w:rsidRPr="001A74EC">
              <w:rPr>
                <w:b w:val="0"/>
              </w:rPr>
              <w:t>3.</w:t>
            </w:r>
          </w:p>
        </w:tc>
        <w:tc>
          <w:tcPr>
            <w:tcW w:w="4110" w:type="dxa"/>
          </w:tcPr>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Projekta izpildes ietekme uz pārvaldes institucionālo struktūru.</w:t>
            </w:r>
          </w:p>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Jaunu institūciju izveide</w:t>
            </w:r>
          </w:p>
        </w:tc>
        <w:tc>
          <w:tcPr>
            <w:tcW w:w="4820" w:type="dxa"/>
          </w:tcPr>
          <w:p w:rsidR="000F0872" w:rsidRPr="001A74EC" w:rsidRDefault="000F0872" w:rsidP="006F3CE1">
            <w:pPr>
              <w:pStyle w:val="naisnod"/>
              <w:spacing w:before="0" w:after="0"/>
              <w:ind w:right="57"/>
              <w:jc w:val="both"/>
              <w:rPr>
                <w:b w:val="0"/>
              </w:rPr>
            </w:pPr>
            <w:r w:rsidRPr="001A74EC">
              <w:rPr>
                <w:b w:val="0"/>
              </w:rPr>
              <w:t xml:space="preserve">Jaunu institūciju izveidi </w:t>
            </w:r>
            <w:r w:rsidR="006F3CE1" w:rsidRPr="001A74EC">
              <w:rPr>
                <w:b w:val="0"/>
                <w:spacing w:val="-6"/>
              </w:rPr>
              <w:t>noteikumu projekts</w:t>
            </w:r>
            <w:r w:rsidRPr="001A74EC">
              <w:rPr>
                <w:b w:val="0"/>
                <w:spacing w:val="-6"/>
              </w:rPr>
              <w:t xml:space="preserve"> </w:t>
            </w:r>
            <w:r w:rsidRPr="001A74EC">
              <w:rPr>
                <w:b w:val="0"/>
              </w:rPr>
              <w:t>neparedz</w:t>
            </w:r>
          </w:p>
        </w:tc>
      </w:tr>
      <w:tr w:rsidR="000F0872" w:rsidRPr="001A74EC" w:rsidTr="00486011">
        <w:trPr>
          <w:trHeight w:val="780"/>
        </w:trPr>
        <w:tc>
          <w:tcPr>
            <w:tcW w:w="568" w:type="dxa"/>
          </w:tcPr>
          <w:p w:rsidR="000F0872" w:rsidRPr="001A74EC" w:rsidRDefault="000F0872" w:rsidP="00E20041">
            <w:pPr>
              <w:pStyle w:val="naisnod"/>
              <w:spacing w:before="0" w:after="0"/>
              <w:ind w:left="57" w:right="57"/>
              <w:jc w:val="left"/>
              <w:rPr>
                <w:b w:val="0"/>
              </w:rPr>
            </w:pPr>
            <w:r w:rsidRPr="001A74EC">
              <w:rPr>
                <w:b w:val="0"/>
              </w:rPr>
              <w:t>4.</w:t>
            </w:r>
          </w:p>
        </w:tc>
        <w:tc>
          <w:tcPr>
            <w:tcW w:w="4110" w:type="dxa"/>
          </w:tcPr>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Projekta izpildes ietekme uz pārvaldes institucionālo struktūru.</w:t>
            </w:r>
          </w:p>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Esošu institūciju likvidācija</w:t>
            </w:r>
          </w:p>
        </w:tc>
        <w:tc>
          <w:tcPr>
            <w:tcW w:w="4820" w:type="dxa"/>
          </w:tcPr>
          <w:p w:rsidR="000F0872" w:rsidRPr="001A74EC" w:rsidRDefault="000F0872" w:rsidP="006F3CE1">
            <w:pPr>
              <w:pStyle w:val="naisnod"/>
              <w:spacing w:before="0" w:after="0"/>
              <w:ind w:right="57"/>
              <w:jc w:val="both"/>
              <w:rPr>
                <w:b w:val="0"/>
              </w:rPr>
            </w:pPr>
            <w:r w:rsidRPr="001A74EC">
              <w:rPr>
                <w:b w:val="0"/>
              </w:rPr>
              <w:t xml:space="preserve">Esošo institūciju likvidāciju </w:t>
            </w:r>
            <w:r w:rsidR="006F3CE1" w:rsidRPr="001A74EC">
              <w:rPr>
                <w:b w:val="0"/>
                <w:spacing w:val="-6"/>
              </w:rPr>
              <w:t>noteikumu projekts</w:t>
            </w:r>
            <w:r w:rsidRPr="001A74EC">
              <w:rPr>
                <w:b w:val="0"/>
                <w:spacing w:val="-6"/>
              </w:rPr>
              <w:t xml:space="preserve"> </w:t>
            </w:r>
            <w:r w:rsidRPr="001A74EC">
              <w:rPr>
                <w:b w:val="0"/>
              </w:rPr>
              <w:t>neparedz</w:t>
            </w:r>
          </w:p>
        </w:tc>
      </w:tr>
      <w:tr w:rsidR="000F0872" w:rsidRPr="001A74EC" w:rsidTr="00486011">
        <w:trPr>
          <w:trHeight w:val="703"/>
        </w:trPr>
        <w:tc>
          <w:tcPr>
            <w:tcW w:w="568" w:type="dxa"/>
          </w:tcPr>
          <w:p w:rsidR="000F0872" w:rsidRPr="001A74EC" w:rsidRDefault="000F0872" w:rsidP="00E20041">
            <w:pPr>
              <w:pStyle w:val="naisnod"/>
              <w:spacing w:before="0" w:after="0"/>
              <w:ind w:left="57" w:right="57"/>
              <w:jc w:val="left"/>
              <w:rPr>
                <w:b w:val="0"/>
              </w:rPr>
            </w:pPr>
            <w:r w:rsidRPr="001A74EC">
              <w:rPr>
                <w:b w:val="0"/>
              </w:rPr>
              <w:t>5.</w:t>
            </w:r>
          </w:p>
        </w:tc>
        <w:tc>
          <w:tcPr>
            <w:tcW w:w="4110" w:type="dxa"/>
          </w:tcPr>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Projekta izpildes ietekme uz pārvaldes institucionālo struktūru.</w:t>
            </w:r>
          </w:p>
          <w:p w:rsidR="000F0872" w:rsidRPr="001A74EC" w:rsidRDefault="000F0872" w:rsidP="00AF2508">
            <w:pPr>
              <w:pStyle w:val="Bezatstarpm"/>
              <w:rPr>
                <w:rFonts w:ascii="Times New Roman" w:hAnsi="Times New Roman"/>
                <w:sz w:val="24"/>
                <w:szCs w:val="24"/>
              </w:rPr>
            </w:pPr>
            <w:r w:rsidRPr="001A74EC">
              <w:rPr>
                <w:rFonts w:ascii="Times New Roman" w:hAnsi="Times New Roman"/>
                <w:sz w:val="24"/>
                <w:szCs w:val="24"/>
              </w:rPr>
              <w:t>Esošu institūciju reorganizācija</w:t>
            </w:r>
          </w:p>
        </w:tc>
        <w:tc>
          <w:tcPr>
            <w:tcW w:w="4820" w:type="dxa"/>
          </w:tcPr>
          <w:p w:rsidR="000F0872" w:rsidRPr="001A74EC" w:rsidRDefault="000F0872" w:rsidP="006F3CE1">
            <w:pPr>
              <w:pStyle w:val="naisnod"/>
              <w:spacing w:before="0" w:after="0"/>
              <w:ind w:right="57"/>
              <w:jc w:val="both"/>
              <w:rPr>
                <w:b w:val="0"/>
              </w:rPr>
            </w:pPr>
            <w:r w:rsidRPr="001A74EC">
              <w:rPr>
                <w:b w:val="0"/>
              </w:rPr>
              <w:t xml:space="preserve">Esošo institūciju reorganizāciju </w:t>
            </w:r>
            <w:r w:rsidR="006F3CE1" w:rsidRPr="001A74EC">
              <w:rPr>
                <w:b w:val="0"/>
                <w:spacing w:val="-6"/>
              </w:rPr>
              <w:t>n</w:t>
            </w:r>
            <w:r w:rsidRPr="001A74EC">
              <w:rPr>
                <w:b w:val="0"/>
                <w:spacing w:val="-6"/>
              </w:rPr>
              <w:t xml:space="preserve">oteikumu projekts </w:t>
            </w:r>
            <w:r w:rsidRPr="001A74EC">
              <w:rPr>
                <w:b w:val="0"/>
              </w:rPr>
              <w:t>neparedz</w:t>
            </w:r>
          </w:p>
        </w:tc>
      </w:tr>
      <w:tr w:rsidR="00CB2893" w:rsidRPr="001A74EC" w:rsidTr="00486011">
        <w:trPr>
          <w:trHeight w:val="476"/>
        </w:trPr>
        <w:tc>
          <w:tcPr>
            <w:tcW w:w="568" w:type="dxa"/>
          </w:tcPr>
          <w:p w:rsidR="00CB2893" w:rsidRPr="001A74EC" w:rsidRDefault="00CB2893" w:rsidP="00E20041">
            <w:pPr>
              <w:pStyle w:val="naiskr"/>
              <w:spacing w:before="0" w:after="0"/>
              <w:ind w:left="57" w:right="57"/>
            </w:pPr>
            <w:r w:rsidRPr="001A74EC">
              <w:t>6.</w:t>
            </w:r>
          </w:p>
        </w:tc>
        <w:tc>
          <w:tcPr>
            <w:tcW w:w="4110" w:type="dxa"/>
          </w:tcPr>
          <w:p w:rsidR="00CB2893" w:rsidRPr="001A74EC" w:rsidRDefault="00CB2893" w:rsidP="00E20041">
            <w:pPr>
              <w:pStyle w:val="naiskr"/>
              <w:spacing w:before="0" w:after="0"/>
              <w:ind w:left="57" w:right="57"/>
            </w:pPr>
            <w:r w:rsidRPr="001A74EC">
              <w:t>Cita informācija</w:t>
            </w:r>
          </w:p>
        </w:tc>
        <w:tc>
          <w:tcPr>
            <w:tcW w:w="4820" w:type="dxa"/>
          </w:tcPr>
          <w:p w:rsidR="00CB2893" w:rsidRPr="001A74EC" w:rsidRDefault="000F0872" w:rsidP="00AA62C8">
            <w:pPr>
              <w:pStyle w:val="naiskr"/>
              <w:spacing w:before="0" w:after="0"/>
              <w:ind w:right="57"/>
              <w:jc w:val="both"/>
            </w:pPr>
            <w:r w:rsidRPr="001A74EC">
              <w:t>Nav</w:t>
            </w:r>
          </w:p>
        </w:tc>
      </w:tr>
    </w:tbl>
    <w:p w:rsidR="00485A9E" w:rsidRPr="001A74EC" w:rsidRDefault="00485A9E" w:rsidP="00485A9E">
      <w:pPr>
        <w:rPr>
          <w:b/>
          <w:sz w:val="28"/>
          <w:szCs w:val="28"/>
          <w:lang w:val="lv-LV"/>
        </w:rPr>
      </w:pPr>
    </w:p>
    <w:p w:rsidR="006B73A1" w:rsidRPr="001A74EC" w:rsidRDefault="006B73A1" w:rsidP="00CB2893">
      <w:pPr>
        <w:ind w:firstLine="720"/>
        <w:jc w:val="both"/>
        <w:rPr>
          <w:sz w:val="28"/>
          <w:szCs w:val="28"/>
          <w:lang w:val="lv-LV"/>
        </w:rPr>
      </w:pPr>
    </w:p>
    <w:p w:rsidR="00CB2893" w:rsidRPr="001A74EC" w:rsidRDefault="00CB2893" w:rsidP="00CB2893">
      <w:pPr>
        <w:ind w:firstLine="720"/>
        <w:jc w:val="both"/>
        <w:rPr>
          <w:sz w:val="28"/>
          <w:szCs w:val="28"/>
          <w:lang w:val="lv-LV"/>
        </w:rPr>
      </w:pPr>
      <w:r w:rsidRPr="001A74EC">
        <w:rPr>
          <w:sz w:val="28"/>
          <w:szCs w:val="28"/>
          <w:lang w:val="lv-LV"/>
        </w:rPr>
        <w:t>Ministru prezidents</w:t>
      </w:r>
      <w:r w:rsidRPr="001A74EC">
        <w:rPr>
          <w:sz w:val="28"/>
          <w:szCs w:val="28"/>
          <w:lang w:val="lv-LV"/>
        </w:rPr>
        <w:tab/>
      </w:r>
      <w:r w:rsidRPr="001A74EC">
        <w:rPr>
          <w:sz w:val="28"/>
          <w:szCs w:val="28"/>
          <w:lang w:val="lv-LV"/>
        </w:rPr>
        <w:tab/>
      </w:r>
      <w:r w:rsidRPr="001A74EC">
        <w:rPr>
          <w:sz w:val="28"/>
          <w:szCs w:val="28"/>
          <w:lang w:val="lv-LV"/>
        </w:rPr>
        <w:tab/>
      </w:r>
      <w:r w:rsidRPr="001A74EC">
        <w:rPr>
          <w:sz w:val="28"/>
          <w:szCs w:val="28"/>
          <w:lang w:val="lv-LV"/>
        </w:rPr>
        <w:tab/>
      </w:r>
      <w:r w:rsidRPr="001A74EC">
        <w:rPr>
          <w:sz w:val="28"/>
          <w:szCs w:val="28"/>
          <w:lang w:val="lv-LV"/>
        </w:rPr>
        <w:tab/>
      </w:r>
      <w:proofErr w:type="spellStart"/>
      <w:r w:rsidRPr="001A74EC">
        <w:rPr>
          <w:sz w:val="28"/>
          <w:szCs w:val="28"/>
          <w:lang w:val="lv-LV"/>
        </w:rPr>
        <w:t>V.Dombrovskis</w:t>
      </w:r>
      <w:proofErr w:type="spellEnd"/>
    </w:p>
    <w:p w:rsidR="00CB2893" w:rsidRPr="001A74EC" w:rsidRDefault="00CB2893" w:rsidP="00CB2893">
      <w:pPr>
        <w:jc w:val="both"/>
        <w:rPr>
          <w:sz w:val="28"/>
          <w:szCs w:val="28"/>
          <w:lang w:val="lv-LV"/>
        </w:rPr>
      </w:pPr>
    </w:p>
    <w:p w:rsidR="00CB2893" w:rsidRPr="001A74EC" w:rsidRDefault="00CB2893" w:rsidP="00CB2893">
      <w:pPr>
        <w:jc w:val="both"/>
        <w:rPr>
          <w:sz w:val="28"/>
          <w:szCs w:val="28"/>
          <w:lang w:val="lv-LV"/>
        </w:rPr>
      </w:pPr>
    </w:p>
    <w:p w:rsidR="00CB2893" w:rsidRPr="001A74EC" w:rsidRDefault="00CB2893" w:rsidP="00A87F98">
      <w:pPr>
        <w:ind w:firstLine="720"/>
        <w:jc w:val="both"/>
        <w:rPr>
          <w:rStyle w:val="Izteiksmgs"/>
          <w:b w:val="0"/>
          <w:bCs w:val="0"/>
          <w:sz w:val="28"/>
          <w:szCs w:val="28"/>
          <w:lang w:val="lv-LV"/>
        </w:rPr>
      </w:pPr>
      <w:r w:rsidRPr="001A74EC">
        <w:rPr>
          <w:sz w:val="28"/>
          <w:szCs w:val="28"/>
          <w:lang w:val="lv-LV"/>
        </w:rPr>
        <w:t>Veselības ministre</w:t>
      </w:r>
      <w:r w:rsidRPr="001A74EC">
        <w:rPr>
          <w:sz w:val="28"/>
          <w:szCs w:val="28"/>
          <w:lang w:val="lv-LV"/>
        </w:rPr>
        <w:tab/>
      </w:r>
      <w:r w:rsidRPr="001A74EC">
        <w:rPr>
          <w:sz w:val="28"/>
          <w:szCs w:val="28"/>
          <w:lang w:val="lv-LV"/>
        </w:rPr>
        <w:tab/>
      </w:r>
      <w:r w:rsidRPr="001A74EC">
        <w:rPr>
          <w:sz w:val="28"/>
          <w:szCs w:val="28"/>
          <w:lang w:val="lv-LV"/>
        </w:rPr>
        <w:tab/>
      </w:r>
      <w:r w:rsidRPr="001A74EC">
        <w:rPr>
          <w:sz w:val="28"/>
          <w:szCs w:val="28"/>
          <w:lang w:val="lv-LV"/>
        </w:rPr>
        <w:tab/>
      </w:r>
      <w:r w:rsidRPr="001A74EC">
        <w:rPr>
          <w:sz w:val="28"/>
          <w:szCs w:val="28"/>
          <w:lang w:val="lv-LV"/>
        </w:rPr>
        <w:tab/>
      </w:r>
      <w:r w:rsidRPr="001A74EC">
        <w:rPr>
          <w:sz w:val="28"/>
          <w:szCs w:val="28"/>
          <w:lang w:val="lv-LV"/>
        </w:rPr>
        <w:tab/>
        <w:t>I.Circene</w:t>
      </w:r>
    </w:p>
    <w:p w:rsidR="00527F00" w:rsidRPr="001A74EC" w:rsidRDefault="00527F00" w:rsidP="00527F00">
      <w:pPr>
        <w:pStyle w:val="Bezatstarpm"/>
        <w:tabs>
          <w:tab w:val="left" w:pos="2270"/>
        </w:tabs>
        <w:rPr>
          <w:rFonts w:ascii="Times New Roman" w:hAnsi="Times New Roman"/>
          <w:sz w:val="24"/>
          <w:szCs w:val="24"/>
        </w:rPr>
      </w:pPr>
    </w:p>
    <w:p w:rsidR="00907AD4" w:rsidRPr="001A74EC" w:rsidRDefault="009049AE" w:rsidP="009049AE">
      <w:pPr>
        <w:pStyle w:val="Bezatstarpm"/>
        <w:tabs>
          <w:tab w:val="left" w:pos="2679"/>
        </w:tabs>
        <w:rPr>
          <w:rFonts w:ascii="Times New Roman" w:hAnsi="Times New Roman"/>
          <w:sz w:val="24"/>
          <w:szCs w:val="24"/>
        </w:rPr>
      </w:pPr>
      <w:r w:rsidRPr="001A74EC">
        <w:rPr>
          <w:rFonts w:ascii="Times New Roman" w:hAnsi="Times New Roman"/>
          <w:sz w:val="24"/>
          <w:szCs w:val="24"/>
        </w:rPr>
        <w:tab/>
      </w:r>
    </w:p>
    <w:p w:rsidR="00E7063A" w:rsidRPr="001A74EC" w:rsidRDefault="00E7063A" w:rsidP="00527F00">
      <w:pPr>
        <w:pStyle w:val="Bezatstarpm"/>
        <w:tabs>
          <w:tab w:val="left" w:pos="2270"/>
        </w:tabs>
        <w:rPr>
          <w:rFonts w:ascii="Times New Roman" w:hAnsi="Times New Roman"/>
          <w:sz w:val="24"/>
          <w:szCs w:val="24"/>
        </w:rPr>
      </w:pPr>
    </w:p>
    <w:p w:rsidR="00E87478" w:rsidRDefault="00E87478"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BE1973" w:rsidRDefault="00BE1973" w:rsidP="00527F00">
      <w:pPr>
        <w:pStyle w:val="Bezatstarpm"/>
        <w:tabs>
          <w:tab w:val="left" w:pos="2270"/>
        </w:tabs>
        <w:rPr>
          <w:rFonts w:ascii="Times New Roman" w:hAnsi="Times New Roman"/>
          <w:sz w:val="24"/>
          <w:szCs w:val="24"/>
        </w:rPr>
      </w:pPr>
    </w:p>
    <w:p w:rsidR="00527F00" w:rsidRPr="001A74EC" w:rsidRDefault="00FB05EA" w:rsidP="00527F00">
      <w:pPr>
        <w:pStyle w:val="Bezatstarpm"/>
        <w:tabs>
          <w:tab w:val="left" w:pos="2270"/>
        </w:tabs>
        <w:rPr>
          <w:rFonts w:ascii="Times New Roman" w:hAnsi="Times New Roman"/>
          <w:sz w:val="24"/>
          <w:szCs w:val="24"/>
        </w:rPr>
      </w:pPr>
      <w:r>
        <w:rPr>
          <w:rFonts w:ascii="Times New Roman" w:hAnsi="Times New Roman"/>
          <w:sz w:val="24"/>
          <w:szCs w:val="24"/>
        </w:rPr>
        <w:t>31</w:t>
      </w:r>
      <w:r w:rsidR="0057686B">
        <w:rPr>
          <w:rFonts w:ascii="Times New Roman" w:hAnsi="Times New Roman"/>
          <w:sz w:val="24"/>
          <w:szCs w:val="24"/>
        </w:rPr>
        <w:t>.01.2013</w:t>
      </w:r>
      <w:r w:rsidR="002F5F38" w:rsidRPr="001A74EC">
        <w:rPr>
          <w:rFonts w:ascii="Times New Roman" w:hAnsi="Times New Roman"/>
          <w:sz w:val="24"/>
          <w:szCs w:val="24"/>
        </w:rPr>
        <w:t>. </w:t>
      </w:r>
      <w:r w:rsidR="00BE1973">
        <w:rPr>
          <w:rFonts w:ascii="Times New Roman" w:hAnsi="Times New Roman"/>
          <w:sz w:val="24"/>
          <w:szCs w:val="24"/>
        </w:rPr>
        <w:t>1</w:t>
      </w:r>
      <w:r w:rsidR="008A61EF">
        <w:rPr>
          <w:rFonts w:ascii="Times New Roman" w:hAnsi="Times New Roman"/>
          <w:sz w:val="24"/>
          <w:szCs w:val="24"/>
        </w:rPr>
        <w:t>4</w:t>
      </w:r>
      <w:r w:rsidR="00D34898" w:rsidRPr="001A74EC">
        <w:rPr>
          <w:rFonts w:ascii="Times New Roman" w:hAnsi="Times New Roman"/>
          <w:sz w:val="24"/>
          <w:szCs w:val="24"/>
        </w:rPr>
        <w:t>:</w:t>
      </w:r>
      <w:r w:rsidR="001658C8">
        <w:rPr>
          <w:rFonts w:ascii="Times New Roman" w:hAnsi="Times New Roman"/>
          <w:sz w:val="24"/>
          <w:szCs w:val="24"/>
        </w:rPr>
        <w:t>04</w:t>
      </w:r>
    </w:p>
    <w:p w:rsidR="00527F00" w:rsidRPr="001A74EC" w:rsidRDefault="00BE1973" w:rsidP="00527F00">
      <w:pPr>
        <w:pStyle w:val="Bezatstarpm"/>
        <w:rPr>
          <w:rFonts w:ascii="Times New Roman" w:hAnsi="Times New Roman"/>
          <w:sz w:val="24"/>
          <w:szCs w:val="24"/>
        </w:rPr>
      </w:pPr>
      <w:r>
        <w:rPr>
          <w:rFonts w:ascii="Times New Roman" w:hAnsi="Times New Roman"/>
          <w:sz w:val="24"/>
          <w:szCs w:val="24"/>
        </w:rPr>
        <w:t>3</w:t>
      </w:r>
      <w:r w:rsidR="00FB05EA">
        <w:rPr>
          <w:rFonts w:ascii="Times New Roman" w:hAnsi="Times New Roman"/>
          <w:sz w:val="24"/>
          <w:szCs w:val="24"/>
        </w:rPr>
        <w:t>884</w:t>
      </w:r>
    </w:p>
    <w:p w:rsidR="00527F00" w:rsidRPr="001A74EC" w:rsidRDefault="00527F00" w:rsidP="00527F00">
      <w:pPr>
        <w:pStyle w:val="Bezatstarpm"/>
        <w:rPr>
          <w:rFonts w:ascii="Times New Roman" w:hAnsi="Times New Roman"/>
          <w:sz w:val="24"/>
          <w:szCs w:val="24"/>
        </w:rPr>
      </w:pPr>
      <w:r w:rsidRPr="001A74EC">
        <w:rPr>
          <w:rFonts w:ascii="Times New Roman" w:hAnsi="Times New Roman"/>
          <w:sz w:val="24"/>
          <w:szCs w:val="24"/>
        </w:rPr>
        <w:t>I.Mača</w:t>
      </w:r>
    </w:p>
    <w:p w:rsidR="007275C7" w:rsidRPr="001A74EC" w:rsidRDefault="00527F00" w:rsidP="000C32AD">
      <w:pPr>
        <w:pStyle w:val="Bezatstarpm"/>
        <w:rPr>
          <w:rFonts w:ascii="Times New Roman" w:hAnsi="Times New Roman"/>
          <w:sz w:val="24"/>
          <w:szCs w:val="24"/>
        </w:rPr>
      </w:pPr>
      <w:r w:rsidRPr="001A74EC">
        <w:rPr>
          <w:rFonts w:ascii="Times New Roman" w:hAnsi="Times New Roman"/>
          <w:sz w:val="24"/>
          <w:szCs w:val="24"/>
        </w:rPr>
        <w:t xml:space="preserve">67876117, </w:t>
      </w:r>
      <w:hyperlink r:id="rId11" w:history="1">
        <w:r w:rsidRPr="001A74EC">
          <w:rPr>
            <w:rStyle w:val="Hipersaite"/>
            <w:rFonts w:ascii="Times New Roman" w:hAnsi="Times New Roman"/>
            <w:color w:val="auto"/>
            <w:sz w:val="24"/>
            <w:szCs w:val="24"/>
            <w:u w:val="none"/>
          </w:rPr>
          <w:t>Inguna.Maca@vm.gov.lv</w:t>
        </w:r>
      </w:hyperlink>
    </w:p>
    <w:sectPr w:rsidR="007275C7" w:rsidRPr="001A74EC" w:rsidSect="00722013">
      <w:headerReference w:type="default" r:id="rId12"/>
      <w:footerReference w:type="default" r:id="rId13"/>
      <w:footerReference w:type="first" r:id="rId14"/>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A9" w:rsidRDefault="00A86BA9" w:rsidP="00CB2893">
      <w:r>
        <w:separator/>
      </w:r>
    </w:p>
  </w:endnote>
  <w:endnote w:type="continuationSeparator" w:id="0">
    <w:p w:rsidR="00A86BA9" w:rsidRDefault="00A86BA9"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A9" w:rsidRPr="005A459A" w:rsidRDefault="00A86BA9" w:rsidP="003A1EB7">
    <w:pPr>
      <w:pStyle w:val="Kjene"/>
      <w:jc w:val="both"/>
      <w:rPr>
        <w:lang w:val="lv-LV"/>
      </w:rPr>
    </w:pPr>
    <w:r>
      <w:rPr>
        <w:lang w:val="lv-LV"/>
      </w:rPr>
      <w:t>VMAnot_310113_VSS1041; Ministru kabineta noteikumu projekta ”</w:t>
    </w:r>
    <w:r w:rsidRPr="002E2A00">
      <w:rPr>
        <w:lang w:val="lv-LV"/>
      </w:rPr>
      <w:t>Grozījumi Ministru kabineta 2006.gada 17.janvāra noteikumos Nr.57 ”Noteikumi par zāļu marķēšanas kārtību un zāļu lietošanas instrukcijai izvirzāmajām prasībām”</w:t>
    </w:r>
    <w:r>
      <w:rPr>
        <w:lang w:val="lv-LV"/>
      </w:rPr>
      <w:t>”</w:t>
    </w:r>
    <w:r w:rsidRPr="00815938">
      <w:rPr>
        <w:b/>
        <w:sz w:val="28"/>
        <w:szCs w:val="28"/>
        <w:lang w:val="lv-LV"/>
      </w:rPr>
      <w:t xml:space="preserve"> </w:t>
    </w:r>
    <w:r>
      <w:rPr>
        <w:lang w:val="lv-LV"/>
      </w:rPr>
      <w:t>anotācija</w:t>
    </w:r>
  </w:p>
  <w:p w:rsidR="00A86BA9" w:rsidRPr="00405A9B" w:rsidRDefault="00A86BA9" w:rsidP="00405A9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A9" w:rsidRPr="005A459A" w:rsidRDefault="00A86BA9" w:rsidP="00CB2893">
    <w:pPr>
      <w:pStyle w:val="Kjene"/>
      <w:jc w:val="both"/>
      <w:rPr>
        <w:lang w:val="lv-LV"/>
      </w:rPr>
    </w:pPr>
    <w:r>
      <w:rPr>
        <w:lang w:val="lv-LV"/>
      </w:rPr>
      <w:t>VMAnot_310113_VSS1041; Ministru kabineta noteikumu projekta ”</w:t>
    </w:r>
    <w:r w:rsidRPr="002E2A00">
      <w:rPr>
        <w:lang w:val="lv-LV"/>
      </w:rPr>
      <w:t>Grozījumi Ministru kabineta 2006.gada 17.janvāra noteikumos Nr.57 ”Noteikumi par zāļu marķēšanas kārtību un zāļu lietošanas instrukcijai izvirzāmajām prasībām”</w:t>
    </w:r>
    <w:r>
      <w:rPr>
        <w:lang w:val="lv-LV"/>
      </w:rPr>
      <w:t>” anotācija</w:t>
    </w:r>
  </w:p>
  <w:p w:rsidR="00A86BA9" w:rsidRDefault="00A86BA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A9" w:rsidRDefault="00A86BA9" w:rsidP="00CB2893">
      <w:r>
        <w:separator/>
      </w:r>
    </w:p>
  </w:footnote>
  <w:footnote w:type="continuationSeparator" w:id="0">
    <w:p w:rsidR="00A86BA9" w:rsidRDefault="00A86BA9"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A9" w:rsidRDefault="00A86BA9">
    <w:pPr>
      <w:pStyle w:val="Galvene"/>
      <w:jc w:val="center"/>
    </w:pPr>
    <w:fldSimple w:instr=" PAGE   \* MERGEFORMAT ">
      <w:r w:rsidR="001658C8">
        <w:rPr>
          <w:noProof/>
        </w:rPr>
        <w:t>20</w:t>
      </w:r>
    </w:fldSimple>
  </w:p>
  <w:p w:rsidR="00A86BA9" w:rsidRDefault="00A86BA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8D"/>
    <w:multiLevelType w:val="hybridMultilevel"/>
    <w:tmpl w:val="DA80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C804CD"/>
    <w:multiLevelType w:val="hybridMultilevel"/>
    <w:tmpl w:val="8A927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9A"/>
    <w:rsid w:val="00001EF2"/>
    <w:rsid w:val="0000228C"/>
    <w:rsid w:val="00002559"/>
    <w:rsid w:val="00002DBB"/>
    <w:rsid w:val="00003659"/>
    <w:rsid w:val="00003927"/>
    <w:rsid w:val="00003C89"/>
    <w:rsid w:val="00005C05"/>
    <w:rsid w:val="0000613D"/>
    <w:rsid w:val="00006B55"/>
    <w:rsid w:val="0000718E"/>
    <w:rsid w:val="00007FAA"/>
    <w:rsid w:val="00010206"/>
    <w:rsid w:val="00011558"/>
    <w:rsid w:val="000117F2"/>
    <w:rsid w:val="00012BFE"/>
    <w:rsid w:val="00012FFB"/>
    <w:rsid w:val="00013BD0"/>
    <w:rsid w:val="00015563"/>
    <w:rsid w:val="00015964"/>
    <w:rsid w:val="00016CD7"/>
    <w:rsid w:val="00020906"/>
    <w:rsid w:val="0002213C"/>
    <w:rsid w:val="00022C05"/>
    <w:rsid w:val="00023126"/>
    <w:rsid w:val="0002589B"/>
    <w:rsid w:val="000263BA"/>
    <w:rsid w:val="00027846"/>
    <w:rsid w:val="00027F8B"/>
    <w:rsid w:val="00030F8F"/>
    <w:rsid w:val="00031188"/>
    <w:rsid w:val="000378AE"/>
    <w:rsid w:val="000403D7"/>
    <w:rsid w:val="000404ED"/>
    <w:rsid w:val="00042608"/>
    <w:rsid w:val="00044972"/>
    <w:rsid w:val="00046C3E"/>
    <w:rsid w:val="000474E0"/>
    <w:rsid w:val="00047C33"/>
    <w:rsid w:val="00050088"/>
    <w:rsid w:val="00050320"/>
    <w:rsid w:val="00050905"/>
    <w:rsid w:val="00052ABA"/>
    <w:rsid w:val="00052C5D"/>
    <w:rsid w:val="000538E3"/>
    <w:rsid w:val="0005425A"/>
    <w:rsid w:val="00055273"/>
    <w:rsid w:val="0005624A"/>
    <w:rsid w:val="000612CC"/>
    <w:rsid w:val="00061C6C"/>
    <w:rsid w:val="000639A9"/>
    <w:rsid w:val="000639C0"/>
    <w:rsid w:val="00064E34"/>
    <w:rsid w:val="000676C0"/>
    <w:rsid w:val="00070AAB"/>
    <w:rsid w:val="00070C8F"/>
    <w:rsid w:val="00070ED8"/>
    <w:rsid w:val="00074A2B"/>
    <w:rsid w:val="00075530"/>
    <w:rsid w:val="0007751C"/>
    <w:rsid w:val="00080F59"/>
    <w:rsid w:val="0008348C"/>
    <w:rsid w:val="00083B1E"/>
    <w:rsid w:val="00083E00"/>
    <w:rsid w:val="0008446C"/>
    <w:rsid w:val="000846B6"/>
    <w:rsid w:val="000863BB"/>
    <w:rsid w:val="00086DC5"/>
    <w:rsid w:val="0008750A"/>
    <w:rsid w:val="0009127D"/>
    <w:rsid w:val="000931C2"/>
    <w:rsid w:val="00094B8B"/>
    <w:rsid w:val="00096225"/>
    <w:rsid w:val="00096C3F"/>
    <w:rsid w:val="000A0FCE"/>
    <w:rsid w:val="000A16CA"/>
    <w:rsid w:val="000A18A2"/>
    <w:rsid w:val="000A19B1"/>
    <w:rsid w:val="000A2537"/>
    <w:rsid w:val="000A3086"/>
    <w:rsid w:val="000A43FD"/>
    <w:rsid w:val="000A58BA"/>
    <w:rsid w:val="000A6C30"/>
    <w:rsid w:val="000A78FD"/>
    <w:rsid w:val="000A7E9A"/>
    <w:rsid w:val="000B0DE6"/>
    <w:rsid w:val="000B1348"/>
    <w:rsid w:val="000B3BE4"/>
    <w:rsid w:val="000B3DD2"/>
    <w:rsid w:val="000B3FB7"/>
    <w:rsid w:val="000B4DC9"/>
    <w:rsid w:val="000B6BA6"/>
    <w:rsid w:val="000B725F"/>
    <w:rsid w:val="000B778C"/>
    <w:rsid w:val="000B7E4D"/>
    <w:rsid w:val="000C0276"/>
    <w:rsid w:val="000C03F3"/>
    <w:rsid w:val="000C2321"/>
    <w:rsid w:val="000C32AD"/>
    <w:rsid w:val="000C4566"/>
    <w:rsid w:val="000C4733"/>
    <w:rsid w:val="000C4E9F"/>
    <w:rsid w:val="000C61FD"/>
    <w:rsid w:val="000C65CF"/>
    <w:rsid w:val="000D142E"/>
    <w:rsid w:val="000D24D0"/>
    <w:rsid w:val="000D2653"/>
    <w:rsid w:val="000D30C8"/>
    <w:rsid w:val="000D3F72"/>
    <w:rsid w:val="000D7693"/>
    <w:rsid w:val="000D79E9"/>
    <w:rsid w:val="000D7E97"/>
    <w:rsid w:val="000E128E"/>
    <w:rsid w:val="000E34DE"/>
    <w:rsid w:val="000E35A7"/>
    <w:rsid w:val="000E44C0"/>
    <w:rsid w:val="000E5134"/>
    <w:rsid w:val="000E5623"/>
    <w:rsid w:val="000E5642"/>
    <w:rsid w:val="000E5A1E"/>
    <w:rsid w:val="000E6DC8"/>
    <w:rsid w:val="000E6FF6"/>
    <w:rsid w:val="000F0872"/>
    <w:rsid w:val="000F1993"/>
    <w:rsid w:val="000F1E84"/>
    <w:rsid w:val="000F215C"/>
    <w:rsid w:val="000F248E"/>
    <w:rsid w:val="000F63CB"/>
    <w:rsid w:val="000F6E45"/>
    <w:rsid w:val="000F7478"/>
    <w:rsid w:val="000F7E7D"/>
    <w:rsid w:val="0010123C"/>
    <w:rsid w:val="00102F3B"/>
    <w:rsid w:val="0010348D"/>
    <w:rsid w:val="00104A60"/>
    <w:rsid w:val="00106744"/>
    <w:rsid w:val="00110A3F"/>
    <w:rsid w:val="00111DD7"/>
    <w:rsid w:val="0011592A"/>
    <w:rsid w:val="00116331"/>
    <w:rsid w:val="00120CD4"/>
    <w:rsid w:val="00120D4F"/>
    <w:rsid w:val="0012527C"/>
    <w:rsid w:val="00126D86"/>
    <w:rsid w:val="001307F3"/>
    <w:rsid w:val="00130DD0"/>
    <w:rsid w:val="001336D0"/>
    <w:rsid w:val="00135123"/>
    <w:rsid w:val="001356D2"/>
    <w:rsid w:val="00135798"/>
    <w:rsid w:val="00141217"/>
    <w:rsid w:val="0014384D"/>
    <w:rsid w:val="00145B39"/>
    <w:rsid w:val="00147C7C"/>
    <w:rsid w:val="001512CE"/>
    <w:rsid w:val="001525F6"/>
    <w:rsid w:val="001548C1"/>
    <w:rsid w:val="00156061"/>
    <w:rsid w:val="00160038"/>
    <w:rsid w:val="001609B9"/>
    <w:rsid w:val="001625C6"/>
    <w:rsid w:val="0016272A"/>
    <w:rsid w:val="00162811"/>
    <w:rsid w:val="0016281F"/>
    <w:rsid w:val="00163341"/>
    <w:rsid w:val="00164724"/>
    <w:rsid w:val="001648A7"/>
    <w:rsid w:val="00164D4F"/>
    <w:rsid w:val="00165216"/>
    <w:rsid w:val="00165849"/>
    <w:rsid w:val="001658C8"/>
    <w:rsid w:val="001665E7"/>
    <w:rsid w:val="00170B67"/>
    <w:rsid w:val="00171CBB"/>
    <w:rsid w:val="001720DC"/>
    <w:rsid w:val="00173792"/>
    <w:rsid w:val="00173B68"/>
    <w:rsid w:val="0017506B"/>
    <w:rsid w:val="00177C70"/>
    <w:rsid w:val="00180168"/>
    <w:rsid w:val="0018103F"/>
    <w:rsid w:val="00182D52"/>
    <w:rsid w:val="00183A10"/>
    <w:rsid w:val="001844D0"/>
    <w:rsid w:val="00185D59"/>
    <w:rsid w:val="0018735F"/>
    <w:rsid w:val="00191E34"/>
    <w:rsid w:val="0019253F"/>
    <w:rsid w:val="00193809"/>
    <w:rsid w:val="00193888"/>
    <w:rsid w:val="00193D34"/>
    <w:rsid w:val="00196C13"/>
    <w:rsid w:val="00197301"/>
    <w:rsid w:val="001A25F8"/>
    <w:rsid w:val="001A25FA"/>
    <w:rsid w:val="001A3A5B"/>
    <w:rsid w:val="001A5968"/>
    <w:rsid w:val="001A59B1"/>
    <w:rsid w:val="001A5E30"/>
    <w:rsid w:val="001A5F7E"/>
    <w:rsid w:val="001A7345"/>
    <w:rsid w:val="001A74EC"/>
    <w:rsid w:val="001A77B7"/>
    <w:rsid w:val="001A7FB2"/>
    <w:rsid w:val="001B1877"/>
    <w:rsid w:val="001B32FA"/>
    <w:rsid w:val="001B361C"/>
    <w:rsid w:val="001B4AD9"/>
    <w:rsid w:val="001B6625"/>
    <w:rsid w:val="001B669F"/>
    <w:rsid w:val="001B685D"/>
    <w:rsid w:val="001B6874"/>
    <w:rsid w:val="001B6B99"/>
    <w:rsid w:val="001C1FAC"/>
    <w:rsid w:val="001C2D8D"/>
    <w:rsid w:val="001C2FF0"/>
    <w:rsid w:val="001C33F8"/>
    <w:rsid w:val="001C3A30"/>
    <w:rsid w:val="001C3F6E"/>
    <w:rsid w:val="001C6A99"/>
    <w:rsid w:val="001C6B9D"/>
    <w:rsid w:val="001D0F6A"/>
    <w:rsid w:val="001D1743"/>
    <w:rsid w:val="001D273C"/>
    <w:rsid w:val="001D3896"/>
    <w:rsid w:val="001D3FAB"/>
    <w:rsid w:val="001D5313"/>
    <w:rsid w:val="001D6F69"/>
    <w:rsid w:val="001E080D"/>
    <w:rsid w:val="001E0B9E"/>
    <w:rsid w:val="001E3D9E"/>
    <w:rsid w:val="001E4D7C"/>
    <w:rsid w:val="001F12CB"/>
    <w:rsid w:val="001F155D"/>
    <w:rsid w:val="001F2135"/>
    <w:rsid w:val="001F324C"/>
    <w:rsid w:val="001F378B"/>
    <w:rsid w:val="001F7556"/>
    <w:rsid w:val="002006D2"/>
    <w:rsid w:val="0020129F"/>
    <w:rsid w:val="002012CC"/>
    <w:rsid w:val="002019E0"/>
    <w:rsid w:val="00202637"/>
    <w:rsid w:val="00202829"/>
    <w:rsid w:val="00203D8D"/>
    <w:rsid w:val="00204CA6"/>
    <w:rsid w:val="002051CB"/>
    <w:rsid w:val="00205255"/>
    <w:rsid w:val="00205720"/>
    <w:rsid w:val="00206043"/>
    <w:rsid w:val="00211B3B"/>
    <w:rsid w:val="0021554E"/>
    <w:rsid w:val="002203D1"/>
    <w:rsid w:val="00220757"/>
    <w:rsid w:val="00223097"/>
    <w:rsid w:val="00224852"/>
    <w:rsid w:val="00224E45"/>
    <w:rsid w:val="00227111"/>
    <w:rsid w:val="00230C88"/>
    <w:rsid w:val="00231C29"/>
    <w:rsid w:val="002329DB"/>
    <w:rsid w:val="00232BD7"/>
    <w:rsid w:val="00234237"/>
    <w:rsid w:val="00234D06"/>
    <w:rsid w:val="00236DF8"/>
    <w:rsid w:val="00242A09"/>
    <w:rsid w:val="00243381"/>
    <w:rsid w:val="002444C1"/>
    <w:rsid w:val="00244F7E"/>
    <w:rsid w:val="002469F1"/>
    <w:rsid w:val="00250BB5"/>
    <w:rsid w:val="002524E6"/>
    <w:rsid w:val="002556B8"/>
    <w:rsid w:val="00255DCA"/>
    <w:rsid w:val="002613A8"/>
    <w:rsid w:val="0026362B"/>
    <w:rsid w:val="00264673"/>
    <w:rsid w:val="00264F6C"/>
    <w:rsid w:val="002655E7"/>
    <w:rsid w:val="00265E30"/>
    <w:rsid w:val="00266066"/>
    <w:rsid w:val="00267857"/>
    <w:rsid w:val="00270413"/>
    <w:rsid w:val="00271F51"/>
    <w:rsid w:val="002720C8"/>
    <w:rsid w:val="002721FB"/>
    <w:rsid w:val="002743AB"/>
    <w:rsid w:val="002748F4"/>
    <w:rsid w:val="00276176"/>
    <w:rsid w:val="00276851"/>
    <w:rsid w:val="00276E83"/>
    <w:rsid w:val="00277E4A"/>
    <w:rsid w:val="00281DB0"/>
    <w:rsid w:val="00282E4E"/>
    <w:rsid w:val="00285E1E"/>
    <w:rsid w:val="00286FD8"/>
    <w:rsid w:val="00290A4A"/>
    <w:rsid w:val="00291D81"/>
    <w:rsid w:val="00293B62"/>
    <w:rsid w:val="00294F06"/>
    <w:rsid w:val="002958CE"/>
    <w:rsid w:val="002A00C5"/>
    <w:rsid w:val="002A14E9"/>
    <w:rsid w:val="002A161C"/>
    <w:rsid w:val="002A1BB8"/>
    <w:rsid w:val="002A25B9"/>
    <w:rsid w:val="002A312F"/>
    <w:rsid w:val="002A3135"/>
    <w:rsid w:val="002A39BC"/>
    <w:rsid w:val="002A46AD"/>
    <w:rsid w:val="002A60B7"/>
    <w:rsid w:val="002A64F9"/>
    <w:rsid w:val="002A6C2A"/>
    <w:rsid w:val="002A7337"/>
    <w:rsid w:val="002A7E62"/>
    <w:rsid w:val="002B00DD"/>
    <w:rsid w:val="002B01ED"/>
    <w:rsid w:val="002B0817"/>
    <w:rsid w:val="002B405C"/>
    <w:rsid w:val="002B4282"/>
    <w:rsid w:val="002B48FE"/>
    <w:rsid w:val="002B588D"/>
    <w:rsid w:val="002B667F"/>
    <w:rsid w:val="002C139F"/>
    <w:rsid w:val="002C2789"/>
    <w:rsid w:val="002C2F8F"/>
    <w:rsid w:val="002C3A96"/>
    <w:rsid w:val="002C3C41"/>
    <w:rsid w:val="002C46CF"/>
    <w:rsid w:val="002C53E6"/>
    <w:rsid w:val="002C70A1"/>
    <w:rsid w:val="002D03B6"/>
    <w:rsid w:val="002D0B40"/>
    <w:rsid w:val="002D173A"/>
    <w:rsid w:val="002D2391"/>
    <w:rsid w:val="002D2D67"/>
    <w:rsid w:val="002D3213"/>
    <w:rsid w:val="002D3650"/>
    <w:rsid w:val="002D3E79"/>
    <w:rsid w:val="002D427C"/>
    <w:rsid w:val="002D434F"/>
    <w:rsid w:val="002D56EA"/>
    <w:rsid w:val="002D6ED5"/>
    <w:rsid w:val="002D7C40"/>
    <w:rsid w:val="002E02D2"/>
    <w:rsid w:val="002E1D0A"/>
    <w:rsid w:val="002E2A00"/>
    <w:rsid w:val="002E349A"/>
    <w:rsid w:val="002E46BA"/>
    <w:rsid w:val="002E6DA0"/>
    <w:rsid w:val="002E7CB7"/>
    <w:rsid w:val="002F02B7"/>
    <w:rsid w:val="002F1031"/>
    <w:rsid w:val="002F1B5A"/>
    <w:rsid w:val="002F3755"/>
    <w:rsid w:val="002F5311"/>
    <w:rsid w:val="002F5B5D"/>
    <w:rsid w:val="002F5F38"/>
    <w:rsid w:val="002F76BF"/>
    <w:rsid w:val="002F7A3A"/>
    <w:rsid w:val="002F7E99"/>
    <w:rsid w:val="0030000D"/>
    <w:rsid w:val="0030015A"/>
    <w:rsid w:val="003030B8"/>
    <w:rsid w:val="00304587"/>
    <w:rsid w:val="0030518D"/>
    <w:rsid w:val="003056C3"/>
    <w:rsid w:val="00305D7F"/>
    <w:rsid w:val="00310C8F"/>
    <w:rsid w:val="00311413"/>
    <w:rsid w:val="00311781"/>
    <w:rsid w:val="00311AC2"/>
    <w:rsid w:val="00312031"/>
    <w:rsid w:val="003124A7"/>
    <w:rsid w:val="0031332A"/>
    <w:rsid w:val="0031501F"/>
    <w:rsid w:val="0031799C"/>
    <w:rsid w:val="00321269"/>
    <w:rsid w:val="00321B99"/>
    <w:rsid w:val="00322126"/>
    <w:rsid w:val="0032303C"/>
    <w:rsid w:val="00323EEF"/>
    <w:rsid w:val="00326C6F"/>
    <w:rsid w:val="0033252A"/>
    <w:rsid w:val="00332DC5"/>
    <w:rsid w:val="00332EB5"/>
    <w:rsid w:val="003333CB"/>
    <w:rsid w:val="00333D26"/>
    <w:rsid w:val="00333F42"/>
    <w:rsid w:val="003341D8"/>
    <w:rsid w:val="00340550"/>
    <w:rsid w:val="0034089D"/>
    <w:rsid w:val="00340CF9"/>
    <w:rsid w:val="0034143D"/>
    <w:rsid w:val="0034238D"/>
    <w:rsid w:val="00342C5C"/>
    <w:rsid w:val="003431B7"/>
    <w:rsid w:val="00343D5C"/>
    <w:rsid w:val="00344265"/>
    <w:rsid w:val="00344ED1"/>
    <w:rsid w:val="0034592D"/>
    <w:rsid w:val="00345DE8"/>
    <w:rsid w:val="0034672E"/>
    <w:rsid w:val="00346895"/>
    <w:rsid w:val="003468CF"/>
    <w:rsid w:val="0034698A"/>
    <w:rsid w:val="00350DEA"/>
    <w:rsid w:val="00350EC6"/>
    <w:rsid w:val="0035104A"/>
    <w:rsid w:val="00351843"/>
    <w:rsid w:val="00353F8D"/>
    <w:rsid w:val="00355FFA"/>
    <w:rsid w:val="00356B31"/>
    <w:rsid w:val="00357331"/>
    <w:rsid w:val="00360504"/>
    <w:rsid w:val="00360E97"/>
    <w:rsid w:val="003612B0"/>
    <w:rsid w:val="00362D9C"/>
    <w:rsid w:val="00363BF0"/>
    <w:rsid w:val="00363CF9"/>
    <w:rsid w:val="00365723"/>
    <w:rsid w:val="00366195"/>
    <w:rsid w:val="003673E7"/>
    <w:rsid w:val="003708E7"/>
    <w:rsid w:val="0037183D"/>
    <w:rsid w:val="00371B37"/>
    <w:rsid w:val="00371EA2"/>
    <w:rsid w:val="003732A1"/>
    <w:rsid w:val="003745DD"/>
    <w:rsid w:val="00376763"/>
    <w:rsid w:val="003777FF"/>
    <w:rsid w:val="00381DA4"/>
    <w:rsid w:val="00382E29"/>
    <w:rsid w:val="00383694"/>
    <w:rsid w:val="00384E7C"/>
    <w:rsid w:val="00386538"/>
    <w:rsid w:val="00386733"/>
    <w:rsid w:val="00387D0E"/>
    <w:rsid w:val="00392359"/>
    <w:rsid w:val="003924A6"/>
    <w:rsid w:val="003930FB"/>
    <w:rsid w:val="00393AF9"/>
    <w:rsid w:val="0039564F"/>
    <w:rsid w:val="00397498"/>
    <w:rsid w:val="00397629"/>
    <w:rsid w:val="003A003C"/>
    <w:rsid w:val="003A1305"/>
    <w:rsid w:val="003A1EB7"/>
    <w:rsid w:val="003A2134"/>
    <w:rsid w:val="003A5F1F"/>
    <w:rsid w:val="003A6F8A"/>
    <w:rsid w:val="003A7D4F"/>
    <w:rsid w:val="003B0D22"/>
    <w:rsid w:val="003B0E6A"/>
    <w:rsid w:val="003B3939"/>
    <w:rsid w:val="003B6EE2"/>
    <w:rsid w:val="003B71D2"/>
    <w:rsid w:val="003B7C58"/>
    <w:rsid w:val="003C00B6"/>
    <w:rsid w:val="003C0E7D"/>
    <w:rsid w:val="003C102A"/>
    <w:rsid w:val="003C17AA"/>
    <w:rsid w:val="003C4039"/>
    <w:rsid w:val="003C6879"/>
    <w:rsid w:val="003C70A8"/>
    <w:rsid w:val="003C70B0"/>
    <w:rsid w:val="003D0542"/>
    <w:rsid w:val="003D170E"/>
    <w:rsid w:val="003D2411"/>
    <w:rsid w:val="003D2614"/>
    <w:rsid w:val="003D32C7"/>
    <w:rsid w:val="003D45B5"/>
    <w:rsid w:val="003D5050"/>
    <w:rsid w:val="003D57E3"/>
    <w:rsid w:val="003E109C"/>
    <w:rsid w:val="003E140B"/>
    <w:rsid w:val="003E4C45"/>
    <w:rsid w:val="003E6725"/>
    <w:rsid w:val="003F010D"/>
    <w:rsid w:val="003F06B5"/>
    <w:rsid w:val="003F24A3"/>
    <w:rsid w:val="003F264B"/>
    <w:rsid w:val="003F2839"/>
    <w:rsid w:val="003F5045"/>
    <w:rsid w:val="003F6CDC"/>
    <w:rsid w:val="003F7156"/>
    <w:rsid w:val="00403EFF"/>
    <w:rsid w:val="004050E7"/>
    <w:rsid w:val="004051C5"/>
    <w:rsid w:val="00405584"/>
    <w:rsid w:val="004056A1"/>
    <w:rsid w:val="00405A9B"/>
    <w:rsid w:val="00405EE8"/>
    <w:rsid w:val="00405F34"/>
    <w:rsid w:val="00406A87"/>
    <w:rsid w:val="004075D5"/>
    <w:rsid w:val="00411F2B"/>
    <w:rsid w:val="00412D3D"/>
    <w:rsid w:val="0041446A"/>
    <w:rsid w:val="004149EC"/>
    <w:rsid w:val="00415BF5"/>
    <w:rsid w:val="004177F0"/>
    <w:rsid w:val="00422E2C"/>
    <w:rsid w:val="004251C2"/>
    <w:rsid w:val="004265C3"/>
    <w:rsid w:val="00426D06"/>
    <w:rsid w:val="00426F6D"/>
    <w:rsid w:val="004307EF"/>
    <w:rsid w:val="00432FD5"/>
    <w:rsid w:val="0043622F"/>
    <w:rsid w:val="004409D1"/>
    <w:rsid w:val="004429A5"/>
    <w:rsid w:val="004447BA"/>
    <w:rsid w:val="0044516C"/>
    <w:rsid w:val="00445834"/>
    <w:rsid w:val="00445EE3"/>
    <w:rsid w:val="0044662B"/>
    <w:rsid w:val="00451663"/>
    <w:rsid w:val="00453287"/>
    <w:rsid w:val="0045344B"/>
    <w:rsid w:val="0045352D"/>
    <w:rsid w:val="0045435B"/>
    <w:rsid w:val="004546F7"/>
    <w:rsid w:val="004556B5"/>
    <w:rsid w:val="00456109"/>
    <w:rsid w:val="00456F06"/>
    <w:rsid w:val="004606BF"/>
    <w:rsid w:val="0046121C"/>
    <w:rsid w:val="00461300"/>
    <w:rsid w:val="004621FB"/>
    <w:rsid w:val="00462A69"/>
    <w:rsid w:val="00463FE8"/>
    <w:rsid w:val="00464A01"/>
    <w:rsid w:val="00464E03"/>
    <w:rsid w:val="00465C7E"/>
    <w:rsid w:val="004708B9"/>
    <w:rsid w:val="00470CBA"/>
    <w:rsid w:val="004712C4"/>
    <w:rsid w:val="004719E3"/>
    <w:rsid w:val="0047259D"/>
    <w:rsid w:val="00472B84"/>
    <w:rsid w:val="00472FCE"/>
    <w:rsid w:val="004745BE"/>
    <w:rsid w:val="00474B43"/>
    <w:rsid w:val="004758BA"/>
    <w:rsid w:val="004764E5"/>
    <w:rsid w:val="00476B20"/>
    <w:rsid w:val="0047771C"/>
    <w:rsid w:val="004811DA"/>
    <w:rsid w:val="00482203"/>
    <w:rsid w:val="00483040"/>
    <w:rsid w:val="00483683"/>
    <w:rsid w:val="00483A65"/>
    <w:rsid w:val="0048585D"/>
    <w:rsid w:val="00485A9E"/>
    <w:rsid w:val="00486011"/>
    <w:rsid w:val="00492670"/>
    <w:rsid w:val="00493383"/>
    <w:rsid w:val="00493ECF"/>
    <w:rsid w:val="004940B5"/>
    <w:rsid w:val="00494867"/>
    <w:rsid w:val="004960AE"/>
    <w:rsid w:val="004962EC"/>
    <w:rsid w:val="004963E2"/>
    <w:rsid w:val="00496B23"/>
    <w:rsid w:val="004A13E8"/>
    <w:rsid w:val="004A19D4"/>
    <w:rsid w:val="004A1A12"/>
    <w:rsid w:val="004A1E90"/>
    <w:rsid w:val="004A245A"/>
    <w:rsid w:val="004A256D"/>
    <w:rsid w:val="004A2F48"/>
    <w:rsid w:val="004A3CD2"/>
    <w:rsid w:val="004A460D"/>
    <w:rsid w:val="004A64D2"/>
    <w:rsid w:val="004A7F09"/>
    <w:rsid w:val="004B012E"/>
    <w:rsid w:val="004B04C2"/>
    <w:rsid w:val="004B07C3"/>
    <w:rsid w:val="004B27AC"/>
    <w:rsid w:val="004B3A58"/>
    <w:rsid w:val="004B4BD0"/>
    <w:rsid w:val="004B57F7"/>
    <w:rsid w:val="004B70EC"/>
    <w:rsid w:val="004B749A"/>
    <w:rsid w:val="004C3E41"/>
    <w:rsid w:val="004C3F8F"/>
    <w:rsid w:val="004C6DFC"/>
    <w:rsid w:val="004D13C0"/>
    <w:rsid w:val="004D1468"/>
    <w:rsid w:val="004D18E1"/>
    <w:rsid w:val="004D27D7"/>
    <w:rsid w:val="004D28FE"/>
    <w:rsid w:val="004D2F7E"/>
    <w:rsid w:val="004D4105"/>
    <w:rsid w:val="004D4234"/>
    <w:rsid w:val="004D49C7"/>
    <w:rsid w:val="004D7857"/>
    <w:rsid w:val="004E00B5"/>
    <w:rsid w:val="004E1C8D"/>
    <w:rsid w:val="004E25CF"/>
    <w:rsid w:val="004E27E3"/>
    <w:rsid w:val="004E2877"/>
    <w:rsid w:val="004E4379"/>
    <w:rsid w:val="004E6717"/>
    <w:rsid w:val="004E7619"/>
    <w:rsid w:val="004E788B"/>
    <w:rsid w:val="004E7BB4"/>
    <w:rsid w:val="004F1832"/>
    <w:rsid w:val="004F1E47"/>
    <w:rsid w:val="004F1F32"/>
    <w:rsid w:val="004F52AE"/>
    <w:rsid w:val="004F6D1E"/>
    <w:rsid w:val="004F704C"/>
    <w:rsid w:val="004F798B"/>
    <w:rsid w:val="005004E0"/>
    <w:rsid w:val="00501553"/>
    <w:rsid w:val="005023BF"/>
    <w:rsid w:val="00503613"/>
    <w:rsid w:val="00503E30"/>
    <w:rsid w:val="00503FE7"/>
    <w:rsid w:val="005043DB"/>
    <w:rsid w:val="0050591F"/>
    <w:rsid w:val="00505F15"/>
    <w:rsid w:val="0050659B"/>
    <w:rsid w:val="00506961"/>
    <w:rsid w:val="005076BD"/>
    <w:rsid w:val="00507C0E"/>
    <w:rsid w:val="00510F92"/>
    <w:rsid w:val="005116DC"/>
    <w:rsid w:val="00511C3B"/>
    <w:rsid w:val="0051256F"/>
    <w:rsid w:val="00516BF7"/>
    <w:rsid w:val="00517218"/>
    <w:rsid w:val="00517794"/>
    <w:rsid w:val="00520E93"/>
    <w:rsid w:val="005224D8"/>
    <w:rsid w:val="00522D39"/>
    <w:rsid w:val="00523F5E"/>
    <w:rsid w:val="0052471F"/>
    <w:rsid w:val="00525472"/>
    <w:rsid w:val="00525FF7"/>
    <w:rsid w:val="00527F00"/>
    <w:rsid w:val="00530015"/>
    <w:rsid w:val="005312BE"/>
    <w:rsid w:val="00531657"/>
    <w:rsid w:val="00533239"/>
    <w:rsid w:val="005332DA"/>
    <w:rsid w:val="00534192"/>
    <w:rsid w:val="0053563C"/>
    <w:rsid w:val="00536E90"/>
    <w:rsid w:val="00536F27"/>
    <w:rsid w:val="00537924"/>
    <w:rsid w:val="0054061F"/>
    <w:rsid w:val="00540CA0"/>
    <w:rsid w:val="00541485"/>
    <w:rsid w:val="00542EBA"/>
    <w:rsid w:val="005433DD"/>
    <w:rsid w:val="005434ED"/>
    <w:rsid w:val="00543A95"/>
    <w:rsid w:val="0054408D"/>
    <w:rsid w:val="005454A0"/>
    <w:rsid w:val="00545AE4"/>
    <w:rsid w:val="00546505"/>
    <w:rsid w:val="00547553"/>
    <w:rsid w:val="0054764D"/>
    <w:rsid w:val="00547B05"/>
    <w:rsid w:val="005506BD"/>
    <w:rsid w:val="005519A6"/>
    <w:rsid w:val="00551A31"/>
    <w:rsid w:val="00552B0A"/>
    <w:rsid w:val="00552F07"/>
    <w:rsid w:val="00553DD2"/>
    <w:rsid w:val="00553E5D"/>
    <w:rsid w:val="005544A9"/>
    <w:rsid w:val="00555114"/>
    <w:rsid w:val="0055651D"/>
    <w:rsid w:val="00556EA6"/>
    <w:rsid w:val="005575FC"/>
    <w:rsid w:val="0055797A"/>
    <w:rsid w:val="00561EC7"/>
    <w:rsid w:val="00563E81"/>
    <w:rsid w:val="00567C0E"/>
    <w:rsid w:val="00570D12"/>
    <w:rsid w:val="00571846"/>
    <w:rsid w:val="00571A9B"/>
    <w:rsid w:val="00571EE5"/>
    <w:rsid w:val="0057389D"/>
    <w:rsid w:val="00573F3C"/>
    <w:rsid w:val="00574EAE"/>
    <w:rsid w:val="0057686B"/>
    <w:rsid w:val="00577D8A"/>
    <w:rsid w:val="00581859"/>
    <w:rsid w:val="00582010"/>
    <w:rsid w:val="00583790"/>
    <w:rsid w:val="00586C6E"/>
    <w:rsid w:val="00586ECA"/>
    <w:rsid w:val="00586F05"/>
    <w:rsid w:val="0058713B"/>
    <w:rsid w:val="005871EF"/>
    <w:rsid w:val="0058744C"/>
    <w:rsid w:val="0058747D"/>
    <w:rsid w:val="005878D7"/>
    <w:rsid w:val="005900CA"/>
    <w:rsid w:val="00590E04"/>
    <w:rsid w:val="00591279"/>
    <w:rsid w:val="005923E0"/>
    <w:rsid w:val="0059248E"/>
    <w:rsid w:val="00592D4D"/>
    <w:rsid w:val="00594BA3"/>
    <w:rsid w:val="00596207"/>
    <w:rsid w:val="005963F5"/>
    <w:rsid w:val="005979EB"/>
    <w:rsid w:val="005A037D"/>
    <w:rsid w:val="005A30B3"/>
    <w:rsid w:val="005A33AE"/>
    <w:rsid w:val="005A36FE"/>
    <w:rsid w:val="005A381F"/>
    <w:rsid w:val="005A4E91"/>
    <w:rsid w:val="005A577B"/>
    <w:rsid w:val="005A6ABA"/>
    <w:rsid w:val="005B0520"/>
    <w:rsid w:val="005B096D"/>
    <w:rsid w:val="005B2228"/>
    <w:rsid w:val="005B22FF"/>
    <w:rsid w:val="005B4164"/>
    <w:rsid w:val="005B7014"/>
    <w:rsid w:val="005B7C9C"/>
    <w:rsid w:val="005B7D91"/>
    <w:rsid w:val="005B7F01"/>
    <w:rsid w:val="005C1C77"/>
    <w:rsid w:val="005C3617"/>
    <w:rsid w:val="005C5DCD"/>
    <w:rsid w:val="005C707A"/>
    <w:rsid w:val="005D21D6"/>
    <w:rsid w:val="005D4010"/>
    <w:rsid w:val="005D4C35"/>
    <w:rsid w:val="005D5B87"/>
    <w:rsid w:val="005D641D"/>
    <w:rsid w:val="005D74A9"/>
    <w:rsid w:val="005D7D0D"/>
    <w:rsid w:val="005E06A7"/>
    <w:rsid w:val="005E178F"/>
    <w:rsid w:val="005E1EBC"/>
    <w:rsid w:val="005E38BC"/>
    <w:rsid w:val="005E3C37"/>
    <w:rsid w:val="005E3F05"/>
    <w:rsid w:val="005E50F5"/>
    <w:rsid w:val="005E53FB"/>
    <w:rsid w:val="005E56AB"/>
    <w:rsid w:val="005E5C8F"/>
    <w:rsid w:val="005E5E37"/>
    <w:rsid w:val="005E7E70"/>
    <w:rsid w:val="005F049C"/>
    <w:rsid w:val="005F102C"/>
    <w:rsid w:val="005F105D"/>
    <w:rsid w:val="005F1A36"/>
    <w:rsid w:val="005F20F1"/>
    <w:rsid w:val="005F3AD5"/>
    <w:rsid w:val="005F42E5"/>
    <w:rsid w:val="005F626A"/>
    <w:rsid w:val="0060153A"/>
    <w:rsid w:val="00603CCA"/>
    <w:rsid w:val="006049DC"/>
    <w:rsid w:val="00604B28"/>
    <w:rsid w:val="00604FE7"/>
    <w:rsid w:val="006059EB"/>
    <w:rsid w:val="006068D2"/>
    <w:rsid w:val="006101FB"/>
    <w:rsid w:val="00610B7B"/>
    <w:rsid w:val="006110B4"/>
    <w:rsid w:val="00612A64"/>
    <w:rsid w:val="0061464D"/>
    <w:rsid w:val="00622884"/>
    <w:rsid w:val="006239AF"/>
    <w:rsid w:val="006250DD"/>
    <w:rsid w:val="006261FF"/>
    <w:rsid w:val="00626360"/>
    <w:rsid w:val="006266C1"/>
    <w:rsid w:val="00626EAD"/>
    <w:rsid w:val="00630A2E"/>
    <w:rsid w:val="00635099"/>
    <w:rsid w:val="00636FFA"/>
    <w:rsid w:val="00637474"/>
    <w:rsid w:val="006407B0"/>
    <w:rsid w:val="00640B8A"/>
    <w:rsid w:val="00641C48"/>
    <w:rsid w:val="00641D4B"/>
    <w:rsid w:val="00643F98"/>
    <w:rsid w:val="0064714F"/>
    <w:rsid w:val="00647B05"/>
    <w:rsid w:val="00650317"/>
    <w:rsid w:val="0065252E"/>
    <w:rsid w:val="00652780"/>
    <w:rsid w:val="0065370F"/>
    <w:rsid w:val="00653A0F"/>
    <w:rsid w:val="00653CC9"/>
    <w:rsid w:val="0065415D"/>
    <w:rsid w:val="006551C1"/>
    <w:rsid w:val="00655540"/>
    <w:rsid w:val="006627AC"/>
    <w:rsid w:val="00662CDC"/>
    <w:rsid w:val="0066690A"/>
    <w:rsid w:val="006715CD"/>
    <w:rsid w:val="0067328C"/>
    <w:rsid w:val="00673E16"/>
    <w:rsid w:val="00675061"/>
    <w:rsid w:val="006762C0"/>
    <w:rsid w:val="006764B9"/>
    <w:rsid w:val="00677786"/>
    <w:rsid w:val="006809B2"/>
    <w:rsid w:val="006823B9"/>
    <w:rsid w:val="00684B98"/>
    <w:rsid w:val="006855F0"/>
    <w:rsid w:val="00686AEA"/>
    <w:rsid w:val="00686D45"/>
    <w:rsid w:val="00687FD6"/>
    <w:rsid w:val="00690108"/>
    <w:rsid w:val="00692191"/>
    <w:rsid w:val="0069237F"/>
    <w:rsid w:val="00692C93"/>
    <w:rsid w:val="00694963"/>
    <w:rsid w:val="0069529C"/>
    <w:rsid w:val="006A0D91"/>
    <w:rsid w:val="006A0DD9"/>
    <w:rsid w:val="006A1AC3"/>
    <w:rsid w:val="006A1E87"/>
    <w:rsid w:val="006A3AA3"/>
    <w:rsid w:val="006A40DA"/>
    <w:rsid w:val="006A5101"/>
    <w:rsid w:val="006A64BB"/>
    <w:rsid w:val="006A75E5"/>
    <w:rsid w:val="006B14FA"/>
    <w:rsid w:val="006B2772"/>
    <w:rsid w:val="006B3CB3"/>
    <w:rsid w:val="006B52E7"/>
    <w:rsid w:val="006B6210"/>
    <w:rsid w:val="006B73A1"/>
    <w:rsid w:val="006C0422"/>
    <w:rsid w:val="006C052A"/>
    <w:rsid w:val="006C138E"/>
    <w:rsid w:val="006C26E2"/>
    <w:rsid w:val="006C2C24"/>
    <w:rsid w:val="006C5573"/>
    <w:rsid w:val="006C59DD"/>
    <w:rsid w:val="006C7156"/>
    <w:rsid w:val="006C7175"/>
    <w:rsid w:val="006D2340"/>
    <w:rsid w:val="006D42D9"/>
    <w:rsid w:val="006D4780"/>
    <w:rsid w:val="006D5447"/>
    <w:rsid w:val="006D67CA"/>
    <w:rsid w:val="006E176A"/>
    <w:rsid w:val="006E1EB0"/>
    <w:rsid w:val="006E5607"/>
    <w:rsid w:val="006E585D"/>
    <w:rsid w:val="006E5B76"/>
    <w:rsid w:val="006E676D"/>
    <w:rsid w:val="006E72EE"/>
    <w:rsid w:val="006E7F8A"/>
    <w:rsid w:val="006F118E"/>
    <w:rsid w:val="006F15D9"/>
    <w:rsid w:val="006F33FD"/>
    <w:rsid w:val="006F355B"/>
    <w:rsid w:val="006F3CE1"/>
    <w:rsid w:val="006F50FF"/>
    <w:rsid w:val="006F536B"/>
    <w:rsid w:val="006F5C75"/>
    <w:rsid w:val="006F5C76"/>
    <w:rsid w:val="006F6B32"/>
    <w:rsid w:val="00705043"/>
    <w:rsid w:val="00705302"/>
    <w:rsid w:val="00707BD9"/>
    <w:rsid w:val="00710DA7"/>
    <w:rsid w:val="00714689"/>
    <w:rsid w:val="00715240"/>
    <w:rsid w:val="00716DDD"/>
    <w:rsid w:val="00717303"/>
    <w:rsid w:val="0071759A"/>
    <w:rsid w:val="00720B37"/>
    <w:rsid w:val="007211CA"/>
    <w:rsid w:val="00722013"/>
    <w:rsid w:val="00722F4C"/>
    <w:rsid w:val="00725834"/>
    <w:rsid w:val="00725E6A"/>
    <w:rsid w:val="007275C7"/>
    <w:rsid w:val="00731092"/>
    <w:rsid w:val="0073285C"/>
    <w:rsid w:val="00732D7E"/>
    <w:rsid w:val="007372D2"/>
    <w:rsid w:val="00740E52"/>
    <w:rsid w:val="00741556"/>
    <w:rsid w:val="00741C67"/>
    <w:rsid w:val="0074426F"/>
    <w:rsid w:val="0074529F"/>
    <w:rsid w:val="0074536C"/>
    <w:rsid w:val="007479B5"/>
    <w:rsid w:val="00752379"/>
    <w:rsid w:val="0075287F"/>
    <w:rsid w:val="00752A04"/>
    <w:rsid w:val="0075302A"/>
    <w:rsid w:val="00753D87"/>
    <w:rsid w:val="00754720"/>
    <w:rsid w:val="00756FF5"/>
    <w:rsid w:val="00760861"/>
    <w:rsid w:val="007623B4"/>
    <w:rsid w:val="007635A2"/>
    <w:rsid w:val="00763E64"/>
    <w:rsid w:val="00767CEC"/>
    <w:rsid w:val="00770B0C"/>
    <w:rsid w:val="007738D6"/>
    <w:rsid w:val="00774171"/>
    <w:rsid w:val="007743B2"/>
    <w:rsid w:val="0077497C"/>
    <w:rsid w:val="00775B93"/>
    <w:rsid w:val="00776714"/>
    <w:rsid w:val="00776771"/>
    <w:rsid w:val="0077722F"/>
    <w:rsid w:val="00777D51"/>
    <w:rsid w:val="007808D3"/>
    <w:rsid w:val="007814AA"/>
    <w:rsid w:val="00781587"/>
    <w:rsid w:val="00781677"/>
    <w:rsid w:val="00781ACA"/>
    <w:rsid w:val="007820F0"/>
    <w:rsid w:val="00783DDF"/>
    <w:rsid w:val="00786222"/>
    <w:rsid w:val="007875BB"/>
    <w:rsid w:val="00791F07"/>
    <w:rsid w:val="00792E24"/>
    <w:rsid w:val="00792EB9"/>
    <w:rsid w:val="00797D75"/>
    <w:rsid w:val="007A18C0"/>
    <w:rsid w:val="007A3ECA"/>
    <w:rsid w:val="007A5621"/>
    <w:rsid w:val="007A572B"/>
    <w:rsid w:val="007A6CDC"/>
    <w:rsid w:val="007A7A9B"/>
    <w:rsid w:val="007A7F50"/>
    <w:rsid w:val="007B02CC"/>
    <w:rsid w:val="007B0316"/>
    <w:rsid w:val="007B1B60"/>
    <w:rsid w:val="007B4F20"/>
    <w:rsid w:val="007B5FF6"/>
    <w:rsid w:val="007C1238"/>
    <w:rsid w:val="007C20ED"/>
    <w:rsid w:val="007C250E"/>
    <w:rsid w:val="007C4C9F"/>
    <w:rsid w:val="007C77B4"/>
    <w:rsid w:val="007C78BD"/>
    <w:rsid w:val="007C7A41"/>
    <w:rsid w:val="007D1212"/>
    <w:rsid w:val="007D15E7"/>
    <w:rsid w:val="007D1833"/>
    <w:rsid w:val="007D19E4"/>
    <w:rsid w:val="007D1FE3"/>
    <w:rsid w:val="007D35DD"/>
    <w:rsid w:val="007D38D4"/>
    <w:rsid w:val="007D4D13"/>
    <w:rsid w:val="007D4FA0"/>
    <w:rsid w:val="007D693A"/>
    <w:rsid w:val="007E00C5"/>
    <w:rsid w:val="007E1B16"/>
    <w:rsid w:val="007E2C5E"/>
    <w:rsid w:val="007E40DF"/>
    <w:rsid w:val="007E419A"/>
    <w:rsid w:val="007E5AB8"/>
    <w:rsid w:val="007E65E0"/>
    <w:rsid w:val="007E6947"/>
    <w:rsid w:val="007E7D7D"/>
    <w:rsid w:val="007F0D26"/>
    <w:rsid w:val="007F0FEC"/>
    <w:rsid w:val="007F22EF"/>
    <w:rsid w:val="007F2C74"/>
    <w:rsid w:val="007F2D2C"/>
    <w:rsid w:val="007F6A28"/>
    <w:rsid w:val="007F7AF7"/>
    <w:rsid w:val="007F7F20"/>
    <w:rsid w:val="007F7F3A"/>
    <w:rsid w:val="0080020F"/>
    <w:rsid w:val="008022B8"/>
    <w:rsid w:val="00804521"/>
    <w:rsid w:val="008047D0"/>
    <w:rsid w:val="00806424"/>
    <w:rsid w:val="00807AAE"/>
    <w:rsid w:val="00807C42"/>
    <w:rsid w:val="00807F1D"/>
    <w:rsid w:val="0081028E"/>
    <w:rsid w:val="00811B9F"/>
    <w:rsid w:val="00811D1E"/>
    <w:rsid w:val="0081245E"/>
    <w:rsid w:val="00813771"/>
    <w:rsid w:val="008138FD"/>
    <w:rsid w:val="00814E84"/>
    <w:rsid w:val="00815869"/>
    <w:rsid w:val="008170E4"/>
    <w:rsid w:val="0082128D"/>
    <w:rsid w:val="008265FC"/>
    <w:rsid w:val="008266A9"/>
    <w:rsid w:val="008303C7"/>
    <w:rsid w:val="00832F5A"/>
    <w:rsid w:val="008333DA"/>
    <w:rsid w:val="008354BD"/>
    <w:rsid w:val="008362F5"/>
    <w:rsid w:val="0083684F"/>
    <w:rsid w:val="00844138"/>
    <w:rsid w:val="00844E3F"/>
    <w:rsid w:val="0084514C"/>
    <w:rsid w:val="00845B87"/>
    <w:rsid w:val="00850BEB"/>
    <w:rsid w:val="008510DE"/>
    <w:rsid w:val="0085254B"/>
    <w:rsid w:val="00852BF7"/>
    <w:rsid w:val="008539EC"/>
    <w:rsid w:val="00855129"/>
    <w:rsid w:val="00856920"/>
    <w:rsid w:val="008579F8"/>
    <w:rsid w:val="008615D6"/>
    <w:rsid w:val="008617E2"/>
    <w:rsid w:val="00863730"/>
    <w:rsid w:val="00863A5E"/>
    <w:rsid w:val="008656B5"/>
    <w:rsid w:val="00865A61"/>
    <w:rsid w:val="008661D6"/>
    <w:rsid w:val="00866BCF"/>
    <w:rsid w:val="00867421"/>
    <w:rsid w:val="008705E4"/>
    <w:rsid w:val="00870D64"/>
    <w:rsid w:val="00874286"/>
    <w:rsid w:val="00875C6F"/>
    <w:rsid w:val="00876159"/>
    <w:rsid w:val="0087669A"/>
    <w:rsid w:val="00882466"/>
    <w:rsid w:val="00884438"/>
    <w:rsid w:val="0088589A"/>
    <w:rsid w:val="00885C7B"/>
    <w:rsid w:val="00890E57"/>
    <w:rsid w:val="00890FF8"/>
    <w:rsid w:val="0089389A"/>
    <w:rsid w:val="00894801"/>
    <w:rsid w:val="00894AC7"/>
    <w:rsid w:val="008A1606"/>
    <w:rsid w:val="008A220A"/>
    <w:rsid w:val="008A2ACA"/>
    <w:rsid w:val="008A30B2"/>
    <w:rsid w:val="008A3503"/>
    <w:rsid w:val="008A3749"/>
    <w:rsid w:val="008A61EF"/>
    <w:rsid w:val="008A75E8"/>
    <w:rsid w:val="008B1022"/>
    <w:rsid w:val="008B361E"/>
    <w:rsid w:val="008B4227"/>
    <w:rsid w:val="008B5090"/>
    <w:rsid w:val="008B5337"/>
    <w:rsid w:val="008B61D9"/>
    <w:rsid w:val="008B6266"/>
    <w:rsid w:val="008B7583"/>
    <w:rsid w:val="008B7BB0"/>
    <w:rsid w:val="008C27B5"/>
    <w:rsid w:val="008C2924"/>
    <w:rsid w:val="008C7396"/>
    <w:rsid w:val="008C7D1B"/>
    <w:rsid w:val="008D042F"/>
    <w:rsid w:val="008D080D"/>
    <w:rsid w:val="008D10FC"/>
    <w:rsid w:val="008D1727"/>
    <w:rsid w:val="008D1A96"/>
    <w:rsid w:val="008D2603"/>
    <w:rsid w:val="008D2617"/>
    <w:rsid w:val="008D269E"/>
    <w:rsid w:val="008D2842"/>
    <w:rsid w:val="008D2EC3"/>
    <w:rsid w:val="008D338D"/>
    <w:rsid w:val="008D479C"/>
    <w:rsid w:val="008D580E"/>
    <w:rsid w:val="008D6A6E"/>
    <w:rsid w:val="008D6F79"/>
    <w:rsid w:val="008E0832"/>
    <w:rsid w:val="008E0FB6"/>
    <w:rsid w:val="008E153A"/>
    <w:rsid w:val="008E2D15"/>
    <w:rsid w:val="008E5C4E"/>
    <w:rsid w:val="008E5D79"/>
    <w:rsid w:val="008E60B0"/>
    <w:rsid w:val="008E6944"/>
    <w:rsid w:val="008F1498"/>
    <w:rsid w:val="008F235D"/>
    <w:rsid w:val="008F2721"/>
    <w:rsid w:val="008F2C67"/>
    <w:rsid w:val="008F5F9E"/>
    <w:rsid w:val="00900E7C"/>
    <w:rsid w:val="00901B27"/>
    <w:rsid w:val="0090265A"/>
    <w:rsid w:val="0090424D"/>
    <w:rsid w:val="009049AE"/>
    <w:rsid w:val="009052B2"/>
    <w:rsid w:val="00905698"/>
    <w:rsid w:val="00905F0C"/>
    <w:rsid w:val="00906903"/>
    <w:rsid w:val="00907AD4"/>
    <w:rsid w:val="009116E6"/>
    <w:rsid w:val="00911C05"/>
    <w:rsid w:val="00912C23"/>
    <w:rsid w:val="00912C2F"/>
    <w:rsid w:val="00912C31"/>
    <w:rsid w:val="00912D2D"/>
    <w:rsid w:val="00913044"/>
    <w:rsid w:val="0091356B"/>
    <w:rsid w:val="00914070"/>
    <w:rsid w:val="009149DE"/>
    <w:rsid w:val="00915251"/>
    <w:rsid w:val="00916208"/>
    <w:rsid w:val="00917146"/>
    <w:rsid w:val="00922353"/>
    <w:rsid w:val="009224AB"/>
    <w:rsid w:val="009225F8"/>
    <w:rsid w:val="00923EBB"/>
    <w:rsid w:val="0092412A"/>
    <w:rsid w:val="009262DB"/>
    <w:rsid w:val="00930658"/>
    <w:rsid w:val="00930802"/>
    <w:rsid w:val="009319F2"/>
    <w:rsid w:val="00932CD7"/>
    <w:rsid w:val="00933C7A"/>
    <w:rsid w:val="00934A96"/>
    <w:rsid w:val="00935966"/>
    <w:rsid w:val="00935CF5"/>
    <w:rsid w:val="00935E4E"/>
    <w:rsid w:val="009361BB"/>
    <w:rsid w:val="009364C8"/>
    <w:rsid w:val="00944DF7"/>
    <w:rsid w:val="0095047B"/>
    <w:rsid w:val="0095085A"/>
    <w:rsid w:val="00952728"/>
    <w:rsid w:val="00952B9D"/>
    <w:rsid w:val="0095378B"/>
    <w:rsid w:val="00953B01"/>
    <w:rsid w:val="00953F57"/>
    <w:rsid w:val="00955362"/>
    <w:rsid w:val="009568A7"/>
    <w:rsid w:val="009607B9"/>
    <w:rsid w:val="009622D4"/>
    <w:rsid w:val="00963A31"/>
    <w:rsid w:val="00964910"/>
    <w:rsid w:val="00966565"/>
    <w:rsid w:val="00967ABA"/>
    <w:rsid w:val="00971542"/>
    <w:rsid w:val="009722EB"/>
    <w:rsid w:val="00973CD8"/>
    <w:rsid w:val="009748AA"/>
    <w:rsid w:val="009767FD"/>
    <w:rsid w:val="00977D46"/>
    <w:rsid w:val="00980303"/>
    <w:rsid w:val="009825DF"/>
    <w:rsid w:val="0098275A"/>
    <w:rsid w:val="009829D4"/>
    <w:rsid w:val="0098333F"/>
    <w:rsid w:val="009865E1"/>
    <w:rsid w:val="00987FF8"/>
    <w:rsid w:val="009917CD"/>
    <w:rsid w:val="009918F6"/>
    <w:rsid w:val="00991C1D"/>
    <w:rsid w:val="009921E7"/>
    <w:rsid w:val="009922A3"/>
    <w:rsid w:val="00992EB2"/>
    <w:rsid w:val="00993E1E"/>
    <w:rsid w:val="009957A2"/>
    <w:rsid w:val="009A037D"/>
    <w:rsid w:val="009A05B2"/>
    <w:rsid w:val="009A1B06"/>
    <w:rsid w:val="009A1BBD"/>
    <w:rsid w:val="009A2044"/>
    <w:rsid w:val="009A2561"/>
    <w:rsid w:val="009A28F8"/>
    <w:rsid w:val="009A371E"/>
    <w:rsid w:val="009A41F5"/>
    <w:rsid w:val="009A522D"/>
    <w:rsid w:val="009A56B8"/>
    <w:rsid w:val="009A580C"/>
    <w:rsid w:val="009A725B"/>
    <w:rsid w:val="009B02E9"/>
    <w:rsid w:val="009B1DA9"/>
    <w:rsid w:val="009B2A03"/>
    <w:rsid w:val="009B3F17"/>
    <w:rsid w:val="009B79A4"/>
    <w:rsid w:val="009C2681"/>
    <w:rsid w:val="009C2D7A"/>
    <w:rsid w:val="009C363E"/>
    <w:rsid w:val="009C3B77"/>
    <w:rsid w:val="009C545F"/>
    <w:rsid w:val="009C5B02"/>
    <w:rsid w:val="009C62B5"/>
    <w:rsid w:val="009C6B88"/>
    <w:rsid w:val="009D0B77"/>
    <w:rsid w:val="009D282B"/>
    <w:rsid w:val="009D3C42"/>
    <w:rsid w:val="009D43FD"/>
    <w:rsid w:val="009D4629"/>
    <w:rsid w:val="009D4B03"/>
    <w:rsid w:val="009D57AE"/>
    <w:rsid w:val="009D5EF6"/>
    <w:rsid w:val="009D5F88"/>
    <w:rsid w:val="009D5FB6"/>
    <w:rsid w:val="009D729F"/>
    <w:rsid w:val="009D72D2"/>
    <w:rsid w:val="009E0421"/>
    <w:rsid w:val="009E0C00"/>
    <w:rsid w:val="009E12C2"/>
    <w:rsid w:val="009E2AD9"/>
    <w:rsid w:val="009E3788"/>
    <w:rsid w:val="009E3915"/>
    <w:rsid w:val="009E73E9"/>
    <w:rsid w:val="009E7976"/>
    <w:rsid w:val="009F0F34"/>
    <w:rsid w:val="009F252A"/>
    <w:rsid w:val="009F27F2"/>
    <w:rsid w:val="009F2A35"/>
    <w:rsid w:val="009F4146"/>
    <w:rsid w:val="009F4390"/>
    <w:rsid w:val="009F4A00"/>
    <w:rsid w:val="009F5EBE"/>
    <w:rsid w:val="00A003D9"/>
    <w:rsid w:val="00A007F3"/>
    <w:rsid w:val="00A01DB8"/>
    <w:rsid w:val="00A03208"/>
    <w:rsid w:val="00A058F9"/>
    <w:rsid w:val="00A05B22"/>
    <w:rsid w:val="00A06587"/>
    <w:rsid w:val="00A06DED"/>
    <w:rsid w:val="00A070C3"/>
    <w:rsid w:val="00A07E9D"/>
    <w:rsid w:val="00A107B0"/>
    <w:rsid w:val="00A11938"/>
    <w:rsid w:val="00A12E90"/>
    <w:rsid w:val="00A132DA"/>
    <w:rsid w:val="00A14925"/>
    <w:rsid w:val="00A153FD"/>
    <w:rsid w:val="00A17967"/>
    <w:rsid w:val="00A20A56"/>
    <w:rsid w:val="00A22247"/>
    <w:rsid w:val="00A233D4"/>
    <w:rsid w:val="00A23724"/>
    <w:rsid w:val="00A248F5"/>
    <w:rsid w:val="00A24CED"/>
    <w:rsid w:val="00A24F40"/>
    <w:rsid w:val="00A257E2"/>
    <w:rsid w:val="00A2789E"/>
    <w:rsid w:val="00A34470"/>
    <w:rsid w:val="00A346B5"/>
    <w:rsid w:val="00A3609C"/>
    <w:rsid w:val="00A362E6"/>
    <w:rsid w:val="00A4146D"/>
    <w:rsid w:val="00A41916"/>
    <w:rsid w:val="00A4313F"/>
    <w:rsid w:val="00A431BB"/>
    <w:rsid w:val="00A436AE"/>
    <w:rsid w:val="00A450F5"/>
    <w:rsid w:val="00A45D4C"/>
    <w:rsid w:val="00A479D2"/>
    <w:rsid w:val="00A51FC8"/>
    <w:rsid w:val="00A53BF1"/>
    <w:rsid w:val="00A54343"/>
    <w:rsid w:val="00A56A44"/>
    <w:rsid w:val="00A573F5"/>
    <w:rsid w:val="00A578A8"/>
    <w:rsid w:val="00A579AD"/>
    <w:rsid w:val="00A57E97"/>
    <w:rsid w:val="00A61210"/>
    <w:rsid w:val="00A61E93"/>
    <w:rsid w:val="00A6344D"/>
    <w:rsid w:val="00A63DCC"/>
    <w:rsid w:val="00A641AA"/>
    <w:rsid w:val="00A65345"/>
    <w:rsid w:val="00A655D5"/>
    <w:rsid w:val="00A658D5"/>
    <w:rsid w:val="00A66A2B"/>
    <w:rsid w:val="00A66EE7"/>
    <w:rsid w:val="00A71F91"/>
    <w:rsid w:val="00A72D53"/>
    <w:rsid w:val="00A730DD"/>
    <w:rsid w:val="00A73187"/>
    <w:rsid w:val="00A74C62"/>
    <w:rsid w:val="00A74D13"/>
    <w:rsid w:val="00A76A65"/>
    <w:rsid w:val="00A800A1"/>
    <w:rsid w:val="00A80123"/>
    <w:rsid w:val="00A80F89"/>
    <w:rsid w:val="00A80FD9"/>
    <w:rsid w:val="00A832A5"/>
    <w:rsid w:val="00A83B5C"/>
    <w:rsid w:val="00A84744"/>
    <w:rsid w:val="00A85F5C"/>
    <w:rsid w:val="00A86BA9"/>
    <w:rsid w:val="00A87023"/>
    <w:rsid w:val="00A87F98"/>
    <w:rsid w:val="00A90FB1"/>
    <w:rsid w:val="00A91EAA"/>
    <w:rsid w:val="00A93AFC"/>
    <w:rsid w:val="00A94912"/>
    <w:rsid w:val="00A956A8"/>
    <w:rsid w:val="00A975BC"/>
    <w:rsid w:val="00AA046D"/>
    <w:rsid w:val="00AA1A9A"/>
    <w:rsid w:val="00AA2905"/>
    <w:rsid w:val="00AA2A75"/>
    <w:rsid w:val="00AA34BE"/>
    <w:rsid w:val="00AA48B5"/>
    <w:rsid w:val="00AA4CE7"/>
    <w:rsid w:val="00AA5D3C"/>
    <w:rsid w:val="00AA62C8"/>
    <w:rsid w:val="00AB09BB"/>
    <w:rsid w:val="00AB1FBB"/>
    <w:rsid w:val="00AB2B0D"/>
    <w:rsid w:val="00AB2DDD"/>
    <w:rsid w:val="00AB2F41"/>
    <w:rsid w:val="00AB37BB"/>
    <w:rsid w:val="00AB4A01"/>
    <w:rsid w:val="00AB4B06"/>
    <w:rsid w:val="00AB54B5"/>
    <w:rsid w:val="00AB56BA"/>
    <w:rsid w:val="00AB65DF"/>
    <w:rsid w:val="00AB66E7"/>
    <w:rsid w:val="00AB7DC3"/>
    <w:rsid w:val="00AB7FE9"/>
    <w:rsid w:val="00AC0B7F"/>
    <w:rsid w:val="00AC1982"/>
    <w:rsid w:val="00AC213B"/>
    <w:rsid w:val="00AC2167"/>
    <w:rsid w:val="00AC2916"/>
    <w:rsid w:val="00AC31AC"/>
    <w:rsid w:val="00AC469E"/>
    <w:rsid w:val="00AC4989"/>
    <w:rsid w:val="00AC5385"/>
    <w:rsid w:val="00AC5922"/>
    <w:rsid w:val="00AC6E58"/>
    <w:rsid w:val="00AC797D"/>
    <w:rsid w:val="00AD0C8F"/>
    <w:rsid w:val="00AD135E"/>
    <w:rsid w:val="00AD176A"/>
    <w:rsid w:val="00AD3332"/>
    <w:rsid w:val="00AD345B"/>
    <w:rsid w:val="00AD4E21"/>
    <w:rsid w:val="00AD76B4"/>
    <w:rsid w:val="00AE0BC6"/>
    <w:rsid w:val="00AE3508"/>
    <w:rsid w:val="00AE4C2E"/>
    <w:rsid w:val="00AE5582"/>
    <w:rsid w:val="00AE59D9"/>
    <w:rsid w:val="00AE6037"/>
    <w:rsid w:val="00AE7067"/>
    <w:rsid w:val="00AF046F"/>
    <w:rsid w:val="00AF2508"/>
    <w:rsid w:val="00AF2A1B"/>
    <w:rsid w:val="00AF4A06"/>
    <w:rsid w:val="00B01916"/>
    <w:rsid w:val="00B07572"/>
    <w:rsid w:val="00B1073B"/>
    <w:rsid w:val="00B13E9F"/>
    <w:rsid w:val="00B1431F"/>
    <w:rsid w:val="00B14970"/>
    <w:rsid w:val="00B14E58"/>
    <w:rsid w:val="00B150EF"/>
    <w:rsid w:val="00B155A7"/>
    <w:rsid w:val="00B1565C"/>
    <w:rsid w:val="00B16487"/>
    <w:rsid w:val="00B166EC"/>
    <w:rsid w:val="00B20E9B"/>
    <w:rsid w:val="00B214F5"/>
    <w:rsid w:val="00B21A66"/>
    <w:rsid w:val="00B23B31"/>
    <w:rsid w:val="00B250DE"/>
    <w:rsid w:val="00B2646E"/>
    <w:rsid w:val="00B27542"/>
    <w:rsid w:val="00B279EE"/>
    <w:rsid w:val="00B3008D"/>
    <w:rsid w:val="00B30F0F"/>
    <w:rsid w:val="00B324D7"/>
    <w:rsid w:val="00B331D1"/>
    <w:rsid w:val="00B3416F"/>
    <w:rsid w:val="00B34924"/>
    <w:rsid w:val="00B367E5"/>
    <w:rsid w:val="00B37312"/>
    <w:rsid w:val="00B416D7"/>
    <w:rsid w:val="00B41926"/>
    <w:rsid w:val="00B41F68"/>
    <w:rsid w:val="00B43CC4"/>
    <w:rsid w:val="00B451A6"/>
    <w:rsid w:val="00B45524"/>
    <w:rsid w:val="00B46603"/>
    <w:rsid w:val="00B4672C"/>
    <w:rsid w:val="00B5163D"/>
    <w:rsid w:val="00B5330B"/>
    <w:rsid w:val="00B54538"/>
    <w:rsid w:val="00B54E7C"/>
    <w:rsid w:val="00B56077"/>
    <w:rsid w:val="00B56200"/>
    <w:rsid w:val="00B5761D"/>
    <w:rsid w:val="00B57C7C"/>
    <w:rsid w:val="00B60FCF"/>
    <w:rsid w:val="00B61176"/>
    <w:rsid w:val="00B617F9"/>
    <w:rsid w:val="00B6505A"/>
    <w:rsid w:val="00B650E4"/>
    <w:rsid w:val="00B66C6C"/>
    <w:rsid w:val="00B6795F"/>
    <w:rsid w:val="00B7201B"/>
    <w:rsid w:val="00B72221"/>
    <w:rsid w:val="00B72DC1"/>
    <w:rsid w:val="00B7327A"/>
    <w:rsid w:val="00B747BF"/>
    <w:rsid w:val="00B767FD"/>
    <w:rsid w:val="00B769EA"/>
    <w:rsid w:val="00B80278"/>
    <w:rsid w:val="00B80552"/>
    <w:rsid w:val="00B80A18"/>
    <w:rsid w:val="00B8130E"/>
    <w:rsid w:val="00B82E6A"/>
    <w:rsid w:val="00B87DC0"/>
    <w:rsid w:val="00B90428"/>
    <w:rsid w:val="00B90C40"/>
    <w:rsid w:val="00B90FC9"/>
    <w:rsid w:val="00B92195"/>
    <w:rsid w:val="00B938BF"/>
    <w:rsid w:val="00B94C32"/>
    <w:rsid w:val="00B95F37"/>
    <w:rsid w:val="00B96809"/>
    <w:rsid w:val="00B969E3"/>
    <w:rsid w:val="00B9701B"/>
    <w:rsid w:val="00B9757B"/>
    <w:rsid w:val="00B9767B"/>
    <w:rsid w:val="00BA2028"/>
    <w:rsid w:val="00BA3BA2"/>
    <w:rsid w:val="00BB1209"/>
    <w:rsid w:val="00BB1562"/>
    <w:rsid w:val="00BB35FE"/>
    <w:rsid w:val="00BB3A02"/>
    <w:rsid w:val="00BB54F3"/>
    <w:rsid w:val="00BB5F9C"/>
    <w:rsid w:val="00BB6400"/>
    <w:rsid w:val="00BB666C"/>
    <w:rsid w:val="00BB69C4"/>
    <w:rsid w:val="00BC0F29"/>
    <w:rsid w:val="00BC5733"/>
    <w:rsid w:val="00BC78D6"/>
    <w:rsid w:val="00BD18AA"/>
    <w:rsid w:val="00BD31A4"/>
    <w:rsid w:val="00BD4E48"/>
    <w:rsid w:val="00BD6288"/>
    <w:rsid w:val="00BE1973"/>
    <w:rsid w:val="00BE48E6"/>
    <w:rsid w:val="00BE4DC6"/>
    <w:rsid w:val="00BE4F93"/>
    <w:rsid w:val="00BE6BB5"/>
    <w:rsid w:val="00BF0F56"/>
    <w:rsid w:val="00BF15BC"/>
    <w:rsid w:val="00BF2054"/>
    <w:rsid w:val="00BF229E"/>
    <w:rsid w:val="00BF2480"/>
    <w:rsid w:val="00BF3292"/>
    <w:rsid w:val="00BF4283"/>
    <w:rsid w:val="00BF472C"/>
    <w:rsid w:val="00BF4C00"/>
    <w:rsid w:val="00BF5AC7"/>
    <w:rsid w:val="00BF68CF"/>
    <w:rsid w:val="00BF7780"/>
    <w:rsid w:val="00C00FFC"/>
    <w:rsid w:val="00C03137"/>
    <w:rsid w:val="00C059C9"/>
    <w:rsid w:val="00C05A7E"/>
    <w:rsid w:val="00C10E84"/>
    <w:rsid w:val="00C114F9"/>
    <w:rsid w:val="00C11C7D"/>
    <w:rsid w:val="00C11EF6"/>
    <w:rsid w:val="00C16DC7"/>
    <w:rsid w:val="00C16E42"/>
    <w:rsid w:val="00C206DA"/>
    <w:rsid w:val="00C20911"/>
    <w:rsid w:val="00C20D02"/>
    <w:rsid w:val="00C20E23"/>
    <w:rsid w:val="00C21E53"/>
    <w:rsid w:val="00C21F1D"/>
    <w:rsid w:val="00C252CA"/>
    <w:rsid w:val="00C31AB2"/>
    <w:rsid w:val="00C35A50"/>
    <w:rsid w:val="00C35D2F"/>
    <w:rsid w:val="00C36669"/>
    <w:rsid w:val="00C37692"/>
    <w:rsid w:val="00C42152"/>
    <w:rsid w:val="00C42301"/>
    <w:rsid w:val="00C43293"/>
    <w:rsid w:val="00C44D5B"/>
    <w:rsid w:val="00C456C9"/>
    <w:rsid w:val="00C47292"/>
    <w:rsid w:val="00C47E59"/>
    <w:rsid w:val="00C526BF"/>
    <w:rsid w:val="00C54328"/>
    <w:rsid w:val="00C546D2"/>
    <w:rsid w:val="00C552D4"/>
    <w:rsid w:val="00C5792D"/>
    <w:rsid w:val="00C61BE7"/>
    <w:rsid w:val="00C63273"/>
    <w:rsid w:val="00C636F0"/>
    <w:rsid w:val="00C639FE"/>
    <w:rsid w:val="00C673EF"/>
    <w:rsid w:val="00C6791D"/>
    <w:rsid w:val="00C71DD0"/>
    <w:rsid w:val="00C7614E"/>
    <w:rsid w:val="00C76FFE"/>
    <w:rsid w:val="00C77FAC"/>
    <w:rsid w:val="00C80861"/>
    <w:rsid w:val="00C80B0E"/>
    <w:rsid w:val="00C839E0"/>
    <w:rsid w:val="00C8416B"/>
    <w:rsid w:val="00C84C42"/>
    <w:rsid w:val="00C84D11"/>
    <w:rsid w:val="00C85F34"/>
    <w:rsid w:val="00C865F7"/>
    <w:rsid w:val="00C87A2F"/>
    <w:rsid w:val="00C87B68"/>
    <w:rsid w:val="00C90F2A"/>
    <w:rsid w:val="00C91646"/>
    <w:rsid w:val="00C91CC9"/>
    <w:rsid w:val="00C93976"/>
    <w:rsid w:val="00C93C0C"/>
    <w:rsid w:val="00C93EC5"/>
    <w:rsid w:val="00C945A7"/>
    <w:rsid w:val="00C97E61"/>
    <w:rsid w:val="00CA0C3B"/>
    <w:rsid w:val="00CA0E7A"/>
    <w:rsid w:val="00CA13FE"/>
    <w:rsid w:val="00CA20D1"/>
    <w:rsid w:val="00CA2515"/>
    <w:rsid w:val="00CA2866"/>
    <w:rsid w:val="00CA46CA"/>
    <w:rsid w:val="00CA6A38"/>
    <w:rsid w:val="00CB13F0"/>
    <w:rsid w:val="00CB2098"/>
    <w:rsid w:val="00CB20F7"/>
    <w:rsid w:val="00CB2893"/>
    <w:rsid w:val="00CB2BCA"/>
    <w:rsid w:val="00CB54A1"/>
    <w:rsid w:val="00CB55D2"/>
    <w:rsid w:val="00CB5E68"/>
    <w:rsid w:val="00CB60B0"/>
    <w:rsid w:val="00CB6E22"/>
    <w:rsid w:val="00CB72DE"/>
    <w:rsid w:val="00CC187B"/>
    <w:rsid w:val="00CC3CC6"/>
    <w:rsid w:val="00CC3D8D"/>
    <w:rsid w:val="00CC578F"/>
    <w:rsid w:val="00CC69A4"/>
    <w:rsid w:val="00CC7627"/>
    <w:rsid w:val="00CC779A"/>
    <w:rsid w:val="00CC7D9E"/>
    <w:rsid w:val="00CD3CEF"/>
    <w:rsid w:val="00CD5FB5"/>
    <w:rsid w:val="00CD6E62"/>
    <w:rsid w:val="00CD71A7"/>
    <w:rsid w:val="00CD762C"/>
    <w:rsid w:val="00CE03AA"/>
    <w:rsid w:val="00CE04B0"/>
    <w:rsid w:val="00CE25E5"/>
    <w:rsid w:val="00CE3482"/>
    <w:rsid w:val="00CE3889"/>
    <w:rsid w:val="00CE6F3C"/>
    <w:rsid w:val="00CF0396"/>
    <w:rsid w:val="00CF0601"/>
    <w:rsid w:val="00CF1A9C"/>
    <w:rsid w:val="00CF4D98"/>
    <w:rsid w:val="00CF5375"/>
    <w:rsid w:val="00CF5A1C"/>
    <w:rsid w:val="00CF63F8"/>
    <w:rsid w:val="00CF6891"/>
    <w:rsid w:val="00D008AA"/>
    <w:rsid w:val="00D0151E"/>
    <w:rsid w:val="00D02825"/>
    <w:rsid w:val="00D0361D"/>
    <w:rsid w:val="00D0397E"/>
    <w:rsid w:val="00D03BCB"/>
    <w:rsid w:val="00D03C4F"/>
    <w:rsid w:val="00D05C20"/>
    <w:rsid w:val="00D1592E"/>
    <w:rsid w:val="00D16E0C"/>
    <w:rsid w:val="00D21AF8"/>
    <w:rsid w:val="00D22C3F"/>
    <w:rsid w:val="00D23683"/>
    <w:rsid w:val="00D25E7A"/>
    <w:rsid w:val="00D260E7"/>
    <w:rsid w:val="00D2614D"/>
    <w:rsid w:val="00D27D00"/>
    <w:rsid w:val="00D27DC0"/>
    <w:rsid w:val="00D3013A"/>
    <w:rsid w:val="00D31779"/>
    <w:rsid w:val="00D319D8"/>
    <w:rsid w:val="00D34898"/>
    <w:rsid w:val="00D35975"/>
    <w:rsid w:val="00D363BF"/>
    <w:rsid w:val="00D371AC"/>
    <w:rsid w:val="00D371F4"/>
    <w:rsid w:val="00D373A8"/>
    <w:rsid w:val="00D40ADF"/>
    <w:rsid w:val="00D4265A"/>
    <w:rsid w:val="00D42B07"/>
    <w:rsid w:val="00D44445"/>
    <w:rsid w:val="00D44960"/>
    <w:rsid w:val="00D44A19"/>
    <w:rsid w:val="00D44F2C"/>
    <w:rsid w:val="00D45818"/>
    <w:rsid w:val="00D46046"/>
    <w:rsid w:val="00D5013F"/>
    <w:rsid w:val="00D5016E"/>
    <w:rsid w:val="00D50EE4"/>
    <w:rsid w:val="00D53517"/>
    <w:rsid w:val="00D5389B"/>
    <w:rsid w:val="00D53B32"/>
    <w:rsid w:val="00D5464B"/>
    <w:rsid w:val="00D60CB2"/>
    <w:rsid w:val="00D61A73"/>
    <w:rsid w:val="00D65AB5"/>
    <w:rsid w:val="00D65AED"/>
    <w:rsid w:val="00D7023C"/>
    <w:rsid w:val="00D712DC"/>
    <w:rsid w:val="00D71776"/>
    <w:rsid w:val="00D72103"/>
    <w:rsid w:val="00D72712"/>
    <w:rsid w:val="00D73C88"/>
    <w:rsid w:val="00D74D57"/>
    <w:rsid w:val="00D77F29"/>
    <w:rsid w:val="00D8046F"/>
    <w:rsid w:val="00D80661"/>
    <w:rsid w:val="00D8181B"/>
    <w:rsid w:val="00D84874"/>
    <w:rsid w:val="00D84EB0"/>
    <w:rsid w:val="00D85BF1"/>
    <w:rsid w:val="00D8602C"/>
    <w:rsid w:val="00D86123"/>
    <w:rsid w:val="00D87299"/>
    <w:rsid w:val="00D920B5"/>
    <w:rsid w:val="00D92358"/>
    <w:rsid w:val="00D962FE"/>
    <w:rsid w:val="00D964EB"/>
    <w:rsid w:val="00D96603"/>
    <w:rsid w:val="00DA42B0"/>
    <w:rsid w:val="00DA4831"/>
    <w:rsid w:val="00DA5A67"/>
    <w:rsid w:val="00DA5C45"/>
    <w:rsid w:val="00DA5C46"/>
    <w:rsid w:val="00DA6037"/>
    <w:rsid w:val="00DA658E"/>
    <w:rsid w:val="00DA6770"/>
    <w:rsid w:val="00DB0C0C"/>
    <w:rsid w:val="00DB0DC9"/>
    <w:rsid w:val="00DB2E0B"/>
    <w:rsid w:val="00DB50D9"/>
    <w:rsid w:val="00DB605F"/>
    <w:rsid w:val="00DB6368"/>
    <w:rsid w:val="00DB6779"/>
    <w:rsid w:val="00DB7C7A"/>
    <w:rsid w:val="00DC0614"/>
    <w:rsid w:val="00DC0FA7"/>
    <w:rsid w:val="00DC2C81"/>
    <w:rsid w:val="00DC5F97"/>
    <w:rsid w:val="00DC64FB"/>
    <w:rsid w:val="00DC6A47"/>
    <w:rsid w:val="00DC6A4F"/>
    <w:rsid w:val="00DC6BBF"/>
    <w:rsid w:val="00DC7C37"/>
    <w:rsid w:val="00DD1B42"/>
    <w:rsid w:val="00DD2B39"/>
    <w:rsid w:val="00DD35DF"/>
    <w:rsid w:val="00DD374D"/>
    <w:rsid w:val="00DD4EC6"/>
    <w:rsid w:val="00DD5BEE"/>
    <w:rsid w:val="00DD6D22"/>
    <w:rsid w:val="00DD709B"/>
    <w:rsid w:val="00DD7B6D"/>
    <w:rsid w:val="00DE04B9"/>
    <w:rsid w:val="00DE3DD9"/>
    <w:rsid w:val="00DE5593"/>
    <w:rsid w:val="00DE6B17"/>
    <w:rsid w:val="00DF0683"/>
    <w:rsid w:val="00DF0833"/>
    <w:rsid w:val="00DF1948"/>
    <w:rsid w:val="00DF2106"/>
    <w:rsid w:val="00DF3CE8"/>
    <w:rsid w:val="00DF5FE9"/>
    <w:rsid w:val="00DF7875"/>
    <w:rsid w:val="00DF7C3E"/>
    <w:rsid w:val="00E00CF0"/>
    <w:rsid w:val="00E012E4"/>
    <w:rsid w:val="00E11611"/>
    <w:rsid w:val="00E11805"/>
    <w:rsid w:val="00E131DC"/>
    <w:rsid w:val="00E13470"/>
    <w:rsid w:val="00E14069"/>
    <w:rsid w:val="00E14FEA"/>
    <w:rsid w:val="00E15015"/>
    <w:rsid w:val="00E158FA"/>
    <w:rsid w:val="00E15BD2"/>
    <w:rsid w:val="00E1762F"/>
    <w:rsid w:val="00E17C88"/>
    <w:rsid w:val="00E20041"/>
    <w:rsid w:val="00E2012B"/>
    <w:rsid w:val="00E233B4"/>
    <w:rsid w:val="00E24826"/>
    <w:rsid w:val="00E252AE"/>
    <w:rsid w:val="00E27CDA"/>
    <w:rsid w:val="00E32ACC"/>
    <w:rsid w:val="00E32DC4"/>
    <w:rsid w:val="00E33153"/>
    <w:rsid w:val="00E33589"/>
    <w:rsid w:val="00E33AD4"/>
    <w:rsid w:val="00E34070"/>
    <w:rsid w:val="00E35556"/>
    <w:rsid w:val="00E35788"/>
    <w:rsid w:val="00E35FD2"/>
    <w:rsid w:val="00E36725"/>
    <w:rsid w:val="00E37CA0"/>
    <w:rsid w:val="00E41F2C"/>
    <w:rsid w:val="00E46A34"/>
    <w:rsid w:val="00E470AB"/>
    <w:rsid w:val="00E52022"/>
    <w:rsid w:val="00E52480"/>
    <w:rsid w:val="00E561B9"/>
    <w:rsid w:val="00E56363"/>
    <w:rsid w:val="00E6168B"/>
    <w:rsid w:val="00E64D7C"/>
    <w:rsid w:val="00E654EA"/>
    <w:rsid w:val="00E65CA7"/>
    <w:rsid w:val="00E668CC"/>
    <w:rsid w:val="00E7063A"/>
    <w:rsid w:val="00E75D00"/>
    <w:rsid w:val="00E76254"/>
    <w:rsid w:val="00E76574"/>
    <w:rsid w:val="00E76E99"/>
    <w:rsid w:val="00E77600"/>
    <w:rsid w:val="00E81E09"/>
    <w:rsid w:val="00E82E07"/>
    <w:rsid w:val="00E845E5"/>
    <w:rsid w:val="00E850E5"/>
    <w:rsid w:val="00E86BA9"/>
    <w:rsid w:val="00E86BAA"/>
    <w:rsid w:val="00E86D01"/>
    <w:rsid w:val="00E86F30"/>
    <w:rsid w:val="00E86FB4"/>
    <w:rsid w:val="00E870A5"/>
    <w:rsid w:val="00E87478"/>
    <w:rsid w:val="00E879B6"/>
    <w:rsid w:val="00E92D09"/>
    <w:rsid w:val="00E92D27"/>
    <w:rsid w:val="00E93064"/>
    <w:rsid w:val="00E930D5"/>
    <w:rsid w:val="00E94D16"/>
    <w:rsid w:val="00E97651"/>
    <w:rsid w:val="00EA20D0"/>
    <w:rsid w:val="00EA28E5"/>
    <w:rsid w:val="00EA4F0A"/>
    <w:rsid w:val="00EA5873"/>
    <w:rsid w:val="00EA61CA"/>
    <w:rsid w:val="00EB0E5B"/>
    <w:rsid w:val="00EB1375"/>
    <w:rsid w:val="00EB36EB"/>
    <w:rsid w:val="00EB45E5"/>
    <w:rsid w:val="00EB464F"/>
    <w:rsid w:val="00EB5E62"/>
    <w:rsid w:val="00EC0F52"/>
    <w:rsid w:val="00EC50C0"/>
    <w:rsid w:val="00EC63ED"/>
    <w:rsid w:val="00EC70E1"/>
    <w:rsid w:val="00EC772D"/>
    <w:rsid w:val="00EC7FC7"/>
    <w:rsid w:val="00ED077A"/>
    <w:rsid w:val="00ED1DBF"/>
    <w:rsid w:val="00ED38B8"/>
    <w:rsid w:val="00ED4FC0"/>
    <w:rsid w:val="00ED66A5"/>
    <w:rsid w:val="00EE018F"/>
    <w:rsid w:val="00EE0CE9"/>
    <w:rsid w:val="00EE2272"/>
    <w:rsid w:val="00EE36F1"/>
    <w:rsid w:val="00EE423C"/>
    <w:rsid w:val="00EE5163"/>
    <w:rsid w:val="00EE600F"/>
    <w:rsid w:val="00EE7B08"/>
    <w:rsid w:val="00EF2250"/>
    <w:rsid w:val="00EF2C60"/>
    <w:rsid w:val="00EF3396"/>
    <w:rsid w:val="00EF46CC"/>
    <w:rsid w:val="00F000F5"/>
    <w:rsid w:val="00F00447"/>
    <w:rsid w:val="00F00812"/>
    <w:rsid w:val="00F02BBA"/>
    <w:rsid w:val="00F04434"/>
    <w:rsid w:val="00F054BA"/>
    <w:rsid w:val="00F068A8"/>
    <w:rsid w:val="00F06CD1"/>
    <w:rsid w:val="00F102AC"/>
    <w:rsid w:val="00F106F6"/>
    <w:rsid w:val="00F11EF3"/>
    <w:rsid w:val="00F11FCD"/>
    <w:rsid w:val="00F12412"/>
    <w:rsid w:val="00F12BDC"/>
    <w:rsid w:val="00F136EA"/>
    <w:rsid w:val="00F15001"/>
    <w:rsid w:val="00F160FD"/>
    <w:rsid w:val="00F2260E"/>
    <w:rsid w:val="00F24A59"/>
    <w:rsid w:val="00F25C3D"/>
    <w:rsid w:val="00F27237"/>
    <w:rsid w:val="00F277A2"/>
    <w:rsid w:val="00F30BDE"/>
    <w:rsid w:val="00F32012"/>
    <w:rsid w:val="00F33E0C"/>
    <w:rsid w:val="00F33F2A"/>
    <w:rsid w:val="00F3666C"/>
    <w:rsid w:val="00F40C7F"/>
    <w:rsid w:val="00F42504"/>
    <w:rsid w:val="00F44A71"/>
    <w:rsid w:val="00F47537"/>
    <w:rsid w:val="00F47869"/>
    <w:rsid w:val="00F50EBD"/>
    <w:rsid w:val="00F50EF2"/>
    <w:rsid w:val="00F60E0C"/>
    <w:rsid w:val="00F63EDC"/>
    <w:rsid w:val="00F6497D"/>
    <w:rsid w:val="00F64C36"/>
    <w:rsid w:val="00F653F5"/>
    <w:rsid w:val="00F66EC7"/>
    <w:rsid w:val="00F70175"/>
    <w:rsid w:val="00F70FB2"/>
    <w:rsid w:val="00F71105"/>
    <w:rsid w:val="00F727C1"/>
    <w:rsid w:val="00F75127"/>
    <w:rsid w:val="00F7577A"/>
    <w:rsid w:val="00F77034"/>
    <w:rsid w:val="00F8171E"/>
    <w:rsid w:val="00F82533"/>
    <w:rsid w:val="00F83FAC"/>
    <w:rsid w:val="00F8495B"/>
    <w:rsid w:val="00F856A0"/>
    <w:rsid w:val="00F866C9"/>
    <w:rsid w:val="00F86920"/>
    <w:rsid w:val="00F87B31"/>
    <w:rsid w:val="00F905E7"/>
    <w:rsid w:val="00F9165A"/>
    <w:rsid w:val="00F91965"/>
    <w:rsid w:val="00F92E97"/>
    <w:rsid w:val="00F9575C"/>
    <w:rsid w:val="00F958EA"/>
    <w:rsid w:val="00F95FE4"/>
    <w:rsid w:val="00F97BFC"/>
    <w:rsid w:val="00FA118E"/>
    <w:rsid w:val="00FA1834"/>
    <w:rsid w:val="00FA493E"/>
    <w:rsid w:val="00FA5818"/>
    <w:rsid w:val="00FB042C"/>
    <w:rsid w:val="00FB05EA"/>
    <w:rsid w:val="00FB164B"/>
    <w:rsid w:val="00FB18A4"/>
    <w:rsid w:val="00FB1F02"/>
    <w:rsid w:val="00FB3B57"/>
    <w:rsid w:val="00FB6639"/>
    <w:rsid w:val="00FB6BD6"/>
    <w:rsid w:val="00FB6C0F"/>
    <w:rsid w:val="00FB6C57"/>
    <w:rsid w:val="00FB7121"/>
    <w:rsid w:val="00FC0FF9"/>
    <w:rsid w:val="00FC118A"/>
    <w:rsid w:val="00FC12D6"/>
    <w:rsid w:val="00FC1493"/>
    <w:rsid w:val="00FC60E0"/>
    <w:rsid w:val="00FC692F"/>
    <w:rsid w:val="00FD01F6"/>
    <w:rsid w:val="00FD238F"/>
    <w:rsid w:val="00FD245D"/>
    <w:rsid w:val="00FD4B11"/>
    <w:rsid w:val="00FD5359"/>
    <w:rsid w:val="00FD6F7D"/>
    <w:rsid w:val="00FE0F2B"/>
    <w:rsid w:val="00FE226E"/>
    <w:rsid w:val="00FE28E1"/>
    <w:rsid w:val="00FE65A5"/>
    <w:rsid w:val="00FE6B77"/>
    <w:rsid w:val="00FE7A66"/>
    <w:rsid w:val="00FF033D"/>
    <w:rsid w:val="00FF10A5"/>
    <w:rsid w:val="00FF150F"/>
    <w:rsid w:val="00FF255F"/>
    <w:rsid w:val="00FF333A"/>
    <w:rsid w:val="00FF3CF6"/>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B2893"/>
    <w:rPr>
      <w:rFonts w:ascii="Times New Roman" w:eastAsia="Times New Roman" w:hAnsi="Times New Roman"/>
      <w:sz w:val="24"/>
      <w:szCs w:val="24"/>
      <w:lang w:val="en-GB" w:eastAsia="en-US"/>
    </w:rPr>
  </w:style>
  <w:style w:type="paragraph" w:styleId="Virsraksts6">
    <w:name w:val="heading 6"/>
    <w:basedOn w:val="Parastais"/>
    <w:next w:val="Parastais"/>
    <w:link w:val="Virsraksts6Rakstz"/>
    <w:qFormat/>
    <w:rsid w:val="00CB2893"/>
    <w:pPr>
      <w:spacing w:before="240" w:after="60"/>
      <w:outlineLvl w:val="5"/>
    </w:pPr>
    <w:rPr>
      <w:b/>
      <w:bCs/>
      <w:sz w:val="22"/>
      <w:szCs w:val="22"/>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CB2893"/>
    <w:rPr>
      <w:rFonts w:ascii="Times New Roman" w:eastAsia="Times New Roman" w:hAnsi="Times New Roman" w:cs="Times New Roman"/>
      <w:b/>
      <w:bCs/>
      <w:lang w:val="en-AU" w:eastAsia="lv-LV"/>
    </w:rPr>
  </w:style>
  <w:style w:type="character" w:styleId="Izteiksmgs">
    <w:name w:val="Strong"/>
    <w:basedOn w:val="Noklusjumarindkopasfonts"/>
    <w:qFormat/>
    <w:rsid w:val="00CB2893"/>
    <w:rPr>
      <w:b/>
      <w:bCs/>
    </w:rPr>
  </w:style>
  <w:style w:type="paragraph" w:customStyle="1" w:styleId="naisf">
    <w:name w:val="naisf"/>
    <w:basedOn w:val="Parastais"/>
    <w:uiPriority w:val="99"/>
    <w:rsid w:val="00CB2893"/>
    <w:pPr>
      <w:spacing w:before="100" w:beforeAutospacing="1" w:after="100" w:afterAutospacing="1"/>
    </w:pPr>
  </w:style>
  <w:style w:type="character" w:styleId="Hipersaite">
    <w:name w:val="Hyperlink"/>
    <w:basedOn w:val="Noklusjumarindkopasfonts"/>
    <w:uiPriority w:val="99"/>
    <w:rsid w:val="00CB2893"/>
    <w:rPr>
      <w:color w:val="0000FF"/>
      <w:u w:val="single"/>
    </w:rPr>
  </w:style>
  <w:style w:type="paragraph" w:customStyle="1" w:styleId="naisnod">
    <w:name w:val="naisnod"/>
    <w:basedOn w:val="Parastais"/>
    <w:uiPriority w:val="99"/>
    <w:rsid w:val="00CB2893"/>
    <w:pPr>
      <w:spacing w:before="150" w:after="150"/>
      <w:jc w:val="center"/>
    </w:pPr>
    <w:rPr>
      <w:b/>
      <w:bCs/>
      <w:lang w:val="lv-LV" w:eastAsia="lv-LV"/>
    </w:rPr>
  </w:style>
  <w:style w:type="paragraph" w:customStyle="1" w:styleId="naiskr">
    <w:name w:val="naiskr"/>
    <w:basedOn w:val="Parastais"/>
    <w:rsid w:val="00CB2893"/>
    <w:pPr>
      <w:spacing w:before="75" w:after="75"/>
    </w:pPr>
    <w:rPr>
      <w:lang w:val="lv-LV" w:eastAsia="lv-LV"/>
    </w:rPr>
  </w:style>
  <w:style w:type="paragraph" w:styleId="Sarakstarindkopa">
    <w:name w:val="List Paragraph"/>
    <w:basedOn w:val="Parastais"/>
    <w:uiPriority w:val="34"/>
    <w:qFormat/>
    <w:rsid w:val="00CB2893"/>
    <w:pPr>
      <w:spacing w:after="200" w:line="276" w:lineRule="auto"/>
      <w:ind w:left="720"/>
      <w:contextualSpacing/>
    </w:pPr>
    <w:rPr>
      <w:rFonts w:ascii="Calibri" w:eastAsia="Calibri" w:hAnsi="Calibri"/>
      <w:sz w:val="22"/>
      <w:szCs w:val="22"/>
      <w:lang w:val="lv-LV"/>
    </w:rPr>
  </w:style>
  <w:style w:type="character" w:styleId="Izclums">
    <w:name w:val="Emphasis"/>
    <w:basedOn w:val="Noklusjumarindkopasfonts"/>
    <w:uiPriority w:val="20"/>
    <w:qFormat/>
    <w:rsid w:val="00CB2893"/>
    <w:rPr>
      <w:i/>
      <w:iCs/>
    </w:rPr>
  </w:style>
  <w:style w:type="paragraph" w:customStyle="1" w:styleId="naisc">
    <w:name w:val="naisc"/>
    <w:basedOn w:val="Parastais"/>
    <w:rsid w:val="00CB2893"/>
    <w:pPr>
      <w:spacing w:before="75" w:after="75"/>
      <w:jc w:val="center"/>
    </w:pPr>
    <w:rPr>
      <w:lang w:val="lv-LV" w:eastAsia="lv-LV"/>
    </w:rPr>
  </w:style>
  <w:style w:type="paragraph" w:styleId="Galvene">
    <w:name w:val="header"/>
    <w:basedOn w:val="Parastais"/>
    <w:link w:val="GalveneRakstz"/>
    <w:unhideWhenUsed/>
    <w:rsid w:val="00CB2893"/>
    <w:pPr>
      <w:tabs>
        <w:tab w:val="center" w:pos="4153"/>
        <w:tab w:val="right" w:pos="8306"/>
      </w:tabs>
    </w:pPr>
  </w:style>
  <w:style w:type="character" w:customStyle="1" w:styleId="GalveneRakstz">
    <w:name w:val="Galvene Rakstz."/>
    <w:basedOn w:val="Noklusjumarindkopasfonts"/>
    <w:link w:val="Galvene"/>
    <w:rsid w:val="00CB2893"/>
    <w:rPr>
      <w:rFonts w:ascii="Times New Roman" w:eastAsia="Times New Roman" w:hAnsi="Times New Roman" w:cs="Times New Roman"/>
      <w:sz w:val="24"/>
      <w:szCs w:val="24"/>
      <w:lang w:val="en-GB"/>
    </w:rPr>
  </w:style>
  <w:style w:type="paragraph" w:styleId="Kjene">
    <w:name w:val="footer"/>
    <w:basedOn w:val="Parastais"/>
    <w:link w:val="KjeneRakstz"/>
    <w:uiPriority w:val="99"/>
    <w:semiHidden/>
    <w:unhideWhenUsed/>
    <w:rsid w:val="00CB2893"/>
    <w:pPr>
      <w:tabs>
        <w:tab w:val="center" w:pos="4153"/>
        <w:tab w:val="right" w:pos="8306"/>
      </w:tabs>
    </w:pPr>
  </w:style>
  <w:style w:type="character" w:customStyle="1" w:styleId="KjeneRakstz">
    <w:name w:val="Kājene Rakstz."/>
    <w:basedOn w:val="Noklusjumarindkopasfonts"/>
    <w:link w:val="Kjene"/>
    <w:uiPriority w:val="99"/>
    <w:semiHidden/>
    <w:rsid w:val="00CB2893"/>
    <w:rPr>
      <w:rFonts w:ascii="Times New Roman" w:eastAsia="Times New Roman" w:hAnsi="Times New Roman" w:cs="Times New Roman"/>
      <w:sz w:val="24"/>
      <w:szCs w:val="24"/>
      <w:lang w:val="en-GB"/>
    </w:rPr>
  </w:style>
  <w:style w:type="paragraph" w:customStyle="1" w:styleId="CM4">
    <w:name w:val="CM4"/>
    <w:basedOn w:val="Parastais"/>
    <w:next w:val="Parastais"/>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onteksts">
    <w:name w:val="Balloon Text"/>
    <w:basedOn w:val="Parastais"/>
    <w:link w:val="BalontekstsRakstz"/>
    <w:uiPriority w:val="99"/>
    <w:semiHidden/>
    <w:unhideWhenUsed/>
    <w:rsid w:val="0049486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4867"/>
    <w:rPr>
      <w:rFonts w:ascii="Tahoma" w:eastAsia="Times New Roman" w:hAnsi="Tahoma" w:cs="Tahoma"/>
      <w:sz w:val="16"/>
      <w:szCs w:val="16"/>
      <w:lang w:val="en-GB" w:eastAsia="en-US"/>
    </w:rPr>
  </w:style>
  <w:style w:type="paragraph" w:styleId="Komentrateksts">
    <w:name w:val="annotation text"/>
    <w:basedOn w:val="Parastais"/>
    <w:link w:val="KomentratekstsRakstz"/>
    <w:rsid w:val="006E5607"/>
    <w:rPr>
      <w:sz w:val="20"/>
      <w:szCs w:val="20"/>
      <w:lang w:eastAsia="lv-LV"/>
    </w:rPr>
  </w:style>
  <w:style w:type="character" w:customStyle="1" w:styleId="KomentratekstsRakstz">
    <w:name w:val="Komentāra teksts Rakstz."/>
    <w:basedOn w:val="Noklusjumarindkopasfonts"/>
    <w:link w:val="Komentrateksts"/>
    <w:rsid w:val="006E5607"/>
    <w:rPr>
      <w:rFonts w:ascii="Times New Roman" w:eastAsia="Times New Roman" w:hAnsi="Times New Roman"/>
      <w:lang w:val="en-GB"/>
    </w:rPr>
  </w:style>
  <w:style w:type="paragraph" w:styleId="ParastaisWeb">
    <w:name w:val="Normal (Web)"/>
    <w:basedOn w:val="Parastais"/>
    <w:uiPriority w:val="99"/>
    <w:unhideWhenUsed/>
    <w:rsid w:val="00E27CDA"/>
    <w:pPr>
      <w:spacing w:before="100" w:beforeAutospacing="1" w:after="100" w:afterAutospacing="1"/>
    </w:pPr>
    <w:rPr>
      <w:lang w:val="lv-LV" w:eastAsia="lv-LV"/>
    </w:rPr>
  </w:style>
  <w:style w:type="paragraph" w:styleId="Bezatstarpm">
    <w:name w:val="No Spacing"/>
    <w:uiPriority w:val="1"/>
    <w:qFormat/>
    <w:rsid w:val="008D042F"/>
    <w:rPr>
      <w:sz w:val="22"/>
      <w:szCs w:val="22"/>
      <w:lang w:eastAsia="en-US"/>
    </w:rPr>
  </w:style>
  <w:style w:type="character" w:styleId="Komentraatsauce">
    <w:name w:val="annotation reference"/>
    <w:basedOn w:val="Noklusjumarindkopasfonts"/>
    <w:unhideWhenUsed/>
    <w:rsid w:val="00966565"/>
    <w:rPr>
      <w:sz w:val="16"/>
      <w:szCs w:val="16"/>
    </w:rPr>
  </w:style>
  <w:style w:type="paragraph" w:styleId="Komentratma">
    <w:name w:val="annotation subject"/>
    <w:basedOn w:val="Komentrateksts"/>
    <w:next w:val="Komentrateksts"/>
    <w:link w:val="KomentratmaRakstz"/>
    <w:uiPriority w:val="99"/>
    <w:semiHidden/>
    <w:unhideWhenUsed/>
    <w:rsid w:val="00966565"/>
    <w:rPr>
      <w:b/>
      <w:bCs/>
      <w:lang w:eastAsia="en-US"/>
    </w:rPr>
  </w:style>
  <w:style w:type="character" w:customStyle="1" w:styleId="KomentratmaRakstz">
    <w:name w:val="Komentāra tēma Rakstz."/>
    <w:basedOn w:val="KomentratekstsRakstz"/>
    <w:link w:val="Komentratma"/>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customStyle="1" w:styleId="tv2131">
    <w:name w:val="tv2131"/>
    <w:basedOn w:val="Parastais"/>
    <w:rsid w:val="00ED38B8"/>
    <w:pPr>
      <w:spacing w:before="240" w:line="360" w:lineRule="auto"/>
      <w:ind w:firstLine="430"/>
      <w:jc w:val="both"/>
    </w:pPr>
    <w:rPr>
      <w:rFonts w:ascii="Verdana" w:hAnsi="Verdana"/>
      <w:sz w:val="26"/>
      <w:szCs w:val="26"/>
      <w:lang w:val="lv-LV" w:eastAsia="lv-LV"/>
    </w:rPr>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726:20090706: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a.Mac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ONSLEG:2004R0726:20090706:LV:HTML" TargetMode="External"/><Relationship Id="rId4" Type="http://schemas.openxmlformats.org/officeDocument/2006/relationships/settings" Target="settings.xml"/><Relationship Id="rId9" Type="http://schemas.openxmlformats.org/officeDocument/2006/relationships/hyperlink" Target="http://www.ema.europa.eu"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66E3F-33AC-4FDE-B01C-9B25CF9F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20</Pages>
  <Words>20240</Words>
  <Characters>11537</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2006.gada 17.janvāra noteikumos Nr.57 "Noteikumi par zāļu marķēšanas kārtību un zāļu lietošanas instrukcijai izvirzāmajām prasībām"" anotācija</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31714</CharactersWithSpaces>
  <SharedDoc>false</SharedDoc>
  <HLinks>
    <vt:vector size="18" baseType="variant">
      <vt:variant>
        <vt:i4>4391022</vt:i4>
      </vt:variant>
      <vt:variant>
        <vt:i4>6</vt:i4>
      </vt:variant>
      <vt:variant>
        <vt:i4>0</vt:i4>
      </vt:variant>
      <vt:variant>
        <vt:i4>5</vt:i4>
      </vt:variant>
      <vt:variant>
        <vt:lpwstr>mailto:Inguna.Maca@vm.gov.lv</vt:lpwstr>
      </vt:variant>
      <vt:variant>
        <vt:lpwstr/>
      </vt:variant>
      <vt:variant>
        <vt:i4>1769543</vt:i4>
      </vt:variant>
      <vt:variant>
        <vt:i4>3</vt:i4>
      </vt:variant>
      <vt:variant>
        <vt:i4>0</vt:i4>
      </vt:variant>
      <vt:variant>
        <vt:i4>5</vt:i4>
      </vt:variant>
      <vt:variant>
        <vt:lpwstr>http://eur-lex.europa.eu/LexUriServ/LexUriServ.do?uri=CONSLEG:2004R0726:20090706:LV:HTML</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17.janvāra noteikumos Nr.57 "Noteikumi par zāļu marķēšanas kārtību un zāļu lietošanas instrukcijai izvirzāmajām prasībām"" anotācija</dc:title>
  <dc:subject>Projekta anotācija</dc:subject>
  <dc:creator>Ingūna Mača</dc:creator>
  <dc:description>inguna.maca@vm.gov.lv; tālr. 67876117</dc:description>
  <cp:lastModifiedBy>Inguna Mača</cp:lastModifiedBy>
  <cp:revision>161</cp:revision>
  <cp:lastPrinted>2012-11-16T10:36:00Z</cp:lastPrinted>
  <dcterms:created xsi:type="dcterms:W3CDTF">2013-01-11T14:31:00Z</dcterms:created>
  <dcterms:modified xsi:type="dcterms:W3CDTF">2013-01-31T12:04:00Z</dcterms:modified>
</cp:coreProperties>
</file>