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CF" w:rsidRPr="004737AA" w:rsidRDefault="00E020EA">
      <w:pPr>
        <w:rPr>
          <w:lang w:val="lv-LV"/>
        </w:rPr>
      </w:pPr>
      <w:r>
        <w:rPr>
          <w:noProof/>
        </w:rPr>
        <w:pict>
          <v:group id="_x0000_s1188" style="position:absolute;margin-left:-45.75pt;margin-top:-.6pt;width:792.75pt;height:439.3pt;z-index:251658240" coordorigin="630,810" coordsize="15855,10275">
            <v:rect id="_x0000_s1189" style="position:absolute;left:14175;top:8130;width:2310;height:495" fillcolor="#ff9" strokecolor="#f2f2f2 [3052]" strokeweight="2pt">
              <v:textbox style="mso-next-textbox:#_x0000_s1189">
                <w:txbxContent>
                  <w:p w:rsidR="00E020EA" w:rsidRPr="006B422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VSIA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P.Stradiņa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KUS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left:12390;top:8130;width:1695;height:615" stroked="f">
              <v:fill opacity="0"/>
              <v:textbox style="mso-next-textbox:#_x0000_s1190">
                <w:txbxContent>
                  <w:p w:rsidR="00E020EA" w:rsidRPr="00EC6C79" w:rsidRDefault="00E020EA" w:rsidP="00E020E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Černobiļas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likvidētāji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donori</w:t>
                    </w:r>
                    <w:proofErr w:type="spellEnd"/>
                  </w:p>
                </w:txbxContent>
              </v:textbox>
            </v:shape>
            <v:rect id="_x0000_s1191" style="position:absolute;left:14175;top:7335;width:2310;height:495" fillcolor="#ff9" strokecolor="#f2f2f2 [3052]" strokeweight="2pt">
              <v:textbox style="mso-next-textbox:#_x0000_s1191">
                <w:txbxContent>
                  <w:p w:rsidR="00E020EA" w:rsidRPr="006B422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LM SPOLIS</w:t>
                    </w:r>
                  </w:p>
                </w:txbxContent>
              </v:textbox>
            </v:rect>
            <v:shape id="_x0000_s1192" type="#_x0000_t202" style="position:absolute;left:12390;top:7335;width:1695;height:615" stroked="f">
              <v:fill opacity="0"/>
              <v:textbox style="mso-next-textbox:#_x0000_s1192">
                <w:txbxContent>
                  <w:p w:rsidR="00E020EA" w:rsidRPr="00EC6C79" w:rsidRDefault="00E020EA" w:rsidP="00E020E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Sociālās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aprūpes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pakalpojumi</w:t>
                    </w:r>
                    <w:proofErr w:type="spellEnd"/>
                  </w:p>
                </w:txbxContent>
              </v:textbox>
            </v:shape>
            <v:rect id="_x0000_s1193" style="position:absolute;left:14175;top:10410;width:2310;height:495" fillcolor="#ff9" strokecolor="#f2f2f2 [3052]" strokeweight="2pt">
              <v:textbox style="mso-next-textbox:#_x0000_s1193">
                <w:txbxContent>
                  <w:p w:rsidR="00E020EA" w:rsidRPr="006B422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PMLP IR</w:t>
                    </w:r>
                  </w:p>
                </w:txbxContent>
              </v:textbox>
            </v:rect>
            <v:rect id="_x0000_s1194" style="position:absolute;left:14175;top:9675;width:2310;height:495" fillcolor="#ff9" strokecolor="#f2f2f2 [3052]" strokeweight="2pt">
              <v:textbox style="mso-next-textbox:#_x0000_s1194">
                <w:txbxContent>
                  <w:p w:rsidR="00E020EA" w:rsidRPr="006B422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Izglītības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ministrija</w:t>
                    </w:r>
                    <w:proofErr w:type="spellEnd"/>
                  </w:p>
                </w:txbxContent>
              </v:textbox>
            </v:rect>
            <v:shape id="_x0000_s1195" type="#_x0000_t202" style="position:absolute;left:12390;top:10455;width:1695;height:540" stroked="f">
              <v:fill opacity="0"/>
              <v:textbox style="mso-next-textbox:#_x0000_s1195">
                <w:txbxContent>
                  <w:p w:rsidR="00E020EA" w:rsidRPr="00871D17" w:rsidRDefault="00E020EA" w:rsidP="00E020EA">
                    <w:pPr>
                      <w:rPr>
                        <w:sz w:val="12"/>
                        <w:szCs w:val="12"/>
                      </w:rPr>
                    </w:pP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Iedzīvotāju</w:t>
                    </w:r>
                    <w:proofErr w:type="spellEnd"/>
                    <w:r w:rsidRPr="00871D17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saraksts</w:t>
                    </w:r>
                    <w:proofErr w:type="spellEnd"/>
                    <w:r w:rsidRPr="00871D17">
                      <w:rPr>
                        <w:sz w:val="12"/>
                        <w:szCs w:val="12"/>
                      </w:rPr>
                      <w:t xml:space="preserve">, to </w:t>
                    </w: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ģimenes</w:t>
                    </w:r>
                    <w:proofErr w:type="spellEnd"/>
                    <w:r w:rsidRPr="00871D17">
                      <w:rPr>
                        <w:sz w:val="12"/>
                        <w:szCs w:val="12"/>
                      </w:rPr>
                      <w:t xml:space="preserve"> locekļi</w:t>
                    </w:r>
                  </w:p>
                </w:txbxContent>
              </v:textbox>
            </v:shape>
            <v:shape id="_x0000_s1196" type="#_x0000_t202" style="position:absolute;left:12390;top:9675;width:1695;height:360" stroked="f">
              <v:fill opacity="0"/>
              <v:textbox style="mso-next-textbox:#_x0000_s1196">
                <w:txbxContent>
                  <w:p w:rsidR="00E020EA" w:rsidRPr="00EC6C79" w:rsidRDefault="00E020EA" w:rsidP="00E020E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Skolēni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studenti</w:t>
                    </w:r>
                    <w:proofErr w:type="spellEnd"/>
                  </w:p>
                </w:txbxContent>
              </v:textbox>
            </v:shape>
            <v:shape id="_x0000_s1197" type="#_x0000_t202" style="position:absolute;left:12390;top:8835;width:1695;height:615" stroked="f">
              <v:fill opacity="0"/>
              <v:textbox style="mso-next-textbox:#_x0000_s1197">
                <w:txbxContent>
                  <w:p w:rsidR="00E020EA" w:rsidRPr="00EC6C79" w:rsidRDefault="00E020EA" w:rsidP="00E020E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Citas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iedzīvotāju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sociālās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grupas</w:t>
                    </w:r>
                    <w:proofErr w:type="spellEnd"/>
                  </w:p>
                </w:txbxContent>
              </v:textbox>
            </v:shape>
            <v:rect id="_x0000_s1198" style="position:absolute;left:14175;top:8940;width:2310;height:495" fillcolor="#ff9" strokecolor="#f2f2f2 [3052]" strokeweight="2pt">
              <v:textbox style="mso-next-textbox:#_x0000_s1198">
                <w:txbxContent>
                  <w:p w:rsidR="00E020EA" w:rsidRPr="006B422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Pašvaldības</w:t>
                    </w:r>
                    <w:proofErr w:type="spell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9" type="#_x0000_t32" style="position:absolute;left:11985;top:5595;width:2190;height:2805;flip:x y" o:connectortype="straight"/>
            <v:shape id="_x0000_s1200" type="#_x0000_t32" style="position:absolute;left:11985;top:5595;width:2190;height:3585;flip:x y" o:connectortype="straight"/>
            <v:shape id="_x0000_s1201" type="#_x0000_t32" style="position:absolute;left:11985;top:5595;width:2190;height:4320;flip:x y" o:connectortype="straight"/>
            <v:shape id="_x0000_s1202" type="#_x0000_t32" style="position:absolute;left:11985;top:5595;width:2190;height:5010;flip:x y" o:connectortype="straight"/>
            <v:shape id="_x0000_s1203" type="#_x0000_t32" style="position:absolute;left:11985;top:5595;width:2190;height:1995" o:connectortype="straight"/>
            <v:oval id="_x0000_s1204" style="position:absolute;left:7485;top:2340;width:8280;height:4650">
              <v:fill opacity="0"/>
              <v:stroke dashstyle="dash"/>
            </v:oval>
            <v:rect id="_x0000_s1205" style="position:absolute;left:7785;top:915;width:2685;height:750" fillcolor="#daeef3 [664]" strokecolor="#f2f2f2 [3052]" strokeweight="2pt">
              <v:textbox style="mso-next-textbox:#_x0000_s1205">
                <w:txbxContent>
                  <w:p w:rsidR="00E020EA" w:rsidRPr="00871D1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71D17">
                      <w:rPr>
                        <w:b/>
                        <w:sz w:val="20"/>
                        <w:szCs w:val="20"/>
                      </w:rPr>
                      <w:t>NVD E-</w:t>
                    </w:r>
                    <w:proofErr w:type="spellStart"/>
                    <w:r w:rsidRPr="00871D17">
                      <w:rPr>
                        <w:b/>
                        <w:sz w:val="20"/>
                        <w:szCs w:val="20"/>
                      </w:rPr>
                      <w:t>veselības</w:t>
                    </w:r>
                    <w:proofErr w:type="spellEnd"/>
                    <w:r w:rsidRPr="00871D17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71D17">
                      <w:rPr>
                        <w:b/>
                        <w:sz w:val="20"/>
                        <w:szCs w:val="20"/>
                      </w:rPr>
                      <w:t>finanšu</w:t>
                    </w:r>
                    <w:proofErr w:type="spellEnd"/>
                    <w:r w:rsidRPr="00871D17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71D17">
                      <w:rPr>
                        <w:b/>
                        <w:sz w:val="20"/>
                        <w:szCs w:val="20"/>
                      </w:rPr>
                      <w:t>modelis</w:t>
                    </w:r>
                    <w:proofErr w:type="spellEnd"/>
                  </w:p>
                </w:txbxContent>
              </v:textbox>
            </v:rect>
            <v:rect id="_x0000_s1206" style="position:absolute;left:11985;top:915;width:1605;height:750" fillcolor="#daeef3 [664]" strokecolor="#f2f2f2 [3052]" strokeweight="2pt">
              <v:textbox style="mso-next-textbox:#_x0000_s1206">
                <w:txbxContent>
                  <w:p w:rsidR="00E020EA" w:rsidRPr="00871D1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871D17">
                      <w:rPr>
                        <w:b/>
                        <w:sz w:val="20"/>
                        <w:szCs w:val="20"/>
                      </w:rPr>
                      <w:t>Datu</w:t>
                    </w:r>
                    <w:proofErr w:type="spellEnd"/>
                    <w:r w:rsidRPr="00871D17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871D17">
                      <w:rPr>
                        <w:b/>
                        <w:sz w:val="20"/>
                        <w:szCs w:val="20"/>
                      </w:rPr>
                      <w:t>noliktava</w:t>
                    </w:r>
                    <w:proofErr w:type="spellEnd"/>
                  </w:p>
                </w:txbxContent>
              </v:textbox>
            </v:rect>
            <v:rect id="_x0000_s1207" style="position:absolute;left:9300;top:2820;width:2685;height:1095" fillcolor="#daeef3 [664]" strokecolor="#f2f2f2 [3052]" strokeweight="2pt">
              <v:textbox style="mso-next-textbox:#_x0000_s1207">
                <w:txbxContent>
                  <w:p w:rsidR="00E020EA" w:rsidRPr="006B4227" w:rsidRDefault="00E020EA" w:rsidP="00E020EA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B4227">
                      <w:rPr>
                        <w:b/>
                        <w:sz w:val="24"/>
                        <w:szCs w:val="24"/>
                      </w:rPr>
                      <w:t xml:space="preserve">NVD </w:t>
                    </w:r>
                    <w:proofErr w:type="spellStart"/>
                    <w:r w:rsidRPr="006B4227">
                      <w:rPr>
                        <w:b/>
                        <w:sz w:val="24"/>
                        <w:szCs w:val="24"/>
                      </w:rPr>
                      <w:t>Vadības</w:t>
                    </w:r>
                    <w:proofErr w:type="spellEnd"/>
                    <w:r w:rsidRPr="006B422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B4227">
                      <w:rPr>
                        <w:b/>
                        <w:sz w:val="24"/>
                        <w:szCs w:val="24"/>
                      </w:rPr>
                      <w:t>informācijas</w:t>
                    </w:r>
                    <w:proofErr w:type="spellEnd"/>
                    <w:r w:rsidRPr="006B422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B4227">
                      <w:rPr>
                        <w:b/>
                        <w:sz w:val="24"/>
                        <w:szCs w:val="24"/>
                      </w:rPr>
                      <w:t>sistēma</w:t>
                    </w:r>
                    <w:proofErr w:type="spellEnd"/>
                    <w:r w:rsidRPr="006B4227">
                      <w:rPr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Pakalpojumu saņēmēju reģistrs</w:t>
                    </w:r>
                  </w:p>
                  <w:p w:rsidR="00E020EA" w:rsidRPr="006B4227" w:rsidRDefault="00E020EA" w:rsidP="00E020E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oval id="_x0000_s1208" style="position:absolute;left:720;top:3360;width:6450;height:3855">
              <v:fill opacity="0"/>
              <v:stroke dashstyle="dash"/>
            </v:oval>
            <v:oval id="_x0000_s1209" style="position:absolute;left:630;top:810;width:6450;height:3990">
              <v:fill opacity="0"/>
              <v:stroke dashstyle="dash"/>
            </v:oval>
            <v:rect id="_x0000_s1210" style="position:absolute;left:2400;top:3675;width:3015;height:750" fillcolor="#daeef3 [664]" strokecolor="#f2f2f2 [3052]" strokeweight="2pt">
              <v:textbox style="mso-next-textbox:#_x0000_s1210">
                <w:txbxContent>
                  <w:p w:rsidR="00E020EA" w:rsidRPr="00871D1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B4227">
                      <w:rPr>
                        <w:b/>
                        <w:sz w:val="24"/>
                        <w:szCs w:val="24"/>
                      </w:rPr>
                      <w:t>NVD E-</w:t>
                    </w:r>
                    <w:proofErr w:type="spellStart"/>
                    <w:r w:rsidRPr="006B4227">
                      <w:rPr>
                        <w:b/>
                        <w:sz w:val="24"/>
                        <w:szCs w:val="24"/>
                      </w:rPr>
                      <w:t>veselības</w:t>
                    </w:r>
                    <w:proofErr w:type="spellEnd"/>
                    <w:r w:rsidRPr="006B422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portāls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</w:r>
                    <w:r w:rsidRPr="00871D17">
                      <w:rPr>
                        <w:sz w:val="18"/>
                        <w:szCs w:val="18"/>
                      </w:rPr>
                      <w:t>ĀP darba vieta</w:t>
                    </w:r>
                  </w:p>
                </w:txbxContent>
              </v:textbox>
            </v:rect>
            <v:shape id="_x0000_s1211" type="#_x0000_t32" style="position:absolute;left:10470;top:1290;width:1515;height:0" o:connectortype="straight">
              <v:stroke startarrow="block" endarrow="block"/>
            </v:shape>
            <v:shape id="_x0000_s1212" type="#_x0000_t202" style="position:absolute;left:12285;top:3465;width:3375;height:2130" stroked="f">
              <v:fill opacity="0"/>
              <v:textbox style="mso-next-textbox:#_x0000_s1212">
                <w:txbxContent>
                  <w:p w:rsidR="00E020EA" w:rsidRPr="00871D17" w:rsidRDefault="00E020EA" w:rsidP="00E020EA">
                    <w:pPr>
                      <w:rPr>
                        <w:sz w:val="18"/>
                        <w:szCs w:val="18"/>
                      </w:rPr>
                    </w:pPr>
                    <w:r w:rsidRPr="00871D17">
                      <w:rPr>
                        <w:sz w:val="18"/>
                        <w:szCs w:val="18"/>
                      </w:rPr>
                      <w:t xml:space="preserve">1. </w:t>
                    </w:r>
                    <w:proofErr w:type="gramStart"/>
                    <w:r w:rsidRPr="00871D17">
                      <w:rPr>
                        <w:sz w:val="18"/>
                        <w:szCs w:val="18"/>
                      </w:rPr>
                      <w:t>datu</w:t>
                    </w:r>
                    <w:proofErr w:type="gramEnd"/>
                    <w:r w:rsidRPr="00871D17">
                      <w:rPr>
                        <w:sz w:val="18"/>
                        <w:szCs w:val="18"/>
                      </w:rPr>
                      <w:t xml:space="preserve"> apmaiņas protokolu standartizācija;</w:t>
                    </w:r>
                    <w:r w:rsidRPr="00871D17">
                      <w:rPr>
                        <w:sz w:val="18"/>
                        <w:szCs w:val="18"/>
                      </w:rPr>
                      <w:br/>
                      <w:t>2.  datu apmaiņas formātu standartizācija;</w:t>
                    </w:r>
                    <w:r w:rsidRPr="00871D17">
                      <w:rPr>
                        <w:sz w:val="18"/>
                        <w:szCs w:val="18"/>
                      </w:rPr>
                      <w:br/>
                      <w:t>3. datu apmaiņas formātu semantikas standartizācija.</w:t>
                    </w:r>
                  </w:p>
                </w:txbxContent>
              </v:textbox>
            </v:shape>
            <v:shape id="_x0000_s1213" type="#_x0000_t202" style="position:absolute;left:3150;top:990;width:1485;height:420" stroked="f">
              <v:fill opacity="0"/>
              <v:textbox style="mso-next-textbox:#_x0000_s1213">
                <w:txbxContent>
                  <w:p w:rsidR="00E020EA" w:rsidRPr="00EC6C79" w:rsidRDefault="00E020EA" w:rsidP="00E020EA">
                    <w:pPr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EC6C79">
                      <w:rPr>
                        <w:b/>
                        <w:sz w:val="24"/>
                        <w:szCs w:val="24"/>
                      </w:rPr>
                      <w:t>Iedzīvotājs</w:t>
                    </w:r>
                    <w:proofErr w:type="spellEnd"/>
                  </w:p>
                </w:txbxContent>
              </v:textbox>
            </v:shape>
            <v:rect id="_x0000_s1214" style="position:absolute;left:2400;top:1665;width:3015;height:1080" fillcolor="#ff9" strokecolor="#f2f2f2 [3052]" strokeweight="2pt">
              <v:textbox style="mso-next-textbox:#_x0000_s1214">
                <w:txbxContent>
                  <w:p w:rsidR="00E020EA" w:rsidRPr="00871D1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 xml:space="preserve">Latvija.lv 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</w:r>
                    <w:r w:rsidRPr="00871D17">
                      <w:rPr>
                        <w:sz w:val="20"/>
                        <w:szCs w:val="20"/>
                      </w:rPr>
                      <w:t>1.</w:t>
                    </w:r>
                    <w:proofErr w:type="gramEnd"/>
                    <w:r w:rsidRPr="00871D17">
                      <w:rPr>
                        <w:sz w:val="20"/>
                        <w:szCs w:val="20"/>
                      </w:rPr>
                      <w:t xml:space="preserve"> Klientu statuss</w:t>
                    </w:r>
                    <w:r w:rsidRPr="00871D17">
                      <w:rPr>
                        <w:sz w:val="20"/>
                        <w:szCs w:val="20"/>
                      </w:rPr>
                      <w:br/>
                      <w:t>2. Pakalpojumu grozs</w:t>
                    </w:r>
                  </w:p>
                </w:txbxContent>
              </v:textbox>
            </v:rect>
            <v:shape id="_x0000_s1215" type="#_x0000_t202" style="position:absolute;left:2670;top:6570;width:2415;height:420" stroked="f">
              <v:fill opacity="0"/>
              <v:textbox style="mso-next-textbox:#_x0000_s1215">
                <w:txbxContent>
                  <w:p w:rsidR="00E020EA" w:rsidRPr="00EC6C79" w:rsidRDefault="00E020EA" w:rsidP="00E020EA">
                    <w:pPr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EC6C79">
                      <w:rPr>
                        <w:b/>
                        <w:sz w:val="24"/>
                        <w:szCs w:val="24"/>
                      </w:rPr>
                      <w:t>Ārstniecības</w:t>
                    </w:r>
                    <w:proofErr w:type="spellEnd"/>
                    <w:r w:rsidRPr="00EC6C79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C6C79">
                      <w:rPr>
                        <w:b/>
                        <w:sz w:val="24"/>
                        <w:szCs w:val="24"/>
                      </w:rPr>
                      <w:t>iestāde</w:t>
                    </w:r>
                    <w:proofErr w:type="spellEnd"/>
                  </w:p>
                </w:txbxContent>
              </v:textbox>
            </v:shape>
            <v:rect id="_x0000_s1216" style="position:absolute;left:2400;top:5250;width:3015;height:1035" fillcolor="#ff9" strokecolor="#f2f2f2 [3052]" strokeweight="2pt">
              <v:textbox style="mso-next-textbox:#_x0000_s1216">
                <w:txbxContent>
                  <w:p w:rsidR="00E020EA" w:rsidRPr="00871D1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Ārstniecības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iestādes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br/>
                    </w:r>
                    <w:proofErr w:type="spellStart"/>
                    <w:r w:rsidRPr="00871D17">
                      <w:rPr>
                        <w:sz w:val="18"/>
                        <w:szCs w:val="18"/>
                      </w:rPr>
                      <w:t>Darbības</w:t>
                    </w:r>
                    <w:proofErr w:type="spellEnd"/>
                    <w:r w:rsidRPr="00871D17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71D17">
                      <w:rPr>
                        <w:sz w:val="18"/>
                        <w:szCs w:val="18"/>
                      </w:rPr>
                      <w:t>nodrošināšanas</w:t>
                    </w:r>
                    <w:proofErr w:type="spellEnd"/>
                    <w:r w:rsidRPr="00871D17">
                      <w:rPr>
                        <w:sz w:val="18"/>
                        <w:szCs w:val="18"/>
                      </w:rPr>
                      <w:br/>
                      <w:t>IS</w:t>
                    </w:r>
                  </w:p>
                </w:txbxContent>
              </v:textbox>
            </v:rect>
            <v:rect id="_x0000_s1217" style="position:absolute;left:9300;top:4965;width:2685;height:1320" fillcolor="#6f6" stroked="f" strokecolor="#f2f2f2 [3052]" strokeweight="2pt">
              <v:textbox style="mso-next-textbox:#_x0000_s1217">
                <w:txbxContent>
                  <w:p w:rsidR="00E020EA" w:rsidRPr="00871D17" w:rsidRDefault="00E020EA" w:rsidP="00E020EA">
                    <w:pPr>
                      <w:rPr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Datu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apmaiņas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protokols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br/>
                    </w:r>
                    <w:r w:rsidRPr="00871D17">
                      <w:rPr>
                        <w:sz w:val="12"/>
                        <w:szCs w:val="12"/>
                      </w:rPr>
                      <w:t>1.</w:t>
                    </w:r>
                    <w:proofErr w:type="gramEnd"/>
                    <w:r w:rsidRPr="00871D17">
                      <w:rPr>
                        <w:sz w:val="12"/>
                        <w:szCs w:val="12"/>
                      </w:rPr>
                      <w:t xml:space="preserve"> Personas identifikācija;</w:t>
                    </w:r>
                    <w:r w:rsidRPr="00871D17">
                      <w:rPr>
                        <w:sz w:val="12"/>
                        <w:szCs w:val="12"/>
                      </w:rPr>
                      <w:br/>
                      <w:t>2. Personas statuss.</w:t>
                    </w:r>
                  </w:p>
                  <w:p w:rsidR="00E020EA" w:rsidRPr="006B4227" w:rsidRDefault="00E020EA" w:rsidP="00E020E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218" style="position:absolute;left:1305;top:7695;width:2310;height:495" fillcolor="#ff9" strokecolor="#f2f2f2 [3052]" strokeweight="2pt">
              <v:textbox style="mso-next-textbox:#_x0000_s1218">
                <w:txbxContent>
                  <w:p w:rsidR="00E020EA" w:rsidRPr="006B4227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VSAA</w:t>
                    </w:r>
                  </w:p>
                </w:txbxContent>
              </v:textbox>
            </v:rect>
            <v:rect id="_x0000_s1219" style="position:absolute;left:1305;top:8820;width:2310;height:780" fillcolor="#ff9" strokecolor="#f2f2f2 [3052]" strokeweight="2pt">
              <v:textbox style="mso-next-textbox:#_x0000_s1219">
                <w:txbxContent>
                  <w:p w:rsidR="00E020EA" w:rsidRPr="00E020EA" w:rsidRDefault="00E020EA" w:rsidP="00E020EA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proofErr w:type="spellStart"/>
                    <w:r w:rsidRPr="00E020EA">
                      <w:t>Nodarbinātības</w:t>
                    </w:r>
                    <w:proofErr w:type="spellEnd"/>
                    <w:r w:rsidRPr="00E020EA">
                      <w:t xml:space="preserve"> </w:t>
                    </w:r>
                    <w:proofErr w:type="spellStart"/>
                    <w:r w:rsidRPr="00E020EA">
                      <w:t>valsts</w:t>
                    </w:r>
                    <w:proofErr w:type="spellEnd"/>
                    <w:r w:rsidRPr="00E020EA">
                      <w:t xml:space="preserve"> </w:t>
                    </w:r>
                    <w:proofErr w:type="spellStart"/>
                    <w:r w:rsidRPr="00E020EA">
                      <w:t>dienests</w:t>
                    </w:r>
                    <w:proofErr w:type="spellEnd"/>
                  </w:p>
                </w:txbxContent>
              </v:textbox>
            </v:rect>
            <v:shape id="_x0000_s1220" type="#_x0000_t202" style="position:absolute;left:3825;top:7695;width:2775;height:795" stroked="f">
              <v:fill opacity="0"/>
              <v:textbox style="mso-next-textbox:#_x0000_s1220">
                <w:txbxContent>
                  <w:p w:rsidR="00E020EA" w:rsidRPr="00871D17" w:rsidRDefault="00E020EA" w:rsidP="00E020EA">
                    <w:pPr>
                      <w:rPr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871D17">
                      <w:rPr>
                        <w:sz w:val="14"/>
                        <w:szCs w:val="14"/>
                      </w:rPr>
                      <w:t>Bērnu</w:t>
                    </w:r>
                    <w:proofErr w:type="spellEnd"/>
                    <w:r w:rsidRPr="00871D17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71D17">
                      <w:rPr>
                        <w:sz w:val="14"/>
                        <w:szCs w:val="14"/>
                      </w:rPr>
                      <w:t>kopšanas</w:t>
                    </w:r>
                    <w:proofErr w:type="spellEnd"/>
                    <w:r w:rsidRPr="00871D17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71D17">
                      <w:rPr>
                        <w:sz w:val="14"/>
                        <w:szCs w:val="14"/>
                      </w:rPr>
                      <w:t>atvaļinājumi</w:t>
                    </w:r>
                    <w:proofErr w:type="spellEnd"/>
                    <w:r w:rsidRPr="00871D17">
                      <w:rPr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871D17">
                      <w:rPr>
                        <w:sz w:val="14"/>
                        <w:szCs w:val="14"/>
                      </w:rPr>
                      <w:t>vecuma</w:t>
                    </w:r>
                    <w:proofErr w:type="spellEnd"/>
                    <w:r w:rsidRPr="00871D17">
                      <w:rPr>
                        <w:sz w:val="14"/>
                        <w:szCs w:val="14"/>
                      </w:rPr>
                      <w:t xml:space="preserve"> pensijas saņēmēji, slimības pabalsta saņēmēji, personas ar invaliditāti.</w:t>
                    </w:r>
                    <w:proofErr w:type="gramEnd"/>
                  </w:p>
                </w:txbxContent>
              </v:textbox>
            </v:shape>
            <v:shape id="_x0000_s1221" type="#_x0000_t202" style="position:absolute;left:3825;top:8745;width:1305;height:705" stroked="f">
              <v:fill opacity="0"/>
              <v:textbox style="mso-next-textbox:#_x0000_s1221">
                <w:txbxContent>
                  <w:p w:rsidR="00E020EA" w:rsidRPr="00EC6C79" w:rsidRDefault="00E020EA" w:rsidP="00E020E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Reģistrētie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bezdarbnieki</w:t>
                    </w:r>
                    <w:proofErr w:type="spellEnd"/>
                  </w:p>
                </w:txbxContent>
              </v:textbox>
            </v:shape>
            <v:rect id="_x0000_s1222" style="position:absolute;left:5175;top:9825;width:2310;height:780" fillcolor="#ff9" strokecolor="#f2f2f2 [3052]" strokeweight="2pt">
              <v:textbox style="mso-next-textbox:#_x0000_s1222">
                <w:txbxContent>
                  <w:p w:rsidR="00E020EA" w:rsidRPr="00E020EA" w:rsidRDefault="00E020EA" w:rsidP="00E020EA">
                    <w:pPr>
                      <w:spacing w:line="240" w:lineRule="auto"/>
                      <w:jc w:val="center"/>
                      <w:rPr>
                        <w:b/>
                      </w:rPr>
                    </w:pPr>
                    <w:proofErr w:type="spellStart"/>
                    <w:r w:rsidRPr="00E020EA">
                      <w:t>Ieslodzījumu</w:t>
                    </w:r>
                    <w:proofErr w:type="spellEnd"/>
                    <w:r w:rsidRPr="00E020EA">
                      <w:t xml:space="preserve"> </w:t>
                    </w:r>
                    <w:proofErr w:type="spellStart"/>
                    <w:r w:rsidRPr="00E020EA">
                      <w:t>vietu</w:t>
                    </w:r>
                    <w:proofErr w:type="spellEnd"/>
                    <w:r w:rsidRPr="00E020EA">
                      <w:t xml:space="preserve"> </w:t>
                    </w:r>
                    <w:proofErr w:type="spellStart"/>
                    <w:r w:rsidRPr="00E020EA">
                      <w:t>pārvalde</w:t>
                    </w:r>
                    <w:proofErr w:type="spellEnd"/>
                  </w:p>
                </w:txbxContent>
              </v:textbox>
            </v:rect>
            <v:shape id="_x0000_s1223" type="#_x0000_t202" style="position:absolute;left:5640;top:9450;width:1305;height:465" stroked="f">
              <v:fill opacity="0"/>
              <v:textbox style="mso-next-textbox:#_x0000_s1223">
                <w:txbxContent>
                  <w:p w:rsidR="00E020EA" w:rsidRPr="00EC6C79" w:rsidRDefault="00E020EA" w:rsidP="00E020E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Ieslodzītie</w:t>
                    </w:r>
                    <w:proofErr w:type="spellEnd"/>
                  </w:p>
                </w:txbxContent>
              </v:textbox>
            </v:shape>
            <v:rect id="_x0000_s1224" style="position:absolute;left:7785;top:9840;width:2310;height:1245" fillcolor="#ff9" strokecolor="#f2f2f2 [3052]" strokeweight="2pt">
              <v:textbox style="mso-next-textbox:#_x0000_s1224">
                <w:txbxContent>
                  <w:p w:rsidR="00E020EA" w:rsidRPr="00EC6C79" w:rsidRDefault="00E020EA" w:rsidP="00E020EA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Slimību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profilakses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un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kontroles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centrs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 w:rsidRPr="00EC6C79">
                      <w:rPr>
                        <w:b/>
                        <w:sz w:val="24"/>
                        <w:szCs w:val="24"/>
                      </w:rPr>
                      <w:t>PREDA reģistrs</w:t>
                    </w:r>
                  </w:p>
                </w:txbxContent>
              </v:textbox>
            </v:rect>
            <v:shape id="_x0000_s1225" type="#_x0000_t202" style="position:absolute;left:8235;top:9285;width:1470;height:540" stroked="f">
              <v:fill opacity="0"/>
              <v:textbox style="mso-next-textbox:#_x0000_s1225">
                <w:txbxContent>
                  <w:p w:rsidR="00E020EA" w:rsidRPr="00871D17" w:rsidRDefault="00E020EA" w:rsidP="00E020EA">
                    <w:pPr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Valsts</w:t>
                    </w:r>
                    <w:proofErr w:type="spellEnd"/>
                    <w:r w:rsidRPr="00871D17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apmaksāta</w:t>
                    </w:r>
                    <w:proofErr w:type="spellEnd"/>
                    <w:r w:rsidRPr="00871D17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aprūpe</w:t>
                    </w:r>
                    <w:proofErr w:type="spellEnd"/>
                  </w:p>
                </w:txbxContent>
              </v:textbox>
            </v:shape>
            <v:rect id="_x0000_s1226" style="position:absolute;left:10395;top:9840;width:1770;height:780" fillcolor="#ff9" strokecolor="#f2f2f2 [3052]" strokeweight="2pt">
              <v:textbox style="mso-next-textbox:#_x0000_s1226">
                <w:txbxContent>
                  <w:p w:rsidR="00E020EA" w:rsidRPr="00FF525F" w:rsidRDefault="00E020EA" w:rsidP="00E020EA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VID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>
                      <w:rPr>
                        <w:b/>
                        <w:sz w:val="24"/>
                        <w:szCs w:val="24"/>
                      </w:rPr>
                      <w:t>EDS</w:t>
                    </w:r>
                  </w:p>
                </w:txbxContent>
              </v:textbox>
            </v:rect>
            <v:shape id="_x0000_s1227" type="#_x0000_t202" style="position:absolute;left:8775;top:2040;width:1110;height:615" stroked="f">
              <v:fill opacity="0"/>
              <v:textbox style="mso-next-textbox:#_x0000_s1227">
                <w:txbxContent>
                  <w:p w:rsidR="00E020EA" w:rsidRPr="00EC6C79" w:rsidRDefault="00E020EA" w:rsidP="00E020EA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Tiešsaistes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pārbaude</w:t>
                    </w:r>
                    <w:proofErr w:type="spellEnd"/>
                  </w:p>
                </w:txbxContent>
              </v:textbox>
            </v:shape>
            <v:shape id="_x0000_s1228" type="#_x0000_t202" style="position:absolute;left:6060;top:1290;width:1110;height:615" stroked="f">
              <v:fill opacity="0"/>
              <v:textbox style="mso-next-textbox:#_x0000_s1228">
                <w:txbxContent>
                  <w:p w:rsidR="00E020EA" w:rsidRPr="00EC6C79" w:rsidRDefault="00E020EA" w:rsidP="00E020EA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Tiešsaistes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pārbaude</w:t>
                    </w:r>
                    <w:proofErr w:type="spellEnd"/>
                  </w:p>
                </w:txbxContent>
              </v:textbox>
            </v:shape>
            <v:shape id="_x0000_s1229" type="#_x0000_t202" style="position:absolute;left:5415;top:2850;width:1110;height:615" stroked="f">
              <v:fill opacity="0"/>
              <v:textbox style="mso-next-textbox:#_x0000_s1229">
                <w:txbxContent>
                  <w:p w:rsidR="00E020EA" w:rsidRPr="00EC6C79" w:rsidRDefault="00E020EA" w:rsidP="00E020EA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Tiešsaistes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pārbaude</w:t>
                    </w:r>
                    <w:proofErr w:type="spellEnd"/>
                  </w:p>
                </w:txbxContent>
              </v:textbox>
            </v:shape>
            <v:shape id="_x0000_s1230" type="#_x0000_t202" style="position:absolute;left:5715;top:4425;width:1110;height:615" stroked="f">
              <v:fill opacity="0"/>
              <v:textbox style="mso-next-textbox:#_x0000_s1230">
                <w:txbxContent>
                  <w:p w:rsidR="00E020EA" w:rsidRPr="00EC6C79" w:rsidRDefault="00E020EA" w:rsidP="00E020EA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Tiešsaistes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pārbaude</w:t>
                    </w:r>
                    <w:proofErr w:type="spellEnd"/>
                  </w:p>
                </w:txbxContent>
              </v:textbox>
            </v:shape>
            <v:shape id="_x0000_s1231" type="#_x0000_t32" style="position:absolute;left:5415;top:1290;width:2370;height:855;flip:y" o:connectortype="straight">
              <v:stroke startarrow="block" endarrow="block"/>
            </v:shape>
            <v:shape id="_x0000_s1232" type="#_x0000_t32" style="position:absolute;left:5415;top:1290;width:2370;height:2760;flip:y" o:connectortype="straight">
              <v:stroke startarrow="block" endarrow="block"/>
            </v:shape>
            <v:shape id="_x0000_s1233" type="#_x0000_t32" style="position:absolute;left:5415;top:1290;width:2370;height:4485;flip:y" o:connectortype="straight">
              <v:stroke startarrow="block" endarrow="block"/>
            </v:shape>
            <v:shape id="_x0000_s1234" type="#_x0000_t32" style="position:absolute;left:9135;top:1665;width:1485;height:1155" o:connectortype="straight">
              <v:stroke startarrow="block" endarrow="block"/>
            </v:shape>
            <v:shape id="_x0000_s1235" type="#_x0000_t32" style="position:absolute;left:10620;top:3915;width:0;height:1050;flip:y" o:connectortype="straight">
              <v:stroke endarrow="block"/>
            </v:shape>
            <v:shape id="_x0000_s1236" type="#_x0000_t202" style="position:absolute;left:10470;top:9300;width:1695;height:540" stroked="f">
              <v:fill opacity="0"/>
              <v:textbox style="mso-next-textbox:#_x0000_s1236">
                <w:txbxContent>
                  <w:p w:rsidR="00E020EA" w:rsidRPr="00871D17" w:rsidRDefault="00E020EA" w:rsidP="00E020EA">
                    <w:pPr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Nodokļu</w:t>
                    </w:r>
                    <w:proofErr w:type="spellEnd"/>
                    <w:r w:rsidRPr="00871D17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maksātāju</w:t>
                    </w:r>
                    <w:proofErr w:type="spellEnd"/>
                    <w:r w:rsidRPr="00871D17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871D17">
                      <w:rPr>
                        <w:sz w:val="12"/>
                        <w:szCs w:val="12"/>
                      </w:rPr>
                      <w:t>saraksts</w:t>
                    </w:r>
                    <w:proofErr w:type="spellEnd"/>
                  </w:p>
                </w:txbxContent>
              </v:textbox>
            </v:shape>
            <v:shape id="_x0000_s1237" type="#_x0000_t32" style="position:absolute;left:3615;top:5520;width:5685;height:2370;flip:y" o:connectortype="straight"/>
            <v:shape id="_x0000_s1238" type="#_x0000_t32" style="position:absolute;left:3615;top:5595;width:5685;height:3690;flip:y" o:connectortype="straight"/>
            <v:shape id="_x0000_s1239" type="#_x0000_t32" style="position:absolute;left:6360;top:6285;width:4260;height:3540;flip:y" o:connectortype="straight"/>
            <v:shape id="_x0000_s1240" type="#_x0000_t32" style="position:absolute;left:8970;top:6285;width:1650;height:3555;flip:y" o:connectortype="straight"/>
            <v:shape id="_x0000_s1241" type="#_x0000_t32" style="position:absolute;left:10620;top:6285;width:660;height:3555;flip:x y" o:connectortype="straight"/>
          </v:group>
        </w:pict>
      </w: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0ADB" w:rsidRDefault="00C70ADB" w:rsidP="00547C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547C47" w:rsidRDefault="00547C47" w:rsidP="00547C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83E0F">
        <w:rPr>
          <w:rFonts w:ascii="Times New Roman" w:hAnsi="Times New Roman" w:cs="Times New Roman"/>
          <w:sz w:val="28"/>
          <w:szCs w:val="28"/>
          <w:lang w:val="lv-LV"/>
        </w:rPr>
        <w:lastRenderedPageBreak/>
        <w:t>Veselības ministre</w:t>
      </w:r>
      <w:r w:rsidRPr="00483E0F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             </w:t>
      </w:r>
      <w:r w:rsidRPr="00483E0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83E0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83E0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83E0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83E0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483E0F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483E0F">
        <w:rPr>
          <w:rFonts w:ascii="Times New Roman" w:hAnsi="Times New Roman" w:cs="Times New Roman"/>
          <w:sz w:val="28"/>
          <w:szCs w:val="28"/>
          <w:lang w:val="lv-LV"/>
        </w:rPr>
        <w:t>I.Circene</w:t>
      </w:r>
      <w:proofErr w:type="spellEnd"/>
    </w:p>
    <w:p w:rsidR="00547C47" w:rsidRDefault="00547C47" w:rsidP="003963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3963CF" w:rsidRPr="004737AA" w:rsidRDefault="004737AA" w:rsidP="003963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737AA">
        <w:rPr>
          <w:rFonts w:ascii="Times New Roman" w:hAnsi="Times New Roman" w:cs="Times New Roman"/>
          <w:sz w:val="20"/>
          <w:szCs w:val="20"/>
          <w:lang w:val="lv-LV"/>
        </w:rPr>
        <w:t>2</w:t>
      </w:r>
      <w:r w:rsidR="00E020EA">
        <w:rPr>
          <w:rFonts w:ascii="Times New Roman" w:hAnsi="Times New Roman" w:cs="Times New Roman"/>
          <w:sz w:val="20"/>
          <w:szCs w:val="20"/>
          <w:lang w:val="lv-LV"/>
        </w:rPr>
        <w:t>8</w:t>
      </w:r>
      <w:r w:rsidR="003963CF" w:rsidRPr="004737AA">
        <w:rPr>
          <w:rFonts w:ascii="Times New Roman" w:hAnsi="Times New Roman" w:cs="Times New Roman"/>
          <w:sz w:val="20"/>
          <w:szCs w:val="20"/>
          <w:lang w:val="lv-LV"/>
        </w:rPr>
        <w:t>.</w:t>
      </w:r>
      <w:r w:rsidRPr="004737AA">
        <w:rPr>
          <w:rFonts w:ascii="Times New Roman" w:hAnsi="Times New Roman" w:cs="Times New Roman"/>
          <w:sz w:val="20"/>
          <w:szCs w:val="20"/>
          <w:lang w:val="lv-LV"/>
        </w:rPr>
        <w:t>10</w:t>
      </w:r>
      <w:r w:rsidR="003963CF" w:rsidRPr="004737AA">
        <w:rPr>
          <w:rFonts w:ascii="Times New Roman" w:hAnsi="Times New Roman" w:cs="Times New Roman"/>
          <w:sz w:val="20"/>
          <w:szCs w:val="20"/>
          <w:lang w:val="lv-LV"/>
        </w:rPr>
        <w:t>.2013. 1</w:t>
      </w:r>
      <w:r w:rsidR="00E020EA">
        <w:rPr>
          <w:rFonts w:ascii="Times New Roman" w:hAnsi="Times New Roman" w:cs="Times New Roman"/>
          <w:sz w:val="20"/>
          <w:szCs w:val="20"/>
          <w:lang w:val="lv-LV"/>
        </w:rPr>
        <w:t>5</w:t>
      </w:r>
      <w:r w:rsidR="003963CF" w:rsidRPr="004737AA">
        <w:rPr>
          <w:rFonts w:ascii="Times New Roman" w:hAnsi="Times New Roman" w:cs="Times New Roman"/>
          <w:sz w:val="20"/>
          <w:szCs w:val="20"/>
          <w:lang w:val="lv-LV"/>
        </w:rPr>
        <w:t>:</w:t>
      </w:r>
      <w:r w:rsidR="00E020EA">
        <w:rPr>
          <w:rFonts w:ascii="Times New Roman" w:hAnsi="Times New Roman" w:cs="Times New Roman"/>
          <w:sz w:val="20"/>
          <w:szCs w:val="20"/>
          <w:lang w:val="lv-LV"/>
        </w:rPr>
        <w:t>00</w:t>
      </w:r>
    </w:p>
    <w:p w:rsidR="003963CF" w:rsidRPr="004737AA" w:rsidRDefault="00547C47" w:rsidP="003963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</w:t>
      </w:r>
      <w:r w:rsidR="00E020EA">
        <w:rPr>
          <w:rFonts w:ascii="Times New Roman" w:hAnsi="Times New Roman" w:cs="Times New Roman"/>
          <w:sz w:val="20"/>
          <w:szCs w:val="20"/>
          <w:lang w:val="lv-LV"/>
        </w:rPr>
        <w:t>41</w:t>
      </w:r>
    </w:p>
    <w:p w:rsidR="003963CF" w:rsidRPr="004737AA" w:rsidRDefault="003963CF" w:rsidP="003963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4737AA">
        <w:rPr>
          <w:rFonts w:ascii="Times New Roman" w:hAnsi="Times New Roman" w:cs="Times New Roman"/>
          <w:sz w:val="20"/>
          <w:szCs w:val="20"/>
          <w:lang w:val="lv-LV"/>
        </w:rPr>
        <w:t>Raimonds Osis</w:t>
      </w:r>
    </w:p>
    <w:p w:rsidR="00421185" w:rsidRPr="004737AA" w:rsidRDefault="003963CF" w:rsidP="003963C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bookmarkStart w:id="0" w:name="OLE_LINK10"/>
      <w:bookmarkStart w:id="1" w:name="OLE_LINK11"/>
      <w:r w:rsidRPr="004737AA">
        <w:rPr>
          <w:rFonts w:ascii="Times New Roman" w:hAnsi="Times New Roman" w:cs="Times New Roman"/>
          <w:sz w:val="20"/>
          <w:szCs w:val="20"/>
          <w:lang w:val="lv-LV"/>
        </w:rPr>
        <w:t xml:space="preserve">67876063, </w:t>
      </w:r>
      <w:hyperlink r:id="rId6" w:history="1">
        <w:r w:rsidRPr="004737AA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lv-LV"/>
          </w:rPr>
          <w:t>Raimonds.Osis@vm.gov.lv</w:t>
        </w:r>
      </w:hyperlink>
      <w:bookmarkEnd w:id="0"/>
      <w:bookmarkEnd w:id="1"/>
      <w:r w:rsidRPr="004737AA">
        <w:rPr>
          <w:rFonts w:ascii="Times New Roman" w:hAnsi="Times New Roman" w:cs="Times New Roman"/>
          <w:sz w:val="20"/>
          <w:szCs w:val="20"/>
          <w:lang w:val="lv-LV"/>
        </w:rPr>
        <w:br w:type="textWrapping" w:clear="all"/>
      </w:r>
    </w:p>
    <w:sectPr w:rsidR="00421185" w:rsidRPr="004737AA" w:rsidSect="00333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6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DB" w:rsidRDefault="00C70ADB" w:rsidP="00333411">
      <w:pPr>
        <w:spacing w:after="0" w:line="240" w:lineRule="auto"/>
      </w:pPr>
      <w:r>
        <w:separator/>
      </w:r>
    </w:p>
  </w:endnote>
  <w:endnote w:type="continuationSeparator" w:id="0">
    <w:p w:rsidR="00C70ADB" w:rsidRDefault="00C70ADB" w:rsidP="0033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EA" w:rsidRDefault="00E02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DB" w:rsidRDefault="00C70ADB" w:rsidP="003963CF">
    <w:pPr>
      <w:pStyle w:val="Header"/>
      <w:rPr>
        <w:rFonts w:ascii="Times New Roman" w:hAnsi="Times New Roman" w:cs="Times New Roman"/>
        <w:sz w:val="20"/>
        <w:szCs w:val="20"/>
        <w:lang w:val="lv-LV"/>
      </w:rPr>
    </w:pPr>
  </w:p>
  <w:p w:rsidR="00C70ADB" w:rsidRPr="003963CF" w:rsidRDefault="00C70ADB" w:rsidP="003963CF">
    <w:pPr>
      <w:pStyle w:val="Header"/>
      <w:rPr>
        <w:rFonts w:ascii="Times New Roman" w:hAnsi="Times New Roman" w:cs="Times New Roman"/>
        <w:sz w:val="20"/>
        <w:szCs w:val="20"/>
        <w:lang w:val="lv-LV"/>
      </w:rPr>
    </w:pPr>
    <w:r w:rsidRPr="003963CF">
      <w:rPr>
        <w:rFonts w:ascii="Times New Roman" w:hAnsi="Times New Roman" w:cs="Times New Roman"/>
        <w:sz w:val="20"/>
        <w:szCs w:val="20"/>
        <w:lang w:val="lv-LV"/>
      </w:rPr>
      <w:t>VMAnotp1_</w:t>
    </w:r>
    <w:r>
      <w:rPr>
        <w:rFonts w:ascii="Times New Roman" w:hAnsi="Times New Roman" w:cs="Times New Roman"/>
        <w:sz w:val="20"/>
        <w:szCs w:val="20"/>
        <w:lang w:val="lv-LV"/>
      </w:rPr>
      <w:t>2</w:t>
    </w:r>
    <w:r w:rsidR="00E020EA">
      <w:rPr>
        <w:rFonts w:ascii="Times New Roman" w:hAnsi="Times New Roman" w:cs="Times New Roman"/>
        <w:sz w:val="20"/>
        <w:szCs w:val="20"/>
        <w:lang w:val="lv-LV"/>
      </w:rPr>
      <w:t>8</w:t>
    </w:r>
    <w:r>
      <w:rPr>
        <w:rFonts w:ascii="Times New Roman" w:hAnsi="Times New Roman" w:cs="Times New Roman"/>
        <w:sz w:val="20"/>
        <w:szCs w:val="20"/>
        <w:lang w:val="lv-LV"/>
      </w:rPr>
      <w:t>10</w:t>
    </w:r>
    <w:r w:rsidRPr="003963CF">
      <w:rPr>
        <w:rFonts w:ascii="Times New Roman" w:hAnsi="Times New Roman" w:cs="Times New Roman"/>
        <w:sz w:val="20"/>
        <w:szCs w:val="20"/>
        <w:lang w:val="lv-LV"/>
      </w:rPr>
      <w:t>13_</w:t>
    </w:r>
    <w:r>
      <w:rPr>
        <w:rFonts w:ascii="Times New Roman" w:hAnsi="Times New Roman" w:cs="Times New Roman"/>
        <w:sz w:val="20"/>
        <w:szCs w:val="20"/>
        <w:lang w:val="lv-LV"/>
      </w:rPr>
      <w:t>VAFL</w:t>
    </w:r>
    <w:r w:rsidRPr="003963CF">
      <w:rPr>
        <w:rFonts w:ascii="Times New Roman" w:hAnsi="Times New Roman" w:cs="Times New Roman"/>
        <w:sz w:val="20"/>
        <w:szCs w:val="20"/>
        <w:lang w:val="lv-LV"/>
      </w:rPr>
      <w:t>; 1.Pielikums likumprojekta „</w:t>
    </w:r>
    <w:r w:rsidRPr="003963CF">
      <w:rPr>
        <w:rFonts w:ascii="Times New Roman" w:hAnsi="Times New Roman" w:cs="Times New Roman"/>
        <w:bCs/>
        <w:kern w:val="36"/>
        <w:sz w:val="20"/>
        <w:szCs w:val="20"/>
        <w:lang w:val="lv-LV"/>
      </w:rPr>
      <w:t>Veselības aprūpes finansēšanas likums</w:t>
    </w:r>
    <w:r w:rsidRPr="003963CF">
      <w:rPr>
        <w:rFonts w:ascii="Times New Roman" w:hAnsi="Times New Roman" w:cs="Times New Roman"/>
        <w:sz w:val="20"/>
        <w:szCs w:val="20"/>
        <w:lang w:val="lv-LV"/>
      </w:rPr>
      <w:t>” sākotnējās ietekmes novērtējuma ziņojumam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EA" w:rsidRDefault="00E02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DB" w:rsidRDefault="00C70ADB" w:rsidP="00333411">
      <w:pPr>
        <w:spacing w:after="0" w:line="240" w:lineRule="auto"/>
      </w:pPr>
      <w:r>
        <w:separator/>
      </w:r>
    </w:p>
  </w:footnote>
  <w:footnote w:type="continuationSeparator" w:id="0">
    <w:p w:rsidR="00C70ADB" w:rsidRDefault="00C70ADB" w:rsidP="0033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EA" w:rsidRDefault="00E020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DB" w:rsidRPr="003963CF" w:rsidRDefault="00C70ADB" w:rsidP="00333411">
    <w:pPr>
      <w:pStyle w:val="Header"/>
      <w:jc w:val="right"/>
      <w:rPr>
        <w:rFonts w:ascii="Times New Roman" w:hAnsi="Times New Roman" w:cs="Times New Roman"/>
        <w:sz w:val="24"/>
        <w:szCs w:val="24"/>
        <w:lang w:val="lv-LV"/>
      </w:rPr>
    </w:pPr>
    <w:r w:rsidRPr="003963CF">
      <w:rPr>
        <w:rFonts w:ascii="Times New Roman" w:hAnsi="Times New Roman" w:cs="Times New Roman"/>
        <w:sz w:val="24"/>
        <w:szCs w:val="24"/>
        <w:lang w:val="lv-LV"/>
      </w:rPr>
      <w:t>1.Pielikums likumprojekta „</w:t>
    </w:r>
    <w:r w:rsidRPr="003963CF">
      <w:rPr>
        <w:rFonts w:ascii="Times New Roman" w:hAnsi="Times New Roman" w:cs="Times New Roman"/>
        <w:bCs/>
        <w:kern w:val="36"/>
        <w:sz w:val="24"/>
        <w:szCs w:val="24"/>
        <w:lang w:val="lv-LV"/>
      </w:rPr>
      <w:t>Veselības aprūpes finansēšanas likums</w:t>
    </w:r>
    <w:r w:rsidRPr="003963CF">
      <w:rPr>
        <w:rFonts w:ascii="Times New Roman" w:hAnsi="Times New Roman" w:cs="Times New Roman"/>
        <w:sz w:val="24"/>
        <w:szCs w:val="24"/>
        <w:lang w:val="lv-LV"/>
      </w:rPr>
      <w:t xml:space="preserve">” </w:t>
    </w:r>
  </w:p>
  <w:p w:rsidR="00C70ADB" w:rsidRDefault="00C70ADB" w:rsidP="00E020EA">
    <w:pPr>
      <w:pStyle w:val="Header"/>
      <w:jc w:val="right"/>
      <w:rPr>
        <w:rFonts w:ascii="Times New Roman" w:hAnsi="Times New Roman" w:cs="Times New Roman"/>
        <w:sz w:val="24"/>
        <w:szCs w:val="24"/>
        <w:lang w:val="lv-LV"/>
      </w:rPr>
    </w:pPr>
    <w:r w:rsidRPr="003963CF">
      <w:rPr>
        <w:rFonts w:ascii="Times New Roman" w:hAnsi="Times New Roman" w:cs="Times New Roman"/>
        <w:sz w:val="24"/>
        <w:szCs w:val="24"/>
        <w:lang w:val="lv-LV"/>
      </w:rPr>
      <w:t>sākotnējās ietekmes novērtējuma ziņojumam</w:t>
    </w:r>
  </w:p>
  <w:p w:rsidR="00E020EA" w:rsidRPr="00E020EA" w:rsidRDefault="00E020EA" w:rsidP="00E020EA">
    <w:pPr>
      <w:pStyle w:val="Header"/>
      <w:jc w:val="center"/>
      <w:rPr>
        <w:rFonts w:ascii="Times New Roman" w:hAnsi="Times New Roman" w:cs="Times New Roman"/>
        <w:sz w:val="24"/>
        <w:szCs w:val="24"/>
        <w:lang w:val="lv-LV"/>
      </w:rPr>
    </w:pPr>
    <w:r w:rsidRPr="003963CF">
      <w:rPr>
        <w:rFonts w:ascii="Times New Roman" w:hAnsi="Times New Roman" w:cs="Times New Roman"/>
        <w:b/>
        <w:sz w:val="24"/>
        <w:szCs w:val="24"/>
        <w:lang w:val="lv-LV"/>
      </w:rPr>
      <w:t>Automātiskas datu apstrādes struktūra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EA" w:rsidRDefault="00E02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411"/>
    <w:rsid w:val="00027EBA"/>
    <w:rsid w:val="00191EBB"/>
    <w:rsid w:val="00192391"/>
    <w:rsid w:val="002129FE"/>
    <w:rsid w:val="0025194A"/>
    <w:rsid w:val="00333411"/>
    <w:rsid w:val="003963CF"/>
    <w:rsid w:val="00421185"/>
    <w:rsid w:val="004737AA"/>
    <w:rsid w:val="00547C47"/>
    <w:rsid w:val="006076A2"/>
    <w:rsid w:val="00936184"/>
    <w:rsid w:val="00B63E39"/>
    <w:rsid w:val="00BD614D"/>
    <w:rsid w:val="00C70ADB"/>
    <w:rsid w:val="00C94927"/>
    <w:rsid w:val="00DE4A41"/>
    <w:rsid w:val="00E020EA"/>
    <w:rsid w:val="00E76D4C"/>
    <w:rsid w:val="00F5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2"/>
    <o:shapelayout v:ext="edit">
      <o:idmap v:ext="edit" data="1"/>
      <o:rules v:ext="edit">
        <o:r id="V:Rule1" type="connector" idref="#_x0000_s1037"/>
        <o:r id="V:Rule2" type="connector" idref="#_x0000_s1075"/>
        <o:r id="V:Rule3" type="connector" idref="#_x0000_s1077"/>
        <o:r id="V:Rule4" type="connector" idref="#_x0000_s1070"/>
        <o:r id="V:Rule5" type="connector" idref="#_x0000_s1076"/>
        <o:r id="V:Rule6" type="connector" idref="#_x0000_s1069"/>
        <o:r id="V:Rule7" type="connector" idref="#_x0000_s1039"/>
        <o:r id="V:Rule8" type="connector" idref="#_x0000_s1072"/>
        <o:r id="V:Rule9" type="connector" idref="#_x0000_s1078"/>
        <o:r id="V:Rule10" type="connector" idref="#_x0000_s1038"/>
        <o:r id="V:Rule11" type="connector" idref="#_x0000_s1049"/>
        <o:r id="V:Rule12" type="connector" idref="#_x0000_s1040"/>
        <o:r id="V:Rule13" type="connector" idref="#_x0000_s1071"/>
        <o:r id="V:Rule14" type="connector" idref="#_x0000_s1073"/>
        <o:r id="V:Rule15" type="connector" idref="#_x0000_s1079"/>
        <o:r id="V:Rule16" type="connector" idref="#_x0000_s1041"/>
        <o:r id="V:Rule17" type="connector" idref="#_x0000_s1091"/>
        <o:r id="V:Rule18" type="connector" idref="#_x0000_s1129"/>
        <o:r id="V:Rule19" type="connector" idref="#_x0000_s1131"/>
        <o:r id="V:Rule20" type="connector" idref="#_x0000_s1124"/>
        <o:r id="V:Rule21" type="connector" idref="#_x0000_s1130"/>
        <o:r id="V:Rule22" type="connector" idref="#_x0000_s1123"/>
        <o:r id="V:Rule23" type="connector" idref="#_x0000_s1093"/>
        <o:r id="V:Rule24" type="connector" idref="#_x0000_s1126"/>
        <o:r id="V:Rule25" type="connector" idref="#_x0000_s1132"/>
        <o:r id="V:Rule26" type="connector" idref="#_x0000_s1092"/>
        <o:r id="V:Rule27" type="connector" idref="#_x0000_s1103"/>
        <o:r id="V:Rule28" type="connector" idref="#_x0000_s1094"/>
        <o:r id="V:Rule29" type="connector" idref="#_x0000_s1125"/>
        <o:r id="V:Rule30" type="connector" idref="#_x0000_s1127"/>
        <o:r id="V:Rule31" type="connector" idref="#_x0000_s1133"/>
        <o:r id="V:Rule32" type="connector" idref="#_x0000_s1095"/>
        <o:r id="V:Rule33" type="connector" idref="#_x0000_s1145"/>
        <o:r id="V:Rule34" type="connector" idref="#_x0000_s1183"/>
        <o:r id="V:Rule35" type="connector" idref="#_x0000_s1185"/>
        <o:r id="V:Rule36" type="connector" idref="#_x0000_s1178"/>
        <o:r id="V:Rule37" type="connector" idref="#_x0000_s1184"/>
        <o:r id="V:Rule38" type="connector" idref="#_x0000_s1177"/>
        <o:r id="V:Rule39" type="connector" idref="#_x0000_s1147"/>
        <o:r id="V:Rule40" type="connector" idref="#_x0000_s1180"/>
        <o:r id="V:Rule41" type="connector" idref="#_x0000_s1186"/>
        <o:r id="V:Rule42" type="connector" idref="#_x0000_s1146"/>
        <o:r id="V:Rule43" type="connector" idref="#_x0000_s1157"/>
        <o:r id="V:Rule44" type="connector" idref="#_x0000_s1148"/>
        <o:r id="V:Rule45" type="connector" idref="#_x0000_s1179"/>
        <o:r id="V:Rule46" type="connector" idref="#_x0000_s1181"/>
        <o:r id="V:Rule47" type="connector" idref="#_x0000_s1187"/>
        <o:r id="V:Rule48" type="connector" idref="#_x0000_s1149"/>
        <o:r id="V:Rule49" type="connector" idref="#_x0000_s1199"/>
        <o:r id="V:Rule50" type="connector" idref="#_x0000_s1237"/>
        <o:r id="V:Rule51" type="connector" idref="#_x0000_s1239"/>
        <o:r id="V:Rule52" type="connector" idref="#_x0000_s1232"/>
        <o:r id="V:Rule53" type="connector" idref="#_x0000_s1238"/>
        <o:r id="V:Rule54" type="connector" idref="#_x0000_s1231"/>
        <o:r id="V:Rule55" type="connector" idref="#_x0000_s1201"/>
        <o:r id="V:Rule56" type="connector" idref="#_x0000_s1234"/>
        <o:r id="V:Rule57" type="connector" idref="#_x0000_s1240"/>
        <o:r id="V:Rule58" type="connector" idref="#_x0000_s1200"/>
        <o:r id="V:Rule59" type="connector" idref="#_x0000_s1211"/>
        <o:r id="V:Rule60" type="connector" idref="#_x0000_s1202"/>
        <o:r id="V:Rule61" type="connector" idref="#_x0000_s1233"/>
        <o:r id="V:Rule62" type="connector" idref="#_x0000_s1235"/>
        <o:r id="V:Rule63" type="connector" idref="#_x0000_s1241"/>
        <o:r id="V:Rule64" type="connector" idref="#_x0000_s12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11"/>
  </w:style>
  <w:style w:type="paragraph" w:styleId="Footer">
    <w:name w:val="footer"/>
    <w:basedOn w:val="Normal"/>
    <w:link w:val="FooterChar"/>
    <w:uiPriority w:val="99"/>
    <w:semiHidden/>
    <w:unhideWhenUsed/>
    <w:rsid w:val="00333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411"/>
  </w:style>
  <w:style w:type="character" w:styleId="Hyperlink">
    <w:name w:val="Hyperlink"/>
    <w:rsid w:val="00396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monds.Osis@v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likumprojekta „Veselības aprūpes finansēšanas likums” sākotnējās ietekmes novērtējuma ziņojumam</vt:lpstr>
    </vt:vector>
  </TitlesOfParts>
  <Company>Veselības ministrija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likumprojekta „Veselības aprūpes finansēšanas likums” sākotnējās ietekmes novērtējuma ziņojumam</dc:title>
  <dc:subject>Pielikums anotācijai</dc:subject>
  <dc:creator>Raimonds Osis</dc:creator>
  <cp:keywords/>
  <dc:description>raimonds.osis@vm.gov.lv; tel.67876063</dc:description>
  <cp:lastModifiedBy>rosis</cp:lastModifiedBy>
  <cp:revision>2</cp:revision>
  <dcterms:created xsi:type="dcterms:W3CDTF">2013-10-28T13:00:00Z</dcterms:created>
  <dcterms:modified xsi:type="dcterms:W3CDTF">2013-10-28T13:00:00Z</dcterms:modified>
</cp:coreProperties>
</file>