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A4" w:rsidRPr="00FE4049" w:rsidRDefault="00FC0FA4">
      <w:pPr>
        <w:pStyle w:val="Title"/>
        <w:ind w:left="8640"/>
        <w:jc w:val="left"/>
        <w:rPr>
          <w:b w:val="0"/>
          <w:sz w:val="24"/>
          <w:szCs w:val="24"/>
        </w:rPr>
      </w:pPr>
      <w:bookmarkStart w:id="0" w:name="OLE_LINK8"/>
      <w:bookmarkStart w:id="1" w:name="OLE_LINK9"/>
      <w:bookmarkStart w:id="2" w:name="OLE_LINK14"/>
    </w:p>
    <w:p w:rsidR="00FE4049" w:rsidRDefault="00C5124D" w:rsidP="00FE4049">
      <w:pPr>
        <w:pStyle w:val="Footer"/>
        <w:ind w:left="4593"/>
        <w:jc w:val="both"/>
        <w:rPr>
          <w:sz w:val="22"/>
          <w:szCs w:val="22"/>
          <w:lang w:val="lv-LV"/>
        </w:rPr>
      </w:pPr>
      <w:bookmarkStart w:id="3" w:name="OLE_LINK12"/>
      <w:bookmarkStart w:id="4" w:name="OLE_LINK13"/>
      <w:r w:rsidRPr="00FE4049">
        <w:rPr>
          <w:sz w:val="24"/>
          <w:szCs w:val="24"/>
          <w:lang w:val="lv-LV"/>
        </w:rPr>
        <w:t>Pielikums</w:t>
      </w:r>
      <w:r w:rsidR="003B7FF3" w:rsidRPr="00FE4049">
        <w:rPr>
          <w:b/>
          <w:sz w:val="24"/>
          <w:szCs w:val="24"/>
          <w:lang w:val="lv-LV"/>
        </w:rPr>
        <w:t xml:space="preserve"> </w:t>
      </w:r>
      <w:bookmarkEnd w:id="0"/>
      <w:bookmarkEnd w:id="1"/>
      <w:bookmarkEnd w:id="2"/>
      <w:r w:rsidR="00FE4049" w:rsidRPr="00FE4049">
        <w:rPr>
          <w:sz w:val="22"/>
          <w:szCs w:val="22"/>
          <w:lang w:val="lv-LV"/>
        </w:rPr>
        <w:t xml:space="preserve">Ministru kabineta sēdes protokollēmuma </w:t>
      </w:r>
    </w:p>
    <w:p w:rsidR="00FE4049" w:rsidRDefault="00FE4049" w:rsidP="00FE4049">
      <w:pPr>
        <w:pStyle w:val="Footer"/>
        <w:ind w:left="4593"/>
        <w:jc w:val="both"/>
        <w:rPr>
          <w:bCs/>
          <w:sz w:val="22"/>
          <w:szCs w:val="22"/>
          <w:lang w:val="lv-LV"/>
        </w:rPr>
      </w:pPr>
      <w:r w:rsidRPr="00FE4049">
        <w:rPr>
          <w:sz w:val="22"/>
          <w:szCs w:val="22"/>
          <w:lang w:val="lv-LV"/>
        </w:rPr>
        <w:t>„Par Ministru kabineta 2009.gada 6.oktobra sēdes protokollēmumā (prot. Nr.67 23.</w:t>
      </w:r>
      <w:r>
        <w:rPr>
          <w:bCs/>
          <w:sz w:val="22"/>
          <w:szCs w:val="22"/>
          <w:lang w:val="lv-LV"/>
        </w:rPr>
        <w:t xml:space="preserve"> §)</w:t>
      </w:r>
    </w:p>
    <w:p w:rsidR="00FE4049" w:rsidRPr="00FE4049" w:rsidRDefault="00FE4049" w:rsidP="00FE4049">
      <w:pPr>
        <w:pStyle w:val="Footer"/>
        <w:ind w:left="4593"/>
        <w:jc w:val="both"/>
        <w:rPr>
          <w:bCs/>
          <w:sz w:val="22"/>
          <w:szCs w:val="22"/>
          <w:lang w:val="lv-LV"/>
        </w:rPr>
      </w:pPr>
      <w:r w:rsidRPr="00FE4049">
        <w:rPr>
          <w:bCs/>
          <w:sz w:val="22"/>
          <w:szCs w:val="22"/>
          <w:lang w:val="lv-LV"/>
        </w:rPr>
        <w:t>„Noteikumu projekts „Grozījums Ministru kabineta 2005.gada</w:t>
      </w:r>
      <w:r>
        <w:rPr>
          <w:bCs/>
          <w:sz w:val="22"/>
          <w:szCs w:val="22"/>
          <w:lang w:val="lv-LV"/>
        </w:rPr>
        <w:t xml:space="preserve"> 27.decembra noteikumos Nr.1043 </w:t>
      </w:r>
      <w:r w:rsidRPr="00FE4049">
        <w:rPr>
          <w:bCs/>
          <w:sz w:val="22"/>
          <w:szCs w:val="22"/>
          <w:lang w:val="lv-LV"/>
        </w:rPr>
        <w:t>„Katastrofu medicīnas centra sniegto maksas pakalpojumu cen</w:t>
      </w:r>
      <w:r>
        <w:rPr>
          <w:bCs/>
          <w:sz w:val="22"/>
          <w:szCs w:val="22"/>
          <w:lang w:val="lv-LV"/>
        </w:rPr>
        <w:t xml:space="preserve">rādis””” dotā uzdevuma izpildes </w:t>
      </w:r>
      <w:r w:rsidRPr="00FE4049">
        <w:rPr>
          <w:bCs/>
          <w:sz w:val="22"/>
          <w:szCs w:val="22"/>
          <w:lang w:val="lv-LV"/>
        </w:rPr>
        <w:t xml:space="preserve">termiņa pagarinājumu” </w:t>
      </w:r>
      <w:r w:rsidRPr="00FE4049">
        <w:rPr>
          <w:sz w:val="22"/>
          <w:szCs w:val="22"/>
          <w:lang w:val="lv-LV"/>
        </w:rPr>
        <w:t>projekta sākotnējās ietekmes novērtējuma ziņojumam</w:t>
      </w:r>
      <w:r w:rsidRPr="00FE4049">
        <w:rPr>
          <w:bCs/>
          <w:sz w:val="22"/>
          <w:szCs w:val="22"/>
          <w:lang w:val="lv-LV"/>
        </w:rPr>
        <w:t xml:space="preserve"> (anotācijai)</w:t>
      </w:r>
      <w:bookmarkEnd w:id="3"/>
      <w:bookmarkEnd w:id="4"/>
    </w:p>
    <w:p w:rsidR="002A65C9" w:rsidRPr="00FE4049" w:rsidRDefault="002A65C9" w:rsidP="00FE4049">
      <w:pPr>
        <w:pStyle w:val="Title"/>
        <w:ind w:left="4593"/>
        <w:jc w:val="left"/>
        <w:rPr>
          <w:b w:val="0"/>
          <w:sz w:val="24"/>
          <w:szCs w:val="24"/>
        </w:rPr>
      </w:pPr>
    </w:p>
    <w:p w:rsidR="00FC0FA4" w:rsidRPr="003B7FF3" w:rsidRDefault="00FC0FA4" w:rsidP="002A65C9">
      <w:pPr>
        <w:pStyle w:val="Title"/>
        <w:rPr>
          <w:szCs w:val="28"/>
        </w:rPr>
      </w:pPr>
    </w:p>
    <w:p w:rsidR="00FC0FA4" w:rsidRPr="003B7FF3" w:rsidRDefault="003475D3" w:rsidP="003B7FF3">
      <w:pPr>
        <w:pStyle w:val="Title"/>
        <w:rPr>
          <w:szCs w:val="28"/>
        </w:rPr>
      </w:pPr>
      <w:r w:rsidRPr="003B7FF3">
        <w:rPr>
          <w:szCs w:val="28"/>
        </w:rPr>
        <w:t xml:space="preserve">Neatliekamās medicīniskās palīdzības dienesta </w:t>
      </w:r>
      <w:r w:rsidR="00FE4049">
        <w:rPr>
          <w:szCs w:val="28"/>
        </w:rPr>
        <w:t>valsts nodevu apmēru veidojošās izmaksu pozīcijas</w:t>
      </w:r>
      <w:r w:rsidRPr="003B7FF3">
        <w:rPr>
          <w:szCs w:val="28"/>
        </w:rPr>
        <w:t xml:space="preserve"> </w:t>
      </w:r>
    </w:p>
    <w:p w:rsidR="002651D2" w:rsidRDefault="002651D2" w:rsidP="00D91A4B">
      <w:pPr>
        <w:jc w:val="both"/>
        <w:rPr>
          <w:lang w:val="lv-LV"/>
        </w:rPr>
      </w:pPr>
    </w:p>
    <w:tbl>
      <w:tblPr>
        <w:tblW w:w="13783" w:type="dxa"/>
        <w:tblInd w:w="-176" w:type="dxa"/>
        <w:tblLayout w:type="fixed"/>
        <w:tblLook w:val="0000"/>
      </w:tblPr>
      <w:tblGrid>
        <w:gridCol w:w="851"/>
        <w:gridCol w:w="2127"/>
        <w:gridCol w:w="992"/>
        <w:gridCol w:w="1307"/>
        <w:gridCol w:w="850"/>
        <w:gridCol w:w="993"/>
        <w:gridCol w:w="1134"/>
        <w:gridCol w:w="1134"/>
        <w:gridCol w:w="1134"/>
        <w:gridCol w:w="993"/>
        <w:gridCol w:w="1275"/>
        <w:gridCol w:w="993"/>
      </w:tblGrid>
      <w:tr w:rsidR="00E6293F" w:rsidRPr="00463123" w:rsidTr="000F6C94">
        <w:trPr>
          <w:trHeight w:val="405"/>
        </w:trPr>
        <w:tc>
          <w:tcPr>
            <w:tcW w:w="851" w:type="dxa"/>
            <w:vMerge w:val="restart"/>
            <w:tcBorders>
              <w:top w:val="single" w:sz="4" w:space="0" w:color="auto"/>
              <w:left w:val="single" w:sz="4" w:space="0" w:color="auto"/>
              <w:right w:val="nil"/>
            </w:tcBorders>
            <w:noWrap/>
          </w:tcPr>
          <w:p w:rsidR="00E6293F" w:rsidRPr="00463123" w:rsidRDefault="00E6293F" w:rsidP="008F6A28">
            <w:pPr>
              <w:jc w:val="center"/>
              <w:rPr>
                <w:sz w:val="22"/>
                <w:szCs w:val="22"/>
                <w:lang w:val="lv-LV"/>
              </w:rPr>
            </w:pPr>
          </w:p>
          <w:p w:rsidR="00E6293F" w:rsidRPr="00463123" w:rsidRDefault="00E6293F" w:rsidP="008F6A28">
            <w:pPr>
              <w:jc w:val="center"/>
              <w:rPr>
                <w:sz w:val="22"/>
                <w:szCs w:val="22"/>
                <w:lang w:val="lv-LV"/>
              </w:rPr>
            </w:pPr>
            <w:r w:rsidRPr="00463123">
              <w:rPr>
                <w:sz w:val="22"/>
                <w:szCs w:val="22"/>
                <w:lang w:val="lv-LV"/>
              </w:rPr>
              <w:t>Nr.p.k.</w:t>
            </w:r>
            <w:r w:rsidR="00FE4049" w:rsidRPr="00463123">
              <w:rPr>
                <w:sz w:val="22"/>
                <w:szCs w:val="22"/>
                <w:lang w:val="lv-LV"/>
              </w:rPr>
              <w:t>*</w:t>
            </w:r>
          </w:p>
        </w:tc>
        <w:tc>
          <w:tcPr>
            <w:tcW w:w="2127" w:type="dxa"/>
            <w:vMerge w:val="restart"/>
            <w:tcBorders>
              <w:top w:val="single" w:sz="4" w:space="0" w:color="auto"/>
              <w:left w:val="single" w:sz="4" w:space="0" w:color="auto"/>
              <w:right w:val="single" w:sz="4" w:space="0" w:color="auto"/>
            </w:tcBorders>
            <w:noWrap/>
            <w:vAlign w:val="center"/>
          </w:tcPr>
          <w:p w:rsidR="00E6293F" w:rsidRPr="00463123" w:rsidRDefault="00E6293F" w:rsidP="008F6A28">
            <w:pPr>
              <w:jc w:val="both"/>
              <w:rPr>
                <w:sz w:val="24"/>
                <w:szCs w:val="24"/>
                <w:lang w:val="lv-LV"/>
              </w:rPr>
            </w:pPr>
            <w:r w:rsidRPr="00463123">
              <w:rPr>
                <w:sz w:val="24"/>
                <w:szCs w:val="24"/>
                <w:lang w:val="lv-LV"/>
              </w:rPr>
              <w:t>Pakalpojuma nosaukums</w:t>
            </w:r>
          </w:p>
        </w:tc>
        <w:tc>
          <w:tcPr>
            <w:tcW w:w="992" w:type="dxa"/>
            <w:vMerge w:val="restart"/>
            <w:tcBorders>
              <w:top w:val="single" w:sz="4" w:space="0" w:color="auto"/>
              <w:left w:val="single" w:sz="4" w:space="0" w:color="auto"/>
              <w:right w:val="single" w:sz="4" w:space="0" w:color="auto"/>
            </w:tcBorders>
            <w:vAlign w:val="center"/>
          </w:tcPr>
          <w:p w:rsidR="00E6293F" w:rsidRPr="00463123" w:rsidRDefault="00E6293F" w:rsidP="008F6A28">
            <w:pPr>
              <w:jc w:val="center"/>
              <w:rPr>
                <w:sz w:val="22"/>
                <w:szCs w:val="22"/>
                <w:lang w:val="lv-LV"/>
              </w:rPr>
            </w:pPr>
            <w:r w:rsidRPr="00463123">
              <w:rPr>
                <w:sz w:val="22"/>
                <w:szCs w:val="22"/>
                <w:lang w:val="lv-LV"/>
              </w:rPr>
              <w:t>Mērvienība</w:t>
            </w:r>
          </w:p>
        </w:tc>
        <w:tc>
          <w:tcPr>
            <w:tcW w:w="1307" w:type="dxa"/>
            <w:vMerge w:val="restart"/>
            <w:tcBorders>
              <w:top w:val="single" w:sz="4" w:space="0" w:color="auto"/>
              <w:left w:val="single" w:sz="4" w:space="0" w:color="auto"/>
              <w:right w:val="single" w:sz="4" w:space="0" w:color="auto"/>
            </w:tcBorders>
            <w:vAlign w:val="center"/>
          </w:tcPr>
          <w:p w:rsidR="00E6293F" w:rsidRPr="00463123" w:rsidRDefault="00E6293F" w:rsidP="008F6A28">
            <w:pPr>
              <w:jc w:val="center"/>
              <w:rPr>
                <w:sz w:val="22"/>
                <w:szCs w:val="22"/>
                <w:lang w:val="lv-LV"/>
              </w:rPr>
            </w:pPr>
            <w:r w:rsidRPr="00463123">
              <w:rPr>
                <w:sz w:val="22"/>
                <w:szCs w:val="22"/>
                <w:lang w:val="lv-LV"/>
              </w:rPr>
              <w:t>Iesaistīto</w:t>
            </w:r>
          </w:p>
          <w:p w:rsidR="00E6293F" w:rsidRPr="00463123" w:rsidRDefault="00E6293F" w:rsidP="008F6A28">
            <w:pPr>
              <w:jc w:val="center"/>
              <w:rPr>
                <w:sz w:val="22"/>
                <w:szCs w:val="22"/>
                <w:lang w:val="lv-LV"/>
              </w:rPr>
            </w:pPr>
            <w:r w:rsidRPr="00463123">
              <w:rPr>
                <w:sz w:val="22"/>
                <w:szCs w:val="22"/>
                <w:lang w:val="lv-LV"/>
              </w:rPr>
              <w:t>cilvēku</w:t>
            </w:r>
          </w:p>
          <w:p w:rsidR="00E6293F" w:rsidRPr="00463123" w:rsidRDefault="00E6293F" w:rsidP="008F6A28">
            <w:pPr>
              <w:jc w:val="center"/>
              <w:rPr>
                <w:sz w:val="22"/>
                <w:szCs w:val="22"/>
                <w:lang w:val="lv-LV"/>
              </w:rPr>
            </w:pPr>
            <w:r w:rsidRPr="00463123">
              <w:rPr>
                <w:sz w:val="22"/>
                <w:szCs w:val="22"/>
                <w:lang w:val="lv-LV"/>
              </w:rPr>
              <w:t>skaits</w:t>
            </w:r>
          </w:p>
        </w:tc>
        <w:tc>
          <w:tcPr>
            <w:tcW w:w="850" w:type="dxa"/>
            <w:vMerge w:val="restart"/>
            <w:tcBorders>
              <w:top w:val="single" w:sz="4" w:space="0" w:color="auto"/>
              <w:left w:val="single" w:sz="4" w:space="0" w:color="auto"/>
              <w:right w:val="single" w:sz="4" w:space="0" w:color="auto"/>
            </w:tcBorders>
            <w:vAlign w:val="center"/>
          </w:tcPr>
          <w:p w:rsidR="00E6293F" w:rsidRPr="00463123" w:rsidRDefault="00E6293F" w:rsidP="008F6A28">
            <w:pPr>
              <w:jc w:val="center"/>
              <w:rPr>
                <w:sz w:val="22"/>
                <w:szCs w:val="22"/>
                <w:lang w:val="lv-LV"/>
              </w:rPr>
            </w:pPr>
            <w:r w:rsidRPr="00463123">
              <w:rPr>
                <w:sz w:val="22"/>
                <w:szCs w:val="22"/>
                <w:lang w:val="lv-LV"/>
              </w:rPr>
              <w:t>Vidējā darba alga stundā</w:t>
            </w:r>
          </w:p>
          <w:p w:rsidR="00E6293F" w:rsidRPr="00463123" w:rsidRDefault="00E6293F" w:rsidP="008F6A28">
            <w:pPr>
              <w:jc w:val="center"/>
              <w:rPr>
                <w:sz w:val="22"/>
                <w:szCs w:val="22"/>
                <w:lang w:val="lv-LV"/>
              </w:rPr>
            </w:pPr>
            <w:r w:rsidRPr="00463123">
              <w:rPr>
                <w:sz w:val="22"/>
                <w:szCs w:val="22"/>
                <w:lang w:val="lv-LV"/>
              </w:rPr>
              <w:t>(Ls)</w:t>
            </w:r>
          </w:p>
        </w:tc>
        <w:tc>
          <w:tcPr>
            <w:tcW w:w="993" w:type="dxa"/>
            <w:tcBorders>
              <w:top w:val="single" w:sz="4" w:space="0" w:color="auto"/>
              <w:left w:val="single" w:sz="4" w:space="0" w:color="auto"/>
              <w:right w:val="single" w:sz="4" w:space="0" w:color="auto"/>
            </w:tcBorders>
          </w:tcPr>
          <w:p w:rsidR="00E6293F" w:rsidRPr="00463123" w:rsidRDefault="00E6293F" w:rsidP="008F6A28">
            <w:pPr>
              <w:jc w:val="center"/>
              <w:rPr>
                <w:sz w:val="22"/>
                <w:szCs w:val="22"/>
                <w:lang w:val="lv-LV"/>
              </w:rPr>
            </w:pPr>
          </w:p>
        </w:tc>
        <w:tc>
          <w:tcPr>
            <w:tcW w:w="4395" w:type="dxa"/>
            <w:gridSpan w:val="4"/>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2"/>
                <w:szCs w:val="22"/>
                <w:lang w:val="lv-LV"/>
              </w:rPr>
            </w:pPr>
            <w:r w:rsidRPr="00463123">
              <w:rPr>
                <w:sz w:val="22"/>
                <w:szCs w:val="22"/>
                <w:lang w:val="lv-LV"/>
              </w:rPr>
              <w:t>Tiešās izmaksas</w:t>
            </w:r>
          </w:p>
        </w:tc>
        <w:tc>
          <w:tcPr>
            <w:tcW w:w="1275" w:type="dxa"/>
            <w:vMerge w:val="restart"/>
            <w:tcBorders>
              <w:top w:val="single" w:sz="4" w:space="0" w:color="auto"/>
              <w:left w:val="nil"/>
              <w:right w:val="single" w:sz="4" w:space="0" w:color="auto"/>
            </w:tcBorders>
            <w:noWrap/>
            <w:vAlign w:val="center"/>
          </w:tcPr>
          <w:p w:rsidR="00E6293F" w:rsidRPr="00463123" w:rsidRDefault="00E6293F" w:rsidP="008F6A28">
            <w:pPr>
              <w:jc w:val="center"/>
              <w:rPr>
                <w:sz w:val="22"/>
                <w:szCs w:val="22"/>
                <w:lang w:val="lv-LV"/>
              </w:rPr>
            </w:pPr>
            <w:r w:rsidRPr="00463123">
              <w:rPr>
                <w:sz w:val="22"/>
                <w:szCs w:val="22"/>
                <w:lang w:val="lv-LV"/>
              </w:rPr>
              <w:t xml:space="preserve">Netiešās izmaksas (administrā-cijas izdevumi) </w:t>
            </w:r>
          </w:p>
          <w:p w:rsidR="00E6293F" w:rsidRPr="00463123" w:rsidRDefault="00E6293F" w:rsidP="008F6A28">
            <w:pPr>
              <w:jc w:val="center"/>
              <w:rPr>
                <w:sz w:val="22"/>
                <w:szCs w:val="22"/>
                <w:lang w:val="lv-LV"/>
              </w:rPr>
            </w:pPr>
            <w:r w:rsidRPr="00463123">
              <w:rPr>
                <w:sz w:val="22"/>
                <w:szCs w:val="22"/>
                <w:lang w:val="lv-LV"/>
              </w:rPr>
              <w:t>(Ls)</w:t>
            </w:r>
          </w:p>
        </w:tc>
        <w:tc>
          <w:tcPr>
            <w:tcW w:w="993" w:type="dxa"/>
            <w:vMerge w:val="restart"/>
            <w:tcBorders>
              <w:top w:val="single" w:sz="4" w:space="0" w:color="auto"/>
              <w:left w:val="nil"/>
              <w:right w:val="single" w:sz="4" w:space="0" w:color="auto"/>
            </w:tcBorders>
            <w:vAlign w:val="center"/>
          </w:tcPr>
          <w:p w:rsidR="00E6293F" w:rsidRPr="00463123" w:rsidRDefault="00FE4049" w:rsidP="008F6A28">
            <w:pPr>
              <w:jc w:val="center"/>
              <w:rPr>
                <w:sz w:val="22"/>
                <w:szCs w:val="22"/>
                <w:lang w:val="lv-LV"/>
              </w:rPr>
            </w:pPr>
            <w:r w:rsidRPr="00463123">
              <w:rPr>
                <w:sz w:val="22"/>
                <w:szCs w:val="22"/>
                <w:lang w:val="lv-LV"/>
              </w:rPr>
              <w:t>Kopā valsts nodevas apmērs</w:t>
            </w:r>
          </w:p>
          <w:p w:rsidR="00E6293F" w:rsidRPr="00463123" w:rsidRDefault="00E6293F" w:rsidP="008F6A28">
            <w:pPr>
              <w:jc w:val="center"/>
              <w:rPr>
                <w:sz w:val="22"/>
                <w:szCs w:val="22"/>
                <w:lang w:val="lv-LV"/>
              </w:rPr>
            </w:pPr>
            <w:r w:rsidRPr="00463123">
              <w:rPr>
                <w:sz w:val="22"/>
                <w:szCs w:val="22"/>
                <w:lang w:val="lv-LV"/>
              </w:rPr>
              <w:t>(Ls)</w:t>
            </w:r>
          </w:p>
        </w:tc>
      </w:tr>
      <w:tr w:rsidR="00E6293F" w:rsidRPr="00463123" w:rsidTr="000F6C94">
        <w:trPr>
          <w:trHeight w:val="2170"/>
        </w:trPr>
        <w:tc>
          <w:tcPr>
            <w:tcW w:w="851" w:type="dxa"/>
            <w:vMerge/>
            <w:tcBorders>
              <w:left w:val="single" w:sz="4" w:space="0" w:color="auto"/>
              <w:bottom w:val="nil"/>
              <w:right w:val="nil"/>
            </w:tcBorders>
            <w:noWrap/>
          </w:tcPr>
          <w:p w:rsidR="00E6293F" w:rsidRPr="00463123" w:rsidRDefault="00E6293F" w:rsidP="008F6A28">
            <w:pPr>
              <w:jc w:val="center"/>
              <w:rPr>
                <w:sz w:val="22"/>
                <w:szCs w:val="22"/>
                <w:lang w:val="lv-LV"/>
              </w:rPr>
            </w:pPr>
          </w:p>
        </w:tc>
        <w:tc>
          <w:tcPr>
            <w:tcW w:w="2127" w:type="dxa"/>
            <w:vMerge/>
            <w:tcBorders>
              <w:left w:val="single" w:sz="4" w:space="0" w:color="auto"/>
              <w:bottom w:val="nil"/>
              <w:right w:val="single" w:sz="4" w:space="0" w:color="auto"/>
            </w:tcBorders>
            <w:noWrap/>
            <w:vAlign w:val="center"/>
          </w:tcPr>
          <w:p w:rsidR="00E6293F" w:rsidRPr="00463123" w:rsidRDefault="00E6293F" w:rsidP="008F6A28">
            <w:pPr>
              <w:jc w:val="both"/>
              <w:rPr>
                <w:sz w:val="24"/>
                <w:szCs w:val="24"/>
                <w:lang w:val="lv-LV"/>
              </w:rPr>
            </w:pPr>
          </w:p>
        </w:tc>
        <w:tc>
          <w:tcPr>
            <w:tcW w:w="992" w:type="dxa"/>
            <w:vMerge/>
            <w:tcBorders>
              <w:left w:val="single" w:sz="4" w:space="0" w:color="auto"/>
              <w:bottom w:val="nil"/>
              <w:right w:val="single" w:sz="4" w:space="0" w:color="auto"/>
            </w:tcBorders>
            <w:vAlign w:val="center"/>
          </w:tcPr>
          <w:p w:rsidR="00E6293F" w:rsidRPr="00463123" w:rsidRDefault="00E6293F" w:rsidP="008F6A28">
            <w:pPr>
              <w:jc w:val="center"/>
              <w:rPr>
                <w:sz w:val="22"/>
                <w:szCs w:val="22"/>
                <w:lang w:val="lv-LV"/>
              </w:rPr>
            </w:pPr>
          </w:p>
        </w:tc>
        <w:tc>
          <w:tcPr>
            <w:tcW w:w="1307" w:type="dxa"/>
            <w:vMerge/>
            <w:tcBorders>
              <w:left w:val="single" w:sz="4" w:space="0" w:color="auto"/>
              <w:bottom w:val="nil"/>
              <w:right w:val="single" w:sz="4" w:space="0" w:color="auto"/>
            </w:tcBorders>
            <w:vAlign w:val="center"/>
          </w:tcPr>
          <w:p w:rsidR="00E6293F" w:rsidRPr="00463123" w:rsidRDefault="00E6293F" w:rsidP="008F6A28">
            <w:pPr>
              <w:jc w:val="center"/>
              <w:rPr>
                <w:sz w:val="22"/>
                <w:szCs w:val="22"/>
                <w:lang w:val="lv-LV"/>
              </w:rPr>
            </w:pPr>
          </w:p>
        </w:tc>
        <w:tc>
          <w:tcPr>
            <w:tcW w:w="850" w:type="dxa"/>
            <w:vMerge/>
            <w:tcBorders>
              <w:left w:val="single" w:sz="4" w:space="0" w:color="auto"/>
              <w:bottom w:val="nil"/>
              <w:right w:val="single" w:sz="4" w:space="0" w:color="auto"/>
            </w:tcBorders>
            <w:vAlign w:val="center"/>
          </w:tcPr>
          <w:p w:rsidR="00E6293F" w:rsidRPr="00463123" w:rsidRDefault="00E6293F" w:rsidP="008F6A28">
            <w:pPr>
              <w:jc w:val="center"/>
              <w:rPr>
                <w:sz w:val="22"/>
                <w:szCs w:val="22"/>
                <w:lang w:val="lv-LV"/>
              </w:rPr>
            </w:pPr>
          </w:p>
        </w:tc>
        <w:tc>
          <w:tcPr>
            <w:tcW w:w="993" w:type="dxa"/>
            <w:tcBorders>
              <w:top w:val="single" w:sz="4" w:space="0" w:color="auto"/>
              <w:left w:val="single" w:sz="4" w:space="0" w:color="auto"/>
              <w:bottom w:val="nil"/>
              <w:right w:val="single" w:sz="4" w:space="0" w:color="auto"/>
            </w:tcBorders>
            <w:noWrap/>
            <w:vAlign w:val="center"/>
          </w:tcPr>
          <w:p w:rsidR="00E6293F" w:rsidRPr="00463123" w:rsidRDefault="00E6293F" w:rsidP="008F6A28">
            <w:pPr>
              <w:jc w:val="center"/>
              <w:rPr>
                <w:sz w:val="22"/>
                <w:szCs w:val="22"/>
                <w:lang w:val="lv-LV"/>
              </w:rPr>
            </w:pPr>
            <w:r w:rsidRPr="00463123">
              <w:rPr>
                <w:sz w:val="22"/>
                <w:szCs w:val="22"/>
                <w:lang w:val="lv-LV"/>
              </w:rPr>
              <w:t>Atalgo-</w:t>
            </w:r>
          </w:p>
          <w:p w:rsidR="00E6293F" w:rsidRPr="00463123" w:rsidRDefault="00E6293F" w:rsidP="008F6A28">
            <w:pPr>
              <w:jc w:val="center"/>
              <w:rPr>
                <w:sz w:val="22"/>
                <w:szCs w:val="22"/>
                <w:lang w:val="lv-LV"/>
              </w:rPr>
            </w:pPr>
            <w:r w:rsidRPr="00463123">
              <w:rPr>
                <w:sz w:val="22"/>
                <w:szCs w:val="22"/>
                <w:lang w:val="lv-LV"/>
              </w:rPr>
              <w:t>jums</w:t>
            </w:r>
          </w:p>
          <w:p w:rsidR="00E6293F" w:rsidRPr="00463123" w:rsidRDefault="00E6293F" w:rsidP="008F6A28">
            <w:pPr>
              <w:jc w:val="center"/>
              <w:rPr>
                <w:sz w:val="22"/>
                <w:szCs w:val="22"/>
                <w:lang w:val="lv-LV"/>
              </w:rPr>
            </w:pPr>
            <w:r w:rsidRPr="00463123">
              <w:rPr>
                <w:sz w:val="22"/>
                <w:szCs w:val="22"/>
                <w:lang w:val="lv-LV"/>
              </w:rPr>
              <w:t>(Ls)</w:t>
            </w:r>
          </w:p>
        </w:tc>
        <w:tc>
          <w:tcPr>
            <w:tcW w:w="1134" w:type="dxa"/>
            <w:tcBorders>
              <w:top w:val="single" w:sz="4" w:space="0" w:color="auto"/>
              <w:left w:val="nil"/>
              <w:bottom w:val="nil"/>
              <w:right w:val="nil"/>
            </w:tcBorders>
            <w:noWrap/>
            <w:vAlign w:val="center"/>
          </w:tcPr>
          <w:p w:rsidR="00E6293F" w:rsidRPr="00463123" w:rsidRDefault="00E6293F" w:rsidP="008F6A28">
            <w:pPr>
              <w:jc w:val="center"/>
              <w:rPr>
                <w:sz w:val="22"/>
                <w:szCs w:val="22"/>
                <w:lang w:val="lv-LV"/>
              </w:rPr>
            </w:pPr>
            <w:r w:rsidRPr="00463123">
              <w:rPr>
                <w:sz w:val="22"/>
                <w:szCs w:val="22"/>
                <w:lang w:val="lv-LV"/>
              </w:rPr>
              <w:t>Valsts sociālās apdroši-nāšanas obligātās iemaksas</w:t>
            </w:r>
          </w:p>
          <w:p w:rsidR="00E6293F" w:rsidRPr="00463123" w:rsidRDefault="00E6293F" w:rsidP="008F6A28">
            <w:pPr>
              <w:jc w:val="center"/>
              <w:rPr>
                <w:sz w:val="22"/>
                <w:szCs w:val="22"/>
                <w:lang w:val="lv-LV"/>
              </w:rPr>
            </w:pPr>
            <w:r w:rsidRPr="00463123">
              <w:rPr>
                <w:sz w:val="22"/>
                <w:szCs w:val="22"/>
                <w:lang w:val="lv-LV"/>
              </w:rPr>
              <w:t>(VSAOI) (Ls)</w:t>
            </w:r>
          </w:p>
        </w:tc>
        <w:tc>
          <w:tcPr>
            <w:tcW w:w="1134" w:type="dxa"/>
            <w:tcBorders>
              <w:top w:val="single" w:sz="4" w:space="0" w:color="auto"/>
              <w:left w:val="single" w:sz="4" w:space="0" w:color="auto"/>
              <w:bottom w:val="nil"/>
              <w:right w:val="single" w:sz="4" w:space="0" w:color="auto"/>
            </w:tcBorders>
            <w:noWrap/>
            <w:vAlign w:val="center"/>
          </w:tcPr>
          <w:p w:rsidR="00E6293F" w:rsidRPr="00463123" w:rsidRDefault="00E6293F" w:rsidP="008F6A28">
            <w:pPr>
              <w:jc w:val="center"/>
              <w:rPr>
                <w:sz w:val="22"/>
                <w:szCs w:val="22"/>
                <w:lang w:val="lv-LV"/>
              </w:rPr>
            </w:pPr>
            <w:r w:rsidRPr="00463123">
              <w:rPr>
                <w:sz w:val="22"/>
                <w:szCs w:val="22"/>
                <w:lang w:val="lv-LV"/>
              </w:rPr>
              <w:t>Materiālu izmaksas (Ls)</w:t>
            </w:r>
          </w:p>
        </w:tc>
        <w:tc>
          <w:tcPr>
            <w:tcW w:w="1134" w:type="dxa"/>
            <w:tcBorders>
              <w:top w:val="single" w:sz="4" w:space="0" w:color="auto"/>
              <w:left w:val="single" w:sz="4" w:space="0" w:color="auto"/>
              <w:bottom w:val="nil"/>
              <w:right w:val="single" w:sz="4" w:space="0" w:color="auto"/>
            </w:tcBorders>
            <w:vAlign w:val="center"/>
          </w:tcPr>
          <w:p w:rsidR="00E6293F" w:rsidRPr="00463123" w:rsidRDefault="00E6293F" w:rsidP="008F6A28">
            <w:pPr>
              <w:jc w:val="center"/>
              <w:rPr>
                <w:sz w:val="22"/>
                <w:szCs w:val="22"/>
                <w:lang w:val="lv-LV"/>
              </w:rPr>
            </w:pPr>
            <w:r w:rsidRPr="00463123">
              <w:rPr>
                <w:sz w:val="22"/>
                <w:szCs w:val="22"/>
                <w:lang w:val="lv-LV"/>
              </w:rPr>
              <w:t xml:space="preserve">Samaksa par citiem pakalpo-jumiem </w:t>
            </w:r>
          </w:p>
          <w:p w:rsidR="00E6293F" w:rsidRPr="00463123" w:rsidRDefault="00E6293F" w:rsidP="008F6A28">
            <w:pPr>
              <w:jc w:val="center"/>
              <w:rPr>
                <w:sz w:val="22"/>
                <w:szCs w:val="22"/>
                <w:lang w:val="lv-LV"/>
              </w:rPr>
            </w:pPr>
            <w:r w:rsidRPr="00463123">
              <w:rPr>
                <w:sz w:val="22"/>
                <w:szCs w:val="22"/>
                <w:lang w:val="lv-LV"/>
              </w:rPr>
              <w:t>(Ls)</w:t>
            </w:r>
          </w:p>
        </w:tc>
        <w:tc>
          <w:tcPr>
            <w:tcW w:w="993" w:type="dxa"/>
            <w:tcBorders>
              <w:top w:val="single" w:sz="4" w:space="0" w:color="auto"/>
              <w:left w:val="single" w:sz="4" w:space="0" w:color="auto"/>
              <w:bottom w:val="nil"/>
              <w:right w:val="single" w:sz="4" w:space="0" w:color="auto"/>
            </w:tcBorders>
            <w:noWrap/>
            <w:vAlign w:val="center"/>
          </w:tcPr>
          <w:p w:rsidR="00E6293F" w:rsidRPr="00463123" w:rsidRDefault="00E6293F" w:rsidP="008F6A28">
            <w:pPr>
              <w:jc w:val="center"/>
              <w:rPr>
                <w:sz w:val="22"/>
                <w:szCs w:val="22"/>
                <w:lang w:val="lv-LV"/>
              </w:rPr>
            </w:pPr>
            <w:r w:rsidRPr="00463123">
              <w:rPr>
                <w:sz w:val="22"/>
                <w:szCs w:val="22"/>
                <w:lang w:val="lv-LV"/>
              </w:rPr>
              <w:t xml:space="preserve">Pamat-līdzekļu nolieto-jums </w:t>
            </w:r>
          </w:p>
          <w:p w:rsidR="00E6293F" w:rsidRPr="00463123" w:rsidRDefault="00E6293F" w:rsidP="008F6A28">
            <w:pPr>
              <w:jc w:val="center"/>
              <w:rPr>
                <w:sz w:val="22"/>
                <w:szCs w:val="22"/>
                <w:lang w:val="lv-LV"/>
              </w:rPr>
            </w:pPr>
            <w:r w:rsidRPr="00463123">
              <w:rPr>
                <w:sz w:val="22"/>
                <w:szCs w:val="22"/>
                <w:lang w:val="lv-LV"/>
              </w:rPr>
              <w:t>(Ls)</w:t>
            </w:r>
          </w:p>
        </w:tc>
        <w:tc>
          <w:tcPr>
            <w:tcW w:w="1275" w:type="dxa"/>
            <w:vMerge/>
            <w:tcBorders>
              <w:left w:val="nil"/>
              <w:bottom w:val="nil"/>
              <w:right w:val="single" w:sz="4" w:space="0" w:color="auto"/>
            </w:tcBorders>
            <w:noWrap/>
            <w:vAlign w:val="center"/>
          </w:tcPr>
          <w:p w:rsidR="00E6293F" w:rsidRPr="00463123" w:rsidRDefault="00E6293F" w:rsidP="008F6A28">
            <w:pPr>
              <w:jc w:val="center"/>
              <w:rPr>
                <w:sz w:val="22"/>
                <w:szCs w:val="22"/>
                <w:lang w:val="lv-LV"/>
              </w:rPr>
            </w:pPr>
          </w:p>
        </w:tc>
        <w:tc>
          <w:tcPr>
            <w:tcW w:w="993" w:type="dxa"/>
            <w:vMerge/>
            <w:tcBorders>
              <w:left w:val="nil"/>
              <w:bottom w:val="nil"/>
              <w:right w:val="single" w:sz="4" w:space="0" w:color="auto"/>
            </w:tcBorders>
            <w:vAlign w:val="center"/>
          </w:tcPr>
          <w:p w:rsidR="00E6293F" w:rsidRPr="00463123" w:rsidRDefault="00E6293F" w:rsidP="008F6A28">
            <w:pPr>
              <w:jc w:val="center"/>
              <w:rPr>
                <w:sz w:val="22"/>
                <w:szCs w:val="22"/>
                <w:lang w:val="lv-LV"/>
              </w:rPr>
            </w:pPr>
          </w:p>
        </w:tc>
      </w:tr>
      <w:tr w:rsidR="00E6293F" w:rsidRPr="00463123" w:rsidTr="000F6C94">
        <w:trPr>
          <w:trHeight w:val="375"/>
        </w:trPr>
        <w:tc>
          <w:tcPr>
            <w:tcW w:w="851" w:type="dxa"/>
            <w:tcBorders>
              <w:top w:val="single" w:sz="4" w:space="0" w:color="auto"/>
              <w:left w:val="single" w:sz="4" w:space="0" w:color="auto"/>
              <w:bottom w:val="single" w:sz="4" w:space="0" w:color="auto"/>
              <w:right w:val="nil"/>
            </w:tcBorders>
            <w:noWrap/>
          </w:tcPr>
          <w:p w:rsidR="00E6293F" w:rsidRPr="00463123" w:rsidRDefault="000F6C94" w:rsidP="008F6A28">
            <w:pPr>
              <w:jc w:val="center"/>
              <w:rPr>
                <w:sz w:val="24"/>
                <w:szCs w:val="24"/>
                <w:lang w:val="lv-LV"/>
              </w:rPr>
            </w:pPr>
            <w:r>
              <w:rPr>
                <w:sz w:val="24"/>
                <w:szCs w:val="24"/>
                <w:lang w:val="lv-LV"/>
              </w:rPr>
              <w:t>**</w:t>
            </w:r>
            <w:r w:rsidR="00E6293F" w:rsidRPr="00463123">
              <w:rPr>
                <w:sz w:val="24"/>
                <w:szCs w:val="24"/>
                <w:lang w:val="lv-LV"/>
              </w:rPr>
              <w:t>32.</w:t>
            </w:r>
          </w:p>
        </w:tc>
        <w:tc>
          <w:tcPr>
            <w:tcW w:w="2127" w:type="dxa"/>
            <w:tcBorders>
              <w:top w:val="single" w:sz="4" w:space="0" w:color="auto"/>
              <w:left w:val="single" w:sz="4" w:space="0" w:color="auto"/>
              <w:bottom w:val="single" w:sz="4" w:space="0" w:color="auto"/>
              <w:right w:val="single" w:sz="4" w:space="0" w:color="auto"/>
            </w:tcBorders>
            <w:noWrap/>
          </w:tcPr>
          <w:p w:rsidR="00E6293F" w:rsidRPr="00463123" w:rsidRDefault="00E6293F" w:rsidP="008F6A28">
            <w:pPr>
              <w:pStyle w:val="tvhtml"/>
              <w:spacing w:before="0" w:beforeAutospacing="0" w:after="0" w:afterAutospacing="0"/>
              <w:rPr>
                <w:rFonts w:ascii="Times New Roman" w:hAnsi="Times New Roman"/>
                <w:sz w:val="24"/>
                <w:szCs w:val="24"/>
              </w:rPr>
            </w:pPr>
            <w:r w:rsidRPr="00463123">
              <w:rPr>
                <w:rFonts w:ascii="Times New Roman" w:hAnsi="Times New Roman"/>
                <w:sz w:val="24"/>
                <w:szCs w:val="24"/>
              </w:rPr>
              <w:t>Pirmās palīdzības pasniedzēju apmācības kursi</w:t>
            </w:r>
            <w:r w:rsidRPr="00463123">
              <w:rPr>
                <w:rFonts w:ascii="Times New Roman" w:hAnsi="Times New Roman"/>
                <w:sz w:val="24"/>
                <w:szCs w:val="24"/>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2"/>
                <w:szCs w:val="22"/>
                <w:lang w:val="lv-LV"/>
              </w:rPr>
            </w:pPr>
            <w:r w:rsidRPr="00463123">
              <w:rPr>
                <w:sz w:val="22"/>
                <w:szCs w:val="22"/>
                <w:lang w:val="lv-LV"/>
              </w:rPr>
              <w:t>persona</w:t>
            </w:r>
          </w:p>
        </w:tc>
        <w:tc>
          <w:tcPr>
            <w:tcW w:w="1307"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2 pasniedzēji</w:t>
            </w:r>
          </w:p>
          <w:p w:rsidR="00E6293F" w:rsidRPr="00463123" w:rsidRDefault="00E6293F" w:rsidP="008F6A28">
            <w:pPr>
              <w:jc w:val="center"/>
              <w:rPr>
                <w:sz w:val="24"/>
                <w:szCs w:val="24"/>
                <w:lang w:val="lv-LV"/>
              </w:rPr>
            </w:pPr>
            <w:r w:rsidRPr="00463123">
              <w:rPr>
                <w:sz w:val="24"/>
                <w:szCs w:val="24"/>
                <w:lang w:val="lv-LV"/>
              </w:rPr>
              <w:t>78 stundas</w:t>
            </w:r>
          </w:p>
        </w:tc>
        <w:tc>
          <w:tcPr>
            <w:tcW w:w="850"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8,05</w:t>
            </w:r>
          </w:p>
        </w:tc>
        <w:tc>
          <w:tcPr>
            <w:tcW w:w="993" w:type="dxa"/>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1 255,80</w:t>
            </w:r>
          </w:p>
        </w:tc>
        <w:tc>
          <w:tcPr>
            <w:tcW w:w="1134"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302,52</w:t>
            </w:r>
          </w:p>
        </w:tc>
        <w:tc>
          <w:tcPr>
            <w:tcW w:w="1134"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254,30</w:t>
            </w:r>
          </w:p>
        </w:tc>
        <w:tc>
          <w:tcPr>
            <w:tcW w:w="1134"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857,60</w:t>
            </w:r>
          </w:p>
        </w:tc>
        <w:tc>
          <w:tcPr>
            <w:tcW w:w="993" w:type="dxa"/>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15,11</w:t>
            </w:r>
          </w:p>
        </w:tc>
        <w:tc>
          <w:tcPr>
            <w:tcW w:w="1275"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394,59</w:t>
            </w:r>
          </w:p>
        </w:tc>
        <w:tc>
          <w:tcPr>
            <w:tcW w:w="993" w:type="dxa"/>
            <w:tcBorders>
              <w:top w:val="single" w:sz="4" w:space="0" w:color="auto"/>
              <w:left w:val="nil"/>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280,00</w:t>
            </w:r>
          </w:p>
        </w:tc>
      </w:tr>
      <w:tr w:rsidR="00E6293F" w:rsidRPr="00463123" w:rsidTr="000F6C94">
        <w:trPr>
          <w:trHeight w:val="375"/>
        </w:trPr>
        <w:tc>
          <w:tcPr>
            <w:tcW w:w="851" w:type="dxa"/>
            <w:tcBorders>
              <w:top w:val="single" w:sz="4" w:space="0" w:color="auto"/>
              <w:left w:val="single" w:sz="4" w:space="0" w:color="auto"/>
              <w:bottom w:val="single" w:sz="4" w:space="0" w:color="auto"/>
              <w:right w:val="nil"/>
            </w:tcBorders>
            <w:noWrap/>
          </w:tcPr>
          <w:p w:rsidR="00E6293F" w:rsidRPr="00463123" w:rsidRDefault="00E6293F" w:rsidP="008F6A28">
            <w:pPr>
              <w:jc w:val="center"/>
              <w:rPr>
                <w:sz w:val="24"/>
                <w:szCs w:val="24"/>
                <w:lang w:val="lv-LV"/>
              </w:rPr>
            </w:pPr>
            <w:r w:rsidRPr="00463123">
              <w:rPr>
                <w:sz w:val="24"/>
                <w:szCs w:val="24"/>
                <w:lang w:val="lv-LV"/>
              </w:rPr>
              <w:t>36.</w:t>
            </w:r>
          </w:p>
        </w:tc>
        <w:tc>
          <w:tcPr>
            <w:tcW w:w="2127" w:type="dxa"/>
            <w:tcBorders>
              <w:top w:val="single" w:sz="4" w:space="0" w:color="auto"/>
              <w:left w:val="single" w:sz="4" w:space="0" w:color="auto"/>
              <w:bottom w:val="single" w:sz="4" w:space="0" w:color="auto"/>
              <w:right w:val="single" w:sz="4" w:space="0" w:color="auto"/>
            </w:tcBorders>
            <w:noWrap/>
          </w:tcPr>
          <w:p w:rsidR="00E6293F" w:rsidRPr="00463123" w:rsidRDefault="00E6293F" w:rsidP="008F6A28">
            <w:pPr>
              <w:pStyle w:val="tvhtml"/>
              <w:spacing w:before="0" w:beforeAutospacing="0" w:after="0" w:afterAutospacing="0"/>
              <w:rPr>
                <w:rFonts w:ascii="Times New Roman" w:hAnsi="Times New Roman"/>
                <w:sz w:val="24"/>
                <w:szCs w:val="24"/>
              </w:rPr>
            </w:pPr>
            <w:r w:rsidRPr="00463123">
              <w:rPr>
                <w:rFonts w:ascii="Times New Roman" w:hAnsi="Times New Roman"/>
                <w:sz w:val="24"/>
                <w:szCs w:val="24"/>
              </w:rPr>
              <w:t>Atkārtota apliecība par tiesībām nodarboties ar apmācību pirmās palīdzības sniegšanā</w:t>
            </w:r>
            <w:r w:rsidRPr="00463123">
              <w:rPr>
                <w:rFonts w:ascii="Times New Roman" w:hAnsi="Times New Roman"/>
                <w:sz w:val="24"/>
                <w:szCs w:val="24"/>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2"/>
                <w:szCs w:val="22"/>
                <w:lang w:val="lv-LV"/>
              </w:rPr>
            </w:pPr>
            <w:r w:rsidRPr="00463123">
              <w:rPr>
                <w:sz w:val="22"/>
                <w:szCs w:val="22"/>
                <w:lang w:val="lv-LV"/>
              </w:rPr>
              <w:t>persona</w:t>
            </w:r>
          </w:p>
        </w:tc>
        <w:tc>
          <w:tcPr>
            <w:tcW w:w="1307"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5 pasniedzēji 3 stundas</w:t>
            </w:r>
          </w:p>
        </w:tc>
        <w:tc>
          <w:tcPr>
            <w:tcW w:w="850"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8,00</w:t>
            </w:r>
          </w:p>
        </w:tc>
        <w:tc>
          <w:tcPr>
            <w:tcW w:w="993" w:type="dxa"/>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120,00</w:t>
            </w:r>
          </w:p>
        </w:tc>
        <w:tc>
          <w:tcPr>
            <w:tcW w:w="1134"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28,91</w:t>
            </w:r>
          </w:p>
        </w:tc>
        <w:tc>
          <w:tcPr>
            <w:tcW w:w="1134"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18,60</w:t>
            </w:r>
          </w:p>
        </w:tc>
        <w:tc>
          <w:tcPr>
            <w:tcW w:w="1134"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50,00</w:t>
            </w:r>
          </w:p>
        </w:tc>
        <w:tc>
          <w:tcPr>
            <w:tcW w:w="993" w:type="dxa"/>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0,00</w:t>
            </w:r>
          </w:p>
        </w:tc>
        <w:tc>
          <w:tcPr>
            <w:tcW w:w="1275"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32,49</w:t>
            </w:r>
          </w:p>
        </w:tc>
        <w:tc>
          <w:tcPr>
            <w:tcW w:w="993" w:type="dxa"/>
            <w:tcBorders>
              <w:top w:val="single" w:sz="4" w:space="0" w:color="auto"/>
              <w:left w:val="nil"/>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250,00</w:t>
            </w:r>
          </w:p>
        </w:tc>
      </w:tr>
      <w:tr w:rsidR="00E6293F" w:rsidRPr="00463123" w:rsidTr="000F6C94">
        <w:trPr>
          <w:trHeight w:val="375"/>
        </w:trPr>
        <w:tc>
          <w:tcPr>
            <w:tcW w:w="851" w:type="dxa"/>
            <w:tcBorders>
              <w:top w:val="single" w:sz="4" w:space="0" w:color="auto"/>
              <w:left w:val="single" w:sz="4" w:space="0" w:color="auto"/>
              <w:bottom w:val="single" w:sz="4" w:space="0" w:color="auto"/>
              <w:right w:val="nil"/>
            </w:tcBorders>
            <w:noWrap/>
          </w:tcPr>
          <w:p w:rsidR="00E6293F" w:rsidRPr="00463123" w:rsidRDefault="000F6C94" w:rsidP="008F6A28">
            <w:pPr>
              <w:jc w:val="center"/>
              <w:rPr>
                <w:sz w:val="24"/>
                <w:szCs w:val="24"/>
                <w:lang w:val="lv-LV"/>
              </w:rPr>
            </w:pPr>
            <w:r>
              <w:rPr>
                <w:sz w:val="24"/>
                <w:szCs w:val="24"/>
                <w:lang w:val="lv-LV"/>
              </w:rPr>
              <w:t>**</w:t>
            </w:r>
            <w:r w:rsidR="00E6293F" w:rsidRPr="00463123">
              <w:rPr>
                <w:sz w:val="24"/>
                <w:szCs w:val="24"/>
                <w:lang w:val="lv-LV"/>
              </w:rPr>
              <w:t>37.</w:t>
            </w:r>
          </w:p>
        </w:tc>
        <w:tc>
          <w:tcPr>
            <w:tcW w:w="2127" w:type="dxa"/>
            <w:tcBorders>
              <w:top w:val="single" w:sz="4" w:space="0" w:color="auto"/>
              <w:left w:val="single" w:sz="4" w:space="0" w:color="auto"/>
              <w:bottom w:val="single" w:sz="4" w:space="0" w:color="auto"/>
              <w:right w:val="single" w:sz="4" w:space="0" w:color="auto"/>
            </w:tcBorders>
            <w:noWrap/>
          </w:tcPr>
          <w:p w:rsidR="00E6293F" w:rsidRPr="00463123" w:rsidRDefault="00E6293F" w:rsidP="008F6A28">
            <w:pPr>
              <w:pStyle w:val="tvhtml"/>
              <w:spacing w:before="0" w:beforeAutospacing="0" w:after="0" w:afterAutospacing="0"/>
              <w:rPr>
                <w:rFonts w:ascii="Times New Roman" w:hAnsi="Times New Roman"/>
                <w:sz w:val="24"/>
                <w:szCs w:val="24"/>
              </w:rPr>
            </w:pPr>
            <w:r w:rsidRPr="00463123">
              <w:rPr>
                <w:rFonts w:ascii="Times New Roman" w:hAnsi="Times New Roman"/>
                <w:sz w:val="24"/>
                <w:szCs w:val="24"/>
              </w:rPr>
              <w:t xml:space="preserve">Sertifikāts par tiesībām apmācīt pirmās palīdzības </w:t>
            </w:r>
            <w:r w:rsidRPr="00463123">
              <w:rPr>
                <w:rFonts w:ascii="Times New Roman" w:hAnsi="Times New Roman"/>
                <w:sz w:val="24"/>
                <w:szCs w:val="24"/>
              </w:rPr>
              <w:lastRenderedPageBreak/>
              <w:t>sniegšanā</w:t>
            </w:r>
            <w:r w:rsidRPr="00463123">
              <w:rPr>
                <w:rFonts w:ascii="Times New Roman" w:hAnsi="Times New Roman"/>
                <w:sz w:val="24"/>
                <w:szCs w:val="24"/>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2"/>
                <w:szCs w:val="22"/>
                <w:lang w:val="lv-LV"/>
              </w:rPr>
            </w:pPr>
            <w:r w:rsidRPr="00463123">
              <w:rPr>
                <w:sz w:val="22"/>
                <w:szCs w:val="22"/>
                <w:lang w:val="lv-LV"/>
              </w:rPr>
              <w:lastRenderedPageBreak/>
              <w:t>persona</w:t>
            </w:r>
          </w:p>
        </w:tc>
        <w:tc>
          <w:tcPr>
            <w:tcW w:w="1307"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8 pasniedzēji 8 stundas</w:t>
            </w:r>
          </w:p>
        </w:tc>
        <w:tc>
          <w:tcPr>
            <w:tcW w:w="850"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8,51</w:t>
            </w:r>
          </w:p>
        </w:tc>
        <w:tc>
          <w:tcPr>
            <w:tcW w:w="993" w:type="dxa"/>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 xml:space="preserve">544,64 </w:t>
            </w:r>
          </w:p>
        </w:tc>
        <w:tc>
          <w:tcPr>
            <w:tcW w:w="1134"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131,20</w:t>
            </w:r>
          </w:p>
        </w:tc>
        <w:tc>
          <w:tcPr>
            <w:tcW w:w="1134"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109,66</w:t>
            </w:r>
          </w:p>
        </w:tc>
        <w:tc>
          <w:tcPr>
            <w:tcW w:w="1134"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115,60</w:t>
            </w:r>
          </w:p>
        </w:tc>
        <w:tc>
          <w:tcPr>
            <w:tcW w:w="993" w:type="dxa"/>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0,00</w:t>
            </w:r>
          </w:p>
        </w:tc>
        <w:tc>
          <w:tcPr>
            <w:tcW w:w="1275"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133,00</w:t>
            </w:r>
          </w:p>
        </w:tc>
        <w:tc>
          <w:tcPr>
            <w:tcW w:w="993" w:type="dxa"/>
            <w:tcBorders>
              <w:top w:val="single" w:sz="4" w:space="0" w:color="auto"/>
              <w:left w:val="nil"/>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94,00</w:t>
            </w:r>
          </w:p>
        </w:tc>
      </w:tr>
      <w:tr w:rsidR="00E6293F" w:rsidRPr="00463123" w:rsidTr="000F6C94">
        <w:trPr>
          <w:trHeight w:val="375"/>
        </w:trPr>
        <w:tc>
          <w:tcPr>
            <w:tcW w:w="851" w:type="dxa"/>
            <w:tcBorders>
              <w:top w:val="single" w:sz="4" w:space="0" w:color="auto"/>
              <w:left w:val="single" w:sz="4" w:space="0" w:color="auto"/>
              <w:bottom w:val="single" w:sz="4" w:space="0" w:color="auto"/>
              <w:right w:val="nil"/>
            </w:tcBorders>
            <w:noWrap/>
          </w:tcPr>
          <w:p w:rsidR="00E6293F" w:rsidRPr="00463123" w:rsidRDefault="000F6C94" w:rsidP="008F6A28">
            <w:pPr>
              <w:jc w:val="center"/>
              <w:rPr>
                <w:sz w:val="24"/>
                <w:szCs w:val="24"/>
                <w:lang w:val="lv-LV"/>
              </w:rPr>
            </w:pPr>
            <w:r>
              <w:rPr>
                <w:sz w:val="24"/>
                <w:szCs w:val="24"/>
                <w:lang w:val="lv-LV"/>
              </w:rPr>
              <w:lastRenderedPageBreak/>
              <w:t>**</w:t>
            </w:r>
            <w:r w:rsidR="00E6293F" w:rsidRPr="00463123">
              <w:rPr>
                <w:sz w:val="24"/>
                <w:szCs w:val="24"/>
                <w:lang w:val="lv-LV"/>
              </w:rPr>
              <w:t>38.</w:t>
            </w:r>
          </w:p>
        </w:tc>
        <w:tc>
          <w:tcPr>
            <w:tcW w:w="2127" w:type="dxa"/>
            <w:tcBorders>
              <w:top w:val="single" w:sz="4" w:space="0" w:color="auto"/>
              <w:left w:val="single" w:sz="4" w:space="0" w:color="auto"/>
              <w:bottom w:val="single" w:sz="4" w:space="0" w:color="auto"/>
              <w:right w:val="single" w:sz="4" w:space="0" w:color="auto"/>
            </w:tcBorders>
            <w:noWrap/>
          </w:tcPr>
          <w:p w:rsidR="00E6293F" w:rsidRPr="00463123" w:rsidRDefault="00E6293F" w:rsidP="008F6A28">
            <w:pPr>
              <w:pStyle w:val="tvhtml"/>
              <w:spacing w:before="0" w:beforeAutospacing="0" w:after="0" w:afterAutospacing="0"/>
              <w:rPr>
                <w:rFonts w:ascii="Times New Roman" w:hAnsi="Times New Roman"/>
                <w:sz w:val="24"/>
                <w:szCs w:val="24"/>
              </w:rPr>
            </w:pPr>
            <w:r w:rsidRPr="00463123">
              <w:rPr>
                <w:rFonts w:ascii="Times New Roman" w:hAnsi="Times New Roman"/>
                <w:sz w:val="24"/>
                <w:szCs w:val="24"/>
              </w:rPr>
              <w:t>Atkārtots sertifikāts par tiesībām apmācīt pirmās palīdzības sniegšanā</w:t>
            </w:r>
            <w:r w:rsidRPr="00463123">
              <w:rPr>
                <w:rFonts w:ascii="Times New Roman" w:hAnsi="Times New Roman"/>
                <w:sz w:val="24"/>
                <w:szCs w:val="24"/>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2"/>
                <w:szCs w:val="22"/>
                <w:lang w:val="lv-LV"/>
              </w:rPr>
            </w:pPr>
            <w:r w:rsidRPr="00463123">
              <w:rPr>
                <w:sz w:val="22"/>
                <w:szCs w:val="22"/>
                <w:lang w:val="lv-LV"/>
              </w:rPr>
              <w:t>persona</w:t>
            </w:r>
          </w:p>
        </w:tc>
        <w:tc>
          <w:tcPr>
            <w:tcW w:w="1307"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8 pasniedzēji 6 stundas</w:t>
            </w:r>
          </w:p>
        </w:tc>
        <w:tc>
          <w:tcPr>
            <w:tcW w:w="850"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8,60</w:t>
            </w:r>
          </w:p>
        </w:tc>
        <w:tc>
          <w:tcPr>
            <w:tcW w:w="993" w:type="dxa"/>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412,80</w:t>
            </w:r>
          </w:p>
        </w:tc>
        <w:tc>
          <w:tcPr>
            <w:tcW w:w="1134"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99,44</w:t>
            </w:r>
          </w:p>
        </w:tc>
        <w:tc>
          <w:tcPr>
            <w:tcW w:w="1134"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55,00</w:t>
            </w:r>
          </w:p>
        </w:tc>
        <w:tc>
          <w:tcPr>
            <w:tcW w:w="1134" w:type="dxa"/>
            <w:tcBorders>
              <w:top w:val="single" w:sz="4" w:space="0" w:color="auto"/>
              <w:left w:val="single" w:sz="4" w:space="0" w:color="auto"/>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15,66</w:t>
            </w:r>
          </w:p>
        </w:tc>
        <w:tc>
          <w:tcPr>
            <w:tcW w:w="993" w:type="dxa"/>
            <w:tcBorders>
              <w:top w:val="single" w:sz="4" w:space="0" w:color="auto"/>
              <w:left w:val="single" w:sz="4" w:space="0" w:color="auto"/>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0,00</w:t>
            </w:r>
          </w:p>
        </w:tc>
        <w:tc>
          <w:tcPr>
            <w:tcW w:w="1275" w:type="dxa"/>
            <w:tcBorders>
              <w:top w:val="single" w:sz="4" w:space="0" w:color="auto"/>
              <w:left w:val="nil"/>
              <w:bottom w:val="single" w:sz="4" w:space="0" w:color="auto"/>
              <w:right w:val="single" w:sz="4" w:space="0" w:color="auto"/>
            </w:tcBorders>
            <w:noWrap/>
            <w:vAlign w:val="center"/>
          </w:tcPr>
          <w:p w:rsidR="00E6293F" w:rsidRPr="00463123" w:rsidRDefault="00E6293F" w:rsidP="008F6A28">
            <w:pPr>
              <w:jc w:val="center"/>
              <w:rPr>
                <w:sz w:val="24"/>
                <w:szCs w:val="24"/>
                <w:lang w:val="lv-LV"/>
              </w:rPr>
            </w:pPr>
            <w:r w:rsidRPr="00463123">
              <w:rPr>
                <w:sz w:val="24"/>
                <w:szCs w:val="24"/>
                <w:lang w:val="lv-LV"/>
              </w:rPr>
              <w:t>88,10</w:t>
            </w:r>
          </w:p>
        </w:tc>
        <w:tc>
          <w:tcPr>
            <w:tcW w:w="993" w:type="dxa"/>
            <w:tcBorders>
              <w:top w:val="single" w:sz="4" w:space="0" w:color="auto"/>
              <w:left w:val="nil"/>
              <w:bottom w:val="single" w:sz="4" w:space="0" w:color="auto"/>
              <w:right w:val="single" w:sz="4" w:space="0" w:color="auto"/>
            </w:tcBorders>
            <w:vAlign w:val="center"/>
          </w:tcPr>
          <w:p w:rsidR="00E6293F" w:rsidRPr="00463123" w:rsidRDefault="00E6293F" w:rsidP="008F6A28">
            <w:pPr>
              <w:jc w:val="center"/>
              <w:rPr>
                <w:sz w:val="24"/>
                <w:szCs w:val="24"/>
                <w:lang w:val="lv-LV"/>
              </w:rPr>
            </w:pPr>
            <w:r w:rsidRPr="00463123">
              <w:rPr>
                <w:sz w:val="24"/>
                <w:szCs w:val="24"/>
                <w:lang w:val="lv-LV"/>
              </w:rPr>
              <w:t>61,00</w:t>
            </w:r>
          </w:p>
        </w:tc>
      </w:tr>
    </w:tbl>
    <w:p w:rsidR="00141970" w:rsidRDefault="00141970" w:rsidP="00D21C2C">
      <w:pPr>
        <w:jc w:val="both"/>
        <w:rPr>
          <w:sz w:val="22"/>
          <w:szCs w:val="22"/>
          <w:lang w:val="lv-LV"/>
        </w:rPr>
      </w:pPr>
    </w:p>
    <w:p w:rsidR="000F6C94" w:rsidRDefault="00FE4049" w:rsidP="00FE4049">
      <w:pPr>
        <w:jc w:val="both"/>
        <w:rPr>
          <w:sz w:val="24"/>
          <w:szCs w:val="24"/>
          <w:lang w:val="lv-LV"/>
        </w:rPr>
      </w:pPr>
      <w:r w:rsidRPr="00FE4049">
        <w:rPr>
          <w:sz w:val="24"/>
          <w:szCs w:val="24"/>
          <w:lang w:val="lv-LV"/>
        </w:rPr>
        <w:t>*</w:t>
      </w:r>
      <w:r>
        <w:rPr>
          <w:sz w:val="24"/>
          <w:szCs w:val="24"/>
          <w:lang w:val="lv-LV"/>
        </w:rPr>
        <w:t>n</w:t>
      </w:r>
      <w:r w:rsidRPr="00FE4049">
        <w:rPr>
          <w:sz w:val="24"/>
          <w:szCs w:val="24"/>
          <w:lang w:val="lv-LV"/>
        </w:rPr>
        <w:t>umerācija atbilstoši</w:t>
      </w:r>
      <w:r>
        <w:rPr>
          <w:sz w:val="24"/>
          <w:szCs w:val="24"/>
          <w:lang w:val="lv-LV"/>
        </w:rPr>
        <w:t xml:space="preserve"> Ministru kabineta 2010.gada 26.janvāra noteikumu Nr.81 „Noteikumi par Neatliekamās medicīniskās palīdzības dienesta sniegto maksas </w:t>
      </w:r>
      <w:r w:rsidR="000F6C94">
        <w:rPr>
          <w:sz w:val="24"/>
          <w:szCs w:val="24"/>
          <w:lang w:val="lv-LV"/>
        </w:rPr>
        <w:t>pakalpojumu cenrādi” pielikumam;</w:t>
      </w:r>
    </w:p>
    <w:p w:rsidR="008C702A" w:rsidRPr="00FE4049" w:rsidRDefault="000F6C94" w:rsidP="00FE4049">
      <w:pPr>
        <w:jc w:val="both"/>
        <w:rPr>
          <w:sz w:val="24"/>
          <w:szCs w:val="24"/>
          <w:lang w:val="lv-LV"/>
        </w:rPr>
      </w:pPr>
      <w:r>
        <w:rPr>
          <w:sz w:val="24"/>
          <w:szCs w:val="24"/>
          <w:lang w:val="lv-LV"/>
        </w:rPr>
        <w:t xml:space="preserve">**veikti aprēķini </w:t>
      </w:r>
      <w:r w:rsidR="00AA3E9A">
        <w:rPr>
          <w:sz w:val="24"/>
          <w:szCs w:val="24"/>
          <w:lang w:val="lv-LV"/>
        </w:rPr>
        <w:t xml:space="preserve">par izmaksām </w:t>
      </w:r>
      <w:r>
        <w:rPr>
          <w:sz w:val="24"/>
          <w:szCs w:val="24"/>
          <w:lang w:val="lv-LV"/>
        </w:rPr>
        <w:t>11 cilvēku grupai.</w:t>
      </w:r>
      <w:r w:rsidR="00FE4049" w:rsidRPr="00FE4049">
        <w:rPr>
          <w:sz w:val="24"/>
          <w:szCs w:val="24"/>
          <w:lang w:val="lv-LV"/>
        </w:rPr>
        <w:t xml:space="preserve"> </w:t>
      </w:r>
    </w:p>
    <w:p w:rsidR="00FE4049" w:rsidRDefault="00FE4049" w:rsidP="00E955CB">
      <w:pPr>
        <w:jc w:val="center"/>
        <w:rPr>
          <w:sz w:val="28"/>
          <w:szCs w:val="28"/>
          <w:lang w:val="lv-LV"/>
        </w:rPr>
      </w:pPr>
    </w:p>
    <w:p w:rsidR="00463123" w:rsidRDefault="00463123" w:rsidP="00E955CB">
      <w:pPr>
        <w:jc w:val="center"/>
        <w:rPr>
          <w:sz w:val="28"/>
          <w:szCs w:val="28"/>
          <w:lang w:val="lv-LV"/>
        </w:rPr>
      </w:pPr>
    </w:p>
    <w:p w:rsidR="00463123" w:rsidRDefault="00463123" w:rsidP="00E955CB">
      <w:pPr>
        <w:jc w:val="center"/>
        <w:rPr>
          <w:sz w:val="28"/>
          <w:szCs w:val="28"/>
          <w:lang w:val="lv-LV"/>
        </w:rPr>
      </w:pPr>
    </w:p>
    <w:p w:rsidR="00463123" w:rsidRDefault="00463123" w:rsidP="00E955CB">
      <w:pPr>
        <w:jc w:val="center"/>
        <w:rPr>
          <w:sz w:val="28"/>
          <w:szCs w:val="28"/>
          <w:lang w:val="lv-LV"/>
        </w:rPr>
      </w:pPr>
    </w:p>
    <w:p w:rsidR="00FC0FA4" w:rsidRPr="00FC0FA4" w:rsidRDefault="00FC0FA4" w:rsidP="00E955CB">
      <w:pPr>
        <w:jc w:val="center"/>
        <w:rPr>
          <w:sz w:val="28"/>
          <w:szCs w:val="28"/>
          <w:lang w:val="lv-LV"/>
        </w:rPr>
      </w:pPr>
      <w:r w:rsidRPr="00FC0FA4">
        <w:rPr>
          <w:sz w:val="28"/>
          <w:szCs w:val="28"/>
          <w:lang w:val="lv-LV"/>
        </w:rPr>
        <w:t>Veselības ministr</w:t>
      </w:r>
      <w:r w:rsidR="00FE4049">
        <w:rPr>
          <w:sz w:val="28"/>
          <w:szCs w:val="28"/>
          <w:lang w:val="lv-LV"/>
        </w:rPr>
        <w:t>s</w:t>
      </w:r>
      <w:r w:rsidRPr="00FC0FA4">
        <w:rPr>
          <w:sz w:val="28"/>
          <w:szCs w:val="28"/>
          <w:lang w:val="lv-LV"/>
        </w:rPr>
        <w:t xml:space="preserve"> </w:t>
      </w:r>
      <w:r w:rsidRPr="00FC0FA4">
        <w:rPr>
          <w:sz w:val="28"/>
          <w:szCs w:val="28"/>
          <w:lang w:val="lv-LV"/>
        </w:rPr>
        <w:tab/>
      </w:r>
      <w:r w:rsidRPr="00FC0FA4">
        <w:rPr>
          <w:sz w:val="28"/>
          <w:szCs w:val="28"/>
          <w:lang w:val="lv-LV"/>
        </w:rPr>
        <w:tab/>
      </w:r>
      <w:r w:rsidRPr="00FC0FA4">
        <w:rPr>
          <w:sz w:val="28"/>
          <w:szCs w:val="28"/>
          <w:lang w:val="lv-LV"/>
        </w:rPr>
        <w:tab/>
      </w:r>
      <w:r w:rsidRPr="00FC0FA4">
        <w:rPr>
          <w:sz w:val="28"/>
          <w:szCs w:val="28"/>
          <w:lang w:val="lv-LV"/>
        </w:rPr>
        <w:tab/>
      </w:r>
      <w:r w:rsidRPr="00FC0FA4">
        <w:rPr>
          <w:sz w:val="28"/>
          <w:szCs w:val="28"/>
          <w:lang w:val="lv-LV"/>
        </w:rPr>
        <w:tab/>
      </w:r>
      <w:r w:rsidRPr="00FC0FA4">
        <w:rPr>
          <w:sz w:val="28"/>
          <w:szCs w:val="28"/>
          <w:lang w:val="lv-LV"/>
        </w:rPr>
        <w:tab/>
      </w:r>
      <w:r w:rsidRPr="00FC0FA4">
        <w:rPr>
          <w:sz w:val="28"/>
          <w:szCs w:val="28"/>
          <w:lang w:val="lv-LV"/>
        </w:rPr>
        <w:tab/>
      </w:r>
      <w:r w:rsidRPr="00FC0FA4">
        <w:rPr>
          <w:sz w:val="28"/>
          <w:szCs w:val="28"/>
          <w:lang w:val="lv-LV"/>
        </w:rPr>
        <w:tab/>
      </w:r>
      <w:r>
        <w:rPr>
          <w:sz w:val="28"/>
          <w:szCs w:val="28"/>
          <w:lang w:val="lv-LV"/>
        </w:rPr>
        <w:tab/>
      </w:r>
      <w:r>
        <w:rPr>
          <w:sz w:val="28"/>
          <w:szCs w:val="28"/>
          <w:lang w:val="lv-LV"/>
        </w:rPr>
        <w:tab/>
      </w:r>
      <w:r>
        <w:rPr>
          <w:sz w:val="28"/>
          <w:szCs w:val="28"/>
          <w:lang w:val="lv-LV"/>
        </w:rPr>
        <w:tab/>
      </w:r>
      <w:r w:rsidR="00FE4049">
        <w:rPr>
          <w:sz w:val="28"/>
          <w:szCs w:val="28"/>
          <w:lang w:val="lv-LV"/>
        </w:rPr>
        <w:t>J.Bārzdiņš</w:t>
      </w:r>
    </w:p>
    <w:p w:rsidR="00FC0FA4" w:rsidRPr="00FC0FA4" w:rsidRDefault="00FC0FA4" w:rsidP="00E955CB">
      <w:pPr>
        <w:jc w:val="center"/>
        <w:rPr>
          <w:sz w:val="28"/>
          <w:szCs w:val="28"/>
          <w:lang w:val="lv-LV"/>
        </w:rPr>
      </w:pPr>
    </w:p>
    <w:p w:rsidR="00FC0FA4" w:rsidRDefault="00FC0FA4" w:rsidP="008C702A">
      <w:pPr>
        <w:jc w:val="both"/>
        <w:rPr>
          <w:i/>
          <w:sz w:val="28"/>
          <w:szCs w:val="28"/>
          <w:lang w:val="lv-LV"/>
        </w:rPr>
      </w:pPr>
    </w:p>
    <w:p w:rsidR="00FC0FA4" w:rsidRDefault="00FC0FA4" w:rsidP="00FC0FA4">
      <w:pPr>
        <w:jc w:val="both"/>
        <w:rPr>
          <w:i/>
          <w:sz w:val="28"/>
          <w:szCs w:val="28"/>
          <w:lang w:val="lv-LV"/>
        </w:rPr>
      </w:pPr>
    </w:p>
    <w:p w:rsidR="00FC0FA4" w:rsidRDefault="00FC0FA4" w:rsidP="00FC0FA4">
      <w:pPr>
        <w:jc w:val="both"/>
        <w:rPr>
          <w:lang w:val="lv-LV"/>
        </w:rPr>
      </w:pPr>
    </w:p>
    <w:p w:rsidR="008C702A" w:rsidRDefault="008C702A" w:rsidP="00FC0FA4">
      <w:pPr>
        <w:jc w:val="both"/>
        <w:rPr>
          <w:lang w:val="lv-LV"/>
        </w:rPr>
      </w:pPr>
    </w:p>
    <w:p w:rsidR="008C702A" w:rsidRDefault="008C702A" w:rsidP="00FC0FA4">
      <w:pPr>
        <w:jc w:val="both"/>
        <w:rPr>
          <w:lang w:val="lv-LV"/>
        </w:rPr>
      </w:pPr>
    </w:p>
    <w:p w:rsidR="008C702A" w:rsidRDefault="008C702A" w:rsidP="00FC0FA4">
      <w:pPr>
        <w:jc w:val="both"/>
        <w:rPr>
          <w:lang w:val="lv-LV"/>
        </w:rPr>
      </w:pPr>
    </w:p>
    <w:p w:rsidR="00E50154" w:rsidRDefault="00E50154" w:rsidP="006C5EAF">
      <w:pPr>
        <w:jc w:val="both"/>
        <w:rPr>
          <w:sz w:val="22"/>
          <w:szCs w:val="22"/>
          <w:lang w:val="lv-LV"/>
        </w:rPr>
      </w:pPr>
      <w:r>
        <w:rPr>
          <w:sz w:val="22"/>
          <w:szCs w:val="22"/>
          <w:lang w:val="lv-LV"/>
        </w:rPr>
        <w:t>01.02.2011       13:59</w:t>
      </w:r>
    </w:p>
    <w:p w:rsidR="006C5EAF" w:rsidRPr="00AA3E9A" w:rsidRDefault="00AA3E9A" w:rsidP="006C5EAF">
      <w:pPr>
        <w:jc w:val="both"/>
        <w:rPr>
          <w:sz w:val="22"/>
          <w:szCs w:val="22"/>
          <w:lang w:val="lv-LV"/>
        </w:rPr>
      </w:pPr>
      <w:r>
        <w:rPr>
          <w:sz w:val="22"/>
          <w:szCs w:val="22"/>
          <w:lang w:val="lv-LV"/>
        </w:rPr>
        <w:t>220</w:t>
      </w:r>
    </w:p>
    <w:p w:rsidR="006C5EAF" w:rsidRPr="00AA3E9A" w:rsidRDefault="008C702A" w:rsidP="006C5EAF">
      <w:pPr>
        <w:jc w:val="both"/>
        <w:rPr>
          <w:sz w:val="22"/>
          <w:szCs w:val="22"/>
          <w:lang w:val="lv-LV"/>
        </w:rPr>
      </w:pPr>
      <w:bookmarkStart w:id="5" w:name="OLE_LINK6"/>
      <w:bookmarkStart w:id="6" w:name="OLE_LINK7"/>
      <w:r w:rsidRPr="00AA3E9A">
        <w:rPr>
          <w:sz w:val="22"/>
          <w:szCs w:val="22"/>
          <w:lang w:val="lv-LV"/>
        </w:rPr>
        <w:t>Ž.Zvaigzne</w:t>
      </w:r>
    </w:p>
    <w:p w:rsidR="00107826" w:rsidRPr="00AA3E9A" w:rsidRDefault="008C702A" w:rsidP="006C5EAF">
      <w:pPr>
        <w:jc w:val="both"/>
        <w:rPr>
          <w:sz w:val="22"/>
          <w:szCs w:val="22"/>
          <w:lang w:val="lv-LV"/>
        </w:rPr>
      </w:pPr>
      <w:bookmarkStart w:id="7" w:name="OLE_LINK3"/>
      <w:bookmarkStart w:id="8" w:name="OLE_LINK4"/>
      <w:bookmarkStart w:id="9" w:name="OLE_LINK5"/>
      <w:bookmarkEnd w:id="5"/>
      <w:bookmarkEnd w:id="6"/>
      <w:r w:rsidRPr="00AA3E9A">
        <w:rPr>
          <w:sz w:val="22"/>
          <w:szCs w:val="22"/>
          <w:lang w:val="lv-LV"/>
        </w:rPr>
        <w:t>67876041</w:t>
      </w:r>
      <w:r w:rsidR="006C5EAF" w:rsidRPr="00AA3E9A">
        <w:rPr>
          <w:sz w:val="22"/>
          <w:szCs w:val="22"/>
          <w:lang w:val="lv-LV"/>
        </w:rPr>
        <w:t xml:space="preserve">, </w:t>
      </w:r>
      <w:hyperlink r:id="rId7" w:history="1">
        <w:r w:rsidRPr="00AA3E9A">
          <w:rPr>
            <w:rStyle w:val="Hyperlink"/>
            <w:sz w:val="22"/>
            <w:szCs w:val="22"/>
            <w:lang w:val="lv-LV"/>
          </w:rPr>
          <w:t>Zanete.Zvaigzne@vm.gov.lv</w:t>
        </w:r>
      </w:hyperlink>
      <w:bookmarkEnd w:id="7"/>
      <w:bookmarkEnd w:id="8"/>
      <w:bookmarkEnd w:id="9"/>
      <w:r w:rsidR="006C5EAF" w:rsidRPr="00AA3E9A">
        <w:rPr>
          <w:sz w:val="22"/>
          <w:szCs w:val="22"/>
          <w:lang w:val="lv-LV"/>
        </w:rPr>
        <w:t xml:space="preserve"> </w:t>
      </w:r>
    </w:p>
    <w:p w:rsidR="003B7FF3" w:rsidRPr="00AA3E9A" w:rsidRDefault="003B7FF3">
      <w:pPr>
        <w:jc w:val="both"/>
        <w:rPr>
          <w:sz w:val="22"/>
          <w:szCs w:val="22"/>
          <w:lang w:val="lv-LV"/>
        </w:rPr>
      </w:pPr>
    </w:p>
    <w:sectPr w:rsidR="003B7FF3" w:rsidRPr="00AA3E9A" w:rsidSect="00662A9D">
      <w:headerReference w:type="even" r:id="rId8"/>
      <w:headerReference w:type="default" r:id="rId9"/>
      <w:footerReference w:type="even" r:id="rId10"/>
      <w:footerReference w:type="default" r:id="rId11"/>
      <w:footerReference w:type="first" r:id="rId12"/>
      <w:pgSz w:w="15840" w:h="12240" w:orient="landscape" w:code="1"/>
      <w:pgMar w:top="1134" w:right="1440" w:bottom="864" w:left="144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B5" w:rsidRDefault="008178B5">
      <w:r>
        <w:separator/>
      </w:r>
    </w:p>
  </w:endnote>
  <w:endnote w:type="continuationSeparator" w:id="0">
    <w:p w:rsidR="008178B5" w:rsidRDefault="00817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94" w:rsidRDefault="008A4F3D" w:rsidP="00FD7672">
    <w:pPr>
      <w:pStyle w:val="Footer"/>
      <w:framePr w:wrap="around" w:vAnchor="text" w:hAnchor="margin" w:xAlign="right" w:y="1"/>
      <w:rPr>
        <w:rStyle w:val="PageNumber"/>
      </w:rPr>
    </w:pPr>
    <w:r>
      <w:rPr>
        <w:rStyle w:val="PageNumber"/>
      </w:rPr>
      <w:fldChar w:fldCharType="begin"/>
    </w:r>
    <w:r w:rsidR="000F6C94">
      <w:rPr>
        <w:rStyle w:val="PageNumber"/>
      </w:rPr>
      <w:instrText xml:space="preserve">PAGE  </w:instrText>
    </w:r>
    <w:r>
      <w:rPr>
        <w:rStyle w:val="PageNumber"/>
      </w:rPr>
      <w:fldChar w:fldCharType="end"/>
    </w:r>
  </w:p>
  <w:p w:rsidR="000F6C94" w:rsidRDefault="000F6C94" w:rsidP="007912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94" w:rsidRDefault="000F6C94" w:rsidP="00FD7672">
    <w:pPr>
      <w:pStyle w:val="Footer"/>
      <w:framePr w:wrap="around" w:vAnchor="text" w:hAnchor="margin" w:xAlign="right" w:y="1"/>
      <w:rPr>
        <w:rStyle w:val="PageNumber"/>
      </w:rPr>
    </w:pPr>
  </w:p>
  <w:p w:rsidR="000F6C94" w:rsidRPr="00FE4049" w:rsidRDefault="00E50154" w:rsidP="00FE4049">
    <w:pPr>
      <w:pStyle w:val="Footer"/>
      <w:jc w:val="both"/>
      <w:rPr>
        <w:sz w:val="22"/>
        <w:szCs w:val="22"/>
        <w:lang w:val="lv-LV"/>
      </w:rPr>
    </w:pPr>
    <w:bookmarkStart w:id="10" w:name="OLE_LINK10"/>
    <w:bookmarkStart w:id="11" w:name="OLE_LINK11"/>
    <w:r>
      <w:rPr>
        <w:sz w:val="22"/>
        <w:szCs w:val="22"/>
        <w:lang w:val="lv-LV"/>
      </w:rPr>
      <w:t>VMAnotp_010211</w:t>
    </w:r>
    <w:r w:rsidR="000F6C94" w:rsidRPr="00463123">
      <w:rPr>
        <w:sz w:val="22"/>
        <w:szCs w:val="22"/>
        <w:lang w:val="lv-LV"/>
      </w:rPr>
      <w:t>; Pielikums Ministru kabineta sēdes protokollēmuma „Par Ministru kabineta 2009.gada 6.oktobra sēdes protokollēmumā (prot.</w:t>
    </w:r>
    <w:r w:rsidR="000F6C94" w:rsidRPr="00FE4049">
      <w:rPr>
        <w:sz w:val="22"/>
        <w:szCs w:val="22"/>
        <w:lang w:val="lv-LV"/>
      </w:rPr>
      <w:t xml:space="preserve"> Nr.67 23.</w:t>
    </w:r>
    <w:r w:rsidR="000F6C94" w:rsidRPr="00FE4049">
      <w:rPr>
        <w:bCs/>
        <w:sz w:val="22"/>
        <w:szCs w:val="22"/>
        <w:lang w:val="lv-LV"/>
      </w:rPr>
      <w:t xml:space="preserve"> §) „Noteikumu projekts „Grozījums Ministru kabineta 2005.gada 27.decembra noteikumos Nr.1043 „Katastrofu medicīnas centra sniegto maksas pakalpojumu cenrādis””” dotā uzdevuma izpildes termiņa pagarinājumu” </w:t>
    </w:r>
    <w:r w:rsidR="000F6C94" w:rsidRPr="00FE4049">
      <w:rPr>
        <w:sz w:val="22"/>
        <w:szCs w:val="22"/>
        <w:lang w:val="lv-LV"/>
      </w:rPr>
      <w:t>projekta sākotnējās ietekmes novērtējuma ziņojumam</w:t>
    </w:r>
    <w:r w:rsidR="000F6C94" w:rsidRPr="00FE4049">
      <w:rPr>
        <w:bCs/>
        <w:sz w:val="22"/>
        <w:szCs w:val="22"/>
        <w:lang w:val="lv-LV"/>
      </w:rPr>
      <w:t xml:space="preserve"> (anotācijai)</w:t>
    </w:r>
  </w:p>
  <w:bookmarkEnd w:id="10"/>
  <w:bookmarkEnd w:id="11"/>
  <w:p w:rsidR="000F6C94" w:rsidRPr="00463123" w:rsidRDefault="000F6C94" w:rsidP="00FE4049">
    <w:pPr>
      <w:jc w:val="both"/>
      <w:rPr>
        <w:sz w:val="22"/>
        <w:szCs w:val="22"/>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94" w:rsidRPr="00FE4049" w:rsidRDefault="000F6C94" w:rsidP="00FE4049">
    <w:pPr>
      <w:pStyle w:val="Footer"/>
      <w:jc w:val="both"/>
      <w:rPr>
        <w:sz w:val="22"/>
        <w:szCs w:val="22"/>
        <w:lang w:val="lv-LV"/>
      </w:rPr>
    </w:pPr>
    <w:r w:rsidRPr="00463123">
      <w:rPr>
        <w:sz w:val="22"/>
        <w:szCs w:val="22"/>
        <w:lang w:val="lv-LV"/>
      </w:rPr>
      <w:t>VMAnotp_</w:t>
    </w:r>
    <w:r w:rsidR="00E50154">
      <w:rPr>
        <w:sz w:val="22"/>
        <w:szCs w:val="22"/>
        <w:lang w:val="lv-LV"/>
      </w:rPr>
      <w:t>010211</w:t>
    </w:r>
    <w:r w:rsidRPr="00463123">
      <w:rPr>
        <w:sz w:val="22"/>
        <w:szCs w:val="22"/>
        <w:lang w:val="lv-LV"/>
      </w:rPr>
      <w:t xml:space="preserve">; </w:t>
    </w:r>
    <w:bookmarkStart w:id="12" w:name="OLE_LINK1"/>
    <w:bookmarkStart w:id="13" w:name="OLE_LINK2"/>
    <w:bookmarkStart w:id="14" w:name="OLE_LINK15"/>
    <w:r w:rsidRPr="00463123">
      <w:rPr>
        <w:sz w:val="22"/>
        <w:szCs w:val="22"/>
        <w:lang w:val="lv-LV"/>
      </w:rPr>
      <w:t>Pielikums Ministru kabineta sēdes protokollēmuma „Par Ministru kabineta 2009.gada 6.oktobra sēdes protokollēmumā (prot.</w:t>
    </w:r>
    <w:r w:rsidRPr="00FE4049">
      <w:rPr>
        <w:sz w:val="22"/>
        <w:szCs w:val="22"/>
        <w:lang w:val="lv-LV"/>
      </w:rPr>
      <w:t xml:space="preserve"> Nr.67 23.</w:t>
    </w:r>
    <w:r w:rsidRPr="00FE4049">
      <w:rPr>
        <w:bCs/>
        <w:sz w:val="22"/>
        <w:szCs w:val="22"/>
        <w:lang w:val="lv-LV"/>
      </w:rPr>
      <w:t xml:space="preserve"> §) „Noteikumu projekts „Grozījums Ministru kabineta 2005.gada 27.decembra noteikumos Nr.1043 „Katastrofu medicīnas centra sniegto maksas pakalpojumu cenrādis””” dotā uzdevuma izpildes termiņa pagarinājumu” </w:t>
    </w:r>
    <w:r w:rsidRPr="00FE4049">
      <w:rPr>
        <w:sz w:val="22"/>
        <w:szCs w:val="22"/>
        <w:lang w:val="lv-LV"/>
      </w:rPr>
      <w:t>projekta sākotnējās ietekmes novērtējuma ziņojumam</w:t>
    </w:r>
    <w:r w:rsidRPr="00FE4049">
      <w:rPr>
        <w:bCs/>
        <w:sz w:val="22"/>
        <w:szCs w:val="22"/>
        <w:lang w:val="lv-LV"/>
      </w:rPr>
      <w:t xml:space="preserve"> (anotācijai)</w:t>
    </w:r>
    <w:bookmarkEnd w:id="12"/>
    <w:bookmarkEnd w:id="13"/>
    <w:bookmarkEnd w:id="14"/>
  </w:p>
  <w:p w:rsidR="000F6C94" w:rsidRPr="00E50154" w:rsidRDefault="000F6C94" w:rsidP="00FE4049">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B5" w:rsidRDefault="008178B5">
      <w:r>
        <w:separator/>
      </w:r>
    </w:p>
  </w:footnote>
  <w:footnote w:type="continuationSeparator" w:id="0">
    <w:p w:rsidR="008178B5" w:rsidRDefault="00817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94" w:rsidRDefault="008A4F3D" w:rsidP="009213B0">
    <w:pPr>
      <w:pStyle w:val="Header"/>
      <w:framePr w:wrap="around" w:vAnchor="text" w:hAnchor="margin" w:xAlign="center" w:y="1"/>
      <w:rPr>
        <w:rStyle w:val="PageNumber"/>
      </w:rPr>
    </w:pPr>
    <w:r>
      <w:rPr>
        <w:rStyle w:val="PageNumber"/>
      </w:rPr>
      <w:fldChar w:fldCharType="begin"/>
    </w:r>
    <w:r w:rsidR="000F6C94">
      <w:rPr>
        <w:rStyle w:val="PageNumber"/>
      </w:rPr>
      <w:instrText xml:space="preserve">PAGE  </w:instrText>
    </w:r>
    <w:r>
      <w:rPr>
        <w:rStyle w:val="PageNumber"/>
      </w:rPr>
      <w:fldChar w:fldCharType="end"/>
    </w:r>
  </w:p>
  <w:p w:rsidR="000F6C94" w:rsidRDefault="000F6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94" w:rsidRDefault="008A4F3D" w:rsidP="009213B0">
    <w:pPr>
      <w:pStyle w:val="Header"/>
      <w:framePr w:wrap="around" w:vAnchor="text" w:hAnchor="margin" w:xAlign="center" w:y="1"/>
      <w:rPr>
        <w:rStyle w:val="PageNumber"/>
      </w:rPr>
    </w:pPr>
    <w:r>
      <w:rPr>
        <w:rStyle w:val="PageNumber"/>
      </w:rPr>
      <w:fldChar w:fldCharType="begin"/>
    </w:r>
    <w:r w:rsidR="000F6C94">
      <w:rPr>
        <w:rStyle w:val="PageNumber"/>
      </w:rPr>
      <w:instrText xml:space="preserve">PAGE  </w:instrText>
    </w:r>
    <w:r>
      <w:rPr>
        <w:rStyle w:val="PageNumber"/>
      </w:rPr>
      <w:fldChar w:fldCharType="separate"/>
    </w:r>
    <w:r w:rsidR="00E50154">
      <w:rPr>
        <w:rStyle w:val="PageNumber"/>
        <w:noProof/>
      </w:rPr>
      <w:t>2</w:t>
    </w:r>
    <w:r>
      <w:rPr>
        <w:rStyle w:val="PageNumber"/>
      </w:rPr>
      <w:fldChar w:fldCharType="end"/>
    </w:r>
  </w:p>
  <w:p w:rsidR="000F6C94" w:rsidRDefault="000F6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1818"/>
    <w:multiLevelType w:val="hybridMultilevel"/>
    <w:tmpl w:val="3222B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2025D"/>
    <w:rsid w:val="00000090"/>
    <w:rsid w:val="000049EB"/>
    <w:rsid w:val="0000670F"/>
    <w:rsid w:val="000073F5"/>
    <w:rsid w:val="00010B0F"/>
    <w:rsid w:val="000173F8"/>
    <w:rsid w:val="0002025D"/>
    <w:rsid w:val="00023FB1"/>
    <w:rsid w:val="00026AFA"/>
    <w:rsid w:val="0003197B"/>
    <w:rsid w:val="00032DCB"/>
    <w:rsid w:val="0003327B"/>
    <w:rsid w:val="00033DB6"/>
    <w:rsid w:val="00036D4F"/>
    <w:rsid w:val="00052C52"/>
    <w:rsid w:val="00064073"/>
    <w:rsid w:val="00065D73"/>
    <w:rsid w:val="00066C1F"/>
    <w:rsid w:val="00067988"/>
    <w:rsid w:val="00073767"/>
    <w:rsid w:val="00084BDE"/>
    <w:rsid w:val="00086F65"/>
    <w:rsid w:val="00087869"/>
    <w:rsid w:val="00094611"/>
    <w:rsid w:val="000A0167"/>
    <w:rsid w:val="000A654E"/>
    <w:rsid w:val="000B115F"/>
    <w:rsid w:val="000C3D67"/>
    <w:rsid w:val="000C3E86"/>
    <w:rsid w:val="000D1FC0"/>
    <w:rsid w:val="000D2824"/>
    <w:rsid w:val="000D3109"/>
    <w:rsid w:val="000D541D"/>
    <w:rsid w:val="000D59E2"/>
    <w:rsid w:val="000E2896"/>
    <w:rsid w:val="000E36E6"/>
    <w:rsid w:val="000F2A54"/>
    <w:rsid w:val="000F3BFA"/>
    <w:rsid w:val="000F46D1"/>
    <w:rsid w:val="000F4E0A"/>
    <w:rsid w:val="000F6C94"/>
    <w:rsid w:val="00102DBB"/>
    <w:rsid w:val="001030A1"/>
    <w:rsid w:val="00107135"/>
    <w:rsid w:val="001075FB"/>
    <w:rsid w:val="00107826"/>
    <w:rsid w:val="00113CE6"/>
    <w:rsid w:val="00123F1A"/>
    <w:rsid w:val="00125CB6"/>
    <w:rsid w:val="00126CD0"/>
    <w:rsid w:val="00127A89"/>
    <w:rsid w:val="00134A7E"/>
    <w:rsid w:val="0013644D"/>
    <w:rsid w:val="00141970"/>
    <w:rsid w:val="00147B84"/>
    <w:rsid w:val="00153EEE"/>
    <w:rsid w:val="00154643"/>
    <w:rsid w:val="00154A92"/>
    <w:rsid w:val="001664A8"/>
    <w:rsid w:val="00167CB6"/>
    <w:rsid w:val="0017546F"/>
    <w:rsid w:val="00186125"/>
    <w:rsid w:val="00194BB1"/>
    <w:rsid w:val="00195370"/>
    <w:rsid w:val="001A3789"/>
    <w:rsid w:val="001A428E"/>
    <w:rsid w:val="001A4B12"/>
    <w:rsid w:val="001B18E7"/>
    <w:rsid w:val="001C001E"/>
    <w:rsid w:val="001C4018"/>
    <w:rsid w:val="001D6898"/>
    <w:rsid w:val="001E31AC"/>
    <w:rsid w:val="001E47C5"/>
    <w:rsid w:val="001F2903"/>
    <w:rsid w:val="001F3455"/>
    <w:rsid w:val="00201C29"/>
    <w:rsid w:val="0020278F"/>
    <w:rsid w:val="00202E05"/>
    <w:rsid w:val="002059AD"/>
    <w:rsid w:val="00210433"/>
    <w:rsid w:val="0021524D"/>
    <w:rsid w:val="00243663"/>
    <w:rsid w:val="00246396"/>
    <w:rsid w:val="0024642A"/>
    <w:rsid w:val="00254C3C"/>
    <w:rsid w:val="002651D2"/>
    <w:rsid w:val="00267443"/>
    <w:rsid w:val="00275FBC"/>
    <w:rsid w:val="002801EE"/>
    <w:rsid w:val="002829BC"/>
    <w:rsid w:val="00283F57"/>
    <w:rsid w:val="00285EFE"/>
    <w:rsid w:val="002943D5"/>
    <w:rsid w:val="00294483"/>
    <w:rsid w:val="00294F72"/>
    <w:rsid w:val="002A2BB2"/>
    <w:rsid w:val="002A65C9"/>
    <w:rsid w:val="002B316C"/>
    <w:rsid w:val="002C406A"/>
    <w:rsid w:val="002C651B"/>
    <w:rsid w:val="002D52AA"/>
    <w:rsid w:val="002D596C"/>
    <w:rsid w:val="002D652C"/>
    <w:rsid w:val="002D6619"/>
    <w:rsid w:val="002E040D"/>
    <w:rsid w:val="002E4223"/>
    <w:rsid w:val="002E472B"/>
    <w:rsid w:val="003032AC"/>
    <w:rsid w:val="0030431A"/>
    <w:rsid w:val="00305213"/>
    <w:rsid w:val="003057FA"/>
    <w:rsid w:val="0032659C"/>
    <w:rsid w:val="0033261D"/>
    <w:rsid w:val="003475D3"/>
    <w:rsid w:val="00347D37"/>
    <w:rsid w:val="0035474A"/>
    <w:rsid w:val="003567C2"/>
    <w:rsid w:val="00361C35"/>
    <w:rsid w:val="00364CAE"/>
    <w:rsid w:val="003677A1"/>
    <w:rsid w:val="00373D57"/>
    <w:rsid w:val="003821D7"/>
    <w:rsid w:val="00383C46"/>
    <w:rsid w:val="003A696B"/>
    <w:rsid w:val="003B1698"/>
    <w:rsid w:val="003B326D"/>
    <w:rsid w:val="003B7FF3"/>
    <w:rsid w:val="003C6D77"/>
    <w:rsid w:val="003D0E2C"/>
    <w:rsid w:val="003D19F6"/>
    <w:rsid w:val="003E3558"/>
    <w:rsid w:val="003E53A3"/>
    <w:rsid w:val="004023FA"/>
    <w:rsid w:val="004251FC"/>
    <w:rsid w:val="00427562"/>
    <w:rsid w:val="004306DF"/>
    <w:rsid w:val="004345A5"/>
    <w:rsid w:val="00435D84"/>
    <w:rsid w:val="004376D3"/>
    <w:rsid w:val="004415F3"/>
    <w:rsid w:val="0044368D"/>
    <w:rsid w:val="00453917"/>
    <w:rsid w:val="00456CF2"/>
    <w:rsid w:val="00463123"/>
    <w:rsid w:val="00472E28"/>
    <w:rsid w:val="004765F3"/>
    <w:rsid w:val="0048211C"/>
    <w:rsid w:val="00487607"/>
    <w:rsid w:val="00490ED4"/>
    <w:rsid w:val="00493E9D"/>
    <w:rsid w:val="00497BCC"/>
    <w:rsid w:val="004A23FF"/>
    <w:rsid w:val="004A35D1"/>
    <w:rsid w:val="004A6AC5"/>
    <w:rsid w:val="004A7CA2"/>
    <w:rsid w:val="004B31BC"/>
    <w:rsid w:val="004C56C3"/>
    <w:rsid w:val="004D0DF2"/>
    <w:rsid w:val="004D4BA2"/>
    <w:rsid w:val="004E1937"/>
    <w:rsid w:val="004E1B29"/>
    <w:rsid w:val="004E1EF9"/>
    <w:rsid w:val="004E734E"/>
    <w:rsid w:val="004F3B7B"/>
    <w:rsid w:val="0050117C"/>
    <w:rsid w:val="005019B6"/>
    <w:rsid w:val="00510294"/>
    <w:rsid w:val="00513ACD"/>
    <w:rsid w:val="0051508D"/>
    <w:rsid w:val="0052222D"/>
    <w:rsid w:val="00524F09"/>
    <w:rsid w:val="00531729"/>
    <w:rsid w:val="00531F6F"/>
    <w:rsid w:val="00531FD3"/>
    <w:rsid w:val="00536B70"/>
    <w:rsid w:val="005452BC"/>
    <w:rsid w:val="00560F6E"/>
    <w:rsid w:val="0056240A"/>
    <w:rsid w:val="005668EC"/>
    <w:rsid w:val="00574A3E"/>
    <w:rsid w:val="005771CE"/>
    <w:rsid w:val="00582E8D"/>
    <w:rsid w:val="005A03CE"/>
    <w:rsid w:val="005A29D0"/>
    <w:rsid w:val="005A2ABE"/>
    <w:rsid w:val="005A7BB0"/>
    <w:rsid w:val="005B06D1"/>
    <w:rsid w:val="005B3992"/>
    <w:rsid w:val="005B52C4"/>
    <w:rsid w:val="005C34E6"/>
    <w:rsid w:val="005C588E"/>
    <w:rsid w:val="005D54A0"/>
    <w:rsid w:val="005D6F37"/>
    <w:rsid w:val="005D7F7F"/>
    <w:rsid w:val="005E3632"/>
    <w:rsid w:val="005E3E32"/>
    <w:rsid w:val="005E7928"/>
    <w:rsid w:val="005F1163"/>
    <w:rsid w:val="005F2AC7"/>
    <w:rsid w:val="00603D01"/>
    <w:rsid w:val="00603FCF"/>
    <w:rsid w:val="006123EC"/>
    <w:rsid w:val="006164CD"/>
    <w:rsid w:val="00616FC9"/>
    <w:rsid w:val="00621BD3"/>
    <w:rsid w:val="00630A62"/>
    <w:rsid w:val="0064160E"/>
    <w:rsid w:val="00641D6B"/>
    <w:rsid w:val="00641F8E"/>
    <w:rsid w:val="006504AC"/>
    <w:rsid w:val="00653263"/>
    <w:rsid w:val="00662A9D"/>
    <w:rsid w:val="0066422D"/>
    <w:rsid w:val="00667027"/>
    <w:rsid w:val="00671792"/>
    <w:rsid w:val="00672634"/>
    <w:rsid w:val="00681876"/>
    <w:rsid w:val="00687569"/>
    <w:rsid w:val="006955AC"/>
    <w:rsid w:val="006A0B6A"/>
    <w:rsid w:val="006A4217"/>
    <w:rsid w:val="006B08E8"/>
    <w:rsid w:val="006B1313"/>
    <w:rsid w:val="006B78CA"/>
    <w:rsid w:val="006C5A99"/>
    <w:rsid w:val="006C5EAF"/>
    <w:rsid w:val="006F2EBD"/>
    <w:rsid w:val="006F7BCC"/>
    <w:rsid w:val="00700B71"/>
    <w:rsid w:val="00702346"/>
    <w:rsid w:val="0071173B"/>
    <w:rsid w:val="007132B1"/>
    <w:rsid w:val="00714DA6"/>
    <w:rsid w:val="00715ED7"/>
    <w:rsid w:val="00716AF6"/>
    <w:rsid w:val="00721A9A"/>
    <w:rsid w:val="00726D10"/>
    <w:rsid w:val="00734F80"/>
    <w:rsid w:val="00737CC0"/>
    <w:rsid w:val="00740BA6"/>
    <w:rsid w:val="00742BBF"/>
    <w:rsid w:val="00747EDD"/>
    <w:rsid w:val="00750304"/>
    <w:rsid w:val="007508DF"/>
    <w:rsid w:val="00752059"/>
    <w:rsid w:val="00752E0A"/>
    <w:rsid w:val="00753B74"/>
    <w:rsid w:val="007622B3"/>
    <w:rsid w:val="00763776"/>
    <w:rsid w:val="0076557B"/>
    <w:rsid w:val="0077333F"/>
    <w:rsid w:val="00773B53"/>
    <w:rsid w:val="00776066"/>
    <w:rsid w:val="00776A2C"/>
    <w:rsid w:val="007808E8"/>
    <w:rsid w:val="00786829"/>
    <w:rsid w:val="00787823"/>
    <w:rsid w:val="00787824"/>
    <w:rsid w:val="007912B8"/>
    <w:rsid w:val="007A60E7"/>
    <w:rsid w:val="007C09ED"/>
    <w:rsid w:val="007C442C"/>
    <w:rsid w:val="007C67B4"/>
    <w:rsid w:val="007C6CB3"/>
    <w:rsid w:val="007C6F43"/>
    <w:rsid w:val="007D674B"/>
    <w:rsid w:val="007E2D1F"/>
    <w:rsid w:val="007F5A39"/>
    <w:rsid w:val="007F7CE8"/>
    <w:rsid w:val="00802097"/>
    <w:rsid w:val="00811D4C"/>
    <w:rsid w:val="008178B5"/>
    <w:rsid w:val="00817996"/>
    <w:rsid w:val="008261F7"/>
    <w:rsid w:val="00830DB2"/>
    <w:rsid w:val="008354A4"/>
    <w:rsid w:val="00836D7E"/>
    <w:rsid w:val="0085480C"/>
    <w:rsid w:val="00856774"/>
    <w:rsid w:val="008649F0"/>
    <w:rsid w:val="0087429E"/>
    <w:rsid w:val="008751C4"/>
    <w:rsid w:val="00883ACD"/>
    <w:rsid w:val="00883B8B"/>
    <w:rsid w:val="00892A45"/>
    <w:rsid w:val="008A0062"/>
    <w:rsid w:val="008A25B0"/>
    <w:rsid w:val="008A4F3D"/>
    <w:rsid w:val="008A7AAA"/>
    <w:rsid w:val="008A7D96"/>
    <w:rsid w:val="008B5A56"/>
    <w:rsid w:val="008B7B88"/>
    <w:rsid w:val="008C07BD"/>
    <w:rsid w:val="008C07F5"/>
    <w:rsid w:val="008C4AA0"/>
    <w:rsid w:val="008C702A"/>
    <w:rsid w:val="008E07C7"/>
    <w:rsid w:val="008E1E1B"/>
    <w:rsid w:val="008E49B7"/>
    <w:rsid w:val="008E4B66"/>
    <w:rsid w:val="008E5927"/>
    <w:rsid w:val="008E5D31"/>
    <w:rsid w:val="008F0764"/>
    <w:rsid w:val="008F60F2"/>
    <w:rsid w:val="008F6A28"/>
    <w:rsid w:val="00903A88"/>
    <w:rsid w:val="009076B1"/>
    <w:rsid w:val="009150C6"/>
    <w:rsid w:val="009213B0"/>
    <w:rsid w:val="0092483C"/>
    <w:rsid w:val="00924C73"/>
    <w:rsid w:val="00933129"/>
    <w:rsid w:val="00943DAF"/>
    <w:rsid w:val="009450BD"/>
    <w:rsid w:val="009528D9"/>
    <w:rsid w:val="009629C8"/>
    <w:rsid w:val="00962DA1"/>
    <w:rsid w:val="0096419E"/>
    <w:rsid w:val="00966F28"/>
    <w:rsid w:val="009708C6"/>
    <w:rsid w:val="009728D8"/>
    <w:rsid w:val="00976246"/>
    <w:rsid w:val="009768D9"/>
    <w:rsid w:val="009838DE"/>
    <w:rsid w:val="00987156"/>
    <w:rsid w:val="0099145B"/>
    <w:rsid w:val="00993C92"/>
    <w:rsid w:val="0099720C"/>
    <w:rsid w:val="009A2DE1"/>
    <w:rsid w:val="009A3972"/>
    <w:rsid w:val="009B1B1C"/>
    <w:rsid w:val="009B1BC5"/>
    <w:rsid w:val="009B4948"/>
    <w:rsid w:val="009B562C"/>
    <w:rsid w:val="009B66B2"/>
    <w:rsid w:val="009C2E38"/>
    <w:rsid w:val="009C3A30"/>
    <w:rsid w:val="009D3364"/>
    <w:rsid w:val="009D3D4F"/>
    <w:rsid w:val="009E132C"/>
    <w:rsid w:val="009E37DF"/>
    <w:rsid w:val="009E3917"/>
    <w:rsid w:val="009E3F13"/>
    <w:rsid w:val="00A008B0"/>
    <w:rsid w:val="00A01787"/>
    <w:rsid w:val="00A030F5"/>
    <w:rsid w:val="00A03A8C"/>
    <w:rsid w:val="00A115A2"/>
    <w:rsid w:val="00A12237"/>
    <w:rsid w:val="00A1369C"/>
    <w:rsid w:val="00A231A1"/>
    <w:rsid w:val="00A2538E"/>
    <w:rsid w:val="00A27046"/>
    <w:rsid w:val="00A3350E"/>
    <w:rsid w:val="00A42C3F"/>
    <w:rsid w:val="00A42D7A"/>
    <w:rsid w:val="00A56876"/>
    <w:rsid w:val="00A57D39"/>
    <w:rsid w:val="00A57EE9"/>
    <w:rsid w:val="00A57F67"/>
    <w:rsid w:val="00A609E5"/>
    <w:rsid w:val="00A6748F"/>
    <w:rsid w:val="00A72727"/>
    <w:rsid w:val="00A75A9B"/>
    <w:rsid w:val="00A77C78"/>
    <w:rsid w:val="00A824D7"/>
    <w:rsid w:val="00A84448"/>
    <w:rsid w:val="00AA113D"/>
    <w:rsid w:val="00AA1700"/>
    <w:rsid w:val="00AA3E9A"/>
    <w:rsid w:val="00AD43EA"/>
    <w:rsid w:val="00AD444F"/>
    <w:rsid w:val="00B060AB"/>
    <w:rsid w:val="00B068EB"/>
    <w:rsid w:val="00B15ED1"/>
    <w:rsid w:val="00B206A1"/>
    <w:rsid w:val="00B30494"/>
    <w:rsid w:val="00B3176F"/>
    <w:rsid w:val="00B40C29"/>
    <w:rsid w:val="00B50628"/>
    <w:rsid w:val="00B626C2"/>
    <w:rsid w:val="00B63082"/>
    <w:rsid w:val="00B66209"/>
    <w:rsid w:val="00B70C0E"/>
    <w:rsid w:val="00B7512D"/>
    <w:rsid w:val="00B85221"/>
    <w:rsid w:val="00B9752A"/>
    <w:rsid w:val="00BA3D5F"/>
    <w:rsid w:val="00BA61E8"/>
    <w:rsid w:val="00BA7E36"/>
    <w:rsid w:val="00BB01F0"/>
    <w:rsid w:val="00BB1889"/>
    <w:rsid w:val="00BB64F1"/>
    <w:rsid w:val="00BC7960"/>
    <w:rsid w:val="00BD2C87"/>
    <w:rsid w:val="00BD2EA6"/>
    <w:rsid w:val="00BD3007"/>
    <w:rsid w:val="00BD79F2"/>
    <w:rsid w:val="00BD7FAA"/>
    <w:rsid w:val="00C059BD"/>
    <w:rsid w:val="00C113A4"/>
    <w:rsid w:val="00C1409E"/>
    <w:rsid w:val="00C21E17"/>
    <w:rsid w:val="00C42B52"/>
    <w:rsid w:val="00C439C8"/>
    <w:rsid w:val="00C44E38"/>
    <w:rsid w:val="00C471E7"/>
    <w:rsid w:val="00C5124D"/>
    <w:rsid w:val="00C6770C"/>
    <w:rsid w:val="00C75D4A"/>
    <w:rsid w:val="00C859E2"/>
    <w:rsid w:val="00C86580"/>
    <w:rsid w:val="00CA67A1"/>
    <w:rsid w:val="00CA6F81"/>
    <w:rsid w:val="00CB48A8"/>
    <w:rsid w:val="00CB7081"/>
    <w:rsid w:val="00CC16FE"/>
    <w:rsid w:val="00CC7655"/>
    <w:rsid w:val="00CD346C"/>
    <w:rsid w:val="00CD4815"/>
    <w:rsid w:val="00CD5B56"/>
    <w:rsid w:val="00CE284C"/>
    <w:rsid w:val="00D010BE"/>
    <w:rsid w:val="00D01CE0"/>
    <w:rsid w:val="00D05A4B"/>
    <w:rsid w:val="00D05BFA"/>
    <w:rsid w:val="00D063AC"/>
    <w:rsid w:val="00D06D1A"/>
    <w:rsid w:val="00D0707A"/>
    <w:rsid w:val="00D21C2C"/>
    <w:rsid w:val="00D225A0"/>
    <w:rsid w:val="00D22B6F"/>
    <w:rsid w:val="00D27BEA"/>
    <w:rsid w:val="00D361E2"/>
    <w:rsid w:val="00D3778A"/>
    <w:rsid w:val="00D456A3"/>
    <w:rsid w:val="00D45DB9"/>
    <w:rsid w:val="00D7591A"/>
    <w:rsid w:val="00D767B8"/>
    <w:rsid w:val="00D82B36"/>
    <w:rsid w:val="00D8390D"/>
    <w:rsid w:val="00D843B1"/>
    <w:rsid w:val="00D902AE"/>
    <w:rsid w:val="00D91A4B"/>
    <w:rsid w:val="00D94639"/>
    <w:rsid w:val="00D94D73"/>
    <w:rsid w:val="00DA0065"/>
    <w:rsid w:val="00DA2CED"/>
    <w:rsid w:val="00DA34E9"/>
    <w:rsid w:val="00DA7F38"/>
    <w:rsid w:val="00DB5AFE"/>
    <w:rsid w:val="00DC02AB"/>
    <w:rsid w:val="00DC0E10"/>
    <w:rsid w:val="00DC7E81"/>
    <w:rsid w:val="00DE0241"/>
    <w:rsid w:val="00DE4C29"/>
    <w:rsid w:val="00DF49B3"/>
    <w:rsid w:val="00DF5487"/>
    <w:rsid w:val="00E00BBB"/>
    <w:rsid w:val="00E01FA7"/>
    <w:rsid w:val="00E06E76"/>
    <w:rsid w:val="00E1064E"/>
    <w:rsid w:val="00E11890"/>
    <w:rsid w:val="00E2719F"/>
    <w:rsid w:val="00E340FB"/>
    <w:rsid w:val="00E37589"/>
    <w:rsid w:val="00E50154"/>
    <w:rsid w:val="00E572F2"/>
    <w:rsid w:val="00E6293F"/>
    <w:rsid w:val="00E65708"/>
    <w:rsid w:val="00E6788A"/>
    <w:rsid w:val="00E70EA0"/>
    <w:rsid w:val="00E72C2C"/>
    <w:rsid w:val="00E74A92"/>
    <w:rsid w:val="00E771AA"/>
    <w:rsid w:val="00E77662"/>
    <w:rsid w:val="00E84236"/>
    <w:rsid w:val="00E86A0D"/>
    <w:rsid w:val="00E90677"/>
    <w:rsid w:val="00E955CB"/>
    <w:rsid w:val="00EA38EA"/>
    <w:rsid w:val="00EA5C5F"/>
    <w:rsid w:val="00EB069E"/>
    <w:rsid w:val="00EB12C6"/>
    <w:rsid w:val="00EB3D55"/>
    <w:rsid w:val="00EC3176"/>
    <w:rsid w:val="00ED36CB"/>
    <w:rsid w:val="00ED488F"/>
    <w:rsid w:val="00EE134A"/>
    <w:rsid w:val="00EE6200"/>
    <w:rsid w:val="00EF0BDA"/>
    <w:rsid w:val="00EF7427"/>
    <w:rsid w:val="00F02183"/>
    <w:rsid w:val="00F13E54"/>
    <w:rsid w:val="00F1574E"/>
    <w:rsid w:val="00F23D64"/>
    <w:rsid w:val="00F2508D"/>
    <w:rsid w:val="00F26428"/>
    <w:rsid w:val="00F269DC"/>
    <w:rsid w:val="00F27DA1"/>
    <w:rsid w:val="00F3159C"/>
    <w:rsid w:val="00F358EF"/>
    <w:rsid w:val="00F43E68"/>
    <w:rsid w:val="00F44108"/>
    <w:rsid w:val="00F4498E"/>
    <w:rsid w:val="00F64976"/>
    <w:rsid w:val="00F70A45"/>
    <w:rsid w:val="00F77516"/>
    <w:rsid w:val="00F9394E"/>
    <w:rsid w:val="00F939A2"/>
    <w:rsid w:val="00FB4E2B"/>
    <w:rsid w:val="00FC0FA4"/>
    <w:rsid w:val="00FC2FDC"/>
    <w:rsid w:val="00FD7672"/>
    <w:rsid w:val="00FE00DD"/>
    <w:rsid w:val="00FE0C42"/>
    <w:rsid w:val="00FE0FBE"/>
    <w:rsid w:val="00FE3199"/>
    <w:rsid w:val="00FE4049"/>
    <w:rsid w:val="00FE632B"/>
    <w:rsid w:val="00FF01DA"/>
    <w:rsid w:val="00FF5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3D"/>
  </w:style>
  <w:style w:type="paragraph" w:styleId="Heading1">
    <w:name w:val="heading 1"/>
    <w:basedOn w:val="Normal"/>
    <w:next w:val="Normal"/>
    <w:qFormat/>
    <w:rsid w:val="008A4F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B06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F3D"/>
    <w:pPr>
      <w:keepNext/>
      <w:jc w:val="center"/>
      <w:outlineLvl w:val="2"/>
    </w:pPr>
    <w:rPr>
      <w:b/>
      <w:sz w:val="28"/>
      <w:lang w:val="lv-LV"/>
    </w:rPr>
  </w:style>
  <w:style w:type="paragraph" w:styleId="Heading5">
    <w:name w:val="heading 5"/>
    <w:basedOn w:val="Normal"/>
    <w:next w:val="Normal"/>
    <w:link w:val="Heading5Char"/>
    <w:uiPriority w:val="9"/>
    <w:qFormat/>
    <w:rsid w:val="0009461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4F3D"/>
    <w:pPr>
      <w:jc w:val="center"/>
    </w:pPr>
    <w:rPr>
      <w:b/>
      <w:sz w:val="28"/>
      <w:lang w:val="lv-LV"/>
    </w:rPr>
  </w:style>
  <w:style w:type="character" w:styleId="PageNumber">
    <w:name w:val="page number"/>
    <w:basedOn w:val="DefaultParagraphFont"/>
    <w:rsid w:val="007912B8"/>
  </w:style>
  <w:style w:type="paragraph" w:styleId="Footer">
    <w:name w:val="footer"/>
    <w:basedOn w:val="Normal"/>
    <w:link w:val="FooterChar"/>
    <w:rsid w:val="008A4F3D"/>
    <w:pPr>
      <w:tabs>
        <w:tab w:val="center" w:pos="4320"/>
        <w:tab w:val="right" w:pos="8640"/>
      </w:tabs>
    </w:pPr>
  </w:style>
  <w:style w:type="paragraph" w:styleId="Header">
    <w:name w:val="header"/>
    <w:basedOn w:val="Normal"/>
    <w:rsid w:val="008A4F3D"/>
    <w:pPr>
      <w:tabs>
        <w:tab w:val="center" w:pos="4320"/>
        <w:tab w:val="right" w:pos="8640"/>
      </w:tabs>
    </w:pPr>
    <w:rPr>
      <w:sz w:val="24"/>
      <w:szCs w:val="24"/>
    </w:rPr>
  </w:style>
  <w:style w:type="character" w:customStyle="1" w:styleId="Heading5Char">
    <w:name w:val="Heading 5 Char"/>
    <w:basedOn w:val="DefaultParagraphFont"/>
    <w:link w:val="Heading5"/>
    <w:uiPriority w:val="9"/>
    <w:semiHidden/>
    <w:rsid w:val="00094611"/>
    <w:rPr>
      <w:rFonts w:ascii="Calibri" w:hAnsi="Calibri"/>
      <w:b/>
      <w:bCs/>
      <w:i/>
      <w:iCs/>
      <w:sz w:val="26"/>
      <w:szCs w:val="26"/>
      <w:lang w:val="en-US" w:eastAsia="en-US"/>
    </w:rPr>
  </w:style>
  <w:style w:type="paragraph" w:styleId="BalloonText">
    <w:name w:val="Balloon Text"/>
    <w:basedOn w:val="Normal"/>
    <w:link w:val="BalloonTextChar"/>
    <w:rsid w:val="00094611"/>
    <w:rPr>
      <w:rFonts w:ascii="Tahoma" w:hAnsi="Tahoma" w:cs="Tahoma"/>
      <w:sz w:val="16"/>
      <w:szCs w:val="16"/>
    </w:rPr>
  </w:style>
  <w:style w:type="character" w:customStyle="1" w:styleId="BalloonTextChar">
    <w:name w:val="Balloon Text Char"/>
    <w:basedOn w:val="DefaultParagraphFont"/>
    <w:link w:val="BalloonText"/>
    <w:rsid w:val="00094611"/>
    <w:rPr>
      <w:rFonts w:ascii="Tahoma" w:hAnsi="Tahoma" w:cs="Tahoma"/>
      <w:sz w:val="16"/>
      <w:szCs w:val="16"/>
      <w:lang w:val="en-US" w:eastAsia="en-US"/>
    </w:rPr>
  </w:style>
  <w:style w:type="character" w:styleId="Hyperlink">
    <w:name w:val="Hyperlink"/>
    <w:basedOn w:val="DefaultParagraphFont"/>
    <w:rsid w:val="005B06D1"/>
    <w:rPr>
      <w:color w:val="0000FF"/>
      <w:u w:val="single"/>
    </w:rPr>
  </w:style>
  <w:style w:type="paragraph" w:customStyle="1" w:styleId="RakstzCharCharRakstzCharCharRakstz">
    <w:name w:val="Rakstz. Char Char Rakstz. Char Char Rakstz."/>
    <w:basedOn w:val="Normal"/>
    <w:rsid w:val="003475D3"/>
    <w:pPr>
      <w:spacing w:after="160" w:line="240" w:lineRule="exact"/>
    </w:pPr>
    <w:rPr>
      <w:rFonts w:ascii="Tahoma" w:hAnsi="Tahoma"/>
    </w:rPr>
  </w:style>
  <w:style w:type="paragraph" w:customStyle="1" w:styleId="naisf">
    <w:name w:val="naisf"/>
    <w:basedOn w:val="Normal"/>
    <w:rsid w:val="004023FA"/>
    <w:pPr>
      <w:spacing w:before="100" w:beforeAutospacing="1" w:after="100" w:afterAutospacing="1"/>
    </w:pPr>
    <w:rPr>
      <w:sz w:val="24"/>
      <w:szCs w:val="24"/>
      <w:lang w:val="lv-LV" w:eastAsia="lv-LV"/>
    </w:rPr>
  </w:style>
  <w:style w:type="character" w:customStyle="1" w:styleId="Heading2Char">
    <w:name w:val="Heading 2 Char"/>
    <w:basedOn w:val="DefaultParagraphFont"/>
    <w:link w:val="Heading2"/>
    <w:rsid w:val="003B7FF3"/>
    <w:rPr>
      <w:rFonts w:ascii="Arial" w:hAnsi="Arial" w:cs="Arial"/>
      <w:b/>
      <w:bCs/>
      <w:i/>
      <w:iCs/>
      <w:sz w:val="28"/>
      <w:szCs w:val="28"/>
      <w:lang w:val="en-US" w:eastAsia="en-US"/>
    </w:rPr>
  </w:style>
  <w:style w:type="paragraph" w:customStyle="1" w:styleId="tvhtml">
    <w:name w:val="tv_html"/>
    <w:basedOn w:val="Normal"/>
    <w:rsid w:val="00E6293F"/>
    <w:pPr>
      <w:spacing w:before="100" w:beforeAutospacing="1" w:after="100" w:afterAutospacing="1"/>
    </w:pPr>
    <w:rPr>
      <w:rFonts w:ascii="Verdana" w:hAnsi="Verdana"/>
      <w:sz w:val="18"/>
      <w:szCs w:val="18"/>
      <w:lang w:val="lv-LV" w:eastAsia="lv-LV"/>
    </w:rPr>
  </w:style>
  <w:style w:type="character" w:customStyle="1" w:styleId="FooterChar">
    <w:name w:val="Footer Char"/>
    <w:basedOn w:val="DefaultParagraphFont"/>
    <w:link w:val="Footer"/>
    <w:rsid w:val="00FE4049"/>
  </w:style>
</w:styles>
</file>

<file path=word/webSettings.xml><?xml version="1.0" encoding="utf-8"?>
<w:webSettings xmlns:r="http://schemas.openxmlformats.org/officeDocument/2006/relationships" xmlns:w="http://schemas.openxmlformats.org/wordprocessingml/2006/main">
  <w:divs>
    <w:div w:id="16571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nete.Zvaigzne@v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Pielikums Ministru kabineta sēdes protokollēmuma „Par Ministru kabineta 2009.gada 6.oktobra sēdes protokollēmumā (prot. Nr.67 23. §)„Noteikumu projekts „Grozījums Ministru kabineta 2005.gada 27.decembra noteikumos Nr.1043 „Katastrofu medicīnas centra snie</vt:lpstr>
    </vt:vector>
  </TitlesOfParts>
  <Company>Veselibas ministrija</Company>
  <LinksUpToDate>false</LinksUpToDate>
  <CharactersWithSpaces>1926</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sēdes protokollēmuma „Par Ministru kabineta 2009.gada 6.oktobra sēdes protokollēmumā (prot. Nr.67 23. §)„Noteikumu projekts „Grozījums Ministru kabineta 2005.gada 27.decembra noteikumos Nr.1043 „Katastrofu medicīnas centra sniegto maksas pakalpojumu cenrādis””” dotā uzdevuma izpildes termiņa pagarinājumu” projekta sākotnējās ietekmes Pielikums Ministru kabineta sēdes protokollēmuma „Par Ministru kabineta 2009.gada 6.oktobra sēdes protokollēmumā (prot. Nr.67 23. §) „Noteikumu projekts „Grozījums Ministru kabineta 2005.gada 27.decembra noteikumos Nr.1043 „Katastrofu medicīnas centra sniegto maksas pakalpojumu cenrādis””” dotā uzdevuma izpildes termiņa pagarinājumu” projekta sākotnējās ietekmes novērtējuma ziņojumam (anotācijai)</dc:title>
  <dc:subject>anotācijas pielikums</dc:subject>
  <dc:creator>Žanete Zvaigzne</dc:creator>
  <cp:keywords/>
  <dc:description>67876041, Zanete.Zvaigzne@vm.gov.lv</dc:description>
  <cp:lastModifiedBy>zzvaigzne</cp:lastModifiedBy>
  <cp:revision>3</cp:revision>
  <cp:lastPrinted>2009-03-09T13:33:00Z</cp:lastPrinted>
  <dcterms:created xsi:type="dcterms:W3CDTF">2011-02-01T11:57:00Z</dcterms:created>
  <dcterms:modified xsi:type="dcterms:W3CDTF">2011-02-01T11:59:00Z</dcterms:modified>
</cp:coreProperties>
</file>