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D4" w:rsidRPr="00CF0F4F" w:rsidRDefault="00287CD4" w:rsidP="00287CD4">
      <w:pPr>
        <w:ind w:firstLine="720"/>
        <w:jc w:val="right"/>
        <w:rPr>
          <w:rFonts w:ascii="Times New Roman" w:hAnsi="Times New Roman"/>
          <w:i/>
          <w:sz w:val="28"/>
          <w:szCs w:val="28"/>
          <w:lang w:val="lv-LV"/>
        </w:rPr>
      </w:pPr>
      <w:r w:rsidRPr="00CF0F4F">
        <w:rPr>
          <w:rFonts w:ascii="Times New Roman" w:hAnsi="Times New Roman"/>
          <w:i/>
          <w:sz w:val="28"/>
          <w:szCs w:val="28"/>
          <w:lang w:val="lv-LV"/>
        </w:rPr>
        <w:t>Projekts</w:t>
      </w:r>
    </w:p>
    <w:p w:rsidR="00287CD4" w:rsidRDefault="00287CD4" w:rsidP="00287CD4">
      <w:pPr>
        <w:spacing w:after="0"/>
        <w:ind w:firstLine="720"/>
        <w:jc w:val="center"/>
        <w:rPr>
          <w:rFonts w:ascii="Times New Roman" w:hAnsi="Times New Roman"/>
          <w:sz w:val="28"/>
          <w:szCs w:val="28"/>
        </w:rPr>
      </w:pPr>
      <w:r w:rsidRPr="003E4B28">
        <w:rPr>
          <w:rFonts w:ascii="Times New Roman" w:hAnsi="Times New Roman"/>
          <w:sz w:val="28"/>
          <w:szCs w:val="28"/>
        </w:rPr>
        <w:t>LATVIJA</w:t>
      </w:r>
      <w:r>
        <w:rPr>
          <w:rFonts w:ascii="Times New Roman" w:hAnsi="Times New Roman"/>
          <w:sz w:val="28"/>
          <w:szCs w:val="28"/>
        </w:rPr>
        <w:t>S REPUBLIKAS MINISTRU KABINETS</w:t>
      </w:r>
    </w:p>
    <w:p w:rsidR="00287CD4" w:rsidRPr="003E4B28" w:rsidRDefault="00287CD4" w:rsidP="00287CD4">
      <w:pPr>
        <w:spacing w:after="0"/>
        <w:ind w:firstLine="720"/>
        <w:jc w:val="center"/>
        <w:rPr>
          <w:rFonts w:ascii="Times New Roman" w:hAnsi="Times New Roman"/>
          <w:sz w:val="28"/>
          <w:szCs w:val="28"/>
        </w:rPr>
      </w:pPr>
      <w:r>
        <w:rPr>
          <w:rFonts w:ascii="Times New Roman" w:hAnsi="Times New Roman"/>
          <w:sz w:val="28"/>
          <w:szCs w:val="28"/>
        </w:rPr>
        <w:t xml:space="preserve"> </w:t>
      </w:r>
    </w:p>
    <w:p w:rsidR="00287CD4" w:rsidRPr="00CF0F4F" w:rsidRDefault="00287CD4" w:rsidP="00287CD4">
      <w:pPr>
        <w:spacing w:after="0" w:line="240" w:lineRule="auto"/>
        <w:jc w:val="both"/>
        <w:rPr>
          <w:rFonts w:ascii="Times New Roman" w:hAnsi="Times New Roman"/>
          <w:sz w:val="28"/>
          <w:szCs w:val="28"/>
          <w:lang w:val="lv-LV"/>
        </w:rPr>
      </w:pPr>
      <w:r w:rsidRPr="00CF0F4F">
        <w:rPr>
          <w:rFonts w:ascii="Times New Roman" w:hAnsi="Times New Roman"/>
          <w:sz w:val="28"/>
          <w:szCs w:val="28"/>
          <w:lang w:val="lv-LV"/>
        </w:rPr>
        <w:t xml:space="preserve">2012.gada ___.____________ </w:t>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t xml:space="preserve">Noteikumi Nr.___ </w:t>
      </w:r>
    </w:p>
    <w:p w:rsidR="00287CD4" w:rsidRPr="00CF0F4F" w:rsidRDefault="00287CD4" w:rsidP="00287CD4">
      <w:pPr>
        <w:spacing w:after="0" w:line="240" w:lineRule="auto"/>
        <w:jc w:val="both"/>
        <w:rPr>
          <w:rFonts w:ascii="Times New Roman" w:hAnsi="Times New Roman"/>
          <w:sz w:val="28"/>
          <w:szCs w:val="28"/>
          <w:lang w:val="lv-LV"/>
        </w:rPr>
      </w:pPr>
      <w:r w:rsidRPr="00CF0F4F">
        <w:rPr>
          <w:rFonts w:ascii="Times New Roman" w:hAnsi="Times New Roman"/>
          <w:sz w:val="28"/>
          <w:szCs w:val="28"/>
          <w:lang w:val="lv-LV"/>
        </w:rPr>
        <w:t>Rīgā</w:t>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r>
      <w:r w:rsidRPr="00CF0F4F">
        <w:rPr>
          <w:rFonts w:ascii="Times New Roman" w:hAnsi="Times New Roman"/>
          <w:sz w:val="28"/>
          <w:szCs w:val="28"/>
          <w:lang w:val="lv-LV"/>
        </w:rPr>
        <w:tab/>
        <w:t>prot. Nr.___ ___.§</w:t>
      </w:r>
    </w:p>
    <w:p w:rsidR="00287CD4" w:rsidRPr="003E4B28" w:rsidRDefault="00287CD4" w:rsidP="00287CD4">
      <w:pPr>
        <w:spacing w:after="0"/>
        <w:jc w:val="both"/>
        <w:rPr>
          <w:rFonts w:ascii="Times New Roman" w:hAnsi="Times New Roman"/>
          <w:b/>
          <w:sz w:val="28"/>
          <w:szCs w:val="28"/>
        </w:rPr>
      </w:pPr>
    </w:p>
    <w:p w:rsidR="00287CD4" w:rsidRPr="006B7087" w:rsidRDefault="00287CD4" w:rsidP="00287CD4">
      <w:pPr>
        <w:spacing w:after="0"/>
        <w:jc w:val="center"/>
        <w:rPr>
          <w:rFonts w:ascii="Times New Roman" w:hAnsi="Times New Roman"/>
          <w:b/>
          <w:sz w:val="28"/>
          <w:szCs w:val="28"/>
        </w:rPr>
      </w:pPr>
      <w:proofErr w:type="spellStart"/>
      <w:r>
        <w:rPr>
          <w:rFonts w:ascii="Times New Roman" w:hAnsi="Times New Roman"/>
          <w:b/>
          <w:sz w:val="28"/>
          <w:szCs w:val="28"/>
          <w:lang w:val="lv-LV"/>
        </w:rPr>
        <w:t>F</w:t>
      </w:r>
      <w:r w:rsidRPr="006B7087">
        <w:rPr>
          <w:rFonts w:ascii="Times New Roman" w:hAnsi="Times New Roman"/>
          <w:b/>
          <w:sz w:val="28"/>
          <w:szCs w:val="28"/>
          <w:lang w:val="lv-LV"/>
        </w:rPr>
        <w:t>armakovigilance</w:t>
      </w:r>
      <w:r>
        <w:rPr>
          <w:rFonts w:ascii="Times New Roman" w:hAnsi="Times New Roman"/>
          <w:b/>
          <w:sz w:val="28"/>
          <w:szCs w:val="28"/>
          <w:lang w:val="lv-LV"/>
        </w:rPr>
        <w:t>s</w:t>
      </w:r>
      <w:proofErr w:type="spellEnd"/>
      <w:r>
        <w:rPr>
          <w:rFonts w:ascii="Times New Roman" w:hAnsi="Times New Roman"/>
          <w:b/>
          <w:sz w:val="28"/>
          <w:szCs w:val="28"/>
          <w:lang w:val="lv-LV"/>
        </w:rPr>
        <w:t xml:space="preserve"> kārtība</w:t>
      </w:r>
    </w:p>
    <w:p w:rsidR="00287CD4" w:rsidRPr="00CF0F4F" w:rsidRDefault="00287CD4" w:rsidP="00287CD4">
      <w:pPr>
        <w:spacing w:after="0" w:line="240" w:lineRule="auto"/>
        <w:ind w:firstLine="720"/>
        <w:jc w:val="right"/>
        <w:rPr>
          <w:rFonts w:ascii="Times New Roman" w:hAnsi="Times New Roman"/>
          <w:sz w:val="28"/>
          <w:szCs w:val="28"/>
          <w:lang w:val="lv-LV"/>
        </w:rPr>
      </w:pPr>
      <w:r w:rsidRPr="00CF0F4F">
        <w:rPr>
          <w:rFonts w:ascii="Times New Roman" w:hAnsi="Times New Roman"/>
          <w:sz w:val="28"/>
          <w:szCs w:val="28"/>
          <w:lang w:val="lv-LV"/>
        </w:rPr>
        <w:t xml:space="preserve">Izdoti saskaņā ar </w:t>
      </w:r>
    </w:p>
    <w:p w:rsidR="00287CD4" w:rsidRPr="00CF0F4F" w:rsidRDefault="00287CD4" w:rsidP="00287CD4">
      <w:pPr>
        <w:spacing w:after="0" w:line="240" w:lineRule="auto"/>
        <w:ind w:firstLine="720"/>
        <w:jc w:val="right"/>
        <w:rPr>
          <w:rFonts w:ascii="Times New Roman" w:hAnsi="Times New Roman"/>
          <w:sz w:val="28"/>
          <w:szCs w:val="28"/>
          <w:lang w:val="lv-LV"/>
        </w:rPr>
      </w:pPr>
      <w:r w:rsidRPr="00CF0F4F">
        <w:rPr>
          <w:rFonts w:ascii="Times New Roman" w:hAnsi="Times New Roman"/>
          <w:sz w:val="28"/>
          <w:szCs w:val="28"/>
          <w:lang w:val="lv-LV"/>
        </w:rPr>
        <w:t xml:space="preserve">Farmācijas likuma </w:t>
      </w:r>
    </w:p>
    <w:p w:rsidR="00287CD4" w:rsidRPr="00CF0F4F" w:rsidRDefault="00287CD4" w:rsidP="00287CD4">
      <w:pPr>
        <w:spacing w:after="0" w:line="240" w:lineRule="auto"/>
        <w:ind w:firstLine="720"/>
        <w:jc w:val="right"/>
        <w:rPr>
          <w:rFonts w:ascii="Times New Roman" w:hAnsi="Times New Roman"/>
          <w:sz w:val="28"/>
          <w:szCs w:val="28"/>
          <w:lang w:val="lv-LV"/>
        </w:rPr>
      </w:pPr>
      <w:r>
        <w:rPr>
          <w:rFonts w:ascii="Times New Roman" w:hAnsi="Times New Roman"/>
          <w:sz w:val="28"/>
          <w:szCs w:val="28"/>
          <w:lang w:val="lv-LV"/>
        </w:rPr>
        <w:t>5.panta 24</w:t>
      </w:r>
      <w:r w:rsidRPr="00CF0F4F">
        <w:rPr>
          <w:rFonts w:ascii="Times New Roman" w:hAnsi="Times New Roman"/>
          <w:sz w:val="28"/>
          <w:szCs w:val="28"/>
          <w:lang w:val="lv-LV"/>
        </w:rPr>
        <w:t>.punktu</w:t>
      </w:r>
    </w:p>
    <w:p w:rsidR="00287CD4" w:rsidRPr="003E4B28" w:rsidRDefault="00287CD4" w:rsidP="00287CD4">
      <w:pPr>
        <w:jc w:val="both"/>
        <w:rPr>
          <w:rFonts w:ascii="Times New Roman" w:hAnsi="Times New Roman"/>
          <w:sz w:val="28"/>
          <w:szCs w:val="28"/>
        </w:rPr>
      </w:pPr>
    </w:p>
    <w:p w:rsidR="00287CD4" w:rsidRPr="00CF0F4F" w:rsidRDefault="00287CD4" w:rsidP="00287CD4">
      <w:pPr>
        <w:numPr>
          <w:ilvl w:val="0"/>
          <w:numId w:val="1"/>
        </w:numPr>
        <w:spacing w:after="120"/>
        <w:jc w:val="center"/>
        <w:rPr>
          <w:rFonts w:ascii="Times New Roman" w:hAnsi="Times New Roman"/>
          <w:b/>
          <w:sz w:val="28"/>
          <w:szCs w:val="28"/>
          <w:lang w:val="lv-LV"/>
        </w:rPr>
      </w:pPr>
      <w:r w:rsidRPr="00CF0F4F">
        <w:rPr>
          <w:rFonts w:ascii="Times New Roman" w:hAnsi="Times New Roman"/>
          <w:b/>
          <w:sz w:val="28"/>
          <w:szCs w:val="28"/>
          <w:lang w:val="lv-LV"/>
        </w:rPr>
        <w:t>Vispārīgie jautājumi</w:t>
      </w:r>
    </w:p>
    <w:p w:rsidR="00287CD4" w:rsidRDefault="00287CD4" w:rsidP="00287CD4">
      <w:pPr>
        <w:spacing w:after="120"/>
        <w:rPr>
          <w:rFonts w:ascii="Times New Roman" w:hAnsi="Times New Roman"/>
          <w:b/>
          <w:sz w:val="28"/>
          <w:szCs w:val="28"/>
        </w:rPr>
      </w:pPr>
    </w:p>
    <w:p w:rsidR="00287CD4" w:rsidRPr="00BA4E83" w:rsidRDefault="00287CD4" w:rsidP="00287CD4">
      <w:pPr>
        <w:pStyle w:val="naisf"/>
        <w:numPr>
          <w:ilvl w:val="0"/>
          <w:numId w:val="4"/>
        </w:numPr>
        <w:tabs>
          <w:tab w:val="left" w:pos="1134"/>
        </w:tabs>
        <w:spacing w:before="0" w:beforeAutospacing="0" w:after="0" w:afterAutospacing="0"/>
        <w:ind w:left="0" w:firstLine="709"/>
        <w:jc w:val="both"/>
        <w:rPr>
          <w:sz w:val="28"/>
          <w:szCs w:val="28"/>
        </w:rPr>
      </w:pPr>
      <w:bookmarkStart w:id="0" w:name="bkm8"/>
      <w:r w:rsidRPr="00BA4E83">
        <w:rPr>
          <w:sz w:val="28"/>
          <w:szCs w:val="28"/>
        </w:rPr>
        <w:t xml:space="preserve">Noteikumi nosaka </w:t>
      </w:r>
      <w:proofErr w:type="spellStart"/>
      <w:r w:rsidRPr="00BA4E83">
        <w:rPr>
          <w:sz w:val="28"/>
          <w:szCs w:val="28"/>
        </w:rPr>
        <w:t>farmakovigilance</w:t>
      </w:r>
      <w:r w:rsidR="008D6739" w:rsidRPr="00BA4E83">
        <w:rPr>
          <w:sz w:val="28"/>
          <w:szCs w:val="28"/>
        </w:rPr>
        <w:t>s</w:t>
      </w:r>
      <w:proofErr w:type="spellEnd"/>
      <w:r w:rsidRPr="00BA4E83">
        <w:rPr>
          <w:sz w:val="28"/>
          <w:szCs w:val="28"/>
        </w:rPr>
        <w:t xml:space="preserve"> kārtību.</w:t>
      </w:r>
    </w:p>
    <w:p w:rsidR="00123673" w:rsidRPr="00BA4E83" w:rsidRDefault="00123673" w:rsidP="00123673">
      <w:pPr>
        <w:pStyle w:val="naisf"/>
        <w:tabs>
          <w:tab w:val="left" w:pos="1134"/>
        </w:tabs>
        <w:spacing w:before="0" w:beforeAutospacing="0" w:after="0" w:afterAutospacing="0"/>
        <w:ind w:left="709"/>
        <w:jc w:val="both"/>
        <w:rPr>
          <w:sz w:val="28"/>
          <w:szCs w:val="28"/>
        </w:rPr>
      </w:pPr>
    </w:p>
    <w:p w:rsidR="00123673" w:rsidRPr="00BA4E83" w:rsidRDefault="00123673" w:rsidP="00287CD4">
      <w:pPr>
        <w:pStyle w:val="naisf"/>
        <w:numPr>
          <w:ilvl w:val="0"/>
          <w:numId w:val="4"/>
        </w:numPr>
        <w:tabs>
          <w:tab w:val="left" w:pos="1134"/>
        </w:tabs>
        <w:spacing w:before="0" w:beforeAutospacing="0" w:after="0" w:afterAutospacing="0"/>
        <w:ind w:left="0" w:firstLine="709"/>
        <w:jc w:val="both"/>
        <w:rPr>
          <w:sz w:val="28"/>
          <w:szCs w:val="28"/>
        </w:rPr>
      </w:pPr>
      <w:r w:rsidRPr="00BA4E83">
        <w:rPr>
          <w:sz w:val="28"/>
          <w:szCs w:val="28"/>
        </w:rPr>
        <w:t xml:space="preserve"> Noteikumi attiecas uz cilv</w:t>
      </w:r>
      <w:r w:rsidR="008D6739" w:rsidRPr="00BA4E83">
        <w:rPr>
          <w:sz w:val="28"/>
          <w:szCs w:val="28"/>
        </w:rPr>
        <w:t>ēkiem paredzētām</w:t>
      </w:r>
      <w:r w:rsidRPr="00BA4E83">
        <w:rPr>
          <w:sz w:val="28"/>
          <w:szCs w:val="28"/>
        </w:rPr>
        <w:t xml:space="preserve"> zālēm.</w:t>
      </w:r>
    </w:p>
    <w:p w:rsidR="00287CD4" w:rsidRPr="00BA4E83" w:rsidRDefault="00287CD4" w:rsidP="00287CD4">
      <w:pPr>
        <w:pStyle w:val="naisf"/>
        <w:tabs>
          <w:tab w:val="left" w:pos="1134"/>
        </w:tabs>
        <w:spacing w:before="0" w:beforeAutospacing="0" w:after="0" w:afterAutospacing="0"/>
        <w:ind w:firstLine="709"/>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sidRPr="000E3528">
        <w:rPr>
          <w:sz w:val="28"/>
          <w:szCs w:val="28"/>
        </w:rPr>
        <w:t>Noteikumos lietoti šādi termini:</w:t>
      </w:r>
    </w:p>
    <w:p w:rsidR="00287CD4" w:rsidRPr="001E5D07" w:rsidRDefault="00287CD4" w:rsidP="00287CD4">
      <w:pPr>
        <w:pStyle w:val="naisf"/>
        <w:tabs>
          <w:tab w:val="left" w:pos="1134"/>
        </w:tabs>
        <w:spacing w:before="0" w:beforeAutospacing="0" w:after="0" w:afterAutospacing="0"/>
        <w:jc w:val="both"/>
        <w:rPr>
          <w:sz w:val="28"/>
          <w:szCs w:val="28"/>
        </w:rPr>
      </w:pP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color w:val="000000"/>
          <w:sz w:val="28"/>
          <w:szCs w:val="28"/>
        </w:rPr>
        <w:t xml:space="preserve">būtiska </w:t>
      </w:r>
      <w:r w:rsidR="009528DE" w:rsidRPr="00BA4E83">
        <w:rPr>
          <w:color w:val="000000"/>
          <w:sz w:val="28"/>
          <w:szCs w:val="28"/>
        </w:rPr>
        <w:t>zāļu</w:t>
      </w:r>
      <w:r w:rsidR="009528DE">
        <w:rPr>
          <w:color w:val="000000"/>
          <w:sz w:val="28"/>
          <w:szCs w:val="28"/>
        </w:rPr>
        <w:t xml:space="preserve"> </w:t>
      </w:r>
      <w:r w:rsidRPr="00363106">
        <w:rPr>
          <w:color w:val="000000"/>
          <w:sz w:val="28"/>
          <w:szCs w:val="28"/>
        </w:rPr>
        <w:t>blakusparādība –</w:t>
      </w:r>
      <w:r>
        <w:rPr>
          <w:color w:val="000000"/>
          <w:sz w:val="28"/>
          <w:szCs w:val="28"/>
        </w:rPr>
        <w:t xml:space="preserve"> </w:t>
      </w:r>
      <w:r w:rsidRPr="00363106">
        <w:rPr>
          <w:sz w:val="28"/>
          <w:szCs w:val="28"/>
        </w:rPr>
        <w:t>blak</w:t>
      </w:r>
      <w:r>
        <w:rPr>
          <w:sz w:val="28"/>
          <w:szCs w:val="28"/>
        </w:rPr>
        <w:t>usparādība</w:t>
      </w:r>
      <w:r w:rsidRPr="00115100">
        <w:rPr>
          <w:sz w:val="28"/>
          <w:szCs w:val="28"/>
        </w:rPr>
        <w:t xml:space="preserve">, kas </w:t>
      </w:r>
      <w:r>
        <w:rPr>
          <w:sz w:val="28"/>
          <w:szCs w:val="28"/>
        </w:rPr>
        <w:t>izraisa nāvi, apdraud dzīvību</w:t>
      </w:r>
      <w:r w:rsidR="00CE3167">
        <w:rPr>
          <w:sz w:val="28"/>
          <w:szCs w:val="28"/>
        </w:rPr>
        <w:t>,</w:t>
      </w:r>
      <w:r w:rsidRPr="00115100">
        <w:rPr>
          <w:sz w:val="28"/>
          <w:szCs w:val="28"/>
        </w:rPr>
        <w:t xml:space="preserve"> </w:t>
      </w:r>
      <w:r>
        <w:rPr>
          <w:sz w:val="28"/>
          <w:szCs w:val="28"/>
        </w:rPr>
        <w:t>ir nepieciešama pacienta hospitalizācija</w:t>
      </w:r>
      <w:r w:rsidRPr="00115100">
        <w:rPr>
          <w:sz w:val="28"/>
          <w:szCs w:val="28"/>
        </w:rPr>
        <w:t xml:space="preserve"> vai hospitalizācijas laika pagarināšan</w:t>
      </w:r>
      <w:r>
        <w:rPr>
          <w:sz w:val="28"/>
          <w:szCs w:val="28"/>
        </w:rPr>
        <w:t>a, rada paliekošu</w:t>
      </w:r>
      <w:r w:rsidRPr="00115100">
        <w:rPr>
          <w:sz w:val="28"/>
          <w:szCs w:val="28"/>
        </w:rPr>
        <w:t xml:space="preserve"> vai smagu invaliditāti vai darbnespēju, ir iedzimta anomālija vai citā veidā ir medicīniski būtiska</w:t>
      </w:r>
      <w:r>
        <w:rPr>
          <w:sz w:val="28"/>
          <w:szCs w:val="28"/>
        </w:rPr>
        <w:t>;</w:t>
      </w:r>
    </w:p>
    <w:p w:rsidR="00287CD4" w:rsidRDefault="00287CD4" w:rsidP="00287CD4">
      <w:pPr>
        <w:pStyle w:val="naisf"/>
        <w:tabs>
          <w:tab w:val="left" w:pos="1134"/>
        </w:tabs>
        <w:spacing w:before="0" w:beforeAutospacing="0" w:after="0" w:afterAutospacing="0"/>
        <w:ind w:firstLine="709"/>
        <w:jc w:val="both"/>
        <w:rPr>
          <w:sz w:val="28"/>
          <w:szCs w:val="28"/>
        </w:rPr>
      </w:pPr>
    </w:p>
    <w:p w:rsidR="00287CD4" w:rsidRPr="00115100"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 xml:space="preserve"> m</w:t>
      </w:r>
      <w:r w:rsidRPr="00115100">
        <w:rPr>
          <w:sz w:val="28"/>
          <w:szCs w:val="28"/>
        </w:rPr>
        <w:t xml:space="preserve">azāk būtiska </w:t>
      </w:r>
      <w:r w:rsidR="009528DE" w:rsidRPr="00BA4E83">
        <w:rPr>
          <w:sz w:val="28"/>
          <w:szCs w:val="28"/>
        </w:rPr>
        <w:t>zāļu</w:t>
      </w:r>
      <w:r w:rsidR="009528DE">
        <w:rPr>
          <w:sz w:val="28"/>
          <w:szCs w:val="28"/>
        </w:rPr>
        <w:t xml:space="preserve"> </w:t>
      </w:r>
      <w:r w:rsidRPr="00115100">
        <w:rPr>
          <w:sz w:val="28"/>
          <w:szCs w:val="28"/>
        </w:rPr>
        <w:t>blakusparādība - blak</w:t>
      </w:r>
      <w:r>
        <w:rPr>
          <w:sz w:val="28"/>
          <w:szCs w:val="28"/>
        </w:rPr>
        <w:t>usparādība</w:t>
      </w:r>
      <w:r w:rsidRPr="00115100">
        <w:rPr>
          <w:sz w:val="28"/>
          <w:szCs w:val="28"/>
        </w:rPr>
        <w:t xml:space="preserve">, kas neatbilst nevienam </w:t>
      </w:r>
      <w:r>
        <w:rPr>
          <w:sz w:val="28"/>
          <w:szCs w:val="28"/>
        </w:rPr>
        <w:t xml:space="preserve">no būtiskas </w:t>
      </w:r>
      <w:r w:rsidR="009528DE">
        <w:rPr>
          <w:sz w:val="28"/>
          <w:szCs w:val="28"/>
        </w:rPr>
        <w:t xml:space="preserve">zāļu </w:t>
      </w:r>
      <w:r>
        <w:rPr>
          <w:sz w:val="28"/>
          <w:szCs w:val="28"/>
        </w:rPr>
        <w:t>blakusparādības kritērijiem;</w:t>
      </w:r>
      <w:r w:rsidRPr="00115100">
        <w:rPr>
          <w:sz w:val="28"/>
          <w:szCs w:val="28"/>
        </w:rPr>
        <w:t xml:space="preserve"> </w:t>
      </w:r>
    </w:p>
    <w:p w:rsidR="00287CD4" w:rsidRPr="000E3528" w:rsidRDefault="00287CD4" w:rsidP="00287CD4">
      <w:pPr>
        <w:pStyle w:val="naisf"/>
        <w:tabs>
          <w:tab w:val="left" w:pos="1134"/>
        </w:tabs>
        <w:spacing w:before="0" w:beforeAutospacing="0" w:after="0" w:afterAutospacing="0"/>
        <w:ind w:firstLine="709"/>
        <w:jc w:val="both"/>
        <w:rPr>
          <w:sz w:val="28"/>
          <w:szCs w:val="28"/>
        </w:rPr>
      </w:pP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0E3528">
        <w:rPr>
          <w:sz w:val="28"/>
          <w:szCs w:val="28"/>
        </w:rPr>
        <w:t xml:space="preserve"> </w:t>
      </w:r>
      <w:proofErr w:type="spellStart"/>
      <w:r>
        <w:rPr>
          <w:sz w:val="28"/>
          <w:szCs w:val="28"/>
        </w:rPr>
        <w:t>f</w:t>
      </w:r>
      <w:r w:rsidRPr="000E3528">
        <w:rPr>
          <w:sz w:val="28"/>
          <w:szCs w:val="28"/>
        </w:rPr>
        <w:t>armakovigilances</w:t>
      </w:r>
      <w:proofErr w:type="spellEnd"/>
      <w:r w:rsidRPr="000E3528">
        <w:rPr>
          <w:sz w:val="28"/>
          <w:szCs w:val="28"/>
        </w:rPr>
        <w:t xml:space="preserve"> s</w:t>
      </w:r>
      <w:r w:rsidR="00264451">
        <w:rPr>
          <w:sz w:val="28"/>
          <w:szCs w:val="28"/>
        </w:rPr>
        <w:t xml:space="preserve">istēma - sistēma, ko lieto </w:t>
      </w:r>
      <w:r w:rsidR="00501269" w:rsidRPr="00BA4E83">
        <w:rPr>
          <w:sz w:val="28"/>
          <w:szCs w:val="28"/>
        </w:rPr>
        <w:t>z</w:t>
      </w:r>
      <w:r w:rsidR="00CD0574" w:rsidRPr="00BA4E83">
        <w:rPr>
          <w:sz w:val="28"/>
          <w:szCs w:val="28"/>
        </w:rPr>
        <w:t xml:space="preserve">āļu </w:t>
      </w:r>
      <w:r w:rsidRPr="00BA4E83">
        <w:rPr>
          <w:sz w:val="28"/>
          <w:szCs w:val="28"/>
        </w:rPr>
        <w:t>reģistrācijas</w:t>
      </w:r>
      <w:r w:rsidR="00264451" w:rsidRPr="00BA4E83">
        <w:rPr>
          <w:sz w:val="28"/>
          <w:szCs w:val="28"/>
        </w:rPr>
        <w:t xml:space="preserve"> </w:t>
      </w:r>
      <w:r w:rsidR="009019F0" w:rsidRPr="00BA4E83">
        <w:rPr>
          <w:sz w:val="28"/>
          <w:szCs w:val="28"/>
        </w:rPr>
        <w:t>īpašnieks</w:t>
      </w:r>
      <w:r w:rsidR="00264451">
        <w:rPr>
          <w:sz w:val="28"/>
          <w:szCs w:val="28"/>
        </w:rPr>
        <w:t xml:space="preserve"> </w:t>
      </w:r>
      <w:r w:rsidRPr="000E3528">
        <w:rPr>
          <w:sz w:val="28"/>
          <w:szCs w:val="28"/>
        </w:rPr>
        <w:t xml:space="preserve">un </w:t>
      </w:r>
      <w:r>
        <w:rPr>
          <w:sz w:val="28"/>
          <w:szCs w:val="28"/>
        </w:rPr>
        <w:t xml:space="preserve">Eiropas Ekonomikas zonas </w:t>
      </w:r>
      <w:r w:rsidRPr="000E3528">
        <w:rPr>
          <w:sz w:val="28"/>
          <w:szCs w:val="28"/>
        </w:rPr>
        <w:t>valst</w:t>
      </w:r>
      <w:r>
        <w:rPr>
          <w:sz w:val="28"/>
          <w:szCs w:val="28"/>
        </w:rPr>
        <w:t xml:space="preserve">u </w:t>
      </w:r>
      <w:r w:rsidR="007B63F4">
        <w:rPr>
          <w:sz w:val="28"/>
          <w:szCs w:val="28"/>
        </w:rPr>
        <w:t>(turpmāk – E</w:t>
      </w:r>
      <w:r w:rsidR="00F50322">
        <w:rPr>
          <w:sz w:val="28"/>
          <w:szCs w:val="28"/>
        </w:rPr>
        <w:t>EZ</w:t>
      </w:r>
      <w:r w:rsidR="007B63F4">
        <w:rPr>
          <w:sz w:val="28"/>
          <w:szCs w:val="28"/>
        </w:rPr>
        <w:t xml:space="preserve"> valstis) </w:t>
      </w:r>
      <w:r>
        <w:rPr>
          <w:sz w:val="28"/>
          <w:szCs w:val="28"/>
        </w:rPr>
        <w:t>kompetentās institūcijas</w:t>
      </w:r>
      <w:r w:rsidR="007B63F4">
        <w:rPr>
          <w:sz w:val="28"/>
          <w:szCs w:val="28"/>
        </w:rPr>
        <w:t>,</w:t>
      </w:r>
      <w:r w:rsidR="005A172C">
        <w:rPr>
          <w:sz w:val="28"/>
          <w:szCs w:val="28"/>
        </w:rPr>
        <w:t xml:space="preserve"> </w:t>
      </w:r>
      <w:r w:rsidRPr="000E3528">
        <w:rPr>
          <w:sz w:val="28"/>
          <w:szCs w:val="28"/>
        </w:rPr>
        <w:t xml:space="preserve">lai pildītu noteiktos </w:t>
      </w:r>
      <w:proofErr w:type="spellStart"/>
      <w:r w:rsidRPr="000E3528">
        <w:rPr>
          <w:sz w:val="28"/>
          <w:szCs w:val="28"/>
        </w:rPr>
        <w:t>farmakovigilances</w:t>
      </w:r>
      <w:proofErr w:type="spellEnd"/>
      <w:r w:rsidRPr="000E3528">
        <w:rPr>
          <w:sz w:val="28"/>
          <w:szCs w:val="28"/>
        </w:rPr>
        <w:t xml:space="preserve"> uzdevumus un pienākumus</w:t>
      </w:r>
      <w:r>
        <w:rPr>
          <w:sz w:val="28"/>
          <w:szCs w:val="28"/>
        </w:rPr>
        <w:t xml:space="preserve"> un kas ir izveidota </w:t>
      </w:r>
      <w:r w:rsidRPr="000E3528">
        <w:rPr>
          <w:sz w:val="28"/>
          <w:szCs w:val="28"/>
        </w:rPr>
        <w:t>ar no</w:t>
      </w:r>
      <w:r>
        <w:rPr>
          <w:sz w:val="28"/>
          <w:szCs w:val="28"/>
        </w:rPr>
        <w:t>lūku uzraudzīt</w:t>
      </w:r>
      <w:r w:rsidRPr="000E3528">
        <w:rPr>
          <w:sz w:val="28"/>
          <w:szCs w:val="28"/>
        </w:rPr>
        <w:t xml:space="preserve"> reģistrēto zāļu drošumu un konstatēt jebkuras riska un guvuma </w:t>
      </w:r>
      <w:r w:rsidR="00054489" w:rsidRPr="00BA4E83">
        <w:rPr>
          <w:sz w:val="28"/>
          <w:szCs w:val="28"/>
        </w:rPr>
        <w:t>līdzsvara</w:t>
      </w:r>
      <w:r w:rsidRPr="000E3528">
        <w:rPr>
          <w:sz w:val="28"/>
          <w:szCs w:val="28"/>
        </w:rPr>
        <w:t xml:space="preserve"> izmaiņas;</w:t>
      </w:r>
    </w:p>
    <w:p w:rsidR="00287CD4" w:rsidRPr="00E86B97" w:rsidRDefault="00287CD4" w:rsidP="00287CD4">
      <w:pPr>
        <w:pStyle w:val="ListParagraph"/>
        <w:rPr>
          <w:sz w:val="28"/>
          <w:szCs w:val="28"/>
          <w:lang w:val="lv-LV"/>
        </w:rPr>
      </w:pPr>
    </w:p>
    <w:p w:rsidR="00287CD4" w:rsidRPr="00E86B97"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E86B97">
        <w:rPr>
          <w:sz w:val="28"/>
          <w:szCs w:val="28"/>
        </w:rPr>
        <w:lastRenderedPageBreak/>
        <w:t xml:space="preserve"> </w:t>
      </w:r>
      <w:proofErr w:type="spellStart"/>
      <w:r>
        <w:rPr>
          <w:iCs/>
          <w:color w:val="000000"/>
          <w:sz w:val="28"/>
          <w:szCs w:val="28"/>
        </w:rPr>
        <w:t>f</w:t>
      </w:r>
      <w:r w:rsidRPr="00E86B97">
        <w:rPr>
          <w:iCs/>
          <w:color w:val="000000"/>
          <w:sz w:val="28"/>
          <w:szCs w:val="28"/>
        </w:rPr>
        <w:t>armakovigilances</w:t>
      </w:r>
      <w:proofErr w:type="spellEnd"/>
      <w:r w:rsidRPr="00E86B97">
        <w:rPr>
          <w:iCs/>
          <w:color w:val="000000"/>
          <w:sz w:val="28"/>
          <w:szCs w:val="28"/>
        </w:rPr>
        <w:t xml:space="preserve"> sistēmas </w:t>
      </w:r>
      <w:proofErr w:type="spellStart"/>
      <w:r w:rsidRPr="00E86B97">
        <w:rPr>
          <w:iCs/>
          <w:color w:val="000000"/>
          <w:sz w:val="28"/>
          <w:szCs w:val="28"/>
        </w:rPr>
        <w:t>pamatlieta</w:t>
      </w:r>
      <w:proofErr w:type="spellEnd"/>
      <w:r w:rsidRPr="00E86B97">
        <w:rPr>
          <w:iCs/>
          <w:color w:val="000000"/>
          <w:sz w:val="28"/>
          <w:szCs w:val="28"/>
        </w:rPr>
        <w:t xml:space="preserve"> </w:t>
      </w:r>
      <w:r w:rsidRPr="00E86B97">
        <w:rPr>
          <w:i/>
          <w:iCs/>
          <w:color w:val="000000"/>
          <w:sz w:val="28"/>
          <w:szCs w:val="28"/>
        </w:rPr>
        <w:t xml:space="preserve">- </w:t>
      </w:r>
      <w:r w:rsidRPr="00E86B97">
        <w:rPr>
          <w:bCs/>
          <w:color w:val="000000"/>
          <w:sz w:val="28"/>
          <w:szCs w:val="28"/>
        </w:rPr>
        <w:t>detalizēti izklāstīts zāļu re</w:t>
      </w:r>
      <w:r>
        <w:rPr>
          <w:bCs/>
          <w:color w:val="000000"/>
          <w:sz w:val="28"/>
          <w:szCs w:val="28"/>
        </w:rPr>
        <w:t>ģ</w:t>
      </w:r>
      <w:r w:rsidR="00264451">
        <w:rPr>
          <w:bCs/>
          <w:color w:val="000000"/>
          <w:sz w:val="28"/>
          <w:szCs w:val="28"/>
        </w:rPr>
        <w:t xml:space="preserve">istrācijas </w:t>
      </w:r>
      <w:r>
        <w:rPr>
          <w:bCs/>
          <w:color w:val="000000"/>
          <w:sz w:val="28"/>
          <w:szCs w:val="28"/>
        </w:rPr>
        <w:t>īpašnieka</w:t>
      </w:r>
      <w:r w:rsidR="00264451">
        <w:rPr>
          <w:bCs/>
          <w:color w:val="000000"/>
          <w:sz w:val="28"/>
          <w:szCs w:val="28"/>
        </w:rPr>
        <w:t xml:space="preserve"> </w:t>
      </w:r>
      <w:proofErr w:type="spellStart"/>
      <w:r w:rsidRPr="00E86B97">
        <w:rPr>
          <w:bCs/>
          <w:color w:val="000000"/>
          <w:sz w:val="28"/>
          <w:szCs w:val="28"/>
        </w:rPr>
        <w:t>farmakovigilances</w:t>
      </w:r>
      <w:proofErr w:type="spellEnd"/>
      <w:r w:rsidRPr="00E86B97">
        <w:rPr>
          <w:bCs/>
          <w:color w:val="000000"/>
          <w:sz w:val="28"/>
          <w:szCs w:val="28"/>
        </w:rPr>
        <w:t xml:space="preserve"> sistēmas apraksts </w:t>
      </w:r>
      <w:r w:rsidRPr="00E86B97">
        <w:rPr>
          <w:color w:val="000000"/>
          <w:sz w:val="28"/>
          <w:szCs w:val="28"/>
        </w:rPr>
        <w:t>attiecībā uz vienām vai vairākām reģistrētām zālēm;</w:t>
      </w:r>
    </w:p>
    <w:p w:rsidR="00287CD4" w:rsidRPr="00E86B97" w:rsidRDefault="00287CD4" w:rsidP="00287CD4">
      <w:pPr>
        <w:pStyle w:val="naisf"/>
        <w:tabs>
          <w:tab w:val="left" w:pos="1134"/>
        </w:tabs>
        <w:spacing w:before="0" w:beforeAutospacing="0" w:after="0" w:afterAutospacing="0"/>
        <w:jc w:val="both"/>
        <w:rPr>
          <w:sz w:val="28"/>
          <w:szCs w:val="28"/>
        </w:rPr>
      </w:pPr>
    </w:p>
    <w:p w:rsidR="00287CD4" w:rsidRDefault="00287CD4" w:rsidP="00287CD4">
      <w:pPr>
        <w:pStyle w:val="naisf"/>
        <w:numPr>
          <w:ilvl w:val="1"/>
          <w:numId w:val="4"/>
        </w:numPr>
        <w:tabs>
          <w:tab w:val="left" w:pos="1134"/>
        </w:tabs>
        <w:spacing w:before="0" w:beforeAutospacing="0" w:after="0" w:afterAutospacing="0"/>
        <w:ind w:left="0" w:firstLine="709"/>
        <w:jc w:val="both"/>
        <w:rPr>
          <w:color w:val="000000"/>
          <w:sz w:val="28"/>
          <w:szCs w:val="28"/>
        </w:rPr>
      </w:pPr>
      <w:r>
        <w:rPr>
          <w:sz w:val="28"/>
          <w:szCs w:val="28"/>
        </w:rPr>
        <w:t xml:space="preserve"> </w:t>
      </w:r>
      <w:proofErr w:type="spellStart"/>
      <w:r>
        <w:rPr>
          <w:sz w:val="28"/>
          <w:szCs w:val="28"/>
        </w:rPr>
        <w:t>p</w:t>
      </w:r>
      <w:r w:rsidRPr="00C1692C">
        <w:rPr>
          <w:sz w:val="28"/>
          <w:szCs w:val="28"/>
        </w:rPr>
        <w:t>ēcreģistrācijas</w:t>
      </w:r>
      <w:proofErr w:type="spellEnd"/>
      <w:r w:rsidRPr="00C1692C">
        <w:rPr>
          <w:sz w:val="28"/>
          <w:szCs w:val="28"/>
        </w:rPr>
        <w:t xml:space="preserve"> drošuma pētījumi - </w:t>
      </w:r>
      <w:r w:rsidRPr="00EF5BF5">
        <w:rPr>
          <w:color w:val="000000"/>
          <w:sz w:val="28"/>
          <w:szCs w:val="28"/>
        </w:rPr>
        <w:t>visi pētījumi par reģistrētām zālēm, kas veikti ar mērķi konstatēt veselības apdraudējumu, raksturot to vai noteikt to kvantitatīvi, apstiprinot zāļu drošuma raksturojumu</w:t>
      </w:r>
      <w:r>
        <w:rPr>
          <w:color w:val="000000"/>
          <w:sz w:val="28"/>
          <w:szCs w:val="28"/>
        </w:rPr>
        <w:t>, vai novērtēt riska pārvaldības</w:t>
      </w:r>
      <w:r w:rsidRPr="00EF5BF5">
        <w:rPr>
          <w:color w:val="000000"/>
          <w:sz w:val="28"/>
          <w:szCs w:val="28"/>
        </w:rPr>
        <w:t xml:space="preserve"> pasākumu efektivitāti;</w:t>
      </w:r>
    </w:p>
    <w:p w:rsidR="00287CD4" w:rsidRPr="00EF5BF5" w:rsidRDefault="00287CD4" w:rsidP="00287CD4">
      <w:pPr>
        <w:pStyle w:val="naisf"/>
        <w:tabs>
          <w:tab w:val="left" w:pos="1134"/>
        </w:tabs>
        <w:spacing w:before="0" w:beforeAutospacing="0" w:after="0" w:afterAutospacing="0"/>
        <w:jc w:val="both"/>
        <w:rPr>
          <w:color w:val="000000"/>
          <w:sz w:val="28"/>
          <w:szCs w:val="28"/>
        </w:rPr>
      </w:pP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 xml:space="preserve"> r</w:t>
      </w:r>
      <w:r w:rsidR="00264451">
        <w:rPr>
          <w:sz w:val="28"/>
          <w:szCs w:val="28"/>
        </w:rPr>
        <w:t xml:space="preserve">iska pārvaldības sistēma – </w:t>
      </w:r>
      <w:r w:rsidRPr="00126CDA">
        <w:rPr>
          <w:sz w:val="28"/>
          <w:szCs w:val="28"/>
        </w:rPr>
        <w:t>reģ</w:t>
      </w:r>
      <w:r w:rsidR="00264451">
        <w:rPr>
          <w:sz w:val="28"/>
          <w:szCs w:val="28"/>
        </w:rPr>
        <w:t>istrācijas īpašnieka</w:t>
      </w:r>
      <w:r w:rsidRPr="00126CDA">
        <w:rPr>
          <w:sz w:val="28"/>
          <w:szCs w:val="28"/>
        </w:rPr>
        <w:t xml:space="preserve"> </w:t>
      </w:r>
      <w:proofErr w:type="spellStart"/>
      <w:r w:rsidRPr="00126CDA">
        <w:rPr>
          <w:sz w:val="28"/>
          <w:szCs w:val="28"/>
        </w:rPr>
        <w:t>farmakovigilances</w:t>
      </w:r>
      <w:proofErr w:type="spellEnd"/>
      <w:r w:rsidRPr="00126CDA">
        <w:rPr>
          <w:sz w:val="28"/>
          <w:szCs w:val="28"/>
        </w:rPr>
        <w:t xml:space="preserve"> pasākumu kopums, kuru mērķis ir konstatēt, raksturot, novērst vai mazināt ar zāļu lietošanu saistītus riskus, tostarp arī novērtēt minēto</w:t>
      </w:r>
      <w:r>
        <w:rPr>
          <w:sz w:val="28"/>
          <w:szCs w:val="28"/>
        </w:rPr>
        <w:t xml:space="preserve"> pasākumu efektivitāti;</w:t>
      </w:r>
    </w:p>
    <w:p w:rsidR="00287CD4" w:rsidRPr="00126CDA" w:rsidRDefault="00287CD4" w:rsidP="00287CD4">
      <w:pPr>
        <w:pStyle w:val="naisf"/>
        <w:tabs>
          <w:tab w:val="left" w:pos="1134"/>
        </w:tabs>
        <w:spacing w:before="0" w:beforeAutospacing="0" w:after="0" w:afterAutospacing="0"/>
        <w:jc w:val="both"/>
        <w:rPr>
          <w:sz w:val="28"/>
          <w:szCs w:val="28"/>
        </w:rPr>
      </w:pPr>
    </w:p>
    <w:p w:rsidR="00287CD4" w:rsidRPr="00E705F9"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 xml:space="preserve"> r</w:t>
      </w:r>
      <w:r w:rsidRPr="00126CDA">
        <w:rPr>
          <w:sz w:val="28"/>
          <w:szCs w:val="28"/>
        </w:rPr>
        <w:t>iska pārvaldības plāns – detalizēt</w:t>
      </w:r>
      <w:r w:rsidR="00264451">
        <w:rPr>
          <w:sz w:val="28"/>
          <w:szCs w:val="28"/>
        </w:rPr>
        <w:t xml:space="preserve">i izklāstīts </w:t>
      </w:r>
      <w:r w:rsidR="009019F0">
        <w:rPr>
          <w:sz w:val="28"/>
          <w:szCs w:val="28"/>
        </w:rPr>
        <w:t xml:space="preserve">zāļu </w:t>
      </w:r>
      <w:r w:rsidR="00264451">
        <w:rPr>
          <w:sz w:val="28"/>
          <w:szCs w:val="28"/>
        </w:rPr>
        <w:t xml:space="preserve">reģistrācijas īpašnieka </w:t>
      </w:r>
      <w:r w:rsidRPr="00126CDA">
        <w:rPr>
          <w:sz w:val="28"/>
          <w:szCs w:val="28"/>
        </w:rPr>
        <w:t>riska pārvaldības sistēmas apraksts.</w:t>
      </w:r>
    </w:p>
    <w:p w:rsidR="00287CD4" w:rsidRPr="00DB7F6B" w:rsidRDefault="00287CD4" w:rsidP="00287CD4">
      <w:pPr>
        <w:pStyle w:val="naisf"/>
        <w:tabs>
          <w:tab w:val="left" w:pos="1134"/>
        </w:tabs>
        <w:spacing w:before="0" w:beforeAutospacing="0" w:after="0" w:afterAutospacing="0"/>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proofErr w:type="spellStart"/>
      <w:r w:rsidRPr="000E3528">
        <w:rPr>
          <w:sz w:val="28"/>
          <w:szCs w:val="28"/>
        </w:rPr>
        <w:t>Farmakovigilances</w:t>
      </w:r>
      <w:proofErr w:type="spellEnd"/>
      <w:r w:rsidRPr="000E3528">
        <w:rPr>
          <w:sz w:val="28"/>
          <w:szCs w:val="28"/>
        </w:rPr>
        <w:t xml:space="preserve"> sistēmu veido ar nolūku iegūt informāciju par riskiem, ko zāles rada pacientiem un sabiedrības veselībai.</w:t>
      </w:r>
    </w:p>
    <w:p w:rsidR="00287CD4" w:rsidRDefault="00287CD4" w:rsidP="00287CD4">
      <w:pPr>
        <w:pStyle w:val="naisf"/>
        <w:tabs>
          <w:tab w:val="left" w:pos="1134"/>
        </w:tabs>
        <w:spacing w:before="0" w:beforeAutospacing="0" w:after="0" w:afterAutospacing="0"/>
        <w:ind w:firstLine="709"/>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proofErr w:type="spellStart"/>
      <w:r w:rsidRPr="00363106">
        <w:rPr>
          <w:sz w:val="28"/>
          <w:szCs w:val="28"/>
        </w:rPr>
        <w:t>Farmakovigilances</w:t>
      </w:r>
      <w:proofErr w:type="spellEnd"/>
      <w:r w:rsidRPr="00363106">
        <w:rPr>
          <w:sz w:val="28"/>
          <w:szCs w:val="28"/>
        </w:rPr>
        <w:t xml:space="preserve"> sistēmu</w:t>
      </w:r>
      <w:r>
        <w:rPr>
          <w:sz w:val="28"/>
          <w:szCs w:val="28"/>
        </w:rPr>
        <w:t xml:space="preserve"> </w:t>
      </w:r>
      <w:r w:rsidRPr="00363106">
        <w:rPr>
          <w:sz w:val="28"/>
          <w:szCs w:val="28"/>
        </w:rPr>
        <w:t>izmanto, lai apkopotu un zinātniski novērtētu informācij</w:t>
      </w:r>
      <w:r>
        <w:rPr>
          <w:sz w:val="28"/>
          <w:szCs w:val="28"/>
        </w:rPr>
        <w:t>u par zāļu blakusparādību</w:t>
      </w:r>
      <w:r w:rsidRPr="00363106">
        <w:rPr>
          <w:sz w:val="28"/>
          <w:szCs w:val="28"/>
        </w:rPr>
        <w:t xml:space="preserve"> izpausmēm,</w:t>
      </w:r>
      <w:r w:rsidRPr="00363106">
        <w:rPr>
          <w:rFonts w:cs="EUAlbertina"/>
          <w:color w:val="000000"/>
          <w:sz w:val="28"/>
          <w:szCs w:val="28"/>
        </w:rPr>
        <w:t xml:space="preserve"> kuras cilvēkiem radušās, lietojot zāles atbilstoši vai neatbilstoši </w:t>
      </w:r>
      <w:r w:rsidRPr="00BA4E83">
        <w:rPr>
          <w:rFonts w:cs="EUAlbertina"/>
          <w:color w:val="000000"/>
          <w:sz w:val="28"/>
          <w:szCs w:val="28"/>
        </w:rPr>
        <w:t xml:space="preserve">zāļu reģistrācijas </w:t>
      </w:r>
      <w:r w:rsidR="009019F0" w:rsidRPr="00BA4E83">
        <w:rPr>
          <w:rFonts w:cs="EUAlbertina"/>
          <w:color w:val="000000"/>
          <w:sz w:val="28"/>
          <w:szCs w:val="28"/>
        </w:rPr>
        <w:t>dokumentācijai</w:t>
      </w:r>
      <w:r w:rsidRPr="00363106">
        <w:rPr>
          <w:rFonts w:cs="EUAlbertina"/>
          <w:color w:val="000000"/>
          <w:sz w:val="28"/>
          <w:szCs w:val="28"/>
        </w:rPr>
        <w:t>, un lai apsvērtu iespējas, kā samazināt risku, veikt profilaksi un vajadzības gadījumā veikt regulatīvas</w:t>
      </w:r>
      <w:r>
        <w:rPr>
          <w:rFonts w:cs="EUAlbertina"/>
          <w:color w:val="000000"/>
          <w:sz w:val="28"/>
          <w:szCs w:val="28"/>
        </w:rPr>
        <w:t xml:space="preserve"> darbības attiecībā uz </w:t>
      </w:r>
      <w:r w:rsidRPr="00BA4E83">
        <w:rPr>
          <w:rFonts w:cs="EUAlbertina"/>
          <w:color w:val="000000"/>
          <w:sz w:val="28"/>
          <w:szCs w:val="28"/>
        </w:rPr>
        <w:t>zāļu reģistrācij</w:t>
      </w:r>
      <w:r w:rsidR="009019F0" w:rsidRPr="00BA4E83">
        <w:rPr>
          <w:rFonts w:cs="EUAlbertina"/>
          <w:color w:val="000000"/>
          <w:sz w:val="28"/>
          <w:szCs w:val="28"/>
        </w:rPr>
        <w:t>u</w:t>
      </w:r>
      <w:r w:rsidRPr="00BA4E83">
        <w:rPr>
          <w:rFonts w:cs="EUAlbertina"/>
          <w:color w:val="000000"/>
          <w:sz w:val="28"/>
          <w:szCs w:val="28"/>
        </w:rPr>
        <w:t>.</w:t>
      </w:r>
      <w:r w:rsidRPr="00363106">
        <w:rPr>
          <w:sz w:val="28"/>
          <w:szCs w:val="28"/>
        </w:rPr>
        <w:t xml:space="preserve"> </w:t>
      </w:r>
      <w:bookmarkEnd w:id="0"/>
    </w:p>
    <w:p w:rsidR="00287CD4" w:rsidRPr="00E705F9" w:rsidRDefault="00287CD4" w:rsidP="0006011E">
      <w:pPr>
        <w:pStyle w:val="ListParagraph"/>
        <w:spacing w:after="0"/>
        <w:rPr>
          <w:sz w:val="28"/>
          <w:szCs w:val="28"/>
          <w:lang w:val="lv-LV"/>
        </w:rPr>
      </w:pPr>
    </w:p>
    <w:p w:rsidR="00287CD4" w:rsidRPr="00126CDA" w:rsidRDefault="009019F0" w:rsidP="00287CD4">
      <w:pPr>
        <w:pStyle w:val="naisf"/>
        <w:numPr>
          <w:ilvl w:val="0"/>
          <w:numId w:val="4"/>
        </w:numPr>
        <w:tabs>
          <w:tab w:val="left" w:pos="1134"/>
        </w:tabs>
        <w:spacing w:before="0" w:beforeAutospacing="0" w:after="0" w:afterAutospacing="0"/>
        <w:ind w:left="0" w:firstLine="709"/>
        <w:jc w:val="both"/>
        <w:rPr>
          <w:sz w:val="28"/>
          <w:szCs w:val="28"/>
        </w:rPr>
      </w:pPr>
      <w:r>
        <w:rPr>
          <w:rFonts w:ascii="EUAlbertina" w:hAnsi="EUAlbertina" w:cs="EUAlbertina"/>
          <w:color w:val="000000"/>
          <w:sz w:val="28"/>
          <w:szCs w:val="28"/>
        </w:rPr>
        <w:t>Zāļu r</w:t>
      </w:r>
      <w:r w:rsidR="00287CD4" w:rsidRPr="00126CDA">
        <w:rPr>
          <w:rFonts w:ascii="EUAlbertina" w:hAnsi="EUAlbertina" w:cs="EUAlbertina"/>
          <w:color w:val="000000"/>
          <w:sz w:val="28"/>
          <w:szCs w:val="28"/>
        </w:rPr>
        <w:t>eģistrācij</w:t>
      </w:r>
      <w:r w:rsidR="00264451">
        <w:rPr>
          <w:rFonts w:ascii="EUAlbertina" w:hAnsi="EUAlbertina" w:cs="EUAlbertina"/>
          <w:color w:val="000000"/>
          <w:sz w:val="28"/>
          <w:szCs w:val="28"/>
        </w:rPr>
        <w:t>as īpašnieks</w:t>
      </w:r>
      <w:r w:rsidR="00287CD4" w:rsidRPr="00126CDA">
        <w:rPr>
          <w:rFonts w:ascii="EUAlbertina" w:hAnsi="EUAlbertina" w:cs="EUAlbertina"/>
          <w:color w:val="000000"/>
          <w:sz w:val="28"/>
          <w:szCs w:val="28"/>
        </w:rPr>
        <w:t xml:space="preserve"> visu noteikto </w:t>
      </w:r>
      <w:proofErr w:type="spellStart"/>
      <w:r w:rsidR="00287CD4" w:rsidRPr="00126CDA">
        <w:rPr>
          <w:rFonts w:ascii="EUAlbertina" w:hAnsi="EUAlbertina" w:cs="EUAlbertina"/>
          <w:color w:val="000000"/>
          <w:sz w:val="28"/>
          <w:szCs w:val="28"/>
        </w:rPr>
        <w:t>farmakovigilances</w:t>
      </w:r>
      <w:proofErr w:type="spellEnd"/>
      <w:r w:rsidR="00287CD4" w:rsidRPr="00126CDA">
        <w:rPr>
          <w:rFonts w:ascii="EUAlbertina" w:hAnsi="EUAlbertina" w:cs="EUAlbertina"/>
          <w:color w:val="000000"/>
          <w:sz w:val="28"/>
          <w:szCs w:val="28"/>
        </w:rPr>
        <w:t xml:space="preserve"> darbību veikšanai ievēro Eiropas Komisijas </w:t>
      </w:r>
      <w:r w:rsidR="00287CD4" w:rsidRPr="00BA4E83">
        <w:rPr>
          <w:rFonts w:ascii="EUAlbertina" w:hAnsi="EUAlbertina" w:cs="EUAlbertina"/>
          <w:color w:val="000000"/>
          <w:sz w:val="28"/>
          <w:szCs w:val="28"/>
        </w:rPr>
        <w:t>pieņemt</w:t>
      </w:r>
      <w:r w:rsidR="008F0F8C" w:rsidRPr="00BA4E83">
        <w:rPr>
          <w:rFonts w:ascii="EUAlbertina" w:hAnsi="EUAlbertina" w:cs="EUAlbertina"/>
          <w:color w:val="000000"/>
          <w:sz w:val="28"/>
          <w:szCs w:val="28"/>
        </w:rPr>
        <w:t>ā</w:t>
      </w:r>
      <w:r w:rsidR="00287CD4" w:rsidRPr="00BA4E83">
        <w:rPr>
          <w:rFonts w:ascii="EUAlbertina" w:hAnsi="EUAlbertina" w:cs="EUAlbertina"/>
          <w:color w:val="000000"/>
          <w:sz w:val="28"/>
          <w:szCs w:val="28"/>
        </w:rPr>
        <w:t xml:space="preserve">s </w:t>
      </w:r>
      <w:r w:rsidR="008F0F8C" w:rsidRPr="00BA4E83">
        <w:rPr>
          <w:rFonts w:ascii="EUAlbertina" w:hAnsi="EUAlbertina" w:cs="EUAlbertina"/>
          <w:color w:val="000000"/>
          <w:sz w:val="28"/>
          <w:szCs w:val="28"/>
        </w:rPr>
        <w:t>regulas un lēmumus</w:t>
      </w:r>
      <w:r w:rsidR="00332C74">
        <w:rPr>
          <w:rFonts w:ascii="EUAlbertina" w:hAnsi="EUAlbertina" w:cs="EUAlbertina"/>
          <w:color w:val="000000"/>
          <w:sz w:val="28"/>
          <w:szCs w:val="28"/>
        </w:rPr>
        <w:t>.</w:t>
      </w:r>
    </w:p>
    <w:p w:rsidR="00287CD4" w:rsidRDefault="00287CD4" w:rsidP="0006011E">
      <w:pPr>
        <w:pStyle w:val="ListParagraph"/>
        <w:spacing w:after="0"/>
        <w:rPr>
          <w:sz w:val="28"/>
          <w:szCs w:val="28"/>
          <w:lang w:val="lv-LV"/>
        </w:rPr>
      </w:pPr>
    </w:p>
    <w:p w:rsidR="00287CD4" w:rsidRDefault="00287CD4" w:rsidP="0006011E">
      <w:pPr>
        <w:pStyle w:val="naisf"/>
        <w:tabs>
          <w:tab w:val="left" w:pos="1134"/>
        </w:tabs>
        <w:spacing w:before="0" w:beforeAutospacing="0" w:after="0" w:afterAutospacing="0"/>
        <w:jc w:val="center"/>
        <w:rPr>
          <w:b/>
          <w:sz w:val="28"/>
          <w:szCs w:val="28"/>
        </w:rPr>
      </w:pPr>
      <w:r>
        <w:rPr>
          <w:b/>
          <w:sz w:val="28"/>
          <w:szCs w:val="28"/>
        </w:rPr>
        <w:t xml:space="preserve">II. </w:t>
      </w:r>
      <w:bookmarkStart w:id="1" w:name="bkm7"/>
      <w:r>
        <w:rPr>
          <w:b/>
          <w:sz w:val="28"/>
          <w:szCs w:val="28"/>
        </w:rPr>
        <w:t>Ārstniecības personas, farmaceita un</w:t>
      </w:r>
    </w:p>
    <w:p w:rsidR="00287CD4" w:rsidRDefault="00287CD4" w:rsidP="0006011E">
      <w:pPr>
        <w:pStyle w:val="naisf"/>
        <w:tabs>
          <w:tab w:val="left" w:pos="1134"/>
        </w:tabs>
        <w:spacing w:before="0" w:beforeAutospacing="0" w:after="0" w:afterAutospacing="0"/>
        <w:ind w:firstLine="709"/>
        <w:jc w:val="center"/>
        <w:rPr>
          <w:b/>
          <w:sz w:val="28"/>
          <w:szCs w:val="28"/>
        </w:rPr>
      </w:pPr>
      <w:r>
        <w:rPr>
          <w:b/>
          <w:sz w:val="28"/>
          <w:szCs w:val="28"/>
        </w:rPr>
        <w:t xml:space="preserve">pacienta tiesības un </w:t>
      </w:r>
      <w:r w:rsidRPr="009D65CC">
        <w:rPr>
          <w:b/>
          <w:sz w:val="28"/>
          <w:szCs w:val="28"/>
        </w:rPr>
        <w:t>pienākumi</w:t>
      </w:r>
      <w:bookmarkEnd w:id="1"/>
    </w:p>
    <w:p w:rsidR="00E61F63" w:rsidRPr="009B3FDA" w:rsidRDefault="00E61F63" w:rsidP="0006011E">
      <w:pPr>
        <w:pStyle w:val="naisf"/>
        <w:tabs>
          <w:tab w:val="left" w:pos="1134"/>
        </w:tabs>
        <w:spacing w:before="0" w:beforeAutospacing="0" w:after="0" w:afterAutospacing="0"/>
        <w:ind w:firstLine="709"/>
        <w:jc w:val="center"/>
        <w:rPr>
          <w:b/>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bookmarkStart w:id="2" w:name="bkm6"/>
      <w:r w:rsidRPr="00853060">
        <w:rPr>
          <w:sz w:val="28"/>
          <w:szCs w:val="28"/>
        </w:rPr>
        <w:t xml:space="preserve">Lai nodrošinātu </w:t>
      </w:r>
      <w:proofErr w:type="spellStart"/>
      <w:r>
        <w:rPr>
          <w:sz w:val="28"/>
          <w:szCs w:val="28"/>
        </w:rPr>
        <w:t>farmakovigilances</w:t>
      </w:r>
      <w:proofErr w:type="spellEnd"/>
      <w:r>
        <w:rPr>
          <w:sz w:val="28"/>
          <w:szCs w:val="28"/>
        </w:rPr>
        <w:t xml:space="preserve"> sistēmas </w:t>
      </w:r>
      <w:r w:rsidRPr="00853060">
        <w:rPr>
          <w:sz w:val="28"/>
          <w:szCs w:val="28"/>
        </w:rPr>
        <w:t xml:space="preserve">efektīvu funkcionēšanu, ārstniecības persona vai farmaceits ziņo Zāļu valsts aģentūrai </w:t>
      </w:r>
      <w:r w:rsidR="00283B13" w:rsidRPr="00853060">
        <w:rPr>
          <w:sz w:val="28"/>
          <w:szCs w:val="28"/>
        </w:rPr>
        <w:t xml:space="preserve">saskaņā ar </w:t>
      </w:r>
      <w:r w:rsidR="00283B13">
        <w:rPr>
          <w:sz w:val="28"/>
          <w:szCs w:val="28"/>
        </w:rPr>
        <w:t xml:space="preserve">šo noteikumu </w:t>
      </w:r>
      <w:r w:rsidR="00283B13" w:rsidRPr="00BA4E83">
        <w:rPr>
          <w:sz w:val="28"/>
          <w:szCs w:val="28"/>
        </w:rPr>
        <w:t>1. pielikumā sniegto ziņojuma paraugu</w:t>
      </w:r>
      <w:r w:rsidR="00283B13">
        <w:rPr>
          <w:sz w:val="28"/>
          <w:szCs w:val="28"/>
        </w:rPr>
        <w:t xml:space="preserve"> </w:t>
      </w:r>
      <w:r w:rsidR="00264451">
        <w:rPr>
          <w:sz w:val="28"/>
          <w:szCs w:val="28"/>
        </w:rPr>
        <w:t xml:space="preserve">vai attiecīgajam </w:t>
      </w:r>
      <w:r w:rsidR="006832EA" w:rsidRPr="00BA4E83">
        <w:rPr>
          <w:sz w:val="28"/>
          <w:szCs w:val="28"/>
        </w:rPr>
        <w:t xml:space="preserve">zāļu </w:t>
      </w:r>
      <w:r w:rsidRPr="00BA4E83">
        <w:rPr>
          <w:sz w:val="28"/>
          <w:szCs w:val="28"/>
        </w:rPr>
        <w:t xml:space="preserve">reģistrācijas </w:t>
      </w:r>
      <w:r w:rsidR="00264451" w:rsidRPr="00BA4E83">
        <w:rPr>
          <w:sz w:val="28"/>
          <w:szCs w:val="28"/>
        </w:rPr>
        <w:t>īpašniekam</w:t>
      </w:r>
      <w:r>
        <w:rPr>
          <w:sz w:val="28"/>
          <w:szCs w:val="28"/>
        </w:rPr>
        <w:t xml:space="preserve"> par novērotām</w:t>
      </w:r>
      <w:r w:rsidRPr="00853060">
        <w:rPr>
          <w:sz w:val="28"/>
          <w:szCs w:val="28"/>
        </w:rPr>
        <w:t xml:space="preserve"> iespējamām zāļu blakusparādībām. </w:t>
      </w:r>
    </w:p>
    <w:p w:rsidR="00287CD4" w:rsidRDefault="00287CD4" w:rsidP="00287CD4">
      <w:pPr>
        <w:pStyle w:val="naisf"/>
        <w:tabs>
          <w:tab w:val="left" w:pos="1134"/>
        </w:tabs>
        <w:spacing w:before="0" w:beforeAutospacing="0" w:after="0" w:afterAutospacing="0"/>
        <w:ind w:left="709"/>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Pr>
          <w:sz w:val="28"/>
          <w:szCs w:val="28"/>
        </w:rPr>
        <w:lastRenderedPageBreak/>
        <w:t>Ārstniecības persona un farmaceits</w:t>
      </w:r>
      <w:r w:rsidRPr="005C5AE2">
        <w:rPr>
          <w:sz w:val="28"/>
          <w:szCs w:val="28"/>
        </w:rPr>
        <w:t xml:space="preserve"> ziņo Zāļu valsts aģentū</w:t>
      </w:r>
      <w:r>
        <w:rPr>
          <w:sz w:val="28"/>
          <w:szCs w:val="28"/>
        </w:rPr>
        <w:t xml:space="preserve">rai saskaņā ar šiem noteikumiem </w:t>
      </w:r>
      <w:r w:rsidRPr="005C5AE2">
        <w:rPr>
          <w:sz w:val="28"/>
          <w:szCs w:val="28"/>
        </w:rPr>
        <w:t xml:space="preserve">arī par </w:t>
      </w:r>
      <w:r w:rsidR="009528DE" w:rsidRPr="00BA4E83">
        <w:rPr>
          <w:sz w:val="28"/>
          <w:szCs w:val="28"/>
        </w:rPr>
        <w:t>zāļu</w:t>
      </w:r>
      <w:r w:rsidR="009528DE" w:rsidRPr="00AE5B0F">
        <w:rPr>
          <w:b/>
          <w:sz w:val="28"/>
          <w:szCs w:val="28"/>
        </w:rPr>
        <w:t xml:space="preserve"> </w:t>
      </w:r>
      <w:r w:rsidRPr="005C5AE2">
        <w:rPr>
          <w:sz w:val="28"/>
          <w:szCs w:val="28"/>
        </w:rPr>
        <w:t>blakusparādībām,</w:t>
      </w:r>
      <w:r>
        <w:rPr>
          <w:sz w:val="28"/>
          <w:szCs w:val="28"/>
        </w:rPr>
        <w:t xml:space="preserve"> </w:t>
      </w:r>
      <w:r w:rsidRPr="005C5AE2">
        <w:rPr>
          <w:sz w:val="28"/>
          <w:szCs w:val="28"/>
        </w:rPr>
        <w:t>kas novērotas</w:t>
      </w:r>
      <w:r>
        <w:rPr>
          <w:sz w:val="28"/>
          <w:szCs w:val="28"/>
        </w:rPr>
        <w:t>,</w:t>
      </w:r>
      <w:r w:rsidRPr="005C5AE2">
        <w:rPr>
          <w:sz w:val="28"/>
          <w:szCs w:val="28"/>
        </w:rPr>
        <w:t xml:space="preserve"> lietojot nereģistrētas zāles, tai skaitā, ja tās pieejamas lietošanai līdzjūtības dēļ, kā arī piedaloties zāļu </w:t>
      </w:r>
      <w:proofErr w:type="spellStart"/>
      <w:r w:rsidRPr="005C5AE2">
        <w:rPr>
          <w:sz w:val="28"/>
          <w:szCs w:val="28"/>
        </w:rPr>
        <w:t>pēcreģistrācijas</w:t>
      </w:r>
      <w:proofErr w:type="spellEnd"/>
      <w:r w:rsidRPr="005C5AE2">
        <w:rPr>
          <w:sz w:val="28"/>
          <w:szCs w:val="28"/>
        </w:rPr>
        <w:t xml:space="preserve"> drošuma pētījumos</w:t>
      </w:r>
      <w:r>
        <w:rPr>
          <w:sz w:val="28"/>
          <w:szCs w:val="28"/>
        </w:rPr>
        <w:t>.</w:t>
      </w:r>
    </w:p>
    <w:p w:rsidR="00287CD4" w:rsidRDefault="00287CD4" w:rsidP="00287CD4">
      <w:pPr>
        <w:pStyle w:val="naisf"/>
        <w:tabs>
          <w:tab w:val="left" w:pos="1134"/>
        </w:tabs>
        <w:spacing w:before="0" w:beforeAutospacing="0" w:after="0" w:afterAutospacing="0"/>
        <w:ind w:firstLine="709"/>
        <w:jc w:val="both"/>
        <w:rPr>
          <w:sz w:val="28"/>
          <w:szCs w:val="28"/>
        </w:rPr>
      </w:pPr>
    </w:p>
    <w:p w:rsidR="00287CD4" w:rsidRDefault="00287CD4" w:rsidP="00287CD4">
      <w:pPr>
        <w:numPr>
          <w:ilvl w:val="0"/>
          <w:numId w:val="4"/>
        </w:numPr>
        <w:tabs>
          <w:tab w:val="left" w:pos="1134"/>
        </w:tabs>
        <w:spacing w:after="0" w:line="240" w:lineRule="auto"/>
        <w:ind w:left="0" w:firstLine="709"/>
        <w:jc w:val="both"/>
        <w:rPr>
          <w:sz w:val="28"/>
          <w:szCs w:val="28"/>
          <w:lang w:val="lv-LV"/>
        </w:rPr>
      </w:pPr>
      <w:r w:rsidRPr="00363106">
        <w:rPr>
          <w:rFonts w:ascii="Times New Roman" w:hAnsi="Times New Roman"/>
          <w:sz w:val="28"/>
          <w:szCs w:val="28"/>
          <w:lang w:val="lv-LV"/>
        </w:rPr>
        <w:t>Ārstniecības persona</w:t>
      </w:r>
      <w:r>
        <w:rPr>
          <w:rFonts w:ascii="Times New Roman" w:hAnsi="Times New Roman"/>
          <w:sz w:val="28"/>
          <w:szCs w:val="28"/>
          <w:lang w:val="lv-LV"/>
        </w:rPr>
        <w:t xml:space="preserve"> un</w:t>
      </w:r>
      <w:r w:rsidRPr="00363106">
        <w:rPr>
          <w:rFonts w:ascii="Times New Roman" w:hAnsi="Times New Roman"/>
          <w:sz w:val="28"/>
          <w:szCs w:val="28"/>
          <w:lang w:val="lv-LV"/>
        </w:rPr>
        <w:t xml:space="preserve"> farmaceits zi</w:t>
      </w:r>
      <w:r>
        <w:rPr>
          <w:rFonts w:ascii="Times New Roman" w:hAnsi="Times New Roman"/>
          <w:sz w:val="28"/>
          <w:szCs w:val="28"/>
          <w:lang w:val="lv-LV"/>
        </w:rPr>
        <w:t>ņojumā par iespējamu zāļu blakusparādību</w:t>
      </w:r>
      <w:r w:rsidRPr="00363106">
        <w:rPr>
          <w:rFonts w:ascii="Times New Roman" w:hAnsi="Times New Roman"/>
          <w:sz w:val="28"/>
          <w:szCs w:val="28"/>
          <w:lang w:val="lv-LV"/>
        </w:rPr>
        <w:t xml:space="preserve"> sniedz izsmeļošu un precīzu informāciju</w:t>
      </w:r>
      <w:r w:rsidR="00024FF7">
        <w:rPr>
          <w:rFonts w:ascii="Times New Roman" w:hAnsi="Times New Roman"/>
          <w:sz w:val="28"/>
          <w:szCs w:val="28"/>
          <w:lang w:val="lv-LV"/>
        </w:rPr>
        <w:t>,</w:t>
      </w:r>
      <w:r>
        <w:rPr>
          <w:rFonts w:ascii="Times New Roman" w:hAnsi="Times New Roman"/>
          <w:sz w:val="28"/>
          <w:szCs w:val="28"/>
          <w:lang w:val="lv-LV"/>
        </w:rPr>
        <w:t xml:space="preserve"> </w:t>
      </w:r>
      <w:r w:rsidRPr="00363106">
        <w:rPr>
          <w:rFonts w:ascii="Times New Roman" w:hAnsi="Times New Roman"/>
          <w:sz w:val="28"/>
          <w:szCs w:val="28"/>
          <w:lang w:val="lv-LV"/>
        </w:rPr>
        <w:t xml:space="preserve">lai </w:t>
      </w:r>
      <w:r>
        <w:rPr>
          <w:rFonts w:ascii="Times New Roman" w:hAnsi="Times New Roman"/>
          <w:sz w:val="28"/>
          <w:szCs w:val="28"/>
          <w:lang w:val="lv-LV"/>
        </w:rPr>
        <w:t xml:space="preserve">nodrošinātu, ka </w:t>
      </w:r>
      <w:proofErr w:type="spellStart"/>
      <w:r w:rsidRPr="00363106">
        <w:rPr>
          <w:rFonts w:ascii="Times New Roman" w:hAnsi="Times New Roman"/>
          <w:sz w:val="28"/>
          <w:szCs w:val="28"/>
          <w:lang w:val="lv-LV"/>
        </w:rPr>
        <w:t>farmakovigilances</w:t>
      </w:r>
      <w:proofErr w:type="spellEnd"/>
      <w:r w:rsidRPr="00363106">
        <w:rPr>
          <w:rFonts w:ascii="Times New Roman" w:hAnsi="Times New Roman"/>
          <w:sz w:val="28"/>
          <w:szCs w:val="28"/>
          <w:lang w:val="lv-LV"/>
        </w:rPr>
        <w:t xml:space="preserve"> sistē</w:t>
      </w:r>
      <w:r>
        <w:rPr>
          <w:rFonts w:ascii="Times New Roman" w:hAnsi="Times New Roman"/>
          <w:sz w:val="28"/>
          <w:szCs w:val="28"/>
          <w:lang w:val="lv-LV"/>
        </w:rPr>
        <w:t xml:space="preserve">mas ietvaros ziņojumu ir iespējams </w:t>
      </w:r>
      <w:r w:rsidRPr="00363106">
        <w:rPr>
          <w:rFonts w:ascii="Times New Roman" w:hAnsi="Times New Roman"/>
          <w:sz w:val="28"/>
          <w:szCs w:val="28"/>
          <w:lang w:val="lv-LV"/>
        </w:rPr>
        <w:t xml:space="preserve">zinātniski analizēt. </w:t>
      </w:r>
    </w:p>
    <w:p w:rsidR="00287CD4" w:rsidRPr="00CF0F4F" w:rsidRDefault="00287CD4" w:rsidP="00287CD4">
      <w:pPr>
        <w:tabs>
          <w:tab w:val="left" w:pos="1134"/>
        </w:tabs>
        <w:spacing w:after="0" w:line="240" w:lineRule="auto"/>
        <w:ind w:left="709"/>
        <w:jc w:val="both"/>
        <w:rPr>
          <w:sz w:val="28"/>
          <w:szCs w:val="28"/>
          <w:lang w:val="lv-LV"/>
        </w:rPr>
      </w:pPr>
    </w:p>
    <w:p w:rsidR="00287CD4" w:rsidRPr="001F2C76" w:rsidRDefault="00287CD4" w:rsidP="00287CD4">
      <w:pPr>
        <w:numPr>
          <w:ilvl w:val="0"/>
          <w:numId w:val="4"/>
        </w:numPr>
        <w:tabs>
          <w:tab w:val="left" w:pos="1134"/>
        </w:tabs>
        <w:spacing w:after="0" w:line="240" w:lineRule="auto"/>
        <w:ind w:left="0" w:firstLine="709"/>
        <w:jc w:val="both"/>
        <w:rPr>
          <w:rFonts w:ascii="Times New Roman" w:hAnsi="Times New Roman"/>
          <w:sz w:val="28"/>
          <w:szCs w:val="28"/>
          <w:lang w:val="lv-LV"/>
        </w:rPr>
      </w:pPr>
      <w:r w:rsidRPr="008073EF">
        <w:rPr>
          <w:rFonts w:ascii="Times New Roman" w:hAnsi="Times New Roman"/>
          <w:sz w:val="28"/>
          <w:szCs w:val="28"/>
          <w:lang w:val="lv-LV"/>
        </w:rPr>
        <w:t>Ārstniecības persona un farmaceits ievēro papildu uzr</w:t>
      </w:r>
      <w:r>
        <w:rPr>
          <w:rFonts w:ascii="Times New Roman" w:hAnsi="Times New Roman"/>
          <w:sz w:val="28"/>
          <w:szCs w:val="28"/>
          <w:lang w:val="lv-LV"/>
        </w:rPr>
        <w:t>audzības un ziņošanas noteikumus un nosacījumus</w:t>
      </w:r>
      <w:r w:rsidR="002A137A">
        <w:rPr>
          <w:rFonts w:ascii="Times New Roman" w:hAnsi="Times New Roman"/>
          <w:sz w:val="28"/>
          <w:szCs w:val="28"/>
          <w:lang w:val="lv-LV"/>
        </w:rPr>
        <w:t xml:space="preserve"> </w:t>
      </w:r>
      <w:r w:rsidR="002A137A" w:rsidRPr="00BA4E83">
        <w:rPr>
          <w:rFonts w:ascii="Times New Roman" w:hAnsi="Times New Roman"/>
          <w:sz w:val="28"/>
          <w:szCs w:val="28"/>
          <w:lang w:val="lv-LV"/>
        </w:rPr>
        <w:t xml:space="preserve">(piemēram, </w:t>
      </w:r>
      <w:r w:rsidR="00A61F16" w:rsidRPr="00BA4E83">
        <w:rPr>
          <w:rFonts w:ascii="Times New Roman" w:hAnsi="Times New Roman"/>
          <w:sz w:val="28"/>
          <w:szCs w:val="28"/>
          <w:lang w:val="lv-LV"/>
        </w:rPr>
        <w:t>norādi</w:t>
      </w:r>
      <w:r w:rsidR="002A137A" w:rsidRPr="00BA4E83">
        <w:rPr>
          <w:rFonts w:ascii="Times New Roman" w:hAnsi="Times New Roman"/>
          <w:sz w:val="28"/>
          <w:szCs w:val="28"/>
          <w:lang w:val="lv-LV"/>
        </w:rPr>
        <w:t xml:space="preserve"> zāļu aprakstā un lietošanas instrukcijā par zāļu papildu uzraudzību)</w:t>
      </w:r>
      <w:r w:rsidRPr="00BA4E83">
        <w:rPr>
          <w:rFonts w:ascii="Times New Roman" w:hAnsi="Times New Roman"/>
          <w:sz w:val="28"/>
          <w:szCs w:val="28"/>
          <w:lang w:val="lv-LV"/>
        </w:rPr>
        <w:t>,</w:t>
      </w:r>
      <w:r w:rsidRPr="008073EF">
        <w:rPr>
          <w:rFonts w:ascii="Times New Roman" w:hAnsi="Times New Roman"/>
          <w:sz w:val="28"/>
          <w:szCs w:val="28"/>
          <w:lang w:val="lv-LV"/>
        </w:rPr>
        <w:t xml:space="preserve"> ja </w:t>
      </w:r>
      <w:r>
        <w:rPr>
          <w:rFonts w:ascii="Times New Roman" w:hAnsi="Times New Roman"/>
          <w:sz w:val="28"/>
          <w:szCs w:val="28"/>
          <w:lang w:val="lv-LV"/>
        </w:rPr>
        <w:t>konkrētām</w:t>
      </w:r>
      <w:r w:rsidRPr="008073EF">
        <w:rPr>
          <w:rFonts w:ascii="Times New Roman" w:hAnsi="Times New Roman"/>
          <w:sz w:val="28"/>
          <w:szCs w:val="28"/>
          <w:lang w:val="lv-LV"/>
        </w:rPr>
        <w:t xml:space="preserve"> zālēm</w:t>
      </w:r>
      <w:r>
        <w:rPr>
          <w:rFonts w:ascii="Times New Roman" w:hAnsi="Times New Roman"/>
          <w:sz w:val="28"/>
          <w:szCs w:val="28"/>
          <w:lang w:val="lv-LV"/>
        </w:rPr>
        <w:t xml:space="preserve"> vai aktīvām vielām</w:t>
      </w:r>
      <w:r w:rsidRPr="008073EF">
        <w:rPr>
          <w:rFonts w:ascii="Times New Roman" w:hAnsi="Times New Roman"/>
          <w:sz w:val="28"/>
          <w:szCs w:val="28"/>
          <w:lang w:val="lv-LV"/>
        </w:rPr>
        <w:t xml:space="preserve"> tādi ir noteikti. </w:t>
      </w:r>
    </w:p>
    <w:p w:rsidR="00287CD4" w:rsidRDefault="00287CD4" w:rsidP="00287CD4">
      <w:pPr>
        <w:pStyle w:val="naisf"/>
        <w:tabs>
          <w:tab w:val="left" w:pos="1134"/>
        </w:tabs>
        <w:spacing w:before="0" w:beforeAutospacing="0" w:after="0" w:afterAutospacing="0"/>
        <w:ind w:firstLine="709"/>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sidRPr="00853060">
        <w:rPr>
          <w:sz w:val="28"/>
          <w:szCs w:val="28"/>
        </w:rPr>
        <w:t>Pacient</w:t>
      </w:r>
      <w:r>
        <w:rPr>
          <w:sz w:val="28"/>
          <w:szCs w:val="28"/>
        </w:rPr>
        <w:t>am</w:t>
      </w:r>
      <w:r w:rsidRPr="00853060">
        <w:rPr>
          <w:sz w:val="28"/>
          <w:szCs w:val="28"/>
        </w:rPr>
        <w:t xml:space="preserve"> ir</w:t>
      </w:r>
      <w:r>
        <w:rPr>
          <w:sz w:val="28"/>
          <w:szCs w:val="28"/>
        </w:rPr>
        <w:t xml:space="preserve"> tiesības</w:t>
      </w:r>
      <w:r w:rsidRPr="00853060">
        <w:rPr>
          <w:sz w:val="28"/>
          <w:szCs w:val="28"/>
        </w:rPr>
        <w:t xml:space="preserve"> ziņot </w:t>
      </w:r>
      <w:r>
        <w:rPr>
          <w:sz w:val="28"/>
          <w:szCs w:val="28"/>
        </w:rPr>
        <w:t xml:space="preserve">Zāļu valsts aģentūrai </w:t>
      </w:r>
      <w:r w:rsidRPr="00853060">
        <w:rPr>
          <w:sz w:val="28"/>
          <w:szCs w:val="28"/>
        </w:rPr>
        <w:t xml:space="preserve">par iespējamām zāļu blakusparādībām, </w:t>
      </w:r>
      <w:r>
        <w:rPr>
          <w:sz w:val="28"/>
          <w:szCs w:val="28"/>
        </w:rPr>
        <w:t xml:space="preserve">tostarp </w:t>
      </w:r>
      <w:r w:rsidRPr="00853060">
        <w:rPr>
          <w:sz w:val="28"/>
          <w:szCs w:val="28"/>
        </w:rPr>
        <w:t xml:space="preserve">izmantojot </w:t>
      </w:r>
      <w:r w:rsidR="00441992">
        <w:rPr>
          <w:sz w:val="28"/>
          <w:szCs w:val="28"/>
        </w:rPr>
        <w:t xml:space="preserve">šo noteikumu </w:t>
      </w:r>
      <w:r w:rsidR="00441992" w:rsidRPr="00BA4E83">
        <w:rPr>
          <w:sz w:val="28"/>
          <w:szCs w:val="28"/>
        </w:rPr>
        <w:t>2.pielikumā sniegto ziņojuma</w:t>
      </w:r>
      <w:r w:rsidR="00441992">
        <w:rPr>
          <w:sz w:val="28"/>
          <w:szCs w:val="28"/>
        </w:rPr>
        <w:t xml:space="preserve"> paraugu</w:t>
      </w:r>
      <w:r w:rsidR="00441992" w:rsidRPr="00853060">
        <w:rPr>
          <w:sz w:val="28"/>
          <w:szCs w:val="28"/>
        </w:rPr>
        <w:t xml:space="preserve"> </w:t>
      </w:r>
      <w:r w:rsidR="00441992">
        <w:rPr>
          <w:sz w:val="28"/>
          <w:szCs w:val="28"/>
        </w:rPr>
        <w:t xml:space="preserve">vai </w:t>
      </w:r>
      <w:r w:rsidRPr="00853060">
        <w:rPr>
          <w:sz w:val="28"/>
          <w:szCs w:val="28"/>
        </w:rPr>
        <w:t xml:space="preserve">Zāļu valsts aģentūras </w:t>
      </w:r>
      <w:r w:rsidR="00441992">
        <w:rPr>
          <w:sz w:val="28"/>
          <w:szCs w:val="28"/>
        </w:rPr>
        <w:t>tīmekļa vietni</w:t>
      </w:r>
      <w:r w:rsidRPr="00853060">
        <w:rPr>
          <w:sz w:val="28"/>
          <w:szCs w:val="28"/>
        </w:rPr>
        <w:t xml:space="preserve"> w</w:t>
      </w:r>
      <w:r w:rsidR="00441992">
        <w:rPr>
          <w:sz w:val="28"/>
          <w:szCs w:val="28"/>
        </w:rPr>
        <w:t>ww.zva.gov.lv</w:t>
      </w:r>
      <w:r w:rsidRPr="00912218">
        <w:rPr>
          <w:sz w:val="28"/>
          <w:szCs w:val="28"/>
        </w:rPr>
        <w:t>.</w:t>
      </w:r>
      <w:r w:rsidRPr="00853060">
        <w:rPr>
          <w:sz w:val="28"/>
          <w:szCs w:val="28"/>
        </w:rPr>
        <w:t xml:space="preserve"> </w:t>
      </w:r>
    </w:p>
    <w:p w:rsidR="00287CD4" w:rsidRDefault="00287CD4" w:rsidP="00287CD4">
      <w:pPr>
        <w:pStyle w:val="naisf"/>
        <w:tabs>
          <w:tab w:val="left" w:pos="1134"/>
        </w:tabs>
        <w:spacing w:before="0" w:beforeAutospacing="0" w:after="0" w:afterAutospacing="0"/>
        <w:ind w:firstLine="709"/>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Pr>
          <w:sz w:val="28"/>
          <w:szCs w:val="28"/>
        </w:rPr>
        <w:t>Ā</w:t>
      </w:r>
      <w:r w:rsidRPr="00853060">
        <w:rPr>
          <w:sz w:val="28"/>
          <w:szCs w:val="28"/>
        </w:rPr>
        <w:t>rstniecības persona</w:t>
      </w:r>
      <w:r>
        <w:rPr>
          <w:sz w:val="28"/>
          <w:szCs w:val="28"/>
        </w:rPr>
        <w:t>,</w:t>
      </w:r>
      <w:r w:rsidRPr="00853060">
        <w:rPr>
          <w:sz w:val="28"/>
          <w:szCs w:val="28"/>
        </w:rPr>
        <w:t xml:space="preserve"> farmaceit</w:t>
      </w:r>
      <w:r>
        <w:rPr>
          <w:sz w:val="28"/>
          <w:szCs w:val="28"/>
        </w:rPr>
        <w:t xml:space="preserve">s </w:t>
      </w:r>
      <w:r w:rsidRPr="00C1692C">
        <w:rPr>
          <w:sz w:val="28"/>
          <w:szCs w:val="28"/>
        </w:rPr>
        <w:t>vai pacients</w:t>
      </w:r>
      <w:r>
        <w:rPr>
          <w:sz w:val="28"/>
          <w:szCs w:val="28"/>
        </w:rPr>
        <w:t xml:space="preserve"> </w:t>
      </w:r>
      <w:r w:rsidRPr="00853060">
        <w:rPr>
          <w:sz w:val="28"/>
          <w:szCs w:val="28"/>
        </w:rPr>
        <w:t>pēc Zāļu valsts aģentūras</w:t>
      </w:r>
      <w:r>
        <w:rPr>
          <w:sz w:val="28"/>
          <w:szCs w:val="28"/>
        </w:rPr>
        <w:t xml:space="preserve"> vai </w:t>
      </w:r>
      <w:r w:rsidR="006832EA" w:rsidRPr="00BA4E83">
        <w:rPr>
          <w:sz w:val="28"/>
          <w:szCs w:val="28"/>
        </w:rPr>
        <w:t>zāļu</w:t>
      </w:r>
      <w:r w:rsidR="006832EA">
        <w:rPr>
          <w:sz w:val="28"/>
          <w:szCs w:val="28"/>
        </w:rPr>
        <w:t xml:space="preserve"> </w:t>
      </w:r>
      <w:r>
        <w:rPr>
          <w:sz w:val="28"/>
          <w:szCs w:val="28"/>
        </w:rPr>
        <w:t>reģ</w:t>
      </w:r>
      <w:r w:rsidR="00264451">
        <w:rPr>
          <w:sz w:val="28"/>
          <w:szCs w:val="28"/>
        </w:rPr>
        <w:t>istrācijas īpašnieka</w:t>
      </w:r>
      <w:r w:rsidRPr="00853060">
        <w:rPr>
          <w:sz w:val="28"/>
          <w:szCs w:val="28"/>
        </w:rPr>
        <w:t xml:space="preserve"> pieprasījuma sniedz papildu informāciju par novērotajām iespējamām zāļu blakusparādībām</w:t>
      </w:r>
      <w:r>
        <w:rPr>
          <w:sz w:val="28"/>
          <w:szCs w:val="28"/>
        </w:rPr>
        <w:t>.</w:t>
      </w:r>
    </w:p>
    <w:p w:rsidR="00287CD4" w:rsidRPr="00CF0F4F" w:rsidRDefault="00287CD4" w:rsidP="00287CD4">
      <w:pPr>
        <w:pStyle w:val="naisf"/>
        <w:tabs>
          <w:tab w:val="left" w:pos="1134"/>
        </w:tabs>
        <w:spacing w:before="0" w:beforeAutospacing="0" w:after="0" w:afterAutospacing="0"/>
        <w:ind w:left="709"/>
        <w:jc w:val="both"/>
        <w:rPr>
          <w:sz w:val="28"/>
          <w:szCs w:val="28"/>
        </w:rPr>
      </w:pPr>
    </w:p>
    <w:p w:rsidR="00287CD4" w:rsidRDefault="00287CD4" w:rsidP="00287CD4">
      <w:pPr>
        <w:numPr>
          <w:ilvl w:val="0"/>
          <w:numId w:val="4"/>
        </w:numPr>
        <w:tabs>
          <w:tab w:val="left" w:pos="1134"/>
        </w:tabs>
        <w:spacing w:after="0" w:line="240" w:lineRule="auto"/>
        <w:ind w:left="0" w:firstLine="709"/>
        <w:jc w:val="both"/>
        <w:rPr>
          <w:rFonts w:ascii="Times New Roman" w:hAnsi="Times New Roman"/>
          <w:sz w:val="28"/>
          <w:szCs w:val="28"/>
          <w:lang w:val="lv-LV"/>
        </w:rPr>
      </w:pPr>
      <w:r>
        <w:rPr>
          <w:rFonts w:ascii="Times New Roman" w:hAnsi="Times New Roman"/>
          <w:sz w:val="28"/>
          <w:szCs w:val="28"/>
          <w:lang w:val="lv-LV"/>
        </w:rPr>
        <w:t>Ā</w:t>
      </w:r>
      <w:r w:rsidRPr="00363106">
        <w:rPr>
          <w:rFonts w:ascii="Times New Roman" w:hAnsi="Times New Roman"/>
          <w:sz w:val="28"/>
          <w:szCs w:val="28"/>
          <w:lang w:val="lv-LV"/>
        </w:rPr>
        <w:t>rstniecības iestādes, ārstniecības personu un farmaceitu profesionālās organizācijas un p</w:t>
      </w:r>
      <w:r>
        <w:rPr>
          <w:rFonts w:ascii="Times New Roman" w:hAnsi="Times New Roman"/>
          <w:sz w:val="28"/>
          <w:szCs w:val="28"/>
          <w:lang w:val="lv-LV"/>
        </w:rPr>
        <w:t>acientu organizācijas ievēro zā</w:t>
      </w:r>
      <w:r w:rsidRPr="00363106">
        <w:rPr>
          <w:rFonts w:ascii="Times New Roman" w:hAnsi="Times New Roman"/>
          <w:sz w:val="28"/>
          <w:szCs w:val="28"/>
          <w:lang w:val="lv-LV"/>
        </w:rPr>
        <w:t>ļu lietošanas ri</w:t>
      </w:r>
      <w:r>
        <w:rPr>
          <w:rFonts w:ascii="Times New Roman" w:hAnsi="Times New Roman"/>
          <w:sz w:val="28"/>
          <w:szCs w:val="28"/>
          <w:lang w:val="lv-LV"/>
        </w:rPr>
        <w:t xml:space="preserve">ska mazināšanas pasākumus un veic informācijas apmaiņu par </w:t>
      </w:r>
      <w:proofErr w:type="spellStart"/>
      <w:r>
        <w:rPr>
          <w:rFonts w:ascii="Times New Roman" w:hAnsi="Times New Roman"/>
          <w:sz w:val="28"/>
          <w:szCs w:val="28"/>
          <w:lang w:val="lv-LV"/>
        </w:rPr>
        <w:t>farmakovigilances</w:t>
      </w:r>
      <w:proofErr w:type="spellEnd"/>
      <w:r>
        <w:rPr>
          <w:rFonts w:ascii="Times New Roman" w:hAnsi="Times New Roman"/>
          <w:sz w:val="28"/>
          <w:szCs w:val="28"/>
          <w:lang w:val="lv-LV"/>
        </w:rPr>
        <w:t xml:space="preserve"> jautājumiem, tostarp arī par zāļu blakusparādībām ar Zāļu valsts aģentūru, l</w:t>
      </w:r>
      <w:r w:rsidRPr="00363106">
        <w:rPr>
          <w:rFonts w:ascii="Times New Roman" w:hAnsi="Times New Roman"/>
          <w:sz w:val="28"/>
          <w:szCs w:val="28"/>
          <w:lang w:val="lv-LV"/>
        </w:rPr>
        <w:t xml:space="preserve">ai īstenotu </w:t>
      </w:r>
      <w:proofErr w:type="spellStart"/>
      <w:r w:rsidRPr="00363106">
        <w:rPr>
          <w:rFonts w:ascii="Times New Roman" w:hAnsi="Times New Roman"/>
          <w:sz w:val="28"/>
          <w:szCs w:val="28"/>
          <w:lang w:val="lv-LV"/>
        </w:rPr>
        <w:t>farmakovigilances</w:t>
      </w:r>
      <w:proofErr w:type="spellEnd"/>
      <w:r w:rsidRPr="00363106">
        <w:rPr>
          <w:rFonts w:ascii="Times New Roman" w:hAnsi="Times New Roman"/>
          <w:sz w:val="28"/>
          <w:szCs w:val="28"/>
          <w:lang w:val="lv-LV"/>
        </w:rPr>
        <w:t xml:space="preserve"> sistēmas e</w:t>
      </w:r>
      <w:r>
        <w:rPr>
          <w:rFonts w:ascii="Times New Roman" w:hAnsi="Times New Roman"/>
          <w:sz w:val="28"/>
          <w:szCs w:val="28"/>
          <w:lang w:val="lv-LV"/>
        </w:rPr>
        <w:t>fektīvu funkcionēšanu.</w:t>
      </w:r>
    </w:p>
    <w:p w:rsidR="00287CD4" w:rsidRPr="00CF0F4F" w:rsidRDefault="00287CD4" w:rsidP="00287CD4">
      <w:pPr>
        <w:tabs>
          <w:tab w:val="left" w:pos="1134"/>
        </w:tabs>
        <w:spacing w:after="0" w:line="240" w:lineRule="auto"/>
        <w:ind w:left="709"/>
        <w:jc w:val="both"/>
        <w:rPr>
          <w:rFonts w:ascii="Times New Roman" w:hAnsi="Times New Roman"/>
          <w:sz w:val="28"/>
          <w:szCs w:val="28"/>
          <w:lang w:val="lv-LV"/>
        </w:rPr>
      </w:pPr>
    </w:p>
    <w:p w:rsidR="00287CD4" w:rsidRDefault="00287CD4" w:rsidP="00E61F63">
      <w:pPr>
        <w:numPr>
          <w:ilvl w:val="0"/>
          <w:numId w:val="4"/>
        </w:numPr>
        <w:tabs>
          <w:tab w:val="left" w:pos="1134"/>
        </w:tabs>
        <w:spacing w:after="0" w:line="240" w:lineRule="auto"/>
        <w:ind w:left="0" w:firstLine="709"/>
        <w:jc w:val="both"/>
        <w:rPr>
          <w:rFonts w:ascii="Times New Roman" w:hAnsi="Times New Roman"/>
          <w:sz w:val="28"/>
          <w:szCs w:val="28"/>
          <w:lang w:val="lv-LV"/>
        </w:rPr>
      </w:pPr>
      <w:r w:rsidRPr="00E82814">
        <w:rPr>
          <w:rFonts w:ascii="Times New Roman" w:hAnsi="Times New Roman"/>
          <w:sz w:val="28"/>
          <w:szCs w:val="28"/>
          <w:lang w:val="lv-LV"/>
        </w:rPr>
        <w:t>Valsts veselības aprūpes sistēmas atbildīgās institūcijas savas kompetences ietvaros</w:t>
      </w:r>
      <w:r>
        <w:rPr>
          <w:rFonts w:ascii="Times New Roman" w:hAnsi="Times New Roman"/>
          <w:sz w:val="28"/>
          <w:szCs w:val="28"/>
          <w:lang w:val="lv-LV"/>
        </w:rPr>
        <w:t xml:space="preserve"> iesaistās</w:t>
      </w:r>
      <w:r w:rsidRPr="00E82814">
        <w:rPr>
          <w:rFonts w:ascii="Times New Roman" w:hAnsi="Times New Roman"/>
          <w:sz w:val="28"/>
          <w:szCs w:val="28"/>
          <w:lang w:val="lv-LV"/>
        </w:rPr>
        <w:t xml:space="preserve"> zāļu lietošanas riska mazināšanas </w:t>
      </w:r>
      <w:r>
        <w:rPr>
          <w:rFonts w:ascii="Times New Roman" w:hAnsi="Times New Roman"/>
          <w:sz w:val="28"/>
          <w:szCs w:val="28"/>
          <w:lang w:val="lv-LV"/>
        </w:rPr>
        <w:t>pasākumu īstenošanā un veic</w:t>
      </w:r>
      <w:r w:rsidRPr="00E82814">
        <w:rPr>
          <w:rFonts w:ascii="Times New Roman" w:hAnsi="Times New Roman"/>
          <w:sz w:val="28"/>
          <w:szCs w:val="28"/>
          <w:lang w:val="lv-LV"/>
        </w:rPr>
        <w:t xml:space="preserve"> informācijas apmaiņu par </w:t>
      </w:r>
      <w:proofErr w:type="spellStart"/>
      <w:r w:rsidRPr="00E82814">
        <w:rPr>
          <w:rFonts w:ascii="Times New Roman" w:hAnsi="Times New Roman"/>
          <w:sz w:val="28"/>
          <w:szCs w:val="28"/>
          <w:lang w:val="lv-LV"/>
        </w:rPr>
        <w:t>farmakovigilances</w:t>
      </w:r>
      <w:proofErr w:type="spellEnd"/>
      <w:r w:rsidRPr="00E82814">
        <w:rPr>
          <w:rFonts w:ascii="Times New Roman" w:hAnsi="Times New Roman"/>
          <w:sz w:val="28"/>
          <w:szCs w:val="28"/>
          <w:lang w:val="lv-LV"/>
        </w:rPr>
        <w:t xml:space="preserve"> jautājumiem, tostarp ar</w:t>
      </w:r>
      <w:r>
        <w:rPr>
          <w:rFonts w:ascii="Times New Roman" w:hAnsi="Times New Roman"/>
          <w:sz w:val="28"/>
          <w:szCs w:val="28"/>
          <w:lang w:val="lv-LV"/>
        </w:rPr>
        <w:t>ī zāļu blakusparādībām ar Zāļu valsts aģentūru un</w:t>
      </w:r>
      <w:r w:rsidR="00264451">
        <w:rPr>
          <w:rFonts w:ascii="Times New Roman" w:hAnsi="Times New Roman"/>
          <w:sz w:val="28"/>
          <w:szCs w:val="28"/>
          <w:lang w:val="lv-LV"/>
        </w:rPr>
        <w:t xml:space="preserve"> reģistrācijas </w:t>
      </w:r>
      <w:r w:rsidRPr="00E82814">
        <w:rPr>
          <w:rFonts w:ascii="Times New Roman" w:hAnsi="Times New Roman"/>
          <w:sz w:val="28"/>
          <w:szCs w:val="28"/>
          <w:lang w:val="lv-LV"/>
        </w:rPr>
        <w:t>īpašniekiem</w:t>
      </w:r>
      <w:r>
        <w:rPr>
          <w:rFonts w:ascii="Times New Roman" w:hAnsi="Times New Roman"/>
          <w:sz w:val="28"/>
          <w:szCs w:val="28"/>
          <w:lang w:val="lv-LV"/>
        </w:rPr>
        <w:t>,</w:t>
      </w:r>
      <w:r w:rsidRPr="00E82814">
        <w:rPr>
          <w:rFonts w:ascii="Times New Roman" w:hAnsi="Times New Roman"/>
          <w:sz w:val="28"/>
          <w:szCs w:val="28"/>
          <w:lang w:val="lv-LV"/>
        </w:rPr>
        <w:t xml:space="preserve"> lai īstenotu </w:t>
      </w:r>
      <w:proofErr w:type="spellStart"/>
      <w:r w:rsidRPr="00E82814">
        <w:rPr>
          <w:rFonts w:ascii="Times New Roman" w:hAnsi="Times New Roman"/>
          <w:sz w:val="28"/>
          <w:szCs w:val="28"/>
          <w:lang w:val="lv-LV"/>
        </w:rPr>
        <w:t>farmakovigilances</w:t>
      </w:r>
      <w:proofErr w:type="spellEnd"/>
      <w:r w:rsidRPr="00E82814">
        <w:rPr>
          <w:rFonts w:ascii="Times New Roman" w:hAnsi="Times New Roman"/>
          <w:sz w:val="28"/>
          <w:szCs w:val="28"/>
          <w:lang w:val="lv-LV"/>
        </w:rPr>
        <w:t xml:space="preserve"> sistēmas efektīvu funkcionēšanu.</w:t>
      </w:r>
    </w:p>
    <w:p w:rsidR="0006011E" w:rsidRPr="00E61F63" w:rsidRDefault="0006011E" w:rsidP="0006011E">
      <w:pPr>
        <w:tabs>
          <w:tab w:val="left" w:pos="1134"/>
        </w:tabs>
        <w:spacing w:after="0" w:line="240" w:lineRule="auto"/>
        <w:jc w:val="both"/>
        <w:rPr>
          <w:rFonts w:ascii="Times New Roman" w:hAnsi="Times New Roman"/>
          <w:sz w:val="28"/>
          <w:szCs w:val="28"/>
          <w:lang w:val="lv-LV"/>
        </w:rPr>
      </w:pPr>
    </w:p>
    <w:p w:rsidR="00486C46" w:rsidRDefault="006832EA" w:rsidP="0006011E">
      <w:pPr>
        <w:pStyle w:val="naisf"/>
        <w:numPr>
          <w:ilvl w:val="0"/>
          <w:numId w:val="12"/>
        </w:numPr>
        <w:tabs>
          <w:tab w:val="left" w:pos="1134"/>
        </w:tabs>
        <w:spacing w:before="0" w:beforeAutospacing="0" w:after="0" w:afterAutospacing="0"/>
        <w:ind w:left="0" w:firstLine="709"/>
        <w:jc w:val="center"/>
        <w:rPr>
          <w:b/>
          <w:sz w:val="28"/>
          <w:szCs w:val="28"/>
        </w:rPr>
      </w:pPr>
      <w:r>
        <w:rPr>
          <w:b/>
          <w:sz w:val="28"/>
          <w:szCs w:val="28"/>
        </w:rPr>
        <w:t>Zāļu r</w:t>
      </w:r>
      <w:r w:rsidR="00287CD4">
        <w:rPr>
          <w:b/>
          <w:sz w:val="28"/>
          <w:szCs w:val="28"/>
        </w:rPr>
        <w:t>eģ</w:t>
      </w:r>
      <w:r w:rsidR="00264451">
        <w:rPr>
          <w:b/>
          <w:sz w:val="28"/>
          <w:szCs w:val="28"/>
        </w:rPr>
        <w:t>istrācijas īpašnieka</w:t>
      </w:r>
      <w:r w:rsidR="00287CD4">
        <w:rPr>
          <w:b/>
          <w:sz w:val="28"/>
          <w:szCs w:val="28"/>
        </w:rPr>
        <w:t xml:space="preserve"> pienākumi</w:t>
      </w:r>
    </w:p>
    <w:p w:rsidR="0006011E" w:rsidRPr="00486C46" w:rsidRDefault="0006011E" w:rsidP="0006011E">
      <w:pPr>
        <w:pStyle w:val="naisf"/>
        <w:tabs>
          <w:tab w:val="left" w:pos="1134"/>
        </w:tabs>
        <w:spacing w:before="0" w:beforeAutospacing="0" w:after="0" w:afterAutospacing="0"/>
        <w:rPr>
          <w:b/>
          <w:sz w:val="28"/>
          <w:szCs w:val="28"/>
        </w:rPr>
      </w:pPr>
    </w:p>
    <w:bookmarkEnd w:id="2"/>
    <w:p w:rsidR="00287CD4" w:rsidRDefault="006832EA" w:rsidP="00287CD4">
      <w:pPr>
        <w:pStyle w:val="naisf"/>
        <w:numPr>
          <w:ilvl w:val="0"/>
          <w:numId w:val="4"/>
        </w:numPr>
        <w:tabs>
          <w:tab w:val="left" w:pos="1134"/>
        </w:tabs>
        <w:spacing w:before="0" w:beforeAutospacing="0" w:after="0" w:afterAutospacing="0"/>
        <w:ind w:left="0" w:firstLine="709"/>
        <w:jc w:val="both"/>
        <w:rPr>
          <w:sz w:val="28"/>
          <w:szCs w:val="28"/>
        </w:rPr>
      </w:pPr>
      <w:r w:rsidRPr="00BA4E83">
        <w:rPr>
          <w:sz w:val="28"/>
          <w:szCs w:val="28"/>
        </w:rPr>
        <w:t>Zāļu</w:t>
      </w:r>
      <w:r w:rsidRPr="006832EA">
        <w:rPr>
          <w:b/>
          <w:sz w:val="28"/>
          <w:szCs w:val="28"/>
        </w:rPr>
        <w:t xml:space="preserve"> </w:t>
      </w:r>
      <w:r>
        <w:rPr>
          <w:sz w:val="28"/>
          <w:szCs w:val="28"/>
        </w:rPr>
        <w:t>r</w:t>
      </w:r>
      <w:r w:rsidR="00264451">
        <w:rPr>
          <w:sz w:val="28"/>
          <w:szCs w:val="28"/>
        </w:rPr>
        <w:t xml:space="preserve">eģistrācijas </w:t>
      </w:r>
      <w:r w:rsidR="00287CD4">
        <w:rPr>
          <w:sz w:val="28"/>
          <w:szCs w:val="28"/>
        </w:rPr>
        <w:t>īpašn</w:t>
      </w:r>
      <w:r w:rsidR="00264451">
        <w:rPr>
          <w:sz w:val="28"/>
          <w:szCs w:val="28"/>
        </w:rPr>
        <w:t>ieks</w:t>
      </w:r>
      <w:r w:rsidR="00287CD4" w:rsidRPr="00853060">
        <w:rPr>
          <w:sz w:val="28"/>
          <w:szCs w:val="28"/>
        </w:rPr>
        <w:t xml:space="preserve">: </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lastRenderedPageBreak/>
        <w:t>nodrošina</w:t>
      </w:r>
      <w:r w:rsidRPr="00853060">
        <w:rPr>
          <w:sz w:val="28"/>
          <w:szCs w:val="28"/>
        </w:rPr>
        <w:t xml:space="preserve"> </w:t>
      </w:r>
      <w:proofErr w:type="spellStart"/>
      <w:r w:rsidRPr="00853060">
        <w:rPr>
          <w:sz w:val="28"/>
          <w:szCs w:val="28"/>
        </w:rPr>
        <w:t>farmakovigilances</w:t>
      </w:r>
      <w:proofErr w:type="spellEnd"/>
      <w:r w:rsidRPr="00853060">
        <w:rPr>
          <w:sz w:val="28"/>
          <w:szCs w:val="28"/>
        </w:rPr>
        <w:t xml:space="preserve"> sistēm</w:t>
      </w:r>
      <w:r w:rsidR="00E736B7">
        <w:rPr>
          <w:sz w:val="28"/>
          <w:szCs w:val="28"/>
        </w:rPr>
        <w:t xml:space="preserve">as un </w:t>
      </w:r>
      <w:r w:rsidRPr="00F4112E">
        <w:rPr>
          <w:sz w:val="28"/>
          <w:szCs w:val="28"/>
        </w:rPr>
        <w:t>kvalitātes sistēmas izveidi</w:t>
      </w:r>
      <w:r w:rsidR="00F4112E">
        <w:rPr>
          <w:sz w:val="28"/>
          <w:szCs w:val="28"/>
        </w:rPr>
        <w:t xml:space="preserve">. Kvalitātes sistēmu izstrādā saskaņā ar </w:t>
      </w:r>
      <w:r w:rsidR="00F4112E" w:rsidRPr="001C414A">
        <w:rPr>
          <w:color w:val="000000"/>
          <w:sz w:val="28"/>
          <w:szCs w:val="28"/>
        </w:rPr>
        <w:t>Komisijas 2012.gada 19.jūnija īstenošanas regul</w:t>
      </w:r>
      <w:r w:rsidR="00F4112E">
        <w:rPr>
          <w:color w:val="000000"/>
          <w:sz w:val="28"/>
          <w:szCs w:val="28"/>
        </w:rPr>
        <w:t>as</w:t>
      </w:r>
      <w:r w:rsidR="00F4112E" w:rsidRPr="001C414A">
        <w:rPr>
          <w:color w:val="000000"/>
          <w:sz w:val="28"/>
          <w:szCs w:val="28"/>
        </w:rPr>
        <w:t xml:space="preserve"> (ES) Nr.520/2012 par Eiropas Parlamenta un Padomes regulā (EK) Nr.726/EK </w:t>
      </w:r>
      <w:r w:rsidR="00F4112E">
        <w:rPr>
          <w:color w:val="000000"/>
          <w:sz w:val="28"/>
          <w:szCs w:val="28"/>
        </w:rPr>
        <w:t xml:space="preserve">un Eiropas Parlamenta un Padomes Direktīvā 2001/83/EK noteikto </w:t>
      </w:r>
      <w:proofErr w:type="spellStart"/>
      <w:r w:rsidR="00F4112E">
        <w:rPr>
          <w:color w:val="000000"/>
          <w:sz w:val="28"/>
          <w:szCs w:val="28"/>
        </w:rPr>
        <w:t>farmakovigilances</w:t>
      </w:r>
      <w:proofErr w:type="spellEnd"/>
      <w:r w:rsidR="00F4112E">
        <w:rPr>
          <w:color w:val="000000"/>
          <w:sz w:val="28"/>
          <w:szCs w:val="28"/>
        </w:rPr>
        <w:t xml:space="preserve"> darbību izpildi</w:t>
      </w:r>
      <w:r w:rsidR="00D325C9">
        <w:rPr>
          <w:color w:val="000000"/>
          <w:sz w:val="28"/>
          <w:szCs w:val="28"/>
        </w:rPr>
        <w:t xml:space="preserve"> (turpmāk – Regula Nr.520/2012)</w:t>
      </w:r>
      <w:r w:rsidR="00F4112E">
        <w:rPr>
          <w:color w:val="000000"/>
          <w:sz w:val="28"/>
          <w:szCs w:val="28"/>
        </w:rPr>
        <w:t xml:space="preserve"> </w:t>
      </w:r>
      <w:r w:rsidR="00D325C9">
        <w:rPr>
          <w:color w:val="000000"/>
          <w:sz w:val="28"/>
          <w:szCs w:val="28"/>
        </w:rPr>
        <w:t>8.pantu</w:t>
      </w:r>
      <w:r w:rsidR="00601D01">
        <w:rPr>
          <w:color w:val="000000"/>
          <w:sz w:val="28"/>
          <w:szCs w:val="28"/>
        </w:rPr>
        <w:t>.</w:t>
      </w:r>
    </w:p>
    <w:p w:rsidR="00287CD4" w:rsidRDefault="00E72C4E"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izmantojot šo noteikumu 15</w:t>
      </w:r>
      <w:r w:rsidR="00287CD4">
        <w:rPr>
          <w:sz w:val="28"/>
          <w:szCs w:val="28"/>
        </w:rPr>
        <w:t xml:space="preserve">.1. apakšpunktā minēto </w:t>
      </w:r>
      <w:proofErr w:type="spellStart"/>
      <w:r w:rsidR="00287CD4">
        <w:rPr>
          <w:sz w:val="28"/>
          <w:szCs w:val="28"/>
        </w:rPr>
        <w:t>farmakovigilances</w:t>
      </w:r>
      <w:proofErr w:type="spellEnd"/>
      <w:r w:rsidR="00287CD4">
        <w:rPr>
          <w:sz w:val="28"/>
          <w:szCs w:val="28"/>
        </w:rPr>
        <w:t xml:space="preserve"> sistēmu, veic zinātnisku informācijas novērtējumu un nepieciešamības gadījumā veic atbilstošus riska mazināšanas pasākumus;</w:t>
      </w:r>
    </w:p>
    <w:p w:rsidR="00287CD4" w:rsidRPr="00F55FF5" w:rsidRDefault="00287CD4" w:rsidP="00287CD4">
      <w:pPr>
        <w:pStyle w:val="naisf"/>
        <w:numPr>
          <w:ilvl w:val="1"/>
          <w:numId w:val="4"/>
        </w:numPr>
        <w:tabs>
          <w:tab w:val="left" w:pos="1134"/>
        </w:tabs>
        <w:spacing w:before="0" w:beforeAutospacing="0" w:after="0" w:afterAutospacing="0"/>
        <w:ind w:left="0" w:firstLine="709"/>
        <w:jc w:val="both"/>
        <w:rPr>
          <w:rFonts w:ascii="EUAlbertina" w:hAnsi="EUAlbertina" w:cs="EUAlbertina"/>
          <w:color w:val="000000"/>
          <w:sz w:val="28"/>
          <w:szCs w:val="28"/>
        </w:rPr>
      </w:pPr>
      <w:r w:rsidRPr="00853060">
        <w:rPr>
          <w:rFonts w:ascii="EUAlbertina" w:hAnsi="EUAlbertina" w:cs="EUAlbertina"/>
          <w:color w:val="000000"/>
          <w:sz w:val="28"/>
          <w:szCs w:val="28"/>
        </w:rPr>
        <w:t xml:space="preserve">pastāvīgi un nepārtraukti nodarbina </w:t>
      </w:r>
      <w:r>
        <w:rPr>
          <w:rFonts w:ascii="EUAlbertina" w:hAnsi="EUAlbertina" w:cs="EUAlbertina"/>
          <w:color w:val="000000"/>
          <w:sz w:val="28"/>
          <w:szCs w:val="28"/>
        </w:rPr>
        <w:t xml:space="preserve">par </w:t>
      </w:r>
      <w:proofErr w:type="spellStart"/>
      <w:r>
        <w:rPr>
          <w:rFonts w:ascii="EUAlbertina" w:hAnsi="EUAlbertina" w:cs="EUAlbertina"/>
          <w:color w:val="000000"/>
          <w:sz w:val="28"/>
          <w:szCs w:val="28"/>
        </w:rPr>
        <w:t>farmakovigilanci</w:t>
      </w:r>
      <w:proofErr w:type="spellEnd"/>
      <w:r>
        <w:rPr>
          <w:rFonts w:ascii="EUAlbertina" w:hAnsi="EUAlbertina" w:cs="EUAlbertina"/>
          <w:color w:val="000000"/>
          <w:sz w:val="28"/>
          <w:szCs w:val="28"/>
        </w:rPr>
        <w:t xml:space="preserve"> atbildīgu </w:t>
      </w:r>
      <w:r w:rsidRPr="00853060">
        <w:rPr>
          <w:rFonts w:ascii="EUAlbertina" w:hAnsi="EUAlbertina" w:cs="EUAlbertina"/>
          <w:color w:val="000000"/>
          <w:sz w:val="28"/>
          <w:szCs w:val="28"/>
        </w:rPr>
        <w:t xml:space="preserve">atbilstoši </w:t>
      </w:r>
      <w:r w:rsidRPr="00363106">
        <w:rPr>
          <w:rFonts w:ascii="EUAlbertina" w:hAnsi="EUAlbertina" w:cs="EUAlbertina"/>
          <w:color w:val="000000"/>
          <w:sz w:val="28"/>
          <w:szCs w:val="28"/>
        </w:rPr>
        <w:t xml:space="preserve">kvalificētu personu (turpmāk – atbildīgā persona), kura </w:t>
      </w:r>
      <w:r w:rsidRPr="00363106">
        <w:rPr>
          <w:rFonts w:cs="EUAlbertina"/>
          <w:color w:val="000000"/>
          <w:sz w:val="28"/>
          <w:szCs w:val="28"/>
        </w:rPr>
        <w:t>dzīvo un strādā Eiropas Savienībā</w:t>
      </w:r>
      <w:r>
        <w:rPr>
          <w:rFonts w:cs="EUAlbertina"/>
          <w:color w:val="000000"/>
          <w:sz w:val="28"/>
          <w:szCs w:val="28"/>
        </w:rPr>
        <w:t xml:space="preserve"> un</w:t>
      </w:r>
      <w:r w:rsidRPr="00363106">
        <w:rPr>
          <w:rFonts w:cs="EUAlbertina"/>
          <w:color w:val="000000"/>
          <w:sz w:val="28"/>
          <w:szCs w:val="28"/>
        </w:rPr>
        <w:t xml:space="preserve"> ir</w:t>
      </w:r>
      <w:r w:rsidRPr="00853060">
        <w:rPr>
          <w:rFonts w:cs="EUAlbertina"/>
          <w:color w:val="000000"/>
          <w:sz w:val="28"/>
          <w:szCs w:val="28"/>
        </w:rPr>
        <w:t xml:space="preserve"> </w:t>
      </w:r>
      <w:r w:rsidRPr="00853060">
        <w:rPr>
          <w:rFonts w:ascii="EUAlbertina" w:hAnsi="EUAlbertina" w:cs="EUAlbertina"/>
          <w:color w:val="000000"/>
          <w:sz w:val="28"/>
          <w:szCs w:val="28"/>
        </w:rPr>
        <w:t xml:space="preserve">atbildīga par </w:t>
      </w:r>
      <w:proofErr w:type="spellStart"/>
      <w:r w:rsidRPr="00853060">
        <w:rPr>
          <w:rFonts w:ascii="EUAlbertina" w:hAnsi="EUAlbertina" w:cs="EUAlbertina"/>
          <w:color w:val="000000"/>
          <w:sz w:val="28"/>
          <w:szCs w:val="28"/>
        </w:rPr>
        <w:t>farmakovigilances</w:t>
      </w:r>
      <w:proofErr w:type="spellEnd"/>
      <w:r w:rsidRPr="00853060">
        <w:rPr>
          <w:rFonts w:ascii="EUAlbertina" w:hAnsi="EUAlbertina" w:cs="EUAlbertina"/>
          <w:color w:val="000000"/>
          <w:sz w:val="28"/>
          <w:szCs w:val="28"/>
        </w:rPr>
        <w:t xml:space="preserve"> sistēmas izveidi un uzturēšanu</w:t>
      </w:r>
      <w:r>
        <w:rPr>
          <w:rFonts w:ascii="EUAlbertina" w:hAnsi="EUAlbertina" w:cs="EUAlbertina"/>
          <w:color w:val="000000"/>
          <w:sz w:val="28"/>
          <w:szCs w:val="28"/>
        </w:rPr>
        <w:t xml:space="preserve">. </w:t>
      </w:r>
      <w:r>
        <w:rPr>
          <w:color w:val="000000"/>
          <w:sz w:val="28"/>
          <w:szCs w:val="28"/>
        </w:rPr>
        <w:t xml:space="preserve">Atbildīgās </w:t>
      </w:r>
      <w:r w:rsidRPr="00671852">
        <w:rPr>
          <w:color w:val="000000"/>
          <w:sz w:val="28"/>
          <w:szCs w:val="28"/>
        </w:rPr>
        <w:t>personas vārdu</w:t>
      </w:r>
      <w:r>
        <w:rPr>
          <w:color w:val="000000"/>
          <w:sz w:val="28"/>
          <w:szCs w:val="28"/>
        </w:rPr>
        <w:t>, adresi</w:t>
      </w:r>
      <w:r w:rsidRPr="00671852">
        <w:rPr>
          <w:color w:val="000000"/>
          <w:sz w:val="28"/>
          <w:szCs w:val="28"/>
        </w:rPr>
        <w:t xml:space="preserve"> un kontaktinformāciju iesniedz </w:t>
      </w:r>
      <w:r>
        <w:rPr>
          <w:color w:val="000000"/>
          <w:sz w:val="28"/>
          <w:szCs w:val="28"/>
        </w:rPr>
        <w:t xml:space="preserve">Zāļu valsts aģentūrai, kā arī </w:t>
      </w:r>
      <w:r>
        <w:rPr>
          <w:sz w:val="28"/>
          <w:szCs w:val="28"/>
        </w:rPr>
        <w:t>Eiropas Z</w:t>
      </w:r>
      <w:r w:rsidRPr="00671852">
        <w:rPr>
          <w:sz w:val="28"/>
          <w:szCs w:val="28"/>
        </w:rPr>
        <w:t>āļu aģentūrai</w:t>
      </w:r>
      <w:r>
        <w:rPr>
          <w:color w:val="000000"/>
          <w:sz w:val="28"/>
          <w:szCs w:val="28"/>
        </w:rPr>
        <w:t xml:space="preserve"> saskaņā ar </w:t>
      </w:r>
      <w:r w:rsidRPr="00F55FF5">
        <w:rPr>
          <w:sz w:val="28"/>
          <w:szCs w:val="28"/>
        </w:rPr>
        <w:t>ziņošanas formātu elektroniskai informācijas iesniegšanai Eiropas Zāļu aģentūrai par visām Eiropas Savienībā reģistrētajām cilvēkiem paredzētajām zālēm</w:t>
      </w:r>
      <w:r>
        <w:rPr>
          <w:rFonts w:ascii="EUAlbertina" w:hAnsi="EUAlbertina" w:cs="EUAlbertina"/>
          <w:color w:val="000000"/>
          <w:sz w:val="28"/>
          <w:szCs w:val="28"/>
        </w:rPr>
        <w:t>;</w:t>
      </w:r>
    </w:p>
    <w:p w:rsidR="00E72C4E" w:rsidRPr="00BA4E83"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BA4E83">
        <w:rPr>
          <w:rFonts w:ascii="EUAlbertina" w:hAnsi="EUAlbertina" w:cs="EUAlbertina"/>
          <w:color w:val="000000"/>
          <w:sz w:val="28"/>
          <w:szCs w:val="28"/>
        </w:rPr>
        <w:t xml:space="preserve">nosaka nacionālā līmeņa kontaktpersonu par </w:t>
      </w:r>
      <w:proofErr w:type="spellStart"/>
      <w:r w:rsidRPr="00BA4E83">
        <w:rPr>
          <w:rFonts w:ascii="EUAlbertina" w:hAnsi="EUAlbertina" w:cs="EUAlbertina"/>
          <w:color w:val="000000"/>
          <w:sz w:val="28"/>
          <w:szCs w:val="28"/>
        </w:rPr>
        <w:t>farmakovigilanci</w:t>
      </w:r>
      <w:proofErr w:type="spellEnd"/>
      <w:r w:rsidR="00CC6B6E" w:rsidRPr="00BA4E83">
        <w:rPr>
          <w:rFonts w:ascii="EUAlbertina" w:hAnsi="EUAlbertina" w:cs="EUAlbertina"/>
          <w:color w:val="000000"/>
          <w:sz w:val="28"/>
          <w:szCs w:val="28"/>
        </w:rPr>
        <w:t xml:space="preserve"> (turpmāk – </w:t>
      </w:r>
      <w:r w:rsidR="00CC6B6E" w:rsidRPr="00BA4E83">
        <w:rPr>
          <w:rFonts w:ascii="EUAlbertina" w:hAnsi="EUAlbertina" w:cs="EUAlbertina" w:hint="eastAsia"/>
          <w:color w:val="000000"/>
          <w:sz w:val="28"/>
          <w:szCs w:val="28"/>
        </w:rPr>
        <w:t>nacionāl</w:t>
      </w:r>
      <w:r w:rsidR="00CC6B6E" w:rsidRPr="00BA4E83">
        <w:rPr>
          <w:rFonts w:ascii="EUAlbertina" w:hAnsi="EUAlbertina" w:cs="EUAlbertina"/>
          <w:color w:val="000000"/>
          <w:sz w:val="28"/>
          <w:szCs w:val="28"/>
        </w:rPr>
        <w:t>a līmeņa kontaktpersona)</w:t>
      </w:r>
      <w:r w:rsidR="00BA4E83">
        <w:rPr>
          <w:rFonts w:ascii="EUAlbertina" w:hAnsi="EUAlbertina" w:cs="EUAlbertina"/>
          <w:color w:val="000000"/>
          <w:sz w:val="28"/>
          <w:szCs w:val="28"/>
        </w:rPr>
        <w:t>, ja atbildīgā persona nedzīvo un nestrādā Latvijā</w:t>
      </w:r>
      <w:r w:rsidR="00E21115" w:rsidRPr="00BA4E83">
        <w:rPr>
          <w:rFonts w:ascii="EUAlbertina" w:hAnsi="EUAlbertina" w:cs="EUAlbertina"/>
          <w:color w:val="000000"/>
          <w:sz w:val="28"/>
          <w:szCs w:val="28"/>
        </w:rPr>
        <w:t>;</w:t>
      </w:r>
      <w:r w:rsidRPr="00BA4E83">
        <w:rPr>
          <w:rFonts w:ascii="EUAlbertina" w:hAnsi="EUAlbertina" w:cs="EUAlbertina"/>
          <w:color w:val="000000"/>
          <w:sz w:val="28"/>
          <w:szCs w:val="28"/>
        </w:rPr>
        <w:t xml:space="preserve"> </w:t>
      </w:r>
    </w:p>
    <w:p w:rsidR="00287CD4" w:rsidRPr="00E21115"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E21115">
        <w:rPr>
          <w:rFonts w:ascii="EUAlbertina" w:hAnsi="EUAlbertina" w:cs="EUAlbertina"/>
          <w:color w:val="000000"/>
          <w:sz w:val="28"/>
          <w:szCs w:val="28"/>
        </w:rPr>
        <w:t>nekavējoties Zāļu valsts aģentūrā iesniedz nacionālā līmeņa kontaktpersonas kontaktinformāciju, kā ar izmaiņas kontak</w:t>
      </w:r>
      <w:r w:rsidRPr="00E21115">
        <w:rPr>
          <w:sz w:val="28"/>
          <w:szCs w:val="28"/>
        </w:rPr>
        <w:t>tinformācijā, ja tādas ir veiktas;</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E21115">
        <w:rPr>
          <w:sz w:val="28"/>
          <w:szCs w:val="28"/>
        </w:rPr>
        <w:t xml:space="preserve">uztur un pēc Eiropas Zāļu aģentūras vai Zāļu valsts aģentūras pieprasījuma dara pieejamu </w:t>
      </w:r>
      <w:proofErr w:type="spellStart"/>
      <w:r w:rsidRPr="00E21115">
        <w:rPr>
          <w:sz w:val="28"/>
          <w:szCs w:val="28"/>
        </w:rPr>
        <w:t>farmakovigilances</w:t>
      </w:r>
      <w:proofErr w:type="spellEnd"/>
      <w:r w:rsidRPr="00E21115">
        <w:rPr>
          <w:sz w:val="28"/>
          <w:szCs w:val="28"/>
        </w:rPr>
        <w:t xml:space="preserve"> sistēmas </w:t>
      </w:r>
      <w:proofErr w:type="spellStart"/>
      <w:r w:rsidRPr="00E21115">
        <w:rPr>
          <w:sz w:val="28"/>
          <w:szCs w:val="28"/>
        </w:rPr>
        <w:t>p</w:t>
      </w:r>
      <w:r w:rsidRPr="00853060">
        <w:rPr>
          <w:sz w:val="28"/>
          <w:szCs w:val="28"/>
        </w:rPr>
        <w:t>amatliet</w:t>
      </w:r>
      <w:r>
        <w:rPr>
          <w:sz w:val="28"/>
          <w:szCs w:val="28"/>
        </w:rPr>
        <w:t>as</w:t>
      </w:r>
      <w:proofErr w:type="spellEnd"/>
      <w:r>
        <w:rPr>
          <w:sz w:val="28"/>
          <w:szCs w:val="28"/>
        </w:rPr>
        <w:t xml:space="preserve"> kopiju ne vēlāk kā septiņu dienu laikā</w:t>
      </w:r>
      <w:r w:rsidRPr="00853060">
        <w:rPr>
          <w:sz w:val="28"/>
          <w:szCs w:val="28"/>
        </w:rPr>
        <w:t>;</w:t>
      </w:r>
    </w:p>
    <w:p w:rsidR="00287CD4" w:rsidRPr="00BA4E83"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853060">
        <w:rPr>
          <w:sz w:val="28"/>
          <w:szCs w:val="28"/>
        </w:rPr>
        <w:t>nodrošina, ka riska pārvaldības sistēma ir izveidota un darbojas visām zālēm, izņemot tā</w:t>
      </w:r>
      <w:r w:rsidR="00911F44">
        <w:rPr>
          <w:sz w:val="28"/>
          <w:szCs w:val="28"/>
        </w:rPr>
        <w:t>m</w:t>
      </w:r>
      <w:r w:rsidRPr="00853060">
        <w:rPr>
          <w:sz w:val="28"/>
          <w:szCs w:val="28"/>
        </w:rPr>
        <w:t xml:space="preserve"> </w:t>
      </w:r>
      <w:r w:rsidRPr="00BA4E83">
        <w:rPr>
          <w:sz w:val="28"/>
          <w:szCs w:val="28"/>
        </w:rPr>
        <w:t>zāl</w:t>
      </w:r>
      <w:r w:rsidR="00911F44" w:rsidRPr="00BA4E83">
        <w:rPr>
          <w:sz w:val="28"/>
          <w:szCs w:val="28"/>
        </w:rPr>
        <w:t>ēm</w:t>
      </w:r>
      <w:r w:rsidRPr="00BA4E83">
        <w:rPr>
          <w:sz w:val="28"/>
          <w:szCs w:val="28"/>
        </w:rPr>
        <w:t>, kur</w:t>
      </w:r>
      <w:r w:rsidR="00911F44" w:rsidRPr="00BA4E83">
        <w:rPr>
          <w:sz w:val="28"/>
          <w:szCs w:val="28"/>
        </w:rPr>
        <w:t>ām</w:t>
      </w:r>
      <w:r w:rsidRPr="00BA4E83">
        <w:rPr>
          <w:sz w:val="28"/>
          <w:szCs w:val="28"/>
        </w:rPr>
        <w:t xml:space="preserve"> reģistrācija </w:t>
      </w:r>
      <w:r w:rsidR="00911F44" w:rsidRPr="00BA4E83">
        <w:rPr>
          <w:sz w:val="28"/>
          <w:szCs w:val="28"/>
        </w:rPr>
        <w:t xml:space="preserve">ir </w:t>
      </w:r>
      <w:r w:rsidR="00BA4E83">
        <w:rPr>
          <w:sz w:val="28"/>
          <w:szCs w:val="28"/>
        </w:rPr>
        <w:t xml:space="preserve">stājusies </w:t>
      </w:r>
      <w:r w:rsidR="00911F44" w:rsidRPr="00BA4E83">
        <w:rPr>
          <w:sz w:val="28"/>
          <w:szCs w:val="28"/>
        </w:rPr>
        <w:t>spēkā</w:t>
      </w:r>
      <w:r w:rsidRPr="00BA4E83">
        <w:rPr>
          <w:sz w:val="28"/>
          <w:szCs w:val="28"/>
        </w:rPr>
        <w:t xml:space="preserve"> līdz 2012.gada 21.jūlijam, ja </w:t>
      </w:r>
      <w:r w:rsidR="00E736B7" w:rsidRPr="00BA4E83">
        <w:rPr>
          <w:sz w:val="28"/>
          <w:szCs w:val="28"/>
        </w:rPr>
        <w:t>normatīvajos aktos par zāļu reģistrēšan</w:t>
      </w:r>
      <w:r w:rsidR="00D57081" w:rsidRPr="00BA4E83">
        <w:rPr>
          <w:sz w:val="28"/>
          <w:szCs w:val="28"/>
        </w:rPr>
        <w:t>as kārtību</w:t>
      </w:r>
      <w:r w:rsidR="00E736B7" w:rsidRPr="00BA4E83">
        <w:rPr>
          <w:sz w:val="28"/>
          <w:szCs w:val="28"/>
        </w:rPr>
        <w:t xml:space="preserve"> </w:t>
      </w:r>
      <w:r w:rsidRPr="00BA4E83">
        <w:rPr>
          <w:sz w:val="28"/>
          <w:szCs w:val="28"/>
        </w:rPr>
        <w:t>nav noteikts citādi;</w:t>
      </w:r>
    </w:p>
    <w:p w:rsidR="00911F4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911F44">
        <w:rPr>
          <w:sz w:val="28"/>
          <w:szCs w:val="28"/>
        </w:rPr>
        <w:t xml:space="preserve">uzrauga, kādus rezultātus sniedz riska mazināšanas pasākumi, kuri ir iekļauti riska pārvaldības plānā vai </w:t>
      </w:r>
      <w:r w:rsidRPr="00BA4E83">
        <w:rPr>
          <w:sz w:val="28"/>
          <w:szCs w:val="28"/>
        </w:rPr>
        <w:t xml:space="preserve">noteikti </w:t>
      </w:r>
      <w:r w:rsidR="00911F44" w:rsidRPr="00BA4E83">
        <w:rPr>
          <w:sz w:val="28"/>
          <w:szCs w:val="28"/>
        </w:rPr>
        <w:t xml:space="preserve">saskaņā ar normatīvajiem aktiem par zāļu </w:t>
      </w:r>
      <w:r w:rsidRPr="00BA4E83">
        <w:rPr>
          <w:sz w:val="28"/>
          <w:szCs w:val="28"/>
        </w:rPr>
        <w:t>reģistr</w:t>
      </w:r>
      <w:r w:rsidR="00911F44" w:rsidRPr="00BA4E83">
        <w:rPr>
          <w:sz w:val="28"/>
          <w:szCs w:val="28"/>
        </w:rPr>
        <w:t>ēšan</w:t>
      </w:r>
      <w:r w:rsidR="00D57081" w:rsidRPr="00BA4E83">
        <w:rPr>
          <w:sz w:val="28"/>
          <w:szCs w:val="28"/>
        </w:rPr>
        <w:t>as kārtību</w:t>
      </w:r>
      <w:r w:rsidR="00911F44">
        <w:rPr>
          <w:sz w:val="28"/>
          <w:szCs w:val="28"/>
        </w:rPr>
        <w:t>;</w:t>
      </w:r>
      <w:r w:rsidRPr="00911F44">
        <w:rPr>
          <w:sz w:val="28"/>
          <w:szCs w:val="28"/>
        </w:rPr>
        <w:t xml:space="preserve"> </w:t>
      </w:r>
    </w:p>
    <w:p w:rsidR="00287CD4" w:rsidRPr="00911F4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911F44">
        <w:rPr>
          <w:sz w:val="28"/>
          <w:szCs w:val="28"/>
        </w:rPr>
        <w:t xml:space="preserve">regulāri atjaunina riska pārvaldības sistēmu un uzrauga </w:t>
      </w:r>
      <w:proofErr w:type="spellStart"/>
      <w:r w:rsidRPr="00911F44">
        <w:rPr>
          <w:sz w:val="28"/>
          <w:szCs w:val="28"/>
        </w:rPr>
        <w:t>farmakovigilances</w:t>
      </w:r>
      <w:proofErr w:type="spellEnd"/>
      <w:r w:rsidRPr="00911F44">
        <w:rPr>
          <w:sz w:val="28"/>
          <w:szCs w:val="28"/>
        </w:rPr>
        <w:t xml:space="preserve"> datus, lai noteiktu, vai ir parādījušies jauni riski, riski ir mainījušies vai </w:t>
      </w:r>
      <w:r w:rsidR="00147CB3" w:rsidRPr="00911F44">
        <w:rPr>
          <w:sz w:val="28"/>
          <w:szCs w:val="28"/>
        </w:rPr>
        <w:t>ir izmaiņas</w:t>
      </w:r>
      <w:r w:rsidRPr="00911F44">
        <w:rPr>
          <w:sz w:val="28"/>
          <w:szCs w:val="28"/>
        </w:rPr>
        <w:t xml:space="preserve"> zāļu lietošana</w:t>
      </w:r>
      <w:r w:rsidR="00C30413" w:rsidRPr="00911F44">
        <w:rPr>
          <w:sz w:val="28"/>
          <w:szCs w:val="28"/>
        </w:rPr>
        <w:t>s</w:t>
      </w:r>
      <w:r w:rsidRPr="00911F44">
        <w:rPr>
          <w:sz w:val="28"/>
          <w:szCs w:val="28"/>
        </w:rPr>
        <w:t xml:space="preserve"> riska un guvuma </w:t>
      </w:r>
      <w:r w:rsidR="00054489" w:rsidRPr="00BA4E83">
        <w:rPr>
          <w:sz w:val="28"/>
          <w:szCs w:val="28"/>
        </w:rPr>
        <w:t>līdzsvarā</w:t>
      </w:r>
      <w:r w:rsidRPr="00911F44">
        <w:rPr>
          <w:sz w:val="28"/>
          <w:szCs w:val="28"/>
        </w:rPr>
        <w:t>. Izstrādātos zāļu riska mazināšanas pasākumus iesniedz saskaņošanai Zāļu valsts aģentūrā.</w:t>
      </w:r>
    </w:p>
    <w:p w:rsidR="00287CD4" w:rsidRPr="00D14536"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853060">
        <w:rPr>
          <w:rFonts w:cs="EUAlbertina"/>
          <w:color w:val="000000"/>
          <w:sz w:val="28"/>
          <w:szCs w:val="28"/>
        </w:rPr>
        <w:t xml:space="preserve">regulāri veic </w:t>
      </w:r>
      <w:proofErr w:type="spellStart"/>
      <w:r w:rsidRPr="00853060">
        <w:rPr>
          <w:rFonts w:cs="EUAlbertina"/>
          <w:color w:val="000000"/>
          <w:sz w:val="28"/>
          <w:szCs w:val="28"/>
        </w:rPr>
        <w:t>farmakovigilances</w:t>
      </w:r>
      <w:proofErr w:type="spellEnd"/>
      <w:r w:rsidRPr="00853060">
        <w:rPr>
          <w:rFonts w:cs="EUAlbertina"/>
          <w:color w:val="000000"/>
          <w:sz w:val="28"/>
          <w:szCs w:val="28"/>
        </w:rPr>
        <w:t xml:space="preserve"> sistēmas auditu, </w:t>
      </w:r>
      <w:proofErr w:type="spellStart"/>
      <w:r w:rsidRPr="00363106">
        <w:rPr>
          <w:rFonts w:cs="EUAlbertina"/>
          <w:color w:val="000000"/>
          <w:sz w:val="28"/>
          <w:szCs w:val="28"/>
        </w:rPr>
        <w:t>farmakovigilances</w:t>
      </w:r>
      <w:proofErr w:type="spellEnd"/>
      <w:r w:rsidRPr="00363106">
        <w:rPr>
          <w:rFonts w:cs="EUAlbertina"/>
          <w:color w:val="000000"/>
          <w:sz w:val="28"/>
          <w:szCs w:val="28"/>
        </w:rPr>
        <w:t xml:space="preserve"> sis</w:t>
      </w:r>
      <w:r>
        <w:rPr>
          <w:rFonts w:cs="EUAlbertina"/>
          <w:color w:val="000000"/>
          <w:sz w:val="28"/>
          <w:szCs w:val="28"/>
        </w:rPr>
        <w:t xml:space="preserve">tēmas </w:t>
      </w:r>
      <w:proofErr w:type="spellStart"/>
      <w:r>
        <w:rPr>
          <w:rFonts w:cs="EUAlbertina"/>
          <w:color w:val="000000"/>
          <w:sz w:val="28"/>
          <w:szCs w:val="28"/>
        </w:rPr>
        <w:t>pamatlietā</w:t>
      </w:r>
      <w:proofErr w:type="spellEnd"/>
      <w:r>
        <w:rPr>
          <w:rFonts w:cs="EUAlbertina"/>
          <w:color w:val="000000"/>
          <w:sz w:val="28"/>
          <w:szCs w:val="28"/>
        </w:rPr>
        <w:t xml:space="preserve"> ievieto ierakstu</w:t>
      </w:r>
      <w:r w:rsidRPr="00363106">
        <w:rPr>
          <w:rFonts w:cs="EUAlbertina"/>
          <w:color w:val="000000"/>
          <w:sz w:val="28"/>
          <w:szCs w:val="28"/>
        </w:rPr>
        <w:t xml:space="preserve"> par galvenajām auditos</w:t>
      </w:r>
      <w:r>
        <w:rPr>
          <w:rFonts w:cs="EUAlbertina"/>
          <w:color w:val="000000"/>
          <w:sz w:val="28"/>
          <w:szCs w:val="28"/>
        </w:rPr>
        <w:t xml:space="preserve"> konstatētajām </w:t>
      </w:r>
      <w:r>
        <w:rPr>
          <w:rFonts w:cs="EUAlbertina"/>
          <w:color w:val="000000"/>
          <w:sz w:val="28"/>
          <w:szCs w:val="28"/>
        </w:rPr>
        <w:lastRenderedPageBreak/>
        <w:t>neatbilstībām un</w:t>
      </w:r>
      <w:r w:rsidRPr="00363106">
        <w:rPr>
          <w:rFonts w:cs="EUAlbertina"/>
          <w:color w:val="000000"/>
          <w:sz w:val="28"/>
          <w:szCs w:val="28"/>
        </w:rPr>
        <w:t xml:space="preserve"> nodrošina, ka tiek sagatavots </w:t>
      </w:r>
      <w:r>
        <w:rPr>
          <w:rFonts w:cs="EUAlbertina"/>
          <w:color w:val="000000"/>
          <w:sz w:val="28"/>
          <w:szCs w:val="28"/>
        </w:rPr>
        <w:t xml:space="preserve">un īstenots </w:t>
      </w:r>
      <w:r w:rsidRPr="00363106">
        <w:rPr>
          <w:rFonts w:cs="EUAlbertina"/>
          <w:color w:val="000000"/>
          <w:sz w:val="28"/>
          <w:szCs w:val="28"/>
        </w:rPr>
        <w:t>atbilstošs koriģējošo pasākumu plāns</w:t>
      </w:r>
      <w:r>
        <w:rPr>
          <w:rFonts w:cs="EUAlbertina"/>
          <w:color w:val="000000"/>
          <w:sz w:val="28"/>
          <w:szCs w:val="28"/>
        </w:rPr>
        <w:t>,</w:t>
      </w:r>
      <w:r w:rsidRPr="00363106">
        <w:rPr>
          <w:rFonts w:cs="EUAlbertina"/>
          <w:color w:val="000000"/>
          <w:sz w:val="28"/>
          <w:szCs w:val="28"/>
        </w:rPr>
        <w:t xml:space="preserve"> pa</w:t>
      </w:r>
      <w:r>
        <w:rPr>
          <w:rFonts w:cs="EUAlbertina"/>
          <w:color w:val="000000"/>
          <w:sz w:val="28"/>
          <w:szCs w:val="28"/>
        </w:rPr>
        <w:t>matojoties uz auditā konstatēto</w:t>
      </w:r>
      <w:r w:rsidRPr="00363106">
        <w:rPr>
          <w:rFonts w:cs="EUAlbertina"/>
          <w:color w:val="000000"/>
          <w:sz w:val="28"/>
          <w:szCs w:val="28"/>
        </w:rPr>
        <w:t xml:space="preserve">. </w:t>
      </w:r>
    </w:p>
    <w:p w:rsidR="00287CD4" w:rsidRPr="00363106" w:rsidRDefault="00287CD4" w:rsidP="00287CD4">
      <w:pPr>
        <w:pStyle w:val="naisf"/>
        <w:tabs>
          <w:tab w:val="left" w:pos="1134"/>
        </w:tabs>
        <w:spacing w:before="0" w:beforeAutospacing="0" w:after="0" w:afterAutospacing="0"/>
        <w:ind w:left="709"/>
        <w:jc w:val="both"/>
        <w:rPr>
          <w:sz w:val="28"/>
          <w:szCs w:val="28"/>
        </w:rPr>
      </w:pPr>
    </w:p>
    <w:p w:rsidR="00287CD4" w:rsidRPr="00BA4E83" w:rsidRDefault="00487178" w:rsidP="00287CD4">
      <w:pPr>
        <w:pStyle w:val="naisf"/>
        <w:numPr>
          <w:ilvl w:val="0"/>
          <w:numId w:val="4"/>
        </w:numPr>
        <w:spacing w:before="0" w:beforeAutospacing="0" w:after="0" w:afterAutospacing="0"/>
        <w:ind w:left="0" w:firstLine="709"/>
        <w:jc w:val="both"/>
        <w:rPr>
          <w:sz w:val="28"/>
          <w:szCs w:val="28"/>
        </w:rPr>
      </w:pPr>
      <w:r w:rsidRPr="00BA4E83">
        <w:rPr>
          <w:sz w:val="28"/>
          <w:szCs w:val="28"/>
        </w:rPr>
        <w:t>Šo noteikumu 15</w:t>
      </w:r>
      <w:r w:rsidR="00287CD4" w:rsidRPr="00BA4E83">
        <w:rPr>
          <w:sz w:val="28"/>
          <w:szCs w:val="28"/>
        </w:rPr>
        <w:t xml:space="preserve">.4.apakšpunktā norīkotā nacionāla līmeņa kontaktpersona </w:t>
      </w:r>
      <w:r w:rsidR="00BA4E83">
        <w:rPr>
          <w:sz w:val="28"/>
          <w:szCs w:val="28"/>
        </w:rPr>
        <w:t xml:space="preserve">darbojas saskaņā ar </w:t>
      </w:r>
      <w:r w:rsidR="00EE728C" w:rsidRPr="00BA4E83">
        <w:rPr>
          <w:sz w:val="28"/>
          <w:szCs w:val="28"/>
        </w:rPr>
        <w:t>atbildīg</w:t>
      </w:r>
      <w:r w:rsidR="00BA4E83">
        <w:rPr>
          <w:sz w:val="28"/>
          <w:szCs w:val="28"/>
        </w:rPr>
        <w:t>ās</w:t>
      </w:r>
      <w:r w:rsidR="00EE728C" w:rsidRPr="00BA4E83">
        <w:rPr>
          <w:sz w:val="28"/>
          <w:szCs w:val="28"/>
        </w:rPr>
        <w:t xml:space="preserve"> persona</w:t>
      </w:r>
      <w:r w:rsidR="00BA4E83">
        <w:rPr>
          <w:sz w:val="28"/>
          <w:szCs w:val="28"/>
        </w:rPr>
        <w:t>s</w:t>
      </w:r>
      <w:r w:rsidR="00EE728C" w:rsidRPr="00BA4E83">
        <w:rPr>
          <w:sz w:val="28"/>
          <w:szCs w:val="28"/>
        </w:rPr>
        <w:t xml:space="preserve"> par </w:t>
      </w:r>
      <w:proofErr w:type="spellStart"/>
      <w:r w:rsidR="00EE728C" w:rsidRPr="00BA4E83">
        <w:rPr>
          <w:sz w:val="28"/>
          <w:szCs w:val="28"/>
        </w:rPr>
        <w:t>far</w:t>
      </w:r>
      <w:r w:rsidRPr="00BA4E83">
        <w:rPr>
          <w:sz w:val="28"/>
          <w:szCs w:val="28"/>
        </w:rPr>
        <w:t>makovigilances</w:t>
      </w:r>
      <w:proofErr w:type="spellEnd"/>
      <w:r w:rsidRPr="00BA4E83">
        <w:rPr>
          <w:sz w:val="28"/>
          <w:szCs w:val="28"/>
        </w:rPr>
        <w:t xml:space="preserve"> darbībām </w:t>
      </w:r>
      <w:r w:rsidR="00BA4E83">
        <w:rPr>
          <w:sz w:val="28"/>
          <w:szCs w:val="28"/>
        </w:rPr>
        <w:t>norādījumiem.</w:t>
      </w:r>
    </w:p>
    <w:p w:rsidR="00287CD4" w:rsidRPr="000A2E4E" w:rsidRDefault="00287CD4" w:rsidP="00287CD4">
      <w:pPr>
        <w:pStyle w:val="naisf"/>
        <w:tabs>
          <w:tab w:val="left" w:pos="1134"/>
        </w:tabs>
        <w:spacing w:before="0" w:beforeAutospacing="0" w:after="0" w:afterAutospacing="0"/>
        <w:ind w:left="709"/>
        <w:jc w:val="both"/>
        <w:rPr>
          <w:sz w:val="28"/>
          <w:szCs w:val="28"/>
        </w:rPr>
      </w:pPr>
    </w:p>
    <w:p w:rsidR="00287CD4" w:rsidRDefault="00911F44" w:rsidP="00287CD4">
      <w:pPr>
        <w:pStyle w:val="naisf"/>
        <w:numPr>
          <w:ilvl w:val="0"/>
          <w:numId w:val="4"/>
        </w:numPr>
        <w:tabs>
          <w:tab w:val="left" w:pos="1134"/>
        </w:tabs>
        <w:spacing w:before="0" w:beforeAutospacing="0" w:after="0" w:afterAutospacing="0"/>
        <w:ind w:left="0" w:firstLine="709"/>
        <w:jc w:val="both"/>
        <w:rPr>
          <w:sz w:val="28"/>
          <w:szCs w:val="28"/>
        </w:rPr>
      </w:pPr>
      <w:r w:rsidRPr="00BA4E83">
        <w:rPr>
          <w:sz w:val="28"/>
          <w:szCs w:val="28"/>
        </w:rPr>
        <w:t>Zāļu</w:t>
      </w:r>
      <w:r>
        <w:rPr>
          <w:sz w:val="28"/>
          <w:szCs w:val="28"/>
        </w:rPr>
        <w:t xml:space="preserve"> r</w:t>
      </w:r>
      <w:r w:rsidR="00287CD4" w:rsidRPr="000A2E4E">
        <w:rPr>
          <w:sz w:val="28"/>
          <w:szCs w:val="28"/>
        </w:rPr>
        <w:t>eģist</w:t>
      </w:r>
      <w:r w:rsidR="00264451">
        <w:rPr>
          <w:sz w:val="28"/>
          <w:szCs w:val="28"/>
        </w:rPr>
        <w:t>rācijas īpašnieks</w:t>
      </w:r>
      <w:r w:rsidR="00287CD4" w:rsidRPr="00853060">
        <w:rPr>
          <w:sz w:val="28"/>
          <w:szCs w:val="28"/>
        </w:rPr>
        <w:t xml:space="preserve"> attiecībā uz zāļu </w:t>
      </w:r>
      <w:proofErr w:type="spellStart"/>
      <w:r w:rsidR="00287CD4" w:rsidRPr="00853060">
        <w:rPr>
          <w:sz w:val="28"/>
          <w:szCs w:val="28"/>
        </w:rPr>
        <w:t>farmakovigilances</w:t>
      </w:r>
      <w:proofErr w:type="spellEnd"/>
      <w:r w:rsidR="00287CD4" w:rsidRPr="00853060">
        <w:rPr>
          <w:sz w:val="28"/>
          <w:szCs w:val="28"/>
        </w:rPr>
        <w:t xml:space="preserve"> datu </w:t>
      </w:r>
      <w:r w:rsidR="00287CD4">
        <w:rPr>
          <w:sz w:val="28"/>
          <w:szCs w:val="28"/>
        </w:rPr>
        <w:t xml:space="preserve">iegūšanu, </w:t>
      </w:r>
      <w:r w:rsidR="00287CD4" w:rsidRPr="00853060">
        <w:rPr>
          <w:sz w:val="28"/>
          <w:szCs w:val="28"/>
        </w:rPr>
        <w:t>reģistrēšanu, ziņošanu un novērtēšanu:</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853060">
        <w:rPr>
          <w:sz w:val="28"/>
          <w:szCs w:val="28"/>
        </w:rPr>
        <w:t xml:space="preserve">reģistrē visas novērotās </w:t>
      </w:r>
      <w:r>
        <w:rPr>
          <w:sz w:val="28"/>
          <w:szCs w:val="28"/>
        </w:rPr>
        <w:t xml:space="preserve">būtiskās </w:t>
      </w:r>
      <w:r w:rsidRPr="00853060">
        <w:rPr>
          <w:sz w:val="28"/>
          <w:szCs w:val="28"/>
        </w:rPr>
        <w:t>iespējamās zāļu blakusparādības, kuras</w:t>
      </w:r>
      <w:r>
        <w:rPr>
          <w:sz w:val="28"/>
          <w:szCs w:val="28"/>
        </w:rPr>
        <w:t xml:space="preserve"> novērotas</w:t>
      </w:r>
      <w:r w:rsidRPr="00853060">
        <w:rPr>
          <w:sz w:val="28"/>
          <w:szCs w:val="28"/>
        </w:rPr>
        <w:t xml:space="preserve"> kādā no </w:t>
      </w:r>
      <w:r>
        <w:rPr>
          <w:sz w:val="28"/>
          <w:szCs w:val="28"/>
        </w:rPr>
        <w:t>EEZ valstīm</w:t>
      </w:r>
      <w:r w:rsidRPr="00853060">
        <w:rPr>
          <w:sz w:val="28"/>
          <w:szCs w:val="28"/>
        </w:rPr>
        <w:t xml:space="preserve"> vai</w:t>
      </w:r>
      <w:r>
        <w:rPr>
          <w:sz w:val="28"/>
          <w:szCs w:val="28"/>
        </w:rPr>
        <w:t xml:space="preserve"> kādā no</w:t>
      </w:r>
      <w:r w:rsidRPr="00853060">
        <w:rPr>
          <w:sz w:val="28"/>
          <w:szCs w:val="28"/>
        </w:rPr>
        <w:t xml:space="preserve"> trešajām valstīm, par kurām tam kļuvis zinā</w:t>
      </w:r>
      <w:r>
        <w:rPr>
          <w:sz w:val="28"/>
          <w:szCs w:val="28"/>
        </w:rPr>
        <w:t>ms no ārstniecības personas</w:t>
      </w:r>
      <w:r w:rsidRPr="00853060">
        <w:rPr>
          <w:sz w:val="28"/>
          <w:szCs w:val="28"/>
        </w:rPr>
        <w:t>, farmaceita</w:t>
      </w:r>
      <w:r>
        <w:rPr>
          <w:sz w:val="28"/>
          <w:szCs w:val="28"/>
        </w:rPr>
        <w:t xml:space="preserve">, pacienta vai </w:t>
      </w:r>
      <w:proofErr w:type="spellStart"/>
      <w:r>
        <w:rPr>
          <w:sz w:val="28"/>
          <w:szCs w:val="28"/>
        </w:rPr>
        <w:t>pēcreģistrācijas</w:t>
      </w:r>
      <w:proofErr w:type="spellEnd"/>
      <w:r>
        <w:rPr>
          <w:sz w:val="28"/>
          <w:szCs w:val="28"/>
        </w:rPr>
        <w:t xml:space="preserve"> pētījuma laikā</w:t>
      </w:r>
      <w:r w:rsidRPr="00853060">
        <w:rPr>
          <w:sz w:val="28"/>
          <w:szCs w:val="28"/>
        </w:rPr>
        <w:t>, un n</w:t>
      </w:r>
      <w:r>
        <w:rPr>
          <w:sz w:val="28"/>
          <w:szCs w:val="28"/>
        </w:rPr>
        <w:t xml:space="preserve">ekavējoties, bet ne vēlāk kā 15 </w:t>
      </w:r>
      <w:r w:rsidRPr="00853060">
        <w:rPr>
          <w:sz w:val="28"/>
          <w:szCs w:val="28"/>
        </w:rPr>
        <w:t xml:space="preserve">dienu laikā pēc informācijas saņemšanas elektroniski nosūta ziņojumu uz Eiropas Savienības blakusparādību ziņojumu datu bāzi (turpmāk – </w:t>
      </w:r>
      <w:proofErr w:type="spellStart"/>
      <w:r w:rsidRPr="00853060">
        <w:rPr>
          <w:sz w:val="28"/>
          <w:szCs w:val="28"/>
        </w:rPr>
        <w:t>Eudravigilances</w:t>
      </w:r>
      <w:proofErr w:type="spellEnd"/>
      <w:r w:rsidRPr="00853060">
        <w:rPr>
          <w:sz w:val="28"/>
          <w:szCs w:val="28"/>
        </w:rPr>
        <w:t xml:space="preserve"> datu bāze</w:t>
      </w:r>
      <w:r w:rsidRPr="001E5D07">
        <w:rPr>
          <w:sz w:val="28"/>
          <w:szCs w:val="28"/>
        </w:rPr>
        <w:t>);</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853060">
        <w:rPr>
          <w:sz w:val="28"/>
          <w:szCs w:val="28"/>
        </w:rPr>
        <w:t xml:space="preserve">reģistrē visas </w:t>
      </w:r>
      <w:r>
        <w:rPr>
          <w:sz w:val="28"/>
          <w:szCs w:val="28"/>
        </w:rPr>
        <w:t xml:space="preserve">novērotās </w:t>
      </w:r>
      <w:r w:rsidRPr="00853060">
        <w:rPr>
          <w:sz w:val="28"/>
          <w:szCs w:val="28"/>
        </w:rPr>
        <w:t xml:space="preserve">mazāk būtiskās iespējamās </w:t>
      </w:r>
      <w:r>
        <w:rPr>
          <w:sz w:val="28"/>
          <w:szCs w:val="28"/>
        </w:rPr>
        <w:t xml:space="preserve">zāļu </w:t>
      </w:r>
      <w:r w:rsidRPr="00853060">
        <w:rPr>
          <w:sz w:val="28"/>
          <w:szCs w:val="28"/>
        </w:rPr>
        <w:t>blakusparādības,</w:t>
      </w:r>
      <w:r>
        <w:rPr>
          <w:sz w:val="28"/>
          <w:szCs w:val="28"/>
        </w:rPr>
        <w:t xml:space="preserve"> kuras novērotas kādā no EEZ</w:t>
      </w:r>
      <w:r w:rsidR="005A172C">
        <w:rPr>
          <w:sz w:val="28"/>
          <w:szCs w:val="28"/>
        </w:rPr>
        <w:t xml:space="preserve"> valstīm</w:t>
      </w:r>
      <w:r>
        <w:rPr>
          <w:sz w:val="28"/>
          <w:szCs w:val="28"/>
        </w:rPr>
        <w:t xml:space="preserve"> un ne vēlāk kā 90 </w:t>
      </w:r>
      <w:r w:rsidRPr="00853060">
        <w:rPr>
          <w:sz w:val="28"/>
          <w:szCs w:val="28"/>
        </w:rPr>
        <w:t xml:space="preserve">dienu laikā pēc informācijas saņemšanas elektroniski nosūta ziņojumu uz </w:t>
      </w:r>
      <w:proofErr w:type="spellStart"/>
      <w:r w:rsidRPr="00853060">
        <w:rPr>
          <w:sz w:val="28"/>
          <w:szCs w:val="28"/>
        </w:rPr>
        <w:t>Eudravigilances</w:t>
      </w:r>
      <w:proofErr w:type="spellEnd"/>
      <w:r w:rsidRPr="00853060">
        <w:rPr>
          <w:sz w:val="28"/>
          <w:szCs w:val="28"/>
        </w:rPr>
        <w:t xml:space="preserve"> datu b</w:t>
      </w:r>
      <w:r>
        <w:rPr>
          <w:sz w:val="28"/>
          <w:szCs w:val="28"/>
        </w:rPr>
        <w:t>āzi</w:t>
      </w:r>
      <w:r w:rsidRPr="00853060">
        <w:rPr>
          <w:sz w:val="28"/>
          <w:szCs w:val="28"/>
        </w:rPr>
        <w:t xml:space="preserve">; </w:t>
      </w:r>
    </w:p>
    <w:p w:rsidR="00287CD4" w:rsidRPr="00853060" w:rsidRDefault="00487178" w:rsidP="00287CD4">
      <w:pPr>
        <w:pStyle w:val="naisf"/>
        <w:numPr>
          <w:ilvl w:val="1"/>
          <w:numId w:val="4"/>
        </w:numPr>
        <w:tabs>
          <w:tab w:val="left" w:pos="1134"/>
        </w:tabs>
        <w:spacing w:before="0" w:beforeAutospacing="0" w:after="0" w:afterAutospacing="0"/>
        <w:ind w:left="0" w:firstLine="709"/>
        <w:jc w:val="both"/>
        <w:rPr>
          <w:sz w:val="28"/>
          <w:szCs w:val="28"/>
        </w:rPr>
      </w:pPr>
      <w:r>
        <w:rPr>
          <w:rFonts w:cs="EUAlbertina"/>
          <w:color w:val="000000"/>
          <w:sz w:val="28"/>
          <w:szCs w:val="28"/>
        </w:rPr>
        <w:t>nodrošina, lai šo noteikumu 17.1. un 17</w:t>
      </w:r>
      <w:r w:rsidR="00287CD4" w:rsidRPr="00853060">
        <w:rPr>
          <w:rFonts w:cs="EUAlbertina"/>
          <w:color w:val="000000"/>
          <w:sz w:val="28"/>
          <w:szCs w:val="28"/>
        </w:rPr>
        <w:t>.2. apakšpunktā minētie</w:t>
      </w:r>
      <w:r w:rsidR="00287CD4">
        <w:rPr>
          <w:rFonts w:cs="EUAlbertina"/>
          <w:color w:val="000000"/>
          <w:sz w:val="28"/>
          <w:szCs w:val="28"/>
        </w:rPr>
        <w:t xml:space="preserve"> ziņojumi būtu pieejami </w:t>
      </w:r>
      <w:proofErr w:type="spellStart"/>
      <w:r w:rsidR="00287CD4">
        <w:rPr>
          <w:rFonts w:cs="EUAlbertina"/>
          <w:color w:val="000000"/>
          <w:sz w:val="28"/>
          <w:szCs w:val="28"/>
        </w:rPr>
        <w:t>Eudravigilances</w:t>
      </w:r>
      <w:proofErr w:type="spellEnd"/>
      <w:r w:rsidR="00287CD4">
        <w:rPr>
          <w:rFonts w:cs="EUAlbertina"/>
          <w:color w:val="000000"/>
          <w:sz w:val="28"/>
          <w:szCs w:val="28"/>
        </w:rPr>
        <w:t xml:space="preserve"> datu bāzē</w:t>
      </w:r>
      <w:r w:rsidR="00287CD4" w:rsidRPr="00853060">
        <w:rPr>
          <w:rFonts w:cs="EUAlbertina"/>
          <w:color w:val="000000"/>
          <w:sz w:val="28"/>
          <w:szCs w:val="28"/>
        </w:rPr>
        <w:t>;</w:t>
      </w:r>
    </w:p>
    <w:p w:rsidR="00287CD4" w:rsidRPr="00853060"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853060">
        <w:rPr>
          <w:rFonts w:cs="EUAlbertina"/>
          <w:color w:val="000000"/>
          <w:sz w:val="28"/>
          <w:szCs w:val="28"/>
        </w:rPr>
        <w:t xml:space="preserve">pieņem un </w:t>
      </w:r>
      <w:r>
        <w:rPr>
          <w:rFonts w:cs="EUAlbertina"/>
          <w:color w:val="000000"/>
          <w:sz w:val="28"/>
          <w:szCs w:val="28"/>
        </w:rPr>
        <w:t>izskata</w:t>
      </w:r>
      <w:r w:rsidRPr="00853060">
        <w:rPr>
          <w:rFonts w:cs="EUAlbertina"/>
          <w:color w:val="000000"/>
          <w:sz w:val="28"/>
          <w:szCs w:val="28"/>
        </w:rPr>
        <w:t xml:space="preserve"> </w:t>
      </w:r>
      <w:r>
        <w:rPr>
          <w:rFonts w:cs="EUAlbertina"/>
          <w:color w:val="000000"/>
          <w:sz w:val="28"/>
          <w:szCs w:val="28"/>
        </w:rPr>
        <w:t xml:space="preserve">Zāļu valsts aģentūras, </w:t>
      </w:r>
      <w:r w:rsidRPr="00853060">
        <w:rPr>
          <w:rFonts w:cs="EUAlbertina"/>
          <w:color w:val="000000"/>
          <w:sz w:val="28"/>
          <w:szCs w:val="28"/>
        </w:rPr>
        <w:t>ārstniecības personu</w:t>
      </w:r>
      <w:r>
        <w:rPr>
          <w:rFonts w:cs="EUAlbertina"/>
          <w:color w:val="000000"/>
          <w:sz w:val="28"/>
          <w:szCs w:val="28"/>
        </w:rPr>
        <w:t>, farmaceitu</w:t>
      </w:r>
      <w:r w:rsidRPr="00853060">
        <w:rPr>
          <w:rFonts w:cs="EUAlbertina"/>
          <w:color w:val="000000"/>
          <w:sz w:val="28"/>
          <w:szCs w:val="28"/>
        </w:rPr>
        <w:t xml:space="preserve"> un pacientu sniegtos ziņojumus par iespējamām </w:t>
      </w:r>
      <w:r w:rsidR="009528DE">
        <w:rPr>
          <w:rFonts w:cs="EUAlbertina"/>
          <w:color w:val="000000"/>
          <w:sz w:val="28"/>
          <w:szCs w:val="28"/>
        </w:rPr>
        <w:t xml:space="preserve">zāļu </w:t>
      </w:r>
      <w:r w:rsidRPr="00853060">
        <w:rPr>
          <w:rFonts w:cs="EUAlbertina"/>
          <w:color w:val="000000"/>
          <w:sz w:val="28"/>
          <w:szCs w:val="28"/>
        </w:rPr>
        <w:t>blakusparādībām;</w:t>
      </w:r>
    </w:p>
    <w:p w:rsidR="00287CD4" w:rsidRPr="00B5061E"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 xml:space="preserve"> izstrādā</w:t>
      </w:r>
      <w:r w:rsidRPr="00853060">
        <w:rPr>
          <w:sz w:val="28"/>
          <w:szCs w:val="28"/>
        </w:rPr>
        <w:t xml:space="preserve"> ra</w:t>
      </w:r>
      <w:r>
        <w:rPr>
          <w:sz w:val="28"/>
          <w:szCs w:val="28"/>
        </w:rPr>
        <w:t>kstiskas procedūras, lai iegūtu precīzus un pārbaudāmus datus</w:t>
      </w:r>
      <w:r w:rsidRPr="00853060">
        <w:rPr>
          <w:sz w:val="28"/>
          <w:szCs w:val="28"/>
        </w:rPr>
        <w:t xml:space="preserve"> ziņojumam par</w:t>
      </w:r>
      <w:r>
        <w:rPr>
          <w:sz w:val="28"/>
          <w:szCs w:val="28"/>
        </w:rPr>
        <w:t xml:space="preserve"> iespējamām </w:t>
      </w:r>
      <w:r w:rsidR="009528DE">
        <w:rPr>
          <w:sz w:val="28"/>
          <w:szCs w:val="28"/>
        </w:rPr>
        <w:t xml:space="preserve">zāļu </w:t>
      </w:r>
      <w:r>
        <w:rPr>
          <w:sz w:val="28"/>
          <w:szCs w:val="28"/>
        </w:rPr>
        <w:t>blakusparādībām zinātniskai vērtēšanai</w:t>
      </w:r>
      <w:r w:rsidRPr="00853060">
        <w:rPr>
          <w:sz w:val="28"/>
          <w:szCs w:val="28"/>
        </w:rPr>
        <w:t>, kā arī</w:t>
      </w:r>
      <w:r>
        <w:rPr>
          <w:sz w:val="28"/>
          <w:szCs w:val="28"/>
        </w:rPr>
        <w:t xml:space="preserve"> papildinformāciju par zāļu blakusparādību ziņojumu;</w:t>
      </w:r>
    </w:p>
    <w:p w:rsidR="00287CD4" w:rsidRPr="00DD0D9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853060">
        <w:rPr>
          <w:rFonts w:cs="EUAlbertina"/>
          <w:color w:val="000000"/>
          <w:sz w:val="28"/>
          <w:szCs w:val="28"/>
        </w:rPr>
        <w:t xml:space="preserve">sadarbojas ar </w:t>
      </w:r>
      <w:r>
        <w:rPr>
          <w:rFonts w:cs="EUAlbertina"/>
          <w:color w:val="000000"/>
          <w:sz w:val="28"/>
          <w:szCs w:val="28"/>
        </w:rPr>
        <w:t>Eiropas Z</w:t>
      </w:r>
      <w:r w:rsidRPr="00853060">
        <w:rPr>
          <w:rFonts w:cs="EUAlbertina"/>
          <w:color w:val="000000"/>
          <w:sz w:val="28"/>
          <w:szCs w:val="28"/>
        </w:rPr>
        <w:t xml:space="preserve">āļu aģentūru un </w:t>
      </w:r>
      <w:r>
        <w:rPr>
          <w:rFonts w:cs="EUAlbertina"/>
          <w:color w:val="000000"/>
          <w:sz w:val="28"/>
          <w:szCs w:val="28"/>
        </w:rPr>
        <w:t>EEZ valstu kompetentajām institūcijām</w:t>
      </w:r>
      <w:r w:rsidRPr="00853060">
        <w:rPr>
          <w:rFonts w:cs="EUAlbertina"/>
          <w:color w:val="000000"/>
          <w:sz w:val="28"/>
          <w:szCs w:val="28"/>
        </w:rPr>
        <w:t xml:space="preserve">, lai atklātu ziņojumu par iespējamu </w:t>
      </w:r>
      <w:r w:rsidR="009528DE" w:rsidRPr="00BA4E83">
        <w:rPr>
          <w:rFonts w:cs="EUAlbertina"/>
          <w:color w:val="000000"/>
          <w:sz w:val="28"/>
          <w:szCs w:val="28"/>
        </w:rPr>
        <w:t>zāļu</w:t>
      </w:r>
      <w:r w:rsidR="009528DE">
        <w:rPr>
          <w:rFonts w:cs="EUAlbertina"/>
          <w:color w:val="000000"/>
          <w:sz w:val="28"/>
          <w:szCs w:val="28"/>
        </w:rPr>
        <w:t xml:space="preserve"> </w:t>
      </w:r>
      <w:r w:rsidRPr="00853060">
        <w:rPr>
          <w:rFonts w:cs="EUAlbertina"/>
          <w:color w:val="000000"/>
          <w:sz w:val="28"/>
          <w:szCs w:val="28"/>
        </w:rPr>
        <w:t>blakusparādību dublēšanos</w:t>
      </w:r>
      <w:r>
        <w:rPr>
          <w:rFonts w:cs="EUAlbertina"/>
          <w:color w:val="000000"/>
          <w:sz w:val="28"/>
          <w:szCs w:val="28"/>
        </w:rPr>
        <w:t>;</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saskaņā ar šo noteikumu V. nodaļu elektroniski iesniedz Eiropas Z</w:t>
      </w:r>
      <w:r w:rsidRPr="00DD0D94">
        <w:rPr>
          <w:sz w:val="28"/>
          <w:szCs w:val="28"/>
        </w:rPr>
        <w:t>āļu aģentūrai periodiski atjauninā</w:t>
      </w:r>
      <w:r>
        <w:rPr>
          <w:sz w:val="28"/>
          <w:szCs w:val="28"/>
        </w:rPr>
        <w:t>mos</w:t>
      </w:r>
      <w:r w:rsidRPr="00DD0D94">
        <w:rPr>
          <w:sz w:val="28"/>
          <w:szCs w:val="28"/>
        </w:rPr>
        <w:t xml:space="preserve"> zāļu drošuma ziņojumus (turpmāk – periodiskie ziņojumi)</w:t>
      </w:r>
      <w:r>
        <w:rPr>
          <w:sz w:val="28"/>
          <w:szCs w:val="28"/>
        </w:rPr>
        <w:t>;</w:t>
      </w:r>
      <w:r w:rsidRPr="00DD0D94">
        <w:rPr>
          <w:sz w:val="28"/>
          <w:szCs w:val="28"/>
        </w:rPr>
        <w:t xml:space="preserve"> </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62161E">
        <w:rPr>
          <w:sz w:val="28"/>
          <w:szCs w:val="28"/>
        </w:rPr>
        <w:t>zāļu reģistrēšanas dokumentācijas izmaiņu gadījumā iesniedz Zāļu valsts aģentūrai iesniegumu par izmaiņām</w:t>
      </w:r>
      <w:r w:rsidR="000934F6">
        <w:rPr>
          <w:sz w:val="28"/>
          <w:szCs w:val="28"/>
        </w:rPr>
        <w:t>, pievienojot atjauninātu zāļu aprakstu un zāļu apraksta kopsavilkumu</w:t>
      </w:r>
      <w:r w:rsidRPr="0062161E">
        <w:rPr>
          <w:sz w:val="28"/>
          <w:szCs w:val="28"/>
        </w:rPr>
        <w:t xml:space="preserve"> saskaņā ar </w:t>
      </w:r>
      <w:r w:rsidR="00805642" w:rsidRPr="00BA4E83">
        <w:rPr>
          <w:sz w:val="28"/>
          <w:szCs w:val="28"/>
        </w:rPr>
        <w:t>normatīvajiem aktiem</w:t>
      </w:r>
      <w:r w:rsidRPr="0062161E">
        <w:rPr>
          <w:sz w:val="28"/>
          <w:szCs w:val="28"/>
        </w:rPr>
        <w:t xml:space="preserve"> par zāļu reģistrēšan</w:t>
      </w:r>
      <w:r w:rsidR="00D57081">
        <w:rPr>
          <w:sz w:val="28"/>
          <w:szCs w:val="28"/>
        </w:rPr>
        <w:t>as kārtību</w:t>
      </w:r>
      <w:r w:rsidRPr="0062161E">
        <w:rPr>
          <w:sz w:val="28"/>
          <w:szCs w:val="28"/>
        </w:rPr>
        <w:t xml:space="preserve">; </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62161E">
        <w:rPr>
          <w:sz w:val="28"/>
          <w:szCs w:val="28"/>
        </w:rPr>
        <w:lastRenderedPageBreak/>
        <w:t xml:space="preserve">informē Eiropas Zāļu aģentūru un Zāļu valsts aģentūru, ja ir parādījušies jauni riski, mainījušies esošie riski vai ir </w:t>
      </w:r>
      <w:r>
        <w:rPr>
          <w:sz w:val="28"/>
          <w:szCs w:val="28"/>
        </w:rPr>
        <w:t xml:space="preserve">atklātas riska un guvuma </w:t>
      </w:r>
      <w:r w:rsidRPr="0062161E">
        <w:rPr>
          <w:sz w:val="28"/>
          <w:szCs w:val="28"/>
        </w:rPr>
        <w:t xml:space="preserve">izmaiņas. </w:t>
      </w:r>
    </w:p>
    <w:p w:rsidR="00287CD4" w:rsidRPr="0062161E" w:rsidRDefault="00287CD4" w:rsidP="00287CD4">
      <w:pPr>
        <w:pStyle w:val="naisf"/>
        <w:tabs>
          <w:tab w:val="left" w:pos="1134"/>
        </w:tabs>
        <w:spacing w:before="0" w:beforeAutospacing="0" w:after="0" w:afterAutospacing="0"/>
        <w:ind w:left="709"/>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sidRPr="00913EB1">
        <w:rPr>
          <w:sz w:val="28"/>
          <w:szCs w:val="28"/>
        </w:rPr>
        <w:t>Ziņojot par zāļu blakusparādībām, izmanto starp</w:t>
      </w:r>
      <w:r>
        <w:rPr>
          <w:sz w:val="28"/>
          <w:szCs w:val="28"/>
        </w:rPr>
        <w:t>tautiski pieņemto terminoloģiju</w:t>
      </w:r>
      <w:r w:rsidR="000423A8">
        <w:rPr>
          <w:sz w:val="28"/>
          <w:szCs w:val="28"/>
        </w:rPr>
        <w:t xml:space="preserve"> saskaņā ar </w:t>
      </w:r>
      <w:r w:rsidR="000423A8">
        <w:rPr>
          <w:color w:val="000000"/>
          <w:sz w:val="28"/>
          <w:szCs w:val="28"/>
        </w:rPr>
        <w:t>Regulas Nr.520/2012 25.pantu.</w:t>
      </w:r>
    </w:p>
    <w:p w:rsidR="00287CD4" w:rsidRPr="0062161E" w:rsidRDefault="00287CD4" w:rsidP="00287CD4">
      <w:pPr>
        <w:pStyle w:val="naisf"/>
        <w:tabs>
          <w:tab w:val="left" w:pos="1134"/>
        </w:tabs>
        <w:spacing w:before="0" w:beforeAutospacing="0" w:after="0" w:afterAutospacing="0"/>
        <w:ind w:left="709"/>
        <w:jc w:val="both"/>
        <w:rPr>
          <w:sz w:val="28"/>
          <w:szCs w:val="28"/>
        </w:rPr>
      </w:pPr>
    </w:p>
    <w:p w:rsidR="00287CD4" w:rsidRDefault="00264451" w:rsidP="00287CD4">
      <w:pPr>
        <w:pStyle w:val="naisf"/>
        <w:numPr>
          <w:ilvl w:val="0"/>
          <w:numId w:val="4"/>
        </w:numPr>
        <w:tabs>
          <w:tab w:val="left" w:pos="1134"/>
        </w:tabs>
        <w:spacing w:before="0" w:beforeAutospacing="0" w:after="0" w:afterAutospacing="0"/>
        <w:ind w:left="0" w:firstLine="709"/>
        <w:jc w:val="both"/>
        <w:rPr>
          <w:sz w:val="28"/>
          <w:szCs w:val="28"/>
        </w:rPr>
      </w:pPr>
      <w:r>
        <w:rPr>
          <w:sz w:val="28"/>
          <w:szCs w:val="28"/>
        </w:rPr>
        <w:t xml:space="preserve"> </w:t>
      </w:r>
      <w:r w:rsidR="00805642" w:rsidRPr="00BA4E83">
        <w:rPr>
          <w:sz w:val="28"/>
          <w:szCs w:val="28"/>
        </w:rPr>
        <w:t>Zāļu</w:t>
      </w:r>
      <w:r w:rsidR="00805642">
        <w:rPr>
          <w:sz w:val="28"/>
          <w:szCs w:val="28"/>
        </w:rPr>
        <w:t xml:space="preserve"> r</w:t>
      </w:r>
      <w:r w:rsidR="00287CD4" w:rsidRPr="0006250A">
        <w:rPr>
          <w:sz w:val="28"/>
          <w:szCs w:val="28"/>
        </w:rPr>
        <w:t>eģistrāci</w:t>
      </w:r>
      <w:r>
        <w:rPr>
          <w:sz w:val="28"/>
          <w:szCs w:val="28"/>
        </w:rPr>
        <w:t xml:space="preserve">jas </w:t>
      </w:r>
      <w:r w:rsidR="00287CD4">
        <w:rPr>
          <w:sz w:val="28"/>
          <w:szCs w:val="28"/>
        </w:rPr>
        <w:t>īpašniek</w:t>
      </w:r>
      <w:r w:rsidR="004E7C2F" w:rsidRPr="00E736B7">
        <w:rPr>
          <w:b/>
          <w:sz w:val="28"/>
          <w:szCs w:val="28"/>
        </w:rPr>
        <w:t>s</w:t>
      </w:r>
      <w:r w:rsidR="00287CD4">
        <w:rPr>
          <w:sz w:val="28"/>
          <w:szCs w:val="28"/>
        </w:rPr>
        <w:t xml:space="preserve"> pirms informācijas publiskošanas</w:t>
      </w:r>
      <w:r w:rsidR="00287CD4" w:rsidRPr="0006250A">
        <w:rPr>
          <w:sz w:val="28"/>
          <w:szCs w:val="28"/>
        </w:rPr>
        <w:t xml:space="preserve"> pla</w:t>
      </w:r>
      <w:r w:rsidR="00287CD4" w:rsidRPr="00085DC0">
        <w:rPr>
          <w:sz w:val="28"/>
          <w:szCs w:val="28"/>
        </w:rPr>
        <w:t>šai sabiedrībai par izplatīšanai</w:t>
      </w:r>
      <w:r w:rsidR="00287CD4">
        <w:rPr>
          <w:sz w:val="28"/>
          <w:szCs w:val="28"/>
        </w:rPr>
        <w:t xml:space="preserve"> atļauto zāļu lietošanas drošumu </w:t>
      </w:r>
      <w:r w:rsidR="00287CD4" w:rsidRPr="00BA4E83">
        <w:rPr>
          <w:sz w:val="28"/>
          <w:szCs w:val="28"/>
        </w:rPr>
        <w:t>informē</w:t>
      </w:r>
      <w:r w:rsidR="00287CD4" w:rsidRPr="00E736B7">
        <w:rPr>
          <w:b/>
          <w:sz w:val="28"/>
          <w:szCs w:val="28"/>
        </w:rPr>
        <w:t xml:space="preserve"> </w:t>
      </w:r>
      <w:r w:rsidR="00287CD4">
        <w:rPr>
          <w:sz w:val="28"/>
          <w:szCs w:val="28"/>
        </w:rPr>
        <w:t>Zāļu valsts aģentūru, Eiropas Zāļu aģentūru un Eiropas Komisiju</w:t>
      </w:r>
      <w:r>
        <w:rPr>
          <w:sz w:val="28"/>
          <w:szCs w:val="28"/>
        </w:rPr>
        <w:t xml:space="preserve">. </w:t>
      </w:r>
      <w:r w:rsidR="00805642" w:rsidRPr="00BA4E83">
        <w:rPr>
          <w:sz w:val="28"/>
          <w:szCs w:val="28"/>
        </w:rPr>
        <w:t>Zāļu</w:t>
      </w:r>
      <w:r w:rsidR="00805642" w:rsidRPr="00805642">
        <w:rPr>
          <w:b/>
          <w:sz w:val="28"/>
          <w:szCs w:val="28"/>
        </w:rPr>
        <w:t xml:space="preserve"> </w:t>
      </w:r>
      <w:r w:rsidR="00805642">
        <w:rPr>
          <w:sz w:val="28"/>
          <w:szCs w:val="28"/>
        </w:rPr>
        <w:t>r</w:t>
      </w:r>
      <w:r w:rsidR="00287CD4" w:rsidRPr="00085DC0">
        <w:rPr>
          <w:sz w:val="28"/>
          <w:szCs w:val="28"/>
        </w:rPr>
        <w:t>eģistr</w:t>
      </w:r>
      <w:r>
        <w:rPr>
          <w:sz w:val="28"/>
          <w:szCs w:val="28"/>
        </w:rPr>
        <w:t xml:space="preserve">ācijas </w:t>
      </w:r>
      <w:r w:rsidR="00287CD4">
        <w:rPr>
          <w:sz w:val="28"/>
          <w:szCs w:val="28"/>
        </w:rPr>
        <w:t>īpa</w:t>
      </w:r>
      <w:r>
        <w:rPr>
          <w:sz w:val="28"/>
          <w:szCs w:val="28"/>
        </w:rPr>
        <w:t>šnieks</w:t>
      </w:r>
      <w:r w:rsidR="00287CD4">
        <w:rPr>
          <w:sz w:val="28"/>
          <w:szCs w:val="28"/>
        </w:rPr>
        <w:t xml:space="preserve"> </w:t>
      </w:r>
      <w:r w:rsidR="00287CD4" w:rsidRPr="00085DC0">
        <w:rPr>
          <w:sz w:val="28"/>
          <w:szCs w:val="28"/>
        </w:rPr>
        <w:t xml:space="preserve">nodrošina, lai sniegtā informācija būtu objektīva. Tā nedrīkst būt maldinoša. </w:t>
      </w:r>
    </w:p>
    <w:p w:rsidR="00287CD4" w:rsidRDefault="00287CD4" w:rsidP="00287CD4">
      <w:pPr>
        <w:pStyle w:val="naisf"/>
        <w:tabs>
          <w:tab w:val="left" w:pos="1134"/>
        </w:tabs>
        <w:spacing w:before="0" w:beforeAutospacing="0" w:after="0" w:afterAutospacing="0"/>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Pr>
          <w:sz w:val="28"/>
          <w:szCs w:val="28"/>
        </w:rPr>
        <w:t xml:space="preserve">Klīniskajā izpētē atklātās iespējamās </w:t>
      </w:r>
      <w:r w:rsidR="009528DE" w:rsidRPr="00BA4E83">
        <w:rPr>
          <w:sz w:val="28"/>
          <w:szCs w:val="28"/>
        </w:rPr>
        <w:t>zāļu</w:t>
      </w:r>
      <w:r w:rsidR="009528DE">
        <w:rPr>
          <w:sz w:val="28"/>
          <w:szCs w:val="28"/>
        </w:rPr>
        <w:t xml:space="preserve"> </w:t>
      </w:r>
      <w:r>
        <w:rPr>
          <w:sz w:val="28"/>
          <w:szCs w:val="28"/>
        </w:rPr>
        <w:t xml:space="preserve">blakusparādības reģistrē saskaņā ar </w:t>
      </w:r>
      <w:r w:rsidR="00805642" w:rsidRPr="00BA4E83">
        <w:rPr>
          <w:sz w:val="28"/>
          <w:szCs w:val="28"/>
        </w:rPr>
        <w:t>normatīvajiem aktiem</w:t>
      </w:r>
      <w:r>
        <w:rPr>
          <w:sz w:val="28"/>
          <w:szCs w:val="28"/>
        </w:rPr>
        <w:t xml:space="preserve"> par zāļu klīniskās izpētes un lietošanas novērojumu veikšanas kārtību.</w:t>
      </w:r>
    </w:p>
    <w:p w:rsidR="00287CD4" w:rsidRDefault="00287CD4" w:rsidP="0006011E">
      <w:pPr>
        <w:pStyle w:val="naisf"/>
        <w:tabs>
          <w:tab w:val="left" w:pos="1134"/>
        </w:tabs>
        <w:spacing w:before="0" w:beforeAutospacing="0" w:after="0" w:afterAutospacing="0"/>
        <w:jc w:val="both"/>
        <w:rPr>
          <w:sz w:val="28"/>
          <w:szCs w:val="28"/>
        </w:rPr>
      </w:pPr>
    </w:p>
    <w:p w:rsidR="00287CD4" w:rsidRPr="00363106" w:rsidRDefault="00287CD4" w:rsidP="0006011E">
      <w:pPr>
        <w:pStyle w:val="naisf"/>
        <w:tabs>
          <w:tab w:val="left" w:pos="1134"/>
        </w:tabs>
        <w:spacing w:before="0" w:beforeAutospacing="0" w:after="0" w:afterAutospacing="0"/>
        <w:ind w:firstLine="709"/>
        <w:jc w:val="center"/>
        <w:rPr>
          <w:b/>
          <w:sz w:val="28"/>
          <w:szCs w:val="28"/>
        </w:rPr>
      </w:pPr>
      <w:r>
        <w:rPr>
          <w:b/>
          <w:sz w:val="28"/>
          <w:szCs w:val="28"/>
        </w:rPr>
        <w:t>IV. Zāļu valsts aģentūras pienākumi</w:t>
      </w:r>
    </w:p>
    <w:p w:rsidR="00287CD4" w:rsidRDefault="00287CD4" w:rsidP="0006011E">
      <w:pPr>
        <w:pStyle w:val="naisf"/>
        <w:tabs>
          <w:tab w:val="left" w:pos="1134"/>
        </w:tabs>
        <w:spacing w:before="0" w:beforeAutospacing="0" w:after="0" w:afterAutospacing="0"/>
        <w:ind w:firstLine="709"/>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sidRPr="00245C0B">
        <w:rPr>
          <w:sz w:val="28"/>
          <w:szCs w:val="28"/>
        </w:rPr>
        <w:t xml:space="preserve">Zāļu valsts </w:t>
      </w:r>
      <w:r>
        <w:rPr>
          <w:sz w:val="28"/>
          <w:szCs w:val="28"/>
        </w:rPr>
        <w:t>aģentūra:</w:t>
      </w:r>
    </w:p>
    <w:p w:rsidR="00287CD4" w:rsidRPr="008C75C5"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 xml:space="preserve"> reģistrē visas iespējamās</w:t>
      </w:r>
      <w:r w:rsidRPr="009553C6">
        <w:rPr>
          <w:sz w:val="28"/>
          <w:szCs w:val="28"/>
        </w:rPr>
        <w:t xml:space="preserve"> </w:t>
      </w:r>
      <w:r w:rsidR="009528DE" w:rsidRPr="00BA4E83">
        <w:rPr>
          <w:sz w:val="28"/>
          <w:szCs w:val="28"/>
        </w:rPr>
        <w:t>zāļu</w:t>
      </w:r>
      <w:r w:rsidR="009528DE">
        <w:rPr>
          <w:sz w:val="28"/>
          <w:szCs w:val="28"/>
        </w:rPr>
        <w:t xml:space="preserve"> </w:t>
      </w:r>
      <w:r w:rsidRPr="009553C6">
        <w:rPr>
          <w:sz w:val="28"/>
          <w:szCs w:val="28"/>
        </w:rPr>
        <w:t>bl</w:t>
      </w:r>
      <w:r>
        <w:rPr>
          <w:sz w:val="28"/>
          <w:szCs w:val="28"/>
        </w:rPr>
        <w:t>akusparādības, kas novērotas Latvijas Republikas teritorijā un par kurām ziņojušas ārstniecības personas, farmaceiti vai</w:t>
      </w:r>
      <w:r w:rsidRPr="009553C6">
        <w:rPr>
          <w:sz w:val="28"/>
          <w:szCs w:val="28"/>
        </w:rPr>
        <w:t xml:space="preserve"> pacienti</w:t>
      </w:r>
      <w:r>
        <w:rPr>
          <w:sz w:val="28"/>
          <w:szCs w:val="28"/>
        </w:rPr>
        <w:t xml:space="preserve">; </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245C0B">
        <w:rPr>
          <w:sz w:val="28"/>
          <w:szCs w:val="28"/>
        </w:rPr>
        <w:t xml:space="preserve">nekavējoties publisko </w:t>
      </w:r>
      <w:r>
        <w:rPr>
          <w:sz w:val="28"/>
          <w:szCs w:val="28"/>
        </w:rPr>
        <w:t xml:space="preserve">informāciju </w:t>
      </w:r>
      <w:r w:rsidRPr="00245C0B">
        <w:rPr>
          <w:sz w:val="28"/>
          <w:szCs w:val="28"/>
        </w:rPr>
        <w:t xml:space="preserve">par novērotajām </w:t>
      </w:r>
      <w:proofErr w:type="spellStart"/>
      <w:r w:rsidRPr="00245C0B">
        <w:rPr>
          <w:sz w:val="28"/>
          <w:szCs w:val="28"/>
        </w:rPr>
        <w:t>fa</w:t>
      </w:r>
      <w:r>
        <w:rPr>
          <w:sz w:val="28"/>
          <w:szCs w:val="28"/>
        </w:rPr>
        <w:t>rmakovigilances</w:t>
      </w:r>
      <w:proofErr w:type="spellEnd"/>
      <w:r>
        <w:rPr>
          <w:sz w:val="28"/>
          <w:szCs w:val="28"/>
        </w:rPr>
        <w:t xml:space="preserve"> problēmām, ja tā</w:t>
      </w:r>
      <w:r w:rsidRPr="00245C0B">
        <w:rPr>
          <w:sz w:val="28"/>
          <w:szCs w:val="28"/>
        </w:rPr>
        <w:t>s</w:t>
      </w:r>
      <w:r>
        <w:rPr>
          <w:sz w:val="28"/>
          <w:szCs w:val="28"/>
        </w:rPr>
        <w:t xml:space="preserve"> nopietni</w:t>
      </w:r>
      <w:r w:rsidRPr="00245C0B">
        <w:rPr>
          <w:sz w:val="28"/>
          <w:szCs w:val="28"/>
        </w:rPr>
        <w:t xml:space="preserve"> apdraud sabiedrības veselību</w:t>
      </w:r>
      <w:r>
        <w:rPr>
          <w:sz w:val="28"/>
          <w:szCs w:val="28"/>
        </w:rPr>
        <w:t>;</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245C0B">
        <w:rPr>
          <w:sz w:val="28"/>
          <w:szCs w:val="28"/>
        </w:rPr>
        <w:t xml:space="preserve">ne vēlāk kā 24 </w:t>
      </w:r>
      <w:r>
        <w:rPr>
          <w:sz w:val="28"/>
          <w:szCs w:val="28"/>
        </w:rPr>
        <w:t>stundas</w:t>
      </w:r>
      <w:r w:rsidRPr="00245C0B">
        <w:rPr>
          <w:sz w:val="28"/>
          <w:szCs w:val="28"/>
        </w:rPr>
        <w:t xml:space="preserve"> </w:t>
      </w:r>
      <w:r w:rsidRPr="00BA4E83">
        <w:rPr>
          <w:sz w:val="28"/>
          <w:szCs w:val="28"/>
        </w:rPr>
        <w:t xml:space="preserve">pirms </w:t>
      </w:r>
      <w:r w:rsidR="00487178" w:rsidRPr="00BA4E83">
        <w:rPr>
          <w:sz w:val="28"/>
          <w:szCs w:val="28"/>
        </w:rPr>
        <w:t>informācijas publiskošanas</w:t>
      </w:r>
      <w:r w:rsidRPr="00245C0B">
        <w:rPr>
          <w:sz w:val="28"/>
          <w:szCs w:val="28"/>
        </w:rPr>
        <w:t xml:space="preserve"> informē Eiropas Zāļu aģentūru un </w:t>
      </w:r>
      <w:r>
        <w:rPr>
          <w:sz w:val="28"/>
          <w:szCs w:val="28"/>
        </w:rPr>
        <w:t xml:space="preserve">Eiropas Komisiju par novērotajām nopietnām </w:t>
      </w:r>
      <w:proofErr w:type="spellStart"/>
      <w:r w:rsidRPr="00245C0B">
        <w:rPr>
          <w:sz w:val="28"/>
          <w:szCs w:val="28"/>
        </w:rPr>
        <w:t>farmakovigilances</w:t>
      </w:r>
      <w:proofErr w:type="spellEnd"/>
      <w:r w:rsidRPr="00245C0B">
        <w:rPr>
          <w:sz w:val="28"/>
          <w:szCs w:val="28"/>
        </w:rPr>
        <w:t xml:space="preserve"> problēmām</w:t>
      </w:r>
      <w:r>
        <w:rPr>
          <w:sz w:val="28"/>
          <w:szCs w:val="28"/>
        </w:rPr>
        <w:t>;</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saskaņ</w:t>
      </w:r>
      <w:r w:rsidR="00264451">
        <w:rPr>
          <w:sz w:val="28"/>
          <w:szCs w:val="28"/>
        </w:rPr>
        <w:t xml:space="preserve">o </w:t>
      </w:r>
      <w:r w:rsidR="00805642">
        <w:rPr>
          <w:sz w:val="28"/>
          <w:szCs w:val="28"/>
        </w:rPr>
        <w:t xml:space="preserve">zāļu </w:t>
      </w:r>
      <w:r>
        <w:rPr>
          <w:sz w:val="28"/>
          <w:szCs w:val="28"/>
        </w:rPr>
        <w:t>reģistrācijas</w:t>
      </w:r>
      <w:r w:rsidR="00264451">
        <w:rPr>
          <w:sz w:val="28"/>
          <w:szCs w:val="28"/>
        </w:rPr>
        <w:t xml:space="preserve"> īpašnieka</w:t>
      </w:r>
      <w:r>
        <w:rPr>
          <w:sz w:val="28"/>
          <w:szCs w:val="28"/>
        </w:rPr>
        <w:t xml:space="preserve"> riska pārvaldības plānā iekļautos riska </w:t>
      </w:r>
      <w:r w:rsidRPr="00125FBC">
        <w:rPr>
          <w:sz w:val="28"/>
          <w:szCs w:val="28"/>
        </w:rPr>
        <w:t>mazināšanas pasākumu</w:t>
      </w:r>
      <w:r>
        <w:rPr>
          <w:sz w:val="28"/>
          <w:szCs w:val="28"/>
        </w:rPr>
        <w:t>s un uzrauga to</w:t>
      </w:r>
      <w:r w:rsidRPr="00125FBC">
        <w:rPr>
          <w:sz w:val="28"/>
          <w:szCs w:val="28"/>
        </w:rPr>
        <w:t xml:space="preserve"> rezultātus;</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125FBC">
        <w:rPr>
          <w:sz w:val="28"/>
          <w:szCs w:val="28"/>
        </w:rPr>
        <w:t xml:space="preserve">novērtē </w:t>
      </w:r>
      <w:r>
        <w:rPr>
          <w:sz w:val="28"/>
          <w:szCs w:val="28"/>
        </w:rPr>
        <w:t xml:space="preserve">reģistrēto zāļu </w:t>
      </w:r>
      <w:r w:rsidRPr="00125FBC">
        <w:rPr>
          <w:sz w:val="28"/>
          <w:szCs w:val="28"/>
        </w:rPr>
        <w:t>riska pārvaldības sistēmas atjauninājumus;</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125FBC">
        <w:rPr>
          <w:sz w:val="28"/>
          <w:szCs w:val="28"/>
        </w:rPr>
        <w:t xml:space="preserve">uzrauga </w:t>
      </w:r>
      <w:proofErr w:type="spellStart"/>
      <w:r w:rsidRPr="00125FBC">
        <w:rPr>
          <w:sz w:val="28"/>
          <w:szCs w:val="28"/>
        </w:rPr>
        <w:t>Eudravigilance</w:t>
      </w:r>
      <w:r>
        <w:rPr>
          <w:sz w:val="28"/>
          <w:szCs w:val="28"/>
        </w:rPr>
        <w:t>s</w:t>
      </w:r>
      <w:proofErr w:type="spellEnd"/>
      <w:r w:rsidRPr="00125FBC">
        <w:rPr>
          <w:sz w:val="28"/>
          <w:szCs w:val="28"/>
        </w:rPr>
        <w:t xml:space="preserve"> datu</w:t>
      </w:r>
      <w:r>
        <w:rPr>
          <w:sz w:val="28"/>
          <w:szCs w:val="28"/>
        </w:rPr>
        <w:t xml:space="preserve"> </w:t>
      </w:r>
      <w:r w:rsidRPr="00125FBC">
        <w:rPr>
          <w:sz w:val="28"/>
          <w:szCs w:val="28"/>
        </w:rPr>
        <w:t xml:space="preserve">bāzes datus, lai noteiktu, vai ir jauni riski, vai riski ir mainījušies un vai šie riski ietekmē riska un guvuma </w:t>
      </w:r>
      <w:r w:rsidR="00054489">
        <w:rPr>
          <w:sz w:val="28"/>
          <w:szCs w:val="28"/>
        </w:rPr>
        <w:t>līdzsvaru</w:t>
      </w:r>
      <w:r w:rsidRPr="00125FBC">
        <w:rPr>
          <w:sz w:val="28"/>
          <w:szCs w:val="28"/>
        </w:rPr>
        <w:t>;</w:t>
      </w:r>
    </w:p>
    <w:p w:rsidR="00287CD4" w:rsidRPr="00363106"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nodrošina regulāru</w:t>
      </w:r>
      <w:r w:rsidRPr="00363106">
        <w:rPr>
          <w:sz w:val="28"/>
          <w:szCs w:val="28"/>
        </w:rPr>
        <w:t xml:space="preserve"> savas </w:t>
      </w:r>
      <w:proofErr w:type="spellStart"/>
      <w:r w:rsidRPr="00363106">
        <w:rPr>
          <w:sz w:val="28"/>
          <w:szCs w:val="28"/>
        </w:rPr>
        <w:t>farmakovigilances</w:t>
      </w:r>
      <w:proofErr w:type="spellEnd"/>
      <w:r w:rsidRPr="00363106">
        <w:rPr>
          <w:sz w:val="28"/>
          <w:szCs w:val="28"/>
        </w:rPr>
        <w:t xml:space="preserve"> sistēmas auditu</w:t>
      </w:r>
      <w:r>
        <w:rPr>
          <w:sz w:val="28"/>
          <w:szCs w:val="28"/>
        </w:rPr>
        <w:t xml:space="preserve"> un ziņo par rezultātiem Eiropas Komisijai reizi divos gados;</w:t>
      </w:r>
    </w:p>
    <w:p w:rsidR="00287CD4" w:rsidRPr="00DA5806"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DA5806">
        <w:rPr>
          <w:sz w:val="28"/>
          <w:szCs w:val="28"/>
        </w:rPr>
        <w:t>nodrošina</w:t>
      </w:r>
      <w:r>
        <w:rPr>
          <w:sz w:val="28"/>
          <w:szCs w:val="28"/>
        </w:rPr>
        <w:t xml:space="preserve"> tīmekļa vietnes</w:t>
      </w:r>
      <w:r w:rsidRPr="00DA5806">
        <w:rPr>
          <w:sz w:val="28"/>
          <w:szCs w:val="28"/>
        </w:rPr>
        <w:t xml:space="preserve"> sasaisti ar Eiropas zāļu tīmekļa</w:t>
      </w:r>
      <w:r>
        <w:rPr>
          <w:sz w:val="28"/>
          <w:szCs w:val="28"/>
        </w:rPr>
        <w:t xml:space="preserve"> vietni</w:t>
      </w:r>
      <w:r w:rsidRPr="00DA5806">
        <w:rPr>
          <w:sz w:val="28"/>
          <w:szCs w:val="28"/>
        </w:rPr>
        <w:t xml:space="preserve">, kas izveidots saskaņā ar </w:t>
      </w:r>
      <w:r w:rsidR="00840A64" w:rsidRPr="0006011E">
        <w:rPr>
          <w:sz w:val="28"/>
          <w:szCs w:val="28"/>
        </w:rPr>
        <w:t xml:space="preserve">Eiropas Padomes un Parlamenta 2004.gada 31.marta regulas </w:t>
      </w:r>
      <w:r w:rsidR="002707D8">
        <w:rPr>
          <w:sz w:val="28"/>
          <w:szCs w:val="28"/>
        </w:rPr>
        <w:t xml:space="preserve">(EK) </w:t>
      </w:r>
      <w:r w:rsidR="00840A64" w:rsidRPr="0006011E">
        <w:rPr>
          <w:sz w:val="28"/>
          <w:szCs w:val="28"/>
        </w:rPr>
        <w:t xml:space="preserve">Nr.726/2004, ar ko nosaka cilvēkiem paredzēto un veterināro zāļu </w:t>
      </w:r>
      <w:r w:rsidR="00840A64" w:rsidRPr="0006011E">
        <w:rPr>
          <w:sz w:val="28"/>
          <w:szCs w:val="28"/>
        </w:rPr>
        <w:lastRenderedPageBreak/>
        <w:t xml:space="preserve">reģistrēšanas un uzraudzības Kopienas procedūras un izveido Eiropas Zāļu aģentūru </w:t>
      </w:r>
      <w:r>
        <w:rPr>
          <w:sz w:val="28"/>
          <w:szCs w:val="28"/>
        </w:rPr>
        <w:t>(turpmāk – Regula Nr.</w:t>
      </w:r>
      <w:r w:rsidR="00840A64">
        <w:rPr>
          <w:sz w:val="28"/>
          <w:szCs w:val="28"/>
        </w:rPr>
        <w:t>726</w:t>
      </w:r>
      <w:r>
        <w:rPr>
          <w:sz w:val="28"/>
          <w:szCs w:val="28"/>
        </w:rPr>
        <w:t>/20</w:t>
      </w:r>
      <w:r w:rsidR="00840A64">
        <w:rPr>
          <w:sz w:val="28"/>
          <w:szCs w:val="28"/>
        </w:rPr>
        <w:t>04</w:t>
      </w:r>
      <w:r>
        <w:rPr>
          <w:sz w:val="28"/>
          <w:szCs w:val="28"/>
        </w:rPr>
        <w:t>)</w:t>
      </w:r>
      <w:r w:rsidRPr="00DA5806">
        <w:rPr>
          <w:sz w:val="28"/>
          <w:szCs w:val="28"/>
        </w:rPr>
        <w:t xml:space="preserve"> 26.pantu, un kurā ir pieejama vismaz šāda informācija:</w:t>
      </w:r>
    </w:p>
    <w:p w:rsidR="00287CD4" w:rsidRPr="0006011E" w:rsidRDefault="00287CD4" w:rsidP="00287CD4">
      <w:pPr>
        <w:pStyle w:val="naisf"/>
        <w:numPr>
          <w:ilvl w:val="2"/>
          <w:numId w:val="4"/>
        </w:numPr>
        <w:tabs>
          <w:tab w:val="left" w:pos="1134"/>
          <w:tab w:val="left" w:pos="1701"/>
        </w:tabs>
        <w:spacing w:before="0" w:beforeAutospacing="0" w:after="0" w:afterAutospacing="0"/>
        <w:ind w:left="0" w:firstLine="709"/>
        <w:jc w:val="both"/>
        <w:rPr>
          <w:sz w:val="28"/>
          <w:szCs w:val="28"/>
        </w:rPr>
      </w:pPr>
      <w:r w:rsidRPr="0006011E">
        <w:rPr>
          <w:sz w:val="28"/>
          <w:szCs w:val="28"/>
        </w:rPr>
        <w:t>publiskie novērtējuma ziņojumi un to kopsavilkumi;</w:t>
      </w:r>
    </w:p>
    <w:p w:rsidR="00287CD4" w:rsidRPr="0006011E" w:rsidRDefault="00287CD4" w:rsidP="00287CD4">
      <w:pPr>
        <w:pStyle w:val="naisf"/>
        <w:numPr>
          <w:ilvl w:val="2"/>
          <w:numId w:val="4"/>
        </w:numPr>
        <w:tabs>
          <w:tab w:val="left" w:pos="1134"/>
          <w:tab w:val="left" w:pos="1701"/>
        </w:tabs>
        <w:spacing w:before="0" w:beforeAutospacing="0" w:after="0" w:afterAutospacing="0"/>
        <w:ind w:left="0" w:firstLine="709"/>
        <w:jc w:val="both"/>
        <w:rPr>
          <w:sz w:val="28"/>
          <w:szCs w:val="28"/>
        </w:rPr>
      </w:pPr>
      <w:r w:rsidRPr="0006011E">
        <w:rPr>
          <w:sz w:val="28"/>
          <w:szCs w:val="28"/>
        </w:rPr>
        <w:t>zāļu apraksti un zāļu lietošanas instrukcijas;</w:t>
      </w:r>
    </w:p>
    <w:p w:rsidR="00287CD4" w:rsidRPr="0006011E" w:rsidRDefault="00287CD4" w:rsidP="00287CD4">
      <w:pPr>
        <w:pStyle w:val="naisf"/>
        <w:numPr>
          <w:ilvl w:val="2"/>
          <w:numId w:val="4"/>
        </w:numPr>
        <w:tabs>
          <w:tab w:val="left" w:pos="1134"/>
          <w:tab w:val="left" w:pos="1701"/>
        </w:tabs>
        <w:spacing w:before="0" w:beforeAutospacing="0" w:after="0" w:afterAutospacing="0"/>
        <w:ind w:left="0" w:firstLine="709"/>
        <w:jc w:val="both"/>
        <w:rPr>
          <w:sz w:val="28"/>
          <w:szCs w:val="28"/>
        </w:rPr>
      </w:pPr>
      <w:r w:rsidRPr="0006011E">
        <w:rPr>
          <w:sz w:val="28"/>
          <w:szCs w:val="28"/>
        </w:rPr>
        <w:t>reģistrēto zāļu riska pārvaldības plānu kopsavilkumi;</w:t>
      </w:r>
    </w:p>
    <w:p w:rsidR="00287CD4" w:rsidRPr="0006011E" w:rsidRDefault="00287CD4" w:rsidP="00287CD4">
      <w:pPr>
        <w:pStyle w:val="naisf"/>
        <w:numPr>
          <w:ilvl w:val="2"/>
          <w:numId w:val="4"/>
        </w:numPr>
        <w:tabs>
          <w:tab w:val="left" w:pos="1134"/>
          <w:tab w:val="left" w:pos="1701"/>
        </w:tabs>
        <w:spacing w:before="0" w:beforeAutospacing="0" w:after="0" w:afterAutospacing="0"/>
        <w:ind w:left="0" w:firstLine="709"/>
        <w:jc w:val="both"/>
        <w:rPr>
          <w:sz w:val="28"/>
          <w:szCs w:val="28"/>
        </w:rPr>
      </w:pPr>
      <w:r w:rsidRPr="0006011E">
        <w:rPr>
          <w:sz w:val="28"/>
          <w:szCs w:val="28"/>
        </w:rPr>
        <w:t xml:space="preserve">to zāļu saraksts, kas minēts </w:t>
      </w:r>
      <w:r w:rsidR="00840A64">
        <w:rPr>
          <w:sz w:val="28"/>
          <w:szCs w:val="28"/>
        </w:rPr>
        <w:t>R</w:t>
      </w:r>
      <w:r w:rsidRPr="0006011E">
        <w:rPr>
          <w:sz w:val="28"/>
          <w:szCs w:val="28"/>
        </w:rPr>
        <w:t>egulas Nr.726/2004 23.pantā;</w:t>
      </w:r>
    </w:p>
    <w:p w:rsidR="00287CD4" w:rsidRPr="0006011E" w:rsidRDefault="00287CD4" w:rsidP="00287CD4">
      <w:pPr>
        <w:pStyle w:val="naisf"/>
        <w:numPr>
          <w:ilvl w:val="2"/>
          <w:numId w:val="4"/>
        </w:numPr>
        <w:tabs>
          <w:tab w:val="left" w:pos="1701"/>
        </w:tabs>
        <w:spacing w:before="0" w:beforeAutospacing="0" w:after="0" w:afterAutospacing="0"/>
        <w:ind w:left="0" w:firstLine="709"/>
        <w:jc w:val="both"/>
        <w:rPr>
          <w:sz w:val="28"/>
          <w:szCs w:val="28"/>
        </w:rPr>
      </w:pPr>
      <w:r w:rsidRPr="0006011E">
        <w:rPr>
          <w:sz w:val="28"/>
          <w:szCs w:val="28"/>
        </w:rPr>
        <w:t xml:space="preserve">informācija par ziņošanas iespējām, tostarp ziņošanas par iespējamām </w:t>
      </w:r>
      <w:r w:rsidR="009528DE" w:rsidRPr="0006011E">
        <w:rPr>
          <w:sz w:val="28"/>
          <w:szCs w:val="28"/>
        </w:rPr>
        <w:t xml:space="preserve">zāļu </w:t>
      </w:r>
      <w:r w:rsidRPr="0006011E">
        <w:rPr>
          <w:sz w:val="28"/>
          <w:szCs w:val="28"/>
        </w:rPr>
        <w:t xml:space="preserve">blakusparādībām veidlapa, kā arī cita būtiska informācija par </w:t>
      </w:r>
      <w:proofErr w:type="spellStart"/>
      <w:r w:rsidRPr="0006011E">
        <w:rPr>
          <w:sz w:val="28"/>
          <w:szCs w:val="28"/>
        </w:rPr>
        <w:t>farmakovigilances</w:t>
      </w:r>
      <w:proofErr w:type="spellEnd"/>
      <w:r w:rsidRPr="0006011E">
        <w:rPr>
          <w:sz w:val="28"/>
          <w:szCs w:val="28"/>
        </w:rPr>
        <w:t xml:space="preserve"> jautājumiem</w:t>
      </w:r>
      <w:r w:rsidR="009D6538" w:rsidRPr="0006011E">
        <w:rPr>
          <w:sz w:val="28"/>
          <w:szCs w:val="28"/>
        </w:rPr>
        <w:t>.</w:t>
      </w:r>
    </w:p>
    <w:p w:rsidR="00287CD4" w:rsidRPr="00363106" w:rsidRDefault="00287CD4" w:rsidP="00287CD4">
      <w:pPr>
        <w:pStyle w:val="naisf"/>
        <w:tabs>
          <w:tab w:val="left" w:pos="1134"/>
        </w:tabs>
        <w:spacing w:before="0" w:beforeAutospacing="0" w:after="0" w:afterAutospacing="0"/>
        <w:ind w:firstLine="709"/>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sidRPr="00363106">
        <w:rPr>
          <w:sz w:val="28"/>
          <w:szCs w:val="28"/>
        </w:rPr>
        <w:t xml:space="preserve">Zāļu valsts aģentūra pēc šo noteikumu </w:t>
      </w:r>
      <w:r w:rsidR="00487178">
        <w:rPr>
          <w:sz w:val="28"/>
          <w:szCs w:val="28"/>
        </w:rPr>
        <w:t>21</w:t>
      </w:r>
      <w:r>
        <w:rPr>
          <w:sz w:val="28"/>
          <w:szCs w:val="28"/>
        </w:rPr>
        <w:t xml:space="preserve">.1. </w:t>
      </w:r>
      <w:r w:rsidRPr="00363106">
        <w:rPr>
          <w:sz w:val="28"/>
          <w:szCs w:val="28"/>
        </w:rPr>
        <w:t>apakšpunktā minēto</w:t>
      </w:r>
      <w:r w:rsidRPr="00125FBC">
        <w:rPr>
          <w:sz w:val="28"/>
          <w:szCs w:val="28"/>
        </w:rPr>
        <w:t xml:space="preserve"> ziņojumu izvērtēšanas elektroniski nosūta ziņojumus uz </w:t>
      </w:r>
      <w:proofErr w:type="spellStart"/>
      <w:r w:rsidRPr="00125FBC">
        <w:rPr>
          <w:sz w:val="28"/>
          <w:szCs w:val="28"/>
        </w:rPr>
        <w:t>Eudravigilances</w:t>
      </w:r>
      <w:proofErr w:type="spellEnd"/>
      <w:r w:rsidRPr="00125FBC">
        <w:rPr>
          <w:sz w:val="28"/>
          <w:szCs w:val="28"/>
        </w:rPr>
        <w:t xml:space="preserve"> datu bāzi:</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BE3F12">
        <w:rPr>
          <w:sz w:val="28"/>
          <w:szCs w:val="28"/>
        </w:rPr>
        <w:t xml:space="preserve">par būtiskām iespējamām </w:t>
      </w:r>
      <w:r w:rsidR="009528DE" w:rsidRPr="00BA4E83">
        <w:rPr>
          <w:sz w:val="28"/>
          <w:szCs w:val="28"/>
        </w:rPr>
        <w:t>zāļu</w:t>
      </w:r>
      <w:r w:rsidR="009528DE">
        <w:rPr>
          <w:sz w:val="28"/>
          <w:szCs w:val="28"/>
        </w:rPr>
        <w:t xml:space="preserve"> </w:t>
      </w:r>
      <w:r w:rsidRPr="00BE3F12">
        <w:rPr>
          <w:sz w:val="28"/>
          <w:szCs w:val="28"/>
        </w:rPr>
        <w:t>blakusparādībām - ne vēlāk kā 15 dienu laikā;</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BE3F12">
        <w:rPr>
          <w:sz w:val="28"/>
          <w:szCs w:val="28"/>
        </w:rPr>
        <w:t xml:space="preserve">par mazāk būtiskām iespējamām </w:t>
      </w:r>
      <w:r w:rsidR="009528DE" w:rsidRPr="00BA4E83">
        <w:rPr>
          <w:sz w:val="28"/>
          <w:szCs w:val="28"/>
        </w:rPr>
        <w:t>zāļu</w:t>
      </w:r>
      <w:r w:rsidR="009528DE">
        <w:rPr>
          <w:sz w:val="28"/>
          <w:szCs w:val="28"/>
        </w:rPr>
        <w:t xml:space="preserve"> </w:t>
      </w:r>
      <w:r w:rsidRPr="00BE3F12">
        <w:rPr>
          <w:sz w:val="28"/>
          <w:szCs w:val="28"/>
        </w:rPr>
        <w:t xml:space="preserve">blakusparādībām - ne vēlāk kā 90 dienu laikā. </w:t>
      </w:r>
    </w:p>
    <w:p w:rsidR="00287CD4" w:rsidRDefault="00287CD4" w:rsidP="00287CD4">
      <w:pPr>
        <w:pStyle w:val="naisf"/>
        <w:tabs>
          <w:tab w:val="left" w:pos="1134"/>
        </w:tabs>
        <w:spacing w:before="0" w:beforeAutospacing="0" w:after="0" w:afterAutospacing="0"/>
        <w:ind w:left="709"/>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sidRPr="00BE3F12">
        <w:rPr>
          <w:sz w:val="28"/>
          <w:szCs w:val="28"/>
        </w:rPr>
        <w:t>Zāļu valsts a</w:t>
      </w:r>
      <w:r>
        <w:rPr>
          <w:sz w:val="28"/>
          <w:szCs w:val="28"/>
        </w:rPr>
        <w:t xml:space="preserve">ģentūra sadarbojas ar citu EEZ </w:t>
      </w:r>
      <w:r w:rsidRPr="00BE3F12">
        <w:rPr>
          <w:sz w:val="28"/>
          <w:szCs w:val="28"/>
        </w:rPr>
        <w:t>valstu kompetentajām institūcijām, Eiropas zāļu aģent</w:t>
      </w:r>
      <w:r w:rsidR="00264451">
        <w:rPr>
          <w:sz w:val="28"/>
          <w:szCs w:val="28"/>
        </w:rPr>
        <w:t>ūru un reģistrācijas īpašniekiem</w:t>
      </w:r>
      <w:r w:rsidRPr="00BE3F12">
        <w:rPr>
          <w:sz w:val="28"/>
          <w:szCs w:val="28"/>
        </w:rPr>
        <w:t>,</w:t>
      </w:r>
      <w:r>
        <w:rPr>
          <w:sz w:val="28"/>
          <w:szCs w:val="28"/>
        </w:rPr>
        <w:t xml:space="preserve"> </w:t>
      </w:r>
      <w:r w:rsidRPr="00BE3F12">
        <w:rPr>
          <w:sz w:val="28"/>
          <w:szCs w:val="28"/>
        </w:rPr>
        <w:t xml:space="preserve">lai atklātu ziņojumu par iespējamām </w:t>
      </w:r>
      <w:r w:rsidR="009528DE" w:rsidRPr="00BA4E83">
        <w:rPr>
          <w:sz w:val="28"/>
          <w:szCs w:val="28"/>
        </w:rPr>
        <w:t>zāļu</w:t>
      </w:r>
      <w:r w:rsidR="009528DE">
        <w:rPr>
          <w:sz w:val="28"/>
          <w:szCs w:val="28"/>
        </w:rPr>
        <w:t xml:space="preserve"> </w:t>
      </w:r>
      <w:r w:rsidRPr="00BE3F12">
        <w:rPr>
          <w:sz w:val="28"/>
          <w:szCs w:val="28"/>
        </w:rPr>
        <w:t>blakusparādībām dublēšanos.</w:t>
      </w:r>
    </w:p>
    <w:p w:rsidR="00287CD4" w:rsidRDefault="00287CD4" w:rsidP="00287CD4">
      <w:pPr>
        <w:pStyle w:val="naisf"/>
        <w:tabs>
          <w:tab w:val="left" w:pos="1134"/>
        </w:tabs>
        <w:spacing w:before="0" w:beforeAutospacing="0" w:after="0" w:afterAutospacing="0"/>
        <w:ind w:left="709"/>
        <w:jc w:val="both"/>
        <w:rPr>
          <w:sz w:val="28"/>
          <w:szCs w:val="28"/>
        </w:rPr>
      </w:pPr>
    </w:p>
    <w:p w:rsidR="00287CD4" w:rsidRPr="004A48D1" w:rsidRDefault="00487178" w:rsidP="00287CD4">
      <w:pPr>
        <w:pStyle w:val="naisf"/>
        <w:numPr>
          <w:ilvl w:val="0"/>
          <w:numId w:val="4"/>
        </w:numPr>
        <w:tabs>
          <w:tab w:val="left" w:pos="1134"/>
        </w:tabs>
        <w:spacing w:before="0" w:beforeAutospacing="0" w:after="0" w:afterAutospacing="0"/>
        <w:ind w:left="0" w:firstLine="709"/>
        <w:jc w:val="both"/>
        <w:rPr>
          <w:sz w:val="28"/>
          <w:szCs w:val="28"/>
        </w:rPr>
      </w:pPr>
      <w:r>
        <w:rPr>
          <w:sz w:val="28"/>
          <w:szCs w:val="28"/>
        </w:rPr>
        <w:t xml:space="preserve">Publiskojot šo noteikumu 21.2. </w:t>
      </w:r>
      <w:r w:rsidR="00287CD4" w:rsidRPr="00BE3F12">
        <w:rPr>
          <w:sz w:val="28"/>
          <w:szCs w:val="28"/>
        </w:rPr>
        <w:t>apakšpunktā minēto informāciju, ievēro</w:t>
      </w:r>
      <w:r w:rsidR="00287CD4">
        <w:rPr>
          <w:rStyle w:val="Emphasis"/>
        </w:rPr>
        <w:t xml:space="preserve"> </w:t>
      </w:r>
      <w:bookmarkStart w:id="3" w:name="bkm10"/>
      <w:bookmarkEnd w:id="3"/>
      <w:r w:rsidR="00287CD4">
        <w:rPr>
          <w:rStyle w:val="Emphasis"/>
          <w:i w:val="0"/>
          <w:sz w:val="28"/>
          <w:szCs w:val="28"/>
        </w:rPr>
        <w:t xml:space="preserve">Fizisko personu datu aizsardzības likumā </w:t>
      </w:r>
      <w:r w:rsidR="00287CD4" w:rsidRPr="00BE3F12">
        <w:rPr>
          <w:rStyle w:val="Emphasis"/>
          <w:i w:val="0"/>
          <w:sz w:val="28"/>
          <w:szCs w:val="28"/>
        </w:rPr>
        <w:t>noteikt</w:t>
      </w:r>
      <w:r w:rsidR="00287CD4">
        <w:rPr>
          <w:rStyle w:val="Emphasis"/>
          <w:i w:val="0"/>
          <w:sz w:val="28"/>
          <w:szCs w:val="28"/>
        </w:rPr>
        <w:t xml:space="preserve">ās prasības attiecībā uz </w:t>
      </w:r>
      <w:r w:rsidR="00287CD4" w:rsidRPr="00BE3F12">
        <w:rPr>
          <w:rStyle w:val="Emphasis"/>
          <w:i w:val="0"/>
          <w:sz w:val="28"/>
          <w:szCs w:val="28"/>
        </w:rPr>
        <w:t>informācijas izs</w:t>
      </w:r>
      <w:r w:rsidR="00287CD4" w:rsidRPr="00BE3F12">
        <w:rPr>
          <w:color w:val="000000"/>
          <w:sz w:val="28"/>
          <w:szCs w:val="28"/>
        </w:rPr>
        <w:t xml:space="preserve">niegšanu, ja vien šo informāciju nav nepieciešams atklāt, lai nodrošinātu sabiedrības veselības aizsardzību. </w:t>
      </w:r>
    </w:p>
    <w:p w:rsidR="00287CD4" w:rsidRPr="002F501E" w:rsidRDefault="00287CD4" w:rsidP="00287CD4">
      <w:pPr>
        <w:pStyle w:val="naisf"/>
        <w:tabs>
          <w:tab w:val="left" w:pos="1134"/>
        </w:tabs>
        <w:spacing w:before="0" w:beforeAutospacing="0" w:after="0" w:afterAutospacing="0"/>
        <w:jc w:val="both"/>
        <w:rPr>
          <w:sz w:val="28"/>
          <w:szCs w:val="28"/>
        </w:rPr>
      </w:pPr>
    </w:p>
    <w:p w:rsidR="00287CD4" w:rsidRDefault="00287CD4" w:rsidP="00287CD4">
      <w:pPr>
        <w:pStyle w:val="naisf"/>
        <w:numPr>
          <w:ilvl w:val="0"/>
          <w:numId w:val="4"/>
        </w:numPr>
        <w:tabs>
          <w:tab w:val="left" w:pos="1134"/>
        </w:tabs>
        <w:spacing w:before="0" w:beforeAutospacing="0" w:after="0" w:afterAutospacing="0"/>
        <w:ind w:left="0" w:firstLine="709"/>
        <w:jc w:val="both"/>
        <w:rPr>
          <w:sz w:val="28"/>
          <w:szCs w:val="28"/>
        </w:rPr>
      </w:pPr>
      <w:r w:rsidRPr="00BE3F12">
        <w:rPr>
          <w:sz w:val="28"/>
          <w:szCs w:val="28"/>
        </w:rPr>
        <w:t xml:space="preserve">Zāļu valsts aģentūra informē citu </w:t>
      </w:r>
      <w:r>
        <w:rPr>
          <w:sz w:val="28"/>
          <w:szCs w:val="28"/>
        </w:rPr>
        <w:t xml:space="preserve">EEZ </w:t>
      </w:r>
      <w:r w:rsidRPr="00BE3F12">
        <w:rPr>
          <w:sz w:val="28"/>
          <w:szCs w:val="28"/>
        </w:rPr>
        <w:t>valstu kompetentās institū</w:t>
      </w:r>
      <w:r>
        <w:rPr>
          <w:sz w:val="28"/>
          <w:szCs w:val="28"/>
        </w:rPr>
        <w:t xml:space="preserve">cijas, Eiropas Zāļu aģentūru, </w:t>
      </w:r>
      <w:r w:rsidRPr="00BE3F12">
        <w:rPr>
          <w:sz w:val="28"/>
          <w:szCs w:val="28"/>
        </w:rPr>
        <w:t>kā arī reģ</w:t>
      </w:r>
      <w:r w:rsidR="00264451">
        <w:rPr>
          <w:sz w:val="28"/>
          <w:szCs w:val="28"/>
        </w:rPr>
        <w:t>istrācijas īpašnieku</w:t>
      </w:r>
      <w:r w:rsidRPr="00BE3F12">
        <w:rPr>
          <w:sz w:val="28"/>
          <w:szCs w:val="28"/>
        </w:rPr>
        <w:t>, ja ir parādījušies jauni riski, mainījušies esošie riski vai ir atklātas riska un guvuma izmaiņas</w:t>
      </w:r>
      <w:r>
        <w:rPr>
          <w:sz w:val="28"/>
          <w:szCs w:val="28"/>
        </w:rPr>
        <w:t>.</w:t>
      </w:r>
    </w:p>
    <w:p w:rsidR="00486C46" w:rsidRDefault="00486C46" w:rsidP="00486C46">
      <w:pPr>
        <w:pStyle w:val="naisf"/>
        <w:tabs>
          <w:tab w:val="left" w:pos="1134"/>
        </w:tabs>
        <w:spacing w:before="0" w:beforeAutospacing="0" w:after="0" w:afterAutospacing="0"/>
        <w:jc w:val="both"/>
        <w:rPr>
          <w:sz w:val="28"/>
          <w:szCs w:val="28"/>
        </w:rPr>
      </w:pPr>
    </w:p>
    <w:p w:rsidR="00287CD4" w:rsidRPr="00734C12" w:rsidRDefault="00287CD4" w:rsidP="00287CD4">
      <w:pPr>
        <w:pStyle w:val="naisf"/>
        <w:tabs>
          <w:tab w:val="left" w:pos="1134"/>
        </w:tabs>
        <w:spacing w:before="0" w:beforeAutospacing="0" w:after="0" w:afterAutospacing="0"/>
        <w:ind w:firstLine="709"/>
        <w:jc w:val="center"/>
        <w:rPr>
          <w:b/>
          <w:sz w:val="28"/>
          <w:szCs w:val="28"/>
        </w:rPr>
      </w:pPr>
      <w:r>
        <w:rPr>
          <w:b/>
          <w:color w:val="000000"/>
          <w:sz w:val="28"/>
          <w:szCs w:val="28"/>
        </w:rPr>
        <w:t xml:space="preserve">V. </w:t>
      </w:r>
      <w:r w:rsidRPr="00CB5FA9">
        <w:rPr>
          <w:b/>
          <w:color w:val="000000"/>
          <w:sz w:val="28"/>
          <w:szCs w:val="28"/>
        </w:rPr>
        <w:t>Periodiski atjauninā</w:t>
      </w:r>
      <w:r>
        <w:rPr>
          <w:b/>
          <w:color w:val="000000"/>
          <w:sz w:val="28"/>
          <w:szCs w:val="28"/>
        </w:rPr>
        <w:t>mie</w:t>
      </w:r>
      <w:r w:rsidRPr="00CB5FA9">
        <w:rPr>
          <w:b/>
          <w:color w:val="000000"/>
          <w:sz w:val="28"/>
          <w:szCs w:val="28"/>
        </w:rPr>
        <w:t xml:space="preserve"> drošuma ziņojumi</w:t>
      </w:r>
    </w:p>
    <w:p w:rsidR="00287CD4" w:rsidRDefault="00287CD4" w:rsidP="00287CD4">
      <w:pPr>
        <w:pStyle w:val="ListParagraph"/>
        <w:tabs>
          <w:tab w:val="left" w:pos="1134"/>
        </w:tabs>
        <w:ind w:left="0" w:firstLine="709"/>
        <w:rPr>
          <w:sz w:val="28"/>
          <w:szCs w:val="28"/>
        </w:rPr>
      </w:pPr>
    </w:p>
    <w:p w:rsidR="00287CD4" w:rsidRDefault="001F18EA" w:rsidP="00287CD4">
      <w:pPr>
        <w:pStyle w:val="naisf"/>
        <w:numPr>
          <w:ilvl w:val="0"/>
          <w:numId w:val="4"/>
        </w:numPr>
        <w:tabs>
          <w:tab w:val="left" w:pos="1134"/>
        </w:tabs>
        <w:spacing w:before="0" w:beforeAutospacing="0" w:after="0" w:afterAutospacing="0"/>
        <w:ind w:left="0" w:firstLine="709"/>
        <w:jc w:val="both"/>
        <w:rPr>
          <w:sz w:val="28"/>
          <w:szCs w:val="28"/>
        </w:rPr>
      </w:pPr>
      <w:proofErr w:type="spellStart"/>
      <w:r w:rsidRPr="00BA4E83">
        <w:rPr>
          <w:sz w:val="28"/>
          <w:szCs w:val="28"/>
          <w:lang w:val="en-US"/>
        </w:rPr>
        <w:t>Zāļu</w:t>
      </w:r>
      <w:proofErr w:type="spellEnd"/>
      <w:r>
        <w:rPr>
          <w:sz w:val="28"/>
          <w:szCs w:val="28"/>
          <w:lang w:val="en-US"/>
        </w:rPr>
        <w:t xml:space="preserve"> r</w:t>
      </w:r>
      <w:proofErr w:type="spellStart"/>
      <w:r w:rsidR="00264451">
        <w:rPr>
          <w:sz w:val="28"/>
          <w:szCs w:val="28"/>
        </w:rPr>
        <w:t>eģistrācijas</w:t>
      </w:r>
      <w:proofErr w:type="spellEnd"/>
      <w:r w:rsidR="00264451">
        <w:rPr>
          <w:sz w:val="28"/>
          <w:szCs w:val="28"/>
        </w:rPr>
        <w:t xml:space="preserve"> īpašnieks</w:t>
      </w:r>
      <w:r w:rsidR="00287CD4">
        <w:rPr>
          <w:sz w:val="28"/>
          <w:szCs w:val="28"/>
        </w:rPr>
        <w:t>,</w:t>
      </w:r>
      <w:r w:rsidR="00287CD4" w:rsidRPr="00734C12">
        <w:rPr>
          <w:sz w:val="28"/>
          <w:szCs w:val="28"/>
        </w:rPr>
        <w:t xml:space="preserve"> </w:t>
      </w:r>
      <w:r w:rsidR="00B050EE">
        <w:rPr>
          <w:sz w:val="28"/>
          <w:szCs w:val="28"/>
        </w:rPr>
        <w:t>iesniedzot šo noteikumu 17</w:t>
      </w:r>
      <w:r w:rsidR="00287CD4">
        <w:rPr>
          <w:sz w:val="28"/>
          <w:szCs w:val="28"/>
        </w:rPr>
        <w:t>.7</w:t>
      </w:r>
      <w:r w:rsidR="00287CD4" w:rsidRPr="00363106">
        <w:rPr>
          <w:sz w:val="28"/>
          <w:szCs w:val="28"/>
        </w:rPr>
        <w:t>.apakšpunktā</w:t>
      </w:r>
      <w:r w:rsidR="00287CD4">
        <w:rPr>
          <w:sz w:val="28"/>
          <w:szCs w:val="28"/>
        </w:rPr>
        <w:t xml:space="preserve"> minēto periodisko ziņojumu Eiropas Zāļu aģentūrai, tajā ietver</w:t>
      </w:r>
      <w:r w:rsidR="00287CD4" w:rsidRPr="001E5D07">
        <w:rPr>
          <w:sz w:val="28"/>
          <w:szCs w:val="28"/>
        </w:rPr>
        <w:t>:</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lastRenderedPageBreak/>
        <w:t xml:space="preserve"> datu </w:t>
      </w:r>
      <w:r w:rsidRPr="00BE3F12">
        <w:rPr>
          <w:sz w:val="28"/>
          <w:szCs w:val="28"/>
        </w:rPr>
        <w:t>kopsavilkumu par zāļu riskiem un guvum</w:t>
      </w:r>
      <w:r>
        <w:rPr>
          <w:sz w:val="28"/>
          <w:szCs w:val="28"/>
        </w:rPr>
        <w:t>iem</w:t>
      </w:r>
      <w:r w:rsidRPr="00BE3F12">
        <w:rPr>
          <w:sz w:val="28"/>
          <w:szCs w:val="28"/>
        </w:rPr>
        <w:t xml:space="preserve">, tostarp visu pētījumu rezultātus kopā ar apsvērumiem, vai </w:t>
      </w:r>
      <w:r>
        <w:rPr>
          <w:sz w:val="28"/>
          <w:szCs w:val="28"/>
        </w:rPr>
        <w:t xml:space="preserve">tie </w:t>
      </w:r>
      <w:r w:rsidRPr="00BE3F12">
        <w:rPr>
          <w:sz w:val="28"/>
          <w:szCs w:val="28"/>
        </w:rPr>
        <w:t>maina zāļu reģistrēšanas nosacījumus;</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BE3F12">
        <w:rPr>
          <w:sz w:val="28"/>
          <w:szCs w:val="28"/>
        </w:rPr>
        <w:t xml:space="preserve">zāļu riska un guvuma </w:t>
      </w:r>
      <w:r w:rsidR="00054489" w:rsidRPr="00BA4E83">
        <w:rPr>
          <w:sz w:val="28"/>
          <w:szCs w:val="28"/>
        </w:rPr>
        <w:t>līdzsvara</w:t>
      </w:r>
      <w:r w:rsidRPr="00BE3F12">
        <w:rPr>
          <w:sz w:val="28"/>
          <w:szCs w:val="28"/>
        </w:rPr>
        <w:t xml:space="preserve"> </w:t>
      </w:r>
      <w:r>
        <w:rPr>
          <w:sz w:val="28"/>
          <w:szCs w:val="28"/>
        </w:rPr>
        <w:t xml:space="preserve">zinātnisku </w:t>
      </w:r>
      <w:r w:rsidRPr="00BE3F12">
        <w:rPr>
          <w:sz w:val="28"/>
          <w:szCs w:val="28"/>
        </w:rPr>
        <w:t>novērtējumu, kas balstīts uz pieejamiem datiem, tostarp informāciju, kas iegūta klīniskajā izpētē par neatbilstošām indikācijām un populācij</w:t>
      </w:r>
      <w:r>
        <w:rPr>
          <w:sz w:val="28"/>
          <w:szCs w:val="28"/>
        </w:rPr>
        <w:t>ām</w:t>
      </w:r>
      <w:r w:rsidRPr="00BE3F12">
        <w:rPr>
          <w:sz w:val="28"/>
          <w:szCs w:val="28"/>
        </w:rPr>
        <w:t>;</w:t>
      </w:r>
    </w:p>
    <w:p w:rsidR="00287CD4" w:rsidRDefault="00287CD4" w:rsidP="00287CD4">
      <w:pPr>
        <w:pStyle w:val="naisf"/>
        <w:numPr>
          <w:ilvl w:val="1"/>
          <w:numId w:val="4"/>
        </w:numPr>
        <w:tabs>
          <w:tab w:val="left" w:pos="1134"/>
        </w:tabs>
        <w:spacing w:before="0" w:beforeAutospacing="0" w:after="0" w:afterAutospacing="0"/>
        <w:ind w:left="0" w:firstLine="709"/>
        <w:jc w:val="both"/>
        <w:rPr>
          <w:sz w:val="28"/>
          <w:szCs w:val="28"/>
        </w:rPr>
      </w:pPr>
      <w:r w:rsidRPr="00BE3F12">
        <w:rPr>
          <w:sz w:val="28"/>
          <w:szCs w:val="28"/>
        </w:rPr>
        <w:t>visu</w:t>
      </w:r>
      <w:r>
        <w:rPr>
          <w:sz w:val="28"/>
          <w:szCs w:val="28"/>
        </w:rPr>
        <w:t>s</w:t>
      </w:r>
      <w:r w:rsidRPr="00BE3F12">
        <w:rPr>
          <w:sz w:val="28"/>
          <w:szCs w:val="28"/>
        </w:rPr>
        <w:t xml:space="preserve"> </w:t>
      </w:r>
      <w:r>
        <w:rPr>
          <w:sz w:val="28"/>
          <w:szCs w:val="28"/>
        </w:rPr>
        <w:t xml:space="preserve">datus </w:t>
      </w:r>
      <w:r w:rsidRPr="00BE3F12">
        <w:rPr>
          <w:sz w:val="28"/>
          <w:szCs w:val="28"/>
        </w:rPr>
        <w:t>par zāļu pārdošana</w:t>
      </w:r>
      <w:r w:rsidR="00501269">
        <w:rPr>
          <w:sz w:val="28"/>
          <w:szCs w:val="28"/>
        </w:rPr>
        <w:t>s apjomu un visus datus, kas ir</w:t>
      </w:r>
      <w:r w:rsidR="00953A16">
        <w:rPr>
          <w:sz w:val="28"/>
          <w:szCs w:val="28"/>
        </w:rPr>
        <w:t xml:space="preserve"> </w:t>
      </w:r>
      <w:r w:rsidRPr="00BE3F12">
        <w:rPr>
          <w:sz w:val="28"/>
          <w:szCs w:val="28"/>
        </w:rPr>
        <w:t>reģ</w:t>
      </w:r>
      <w:r>
        <w:rPr>
          <w:sz w:val="28"/>
          <w:szCs w:val="28"/>
        </w:rPr>
        <w:t>istrācijas</w:t>
      </w:r>
      <w:r w:rsidR="00501269">
        <w:rPr>
          <w:sz w:val="28"/>
          <w:szCs w:val="28"/>
        </w:rPr>
        <w:t xml:space="preserve"> īpašnieka</w:t>
      </w:r>
      <w:r w:rsidRPr="00BE3F12">
        <w:rPr>
          <w:sz w:val="28"/>
          <w:szCs w:val="28"/>
        </w:rPr>
        <w:t xml:space="preserve"> rīcībā saistībā ar izrakstīto zāļu daudzumu</w:t>
      </w:r>
      <w:r>
        <w:rPr>
          <w:sz w:val="28"/>
          <w:szCs w:val="28"/>
        </w:rPr>
        <w:t xml:space="preserve">, </w:t>
      </w:r>
      <w:r w:rsidRPr="00BE3F12">
        <w:rPr>
          <w:sz w:val="28"/>
          <w:szCs w:val="28"/>
        </w:rPr>
        <w:t>tostarp aprēķinu par to iedzīvotāju skaitu, kuri pakļauti šo zāļu iedarbībai</w:t>
      </w:r>
      <w:r>
        <w:rPr>
          <w:sz w:val="28"/>
          <w:szCs w:val="28"/>
        </w:rPr>
        <w:t>;</w:t>
      </w:r>
    </w:p>
    <w:p w:rsidR="00287CD4" w:rsidRDefault="001F18EA" w:rsidP="00287CD4">
      <w:pPr>
        <w:pStyle w:val="naisf"/>
        <w:numPr>
          <w:ilvl w:val="1"/>
          <w:numId w:val="4"/>
        </w:numPr>
        <w:tabs>
          <w:tab w:val="left" w:pos="1134"/>
        </w:tabs>
        <w:spacing w:before="0" w:beforeAutospacing="0" w:after="0" w:afterAutospacing="0"/>
        <w:ind w:left="0" w:firstLine="709"/>
        <w:jc w:val="both"/>
        <w:rPr>
          <w:sz w:val="28"/>
          <w:szCs w:val="28"/>
        </w:rPr>
      </w:pPr>
      <w:r>
        <w:rPr>
          <w:sz w:val="28"/>
          <w:szCs w:val="28"/>
        </w:rPr>
        <w:t xml:space="preserve">zāļu </w:t>
      </w:r>
      <w:r w:rsidR="00287CD4" w:rsidRPr="004429A9">
        <w:rPr>
          <w:sz w:val="28"/>
          <w:szCs w:val="28"/>
        </w:rPr>
        <w:t>reģ</w:t>
      </w:r>
      <w:r w:rsidR="00287CD4">
        <w:rPr>
          <w:sz w:val="28"/>
          <w:szCs w:val="28"/>
        </w:rPr>
        <w:t>istrācijas</w:t>
      </w:r>
      <w:r w:rsidR="00501269">
        <w:rPr>
          <w:sz w:val="28"/>
          <w:szCs w:val="28"/>
        </w:rPr>
        <w:t xml:space="preserve"> īpašnieks</w:t>
      </w:r>
      <w:r w:rsidR="00287CD4" w:rsidRPr="004429A9">
        <w:rPr>
          <w:sz w:val="28"/>
          <w:szCs w:val="28"/>
        </w:rPr>
        <w:t xml:space="preserve">, </w:t>
      </w:r>
      <w:r w:rsidR="00287CD4" w:rsidRPr="00BA4E83">
        <w:rPr>
          <w:sz w:val="28"/>
          <w:szCs w:val="28"/>
        </w:rPr>
        <w:t>kuram zā</w:t>
      </w:r>
      <w:r w:rsidRPr="00BA4E83">
        <w:rPr>
          <w:sz w:val="28"/>
          <w:szCs w:val="28"/>
        </w:rPr>
        <w:t>ļu</w:t>
      </w:r>
      <w:r w:rsidR="00287CD4" w:rsidRPr="00BA4E83">
        <w:rPr>
          <w:sz w:val="28"/>
          <w:szCs w:val="28"/>
        </w:rPr>
        <w:t xml:space="preserve"> reģistrācija ir </w:t>
      </w:r>
      <w:r w:rsidR="00BA4E83">
        <w:rPr>
          <w:sz w:val="28"/>
          <w:szCs w:val="28"/>
        </w:rPr>
        <w:t xml:space="preserve">stājusies </w:t>
      </w:r>
      <w:r w:rsidRPr="00BA4E83">
        <w:rPr>
          <w:sz w:val="28"/>
          <w:szCs w:val="28"/>
        </w:rPr>
        <w:t>spēkā</w:t>
      </w:r>
      <w:r>
        <w:rPr>
          <w:sz w:val="28"/>
          <w:szCs w:val="28"/>
        </w:rPr>
        <w:t xml:space="preserve"> </w:t>
      </w:r>
      <w:r w:rsidR="00287CD4" w:rsidRPr="004429A9">
        <w:rPr>
          <w:sz w:val="28"/>
          <w:szCs w:val="28"/>
        </w:rPr>
        <w:t xml:space="preserve">līdz 2012.gada 21.jūlijam un kuram periodisko ziņojumu iesniegšana nav izvirzīta kā </w:t>
      </w:r>
      <w:r w:rsidR="00287CD4" w:rsidRPr="00E31865">
        <w:rPr>
          <w:sz w:val="28"/>
          <w:szCs w:val="28"/>
        </w:rPr>
        <w:t>reģistrācijas nosacījums</w:t>
      </w:r>
      <w:r w:rsidR="00287CD4" w:rsidRPr="004429A9">
        <w:rPr>
          <w:sz w:val="28"/>
          <w:szCs w:val="28"/>
        </w:rPr>
        <w:t>, nekavējoties iesniedz periodisko ziņojumu pēc Zāļu valsts aģentūras pieprasījuma vai saskaņā</w:t>
      </w:r>
      <w:r w:rsidR="00287CD4">
        <w:rPr>
          <w:sz w:val="28"/>
          <w:szCs w:val="28"/>
        </w:rPr>
        <w:t xml:space="preserve"> ar šādu kārtību</w:t>
      </w:r>
      <w:r w:rsidR="00287CD4" w:rsidRPr="004429A9">
        <w:rPr>
          <w:sz w:val="28"/>
          <w:szCs w:val="28"/>
        </w:rPr>
        <w:t>:</w:t>
      </w:r>
    </w:p>
    <w:p w:rsidR="00287CD4" w:rsidRDefault="00287CD4" w:rsidP="00287CD4">
      <w:pPr>
        <w:pStyle w:val="naisf"/>
        <w:numPr>
          <w:ilvl w:val="2"/>
          <w:numId w:val="4"/>
        </w:numPr>
        <w:tabs>
          <w:tab w:val="left" w:pos="1134"/>
        </w:tabs>
        <w:spacing w:before="0" w:beforeAutospacing="0" w:after="0" w:afterAutospacing="0"/>
        <w:ind w:left="0" w:firstLine="709"/>
        <w:jc w:val="both"/>
        <w:rPr>
          <w:sz w:val="28"/>
          <w:szCs w:val="28"/>
        </w:rPr>
      </w:pPr>
      <w:r w:rsidRPr="004429A9">
        <w:rPr>
          <w:sz w:val="28"/>
          <w:szCs w:val="28"/>
        </w:rPr>
        <w:t xml:space="preserve"> ja zāles vēl nav laistas tirgū – ne retāk kā vienu reizi sešos mēnešos pēc atļaujas piešķiršanas un līdz to laišanai tirgū;</w:t>
      </w:r>
    </w:p>
    <w:p w:rsidR="00287CD4" w:rsidRDefault="00287CD4" w:rsidP="00287CD4">
      <w:pPr>
        <w:pStyle w:val="naisf"/>
        <w:numPr>
          <w:ilvl w:val="2"/>
          <w:numId w:val="4"/>
        </w:numPr>
        <w:tabs>
          <w:tab w:val="left" w:pos="1134"/>
        </w:tabs>
        <w:spacing w:before="0" w:beforeAutospacing="0" w:after="0" w:afterAutospacing="0"/>
        <w:ind w:left="0" w:firstLine="709"/>
        <w:jc w:val="both"/>
        <w:rPr>
          <w:sz w:val="28"/>
          <w:szCs w:val="28"/>
        </w:rPr>
      </w:pPr>
      <w:r w:rsidRPr="004429A9">
        <w:rPr>
          <w:sz w:val="28"/>
          <w:szCs w:val="28"/>
        </w:rPr>
        <w:t>ja zāles ir laistas tirgū:</w:t>
      </w:r>
    </w:p>
    <w:p w:rsidR="00287CD4" w:rsidRDefault="00287CD4" w:rsidP="00287CD4">
      <w:pPr>
        <w:pStyle w:val="naisf"/>
        <w:numPr>
          <w:ilvl w:val="3"/>
          <w:numId w:val="4"/>
        </w:numPr>
        <w:tabs>
          <w:tab w:val="left" w:pos="1134"/>
        </w:tabs>
        <w:spacing w:before="0" w:beforeAutospacing="0" w:after="0" w:afterAutospacing="0"/>
        <w:ind w:left="0" w:firstLine="709"/>
        <w:jc w:val="both"/>
        <w:rPr>
          <w:sz w:val="28"/>
          <w:szCs w:val="28"/>
        </w:rPr>
      </w:pPr>
      <w:r w:rsidRPr="004429A9">
        <w:rPr>
          <w:sz w:val="28"/>
          <w:szCs w:val="28"/>
        </w:rPr>
        <w:t>pirmajos divos gados pēc sākotnējās laišanas tirgū ne retāk kā vienu reizi sešos mēnešos;</w:t>
      </w:r>
    </w:p>
    <w:p w:rsidR="00287CD4" w:rsidRDefault="00287CD4" w:rsidP="00287CD4">
      <w:pPr>
        <w:pStyle w:val="naisf"/>
        <w:numPr>
          <w:ilvl w:val="3"/>
          <w:numId w:val="4"/>
        </w:numPr>
        <w:tabs>
          <w:tab w:val="left" w:pos="1134"/>
        </w:tabs>
        <w:spacing w:before="0" w:beforeAutospacing="0" w:after="0" w:afterAutospacing="0"/>
        <w:ind w:left="0" w:firstLine="709"/>
        <w:jc w:val="both"/>
        <w:rPr>
          <w:sz w:val="28"/>
          <w:szCs w:val="28"/>
        </w:rPr>
      </w:pPr>
      <w:r w:rsidRPr="004429A9">
        <w:rPr>
          <w:sz w:val="28"/>
          <w:szCs w:val="28"/>
        </w:rPr>
        <w:t>nākamajos divos gados – reizi gadā un pēc tam ik pēc trim gadiem.</w:t>
      </w:r>
    </w:p>
    <w:p w:rsidR="00287CD4" w:rsidRDefault="00287CD4" w:rsidP="00287CD4">
      <w:pPr>
        <w:pStyle w:val="naisf"/>
        <w:tabs>
          <w:tab w:val="left" w:pos="1134"/>
        </w:tabs>
        <w:spacing w:before="0" w:beforeAutospacing="0" w:after="0" w:afterAutospacing="0"/>
        <w:ind w:left="709"/>
        <w:jc w:val="both"/>
        <w:rPr>
          <w:sz w:val="28"/>
          <w:szCs w:val="28"/>
        </w:rPr>
      </w:pPr>
    </w:p>
    <w:p w:rsidR="00287CD4" w:rsidRDefault="00287CD4" w:rsidP="00E61F63">
      <w:pPr>
        <w:pStyle w:val="naisf"/>
        <w:numPr>
          <w:ilvl w:val="0"/>
          <w:numId w:val="4"/>
        </w:numPr>
        <w:tabs>
          <w:tab w:val="left" w:pos="1134"/>
        </w:tabs>
        <w:spacing w:before="0" w:beforeAutospacing="0" w:after="0" w:afterAutospacing="0"/>
        <w:ind w:left="0" w:firstLine="709"/>
        <w:jc w:val="both"/>
        <w:rPr>
          <w:sz w:val="28"/>
          <w:szCs w:val="28"/>
        </w:rPr>
      </w:pPr>
      <w:r w:rsidRPr="004429A9">
        <w:rPr>
          <w:sz w:val="28"/>
          <w:szCs w:val="28"/>
        </w:rPr>
        <w:t xml:space="preserve">Zāļu valsts aģentūra novērtē periodiskos ziņojumus, lai noteiktu, vai ir jauni riski, riski ir mainījušies, vai arī mainījies riska un guvuma </w:t>
      </w:r>
      <w:r w:rsidR="00054489" w:rsidRPr="00E31865">
        <w:rPr>
          <w:sz w:val="28"/>
          <w:szCs w:val="28"/>
        </w:rPr>
        <w:t>līdzsvars</w:t>
      </w:r>
      <w:r w:rsidRPr="00E31865">
        <w:rPr>
          <w:sz w:val="28"/>
          <w:szCs w:val="28"/>
        </w:rPr>
        <w:t>.</w:t>
      </w:r>
    </w:p>
    <w:p w:rsidR="00DC1C1E" w:rsidRDefault="00DC1C1E" w:rsidP="00DC1C1E">
      <w:pPr>
        <w:pStyle w:val="naisf"/>
        <w:tabs>
          <w:tab w:val="left" w:pos="1134"/>
        </w:tabs>
        <w:spacing w:before="0" w:beforeAutospacing="0" w:after="0" w:afterAutospacing="0"/>
        <w:ind w:left="709"/>
        <w:jc w:val="both"/>
        <w:rPr>
          <w:sz w:val="28"/>
          <w:szCs w:val="28"/>
        </w:rPr>
      </w:pPr>
    </w:p>
    <w:p w:rsidR="00DC1C1E" w:rsidRPr="00E736B7" w:rsidRDefault="00DC1C1E" w:rsidP="00E61F63">
      <w:pPr>
        <w:pStyle w:val="naisf"/>
        <w:numPr>
          <w:ilvl w:val="0"/>
          <w:numId w:val="4"/>
        </w:numPr>
        <w:tabs>
          <w:tab w:val="left" w:pos="1134"/>
        </w:tabs>
        <w:spacing w:before="0" w:beforeAutospacing="0" w:after="0" w:afterAutospacing="0"/>
        <w:ind w:left="0" w:firstLine="709"/>
        <w:jc w:val="both"/>
        <w:rPr>
          <w:b/>
          <w:sz w:val="28"/>
          <w:szCs w:val="28"/>
        </w:rPr>
      </w:pPr>
      <w:r w:rsidRPr="00E31865">
        <w:rPr>
          <w:sz w:val="28"/>
          <w:szCs w:val="28"/>
        </w:rPr>
        <w:t>Vienotu ziņojumu raksta Eiropas Zāļu aģentūras koordinācijas grupas (turpmāk –</w:t>
      </w:r>
      <w:r w:rsidR="00D54C98" w:rsidRPr="00E31865">
        <w:rPr>
          <w:sz w:val="28"/>
          <w:szCs w:val="28"/>
        </w:rPr>
        <w:t xml:space="preserve"> koordinācijas grupa) izvēlētā</w:t>
      </w:r>
      <w:r w:rsidRPr="00E31865">
        <w:rPr>
          <w:sz w:val="28"/>
          <w:szCs w:val="28"/>
        </w:rPr>
        <w:t xml:space="preserve"> dalībvalsts vai </w:t>
      </w:r>
      <w:r w:rsidR="00D54C98" w:rsidRPr="00E31865">
        <w:rPr>
          <w:sz w:val="28"/>
          <w:szCs w:val="28"/>
        </w:rPr>
        <w:t xml:space="preserve">Eiropas Zāļu aģentūras </w:t>
      </w:r>
      <w:proofErr w:type="spellStart"/>
      <w:r w:rsidR="00D54C98" w:rsidRPr="00E31865">
        <w:rPr>
          <w:sz w:val="28"/>
          <w:szCs w:val="28"/>
        </w:rPr>
        <w:t>Farmakovigilances</w:t>
      </w:r>
      <w:proofErr w:type="spellEnd"/>
      <w:r w:rsidR="00D54C98" w:rsidRPr="00E31865">
        <w:rPr>
          <w:sz w:val="28"/>
          <w:szCs w:val="28"/>
        </w:rPr>
        <w:t xml:space="preserve"> riska vērtēšanas komitejas iecelts referents</w:t>
      </w:r>
      <w:r w:rsidR="00D54C98" w:rsidRPr="00314FF2">
        <w:rPr>
          <w:sz w:val="28"/>
          <w:szCs w:val="28"/>
        </w:rPr>
        <w:t xml:space="preserve">. </w:t>
      </w:r>
    </w:p>
    <w:p w:rsidR="00287CD4" w:rsidRPr="00874F85" w:rsidRDefault="00287CD4" w:rsidP="00287CD4">
      <w:pPr>
        <w:spacing w:after="0"/>
        <w:rPr>
          <w:rFonts w:ascii="Times New Roman" w:hAnsi="Times New Roman"/>
          <w:sz w:val="28"/>
          <w:szCs w:val="28"/>
          <w:lang w:val="lv-LV"/>
        </w:rPr>
      </w:pPr>
    </w:p>
    <w:p w:rsidR="00287CD4" w:rsidRPr="004A4B58" w:rsidRDefault="00287CD4" w:rsidP="00287CD4">
      <w:pPr>
        <w:pStyle w:val="naisf"/>
        <w:numPr>
          <w:ilvl w:val="0"/>
          <w:numId w:val="4"/>
        </w:numPr>
        <w:spacing w:before="0" w:beforeAutospacing="0" w:after="0" w:afterAutospacing="0"/>
        <w:ind w:left="0" w:firstLine="709"/>
        <w:jc w:val="both"/>
        <w:rPr>
          <w:sz w:val="28"/>
          <w:szCs w:val="28"/>
        </w:rPr>
      </w:pPr>
      <w:r w:rsidRPr="004A4B58">
        <w:rPr>
          <w:sz w:val="28"/>
          <w:szCs w:val="28"/>
        </w:rPr>
        <w:t xml:space="preserve">Ja </w:t>
      </w:r>
      <w:r w:rsidRPr="0006714A">
        <w:rPr>
          <w:sz w:val="28"/>
          <w:szCs w:val="28"/>
        </w:rPr>
        <w:t>atsauces</w:t>
      </w:r>
      <w:r w:rsidRPr="004A4B58">
        <w:rPr>
          <w:sz w:val="28"/>
          <w:szCs w:val="28"/>
        </w:rPr>
        <w:t xml:space="preserve"> valsts vai referents ir Latvija, Zāļu valsts aģentūra 60 dienu laikā sagatavo periodiskā ziņojuma novērtējuma ziņojumu un nosūta Eiropas Zāļu aģentūrai, kā arī EEZ valstu kompetentajām institūcijām.</w:t>
      </w:r>
    </w:p>
    <w:p w:rsidR="00287CD4" w:rsidRPr="004A4B58" w:rsidRDefault="00287CD4" w:rsidP="00287CD4">
      <w:pPr>
        <w:pStyle w:val="naisf"/>
        <w:spacing w:before="0" w:beforeAutospacing="0" w:after="0" w:afterAutospacing="0"/>
        <w:ind w:left="851"/>
        <w:jc w:val="both"/>
        <w:rPr>
          <w:sz w:val="28"/>
          <w:szCs w:val="28"/>
        </w:rPr>
      </w:pPr>
    </w:p>
    <w:p w:rsidR="00287CD4" w:rsidRPr="004A4B58" w:rsidRDefault="00287CD4" w:rsidP="00CB66FC">
      <w:pPr>
        <w:pStyle w:val="Default"/>
        <w:numPr>
          <w:ilvl w:val="0"/>
          <w:numId w:val="4"/>
        </w:numPr>
        <w:autoSpaceDE/>
        <w:autoSpaceDN/>
        <w:adjustRightInd/>
        <w:ind w:left="0" w:firstLine="709"/>
        <w:jc w:val="both"/>
        <w:rPr>
          <w:rFonts w:eastAsia="Times New Roman"/>
          <w:color w:val="auto"/>
          <w:sz w:val="28"/>
          <w:szCs w:val="28"/>
          <w:lang w:val="lv-LV" w:eastAsia="lv-LV"/>
        </w:rPr>
      </w:pPr>
      <w:r w:rsidRPr="004A4B58">
        <w:rPr>
          <w:sz w:val="28"/>
          <w:szCs w:val="28"/>
          <w:lang w:val="lv-LV"/>
        </w:rPr>
        <w:t xml:space="preserve">Ja </w:t>
      </w:r>
      <w:r w:rsidRPr="0006714A">
        <w:rPr>
          <w:color w:val="auto"/>
          <w:sz w:val="28"/>
          <w:szCs w:val="28"/>
          <w:lang w:val="lv-LV"/>
        </w:rPr>
        <w:t xml:space="preserve">atsauces </w:t>
      </w:r>
      <w:r w:rsidRPr="004A4B58">
        <w:rPr>
          <w:sz w:val="28"/>
          <w:szCs w:val="28"/>
          <w:lang w:val="lv-LV"/>
        </w:rPr>
        <w:t>valsts vai referents ir cita EEZ valsts, Zāļu valsts aģentūra ne vēlāk kā 30 dienu laikā pēc novērtējuma ziņojuma saņemšanas var iesniegt savus apsvērumus Eiropas zāļu aģentūrai, attiecīgajai EEZ valsts kompetentajai institūcijai vai referentam par novērtējuma ziņojumu.</w:t>
      </w:r>
    </w:p>
    <w:p w:rsidR="00287CD4" w:rsidRPr="004A4B58" w:rsidRDefault="00287CD4" w:rsidP="00CB66FC">
      <w:pPr>
        <w:pStyle w:val="Default"/>
        <w:autoSpaceDE/>
        <w:autoSpaceDN/>
        <w:adjustRightInd/>
        <w:jc w:val="both"/>
        <w:rPr>
          <w:rFonts w:eastAsia="Times New Roman"/>
          <w:color w:val="auto"/>
          <w:sz w:val="28"/>
          <w:szCs w:val="28"/>
          <w:lang w:val="lv-LV" w:eastAsia="lv-LV"/>
        </w:rPr>
      </w:pPr>
    </w:p>
    <w:p w:rsidR="00287CD4" w:rsidRDefault="00287CD4" w:rsidP="00CB66FC">
      <w:pPr>
        <w:pStyle w:val="naisf"/>
        <w:numPr>
          <w:ilvl w:val="0"/>
          <w:numId w:val="4"/>
        </w:numPr>
        <w:spacing w:before="0" w:beforeAutospacing="0" w:after="0" w:afterAutospacing="0"/>
        <w:ind w:left="0" w:firstLine="851"/>
        <w:jc w:val="both"/>
        <w:rPr>
          <w:sz w:val="28"/>
          <w:szCs w:val="28"/>
        </w:rPr>
      </w:pPr>
      <w:r w:rsidRPr="004A4B58">
        <w:rPr>
          <w:sz w:val="28"/>
          <w:szCs w:val="28"/>
        </w:rPr>
        <w:lastRenderedPageBreak/>
        <w:t xml:space="preserve">Ja </w:t>
      </w:r>
      <w:r w:rsidRPr="0006714A">
        <w:rPr>
          <w:sz w:val="28"/>
          <w:szCs w:val="28"/>
        </w:rPr>
        <w:t xml:space="preserve">atsauces </w:t>
      </w:r>
      <w:r w:rsidRPr="004A4B58">
        <w:rPr>
          <w:sz w:val="28"/>
          <w:szCs w:val="28"/>
        </w:rPr>
        <w:t xml:space="preserve">valsts vai referents ir Latvija, pēc apsvērumu saņemšanas Zāļu valsts aģentūra 15 dienu laikā atjaunina novērtējuma ziņojumu, </w:t>
      </w:r>
      <w:r w:rsidRPr="004A4B58">
        <w:rPr>
          <w:color w:val="000000"/>
          <w:sz w:val="28"/>
          <w:szCs w:val="28"/>
        </w:rPr>
        <w:t>ņemot vērā visus iesniegtos komentārus</w:t>
      </w:r>
      <w:r w:rsidRPr="004A4B58">
        <w:rPr>
          <w:sz w:val="28"/>
          <w:szCs w:val="28"/>
        </w:rPr>
        <w:t xml:space="preserve">, un nosūta to </w:t>
      </w:r>
      <w:proofErr w:type="spellStart"/>
      <w:r w:rsidRPr="004A4B58">
        <w:rPr>
          <w:sz w:val="28"/>
          <w:szCs w:val="28"/>
        </w:rPr>
        <w:t>Farmakovigilances</w:t>
      </w:r>
      <w:proofErr w:type="spellEnd"/>
      <w:r w:rsidRPr="004A4B58">
        <w:rPr>
          <w:sz w:val="28"/>
          <w:szCs w:val="28"/>
        </w:rPr>
        <w:t xml:space="preserve"> riska vērtēšanas komitejai.</w:t>
      </w:r>
    </w:p>
    <w:p w:rsidR="00CB66FC" w:rsidRDefault="00CB66FC" w:rsidP="00CB66FC">
      <w:pPr>
        <w:pStyle w:val="ListParagraph"/>
        <w:spacing w:after="0"/>
        <w:rPr>
          <w:sz w:val="28"/>
          <w:szCs w:val="28"/>
        </w:rPr>
      </w:pPr>
    </w:p>
    <w:p w:rsidR="00CB66FC" w:rsidRDefault="00CB66FC" w:rsidP="00CB66FC">
      <w:pPr>
        <w:pStyle w:val="naisf"/>
        <w:numPr>
          <w:ilvl w:val="0"/>
          <w:numId w:val="4"/>
        </w:numPr>
        <w:spacing w:before="0" w:beforeAutospacing="0" w:after="0" w:afterAutospacing="0"/>
        <w:ind w:left="0" w:firstLine="851"/>
        <w:jc w:val="both"/>
        <w:rPr>
          <w:sz w:val="28"/>
          <w:szCs w:val="28"/>
        </w:rPr>
      </w:pPr>
      <w:r>
        <w:rPr>
          <w:sz w:val="28"/>
          <w:szCs w:val="28"/>
        </w:rPr>
        <w:t>Pēc periodisko ziņojumu izvērtēšanas Zāļu valsts aģentūra, ja nepieciešams, attiecīgi lemj par zāļu reģistrācijas saglabāšanu, izmaiņām, apturēšanu vai anulēšanu saskaņā ar normatīvajiem aktiem par zāļu reģistrēšanu.</w:t>
      </w:r>
    </w:p>
    <w:p w:rsidR="00D41F3E" w:rsidRDefault="00D41F3E" w:rsidP="00D41F3E">
      <w:pPr>
        <w:pStyle w:val="naisf"/>
        <w:tabs>
          <w:tab w:val="left" w:pos="1134"/>
        </w:tabs>
        <w:spacing w:before="0" w:beforeAutospacing="0" w:after="0" w:afterAutospacing="0"/>
        <w:jc w:val="both"/>
        <w:rPr>
          <w:sz w:val="28"/>
          <w:szCs w:val="28"/>
        </w:rPr>
      </w:pPr>
    </w:p>
    <w:p w:rsidR="005E7098" w:rsidRPr="005E7098" w:rsidRDefault="005E7098" w:rsidP="00093FF3">
      <w:pPr>
        <w:pStyle w:val="NormalWeb"/>
        <w:tabs>
          <w:tab w:val="left" w:pos="1134"/>
        </w:tabs>
        <w:spacing w:before="0" w:beforeAutospacing="0" w:after="0" w:afterAutospacing="0"/>
        <w:ind w:left="1211"/>
        <w:jc w:val="center"/>
        <w:rPr>
          <w:b/>
          <w:sz w:val="28"/>
          <w:szCs w:val="28"/>
        </w:rPr>
      </w:pPr>
      <w:r w:rsidRPr="005E7098">
        <w:rPr>
          <w:b/>
          <w:sz w:val="28"/>
          <w:szCs w:val="28"/>
        </w:rPr>
        <w:t>VI. Steidzama ar zāļu drošumu saistīta Eiropas</w:t>
      </w:r>
    </w:p>
    <w:p w:rsidR="00A9235D" w:rsidRDefault="005E7098" w:rsidP="00093FF3">
      <w:pPr>
        <w:pStyle w:val="ListParagraph"/>
        <w:spacing w:after="0"/>
        <w:ind w:left="1211"/>
        <w:jc w:val="center"/>
        <w:rPr>
          <w:rFonts w:ascii="Times New Roman" w:hAnsi="Times New Roman"/>
          <w:b/>
          <w:sz w:val="28"/>
          <w:szCs w:val="28"/>
        </w:rPr>
      </w:pPr>
      <w:proofErr w:type="spellStart"/>
      <w:r w:rsidRPr="005E7098">
        <w:rPr>
          <w:rFonts w:ascii="Times New Roman" w:hAnsi="Times New Roman"/>
          <w:b/>
          <w:sz w:val="28"/>
          <w:szCs w:val="28"/>
        </w:rPr>
        <w:t>Savienības</w:t>
      </w:r>
      <w:proofErr w:type="spellEnd"/>
      <w:r w:rsidRPr="005E7098">
        <w:rPr>
          <w:rFonts w:ascii="Times New Roman" w:hAnsi="Times New Roman"/>
          <w:b/>
          <w:sz w:val="28"/>
          <w:szCs w:val="28"/>
        </w:rPr>
        <w:t xml:space="preserve"> </w:t>
      </w:r>
      <w:proofErr w:type="spellStart"/>
      <w:r w:rsidRPr="005E7098">
        <w:rPr>
          <w:rFonts w:ascii="Times New Roman" w:hAnsi="Times New Roman"/>
          <w:b/>
          <w:sz w:val="28"/>
          <w:szCs w:val="28"/>
        </w:rPr>
        <w:t>procedūra</w:t>
      </w:r>
      <w:proofErr w:type="spellEnd"/>
    </w:p>
    <w:p w:rsidR="00093FF3" w:rsidRPr="00A9235D" w:rsidRDefault="00093FF3" w:rsidP="00093FF3">
      <w:pPr>
        <w:pStyle w:val="ListParagraph"/>
        <w:spacing w:after="0"/>
        <w:ind w:left="1211"/>
        <w:jc w:val="center"/>
        <w:rPr>
          <w:rFonts w:ascii="Times New Roman" w:hAnsi="Times New Roman"/>
          <w:b/>
          <w:sz w:val="28"/>
          <w:szCs w:val="28"/>
        </w:rPr>
      </w:pPr>
    </w:p>
    <w:p w:rsidR="00093FF3" w:rsidRDefault="00BB11FA" w:rsidP="00093FF3">
      <w:pPr>
        <w:pStyle w:val="naisf"/>
        <w:numPr>
          <w:ilvl w:val="0"/>
          <w:numId w:val="19"/>
        </w:numPr>
        <w:tabs>
          <w:tab w:val="left" w:pos="1276"/>
        </w:tabs>
        <w:spacing w:before="0" w:beforeAutospacing="0" w:after="0" w:afterAutospacing="0"/>
        <w:jc w:val="both"/>
        <w:rPr>
          <w:sz w:val="28"/>
          <w:szCs w:val="28"/>
        </w:rPr>
      </w:pPr>
      <w:r w:rsidRPr="00E31865">
        <w:rPr>
          <w:sz w:val="28"/>
          <w:szCs w:val="28"/>
        </w:rPr>
        <w:t xml:space="preserve">Zāļu valsts aģentūra, pamatojoties uz </w:t>
      </w:r>
      <w:proofErr w:type="spellStart"/>
      <w:r w:rsidRPr="00E31865">
        <w:rPr>
          <w:sz w:val="28"/>
          <w:szCs w:val="28"/>
        </w:rPr>
        <w:t>farm</w:t>
      </w:r>
      <w:r w:rsidR="00093FF3">
        <w:rPr>
          <w:sz w:val="28"/>
          <w:szCs w:val="28"/>
        </w:rPr>
        <w:t>akovigilances</w:t>
      </w:r>
      <w:proofErr w:type="spellEnd"/>
      <w:r w:rsidR="00093FF3">
        <w:rPr>
          <w:sz w:val="28"/>
          <w:szCs w:val="28"/>
        </w:rPr>
        <w:t xml:space="preserve"> datu izvērtēšanas </w:t>
      </w:r>
    </w:p>
    <w:p w:rsidR="00E00FF7" w:rsidRPr="00CB66FC" w:rsidRDefault="00BB11FA" w:rsidP="00275566">
      <w:pPr>
        <w:pStyle w:val="naisf"/>
        <w:tabs>
          <w:tab w:val="left" w:pos="1276"/>
        </w:tabs>
        <w:spacing w:before="0" w:beforeAutospacing="0" w:after="0" w:afterAutospacing="0"/>
        <w:jc w:val="both"/>
        <w:rPr>
          <w:sz w:val="28"/>
          <w:szCs w:val="28"/>
        </w:rPr>
      </w:pPr>
      <w:r w:rsidRPr="00093FF3">
        <w:rPr>
          <w:sz w:val="28"/>
          <w:szCs w:val="28"/>
        </w:rPr>
        <w:t>rezultātiem, ja ir pamatota nepieciešamība par steidzamu rīcību, lemj par:</w:t>
      </w:r>
    </w:p>
    <w:p w:rsidR="00BB11FA" w:rsidRPr="00E31865" w:rsidRDefault="00D57081" w:rsidP="00093FF3">
      <w:pPr>
        <w:numPr>
          <w:ilvl w:val="1"/>
          <w:numId w:val="19"/>
        </w:numPr>
        <w:spacing w:after="0"/>
        <w:ind w:left="0" w:firstLine="709"/>
        <w:jc w:val="both"/>
        <w:rPr>
          <w:rFonts w:ascii="Times New Roman" w:hAnsi="Times New Roman"/>
          <w:sz w:val="28"/>
          <w:szCs w:val="28"/>
          <w:lang w:val="lv-LV"/>
        </w:rPr>
      </w:pPr>
      <w:r w:rsidRPr="00E31865">
        <w:rPr>
          <w:rFonts w:ascii="Times New Roman" w:hAnsi="Times New Roman"/>
          <w:sz w:val="28"/>
          <w:szCs w:val="28"/>
          <w:lang w:val="lv-LV"/>
        </w:rPr>
        <w:t xml:space="preserve">zāļu </w:t>
      </w:r>
      <w:r w:rsidR="00BB11FA" w:rsidRPr="00E31865">
        <w:rPr>
          <w:rFonts w:ascii="Times New Roman" w:hAnsi="Times New Roman"/>
          <w:sz w:val="28"/>
          <w:szCs w:val="28"/>
          <w:lang w:val="lv-LV"/>
        </w:rPr>
        <w:t xml:space="preserve">reģistrācijas apturēšanu vai anulēšanu saskaņā ar normatīvajiem aktiem par </w:t>
      </w:r>
      <w:r w:rsidRPr="00E31865">
        <w:rPr>
          <w:rFonts w:ascii="Times New Roman" w:hAnsi="Times New Roman"/>
          <w:sz w:val="28"/>
          <w:szCs w:val="28"/>
          <w:lang w:val="lv-LV"/>
        </w:rPr>
        <w:t xml:space="preserve">zāļu </w:t>
      </w:r>
      <w:r w:rsidR="00BB11FA" w:rsidRPr="00E31865">
        <w:rPr>
          <w:rFonts w:ascii="Times New Roman" w:hAnsi="Times New Roman"/>
          <w:sz w:val="28"/>
          <w:szCs w:val="28"/>
          <w:lang w:val="lv-LV"/>
        </w:rPr>
        <w:t>reģistrēšan</w:t>
      </w:r>
      <w:r w:rsidRPr="00E31865">
        <w:rPr>
          <w:rFonts w:ascii="Times New Roman" w:hAnsi="Times New Roman"/>
          <w:sz w:val="28"/>
          <w:szCs w:val="28"/>
          <w:lang w:val="lv-LV"/>
        </w:rPr>
        <w:t>as kārtību</w:t>
      </w:r>
      <w:r w:rsidR="00BB11FA" w:rsidRPr="00E31865">
        <w:rPr>
          <w:rFonts w:ascii="Times New Roman" w:hAnsi="Times New Roman"/>
          <w:sz w:val="28"/>
          <w:szCs w:val="28"/>
          <w:lang w:val="lv-LV"/>
        </w:rPr>
        <w:t>;</w:t>
      </w:r>
    </w:p>
    <w:p w:rsidR="00BB11FA" w:rsidRPr="00E31865" w:rsidRDefault="00BB11FA" w:rsidP="00093FF3">
      <w:pPr>
        <w:numPr>
          <w:ilvl w:val="1"/>
          <w:numId w:val="19"/>
        </w:numPr>
        <w:spacing w:after="0"/>
        <w:ind w:left="0" w:firstLine="709"/>
        <w:jc w:val="both"/>
        <w:rPr>
          <w:rFonts w:ascii="Times New Roman" w:hAnsi="Times New Roman"/>
          <w:sz w:val="28"/>
          <w:szCs w:val="28"/>
          <w:lang w:val="lv-LV"/>
        </w:rPr>
      </w:pPr>
      <w:r w:rsidRPr="00E31865">
        <w:rPr>
          <w:rFonts w:ascii="Times New Roman" w:hAnsi="Times New Roman"/>
          <w:sz w:val="28"/>
          <w:szCs w:val="28"/>
          <w:lang w:val="lv-LV"/>
        </w:rPr>
        <w:t>zāļu piegādes aizliegšanu saskaņā ar normatīvajiem aktiem par zāļu izplatīšanas un kvalitātes kontroles kārtību;</w:t>
      </w:r>
    </w:p>
    <w:p w:rsidR="00BB11FA" w:rsidRPr="00E31865" w:rsidRDefault="00BB11FA" w:rsidP="00CB66FC">
      <w:pPr>
        <w:numPr>
          <w:ilvl w:val="1"/>
          <w:numId w:val="19"/>
        </w:numPr>
        <w:ind w:left="0" w:firstLine="709"/>
        <w:rPr>
          <w:rFonts w:ascii="Times New Roman" w:hAnsi="Times New Roman"/>
          <w:sz w:val="28"/>
          <w:szCs w:val="28"/>
          <w:lang w:val="lv-LV"/>
        </w:rPr>
      </w:pPr>
      <w:r w:rsidRPr="00E31865">
        <w:rPr>
          <w:rFonts w:ascii="Times New Roman" w:hAnsi="Times New Roman"/>
          <w:sz w:val="28"/>
          <w:szCs w:val="28"/>
          <w:lang w:val="lv-LV"/>
        </w:rPr>
        <w:t xml:space="preserve">zāļu pārreģistrācijas atteikumu saskaņā ar normatīvajiem aktiem par </w:t>
      </w:r>
      <w:r w:rsidR="00D57081" w:rsidRPr="00E31865">
        <w:rPr>
          <w:rFonts w:ascii="Times New Roman" w:hAnsi="Times New Roman"/>
          <w:sz w:val="28"/>
          <w:szCs w:val="28"/>
          <w:lang w:val="lv-LV"/>
        </w:rPr>
        <w:t xml:space="preserve">zāļu </w:t>
      </w:r>
      <w:r w:rsidRPr="00E31865">
        <w:rPr>
          <w:rFonts w:ascii="Times New Roman" w:hAnsi="Times New Roman"/>
          <w:sz w:val="28"/>
          <w:szCs w:val="28"/>
          <w:lang w:val="lv-LV"/>
        </w:rPr>
        <w:t>reģistrēšanas kārtību;</w:t>
      </w:r>
    </w:p>
    <w:p w:rsidR="0071041E" w:rsidRPr="00E31865" w:rsidRDefault="00BB11FA" w:rsidP="00CB66FC">
      <w:pPr>
        <w:numPr>
          <w:ilvl w:val="1"/>
          <w:numId w:val="19"/>
        </w:numPr>
        <w:spacing w:after="0" w:line="240" w:lineRule="auto"/>
        <w:ind w:left="0" w:firstLine="709"/>
        <w:jc w:val="both"/>
        <w:rPr>
          <w:rFonts w:ascii="Times New Roman" w:hAnsi="Times New Roman"/>
          <w:sz w:val="28"/>
          <w:szCs w:val="28"/>
          <w:lang w:val="lv-LV"/>
        </w:rPr>
      </w:pPr>
      <w:r w:rsidRPr="00E31865">
        <w:rPr>
          <w:rFonts w:ascii="Times New Roman" w:hAnsi="Times New Roman"/>
          <w:sz w:val="28"/>
          <w:szCs w:val="28"/>
          <w:lang w:val="lv-LV"/>
        </w:rPr>
        <w:t>šo</w:t>
      </w:r>
      <w:r w:rsidRPr="00E31865">
        <w:rPr>
          <w:rFonts w:ascii="Times New Roman" w:hAnsi="Times New Roman"/>
          <w:color w:val="FF0000"/>
          <w:sz w:val="28"/>
          <w:szCs w:val="28"/>
          <w:lang w:val="lv-LV"/>
        </w:rPr>
        <w:t xml:space="preserve"> </w:t>
      </w:r>
      <w:r w:rsidRPr="00E31865">
        <w:rPr>
          <w:rFonts w:ascii="Times New Roman" w:hAnsi="Times New Roman"/>
          <w:sz w:val="28"/>
          <w:szCs w:val="28"/>
          <w:lang w:val="lv-LV"/>
        </w:rPr>
        <w:t>noteikumu 3</w:t>
      </w:r>
      <w:r w:rsidR="00462A5C">
        <w:rPr>
          <w:rFonts w:ascii="Times New Roman" w:hAnsi="Times New Roman"/>
          <w:sz w:val="28"/>
          <w:szCs w:val="28"/>
          <w:lang w:val="lv-LV"/>
        </w:rPr>
        <w:t>3</w:t>
      </w:r>
      <w:r w:rsidRPr="00E31865">
        <w:rPr>
          <w:rFonts w:ascii="Times New Roman" w:hAnsi="Times New Roman"/>
          <w:sz w:val="28"/>
          <w:szCs w:val="28"/>
          <w:lang w:val="lv-LV"/>
        </w:rPr>
        <w:t>.1., 3</w:t>
      </w:r>
      <w:r w:rsidR="00462A5C">
        <w:rPr>
          <w:rFonts w:ascii="Times New Roman" w:hAnsi="Times New Roman"/>
          <w:sz w:val="28"/>
          <w:szCs w:val="28"/>
          <w:lang w:val="lv-LV"/>
        </w:rPr>
        <w:t>3</w:t>
      </w:r>
      <w:r w:rsidRPr="00E31865">
        <w:rPr>
          <w:rFonts w:ascii="Times New Roman" w:hAnsi="Times New Roman"/>
          <w:sz w:val="28"/>
          <w:szCs w:val="28"/>
          <w:lang w:val="lv-LV"/>
        </w:rPr>
        <w:t>.2. vai 3</w:t>
      </w:r>
      <w:r w:rsidR="00462A5C">
        <w:rPr>
          <w:rFonts w:ascii="Times New Roman" w:hAnsi="Times New Roman"/>
          <w:sz w:val="28"/>
          <w:szCs w:val="28"/>
          <w:lang w:val="lv-LV"/>
        </w:rPr>
        <w:t>3</w:t>
      </w:r>
      <w:r w:rsidRPr="00E31865">
        <w:rPr>
          <w:rFonts w:ascii="Times New Roman" w:hAnsi="Times New Roman"/>
          <w:sz w:val="28"/>
          <w:szCs w:val="28"/>
          <w:lang w:val="lv-LV"/>
        </w:rPr>
        <w:t xml:space="preserve">.3.apakšpunktā minēto gadījumu, ja reģistrācijas īpašnieks informējis par to, ka zāļu drošuma apsvērumu dēļ tas pārtraucis zāļu izplatīšanu, atsaucis </w:t>
      </w:r>
      <w:r w:rsidR="00D57081" w:rsidRPr="00E31865">
        <w:rPr>
          <w:rFonts w:ascii="Times New Roman" w:hAnsi="Times New Roman"/>
          <w:sz w:val="28"/>
          <w:szCs w:val="28"/>
          <w:lang w:val="lv-LV"/>
        </w:rPr>
        <w:t xml:space="preserve">zāļu reģistrāciju </w:t>
      </w:r>
      <w:r w:rsidRPr="00E31865">
        <w:rPr>
          <w:rFonts w:ascii="Times New Roman" w:hAnsi="Times New Roman"/>
          <w:sz w:val="28"/>
          <w:szCs w:val="28"/>
          <w:lang w:val="lv-LV"/>
        </w:rPr>
        <w:t>vai nodomājis to darīt;</w:t>
      </w:r>
    </w:p>
    <w:p w:rsidR="0071041E" w:rsidRPr="00160E39" w:rsidRDefault="0071041E" w:rsidP="0071041E">
      <w:pPr>
        <w:spacing w:after="0" w:line="240" w:lineRule="auto"/>
        <w:ind w:left="709"/>
        <w:jc w:val="both"/>
        <w:rPr>
          <w:rFonts w:ascii="Times New Roman" w:hAnsi="Times New Roman"/>
          <w:b/>
          <w:sz w:val="28"/>
          <w:szCs w:val="28"/>
          <w:lang w:val="lv-LV"/>
        </w:rPr>
      </w:pPr>
    </w:p>
    <w:p w:rsidR="00287CD4" w:rsidRPr="00E31865" w:rsidRDefault="00BB11FA" w:rsidP="00CB66FC">
      <w:pPr>
        <w:numPr>
          <w:ilvl w:val="1"/>
          <w:numId w:val="19"/>
        </w:numPr>
        <w:spacing w:after="0" w:line="240" w:lineRule="auto"/>
        <w:ind w:left="0" w:firstLine="709"/>
        <w:jc w:val="both"/>
        <w:rPr>
          <w:rFonts w:ascii="Times New Roman" w:hAnsi="Times New Roman"/>
          <w:sz w:val="28"/>
          <w:szCs w:val="28"/>
          <w:lang w:val="lv-LV"/>
        </w:rPr>
      </w:pPr>
      <w:r w:rsidRPr="00E31865">
        <w:rPr>
          <w:rFonts w:ascii="Tms Rmn" w:hAnsi="Tms Rmn" w:cs="Tms Rmn"/>
          <w:bCs/>
          <w:sz w:val="28"/>
          <w:szCs w:val="28"/>
          <w:lang w:val="lv-LV" w:eastAsia="lv-LV"/>
        </w:rPr>
        <w:t>izmaiņām reģistrā</w:t>
      </w:r>
      <w:r w:rsidR="00BA43EE" w:rsidRPr="00E31865">
        <w:rPr>
          <w:rFonts w:ascii="Tms Rmn" w:hAnsi="Tms Rmn" w:cs="Tms Rmn"/>
          <w:bCs/>
          <w:sz w:val="28"/>
          <w:szCs w:val="28"/>
          <w:lang w:val="lv-LV" w:eastAsia="lv-LV"/>
        </w:rPr>
        <w:t>cijas dokumentācijā</w:t>
      </w:r>
      <w:r w:rsidR="00BA43EE" w:rsidRPr="00160E39">
        <w:rPr>
          <w:rFonts w:ascii="Tms Rmn" w:hAnsi="Tms Rmn" w:cs="Tms Rmn"/>
          <w:b/>
          <w:bCs/>
          <w:color w:val="000000"/>
          <w:sz w:val="28"/>
          <w:szCs w:val="28"/>
          <w:lang w:val="lv-LV" w:eastAsia="lv-LV"/>
        </w:rPr>
        <w:t xml:space="preserve"> </w:t>
      </w:r>
      <w:r w:rsidR="00BA43EE" w:rsidRPr="00E31865">
        <w:rPr>
          <w:rFonts w:ascii="Tms Rmn" w:hAnsi="Tms Rmn" w:cs="Tms Rmn"/>
          <w:bCs/>
          <w:color w:val="000000"/>
          <w:sz w:val="28"/>
          <w:szCs w:val="28"/>
          <w:lang w:val="lv-LV" w:eastAsia="lv-LV"/>
        </w:rPr>
        <w:t>attiecībā uz</w:t>
      </w:r>
      <w:r w:rsidRPr="00E31865">
        <w:rPr>
          <w:rFonts w:ascii="Tms Rmn" w:hAnsi="Tms Rmn" w:cs="Tms Rmn"/>
          <w:bCs/>
          <w:color w:val="000000"/>
          <w:sz w:val="28"/>
          <w:szCs w:val="28"/>
          <w:lang w:val="lv-LV" w:eastAsia="lv-LV"/>
        </w:rPr>
        <w:t xml:space="preserve"> jaunas kontrindikācijas pievienošanu, ieteicamās devas samazināšanu vai indikācijas sašaurināšanu</w:t>
      </w:r>
      <w:r w:rsidRPr="00E31865">
        <w:rPr>
          <w:sz w:val="28"/>
          <w:szCs w:val="28"/>
          <w:lang w:val="lv-LV"/>
        </w:rPr>
        <w:t>.</w:t>
      </w:r>
    </w:p>
    <w:p w:rsidR="00287CD4" w:rsidRDefault="00287CD4" w:rsidP="00287CD4">
      <w:pPr>
        <w:pStyle w:val="naisf"/>
        <w:tabs>
          <w:tab w:val="left" w:pos="1134"/>
        </w:tabs>
        <w:spacing w:before="0" w:beforeAutospacing="0" w:after="0" w:afterAutospacing="0"/>
        <w:ind w:left="709"/>
        <w:jc w:val="both"/>
        <w:rPr>
          <w:sz w:val="28"/>
          <w:szCs w:val="28"/>
        </w:rPr>
      </w:pPr>
    </w:p>
    <w:p w:rsidR="00387AC9" w:rsidRDefault="00CB66FC" w:rsidP="00CB66FC">
      <w:pPr>
        <w:pStyle w:val="naisf"/>
        <w:numPr>
          <w:ilvl w:val="0"/>
          <w:numId w:val="19"/>
        </w:numPr>
        <w:tabs>
          <w:tab w:val="left" w:pos="1134"/>
        </w:tabs>
        <w:spacing w:before="0" w:beforeAutospacing="0" w:after="0" w:afterAutospacing="0"/>
        <w:jc w:val="both"/>
        <w:rPr>
          <w:sz w:val="28"/>
          <w:szCs w:val="28"/>
        </w:rPr>
      </w:pPr>
      <w:r>
        <w:rPr>
          <w:sz w:val="28"/>
          <w:szCs w:val="28"/>
        </w:rPr>
        <w:t xml:space="preserve"> </w:t>
      </w:r>
      <w:r w:rsidR="00287CD4" w:rsidRPr="00382B66">
        <w:rPr>
          <w:sz w:val="28"/>
          <w:szCs w:val="28"/>
        </w:rPr>
        <w:t xml:space="preserve">Pieņemot šo noteikumu </w:t>
      </w:r>
      <w:r w:rsidR="00B050EE">
        <w:rPr>
          <w:sz w:val="28"/>
          <w:szCs w:val="28"/>
        </w:rPr>
        <w:t>3</w:t>
      </w:r>
      <w:r w:rsidR="00462A5C">
        <w:rPr>
          <w:sz w:val="28"/>
          <w:szCs w:val="28"/>
        </w:rPr>
        <w:t>3</w:t>
      </w:r>
      <w:r w:rsidR="00287CD4" w:rsidRPr="00382B66">
        <w:rPr>
          <w:sz w:val="28"/>
          <w:szCs w:val="28"/>
        </w:rPr>
        <w:t>.punktā minē</w:t>
      </w:r>
      <w:r w:rsidR="00387AC9">
        <w:rPr>
          <w:sz w:val="28"/>
          <w:szCs w:val="28"/>
        </w:rPr>
        <w:t xml:space="preserve">to lēmumu, Zāļu valsts aģentūra </w:t>
      </w:r>
    </w:p>
    <w:p w:rsidR="00287CD4" w:rsidRDefault="00287CD4" w:rsidP="00387AC9">
      <w:pPr>
        <w:pStyle w:val="naisf"/>
        <w:tabs>
          <w:tab w:val="left" w:pos="1134"/>
        </w:tabs>
        <w:spacing w:before="0" w:beforeAutospacing="0" w:after="0" w:afterAutospacing="0"/>
        <w:jc w:val="both"/>
        <w:rPr>
          <w:sz w:val="28"/>
          <w:szCs w:val="28"/>
        </w:rPr>
      </w:pPr>
      <w:r w:rsidRPr="00382B66">
        <w:rPr>
          <w:sz w:val="28"/>
          <w:szCs w:val="28"/>
        </w:rPr>
        <w:t>saskaņā ar šo noteik</w:t>
      </w:r>
      <w:r w:rsidR="00BA43EE">
        <w:rPr>
          <w:sz w:val="28"/>
          <w:szCs w:val="28"/>
        </w:rPr>
        <w:t>umu 21</w:t>
      </w:r>
      <w:r w:rsidRPr="00382B66">
        <w:rPr>
          <w:sz w:val="28"/>
          <w:szCs w:val="28"/>
        </w:rPr>
        <w:t>.3.apakšpunktu informē Eiropas Zāļu aģentūru un Eir</w:t>
      </w:r>
      <w:r>
        <w:rPr>
          <w:sz w:val="28"/>
          <w:szCs w:val="28"/>
        </w:rPr>
        <w:t xml:space="preserve">opas Komisiju, kā arī citu EEZ </w:t>
      </w:r>
      <w:r w:rsidRPr="00382B66">
        <w:rPr>
          <w:sz w:val="28"/>
          <w:szCs w:val="28"/>
        </w:rPr>
        <w:t>val</w:t>
      </w:r>
      <w:r w:rsidR="00501269">
        <w:rPr>
          <w:sz w:val="28"/>
          <w:szCs w:val="28"/>
        </w:rPr>
        <w:t>stu kompetentās institūcijas un</w:t>
      </w:r>
      <w:r w:rsidR="00953A16">
        <w:rPr>
          <w:sz w:val="28"/>
          <w:szCs w:val="28"/>
        </w:rPr>
        <w:t xml:space="preserve"> </w:t>
      </w:r>
      <w:r w:rsidRPr="00382B66">
        <w:rPr>
          <w:sz w:val="28"/>
          <w:szCs w:val="28"/>
        </w:rPr>
        <w:t>reģistrācijas</w:t>
      </w:r>
      <w:r w:rsidR="00501269">
        <w:rPr>
          <w:sz w:val="28"/>
          <w:szCs w:val="28"/>
        </w:rPr>
        <w:t xml:space="preserve"> īpašnieku</w:t>
      </w:r>
      <w:r w:rsidRPr="00382B66">
        <w:rPr>
          <w:sz w:val="28"/>
          <w:szCs w:val="28"/>
        </w:rPr>
        <w:t>, kas ir atbildīgs par konkrēto zāļu izplatīšanu.</w:t>
      </w:r>
    </w:p>
    <w:p w:rsidR="00CB66FC" w:rsidRPr="00382B66" w:rsidRDefault="00CB66FC" w:rsidP="00387AC9">
      <w:pPr>
        <w:pStyle w:val="naisf"/>
        <w:tabs>
          <w:tab w:val="left" w:pos="1134"/>
        </w:tabs>
        <w:spacing w:before="0" w:beforeAutospacing="0" w:after="0" w:afterAutospacing="0"/>
        <w:jc w:val="both"/>
        <w:rPr>
          <w:sz w:val="28"/>
          <w:szCs w:val="28"/>
        </w:rPr>
      </w:pPr>
    </w:p>
    <w:p w:rsidR="0071041E" w:rsidRPr="00E31865" w:rsidRDefault="00287CD4" w:rsidP="00CB66FC">
      <w:pPr>
        <w:pStyle w:val="naisf"/>
        <w:numPr>
          <w:ilvl w:val="0"/>
          <w:numId w:val="19"/>
        </w:numPr>
        <w:tabs>
          <w:tab w:val="left" w:pos="1134"/>
        </w:tabs>
        <w:spacing w:before="0" w:beforeAutospacing="0" w:after="0" w:afterAutospacing="0"/>
        <w:ind w:left="0" w:firstLine="709"/>
        <w:jc w:val="both"/>
        <w:rPr>
          <w:sz w:val="28"/>
          <w:szCs w:val="28"/>
        </w:rPr>
      </w:pPr>
      <w:r w:rsidRPr="00382B66">
        <w:rPr>
          <w:sz w:val="28"/>
          <w:szCs w:val="28"/>
        </w:rPr>
        <w:t xml:space="preserve">Ja ir nepieciešami steidzami pasākumi, lai nodrošinātu sabiedrības veselības aizsardzību, Zāļu valsts aģentūra līdz galīgā lēmuma pieņemšanai ir </w:t>
      </w:r>
      <w:r w:rsidRPr="00382B66">
        <w:rPr>
          <w:sz w:val="28"/>
          <w:szCs w:val="28"/>
        </w:rPr>
        <w:lastRenderedPageBreak/>
        <w:t xml:space="preserve">tiesīga apturēt </w:t>
      </w:r>
      <w:r w:rsidR="00953A16">
        <w:rPr>
          <w:sz w:val="28"/>
          <w:szCs w:val="28"/>
        </w:rPr>
        <w:t xml:space="preserve">zāļu </w:t>
      </w:r>
      <w:r w:rsidR="00D57081">
        <w:rPr>
          <w:sz w:val="28"/>
          <w:szCs w:val="28"/>
        </w:rPr>
        <w:t>reģistrāciju</w:t>
      </w:r>
      <w:r w:rsidRPr="00382B66">
        <w:rPr>
          <w:sz w:val="28"/>
          <w:szCs w:val="28"/>
        </w:rPr>
        <w:t xml:space="preserve"> un aizliegt attiecīgo zāļu lietošanu tās teritorijā, par to informējot ne vēlāk kā nākamajā darbdienā Eiropas Zāļu aģentūru</w:t>
      </w:r>
      <w:r>
        <w:rPr>
          <w:sz w:val="28"/>
          <w:szCs w:val="28"/>
        </w:rPr>
        <w:t xml:space="preserve">, Eiropas Komisiju un citu EEZ </w:t>
      </w:r>
      <w:r w:rsidRPr="00382B66">
        <w:rPr>
          <w:sz w:val="28"/>
          <w:szCs w:val="28"/>
        </w:rPr>
        <w:t>valstu kompetentās institūcijas.</w:t>
      </w:r>
    </w:p>
    <w:p w:rsidR="00287CD4" w:rsidRDefault="00287CD4" w:rsidP="00287CD4">
      <w:pPr>
        <w:pStyle w:val="naisf"/>
        <w:tabs>
          <w:tab w:val="left" w:pos="1134"/>
        </w:tabs>
        <w:spacing w:before="0" w:beforeAutospacing="0" w:after="0" w:afterAutospacing="0"/>
        <w:ind w:left="709"/>
        <w:jc w:val="both"/>
        <w:rPr>
          <w:sz w:val="28"/>
          <w:szCs w:val="28"/>
        </w:rPr>
      </w:pPr>
    </w:p>
    <w:p w:rsidR="00287CD4" w:rsidRDefault="00E31865" w:rsidP="00CB66FC">
      <w:pPr>
        <w:pStyle w:val="naisf"/>
        <w:numPr>
          <w:ilvl w:val="0"/>
          <w:numId w:val="19"/>
        </w:numPr>
        <w:tabs>
          <w:tab w:val="left" w:pos="1134"/>
        </w:tabs>
        <w:spacing w:before="0" w:beforeAutospacing="0" w:after="0" w:afterAutospacing="0"/>
        <w:ind w:left="0" w:firstLine="709"/>
        <w:jc w:val="both"/>
        <w:rPr>
          <w:sz w:val="28"/>
          <w:szCs w:val="28"/>
        </w:rPr>
      </w:pPr>
      <w:r>
        <w:rPr>
          <w:sz w:val="28"/>
          <w:szCs w:val="28"/>
        </w:rPr>
        <w:t xml:space="preserve">Steidzamā Eiropas Savienības procedūra </w:t>
      </w:r>
      <w:r w:rsidR="00287CD4" w:rsidRPr="002C4207">
        <w:rPr>
          <w:sz w:val="28"/>
          <w:szCs w:val="28"/>
        </w:rPr>
        <w:t>var</w:t>
      </w:r>
      <w:r w:rsidR="00287CD4">
        <w:rPr>
          <w:sz w:val="28"/>
          <w:szCs w:val="28"/>
        </w:rPr>
        <w:t xml:space="preserve"> attiekties uz atsevišķām zālēm vai</w:t>
      </w:r>
      <w:r w:rsidR="00287CD4" w:rsidRPr="002C4207">
        <w:rPr>
          <w:sz w:val="28"/>
          <w:szCs w:val="28"/>
        </w:rPr>
        <w:t xml:space="preserve"> zāļ</w:t>
      </w:r>
      <w:r w:rsidR="00287CD4">
        <w:rPr>
          <w:sz w:val="28"/>
          <w:szCs w:val="28"/>
        </w:rPr>
        <w:t>u grupu</w:t>
      </w:r>
      <w:r w:rsidR="00287CD4" w:rsidRPr="001E5D07">
        <w:rPr>
          <w:sz w:val="28"/>
          <w:szCs w:val="28"/>
        </w:rPr>
        <w:t>.</w:t>
      </w:r>
    </w:p>
    <w:p w:rsidR="009B3896" w:rsidRDefault="009B3896" w:rsidP="009B3896">
      <w:pPr>
        <w:pStyle w:val="naisf"/>
        <w:tabs>
          <w:tab w:val="left" w:pos="1134"/>
        </w:tabs>
        <w:spacing w:before="0" w:beforeAutospacing="0" w:after="0" w:afterAutospacing="0"/>
        <w:ind w:left="709"/>
        <w:jc w:val="both"/>
        <w:rPr>
          <w:sz w:val="28"/>
          <w:szCs w:val="28"/>
        </w:rPr>
      </w:pPr>
    </w:p>
    <w:p w:rsidR="001C414A" w:rsidRDefault="009B3896" w:rsidP="00CB66FC">
      <w:pPr>
        <w:pStyle w:val="naisf"/>
        <w:numPr>
          <w:ilvl w:val="0"/>
          <w:numId w:val="19"/>
        </w:numPr>
        <w:tabs>
          <w:tab w:val="left" w:pos="1134"/>
        </w:tabs>
        <w:spacing w:before="0" w:beforeAutospacing="0" w:after="0" w:afterAutospacing="0"/>
        <w:ind w:left="0" w:firstLine="709"/>
        <w:jc w:val="both"/>
        <w:rPr>
          <w:sz w:val="28"/>
          <w:szCs w:val="28"/>
        </w:rPr>
      </w:pPr>
      <w:r w:rsidRPr="006127EC">
        <w:rPr>
          <w:sz w:val="28"/>
          <w:szCs w:val="28"/>
        </w:rPr>
        <w:t>Saņemot</w:t>
      </w:r>
      <w:r>
        <w:rPr>
          <w:sz w:val="28"/>
          <w:szCs w:val="28"/>
        </w:rPr>
        <w:t xml:space="preserve"> šo noteikumu 3</w:t>
      </w:r>
      <w:r w:rsidR="00462A5C">
        <w:rPr>
          <w:sz w:val="28"/>
          <w:szCs w:val="28"/>
        </w:rPr>
        <w:t>3</w:t>
      </w:r>
      <w:r>
        <w:rPr>
          <w:sz w:val="28"/>
          <w:szCs w:val="28"/>
        </w:rPr>
        <w:t>.punktā minēto informāciju no Eiropas Kom</w:t>
      </w:r>
      <w:r w:rsidR="006B3253">
        <w:rPr>
          <w:sz w:val="28"/>
          <w:szCs w:val="28"/>
        </w:rPr>
        <w:t>i</w:t>
      </w:r>
      <w:r>
        <w:rPr>
          <w:sz w:val="28"/>
          <w:szCs w:val="28"/>
        </w:rPr>
        <w:t>sijas vai citu dalībvalstu kompetentajām institūcijām,</w:t>
      </w:r>
      <w:r w:rsidRPr="006127EC">
        <w:rPr>
          <w:sz w:val="28"/>
          <w:szCs w:val="28"/>
        </w:rPr>
        <w:t xml:space="preserve"> Zāļu valsts aģentūra sniedz Eiropas zāļu aģentūrai </w:t>
      </w:r>
      <w:r w:rsidRPr="006127EC">
        <w:rPr>
          <w:color w:val="000000"/>
          <w:sz w:val="28"/>
          <w:szCs w:val="28"/>
        </w:rPr>
        <w:t>visus tai pieejamos svarīgos zinātniskos datus un visus novērtējumus, ko Zāļu valsts aģentūra veikusi</w:t>
      </w:r>
      <w:r w:rsidR="001C414A">
        <w:rPr>
          <w:color w:val="000000"/>
          <w:sz w:val="28"/>
          <w:szCs w:val="28"/>
        </w:rPr>
        <w:t>.</w:t>
      </w:r>
      <w:r w:rsidR="0087131B">
        <w:rPr>
          <w:sz w:val="28"/>
          <w:szCs w:val="28"/>
        </w:rPr>
        <w:t xml:space="preserve"> </w:t>
      </w:r>
    </w:p>
    <w:p w:rsidR="002D4969" w:rsidRPr="00486C46" w:rsidRDefault="002D4969" w:rsidP="002D4969">
      <w:pPr>
        <w:pStyle w:val="naisf"/>
        <w:tabs>
          <w:tab w:val="left" w:pos="1134"/>
        </w:tabs>
        <w:spacing w:before="0" w:beforeAutospacing="0" w:after="0" w:afterAutospacing="0"/>
        <w:ind w:left="709"/>
        <w:jc w:val="both"/>
        <w:rPr>
          <w:sz w:val="28"/>
          <w:szCs w:val="28"/>
        </w:rPr>
      </w:pPr>
    </w:p>
    <w:p w:rsidR="009119A1" w:rsidRPr="001C414A" w:rsidRDefault="00287CD4" w:rsidP="00CB66FC">
      <w:pPr>
        <w:pStyle w:val="naisf"/>
        <w:numPr>
          <w:ilvl w:val="0"/>
          <w:numId w:val="19"/>
        </w:numPr>
        <w:tabs>
          <w:tab w:val="left" w:pos="1134"/>
        </w:tabs>
        <w:spacing w:before="0" w:beforeAutospacing="0" w:after="0" w:afterAutospacing="0"/>
        <w:ind w:left="0" w:firstLine="709"/>
        <w:jc w:val="both"/>
        <w:rPr>
          <w:sz w:val="28"/>
          <w:szCs w:val="28"/>
        </w:rPr>
      </w:pPr>
      <w:r w:rsidRPr="001C414A">
        <w:rPr>
          <w:sz w:val="28"/>
          <w:szCs w:val="28"/>
        </w:rPr>
        <w:t xml:space="preserve">Ja </w:t>
      </w:r>
      <w:r w:rsidR="00DC1C1E" w:rsidRPr="001C414A">
        <w:rPr>
          <w:sz w:val="28"/>
          <w:szCs w:val="28"/>
        </w:rPr>
        <w:t>k</w:t>
      </w:r>
      <w:r w:rsidR="001E1D69" w:rsidRPr="001C414A">
        <w:rPr>
          <w:sz w:val="28"/>
          <w:szCs w:val="28"/>
        </w:rPr>
        <w:t>oordinācijas grupa</w:t>
      </w:r>
      <w:r w:rsidR="00F96694" w:rsidRPr="001C414A">
        <w:rPr>
          <w:sz w:val="28"/>
          <w:szCs w:val="28"/>
        </w:rPr>
        <w:t xml:space="preserve"> </w:t>
      </w:r>
      <w:r w:rsidRPr="001C414A">
        <w:rPr>
          <w:sz w:val="28"/>
          <w:szCs w:val="28"/>
        </w:rPr>
        <w:t xml:space="preserve">ir </w:t>
      </w:r>
      <w:r w:rsidR="008D3357" w:rsidRPr="001C414A">
        <w:rPr>
          <w:sz w:val="28"/>
          <w:szCs w:val="28"/>
        </w:rPr>
        <w:t xml:space="preserve">lēmusi </w:t>
      </w:r>
      <w:r w:rsidR="00F96694" w:rsidRPr="001C414A">
        <w:rPr>
          <w:color w:val="000000"/>
          <w:sz w:val="28"/>
          <w:szCs w:val="28"/>
        </w:rPr>
        <w:t>par</w:t>
      </w:r>
      <w:r w:rsidR="00D57081" w:rsidRPr="001C414A">
        <w:rPr>
          <w:color w:val="000000"/>
          <w:sz w:val="28"/>
          <w:szCs w:val="28"/>
        </w:rPr>
        <w:t xml:space="preserve"> zāļu </w:t>
      </w:r>
      <w:r w:rsidR="00501269" w:rsidRPr="001C414A">
        <w:rPr>
          <w:sz w:val="28"/>
          <w:szCs w:val="28"/>
        </w:rPr>
        <w:t>reģistrācijas īpašnieka</w:t>
      </w:r>
      <w:r w:rsidR="00F96694" w:rsidRPr="001C414A">
        <w:rPr>
          <w:sz w:val="28"/>
          <w:szCs w:val="28"/>
        </w:rPr>
        <w:t xml:space="preserve"> attiecīgo </w:t>
      </w:r>
      <w:r w:rsidR="00F96694" w:rsidRPr="001C414A">
        <w:rPr>
          <w:color w:val="000000"/>
          <w:sz w:val="28"/>
          <w:szCs w:val="28"/>
        </w:rPr>
        <w:t xml:space="preserve">zāļu reģistrācijas saglabāšanu, izmaiņām, apturēšanu, anulēšanu vai atteikumu to </w:t>
      </w:r>
      <w:r w:rsidR="00E61E84" w:rsidRPr="001C414A">
        <w:rPr>
          <w:color w:val="000000"/>
          <w:sz w:val="28"/>
          <w:szCs w:val="28"/>
        </w:rPr>
        <w:t>pārreģistrēt</w:t>
      </w:r>
      <w:r w:rsidR="00F96694" w:rsidRPr="001C414A">
        <w:rPr>
          <w:color w:val="000000"/>
          <w:sz w:val="28"/>
          <w:szCs w:val="28"/>
        </w:rPr>
        <w:t>, kā arī par saskaņotās nostājas īstenošanas grafiku,</w:t>
      </w:r>
      <w:r w:rsidR="00953A16" w:rsidRPr="001C414A">
        <w:rPr>
          <w:sz w:val="28"/>
          <w:szCs w:val="28"/>
        </w:rPr>
        <w:t xml:space="preserve"> </w:t>
      </w:r>
      <w:r w:rsidRPr="001C414A">
        <w:rPr>
          <w:sz w:val="28"/>
          <w:szCs w:val="28"/>
        </w:rPr>
        <w:t>reģ</w:t>
      </w:r>
      <w:r w:rsidR="00501269" w:rsidRPr="001C414A">
        <w:rPr>
          <w:sz w:val="28"/>
          <w:szCs w:val="28"/>
        </w:rPr>
        <w:t xml:space="preserve">istrācijas </w:t>
      </w:r>
      <w:r w:rsidRPr="001C414A">
        <w:rPr>
          <w:sz w:val="28"/>
          <w:szCs w:val="28"/>
        </w:rPr>
        <w:t>īpašnieks</w:t>
      </w:r>
      <w:r w:rsidR="00501269" w:rsidRPr="001C414A">
        <w:rPr>
          <w:sz w:val="28"/>
          <w:szCs w:val="28"/>
        </w:rPr>
        <w:t xml:space="preserve"> </w:t>
      </w:r>
      <w:r w:rsidRPr="001C414A">
        <w:rPr>
          <w:sz w:val="28"/>
          <w:szCs w:val="28"/>
        </w:rPr>
        <w:t xml:space="preserve">saskaņā ar noteikto īstenošanas grafiku iesniedz </w:t>
      </w:r>
      <w:r w:rsidR="001E1D69" w:rsidRPr="001C414A">
        <w:rPr>
          <w:sz w:val="28"/>
          <w:szCs w:val="28"/>
        </w:rPr>
        <w:t>Zāļu valsts aģentūrā</w:t>
      </w:r>
      <w:r w:rsidRPr="001C414A">
        <w:rPr>
          <w:sz w:val="28"/>
          <w:szCs w:val="28"/>
        </w:rPr>
        <w:t xml:space="preserve"> iesniegumu par izmaiņām, pievienojot atjauninātu zāļu aprakstu un lietošanas instrukciju</w:t>
      </w:r>
      <w:r w:rsidR="00F96694" w:rsidRPr="001C414A">
        <w:rPr>
          <w:sz w:val="28"/>
          <w:szCs w:val="28"/>
        </w:rPr>
        <w:t xml:space="preserve"> saskaņā ar </w:t>
      </w:r>
      <w:r w:rsidR="00F11707" w:rsidRPr="001C414A">
        <w:rPr>
          <w:sz w:val="28"/>
          <w:szCs w:val="28"/>
        </w:rPr>
        <w:t xml:space="preserve">normatīvajiem aktiem par </w:t>
      </w:r>
      <w:r w:rsidR="00F96694" w:rsidRPr="001C414A">
        <w:rPr>
          <w:sz w:val="28"/>
          <w:szCs w:val="28"/>
        </w:rPr>
        <w:t>zāļu reģistrēšanas kārtību</w:t>
      </w:r>
      <w:r w:rsidRPr="001C414A">
        <w:rPr>
          <w:sz w:val="28"/>
          <w:szCs w:val="28"/>
        </w:rPr>
        <w:t>.</w:t>
      </w:r>
    </w:p>
    <w:p w:rsidR="00F604AB" w:rsidRPr="001C414A" w:rsidRDefault="00F604AB" w:rsidP="00F604AB">
      <w:pPr>
        <w:pStyle w:val="naisf"/>
        <w:spacing w:before="0" w:beforeAutospacing="0" w:after="0" w:afterAutospacing="0"/>
        <w:ind w:left="709"/>
        <w:jc w:val="both"/>
        <w:rPr>
          <w:sz w:val="28"/>
          <w:szCs w:val="28"/>
        </w:rPr>
      </w:pPr>
    </w:p>
    <w:p w:rsidR="00287CD4" w:rsidRPr="00160E39" w:rsidRDefault="009119A1" w:rsidP="00CB66FC">
      <w:pPr>
        <w:pStyle w:val="naisf"/>
        <w:numPr>
          <w:ilvl w:val="0"/>
          <w:numId w:val="19"/>
        </w:numPr>
        <w:tabs>
          <w:tab w:val="left" w:pos="1134"/>
        </w:tabs>
        <w:spacing w:before="0" w:beforeAutospacing="0" w:after="0" w:afterAutospacing="0"/>
        <w:ind w:left="0" w:firstLine="709"/>
        <w:jc w:val="both"/>
        <w:rPr>
          <w:b/>
          <w:sz w:val="28"/>
          <w:szCs w:val="28"/>
        </w:rPr>
      </w:pPr>
      <w:r w:rsidRPr="001C414A">
        <w:rPr>
          <w:sz w:val="28"/>
          <w:szCs w:val="28"/>
        </w:rPr>
        <w:t>Zāļu valsts a</w:t>
      </w:r>
      <w:r w:rsidR="00B050EE" w:rsidRPr="001C414A">
        <w:rPr>
          <w:sz w:val="28"/>
          <w:szCs w:val="28"/>
        </w:rPr>
        <w:t>ģentūra, saņemot šo noteikumu 3</w:t>
      </w:r>
      <w:r w:rsidR="00462A5C">
        <w:rPr>
          <w:sz w:val="28"/>
          <w:szCs w:val="28"/>
        </w:rPr>
        <w:t>8</w:t>
      </w:r>
      <w:r w:rsidRPr="001C414A">
        <w:rPr>
          <w:sz w:val="28"/>
          <w:szCs w:val="28"/>
        </w:rPr>
        <w:t>.punktā minēto nostāju, veic d</w:t>
      </w:r>
      <w:r w:rsidR="00F11707" w:rsidRPr="001C414A">
        <w:rPr>
          <w:sz w:val="28"/>
          <w:szCs w:val="28"/>
        </w:rPr>
        <w:t xml:space="preserve">arbības, lai zāļu reģistrāciju </w:t>
      </w:r>
      <w:r w:rsidRPr="001C414A">
        <w:rPr>
          <w:sz w:val="28"/>
          <w:szCs w:val="28"/>
        </w:rPr>
        <w:t>saglabātu, izmainītu, apturēt</w:t>
      </w:r>
      <w:r w:rsidR="001C6550" w:rsidRPr="001C414A">
        <w:rPr>
          <w:sz w:val="28"/>
          <w:szCs w:val="28"/>
        </w:rPr>
        <w:t>u, anulētu vai atteiktu pārreģistrēt</w:t>
      </w:r>
      <w:r w:rsidRPr="001C414A">
        <w:rPr>
          <w:sz w:val="28"/>
          <w:szCs w:val="28"/>
        </w:rPr>
        <w:t xml:space="preserve"> saskaņā ar īstenošanas</w:t>
      </w:r>
      <w:r w:rsidRPr="00160E39">
        <w:rPr>
          <w:b/>
          <w:sz w:val="28"/>
          <w:szCs w:val="28"/>
        </w:rPr>
        <w:t xml:space="preserve"> </w:t>
      </w:r>
      <w:r w:rsidRPr="001C414A">
        <w:rPr>
          <w:sz w:val="28"/>
          <w:szCs w:val="28"/>
        </w:rPr>
        <w:t>grafiku.</w:t>
      </w:r>
    </w:p>
    <w:p w:rsidR="00287CD4" w:rsidRPr="005154D6" w:rsidRDefault="00287CD4" w:rsidP="0006011E">
      <w:pPr>
        <w:pStyle w:val="naisf"/>
        <w:tabs>
          <w:tab w:val="left" w:pos="1134"/>
        </w:tabs>
        <w:spacing w:before="0" w:beforeAutospacing="0" w:after="0" w:afterAutospacing="0"/>
        <w:jc w:val="both"/>
        <w:rPr>
          <w:sz w:val="28"/>
          <w:szCs w:val="28"/>
        </w:rPr>
      </w:pPr>
    </w:p>
    <w:p w:rsidR="00287CD4" w:rsidRPr="001E5D07" w:rsidRDefault="00287CD4" w:rsidP="00287CD4">
      <w:pPr>
        <w:pStyle w:val="naisf"/>
        <w:tabs>
          <w:tab w:val="left" w:pos="1134"/>
        </w:tabs>
        <w:spacing w:before="0" w:beforeAutospacing="0" w:after="0" w:afterAutospacing="0"/>
        <w:ind w:firstLine="709"/>
        <w:jc w:val="center"/>
        <w:rPr>
          <w:b/>
          <w:sz w:val="28"/>
          <w:szCs w:val="28"/>
        </w:rPr>
      </w:pPr>
      <w:r w:rsidRPr="001E5D07">
        <w:rPr>
          <w:b/>
          <w:sz w:val="28"/>
          <w:szCs w:val="28"/>
        </w:rPr>
        <w:t xml:space="preserve">VII. </w:t>
      </w:r>
      <w:proofErr w:type="spellStart"/>
      <w:r w:rsidRPr="001E5D07">
        <w:rPr>
          <w:b/>
          <w:sz w:val="28"/>
          <w:szCs w:val="28"/>
        </w:rPr>
        <w:t>Pēcreģistrācijas</w:t>
      </w:r>
      <w:proofErr w:type="spellEnd"/>
      <w:r w:rsidRPr="001E5D07">
        <w:rPr>
          <w:b/>
          <w:sz w:val="28"/>
          <w:szCs w:val="28"/>
        </w:rPr>
        <w:t xml:space="preserve"> drošuma pētījumi</w:t>
      </w:r>
    </w:p>
    <w:p w:rsidR="00287CD4" w:rsidRPr="002C4207" w:rsidRDefault="00287CD4" w:rsidP="0006011E">
      <w:pPr>
        <w:pStyle w:val="naisf"/>
        <w:tabs>
          <w:tab w:val="left" w:pos="1134"/>
        </w:tabs>
        <w:spacing w:before="0" w:beforeAutospacing="0" w:after="0" w:afterAutospacing="0"/>
        <w:jc w:val="both"/>
        <w:rPr>
          <w:sz w:val="28"/>
          <w:szCs w:val="28"/>
        </w:rPr>
      </w:pPr>
    </w:p>
    <w:p w:rsidR="00287CD4" w:rsidRPr="001C414A" w:rsidRDefault="00F11707" w:rsidP="00CB66FC">
      <w:pPr>
        <w:pStyle w:val="naisf"/>
        <w:numPr>
          <w:ilvl w:val="0"/>
          <w:numId w:val="19"/>
        </w:numPr>
        <w:tabs>
          <w:tab w:val="left" w:pos="1134"/>
        </w:tabs>
        <w:spacing w:before="0" w:beforeAutospacing="0" w:after="0" w:afterAutospacing="0"/>
        <w:ind w:left="0" w:firstLine="709"/>
        <w:jc w:val="both"/>
        <w:rPr>
          <w:sz w:val="28"/>
          <w:szCs w:val="28"/>
        </w:rPr>
      </w:pPr>
      <w:r w:rsidRPr="001C414A">
        <w:rPr>
          <w:color w:val="000000"/>
          <w:sz w:val="28"/>
          <w:szCs w:val="28"/>
        </w:rPr>
        <w:t>Zāļu</w:t>
      </w:r>
      <w:r>
        <w:rPr>
          <w:color w:val="000000"/>
          <w:sz w:val="28"/>
          <w:szCs w:val="28"/>
        </w:rPr>
        <w:t xml:space="preserve"> r</w:t>
      </w:r>
      <w:r w:rsidR="00287CD4">
        <w:rPr>
          <w:color w:val="000000"/>
          <w:sz w:val="28"/>
          <w:szCs w:val="28"/>
        </w:rPr>
        <w:t>eģistrācijas</w:t>
      </w:r>
      <w:r w:rsidR="00501269">
        <w:rPr>
          <w:color w:val="000000"/>
          <w:sz w:val="28"/>
          <w:szCs w:val="28"/>
        </w:rPr>
        <w:t xml:space="preserve"> īpašnieks</w:t>
      </w:r>
      <w:r w:rsidR="00287CD4" w:rsidRPr="005154D6">
        <w:rPr>
          <w:color w:val="000000"/>
          <w:sz w:val="28"/>
          <w:szCs w:val="28"/>
        </w:rPr>
        <w:t xml:space="preserve"> </w:t>
      </w:r>
      <w:proofErr w:type="spellStart"/>
      <w:r w:rsidR="00287CD4">
        <w:rPr>
          <w:color w:val="000000"/>
          <w:sz w:val="28"/>
          <w:szCs w:val="28"/>
        </w:rPr>
        <w:t>neintervences</w:t>
      </w:r>
      <w:proofErr w:type="spellEnd"/>
      <w:r w:rsidR="00287CD4">
        <w:rPr>
          <w:color w:val="000000"/>
          <w:sz w:val="28"/>
          <w:szCs w:val="28"/>
        </w:rPr>
        <w:t xml:space="preserve"> </w:t>
      </w:r>
      <w:proofErr w:type="spellStart"/>
      <w:r w:rsidR="00287CD4" w:rsidRPr="005154D6">
        <w:rPr>
          <w:color w:val="000000"/>
          <w:sz w:val="28"/>
          <w:szCs w:val="28"/>
        </w:rPr>
        <w:t>pēcreģistrācij</w:t>
      </w:r>
      <w:r w:rsidR="00287CD4">
        <w:rPr>
          <w:color w:val="000000"/>
          <w:sz w:val="28"/>
          <w:szCs w:val="28"/>
        </w:rPr>
        <w:t>as</w:t>
      </w:r>
      <w:proofErr w:type="spellEnd"/>
      <w:r w:rsidR="00287CD4">
        <w:rPr>
          <w:color w:val="000000"/>
          <w:sz w:val="28"/>
          <w:szCs w:val="28"/>
        </w:rPr>
        <w:t xml:space="preserve"> drošuma pētījumos (turpmāk - </w:t>
      </w:r>
      <w:proofErr w:type="spellStart"/>
      <w:r w:rsidR="00287CD4">
        <w:rPr>
          <w:color w:val="000000"/>
          <w:sz w:val="28"/>
          <w:szCs w:val="28"/>
        </w:rPr>
        <w:t>pēcreģistrācijas</w:t>
      </w:r>
      <w:proofErr w:type="spellEnd"/>
      <w:r w:rsidR="00287CD4">
        <w:rPr>
          <w:color w:val="000000"/>
          <w:sz w:val="28"/>
          <w:szCs w:val="28"/>
        </w:rPr>
        <w:t xml:space="preserve"> pētījums) datus par drošumu vāc no ārstniecības personām, farmaceitiem un pacientiem; </w:t>
      </w:r>
      <w:proofErr w:type="spellStart"/>
      <w:r w:rsidR="00287CD4">
        <w:rPr>
          <w:color w:val="000000"/>
          <w:sz w:val="28"/>
          <w:szCs w:val="28"/>
        </w:rPr>
        <w:t>pēcreģistrācijas</w:t>
      </w:r>
      <w:proofErr w:type="spellEnd"/>
      <w:r w:rsidR="00287CD4">
        <w:rPr>
          <w:color w:val="000000"/>
          <w:sz w:val="28"/>
          <w:szCs w:val="28"/>
        </w:rPr>
        <w:t xml:space="preserve"> pētījumus </w:t>
      </w:r>
      <w:r w:rsidR="00287CD4" w:rsidRPr="005154D6">
        <w:rPr>
          <w:color w:val="000000"/>
          <w:sz w:val="28"/>
          <w:szCs w:val="28"/>
        </w:rPr>
        <w:t>uzsāk</w:t>
      </w:r>
      <w:r w:rsidR="00287CD4">
        <w:rPr>
          <w:color w:val="000000"/>
          <w:sz w:val="28"/>
          <w:szCs w:val="28"/>
        </w:rPr>
        <w:t xml:space="preserve">, vada vai finansē brīvprātīgi </w:t>
      </w:r>
      <w:r w:rsidR="00287CD4" w:rsidRPr="005154D6">
        <w:rPr>
          <w:color w:val="000000"/>
          <w:sz w:val="28"/>
          <w:szCs w:val="28"/>
        </w:rPr>
        <w:t>vai arī lai izpildītu nosacījumu</w:t>
      </w:r>
      <w:r w:rsidR="00287CD4">
        <w:rPr>
          <w:color w:val="000000"/>
          <w:sz w:val="28"/>
          <w:szCs w:val="28"/>
        </w:rPr>
        <w:t xml:space="preserve">s </w:t>
      </w:r>
      <w:r w:rsidR="00287CD4" w:rsidRPr="005154D6">
        <w:rPr>
          <w:color w:val="000000"/>
          <w:sz w:val="28"/>
          <w:szCs w:val="28"/>
        </w:rPr>
        <w:t xml:space="preserve">attiecībā uz zāļu reģistrācijas </w:t>
      </w:r>
      <w:r w:rsidR="00287CD4">
        <w:rPr>
          <w:color w:val="000000"/>
          <w:sz w:val="28"/>
          <w:szCs w:val="28"/>
        </w:rPr>
        <w:t xml:space="preserve">iegūšanu </w:t>
      </w:r>
      <w:r w:rsidR="00287CD4" w:rsidRPr="001C414A">
        <w:rPr>
          <w:color w:val="000000"/>
          <w:sz w:val="28"/>
          <w:szCs w:val="28"/>
        </w:rPr>
        <w:t xml:space="preserve">saskaņā ar </w:t>
      </w:r>
      <w:r w:rsidRPr="001C414A">
        <w:rPr>
          <w:color w:val="000000"/>
          <w:sz w:val="28"/>
          <w:szCs w:val="28"/>
        </w:rPr>
        <w:t xml:space="preserve">normatīvajiem aktiem par </w:t>
      </w:r>
      <w:r w:rsidR="00287CD4" w:rsidRPr="001C414A">
        <w:rPr>
          <w:color w:val="000000"/>
          <w:sz w:val="28"/>
          <w:szCs w:val="28"/>
        </w:rPr>
        <w:t xml:space="preserve">zāļu reģistrēšanas </w:t>
      </w:r>
      <w:r w:rsidRPr="001C414A">
        <w:rPr>
          <w:color w:val="000000"/>
          <w:sz w:val="28"/>
          <w:szCs w:val="28"/>
        </w:rPr>
        <w:t>kārtību</w:t>
      </w:r>
      <w:r w:rsidR="00287CD4" w:rsidRPr="001C414A">
        <w:rPr>
          <w:color w:val="000000"/>
          <w:sz w:val="28"/>
          <w:szCs w:val="28"/>
        </w:rPr>
        <w:t>.</w:t>
      </w:r>
    </w:p>
    <w:p w:rsidR="00287CD4" w:rsidRPr="00CD6FEF" w:rsidRDefault="00287CD4" w:rsidP="00287CD4">
      <w:pPr>
        <w:pStyle w:val="naisf"/>
        <w:tabs>
          <w:tab w:val="left" w:pos="1134"/>
        </w:tabs>
        <w:spacing w:before="0" w:beforeAutospacing="0" w:after="0" w:afterAutospacing="0"/>
        <w:ind w:left="709"/>
        <w:jc w:val="both"/>
        <w:rPr>
          <w:sz w:val="28"/>
          <w:szCs w:val="28"/>
        </w:rPr>
      </w:pPr>
    </w:p>
    <w:p w:rsidR="00287CD4" w:rsidRPr="003C5C3C" w:rsidRDefault="00F11707" w:rsidP="00CB66FC">
      <w:pPr>
        <w:pStyle w:val="naisf"/>
        <w:numPr>
          <w:ilvl w:val="0"/>
          <w:numId w:val="19"/>
        </w:numPr>
        <w:spacing w:before="0" w:beforeAutospacing="0" w:after="0" w:afterAutospacing="0"/>
        <w:ind w:left="0" w:firstLine="709"/>
        <w:jc w:val="both"/>
        <w:rPr>
          <w:sz w:val="28"/>
          <w:szCs w:val="28"/>
        </w:rPr>
      </w:pPr>
      <w:r>
        <w:rPr>
          <w:sz w:val="28"/>
          <w:szCs w:val="28"/>
        </w:rPr>
        <w:t>Zāļu r</w:t>
      </w:r>
      <w:r w:rsidR="00287CD4" w:rsidRPr="00F87BE7">
        <w:rPr>
          <w:sz w:val="28"/>
          <w:szCs w:val="28"/>
        </w:rPr>
        <w:t>eģistrācijas</w:t>
      </w:r>
      <w:r w:rsidR="00501269">
        <w:rPr>
          <w:sz w:val="28"/>
          <w:szCs w:val="28"/>
        </w:rPr>
        <w:t xml:space="preserve"> īpašnieks</w:t>
      </w:r>
      <w:r w:rsidR="00287CD4" w:rsidRPr="00F87BE7">
        <w:rPr>
          <w:sz w:val="28"/>
          <w:szCs w:val="28"/>
        </w:rPr>
        <w:t xml:space="preserve"> ir atbildīgs par </w:t>
      </w:r>
      <w:proofErr w:type="spellStart"/>
      <w:r w:rsidR="00287CD4" w:rsidRPr="00F87BE7">
        <w:rPr>
          <w:sz w:val="28"/>
          <w:szCs w:val="28"/>
        </w:rPr>
        <w:t>pēcreģistrācijas</w:t>
      </w:r>
      <w:proofErr w:type="spellEnd"/>
      <w:r w:rsidR="00287CD4" w:rsidRPr="00F87BE7">
        <w:rPr>
          <w:sz w:val="28"/>
          <w:szCs w:val="28"/>
        </w:rPr>
        <w:t xml:space="preserve"> pētījuma veikšanu atbilstoši visaugstākajam profesionālajam standartam, nodrošinot pētījumā iesaistīto personu tiesības un datu aizsard</w:t>
      </w:r>
      <w:r w:rsidR="00287CD4">
        <w:rPr>
          <w:sz w:val="28"/>
          <w:szCs w:val="28"/>
        </w:rPr>
        <w:t>zību</w:t>
      </w:r>
      <w:r w:rsidR="00287CD4" w:rsidRPr="00F87BE7">
        <w:rPr>
          <w:sz w:val="28"/>
          <w:szCs w:val="28"/>
        </w:rPr>
        <w:t xml:space="preserve">. </w:t>
      </w:r>
    </w:p>
    <w:p w:rsidR="00287CD4" w:rsidRPr="005154D6" w:rsidRDefault="00287CD4" w:rsidP="00287CD4">
      <w:pPr>
        <w:pStyle w:val="naisf"/>
        <w:tabs>
          <w:tab w:val="left" w:pos="1134"/>
        </w:tabs>
        <w:spacing w:before="0" w:beforeAutospacing="0" w:after="0" w:afterAutospacing="0"/>
        <w:ind w:left="709"/>
        <w:jc w:val="both"/>
        <w:rPr>
          <w:sz w:val="28"/>
          <w:szCs w:val="28"/>
        </w:rPr>
      </w:pPr>
    </w:p>
    <w:p w:rsidR="00287CD4" w:rsidRPr="00E72C4E" w:rsidRDefault="00287CD4" w:rsidP="00CB66FC">
      <w:pPr>
        <w:pStyle w:val="naisf"/>
        <w:numPr>
          <w:ilvl w:val="0"/>
          <w:numId w:val="19"/>
        </w:numPr>
        <w:tabs>
          <w:tab w:val="left" w:pos="1134"/>
        </w:tabs>
        <w:spacing w:before="0" w:beforeAutospacing="0" w:after="0" w:afterAutospacing="0"/>
        <w:ind w:left="0" w:firstLine="709"/>
        <w:jc w:val="both"/>
        <w:rPr>
          <w:sz w:val="28"/>
          <w:szCs w:val="28"/>
        </w:rPr>
      </w:pPr>
      <w:proofErr w:type="spellStart"/>
      <w:r w:rsidRPr="005154D6">
        <w:rPr>
          <w:color w:val="000000"/>
          <w:sz w:val="28"/>
          <w:szCs w:val="28"/>
        </w:rPr>
        <w:t>Pēcreģistrācijas</w:t>
      </w:r>
      <w:proofErr w:type="spellEnd"/>
      <w:r w:rsidRPr="005154D6">
        <w:rPr>
          <w:color w:val="000000"/>
          <w:sz w:val="28"/>
          <w:szCs w:val="28"/>
        </w:rPr>
        <w:t xml:space="preserve"> pētījumu neveic ar nolūku veicināt zāļu lietošanu.</w:t>
      </w:r>
    </w:p>
    <w:p w:rsidR="00287CD4" w:rsidRPr="00133473" w:rsidRDefault="00287CD4" w:rsidP="00287CD4">
      <w:pPr>
        <w:pStyle w:val="naisf"/>
        <w:tabs>
          <w:tab w:val="left" w:pos="1134"/>
        </w:tabs>
        <w:spacing w:before="0" w:beforeAutospacing="0" w:after="0" w:afterAutospacing="0"/>
        <w:ind w:left="360"/>
        <w:jc w:val="both"/>
        <w:rPr>
          <w:sz w:val="28"/>
          <w:szCs w:val="28"/>
        </w:rPr>
      </w:pPr>
    </w:p>
    <w:p w:rsidR="00287CD4" w:rsidRPr="00985F15" w:rsidRDefault="00287CD4" w:rsidP="00CB66FC">
      <w:pPr>
        <w:pStyle w:val="naisf"/>
        <w:numPr>
          <w:ilvl w:val="0"/>
          <w:numId w:val="19"/>
        </w:numPr>
        <w:tabs>
          <w:tab w:val="left" w:pos="1134"/>
        </w:tabs>
        <w:spacing w:before="0" w:beforeAutospacing="0" w:after="0" w:afterAutospacing="0"/>
        <w:ind w:left="0" w:firstLine="709"/>
        <w:jc w:val="both"/>
        <w:rPr>
          <w:sz w:val="28"/>
          <w:szCs w:val="28"/>
        </w:rPr>
      </w:pPr>
      <w:r>
        <w:rPr>
          <w:color w:val="000000"/>
          <w:sz w:val="28"/>
          <w:szCs w:val="28"/>
        </w:rPr>
        <w:t xml:space="preserve">Pētījuma veikšanas laikā </w:t>
      </w:r>
      <w:r w:rsidR="00F11707">
        <w:rPr>
          <w:color w:val="000000"/>
          <w:sz w:val="28"/>
          <w:szCs w:val="28"/>
        </w:rPr>
        <w:t xml:space="preserve">zāļu </w:t>
      </w:r>
      <w:r>
        <w:rPr>
          <w:color w:val="000000"/>
          <w:sz w:val="28"/>
          <w:szCs w:val="28"/>
        </w:rPr>
        <w:t xml:space="preserve">reģistrācijas </w:t>
      </w:r>
      <w:r w:rsidR="00501269">
        <w:rPr>
          <w:color w:val="000000"/>
          <w:sz w:val="28"/>
          <w:szCs w:val="28"/>
        </w:rPr>
        <w:t xml:space="preserve">īpašnieks </w:t>
      </w:r>
      <w:r>
        <w:rPr>
          <w:color w:val="000000"/>
          <w:sz w:val="28"/>
          <w:szCs w:val="28"/>
        </w:rPr>
        <w:t xml:space="preserve">uzrauga iegūtos datus un ņem vērā to ietekmi uz attiecīgo zāļu riska un guvuma </w:t>
      </w:r>
      <w:r w:rsidR="00054489" w:rsidRPr="001C414A">
        <w:rPr>
          <w:color w:val="000000"/>
          <w:sz w:val="28"/>
          <w:szCs w:val="28"/>
        </w:rPr>
        <w:t>līdzsvaru</w:t>
      </w:r>
      <w:r>
        <w:rPr>
          <w:color w:val="000000"/>
          <w:sz w:val="28"/>
          <w:szCs w:val="28"/>
        </w:rPr>
        <w:t>.</w:t>
      </w:r>
    </w:p>
    <w:p w:rsidR="00287CD4" w:rsidRPr="00985F15" w:rsidRDefault="00287CD4" w:rsidP="00287CD4">
      <w:pPr>
        <w:pStyle w:val="naisf"/>
        <w:tabs>
          <w:tab w:val="left" w:pos="1134"/>
        </w:tabs>
        <w:spacing w:before="0" w:beforeAutospacing="0" w:after="0" w:afterAutospacing="0"/>
        <w:ind w:firstLine="709"/>
        <w:jc w:val="both"/>
        <w:rPr>
          <w:sz w:val="28"/>
          <w:szCs w:val="28"/>
        </w:rPr>
      </w:pPr>
    </w:p>
    <w:p w:rsidR="00287CD4" w:rsidRPr="00985F15" w:rsidRDefault="00287CD4" w:rsidP="00CB66FC">
      <w:pPr>
        <w:pStyle w:val="naisf"/>
        <w:numPr>
          <w:ilvl w:val="0"/>
          <w:numId w:val="19"/>
        </w:numPr>
        <w:spacing w:before="0" w:beforeAutospacing="0" w:after="0" w:afterAutospacing="0"/>
        <w:ind w:left="0" w:firstLine="709"/>
        <w:jc w:val="both"/>
        <w:rPr>
          <w:color w:val="000000"/>
          <w:sz w:val="28"/>
          <w:szCs w:val="28"/>
        </w:rPr>
      </w:pPr>
      <w:r w:rsidRPr="00133473">
        <w:rPr>
          <w:color w:val="000000"/>
          <w:sz w:val="28"/>
          <w:szCs w:val="28"/>
        </w:rPr>
        <w:t>Visus jaun</w:t>
      </w:r>
      <w:r w:rsidR="00501269">
        <w:rPr>
          <w:color w:val="000000"/>
          <w:sz w:val="28"/>
          <w:szCs w:val="28"/>
        </w:rPr>
        <w:t>os datus (izņemot tos datus, ko</w:t>
      </w:r>
      <w:r w:rsidR="00953A16">
        <w:rPr>
          <w:color w:val="000000"/>
          <w:sz w:val="28"/>
          <w:szCs w:val="28"/>
        </w:rPr>
        <w:t xml:space="preserve"> </w:t>
      </w:r>
      <w:r w:rsidRPr="00133473">
        <w:rPr>
          <w:sz w:val="28"/>
          <w:szCs w:val="28"/>
        </w:rPr>
        <w:t>reģ</w:t>
      </w:r>
      <w:r w:rsidR="00501269">
        <w:rPr>
          <w:sz w:val="28"/>
          <w:szCs w:val="28"/>
        </w:rPr>
        <w:t xml:space="preserve">istrācijas </w:t>
      </w:r>
      <w:r w:rsidRPr="00133473">
        <w:rPr>
          <w:sz w:val="28"/>
          <w:szCs w:val="28"/>
        </w:rPr>
        <w:t>īpašnieks</w:t>
      </w:r>
      <w:r w:rsidR="00501269">
        <w:rPr>
          <w:sz w:val="28"/>
          <w:szCs w:val="28"/>
        </w:rPr>
        <w:t xml:space="preserve"> </w:t>
      </w:r>
      <w:r w:rsidR="00B050EE">
        <w:rPr>
          <w:color w:val="000000"/>
          <w:sz w:val="28"/>
          <w:szCs w:val="28"/>
        </w:rPr>
        <w:t>norāda periodiski atjaunināmajā</w:t>
      </w:r>
      <w:r w:rsidRPr="00133473">
        <w:rPr>
          <w:color w:val="000000"/>
          <w:sz w:val="28"/>
          <w:szCs w:val="28"/>
        </w:rPr>
        <w:t xml:space="preserve"> drošuma ziņojumā), kas var ietekmēt zāļu riska un guvuma </w:t>
      </w:r>
      <w:r w:rsidR="00054489" w:rsidRPr="001C414A">
        <w:rPr>
          <w:color w:val="000000"/>
          <w:sz w:val="28"/>
          <w:szCs w:val="28"/>
        </w:rPr>
        <w:t>līdzsvara</w:t>
      </w:r>
      <w:r w:rsidRPr="00133473">
        <w:rPr>
          <w:color w:val="000000"/>
          <w:sz w:val="28"/>
          <w:szCs w:val="28"/>
        </w:rPr>
        <w:t xml:space="preserve"> vērtējumu, </w:t>
      </w:r>
      <w:r w:rsidR="00F11707" w:rsidRPr="001C414A">
        <w:rPr>
          <w:color w:val="000000"/>
          <w:sz w:val="28"/>
          <w:szCs w:val="28"/>
        </w:rPr>
        <w:t>zāļu</w:t>
      </w:r>
      <w:r w:rsidR="00F11707">
        <w:rPr>
          <w:color w:val="000000"/>
          <w:sz w:val="28"/>
          <w:szCs w:val="28"/>
        </w:rPr>
        <w:t xml:space="preserve"> </w:t>
      </w:r>
      <w:r w:rsidRPr="00133473">
        <w:rPr>
          <w:color w:val="000000"/>
          <w:sz w:val="28"/>
          <w:szCs w:val="28"/>
        </w:rPr>
        <w:t>reģ</w:t>
      </w:r>
      <w:r w:rsidR="008D2953">
        <w:rPr>
          <w:color w:val="000000"/>
          <w:sz w:val="28"/>
          <w:szCs w:val="28"/>
        </w:rPr>
        <w:t>istrācijas īpašnieks</w:t>
      </w:r>
      <w:r w:rsidRPr="00133473">
        <w:rPr>
          <w:color w:val="000000"/>
          <w:sz w:val="28"/>
          <w:szCs w:val="28"/>
        </w:rPr>
        <w:t xml:space="preserve"> paziņo </w:t>
      </w:r>
      <w:r>
        <w:rPr>
          <w:color w:val="000000"/>
          <w:sz w:val="28"/>
          <w:szCs w:val="28"/>
        </w:rPr>
        <w:t>Zāļu valsts aģentūrā.</w:t>
      </w:r>
    </w:p>
    <w:p w:rsidR="00287CD4" w:rsidRPr="00313741" w:rsidRDefault="00287CD4" w:rsidP="00287CD4">
      <w:pPr>
        <w:pStyle w:val="naisf"/>
        <w:tabs>
          <w:tab w:val="left" w:pos="1134"/>
        </w:tabs>
        <w:spacing w:before="0" w:beforeAutospacing="0" w:after="0" w:afterAutospacing="0"/>
        <w:ind w:left="360"/>
        <w:jc w:val="both"/>
        <w:rPr>
          <w:sz w:val="28"/>
          <w:szCs w:val="28"/>
        </w:rPr>
      </w:pPr>
    </w:p>
    <w:p w:rsidR="00287CD4" w:rsidRDefault="00F11707" w:rsidP="00287CD4">
      <w:pPr>
        <w:pStyle w:val="naisf"/>
        <w:numPr>
          <w:ilvl w:val="0"/>
          <w:numId w:val="19"/>
        </w:numPr>
        <w:spacing w:before="0" w:beforeAutospacing="0" w:after="0" w:afterAutospacing="0"/>
        <w:ind w:left="0" w:firstLine="709"/>
        <w:jc w:val="both"/>
        <w:rPr>
          <w:sz w:val="28"/>
          <w:szCs w:val="28"/>
        </w:rPr>
      </w:pPr>
      <w:r w:rsidRPr="008747E6">
        <w:rPr>
          <w:sz w:val="28"/>
          <w:szCs w:val="28"/>
        </w:rPr>
        <w:t>Zāļu r</w:t>
      </w:r>
      <w:r w:rsidR="008D2953" w:rsidRPr="008747E6">
        <w:rPr>
          <w:sz w:val="28"/>
          <w:szCs w:val="28"/>
        </w:rPr>
        <w:t>eģistrācijas īpašnieks</w:t>
      </w:r>
      <w:r w:rsidR="001A1213" w:rsidRPr="008747E6">
        <w:rPr>
          <w:sz w:val="28"/>
          <w:szCs w:val="28"/>
        </w:rPr>
        <w:t xml:space="preserve"> </w:t>
      </w:r>
      <w:r w:rsidR="00287CD4" w:rsidRPr="008747E6">
        <w:rPr>
          <w:sz w:val="28"/>
          <w:szCs w:val="28"/>
        </w:rPr>
        <w:t xml:space="preserve">12 mēnešu laikā pēc </w:t>
      </w:r>
      <w:proofErr w:type="spellStart"/>
      <w:r w:rsidR="00287CD4" w:rsidRPr="008747E6">
        <w:rPr>
          <w:sz w:val="28"/>
          <w:szCs w:val="28"/>
        </w:rPr>
        <w:t>pēcreģistrācijas</w:t>
      </w:r>
      <w:proofErr w:type="spellEnd"/>
      <w:r w:rsidR="00287CD4" w:rsidRPr="008747E6">
        <w:rPr>
          <w:sz w:val="28"/>
          <w:szCs w:val="28"/>
        </w:rPr>
        <w:t xml:space="preserve"> pētījuma beigām iesniedz Zāļu valsts aģentūrā pētījuma gala ziņojumu, </w:t>
      </w:r>
      <w:r w:rsidR="008747E6" w:rsidRPr="008747E6">
        <w:rPr>
          <w:sz w:val="28"/>
          <w:szCs w:val="28"/>
        </w:rPr>
        <w:t>ja pētījums veikts Latvijas Republikā</w:t>
      </w:r>
      <w:r w:rsidR="008747E6">
        <w:rPr>
          <w:sz w:val="28"/>
          <w:szCs w:val="28"/>
        </w:rPr>
        <w:t>.</w:t>
      </w:r>
    </w:p>
    <w:p w:rsidR="008747E6" w:rsidRPr="008747E6" w:rsidRDefault="008747E6" w:rsidP="008747E6">
      <w:pPr>
        <w:pStyle w:val="naisf"/>
        <w:spacing w:before="0" w:beforeAutospacing="0" w:after="0" w:afterAutospacing="0"/>
        <w:jc w:val="both"/>
        <w:rPr>
          <w:sz w:val="28"/>
          <w:szCs w:val="28"/>
        </w:rPr>
      </w:pPr>
    </w:p>
    <w:p w:rsidR="00287CD4" w:rsidRPr="00C14E5A" w:rsidRDefault="00287CD4" w:rsidP="00CB66FC">
      <w:pPr>
        <w:pStyle w:val="naisf"/>
        <w:numPr>
          <w:ilvl w:val="0"/>
          <w:numId w:val="19"/>
        </w:numPr>
        <w:spacing w:before="0" w:beforeAutospacing="0" w:after="0" w:afterAutospacing="0"/>
        <w:ind w:left="0" w:firstLine="709"/>
        <w:jc w:val="both"/>
        <w:rPr>
          <w:sz w:val="28"/>
          <w:szCs w:val="28"/>
        </w:rPr>
      </w:pPr>
      <w:r w:rsidRPr="00F87BE7">
        <w:rPr>
          <w:color w:val="000000"/>
          <w:sz w:val="28"/>
          <w:szCs w:val="28"/>
        </w:rPr>
        <w:t>Lai izpildītu nosacījumus attiecībā uz zāļu reģistrācij</w:t>
      </w:r>
      <w:r w:rsidR="00F11707">
        <w:rPr>
          <w:color w:val="000000"/>
          <w:sz w:val="28"/>
          <w:szCs w:val="28"/>
        </w:rPr>
        <w:t>u</w:t>
      </w:r>
      <w:r>
        <w:rPr>
          <w:color w:val="000000"/>
          <w:sz w:val="28"/>
          <w:szCs w:val="28"/>
        </w:rPr>
        <w:t>,</w:t>
      </w:r>
      <w:r w:rsidRPr="00F87BE7">
        <w:rPr>
          <w:color w:val="000000"/>
          <w:sz w:val="28"/>
          <w:szCs w:val="28"/>
        </w:rPr>
        <w:t xml:space="preserve"> </w:t>
      </w:r>
      <w:r>
        <w:rPr>
          <w:color w:val="000000"/>
          <w:sz w:val="28"/>
          <w:szCs w:val="28"/>
        </w:rPr>
        <w:t>kas noteikti</w:t>
      </w:r>
      <w:r w:rsidRPr="00F87BE7">
        <w:rPr>
          <w:color w:val="000000"/>
          <w:sz w:val="28"/>
          <w:szCs w:val="28"/>
        </w:rPr>
        <w:t xml:space="preserve"> </w:t>
      </w:r>
      <w:r w:rsidR="00F11707">
        <w:rPr>
          <w:color w:val="000000"/>
          <w:sz w:val="28"/>
          <w:szCs w:val="28"/>
        </w:rPr>
        <w:t xml:space="preserve">normatīvajos aktos par </w:t>
      </w:r>
      <w:r w:rsidRPr="00F87BE7">
        <w:rPr>
          <w:color w:val="000000"/>
          <w:sz w:val="28"/>
          <w:szCs w:val="28"/>
        </w:rPr>
        <w:t>zāļu reģistrē</w:t>
      </w:r>
      <w:r>
        <w:rPr>
          <w:color w:val="000000"/>
          <w:sz w:val="28"/>
          <w:szCs w:val="28"/>
        </w:rPr>
        <w:t>šanas</w:t>
      </w:r>
      <w:r w:rsidR="00F11707">
        <w:rPr>
          <w:color w:val="000000"/>
          <w:sz w:val="28"/>
          <w:szCs w:val="28"/>
        </w:rPr>
        <w:t xml:space="preserve"> kārtību</w:t>
      </w:r>
      <w:r>
        <w:rPr>
          <w:color w:val="000000"/>
          <w:sz w:val="28"/>
          <w:szCs w:val="28"/>
        </w:rPr>
        <w:t xml:space="preserve">, reģistrācijas </w:t>
      </w:r>
      <w:r w:rsidR="00501269">
        <w:rPr>
          <w:color w:val="000000"/>
          <w:sz w:val="28"/>
          <w:szCs w:val="28"/>
        </w:rPr>
        <w:t xml:space="preserve">īpašnieks </w:t>
      </w:r>
      <w:proofErr w:type="spellStart"/>
      <w:r w:rsidRPr="00F87BE7">
        <w:rPr>
          <w:color w:val="000000"/>
          <w:sz w:val="28"/>
          <w:szCs w:val="28"/>
        </w:rPr>
        <w:t>pēcreģistrācijas</w:t>
      </w:r>
      <w:proofErr w:type="spellEnd"/>
      <w:r w:rsidRPr="00F87BE7">
        <w:rPr>
          <w:color w:val="000000"/>
          <w:sz w:val="28"/>
          <w:szCs w:val="28"/>
        </w:rPr>
        <w:t xml:space="preserve"> pētīj</w:t>
      </w:r>
      <w:r>
        <w:rPr>
          <w:color w:val="000000"/>
          <w:sz w:val="28"/>
          <w:szCs w:val="28"/>
        </w:rPr>
        <w:t xml:space="preserve">uma protokola projektu </w:t>
      </w:r>
      <w:r w:rsidRPr="00F87BE7">
        <w:rPr>
          <w:color w:val="000000"/>
          <w:sz w:val="28"/>
          <w:szCs w:val="28"/>
        </w:rPr>
        <w:t>saskaņā</w:t>
      </w:r>
      <w:r w:rsidR="004B7351">
        <w:rPr>
          <w:color w:val="000000"/>
          <w:sz w:val="28"/>
          <w:szCs w:val="28"/>
        </w:rPr>
        <w:t xml:space="preserve"> ar</w:t>
      </w:r>
      <w:r w:rsidRPr="00F87BE7">
        <w:rPr>
          <w:color w:val="000000"/>
          <w:sz w:val="28"/>
          <w:szCs w:val="28"/>
        </w:rPr>
        <w:t xml:space="preserve"> </w:t>
      </w:r>
      <w:r w:rsidR="00D325C9">
        <w:rPr>
          <w:color w:val="000000"/>
          <w:sz w:val="28"/>
          <w:szCs w:val="28"/>
        </w:rPr>
        <w:t>R</w:t>
      </w:r>
      <w:r w:rsidR="009D65E3" w:rsidRPr="001C414A">
        <w:rPr>
          <w:color w:val="000000"/>
          <w:sz w:val="28"/>
          <w:szCs w:val="28"/>
        </w:rPr>
        <w:t>egul</w:t>
      </w:r>
      <w:r w:rsidR="00D325C9">
        <w:rPr>
          <w:color w:val="000000"/>
          <w:sz w:val="28"/>
          <w:szCs w:val="28"/>
        </w:rPr>
        <w:t>ā</w:t>
      </w:r>
      <w:r w:rsidR="00F11707" w:rsidRPr="001C414A">
        <w:rPr>
          <w:color w:val="000000"/>
          <w:sz w:val="28"/>
          <w:szCs w:val="28"/>
        </w:rPr>
        <w:t xml:space="preserve"> Nr.520/2012 </w:t>
      </w:r>
      <w:r w:rsidR="008F0F8C" w:rsidRPr="001C414A">
        <w:rPr>
          <w:color w:val="000000"/>
          <w:sz w:val="28"/>
          <w:szCs w:val="28"/>
        </w:rPr>
        <w:t xml:space="preserve">noteikto </w:t>
      </w:r>
      <w:r w:rsidR="00D325C9">
        <w:rPr>
          <w:color w:val="000000"/>
          <w:sz w:val="28"/>
          <w:szCs w:val="28"/>
        </w:rPr>
        <w:t xml:space="preserve">par </w:t>
      </w:r>
      <w:proofErr w:type="spellStart"/>
      <w:r w:rsidR="008F0F8C" w:rsidRPr="001C414A">
        <w:rPr>
          <w:color w:val="000000"/>
          <w:sz w:val="28"/>
          <w:szCs w:val="28"/>
        </w:rPr>
        <w:t>farmakovigilances</w:t>
      </w:r>
      <w:proofErr w:type="spellEnd"/>
      <w:r w:rsidR="008F0F8C" w:rsidRPr="001C414A">
        <w:rPr>
          <w:color w:val="000000"/>
          <w:sz w:val="28"/>
          <w:szCs w:val="28"/>
        </w:rPr>
        <w:t xml:space="preserve"> darbību izpildi</w:t>
      </w:r>
      <w:r w:rsidR="008F0F8C">
        <w:rPr>
          <w:color w:val="000000"/>
          <w:sz w:val="28"/>
          <w:szCs w:val="28"/>
        </w:rPr>
        <w:t xml:space="preserve"> </w:t>
      </w:r>
      <w:r>
        <w:rPr>
          <w:color w:val="000000"/>
          <w:sz w:val="28"/>
          <w:szCs w:val="28"/>
        </w:rPr>
        <w:t>iesniedz:</w:t>
      </w:r>
    </w:p>
    <w:p w:rsidR="00287CD4" w:rsidRPr="00E91E2F" w:rsidRDefault="00287CD4" w:rsidP="00CB66FC">
      <w:pPr>
        <w:pStyle w:val="naisf"/>
        <w:numPr>
          <w:ilvl w:val="1"/>
          <w:numId w:val="19"/>
        </w:numPr>
        <w:spacing w:before="0" w:beforeAutospacing="0" w:after="0" w:afterAutospacing="0"/>
        <w:ind w:left="0" w:firstLine="709"/>
        <w:jc w:val="both"/>
        <w:rPr>
          <w:sz w:val="28"/>
          <w:szCs w:val="28"/>
        </w:rPr>
      </w:pPr>
      <w:proofErr w:type="spellStart"/>
      <w:r>
        <w:rPr>
          <w:color w:val="000000"/>
          <w:sz w:val="28"/>
          <w:szCs w:val="28"/>
        </w:rPr>
        <w:t>Farmakovigilances</w:t>
      </w:r>
      <w:proofErr w:type="spellEnd"/>
      <w:r>
        <w:rPr>
          <w:color w:val="000000"/>
          <w:sz w:val="28"/>
          <w:szCs w:val="28"/>
        </w:rPr>
        <w:t xml:space="preserve"> riska vērtēšanas komitejai – ja pētījums tiks veikts vairāk kā vienā valstī;</w:t>
      </w:r>
    </w:p>
    <w:p w:rsidR="00287CD4" w:rsidRPr="00F87BE7" w:rsidRDefault="00287CD4" w:rsidP="00CB66FC">
      <w:pPr>
        <w:pStyle w:val="naisf"/>
        <w:numPr>
          <w:ilvl w:val="1"/>
          <w:numId w:val="19"/>
        </w:numPr>
        <w:spacing w:before="0" w:beforeAutospacing="0" w:after="0" w:afterAutospacing="0"/>
        <w:ind w:left="0" w:firstLine="709"/>
        <w:jc w:val="both"/>
        <w:rPr>
          <w:sz w:val="28"/>
          <w:szCs w:val="28"/>
        </w:rPr>
      </w:pPr>
      <w:r>
        <w:rPr>
          <w:color w:val="000000"/>
          <w:sz w:val="28"/>
          <w:szCs w:val="28"/>
        </w:rPr>
        <w:t>Zāļu valsts aģentūrā – ja pētījums tiks veikts tikai Latvijas Republikā.</w:t>
      </w:r>
    </w:p>
    <w:p w:rsidR="00287CD4" w:rsidRPr="00F87BE7" w:rsidRDefault="00287CD4" w:rsidP="00287CD4">
      <w:pPr>
        <w:pStyle w:val="naisf"/>
        <w:tabs>
          <w:tab w:val="left" w:pos="1134"/>
        </w:tabs>
        <w:spacing w:before="0" w:beforeAutospacing="0" w:after="0" w:afterAutospacing="0"/>
        <w:jc w:val="both"/>
        <w:rPr>
          <w:sz w:val="28"/>
          <w:szCs w:val="28"/>
        </w:rPr>
      </w:pPr>
    </w:p>
    <w:p w:rsidR="00287CD4" w:rsidRPr="006E0A8B" w:rsidRDefault="00287CD4" w:rsidP="00CB66FC">
      <w:pPr>
        <w:pStyle w:val="naisf"/>
        <w:numPr>
          <w:ilvl w:val="0"/>
          <w:numId w:val="19"/>
        </w:numPr>
        <w:spacing w:before="0" w:beforeAutospacing="0" w:after="0" w:afterAutospacing="0"/>
        <w:ind w:left="0" w:firstLine="709"/>
        <w:jc w:val="both"/>
        <w:rPr>
          <w:sz w:val="28"/>
          <w:szCs w:val="28"/>
        </w:rPr>
      </w:pPr>
      <w:r w:rsidRPr="00A73863">
        <w:rPr>
          <w:color w:val="000000"/>
          <w:sz w:val="28"/>
          <w:szCs w:val="28"/>
        </w:rPr>
        <w:t xml:space="preserve">Zāļu valsts aģentūra 60 dienu laikā pēc </w:t>
      </w:r>
      <w:r>
        <w:rPr>
          <w:color w:val="000000"/>
          <w:sz w:val="28"/>
          <w:szCs w:val="28"/>
        </w:rPr>
        <w:t xml:space="preserve">šo noteikumu </w:t>
      </w:r>
      <w:r w:rsidR="0016305C" w:rsidRPr="003D62D7">
        <w:rPr>
          <w:sz w:val="28"/>
          <w:szCs w:val="28"/>
        </w:rPr>
        <w:t>4</w:t>
      </w:r>
      <w:r w:rsidR="00462A5C">
        <w:rPr>
          <w:sz w:val="28"/>
          <w:szCs w:val="28"/>
        </w:rPr>
        <w:t>6</w:t>
      </w:r>
      <w:r w:rsidRPr="003D62D7">
        <w:rPr>
          <w:sz w:val="28"/>
          <w:szCs w:val="28"/>
        </w:rPr>
        <w:t>.</w:t>
      </w:r>
      <w:r w:rsidRPr="00F87BE7">
        <w:rPr>
          <w:color w:val="000000"/>
          <w:sz w:val="28"/>
          <w:szCs w:val="28"/>
        </w:rPr>
        <w:t>punktā minētā</w:t>
      </w:r>
      <w:r>
        <w:rPr>
          <w:color w:val="000000"/>
          <w:sz w:val="28"/>
          <w:szCs w:val="28"/>
        </w:rPr>
        <w:t xml:space="preserve"> </w:t>
      </w:r>
      <w:r w:rsidRPr="00A73863">
        <w:rPr>
          <w:color w:val="000000"/>
          <w:sz w:val="28"/>
          <w:szCs w:val="28"/>
        </w:rPr>
        <w:t xml:space="preserve">protokola projekta iesniegšanas sagatavo </w:t>
      </w:r>
      <w:r w:rsidR="00953A16">
        <w:rPr>
          <w:color w:val="000000"/>
          <w:sz w:val="28"/>
          <w:szCs w:val="28"/>
        </w:rPr>
        <w:t xml:space="preserve">zāļu </w:t>
      </w:r>
      <w:r w:rsidR="00264451">
        <w:rPr>
          <w:sz w:val="28"/>
          <w:szCs w:val="28"/>
        </w:rPr>
        <w:t>reģistrācijas īpašniekam</w:t>
      </w:r>
      <w:r>
        <w:rPr>
          <w:sz w:val="28"/>
          <w:szCs w:val="28"/>
        </w:rPr>
        <w:t xml:space="preserve"> </w:t>
      </w:r>
      <w:r w:rsidR="00B716F9">
        <w:rPr>
          <w:sz w:val="28"/>
          <w:szCs w:val="28"/>
        </w:rPr>
        <w:t>atzinumu</w:t>
      </w:r>
      <w:r w:rsidR="00E61F63">
        <w:rPr>
          <w:sz w:val="28"/>
          <w:szCs w:val="28"/>
        </w:rPr>
        <w:t xml:space="preserve"> </w:t>
      </w:r>
      <w:r w:rsidRPr="00E61F63">
        <w:rPr>
          <w:color w:val="000000"/>
          <w:sz w:val="28"/>
          <w:szCs w:val="28"/>
        </w:rPr>
        <w:t xml:space="preserve">par protokola projekta apstiprināšanu vai </w:t>
      </w:r>
      <w:r w:rsidR="00B716F9" w:rsidRPr="001C414A">
        <w:rPr>
          <w:color w:val="000000"/>
          <w:sz w:val="28"/>
          <w:szCs w:val="28"/>
        </w:rPr>
        <w:t xml:space="preserve">atzinumu </w:t>
      </w:r>
      <w:r w:rsidRPr="00E61F63">
        <w:rPr>
          <w:color w:val="000000"/>
          <w:sz w:val="28"/>
          <w:szCs w:val="28"/>
        </w:rPr>
        <w:t>ar iebildumiem, kurā izklāstīts iebildumu pamatojums,</w:t>
      </w:r>
      <w:r w:rsidRPr="00A73863">
        <w:rPr>
          <w:color w:val="000000"/>
          <w:sz w:val="28"/>
          <w:szCs w:val="28"/>
        </w:rPr>
        <w:t xml:space="preserve"> kādā no šādiem gadījumiem</w:t>
      </w:r>
      <w:r>
        <w:rPr>
          <w:color w:val="000000"/>
          <w:sz w:val="28"/>
          <w:szCs w:val="28"/>
        </w:rPr>
        <w:t>, ja tā uzskata, ka:</w:t>
      </w:r>
    </w:p>
    <w:p w:rsidR="00287CD4" w:rsidRPr="006E0A8B" w:rsidRDefault="00287CD4" w:rsidP="00CB66FC">
      <w:pPr>
        <w:pStyle w:val="naisf"/>
        <w:numPr>
          <w:ilvl w:val="1"/>
          <w:numId w:val="19"/>
        </w:numPr>
        <w:tabs>
          <w:tab w:val="left" w:pos="1134"/>
        </w:tabs>
        <w:spacing w:before="0" w:beforeAutospacing="0" w:after="0" w:afterAutospacing="0"/>
        <w:ind w:left="0" w:firstLine="709"/>
        <w:jc w:val="both"/>
        <w:rPr>
          <w:sz w:val="28"/>
          <w:szCs w:val="28"/>
        </w:rPr>
      </w:pPr>
      <w:r w:rsidRPr="00A73863">
        <w:rPr>
          <w:sz w:val="28"/>
          <w:szCs w:val="28"/>
        </w:rPr>
        <w:t>pētījuma veikšana rosinās zāļu lietošanu;</w:t>
      </w:r>
    </w:p>
    <w:p w:rsidR="00287CD4" w:rsidRPr="006E0A8B" w:rsidRDefault="00287CD4" w:rsidP="00CB66FC">
      <w:pPr>
        <w:pStyle w:val="naisf"/>
        <w:numPr>
          <w:ilvl w:val="1"/>
          <w:numId w:val="19"/>
        </w:numPr>
        <w:tabs>
          <w:tab w:val="left" w:pos="1134"/>
        </w:tabs>
        <w:spacing w:before="0" w:beforeAutospacing="0" w:after="0" w:afterAutospacing="0"/>
        <w:ind w:left="709" w:firstLine="0"/>
        <w:jc w:val="both"/>
        <w:rPr>
          <w:sz w:val="28"/>
          <w:szCs w:val="28"/>
        </w:rPr>
      </w:pPr>
      <w:r w:rsidRPr="00A73863">
        <w:rPr>
          <w:sz w:val="28"/>
          <w:szCs w:val="28"/>
        </w:rPr>
        <w:t>veids, kādā pētījumu veiks, neatbilst pētījuma uzdevumiem</w:t>
      </w:r>
      <w:r>
        <w:rPr>
          <w:sz w:val="28"/>
          <w:szCs w:val="28"/>
        </w:rPr>
        <w:t>;</w:t>
      </w:r>
    </w:p>
    <w:p w:rsidR="00287CD4" w:rsidRDefault="00287CD4" w:rsidP="006933E7">
      <w:pPr>
        <w:pStyle w:val="naisf"/>
        <w:numPr>
          <w:ilvl w:val="1"/>
          <w:numId w:val="19"/>
        </w:numPr>
        <w:tabs>
          <w:tab w:val="left" w:pos="1134"/>
        </w:tabs>
        <w:spacing w:before="0" w:beforeAutospacing="0" w:after="0" w:afterAutospacing="0"/>
        <w:ind w:left="709" w:firstLine="0"/>
        <w:jc w:val="both"/>
        <w:rPr>
          <w:sz w:val="28"/>
          <w:szCs w:val="28"/>
        </w:rPr>
      </w:pPr>
      <w:r>
        <w:rPr>
          <w:sz w:val="28"/>
          <w:szCs w:val="28"/>
        </w:rPr>
        <w:t xml:space="preserve">pētījums ir klīniska izpēte. </w:t>
      </w:r>
    </w:p>
    <w:p w:rsidR="0006011E" w:rsidRPr="0006011E" w:rsidRDefault="0006011E" w:rsidP="0006011E">
      <w:pPr>
        <w:pStyle w:val="naisf"/>
        <w:tabs>
          <w:tab w:val="left" w:pos="1134"/>
        </w:tabs>
        <w:spacing w:before="0" w:beforeAutospacing="0" w:after="0" w:afterAutospacing="0"/>
        <w:ind w:left="709"/>
        <w:jc w:val="both"/>
        <w:rPr>
          <w:sz w:val="28"/>
          <w:szCs w:val="28"/>
        </w:rPr>
      </w:pPr>
    </w:p>
    <w:p w:rsidR="00287CD4" w:rsidRDefault="006521D8" w:rsidP="00CB66FC">
      <w:pPr>
        <w:pStyle w:val="naisf"/>
        <w:numPr>
          <w:ilvl w:val="0"/>
          <w:numId w:val="19"/>
        </w:numPr>
        <w:spacing w:before="0" w:beforeAutospacing="0" w:after="0" w:afterAutospacing="0"/>
        <w:ind w:left="0" w:firstLine="709"/>
        <w:jc w:val="both"/>
        <w:rPr>
          <w:sz w:val="28"/>
          <w:szCs w:val="28"/>
        </w:rPr>
      </w:pPr>
      <w:r>
        <w:rPr>
          <w:sz w:val="28"/>
          <w:szCs w:val="28"/>
        </w:rPr>
        <w:t xml:space="preserve"> Šo noteikumu 4</w:t>
      </w:r>
      <w:r w:rsidR="00462A5C">
        <w:rPr>
          <w:sz w:val="28"/>
          <w:szCs w:val="28"/>
        </w:rPr>
        <w:t>6</w:t>
      </w:r>
      <w:r w:rsidR="00287CD4">
        <w:rPr>
          <w:sz w:val="28"/>
          <w:szCs w:val="28"/>
        </w:rPr>
        <w:t xml:space="preserve">.2.apakšpunktā minētā </w:t>
      </w:r>
      <w:proofErr w:type="spellStart"/>
      <w:r w:rsidR="00287CD4">
        <w:rPr>
          <w:sz w:val="28"/>
          <w:szCs w:val="28"/>
        </w:rPr>
        <w:t>pēcreģistrācijas</w:t>
      </w:r>
      <w:proofErr w:type="spellEnd"/>
      <w:r w:rsidR="00287CD4">
        <w:rPr>
          <w:sz w:val="28"/>
          <w:szCs w:val="28"/>
        </w:rPr>
        <w:t xml:space="preserve"> pētījuma norises laikā </w:t>
      </w:r>
      <w:r w:rsidR="007E333F">
        <w:rPr>
          <w:sz w:val="28"/>
          <w:szCs w:val="28"/>
        </w:rPr>
        <w:t xml:space="preserve">zāļu </w:t>
      </w:r>
      <w:r w:rsidR="00287CD4">
        <w:rPr>
          <w:sz w:val="28"/>
          <w:szCs w:val="28"/>
        </w:rPr>
        <w:t>reģistrācijas</w:t>
      </w:r>
      <w:r w:rsidR="00264451">
        <w:rPr>
          <w:sz w:val="28"/>
          <w:szCs w:val="28"/>
        </w:rPr>
        <w:t xml:space="preserve"> īpašnieks</w:t>
      </w:r>
      <w:r w:rsidR="00287CD4">
        <w:rPr>
          <w:sz w:val="28"/>
          <w:szCs w:val="28"/>
        </w:rPr>
        <w:t xml:space="preserve"> jebkādus protokola būtiskus grozīj</w:t>
      </w:r>
      <w:r w:rsidR="00287CD4" w:rsidRPr="00A73863">
        <w:rPr>
          <w:sz w:val="28"/>
          <w:szCs w:val="28"/>
        </w:rPr>
        <w:t>umus p</w:t>
      </w:r>
      <w:r w:rsidR="00287CD4">
        <w:rPr>
          <w:sz w:val="28"/>
          <w:szCs w:val="28"/>
        </w:rPr>
        <w:t>irms to īstenošanas iesniedz Zāļu valsts aģentūrai</w:t>
      </w:r>
      <w:r w:rsidR="00287CD4" w:rsidRPr="00A73863">
        <w:rPr>
          <w:sz w:val="28"/>
          <w:szCs w:val="28"/>
        </w:rPr>
        <w:t xml:space="preserve"> izvērtēšanai.</w:t>
      </w:r>
    </w:p>
    <w:p w:rsidR="00287CD4" w:rsidRDefault="00287CD4" w:rsidP="00287CD4">
      <w:pPr>
        <w:pStyle w:val="naisf"/>
        <w:spacing w:before="0" w:beforeAutospacing="0" w:after="0" w:afterAutospacing="0"/>
        <w:jc w:val="both"/>
        <w:rPr>
          <w:sz w:val="28"/>
          <w:szCs w:val="28"/>
        </w:rPr>
      </w:pPr>
    </w:p>
    <w:p w:rsidR="00E72C4E" w:rsidRDefault="00287CD4" w:rsidP="00CB66FC">
      <w:pPr>
        <w:pStyle w:val="naisf"/>
        <w:numPr>
          <w:ilvl w:val="0"/>
          <w:numId w:val="19"/>
        </w:numPr>
        <w:spacing w:before="0" w:beforeAutospacing="0" w:after="0" w:afterAutospacing="0"/>
        <w:ind w:left="0" w:firstLine="709"/>
        <w:jc w:val="both"/>
        <w:rPr>
          <w:sz w:val="28"/>
          <w:szCs w:val="28"/>
        </w:rPr>
      </w:pPr>
      <w:r>
        <w:rPr>
          <w:sz w:val="28"/>
          <w:szCs w:val="28"/>
        </w:rPr>
        <w:t xml:space="preserve"> Zāļu valsts aģentūra</w:t>
      </w:r>
      <w:r w:rsidRPr="00A73863">
        <w:rPr>
          <w:sz w:val="28"/>
          <w:szCs w:val="28"/>
        </w:rPr>
        <w:t xml:space="preserve"> </w:t>
      </w:r>
      <w:r w:rsidRPr="00C85E67">
        <w:rPr>
          <w:sz w:val="28"/>
          <w:szCs w:val="28"/>
        </w:rPr>
        <w:t>30 dienu laikā</w:t>
      </w:r>
      <w:r w:rsidRPr="00A73863">
        <w:rPr>
          <w:sz w:val="28"/>
          <w:szCs w:val="28"/>
        </w:rPr>
        <w:t xml:space="preserve"> </w:t>
      </w:r>
      <w:r>
        <w:rPr>
          <w:sz w:val="28"/>
          <w:szCs w:val="28"/>
        </w:rPr>
        <w:t xml:space="preserve">izvērtē iesniegtos grozījumus un </w:t>
      </w:r>
      <w:r w:rsidRPr="00A73863">
        <w:rPr>
          <w:sz w:val="28"/>
          <w:szCs w:val="28"/>
        </w:rPr>
        <w:t xml:space="preserve">informē </w:t>
      </w:r>
      <w:r w:rsidR="007E333F">
        <w:rPr>
          <w:sz w:val="28"/>
          <w:szCs w:val="28"/>
        </w:rPr>
        <w:t xml:space="preserve">zāļu </w:t>
      </w:r>
      <w:r>
        <w:rPr>
          <w:sz w:val="28"/>
          <w:szCs w:val="28"/>
        </w:rPr>
        <w:t>reģistrācijas</w:t>
      </w:r>
      <w:r w:rsidR="00264451">
        <w:rPr>
          <w:sz w:val="28"/>
          <w:szCs w:val="28"/>
        </w:rPr>
        <w:t xml:space="preserve"> īpašnieku</w:t>
      </w:r>
      <w:r>
        <w:rPr>
          <w:sz w:val="28"/>
          <w:szCs w:val="28"/>
        </w:rPr>
        <w:t xml:space="preserve"> </w:t>
      </w:r>
      <w:r w:rsidRPr="00A73863">
        <w:rPr>
          <w:sz w:val="28"/>
          <w:szCs w:val="28"/>
        </w:rPr>
        <w:t xml:space="preserve">par </w:t>
      </w:r>
      <w:r>
        <w:rPr>
          <w:sz w:val="28"/>
          <w:szCs w:val="28"/>
        </w:rPr>
        <w:t xml:space="preserve">protokola apstiprinājumu vai </w:t>
      </w:r>
      <w:r w:rsidRPr="00A73863">
        <w:rPr>
          <w:sz w:val="28"/>
          <w:szCs w:val="28"/>
        </w:rPr>
        <w:t>iebildumiem</w:t>
      </w:r>
      <w:r>
        <w:rPr>
          <w:sz w:val="28"/>
          <w:szCs w:val="28"/>
        </w:rPr>
        <w:t>.</w:t>
      </w:r>
    </w:p>
    <w:p w:rsidR="001C414A" w:rsidRPr="001C414A" w:rsidRDefault="001C414A" w:rsidP="001C414A">
      <w:pPr>
        <w:pStyle w:val="naisf"/>
        <w:spacing w:before="0" w:beforeAutospacing="0" w:after="0" w:afterAutospacing="0"/>
        <w:ind w:left="709"/>
        <w:jc w:val="both"/>
        <w:rPr>
          <w:sz w:val="28"/>
          <w:szCs w:val="28"/>
        </w:rPr>
      </w:pPr>
    </w:p>
    <w:p w:rsidR="00287CD4" w:rsidRPr="00FE3699" w:rsidRDefault="007E333F" w:rsidP="00CB66FC">
      <w:pPr>
        <w:pStyle w:val="naisf"/>
        <w:numPr>
          <w:ilvl w:val="0"/>
          <w:numId w:val="19"/>
        </w:numPr>
        <w:spacing w:before="0" w:beforeAutospacing="0" w:after="0" w:afterAutospacing="0"/>
        <w:ind w:left="0" w:firstLine="709"/>
        <w:jc w:val="both"/>
        <w:rPr>
          <w:sz w:val="28"/>
          <w:szCs w:val="28"/>
        </w:rPr>
      </w:pPr>
      <w:r w:rsidRPr="00FE3699">
        <w:rPr>
          <w:sz w:val="28"/>
          <w:szCs w:val="28"/>
        </w:rPr>
        <w:lastRenderedPageBreak/>
        <w:t>Zāļu r</w:t>
      </w:r>
      <w:r w:rsidR="00287CD4" w:rsidRPr="00FE3699">
        <w:rPr>
          <w:sz w:val="28"/>
          <w:szCs w:val="28"/>
        </w:rPr>
        <w:t>eģistrācijas</w:t>
      </w:r>
      <w:r w:rsidR="00264451" w:rsidRPr="00FE3699">
        <w:rPr>
          <w:sz w:val="28"/>
          <w:szCs w:val="28"/>
        </w:rPr>
        <w:t xml:space="preserve"> īpašnieks</w:t>
      </w:r>
      <w:r w:rsidR="00287CD4" w:rsidRPr="00FE3699">
        <w:rPr>
          <w:sz w:val="28"/>
          <w:szCs w:val="28"/>
        </w:rPr>
        <w:t xml:space="preserve"> 12 mēnešu laikā pēc </w:t>
      </w:r>
      <w:proofErr w:type="spellStart"/>
      <w:r w:rsidR="00287CD4" w:rsidRPr="00FE3699">
        <w:rPr>
          <w:sz w:val="28"/>
          <w:szCs w:val="28"/>
        </w:rPr>
        <w:t>pēcreģistrācijas</w:t>
      </w:r>
      <w:proofErr w:type="spellEnd"/>
      <w:r w:rsidR="00287CD4" w:rsidRPr="00FE3699">
        <w:rPr>
          <w:sz w:val="28"/>
          <w:szCs w:val="28"/>
        </w:rPr>
        <w:t xml:space="preserve"> pētījuma beigām iesniedz Zāļu valsts aģentūrā pētījuma gala ziņojumu</w:t>
      </w:r>
      <w:r w:rsidR="008C51F9" w:rsidRPr="00FE3699">
        <w:rPr>
          <w:sz w:val="28"/>
          <w:szCs w:val="28"/>
        </w:rPr>
        <w:t>.</w:t>
      </w:r>
      <w:r w:rsidR="00287CD4" w:rsidRPr="00FE3699">
        <w:rPr>
          <w:sz w:val="28"/>
          <w:szCs w:val="28"/>
        </w:rPr>
        <w:t xml:space="preserve"> </w:t>
      </w:r>
    </w:p>
    <w:p w:rsidR="00E72C4E" w:rsidRPr="00E72C4E" w:rsidRDefault="00E72C4E" w:rsidP="00E72C4E">
      <w:pPr>
        <w:pStyle w:val="naisf"/>
        <w:spacing w:before="0" w:beforeAutospacing="0" w:after="0" w:afterAutospacing="0"/>
        <w:jc w:val="both"/>
        <w:rPr>
          <w:sz w:val="28"/>
          <w:szCs w:val="28"/>
        </w:rPr>
      </w:pPr>
    </w:p>
    <w:p w:rsidR="00287CD4" w:rsidRDefault="007E333F" w:rsidP="00CB66FC">
      <w:pPr>
        <w:pStyle w:val="naisf"/>
        <w:numPr>
          <w:ilvl w:val="0"/>
          <w:numId w:val="19"/>
        </w:numPr>
        <w:tabs>
          <w:tab w:val="left" w:pos="1134"/>
        </w:tabs>
        <w:spacing w:before="0" w:beforeAutospacing="0" w:after="0" w:afterAutospacing="0"/>
        <w:ind w:left="0" w:firstLine="709"/>
        <w:jc w:val="both"/>
        <w:rPr>
          <w:sz w:val="28"/>
          <w:szCs w:val="28"/>
        </w:rPr>
      </w:pPr>
      <w:r>
        <w:rPr>
          <w:sz w:val="28"/>
          <w:szCs w:val="28"/>
        </w:rPr>
        <w:t>Zāļu r</w:t>
      </w:r>
      <w:r w:rsidR="00287CD4" w:rsidRPr="008C51F9">
        <w:rPr>
          <w:sz w:val="28"/>
          <w:szCs w:val="28"/>
        </w:rPr>
        <w:t>eģistrācijas</w:t>
      </w:r>
      <w:r w:rsidR="00264451">
        <w:rPr>
          <w:sz w:val="28"/>
          <w:szCs w:val="28"/>
        </w:rPr>
        <w:t xml:space="preserve"> īpašnieks</w:t>
      </w:r>
      <w:r w:rsidR="00287CD4" w:rsidRPr="008C51F9">
        <w:rPr>
          <w:sz w:val="28"/>
          <w:szCs w:val="28"/>
        </w:rPr>
        <w:t xml:space="preserve"> novērtē, vai </w:t>
      </w:r>
      <w:proofErr w:type="spellStart"/>
      <w:r w:rsidR="00287CD4" w:rsidRPr="008C51F9">
        <w:rPr>
          <w:sz w:val="28"/>
          <w:szCs w:val="28"/>
        </w:rPr>
        <w:t>pēcreģistrācijas</w:t>
      </w:r>
      <w:proofErr w:type="spellEnd"/>
      <w:r w:rsidR="00287CD4" w:rsidRPr="008C51F9">
        <w:rPr>
          <w:sz w:val="28"/>
          <w:szCs w:val="28"/>
        </w:rPr>
        <w:t xml:space="preserve"> pētījuma rezultāti ietekmē </w:t>
      </w:r>
      <w:r w:rsidR="00953A16" w:rsidRPr="008C51F9">
        <w:rPr>
          <w:sz w:val="28"/>
          <w:szCs w:val="28"/>
        </w:rPr>
        <w:t xml:space="preserve">zāļu </w:t>
      </w:r>
      <w:r w:rsidR="006521D8">
        <w:rPr>
          <w:sz w:val="28"/>
          <w:szCs w:val="28"/>
        </w:rPr>
        <w:t>reģistrācij</w:t>
      </w:r>
      <w:r>
        <w:rPr>
          <w:sz w:val="28"/>
          <w:szCs w:val="28"/>
        </w:rPr>
        <w:t>u</w:t>
      </w:r>
      <w:r w:rsidR="006521D8">
        <w:rPr>
          <w:sz w:val="28"/>
          <w:szCs w:val="28"/>
        </w:rPr>
        <w:t xml:space="preserve"> un nepieciešamības</w:t>
      </w:r>
      <w:r w:rsidR="00287CD4" w:rsidRPr="008C51F9">
        <w:rPr>
          <w:sz w:val="28"/>
          <w:szCs w:val="28"/>
        </w:rPr>
        <w:t xml:space="preserve"> gadījum</w:t>
      </w:r>
      <w:r w:rsidR="00287CD4" w:rsidRPr="00F87BE7">
        <w:rPr>
          <w:sz w:val="28"/>
          <w:szCs w:val="28"/>
        </w:rPr>
        <w:t>ā iesniedz</w:t>
      </w:r>
      <w:r w:rsidR="008D2953">
        <w:rPr>
          <w:sz w:val="28"/>
          <w:szCs w:val="28"/>
        </w:rPr>
        <w:t xml:space="preserve"> Zāļu valsts aģentūrā iesniegumu</w:t>
      </w:r>
      <w:r w:rsidR="00287CD4" w:rsidRPr="00F87BE7">
        <w:rPr>
          <w:sz w:val="28"/>
          <w:szCs w:val="28"/>
        </w:rPr>
        <w:t xml:space="preserve"> par izmaiņām </w:t>
      </w:r>
      <w:r w:rsidR="00953A16">
        <w:rPr>
          <w:sz w:val="28"/>
          <w:szCs w:val="28"/>
        </w:rPr>
        <w:t xml:space="preserve">zāļu </w:t>
      </w:r>
      <w:r w:rsidR="00287CD4" w:rsidRPr="00F87BE7">
        <w:rPr>
          <w:sz w:val="28"/>
          <w:szCs w:val="28"/>
        </w:rPr>
        <w:t>reģi</w:t>
      </w:r>
      <w:r>
        <w:rPr>
          <w:sz w:val="28"/>
          <w:szCs w:val="28"/>
        </w:rPr>
        <w:t>strācijā</w:t>
      </w:r>
      <w:r w:rsidR="00287CD4" w:rsidRPr="00F87BE7">
        <w:rPr>
          <w:sz w:val="28"/>
          <w:szCs w:val="28"/>
        </w:rPr>
        <w:t>.</w:t>
      </w:r>
    </w:p>
    <w:p w:rsidR="00287CD4" w:rsidRDefault="00287CD4" w:rsidP="00287CD4">
      <w:pPr>
        <w:pStyle w:val="naisf"/>
        <w:tabs>
          <w:tab w:val="left" w:pos="1134"/>
        </w:tabs>
        <w:spacing w:before="0" w:beforeAutospacing="0" w:after="0" w:afterAutospacing="0"/>
        <w:ind w:left="709"/>
        <w:jc w:val="both"/>
        <w:rPr>
          <w:sz w:val="28"/>
          <w:szCs w:val="28"/>
        </w:rPr>
      </w:pPr>
    </w:p>
    <w:p w:rsidR="00287CD4" w:rsidRPr="006E0A8B" w:rsidRDefault="007E333F" w:rsidP="00CB66FC">
      <w:pPr>
        <w:pStyle w:val="naisf"/>
        <w:numPr>
          <w:ilvl w:val="0"/>
          <w:numId w:val="19"/>
        </w:numPr>
        <w:spacing w:before="0" w:beforeAutospacing="0" w:after="0" w:afterAutospacing="0"/>
        <w:ind w:left="0" w:firstLine="709"/>
        <w:jc w:val="both"/>
        <w:rPr>
          <w:sz w:val="28"/>
          <w:szCs w:val="28"/>
        </w:rPr>
      </w:pPr>
      <w:r w:rsidRPr="00FE3699">
        <w:rPr>
          <w:sz w:val="28"/>
          <w:szCs w:val="28"/>
        </w:rPr>
        <w:t>Zāļu r</w:t>
      </w:r>
      <w:r w:rsidR="00287CD4" w:rsidRPr="00FE3699">
        <w:rPr>
          <w:sz w:val="28"/>
          <w:szCs w:val="28"/>
        </w:rPr>
        <w:t>eģ</w:t>
      </w:r>
      <w:r w:rsidR="00264451" w:rsidRPr="00FE3699">
        <w:rPr>
          <w:sz w:val="28"/>
          <w:szCs w:val="28"/>
        </w:rPr>
        <w:t xml:space="preserve">istrācijas </w:t>
      </w:r>
      <w:r w:rsidR="00287CD4" w:rsidRPr="00FE3699">
        <w:rPr>
          <w:sz w:val="28"/>
          <w:szCs w:val="28"/>
        </w:rPr>
        <w:t>īpašnieks</w:t>
      </w:r>
      <w:r w:rsidR="00264451" w:rsidRPr="00FE3699">
        <w:rPr>
          <w:sz w:val="28"/>
          <w:szCs w:val="28"/>
        </w:rPr>
        <w:t xml:space="preserve"> </w:t>
      </w:r>
      <w:r w:rsidR="00287CD4" w:rsidRPr="00FE3699">
        <w:rPr>
          <w:sz w:val="28"/>
          <w:szCs w:val="28"/>
        </w:rPr>
        <w:t>elektroniski iesniedz Zāļu valsts aģentūrā pētījuma rezultātu kopsavilkumu un gala ziņojumu</w:t>
      </w:r>
      <w:r w:rsidR="00287CD4">
        <w:rPr>
          <w:sz w:val="28"/>
          <w:szCs w:val="28"/>
        </w:rPr>
        <w:t>.</w:t>
      </w:r>
    </w:p>
    <w:p w:rsidR="00287CD4" w:rsidRDefault="00287CD4" w:rsidP="00287CD4">
      <w:pPr>
        <w:pStyle w:val="naisf"/>
        <w:tabs>
          <w:tab w:val="left" w:pos="1134"/>
        </w:tabs>
        <w:spacing w:before="0" w:beforeAutospacing="0" w:after="0" w:afterAutospacing="0"/>
        <w:ind w:left="360"/>
        <w:jc w:val="both"/>
        <w:rPr>
          <w:sz w:val="28"/>
          <w:szCs w:val="28"/>
        </w:rPr>
      </w:pPr>
    </w:p>
    <w:p w:rsidR="00287CD4" w:rsidRPr="006E0A8B" w:rsidRDefault="00287CD4" w:rsidP="00CB66FC">
      <w:pPr>
        <w:pStyle w:val="naisf"/>
        <w:numPr>
          <w:ilvl w:val="0"/>
          <w:numId w:val="19"/>
        </w:numPr>
        <w:spacing w:before="0" w:beforeAutospacing="0" w:after="0" w:afterAutospacing="0"/>
        <w:ind w:left="0" w:firstLine="709"/>
        <w:jc w:val="both"/>
        <w:rPr>
          <w:sz w:val="28"/>
          <w:szCs w:val="28"/>
        </w:rPr>
      </w:pPr>
      <w:r w:rsidRPr="006C516B">
        <w:rPr>
          <w:sz w:val="28"/>
          <w:szCs w:val="28"/>
        </w:rPr>
        <w:t xml:space="preserve">Ja </w:t>
      </w:r>
      <w:proofErr w:type="spellStart"/>
      <w:r w:rsidRPr="006C516B">
        <w:rPr>
          <w:sz w:val="28"/>
          <w:szCs w:val="28"/>
        </w:rPr>
        <w:t>pēcreģistrācijas</w:t>
      </w:r>
      <w:proofErr w:type="spellEnd"/>
      <w:r w:rsidRPr="006C516B">
        <w:rPr>
          <w:sz w:val="28"/>
          <w:szCs w:val="28"/>
        </w:rPr>
        <w:t xml:space="preserve"> pētījums tiek veikts v</w:t>
      </w:r>
      <w:r>
        <w:rPr>
          <w:sz w:val="28"/>
          <w:szCs w:val="28"/>
        </w:rPr>
        <w:t xml:space="preserve">airākās EEZ </w:t>
      </w:r>
      <w:r w:rsidRPr="006C516B">
        <w:rPr>
          <w:sz w:val="28"/>
          <w:szCs w:val="28"/>
        </w:rPr>
        <w:t xml:space="preserve">valstīs, pētījumu var uzsākt tikai tad, kad </w:t>
      </w:r>
      <w:proofErr w:type="spellStart"/>
      <w:r w:rsidRPr="006C516B">
        <w:rPr>
          <w:sz w:val="28"/>
          <w:szCs w:val="28"/>
        </w:rPr>
        <w:t>Farmakovigilances</w:t>
      </w:r>
      <w:proofErr w:type="spellEnd"/>
      <w:r w:rsidRPr="006C516B">
        <w:rPr>
          <w:sz w:val="28"/>
          <w:szCs w:val="28"/>
        </w:rPr>
        <w:t xml:space="preserve"> riska vērtēšanas komiteja </w:t>
      </w:r>
      <w:r w:rsidR="007E333F">
        <w:rPr>
          <w:sz w:val="28"/>
          <w:szCs w:val="28"/>
        </w:rPr>
        <w:t xml:space="preserve">zāļu </w:t>
      </w:r>
      <w:r w:rsidR="00264451">
        <w:rPr>
          <w:sz w:val="28"/>
          <w:szCs w:val="28"/>
        </w:rPr>
        <w:t>reģistrācijas īpašniekam</w:t>
      </w:r>
      <w:r w:rsidR="003C3046">
        <w:rPr>
          <w:sz w:val="28"/>
          <w:szCs w:val="28"/>
        </w:rPr>
        <w:t xml:space="preserve"> </w:t>
      </w:r>
      <w:r w:rsidRPr="006C516B">
        <w:rPr>
          <w:sz w:val="28"/>
          <w:szCs w:val="28"/>
        </w:rPr>
        <w:t>ir izsniegusi</w:t>
      </w:r>
      <w:r w:rsidR="00E72C4E">
        <w:rPr>
          <w:sz w:val="28"/>
          <w:szCs w:val="28"/>
        </w:rPr>
        <w:t xml:space="preserve"> </w:t>
      </w:r>
      <w:r w:rsidR="003C3046">
        <w:rPr>
          <w:sz w:val="28"/>
          <w:szCs w:val="28"/>
        </w:rPr>
        <w:t>rakstisku atļauju.</w:t>
      </w:r>
    </w:p>
    <w:p w:rsidR="00287CD4" w:rsidRPr="00DA5806" w:rsidRDefault="00287CD4" w:rsidP="00287CD4">
      <w:pPr>
        <w:pStyle w:val="naisf"/>
        <w:tabs>
          <w:tab w:val="left" w:pos="1134"/>
        </w:tabs>
        <w:spacing w:before="0" w:beforeAutospacing="0" w:after="0" w:afterAutospacing="0"/>
        <w:jc w:val="both"/>
        <w:rPr>
          <w:sz w:val="28"/>
          <w:szCs w:val="28"/>
        </w:rPr>
      </w:pPr>
    </w:p>
    <w:p w:rsidR="00287CD4" w:rsidRDefault="00287CD4" w:rsidP="00287CD4">
      <w:pPr>
        <w:pStyle w:val="naisf"/>
        <w:tabs>
          <w:tab w:val="left" w:pos="1134"/>
        </w:tabs>
        <w:spacing w:before="0" w:beforeAutospacing="0" w:after="0" w:afterAutospacing="0"/>
        <w:ind w:left="360"/>
        <w:jc w:val="center"/>
        <w:rPr>
          <w:b/>
          <w:sz w:val="28"/>
          <w:szCs w:val="28"/>
        </w:rPr>
      </w:pPr>
      <w:r w:rsidRPr="008D3357">
        <w:rPr>
          <w:b/>
          <w:sz w:val="28"/>
          <w:szCs w:val="28"/>
        </w:rPr>
        <w:t>VIII.</w:t>
      </w:r>
      <w:r w:rsidRPr="008D3357">
        <w:rPr>
          <w:sz w:val="28"/>
          <w:szCs w:val="28"/>
        </w:rPr>
        <w:t xml:space="preserve"> </w:t>
      </w:r>
      <w:proofErr w:type="spellStart"/>
      <w:r w:rsidR="005D08A3" w:rsidRPr="008D3357">
        <w:rPr>
          <w:b/>
          <w:sz w:val="28"/>
          <w:szCs w:val="28"/>
        </w:rPr>
        <w:t>Farmakovigilances</w:t>
      </w:r>
      <w:proofErr w:type="spellEnd"/>
      <w:r w:rsidR="005D08A3" w:rsidRPr="008D3357">
        <w:rPr>
          <w:b/>
          <w:sz w:val="28"/>
          <w:szCs w:val="28"/>
        </w:rPr>
        <w:t xml:space="preserve"> u</w:t>
      </w:r>
      <w:r w:rsidRPr="008D3357">
        <w:rPr>
          <w:b/>
          <w:sz w:val="28"/>
          <w:szCs w:val="28"/>
        </w:rPr>
        <w:t xml:space="preserve">zraudzība </w:t>
      </w:r>
    </w:p>
    <w:p w:rsidR="00287CD4" w:rsidRDefault="00287CD4" w:rsidP="00287CD4">
      <w:pPr>
        <w:pStyle w:val="ListParagraph"/>
        <w:rPr>
          <w:sz w:val="28"/>
          <w:szCs w:val="28"/>
        </w:rPr>
      </w:pPr>
    </w:p>
    <w:p w:rsidR="00287CD4" w:rsidRPr="00DA5806" w:rsidRDefault="00287CD4" w:rsidP="00CB66FC">
      <w:pPr>
        <w:pStyle w:val="naisf"/>
        <w:numPr>
          <w:ilvl w:val="0"/>
          <w:numId w:val="19"/>
        </w:numPr>
        <w:tabs>
          <w:tab w:val="left" w:pos="1134"/>
        </w:tabs>
        <w:spacing w:before="0" w:beforeAutospacing="0" w:after="0" w:afterAutospacing="0"/>
        <w:ind w:left="0" w:firstLine="709"/>
        <w:jc w:val="both"/>
        <w:rPr>
          <w:sz w:val="28"/>
          <w:szCs w:val="28"/>
        </w:rPr>
      </w:pPr>
      <w:r w:rsidRPr="00671852">
        <w:rPr>
          <w:sz w:val="28"/>
          <w:szCs w:val="28"/>
        </w:rPr>
        <w:t xml:space="preserve">Lai </w:t>
      </w:r>
      <w:r w:rsidR="008747E6">
        <w:rPr>
          <w:sz w:val="28"/>
          <w:szCs w:val="28"/>
        </w:rPr>
        <w:t>no</w:t>
      </w:r>
      <w:r w:rsidRPr="00671852">
        <w:rPr>
          <w:sz w:val="28"/>
          <w:szCs w:val="28"/>
        </w:rPr>
        <w:t>vērtēt</w:t>
      </w:r>
      <w:r w:rsidR="00264451">
        <w:rPr>
          <w:sz w:val="28"/>
          <w:szCs w:val="28"/>
        </w:rPr>
        <w:t xml:space="preserve">u </w:t>
      </w:r>
      <w:r w:rsidR="007E333F">
        <w:rPr>
          <w:sz w:val="28"/>
          <w:szCs w:val="28"/>
        </w:rPr>
        <w:t xml:space="preserve">zāļu </w:t>
      </w:r>
      <w:r w:rsidR="00264451">
        <w:rPr>
          <w:sz w:val="28"/>
          <w:szCs w:val="28"/>
        </w:rPr>
        <w:t>reģistrācijas īpašnieka</w:t>
      </w:r>
      <w:r w:rsidRPr="00671852">
        <w:rPr>
          <w:sz w:val="28"/>
          <w:szCs w:val="28"/>
        </w:rPr>
        <w:t xml:space="preserve"> atbilstību laba</w:t>
      </w:r>
      <w:r>
        <w:rPr>
          <w:sz w:val="28"/>
          <w:szCs w:val="28"/>
        </w:rPr>
        <w:t>i</w:t>
      </w:r>
      <w:r w:rsidRPr="00671852">
        <w:rPr>
          <w:sz w:val="28"/>
          <w:szCs w:val="28"/>
        </w:rPr>
        <w:t xml:space="preserve"> </w:t>
      </w:r>
      <w:proofErr w:type="spellStart"/>
      <w:r w:rsidRPr="00671852">
        <w:rPr>
          <w:sz w:val="28"/>
          <w:szCs w:val="28"/>
        </w:rPr>
        <w:t>farmakovigilances</w:t>
      </w:r>
      <w:proofErr w:type="spellEnd"/>
      <w:r w:rsidRPr="00671852">
        <w:rPr>
          <w:sz w:val="28"/>
          <w:szCs w:val="28"/>
        </w:rPr>
        <w:t xml:space="preserve"> prakse</w:t>
      </w:r>
      <w:r>
        <w:rPr>
          <w:sz w:val="28"/>
          <w:szCs w:val="28"/>
        </w:rPr>
        <w:t xml:space="preserve">i, </w:t>
      </w:r>
      <w:r w:rsidRPr="00671852">
        <w:rPr>
          <w:sz w:val="28"/>
          <w:szCs w:val="28"/>
        </w:rPr>
        <w:t xml:space="preserve">Zāļu valsts aģentūra </w:t>
      </w:r>
      <w:r w:rsidR="00264451">
        <w:rPr>
          <w:sz w:val="28"/>
          <w:szCs w:val="28"/>
        </w:rPr>
        <w:t xml:space="preserve">pārbauda </w:t>
      </w:r>
      <w:r w:rsidR="007E333F">
        <w:rPr>
          <w:sz w:val="28"/>
          <w:szCs w:val="28"/>
        </w:rPr>
        <w:t xml:space="preserve">zāļu </w:t>
      </w:r>
      <w:r w:rsidRPr="00671852">
        <w:rPr>
          <w:sz w:val="28"/>
          <w:szCs w:val="28"/>
        </w:rPr>
        <w:t>reģi</w:t>
      </w:r>
      <w:r w:rsidR="00264451">
        <w:rPr>
          <w:sz w:val="28"/>
          <w:szCs w:val="28"/>
        </w:rPr>
        <w:t xml:space="preserve">strācijas īpašnieka </w:t>
      </w:r>
      <w:proofErr w:type="spellStart"/>
      <w:r>
        <w:rPr>
          <w:sz w:val="28"/>
          <w:szCs w:val="28"/>
        </w:rPr>
        <w:t>farmakovigilances</w:t>
      </w:r>
      <w:proofErr w:type="spellEnd"/>
      <w:r>
        <w:rPr>
          <w:sz w:val="28"/>
          <w:szCs w:val="28"/>
        </w:rPr>
        <w:t xml:space="preserve"> sistēmas atbilstību</w:t>
      </w:r>
      <w:r w:rsidRPr="00671852">
        <w:rPr>
          <w:sz w:val="28"/>
          <w:szCs w:val="28"/>
        </w:rPr>
        <w:t xml:space="preserve"> </w:t>
      </w:r>
      <w:r>
        <w:rPr>
          <w:sz w:val="28"/>
          <w:szCs w:val="28"/>
        </w:rPr>
        <w:t>šajos noteikumos noteiktajām prasībām</w:t>
      </w:r>
      <w:r w:rsidRPr="00671852">
        <w:rPr>
          <w:sz w:val="28"/>
          <w:szCs w:val="28"/>
        </w:rPr>
        <w:t>, veic</w:t>
      </w:r>
      <w:r w:rsidR="006521D8">
        <w:rPr>
          <w:sz w:val="28"/>
          <w:szCs w:val="28"/>
        </w:rPr>
        <w:t>ot kārtēja</w:t>
      </w:r>
      <w:r>
        <w:rPr>
          <w:sz w:val="28"/>
          <w:szCs w:val="28"/>
        </w:rPr>
        <w:t xml:space="preserve">s, </w:t>
      </w:r>
      <w:r w:rsidRPr="00671852">
        <w:rPr>
          <w:color w:val="000000"/>
          <w:sz w:val="28"/>
          <w:szCs w:val="28"/>
        </w:rPr>
        <w:t>atkār</w:t>
      </w:r>
      <w:r w:rsidR="006521D8">
        <w:rPr>
          <w:color w:val="000000"/>
          <w:sz w:val="28"/>
          <w:szCs w:val="28"/>
        </w:rPr>
        <w:t>tota</w:t>
      </w:r>
      <w:r>
        <w:rPr>
          <w:color w:val="000000"/>
          <w:sz w:val="28"/>
          <w:szCs w:val="28"/>
        </w:rPr>
        <w:t xml:space="preserve">s un ārkārtas </w:t>
      </w:r>
      <w:r w:rsidRPr="00671852">
        <w:rPr>
          <w:color w:val="000000"/>
          <w:sz w:val="28"/>
          <w:szCs w:val="28"/>
        </w:rPr>
        <w:t>pārbaudes</w:t>
      </w:r>
      <w:r>
        <w:rPr>
          <w:color w:val="000000"/>
          <w:sz w:val="28"/>
          <w:szCs w:val="28"/>
        </w:rPr>
        <w:t>.</w:t>
      </w:r>
    </w:p>
    <w:p w:rsidR="00287CD4" w:rsidRPr="00363106" w:rsidRDefault="00287CD4" w:rsidP="00287CD4">
      <w:pPr>
        <w:pStyle w:val="naisf"/>
        <w:tabs>
          <w:tab w:val="left" w:pos="1134"/>
        </w:tabs>
        <w:spacing w:before="0" w:beforeAutospacing="0" w:after="0" w:afterAutospacing="0"/>
        <w:jc w:val="both"/>
        <w:rPr>
          <w:sz w:val="28"/>
          <w:szCs w:val="28"/>
        </w:rPr>
      </w:pPr>
    </w:p>
    <w:p w:rsidR="00287CD4" w:rsidRPr="00363106" w:rsidRDefault="006521D8" w:rsidP="00CB66FC">
      <w:pPr>
        <w:pStyle w:val="naisf"/>
        <w:numPr>
          <w:ilvl w:val="0"/>
          <w:numId w:val="19"/>
        </w:numPr>
        <w:tabs>
          <w:tab w:val="left" w:pos="1134"/>
        </w:tabs>
        <w:spacing w:before="0" w:beforeAutospacing="0" w:after="0" w:afterAutospacing="0"/>
        <w:ind w:left="0" w:firstLine="709"/>
        <w:jc w:val="both"/>
        <w:rPr>
          <w:sz w:val="28"/>
          <w:szCs w:val="28"/>
        </w:rPr>
      </w:pPr>
      <w:r>
        <w:rPr>
          <w:rFonts w:ascii="EUAlbertina" w:hAnsi="EUAlbertina" w:cs="EUAlbertina"/>
          <w:sz w:val="28"/>
          <w:szCs w:val="28"/>
        </w:rPr>
        <w:t xml:space="preserve"> Veicot šo noteikumu 5</w:t>
      </w:r>
      <w:r w:rsidR="00462A5C">
        <w:rPr>
          <w:rFonts w:ascii="EUAlbertina" w:hAnsi="EUAlbertina" w:cs="EUAlbertina"/>
          <w:sz w:val="28"/>
          <w:szCs w:val="28"/>
        </w:rPr>
        <w:t>4</w:t>
      </w:r>
      <w:r w:rsidR="00287CD4">
        <w:rPr>
          <w:rFonts w:ascii="EUAlbertina" w:hAnsi="EUAlbertina" w:cs="EUAlbertina"/>
          <w:sz w:val="28"/>
          <w:szCs w:val="28"/>
        </w:rPr>
        <w:t xml:space="preserve">.punktā </w:t>
      </w:r>
      <w:r w:rsidR="00287CD4" w:rsidRPr="0071041E">
        <w:rPr>
          <w:rFonts w:ascii="EUAlbertina" w:hAnsi="EUAlbertina" w:cs="EUAlbertina" w:hint="eastAsia"/>
          <w:sz w:val="28"/>
          <w:szCs w:val="28"/>
        </w:rPr>
        <w:t>noteiktās</w:t>
      </w:r>
      <w:r w:rsidR="00287CD4" w:rsidRPr="0071041E">
        <w:rPr>
          <w:rFonts w:ascii="EUAlbertina" w:hAnsi="EUAlbertina" w:cs="EUAlbertina"/>
          <w:sz w:val="28"/>
          <w:szCs w:val="28"/>
        </w:rPr>
        <w:t xml:space="preserve"> pārbaudes</w:t>
      </w:r>
      <w:r w:rsidR="00287CD4">
        <w:rPr>
          <w:rFonts w:ascii="EUAlbertina" w:hAnsi="EUAlbertina" w:cs="EUAlbertina"/>
          <w:sz w:val="28"/>
          <w:szCs w:val="28"/>
        </w:rPr>
        <w:t xml:space="preserve">, </w:t>
      </w:r>
      <w:r w:rsidR="00287CD4" w:rsidRPr="00363106">
        <w:rPr>
          <w:rFonts w:ascii="EUAlbertina" w:hAnsi="EUAlbertina" w:cs="EUAlbertina"/>
          <w:sz w:val="28"/>
          <w:szCs w:val="28"/>
        </w:rPr>
        <w:t xml:space="preserve">Zāļu valsts </w:t>
      </w:r>
      <w:r w:rsidR="00287CD4" w:rsidRPr="00363106">
        <w:rPr>
          <w:rFonts w:ascii="EUAlbertina" w:hAnsi="EUAlbertina" w:cs="EUAlbertina" w:hint="eastAsia"/>
          <w:sz w:val="28"/>
          <w:szCs w:val="28"/>
        </w:rPr>
        <w:t>aģentūras</w:t>
      </w:r>
      <w:r w:rsidR="00287CD4" w:rsidRPr="00363106">
        <w:rPr>
          <w:rFonts w:ascii="EUAlbertina" w:hAnsi="EUAlbertina" w:cs="EUAlbertina"/>
          <w:sz w:val="28"/>
          <w:szCs w:val="28"/>
        </w:rPr>
        <w:t xml:space="preserve"> kompetentai amatpersonai ir tiesības:</w:t>
      </w:r>
    </w:p>
    <w:p w:rsidR="00287CD4" w:rsidRPr="00363106" w:rsidRDefault="00287CD4" w:rsidP="00CB66FC">
      <w:pPr>
        <w:pStyle w:val="naisf"/>
        <w:numPr>
          <w:ilvl w:val="1"/>
          <w:numId w:val="19"/>
        </w:numPr>
        <w:tabs>
          <w:tab w:val="left" w:pos="1134"/>
        </w:tabs>
        <w:spacing w:before="0" w:beforeAutospacing="0" w:after="0" w:afterAutospacing="0"/>
        <w:ind w:left="0" w:firstLine="709"/>
        <w:jc w:val="both"/>
        <w:rPr>
          <w:sz w:val="28"/>
          <w:szCs w:val="28"/>
        </w:rPr>
      </w:pPr>
      <w:r>
        <w:rPr>
          <w:rFonts w:ascii="EUAlbertina" w:hAnsi="EUAlbertina" w:cs="EUAlbertina"/>
          <w:sz w:val="28"/>
          <w:szCs w:val="28"/>
        </w:rPr>
        <w:t>pārbaudīt</w:t>
      </w:r>
      <w:r w:rsidR="00264451">
        <w:rPr>
          <w:rFonts w:ascii="EUAlbertina" w:hAnsi="EUAlbertina" w:cs="EUAlbertina"/>
          <w:sz w:val="28"/>
          <w:szCs w:val="28"/>
        </w:rPr>
        <w:t xml:space="preserve"> </w:t>
      </w:r>
      <w:r w:rsidR="00F907BE">
        <w:rPr>
          <w:rFonts w:ascii="EUAlbertina" w:hAnsi="EUAlbertina" w:cs="EUAlbertina"/>
          <w:sz w:val="28"/>
          <w:szCs w:val="28"/>
        </w:rPr>
        <w:t xml:space="preserve">zāļu </w:t>
      </w:r>
      <w:r w:rsidRPr="00363106">
        <w:rPr>
          <w:rFonts w:ascii="EUAlbertina" w:hAnsi="EUAlbertina" w:cs="EUAlbertina"/>
          <w:sz w:val="28"/>
          <w:szCs w:val="28"/>
        </w:rPr>
        <w:t>reģ</w:t>
      </w:r>
      <w:r>
        <w:rPr>
          <w:rFonts w:ascii="EUAlbertina" w:hAnsi="EUAlbertina" w:cs="EUAlbertina"/>
          <w:sz w:val="28"/>
          <w:szCs w:val="28"/>
        </w:rPr>
        <w:t>istrācijas</w:t>
      </w:r>
      <w:r w:rsidR="00264451">
        <w:rPr>
          <w:rFonts w:ascii="EUAlbertina" w:hAnsi="EUAlbertina" w:cs="EUAlbertina"/>
          <w:sz w:val="28"/>
          <w:szCs w:val="28"/>
        </w:rPr>
        <w:t xml:space="preserve"> īpašnieka</w:t>
      </w:r>
      <w:r w:rsidRPr="00363106">
        <w:rPr>
          <w:rFonts w:ascii="EUAlbertina" w:hAnsi="EUAlbertina" w:cs="EUAlbertina"/>
          <w:sz w:val="28"/>
          <w:szCs w:val="28"/>
        </w:rPr>
        <w:t xml:space="preserve"> un ar to saistītos uzņēmumus, tai skaitā telpas, aprīkojumu, personālu, </w:t>
      </w:r>
      <w:r>
        <w:rPr>
          <w:rFonts w:ascii="EUAlbertina" w:hAnsi="EUAlbertina" w:cs="EUAlbertina"/>
          <w:sz w:val="28"/>
          <w:szCs w:val="28"/>
        </w:rPr>
        <w:t xml:space="preserve">kvalitātes nodrošināšanas pasākumus, </w:t>
      </w:r>
      <w:r w:rsidRPr="00363106">
        <w:rPr>
          <w:rFonts w:ascii="EUAlbertina" w:hAnsi="EUAlbertina" w:cs="EUAlbertina"/>
          <w:sz w:val="28"/>
          <w:szCs w:val="28"/>
        </w:rPr>
        <w:t xml:space="preserve">kas attiecas uz </w:t>
      </w:r>
      <w:r w:rsidR="00F907BE">
        <w:rPr>
          <w:rFonts w:ascii="EUAlbertina" w:hAnsi="EUAlbertina" w:cs="EUAlbertina"/>
          <w:sz w:val="28"/>
          <w:szCs w:val="28"/>
        </w:rPr>
        <w:t xml:space="preserve">zāļu </w:t>
      </w:r>
      <w:r w:rsidRPr="00363106">
        <w:rPr>
          <w:rFonts w:ascii="EUAlbertina" w:hAnsi="EUAlbertina" w:cs="EUAlbertina"/>
          <w:sz w:val="28"/>
          <w:szCs w:val="28"/>
        </w:rPr>
        <w:t>r</w:t>
      </w:r>
      <w:r w:rsidR="00264451">
        <w:rPr>
          <w:rFonts w:ascii="EUAlbertina" w:hAnsi="EUAlbertina" w:cs="EUAlbertina"/>
          <w:sz w:val="28"/>
          <w:szCs w:val="28"/>
        </w:rPr>
        <w:t>eģistrācijas īpašnieka</w:t>
      </w:r>
      <w:r w:rsidRPr="00363106">
        <w:rPr>
          <w:rFonts w:ascii="EUAlbertina" w:hAnsi="EUAlbertina" w:cs="EUAlbertina"/>
          <w:sz w:val="28"/>
          <w:szCs w:val="28"/>
        </w:rPr>
        <w:t xml:space="preserve"> </w:t>
      </w:r>
      <w:proofErr w:type="spellStart"/>
      <w:r w:rsidRPr="00363106">
        <w:rPr>
          <w:rFonts w:ascii="EUAlbertina" w:hAnsi="EUAlbertina" w:cs="EUAlbertina"/>
          <w:sz w:val="28"/>
          <w:szCs w:val="28"/>
        </w:rPr>
        <w:t>farmakovigilances</w:t>
      </w:r>
      <w:proofErr w:type="spellEnd"/>
      <w:r w:rsidRPr="00363106">
        <w:rPr>
          <w:rFonts w:ascii="EUAlbertina" w:hAnsi="EUAlbertina" w:cs="EUAlbertina"/>
          <w:sz w:val="28"/>
          <w:szCs w:val="28"/>
        </w:rPr>
        <w:t xml:space="preserve"> sistēmu;</w:t>
      </w:r>
    </w:p>
    <w:p w:rsidR="00287CD4" w:rsidRPr="00363106" w:rsidRDefault="00287CD4" w:rsidP="00CB66FC">
      <w:pPr>
        <w:pStyle w:val="naisf"/>
        <w:numPr>
          <w:ilvl w:val="1"/>
          <w:numId w:val="19"/>
        </w:numPr>
        <w:tabs>
          <w:tab w:val="left" w:pos="1134"/>
        </w:tabs>
        <w:spacing w:before="0" w:beforeAutospacing="0" w:after="0" w:afterAutospacing="0"/>
        <w:ind w:left="0" w:firstLine="709"/>
        <w:jc w:val="both"/>
        <w:rPr>
          <w:sz w:val="28"/>
          <w:szCs w:val="28"/>
        </w:rPr>
      </w:pPr>
      <w:r w:rsidRPr="00363106">
        <w:rPr>
          <w:rFonts w:ascii="EUAlbertina" w:hAnsi="EUAlbertina" w:cs="EUAlbertina"/>
          <w:sz w:val="28"/>
          <w:szCs w:val="28"/>
        </w:rPr>
        <w:t>izskatīt pārbaudāmā objekta dokumentāciju, tās uzskaiti;</w:t>
      </w:r>
    </w:p>
    <w:p w:rsidR="00287CD4" w:rsidRPr="006E0A8B" w:rsidRDefault="00287CD4" w:rsidP="00CB66FC">
      <w:pPr>
        <w:pStyle w:val="naisf"/>
        <w:numPr>
          <w:ilvl w:val="1"/>
          <w:numId w:val="19"/>
        </w:numPr>
        <w:tabs>
          <w:tab w:val="left" w:pos="1134"/>
        </w:tabs>
        <w:spacing w:before="0" w:beforeAutospacing="0" w:after="0" w:afterAutospacing="0"/>
        <w:ind w:left="0" w:firstLine="709"/>
        <w:jc w:val="both"/>
        <w:rPr>
          <w:sz w:val="28"/>
          <w:szCs w:val="28"/>
        </w:rPr>
      </w:pPr>
      <w:r w:rsidRPr="00363106">
        <w:rPr>
          <w:rFonts w:ascii="EUAlbertina" w:hAnsi="EUAlbertina" w:cs="EUAlbertina"/>
          <w:sz w:val="28"/>
          <w:szCs w:val="28"/>
        </w:rPr>
        <w:t xml:space="preserve">pārbaudīt </w:t>
      </w:r>
      <w:proofErr w:type="spellStart"/>
      <w:r w:rsidRPr="00363106">
        <w:rPr>
          <w:rFonts w:ascii="EUAlbertina" w:hAnsi="EUAlbertina" w:cs="EUAlbertina"/>
          <w:sz w:val="28"/>
          <w:szCs w:val="28"/>
        </w:rPr>
        <w:t>farmakovigilances</w:t>
      </w:r>
      <w:proofErr w:type="spellEnd"/>
      <w:r w:rsidRPr="00363106">
        <w:rPr>
          <w:rFonts w:ascii="EUAlbertina" w:hAnsi="EUAlbertina" w:cs="EUAlbertina"/>
          <w:sz w:val="28"/>
          <w:szCs w:val="28"/>
        </w:rPr>
        <w:t xml:space="preserve"> </w:t>
      </w:r>
      <w:r>
        <w:rPr>
          <w:rFonts w:ascii="EUAlbertina" w:hAnsi="EUAlbertina" w:cs="EUAlbertina"/>
          <w:sz w:val="28"/>
          <w:szCs w:val="28"/>
        </w:rPr>
        <w:t xml:space="preserve">sistēmas </w:t>
      </w:r>
      <w:proofErr w:type="spellStart"/>
      <w:r w:rsidRPr="00363106">
        <w:rPr>
          <w:rFonts w:ascii="EUAlbertina" w:hAnsi="EUAlbertina" w:cs="EUAlbertina"/>
          <w:sz w:val="28"/>
          <w:szCs w:val="28"/>
        </w:rPr>
        <w:t>pamatlietu</w:t>
      </w:r>
      <w:proofErr w:type="spellEnd"/>
      <w:r>
        <w:rPr>
          <w:rFonts w:ascii="EUAlbertina" w:hAnsi="EUAlbertina" w:cs="EUAlbertina"/>
          <w:sz w:val="28"/>
          <w:szCs w:val="28"/>
        </w:rPr>
        <w:t>.</w:t>
      </w:r>
    </w:p>
    <w:p w:rsidR="00287CD4" w:rsidRPr="00363106" w:rsidRDefault="00287CD4" w:rsidP="00287CD4">
      <w:pPr>
        <w:pStyle w:val="naisf"/>
        <w:tabs>
          <w:tab w:val="left" w:pos="1134"/>
        </w:tabs>
        <w:spacing w:before="0" w:beforeAutospacing="0" w:after="0" w:afterAutospacing="0"/>
        <w:ind w:left="709"/>
        <w:jc w:val="both"/>
        <w:rPr>
          <w:sz w:val="28"/>
          <w:szCs w:val="28"/>
        </w:rPr>
      </w:pPr>
    </w:p>
    <w:p w:rsidR="00287CD4" w:rsidRDefault="00287CD4" w:rsidP="00CB66FC">
      <w:pPr>
        <w:pStyle w:val="naisf"/>
        <w:numPr>
          <w:ilvl w:val="0"/>
          <w:numId w:val="19"/>
        </w:numPr>
        <w:tabs>
          <w:tab w:val="left" w:pos="1134"/>
        </w:tabs>
        <w:spacing w:before="0" w:beforeAutospacing="0" w:after="0" w:afterAutospacing="0"/>
        <w:ind w:left="0" w:firstLine="709"/>
        <w:jc w:val="both"/>
        <w:rPr>
          <w:sz w:val="28"/>
          <w:szCs w:val="28"/>
        </w:rPr>
      </w:pPr>
      <w:r>
        <w:rPr>
          <w:sz w:val="28"/>
          <w:szCs w:val="28"/>
        </w:rPr>
        <w:t xml:space="preserve"> Ja </w:t>
      </w:r>
      <w:r w:rsidRPr="00363106">
        <w:rPr>
          <w:sz w:val="28"/>
          <w:szCs w:val="28"/>
        </w:rPr>
        <w:t xml:space="preserve">šo noteikumu </w:t>
      </w:r>
      <w:r w:rsidR="006521D8" w:rsidRPr="003D62D7">
        <w:rPr>
          <w:sz w:val="28"/>
          <w:szCs w:val="28"/>
        </w:rPr>
        <w:t>5</w:t>
      </w:r>
      <w:r w:rsidR="00462A5C">
        <w:rPr>
          <w:sz w:val="28"/>
          <w:szCs w:val="28"/>
        </w:rPr>
        <w:t>4</w:t>
      </w:r>
      <w:r w:rsidRPr="003D62D7">
        <w:rPr>
          <w:sz w:val="28"/>
          <w:szCs w:val="28"/>
        </w:rPr>
        <w:t>.</w:t>
      </w:r>
      <w:r w:rsidRPr="00363106">
        <w:rPr>
          <w:sz w:val="28"/>
          <w:szCs w:val="28"/>
        </w:rPr>
        <w:t>punktā minēt</w:t>
      </w:r>
      <w:r>
        <w:rPr>
          <w:sz w:val="28"/>
          <w:szCs w:val="28"/>
        </w:rPr>
        <w:t>o</w:t>
      </w:r>
      <w:r w:rsidRPr="00363106">
        <w:rPr>
          <w:sz w:val="28"/>
          <w:szCs w:val="28"/>
        </w:rPr>
        <w:t xml:space="preserve"> pārbau</w:t>
      </w:r>
      <w:r w:rsidR="00264451">
        <w:rPr>
          <w:sz w:val="28"/>
          <w:szCs w:val="28"/>
        </w:rPr>
        <w:t>žu laikā secina, ka</w:t>
      </w:r>
      <w:r w:rsidRPr="00671852">
        <w:rPr>
          <w:sz w:val="28"/>
          <w:szCs w:val="28"/>
        </w:rPr>
        <w:t xml:space="preserve"> </w:t>
      </w:r>
      <w:r w:rsidR="00F907BE">
        <w:rPr>
          <w:sz w:val="28"/>
          <w:szCs w:val="28"/>
        </w:rPr>
        <w:t xml:space="preserve">zāļu </w:t>
      </w:r>
      <w:r w:rsidRPr="00671852">
        <w:rPr>
          <w:sz w:val="28"/>
          <w:szCs w:val="28"/>
        </w:rPr>
        <w:t>reģistrāc</w:t>
      </w:r>
      <w:r w:rsidR="00264451">
        <w:rPr>
          <w:sz w:val="28"/>
          <w:szCs w:val="28"/>
        </w:rPr>
        <w:t>ijas īpašnieka</w:t>
      </w:r>
      <w:r w:rsidRPr="00671852">
        <w:rPr>
          <w:sz w:val="28"/>
          <w:szCs w:val="28"/>
        </w:rPr>
        <w:t xml:space="preserve"> </w:t>
      </w:r>
      <w:proofErr w:type="spellStart"/>
      <w:r w:rsidRPr="00671852">
        <w:rPr>
          <w:color w:val="000000"/>
          <w:sz w:val="28"/>
          <w:szCs w:val="28"/>
        </w:rPr>
        <w:t>farmakovigilances</w:t>
      </w:r>
      <w:proofErr w:type="spellEnd"/>
      <w:r w:rsidRPr="00671852">
        <w:rPr>
          <w:color w:val="000000"/>
          <w:sz w:val="28"/>
          <w:szCs w:val="28"/>
        </w:rPr>
        <w:t xml:space="preserve"> sistēma neatbilst</w:t>
      </w:r>
      <w:r>
        <w:rPr>
          <w:color w:val="000000"/>
          <w:sz w:val="28"/>
          <w:szCs w:val="28"/>
        </w:rPr>
        <w:t xml:space="preserve"> tam</w:t>
      </w:r>
      <w:r w:rsidRPr="00671852">
        <w:rPr>
          <w:color w:val="000000"/>
          <w:sz w:val="28"/>
          <w:szCs w:val="28"/>
        </w:rPr>
        <w:t xml:space="preserve">, kā tā aprakstīta </w:t>
      </w:r>
      <w:proofErr w:type="spellStart"/>
      <w:r w:rsidRPr="00671852">
        <w:rPr>
          <w:color w:val="000000"/>
          <w:sz w:val="28"/>
          <w:szCs w:val="28"/>
        </w:rPr>
        <w:t>farmakovigilances</w:t>
      </w:r>
      <w:proofErr w:type="spellEnd"/>
      <w:r w:rsidRPr="00671852">
        <w:rPr>
          <w:color w:val="000000"/>
          <w:sz w:val="28"/>
          <w:szCs w:val="28"/>
        </w:rPr>
        <w:t xml:space="preserve"> sistēmas </w:t>
      </w:r>
      <w:proofErr w:type="spellStart"/>
      <w:r w:rsidRPr="00671852">
        <w:rPr>
          <w:color w:val="000000"/>
          <w:sz w:val="28"/>
          <w:szCs w:val="28"/>
        </w:rPr>
        <w:t>pamatlietā</w:t>
      </w:r>
      <w:proofErr w:type="spellEnd"/>
      <w:r>
        <w:rPr>
          <w:color w:val="000000"/>
          <w:sz w:val="28"/>
          <w:szCs w:val="28"/>
        </w:rPr>
        <w:t xml:space="preserve"> vai šajos noteikumos noteiktajām prasībām,</w:t>
      </w:r>
      <w:r w:rsidRPr="00363106">
        <w:rPr>
          <w:sz w:val="28"/>
          <w:szCs w:val="28"/>
        </w:rPr>
        <w:t xml:space="preserve"> Zāļu valsts aģentūra</w:t>
      </w:r>
      <w:r>
        <w:rPr>
          <w:sz w:val="28"/>
          <w:szCs w:val="28"/>
        </w:rPr>
        <w:t>,</w:t>
      </w:r>
      <w:r w:rsidRPr="00363106">
        <w:rPr>
          <w:sz w:val="28"/>
          <w:szCs w:val="28"/>
        </w:rPr>
        <w:t xml:space="preserve"> sagatavo</w:t>
      </w:r>
      <w:r>
        <w:rPr>
          <w:sz w:val="28"/>
          <w:szCs w:val="28"/>
        </w:rPr>
        <w:t>jot</w:t>
      </w:r>
      <w:r w:rsidRPr="00363106">
        <w:rPr>
          <w:sz w:val="28"/>
          <w:szCs w:val="28"/>
        </w:rPr>
        <w:t xml:space="preserve"> rakstisku kontroles ziņojumu, kur</w:t>
      </w:r>
      <w:r w:rsidR="00264451">
        <w:rPr>
          <w:sz w:val="28"/>
          <w:szCs w:val="28"/>
        </w:rPr>
        <w:t xml:space="preserve">u nosūta  </w:t>
      </w:r>
      <w:r w:rsidR="00F907BE">
        <w:rPr>
          <w:sz w:val="28"/>
          <w:szCs w:val="28"/>
        </w:rPr>
        <w:t xml:space="preserve">zāļu </w:t>
      </w:r>
      <w:r w:rsidR="00264451">
        <w:rPr>
          <w:sz w:val="28"/>
          <w:szCs w:val="28"/>
        </w:rPr>
        <w:t>reģistrācijas īpašniekam</w:t>
      </w:r>
      <w:r>
        <w:rPr>
          <w:sz w:val="28"/>
          <w:szCs w:val="28"/>
        </w:rPr>
        <w:t>, norāda uz</w:t>
      </w:r>
      <w:r w:rsidR="00264451">
        <w:rPr>
          <w:sz w:val="28"/>
          <w:szCs w:val="28"/>
        </w:rPr>
        <w:t xml:space="preserve"> nepilnībām un dod iespēju </w:t>
      </w:r>
      <w:r w:rsidR="00F907BE">
        <w:rPr>
          <w:sz w:val="28"/>
          <w:szCs w:val="28"/>
        </w:rPr>
        <w:t xml:space="preserve">zāļu </w:t>
      </w:r>
      <w:r w:rsidR="00264451">
        <w:rPr>
          <w:sz w:val="28"/>
          <w:szCs w:val="28"/>
        </w:rPr>
        <w:t>reģistrācijas īpašniekam</w:t>
      </w:r>
      <w:r>
        <w:rPr>
          <w:sz w:val="28"/>
          <w:szCs w:val="28"/>
        </w:rPr>
        <w:t xml:space="preserve"> sniegt apsvērumus</w:t>
      </w:r>
      <w:r w:rsidRPr="00363106">
        <w:rPr>
          <w:sz w:val="28"/>
          <w:szCs w:val="28"/>
        </w:rPr>
        <w:t xml:space="preserve">. </w:t>
      </w:r>
    </w:p>
    <w:p w:rsidR="00287CD4" w:rsidRPr="00363106" w:rsidRDefault="00287CD4" w:rsidP="00287CD4">
      <w:pPr>
        <w:pStyle w:val="naisf"/>
        <w:tabs>
          <w:tab w:val="left" w:pos="1134"/>
        </w:tabs>
        <w:spacing w:before="0" w:beforeAutospacing="0" w:after="0" w:afterAutospacing="0"/>
        <w:ind w:left="709"/>
        <w:jc w:val="both"/>
        <w:rPr>
          <w:sz w:val="28"/>
          <w:szCs w:val="28"/>
        </w:rPr>
      </w:pPr>
    </w:p>
    <w:p w:rsidR="00287CD4" w:rsidRDefault="00866D7D" w:rsidP="00CB66FC">
      <w:pPr>
        <w:pStyle w:val="naisf"/>
        <w:numPr>
          <w:ilvl w:val="0"/>
          <w:numId w:val="19"/>
        </w:numPr>
        <w:tabs>
          <w:tab w:val="left" w:pos="1134"/>
        </w:tabs>
        <w:spacing w:before="0" w:beforeAutospacing="0" w:after="0" w:afterAutospacing="0"/>
        <w:ind w:left="0" w:firstLine="709"/>
        <w:jc w:val="both"/>
        <w:rPr>
          <w:sz w:val="28"/>
          <w:szCs w:val="28"/>
        </w:rPr>
      </w:pPr>
      <w:r w:rsidRPr="001C414A">
        <w:rPr>
          <w:sz w:val="28"/>
          <w:szCs w:val="28"/>
        </w:rPr>
        <w:lastRenderedPageBreak/>
        <w:t>Zāļu</w:t>
      </w:r>
      <w:r>
        <w:rPr>
          <w:sz w:val="28"/>
          <w:szCs w:val="28"/>
        </w:rPr>
        <w:t xml:space="preserve"> r</w:t>
      </w:r>
      <w:r w:rsidR="00287CD4" w:rsidRPr="00363106">
        <w:rPr>
          <w:sz w:val="28"/>
          <w:szCs w:val="28"/>
        </w:rPr>
        <w:t>eģistrācijas</w:t>
      </w:r>
      <w:r w:rsidR="008D2953">
        <w:rPr>
          <w:sz w:val="28"/>
          <w:szCs w:val="28"/>
        </w:rPr>
        <w:t xml:space="preserve"> īpašnieks</w:t>
      </w:r>
      <w:r w:rsidR="00287CD4" w:rsidRPr="00363106">
        <w:rPr>
          <w:sz w:val="28"/>
          <w:szCs w:val="28"/>
        </w:rPr>
        <w:t xml:space="preserve"> nepieciešamības gadījumā ne vēlāk kā 30 dienu laikā iesniedz Zāļu valsts aģentūrai koriģējošo pasāku</w:t>
      </w:r>
      <w:r w:rsidR="00287CD4">
        <w:rPr>
          <w:sz w:val="28"/>
          <w:szCs w:val="28"/>
        </w:rPr>
        <w:t>mu plānu.</w:t>
      </w:r>
    </w:p>
    <w:p w:rsidR="006933E7" w:rsidRPr="006933E7" w:rsidRDefault="006933E7" w:rsidP="006933E7">
      <w:pPr>
        <w:pStyle w:val="naisf"/>
        <w:tabs>
          <w:tab w:val="left" w:pos="1134"/>
        </w:tabs>
        <w:spacing w:before="0" w:beforeAutospacing="0" w:after="0" w:afterAutospacing="0"/>
        <w:ind w:left="709"/>
        <w:jc w:val="both"/>
        <w:rPr>
          <w:sz w:val="28"/>
          <w:szCs w:val="28"/>
        </w:rPr>
      </w:pPr>
    </w:p>
    <w:p w:rsidR="00287CD4" w:rsidRDefault="00287CD4" w:rsidP="00287CD4">
      <w:pPr>
        <w:pStyle w:val="naisf"/>
        <w:numPr>
          <w:ilvl w:val="0"/>
          <w:numId w:val="19"/>
        </w:numPr>
        <w:tabs>
          <w:tab w:val="left" w:pos="1134"/>
        </w:tabs>
        <w:spacing w:before="0" w:beforeAutospacing="0" w:after="0" w:afterAutospacing="0"/>
        <w:ind w:left="0" w:firstLine="709"/>
        <w:jc w:val="both"/>
        <w:rPr>
          <w:sz w:val="28"/>
          <w:szCs w:val="28"/>
        </w:rPr>
      </w:pPr>
      <w:r w:rsidRPr="00363106">
        <w:rPr>
          <w:sz w:val="28"/>
          <w:szCs w:val="28"/>
        </w:rPr>
        <w:t>Zāļu valsts aģentūra,</w:t>
      </w:r>
      <w:r w:rsidR="006521D8">
        <w:rPr>
          <w:sz w:val="28"/>
          <w:szCs w:val="28"/>
        </w:rPr>
        <w:t xml:space="preserve"> pamatojoties uz </w:t>
      </w:r>
      <w:r w:rsidR="006521D8" w:rsidRPr="003D62D7">
        <w:rPr>
          <w:sz w:val="28"/>
          <w:szCs w:val="28"/>
        </w:rPr>
        <w:t>5</w:t>
      </w:r>
      <w:r w:rsidR="00462A5C">
        <w:rPr>
          <w:sz w:val="28"/>
          <w:szCs w:val="28"/>
        </w:rPr>
        <w:t>7</w:t>
      </w:r>
      <w:r w:rsidRPr="00363106">
        <w:rPr>
          <w:sz w:val="28"/>
          <w:szCs w:val="28"/>
        </w:rPr>
        <w:t>.punktā iesniegto plānu, sagatavo kontr</w:t>
      </w:r>
      <w:r w:rsidR="00264451">
        <w:rPr>
          <w:sz w:val="28"/>
          <w:szCs w:val="28"/>
        </w:rPr>
        <w:t>oles gala ziņojumu un nosūta to</w:t>
      </w:r>
      <w:r w:rsidR="00953A16">
        <w:rPr>
          <w:sz w:val="28"/>
          <w:szCs w:val="28"/>
        </w:rPr>
        <w:t xml:space="preserve"> </w:t>
      </w:r>
      <w:r w:rsidR="00866D7D">
        <w:rPr>
          <w:sz w:val="28"/>
          <w:szCs w:val="28"/>
        </w:rPr>
        <w:t xml:space="preserve">zāļu </w:t>
      </w:r>
      <w:r w:rsidRPr="00363106">
        <w:rPr>
          <w:sz w:val="28"/>
          <w:szCs w:val="28"/>
        </w:rPr>
        <w:t>reģis</w:t>
      </w:r>
      <w:r w:rsidR="00264451">
        <w:rPr>
          <w:sz w:val="28"/>
          <w:szCs w:val="28"/>
        </w:rPr>
        <w:t>trācijas īpašniekam</w:t>
      </w:r>
      <w:r w:rsidRPr="00363106">
        <w:rPr>
          <w:sz w:val="28"/>
          <w:szCs w:val="28"/>
        </w:rPr>
        <w:t>, kā a</w:t>
      </w:r>
      <w:r>
        <w:rPr>
          <w:sz w:val="28"/>
          <w:szCs w:val="28"/>
        </w:rPr>
        <w:t xml:space="preserve">rī citu EEZ </w:t>
      </w:r>
      <w:r w:rsidRPr="00363106">
        <w:rPr>
          <w:sz w:val="28"/>
          <w:szCs w:val="28"/>
        </w:rPr>
        <w:t>valstu kompetentajām institūcijām vai Eiropas Zāļu aģentūrai, ja ir</w:t>
      </w:r>
      <w:r>
        <w:rPr>
          <w:sz w:val="28"/>
          <w:szCs w:val="28"/>
        </w:rPr>
        <w:t xml:space="preserve"> saņemts pamatots pieprasījums</w:t>
      </w:r>
      <w:r w:rsidRPr="00363106">
        <w:rPr>
          <w:sz w:val="28"/>
          <w:szCs w:val="28"/>
        </w:rPr>
        <w:t>.</w:t>
      </w:r>
    </w:p>
    <w:p w:rsidR="0006011E" w:rsidRPr="0006011E" w:rsidRDefault="0006011E" w:rsidP="0006011E">
      <w:pPr>
        <w:pStyle w:val="naisf"/>
        <w:tabs>
          <w:tab w:val="left" w:pos="1134"/>
        </w:tabs>
        <w:spacing w:before="0" w:beforeAutospacing="0" w:after="0" w:afterAutospacing="0"/>
        <w:jc w:val="both"/>
        <w:rPr>
          <w:sz w:val="28"/>
          <w:szCs w:val="28"/>
        </w:rPr>
      </w:pPr>
    </w:p>
    <w:p w:rsidR="00287CD4" w:rsidRDefault="00287CD4" w:rsidP="00CB66FC">
      <w:pPr>
        <w:pStyle w:val="naisf"/>
        <w:numPr>
          <w:ilvl w:val="0"/>
          <w:numId w:val="19"/>
        </w:numPr>
        <w:tabs>
          <w:tab w:val="left" w:pos="1134"/>
        </w:tabs>
        <w:spacing w:before="0" w:beforeAutospacing="0" w:after="0" w:afterAutospacing="0"/>
        <w:ind w:left="0" w:firstLine="709"/>
        <w:jc w:val="both"/>
        <w:rPr>
          <w:sz w:val="28"/>
          <w:szCs w:val="28"/>
        </w:rPr>
      </w:pPr>
      <w:r w:rsidRPr="00363106">
        <w:rPr>
          <w:sz w:val="28"/>
          <w:szCs w:val="28"/>
        </w:rPr>
        <w:t xml:space="preserve">Ja pārbaudes rezultāti liecina, ka </w:t>
      </w:r>
      <w:r w:rsidR="00866D7D">
        <w:rPr>
          <w:sz w:val="28"/>
          <w:szCs w:val="28"/>
        </w:rPr>
        <w:t xml:space="preserve">zāļu </w:t>
      </w:r>
      <w:r w:rsidRPr="00363106">
        <w:rPr>
          <w:sz w:val="28"/>
          <w:szCs w:val="28"/>
        </w:rPr>
        <w:t>r</w:t>
      </w:r>
      <w:r w:rsidR="00264451">
        <w:rPr>
          <w:sz w:val="28"/>
          <w:szCs w:val="28"/>
        </w:rPr>
        <w:t>eģistrācijas īpašnieka</w:t>
      </w:r>
      <w:r w:rsidRPr="00363106">
        <w:rPr>
          <w:sz w:val="28"/>
          <w:szCs w:val="28"/>
        </w:rPr>
        <w:t xml:space="preserve"> </w:t>
      </w:r>
      <w:proofErr w:type="spellStart"/>
      <w:r w:rsidRPr="00363106">
        <w:rPr>
          <w:sz w:val="28"/>
          <w:szCs w:val="28"/>
        </w:rPr>
        <w:t>farmakovigilances</w:t>
      </w:r>
      <w:proofErr w:type="spellEnd"/>
      <w:r w:rsidRPr="00363106">
        <w:rPr>
          <w:sz w:val="28"/>
          <w:szCs w:val="28"/>
        </w:rPr>
        <w:t xml:space="preserve"> sistēma n</w:t>
      </w:r>
      <w:r>
        <w:rPr>
          <w:sz w:val="28"/>
          <w:szCs w:val="28"/>
        </w:rPr>
        <w:t xml:space="preserve">eatbilst </w:t>
      </w:r>
      <w:r>
        <w:rPr>
          <w:color w:val="000000"/>
          <w:sz w:val="28"/>
          <w:szCs w:val="28"/>
        </w:rPr>
        <w:t>tam</w:t>
      </w:r>
      <w:r w:rsidRPr="00671852">
        <w:rPr>
          <w:color w:val="000000"/>
          <w:sz w:val="28"/>
          <w:szCs w:val="28"/>
        </w:rPr>
        <w:t xml:space="preserve">, kā tā aprakstīta </w:t>
      </w:r>
      <w:proofErr w:type="spellStart"/>
      <w:r w:rsidRPr="00671852">
        <w:rPr>
          <w:color w:val="000000"/>
          <w:sz w:val="28"/>
          <w:szCs w:val="28"/>
        </w:rPr>
        <w:t>farmakovigilances</w:t>
      </w:r>
      <w:proofErr w:type="spellEnd"/>
      <w:r w:rsidRPr="00671852">
        <w:rPr>
          <w:color w:val="000000"/>
          <w:sz w:val="28"/>
          <w:szCs w:val="28"/>
        </w:rPr>
        <w:t xml:space="preserve"> sistēmas </w:t>
      </w:r>
      <w:proofErr w:type="spellStart"/>
      <w:r w:rsidRPr="00671852">
        <w:rPr>
          <w:color w:val="000000"/>
          <w:sz w:val="28"/>
          <w:szCs w:val="28"/>
        </w:rPr>
        <w:t>pamatlietā</w:t>
      </w:r>
      <w:proofErr w:type="spellEnd"/>
      <w:r>
        <w:rPr>
          <w:color w:val="000000"/>
          <w:sz w:val="28"/>
          <w:szCs w:val="28"/>
        </w:rPr>
        <w:t xml:space="preserve"> vai šajos noteikumos noteiktajām prasībām</w:t>
      </w:r>
      <w:r w:rsidRPr="00363106">
        <w:rPr>
          <w:sz w:val="28"/>
          <w:szCs w:val="28"/>
        </w:rPr>
        <w:t>, Zāļu valsts aģentūra izvērtē un nepieciešamības gadījumā informē par konstatētajām neatbilstībām citu</w:t>
      </w:r>
      <w:r>
        <w:rPr>
          <w:sz w:val="28"/>
          <w:szCs w:val="28"/>
        </w:rPr>
        <w:t xml:space="preserve"> EEZ </w:t>
      </w:r>
      <w:r w:rsidRPr="00363106">
        <w:rPr>
          <w:sz w:val="28"/>
          <w:szCs w:val="28"/>
        </w:rPr>
        <w:t xml:space="preserve">valstu kompetentās institūcijas, Eiropas Zāļu aģentūru </w:t>
      </w:r>
      <w:r>
        <w:rPr>
          <w:sz w:val="28"/>
          <w:szCs w:val="28"/>
        </w:rPr>
        <w:t>un</w:t>
      </w:r>
      <w:r w:rsidRPr="00363106">
        <w:rPr>
          <w:sz w:val="28"/>
          <w:szCs w:val="28"/>
        </w:rPr>
        <w:t xml:space="preserve"> Eiropas Komisiju.</w:t>
      </w:r>
    </w:p>
    <w:p w:rsidR="00287CD4" w:rsidRPr="00363106" w:rsidRDefault="00287CD4" w:rsidP="00287CD4">
      <w:pPr>
        <w:pStyle w:val="naisf"/>
        <w:tabs>
          <w:tab w:val="left" w:pos="1134"/>
        </w:tabs>
        <w:spacing w:before="0" w:beforeAutospacing="0" w:after="0" w:afterAutospacing="0"/>
        <w:jc w:val="both"/>
        <w:rPr>
          <w:sz w:val="28"/>
          <w:szCs w:val="28"/>
        </w:rPr>
      </w:pPr>
    </w:p>
    <w:p w:rsidR="00E413AD" w:rsidRPr="00E413AD" w:rsidRDefault="00287CD4" w:rsidP="00CB66FC">
      <w:pPr>
        <w:pStyle w:val="naisf"/>
        <w:numPr>
          <w:ilvl w:val="0"/>
          <w:numId w:val="19"/>
        </w:numPr>
        <w:tabs>
          <w:tab w:val="left" w:pos="1134"/>
        </w:tabs>
        <w:spacing w:before="0" w:beforeAutospacing="0" w:after="0" w:afterAutospacing="0"/>
        <w:ind w:left="0" w:firstLine="709"/>
        <w:jc w:val="both"/>
        <w:rPr>
          <w:sz w:val="28"/>
          <w:szCs w:val="28"/>
        </w:rPr>
      </w:pPr>
      <w:r w:rsidRPr="005154D6">
        <w:t xml:space="preserve"> </w:t>
      </w:r>
      <w:r w:rsidR="00E413AD" w:rsidRPr="00E413AD">
        <w:rPr>
          <w:sz w:val="28"/>
          <w:szCs w:val="28"/>
        </w:rPr>
        <w:t>Zāļu valsts aģentūra aptur, anulē vai izmaina zāļu reģistrācijas dokumentāciju</w:t>
      </w:r>
      <w:r w:rsidR="00E413AD">
        <w:rPr>
          <w:sz w:val="28"/>
          <w:szCs w:val="28"/>
        </w:rPr>
        <w:t>,</w:t>
      </w:r>
      <w:r w:rsidR="00E413AD" w:rsidRPr="00E413AD">
        <w:rPr>
          <w:sz w:val="28"/>
          <w:szCs w:val="28"/>
        </w:rPr>
        <w:t xml:space="preserve"> vai izdara zāļu reģistrācijas paplašināšanu</w:t>
      </w:r>
      <w:r w:rsidR="00E413AD">
        <w:rPr>
          <w:sz w:val="28"/>
          <w:szCs w:val="28"/>
        </w:rPr>
        <w:t xml:space="preserve"> </w:t>
      </w:r>
      <w:r w:rsidR="00E413AD" w:rsidRPr="00E413AD">
        <w:rPr>
          <w:sz w:val="28"/>
          <w:szCs w:val="28"/>
        </w:rPr>
        <w:t xml:space="preserve">saskaņā ar </w:t>
      </w:r>
      <w:r w:rsidR="00E413AD">
        <w:rPr>
          <w:sz w:val="28"/>
          <w:szCs w:val="28"/>
        </w:rPr>
        <w:t>normatī</w:t>
      </w:r>
      <w:r w:rsidR="00E413AD" w:rsidRPr="00E413AD">
        <w:rPr>
          <w:sz w:val="28"/>
          <w:szCs w:val="28"/>
        </w:rPr>
        <w:t>vajiem aktiem par zāļu reģistrēšanas kārtību.</w:t>
      </w:r>
      <w:r w:rsidR="00866D7D">
        <w:rPr>
          <w:sz w:val="28"/>
          <w:szCs w:val="28"/>
        </w:rPr>
        <w:t xml:space="preserve"> </w:t>
      </w:r>
    </w:p>
    <w:p w:rsidR="00287CD4" w:rsidRPr="00334273" w:rsidRDefault="00287CD4" w:rsidP="00287CD4">
      <w:pPr>
        <w:pStyle w:val="naisf"/>
        <w:tabs>
          <w:tab w:val="left" w:pos="1134"/>
        </w:tabs>
        <w:spacing w:before="0" w:beforeAutospacing="0" w:after="0" w:afterAutospacing="0"/>
        <w:jc w:val="both"/>
      </w:pPr>
    </w:p>
    <w:p w:rsidR="00287CD4" w:rsidRPr="00C14E5A" w:rsidRDefault="00287CD4" w:rsidP="00CB66FC">
      <w:pPr>
        <w:pStyle w:val="naisf"/>
        <w:numPr>
          <w:ilvl w:val="0"/>
          <w:numId w:val="19"/>
        </w:numPr>
        <w:spacing w:before="0" w:beforeAutospacing="0" w:after="0" w:afterAutospacing="0"/>
        <w:ind w:left="0" w:firstLine="709"/>
        <w:jc w:val="both"/>
      </w:pPr>
      <w:r w:rsidRPr="00D9650A">
        <w:rPr>
          <w:sz w:val="28"/>
          <w:szCs w:val="28"/>
        </w:rPr>
        <w:t xml:space="preserve">Zāļu valsts aģentūra pieņem lēmumu atcelt šo noteikumu </w:t>
      </w:r>
      <w:r w:rsidR="00426A2B">
        <w:rPr>
          <w:sz w:val="28"/>
          <w:szCs w:val="28"/>
        </w:rPr>
        <w:t>60</w:t>
      </w:r>
      <w:r w:rsidRPr="00D9650A">
        <w:rPr>
          <w:sz w:val="28"/>
          <w:szCs w:val="28"/>
        </w:rPr>
        <w:t>.punktā minēto lēmumu</w:t>
      </w:r>
      <w:r w:rsidR="005D08A3">
        <w:rPr>
          <w:sz w:val="28"/>
          <w:szCs w:val="28"/>
        </w:rPr>
        <w:t xml:space="preserve"> saskaņā ar zāļu reģistrēšanas kārtību</w:t>
      </w:r>
      <w:r w:rsidRPr="00D9650A">
        <w:rPr>
          <w:sz w:val="28"/>
          <w:szCs w:val="28"/>
        </w:rPr>
        <w:t>, ja ir novērsti apstākļi, kuri bija par pamatu lēmuma pieņemšanai.</w:t>
      </w:r>
    </w:p>
    <w:p w:rsidR="00287CD4" w:rsidRDefault="00287CD4" w:rsidP="00287CD4">
      <w:pPr>
        <w:pStyle w:val="naisf"/>
        <w:spacing w:before="0" w:beforeAutospacing="0" w:after="0" w:afterAutospacing="0"/>
        <w:jc w:val="both"/>
      </w:pPr>
    </w:p>
    <w:p w:rsidR="00287CD4" w:rsidRPr="00C14E5A" w:rsidRDefault="00287CD4" w:rsidP="00CB66FC">
      <w:pPr>
        <w:pStyle w:val="naisf"/>
        <w:numPr>
          <w:ilvl w:val="0"/>
          <w:numId w:val="19"/>
        </w:numPr>
        <w:spacing w:before="0" w:beforeAutospacing="0" w:after="0" w:afterAutospacing="0"/>
        <w:ind w:left="0" w:firstLine="709"/>
        <w:jc w:val="both"/>
      </w:pPr>
      <w:r w:rsidRPr="00507DB6">
        <w:rPr>
          <w:sz w:val="28"/>
          <w:szCs w:val="28"/>
        </w:rPr>
        <w:t xml:space="preserve">Zāļu valsts aģentūra saskaņā ar </w:t>
      </w:r>
      <w:r>
        <w:rPr>
          <w:color w:val="000000"/>
          <w:sz w:val="28"/>
          <w:szCs w:val="28"/>
        </w:rPr>
        <w:t>Regulas Nr.</w:t>
      </w:r>
      <w:r w:rsidR="002707D8">
        <w:rPr>
          <w:color w:val="000000"/>
          <w:sz w:val="28"/>
          <w:szCs w:val="28"/>
        </w:rPr>
        <w:t>726/2004</w:t>
      </w:r>
      <w:r w:rsidRPr="00507DB6">
        <w:rPr>
          <w:color w:val="000000"/>
          <w:sz w:val="28"/>
          <w:szCs w:val="28"/>
        </w:rPr>
        <w:t xml:space="preserve"> 19. pantu</w:t>
      </w:r>
      <w:r w:rsidRPr="00507DB6">
        <w:rPr>
          <w:sz w:val="28"/>
          <w:szCs w:val="28"/>
        </w:rPr>
        <w:t>, ja nepieciešams, ir tiesīga veikt pārbaudes pirms zāļu reģistrācijas piešķiršanas.</w:t>
      </w:r>
    </w:p>
    <w:p w:rsidR="00287CD4" w:rsidRPr="002E1EDD" w:rsidRDefault="00287CD4" w:rsidP="00287CD4">
      <w:pPr>
        <w:pStyle w:val="naisf"/>
        <w:spacing w:before="0" w:beforeAutospacing="0" w:after="0" w:afterAutospacing="0"/>
        <w:jc w:val="both"/>
      </w:pPr>
    </w:p>
    <w:p w:rsidR="00287CD4" w:rsidRPr="002E1EDD" w:rsidRDefault="00F444BC" w:rsidP="00CB66FC">
      <w:pPr>
        <w:pStyle w:val="naisf"/>
        <w:numPr>
          <w:ilvl w:val="0"/>
          <w:numId w:val="19"/>
        </w:numPr>
        <w:spacing w:before="0" w:beforeAutospacing="0" w:after="0" w:afterAutospacing="0"/>
        <w:ind w:left="0" w:firstLine="709"/>
        <w:jc w:val="both"/>
        <w:rPr>
          <w:sz w:val="28"/>
          <w:szCs w:val="28"/>
        </w:rPr>
      </w:pPr>
      <w:r>
        <w:rPr>
          <w:sz w:val="28"/>
          <w:szCs w:val="28"/>
        </w:rPr>
        <w:t>Šo noteikumu 6</w:t>
      </w:r>
      <w:r w:rsidR="00426A2B">
        <w:rPr>
          <w:sz w:val="28"/>
          <w:szCs w:val="28"/>
        </w:rPr>
        <w:t>2</w:t>
      </w:r>
      <w:r w:rsidR="00287CD4">
        <w:rPr>
          <w:sz w:val="28"/>
          <w:szCs w:val="28"/>
        </w:rPr>
        <w:t>.</w:t>
      </w:r>
      <w:r w:rsidR="00287CD4" w:rsidRPr="002E1EDD">
        <w:rPr>
          <w:sz w:val="28"/>
          <w:szCs w:val="28"/>
        </w:rPr>
        <w:t xml:space="preserve">punktā minētās pārbaudes rezultātā </w:t>
      </w:r>
      <w:r w:rsidR="000B18E7" w:rsidRPr="001C414A">
        <w:rPr>
          <w:sz w:val="28"/>
          <w:szCs w:val="28"/>
        </w:rPr>
        <w:t>Zāļu valsts aģentūra</w:t>
      </w:r>
      <w:r w:rsidR="000B18E7" w:rsidRPr="00160E39">
        <w:rPr>
          <w:b/>
          <w:sz w:val="28"/>
          <w:szCs w:val="28"/>
        </w:rPr>
        <w:t xml:space="preserve"> </w:t>
      </w:r>
      <w:r w:rsidR="00287CD4" w:rsidRPr="002E1EDD">
        <w:rPr>
          <w:sz w:val="28"/>
          <w:szCs w:val="28"/>
        </w:rPr>
        <w:t xml:space="preserve">sagatavo ziņojumu, ko elektroniski nosūta </w:t>
      </w:r>
      <w:r w:rsidR="00287CD4">
        <w:rPr>
          <w:sz w:val="28"/>
          <w:szCs w:val="28"/>
        </w:rPr>
        <w:t>Eiropas Zāļu a</w:t>
      </w:r>
      <w:r w:rsidR="00287CD4" w:rsidRPr="002E1EDD">
        <w:rPr>
          <w:sz w:val="28"/>
          <w:szCs w:val="28"/>
        </w:rPr>
        <w:t>ģentūrai</w:t>
      </w:r>
      <w:r w:rsidR="00287CD4">
        <w:rPr>
          <w:sz w:val="28"/>
          <w:szCs w:val="28"/>
        </w:rPr>
        <w:t xml:space="preserve">, </w:t>
      </w:r>
      <w:r w:rsidR="00287CD4" w:rsidRPr="001C414A">
        <w:rPr>
          <w:sz w:val="28"/>
          <w:szCs w:val="28"/>
        </w:rPr>
        <w:t>EEZ valst</w:t>
      </w:r>
      <w:r w:rsidR="00BB6465" w:rsidRPr="001C414A">
        <w:rPr>
          <w:sz w:val="28"/>
          <w:szCs w:val="28"/>
        </w:rPr>
        <w:t>u kompetentajām institūcijām</w:t>
      </w:r>
      <w:r w:rsidR="00287CD4" w:rsidRPr="00160E39">
        <w:rPr>
          <w:b/>
          <w:sz w:val="28"/>
          <w:szCs w:val="28"/>
        </w:rPr>
        <w:t xml:space="preserve"> </w:t>
      </w:r>
      <w:r w:rsidR="00287CD4">
        <w:rPr>
          <w:sz w:val="28"/>
          <w:szCs w:val="28"/>
        </w:rPr>
        <w:t xml:space="preserve">un </w:t>
      </w:r>
      <w:r w:rsidR="00287CD4" w:rsidRPr="002E1EDD">
        <w:rPr>
          <w:sz w:val="28"/>
          <w:szCs w:val="28"/>
        </w:rPr>
        <w:t>Eiropas Komisijai.</w:t>
      </w:r>
    </w:p>
    <w:p w:rsidR="00287CD4" w:rsidRPr="00D9650A" w:rsidRDefault="00287CD4" w:rsidP="00287CD4">
      <w:pPr>
        <w:pStyle w:val="naisf"/>
        <w:spacing w:before="0" w:beforeAutospacing="0" w:after="0" w:afterAutospacing="0"/>
        <w:ind w:left="709"/>
        <w:jc w:val="both"/>
      </w:pPr>
    </w:p>
    <w:p w:rsidR="00287CD4" w:rsidRPr="00DA5806" w:rsidRDefault="00287CD4" w:rsidP="00CB66FC">
      <w:pPr>
        <w:pStyle w:val="naisf"/>
        <w:numPr>
          <w:ilvl w:val="0"/>
          <w:numId w:val="19"/>
        </w:numPr>
        <w:tabs>
          <w:tab w:val="left" w:pos="1134"/>
        </w:tabs>
        <w:spacing w:before="0" w:beforeAutospacing="0" w:after="0" w:afterAutospacing="0"/>
        <w:ind w:left="0" w:firstLine="709"/>
        <w:jc w:val="both"/>
      </w:pPr>
      <w:r w:rsidRPr="00D9650A">
        <w:rPr>
          <w:sz w:val="28"/>
          <w:szCs w:val="28"/>
        </w:rPr>
        <w:t>Zāļu valsts aģentūra un Veselības inspekcija atbilstoši</w:t>
      </w:r>
      <w:r w:rsidRPr="005154D6">
        <w:rPr>
          <w:sz w:val="28"/>
          <w:szCs w:val="28"/>
        </w:rPr>
        <w:t xml:space="preserve"> kompetence</w:t>
      </w:r>
      <w:r>
        <w:rPr>
          <w:sz w:val="28"/>
          <w:szCs w:val="28"/>
        </w:rPr>
        <w:t xml:space="preserve">i sadarbojas, lai nodrošinātu šajos noteikumos noteikto </w:t>
      </w:r>
      <w:r w:rsidRPr="005154D6">
        <w:rPr>
          <w:sz w:val="28"/>
          <w:szCs w:val="28"/>
        </w:rPr>
        <w:t>prasību izpildi.</w:t>
      </w:r>
    </w:p>
    <w:p w:rsidR="00287CD4" w:rsidRPr="005154D6" w:rsidRDefault="00287CD4" w:rsidP="0006011E">
      <w:pPr>
        <w:pStyle w:val="naisf"/>
        <w:tabs>
          <w:tab w:val="left" w:pos="1134"/>
        </w:tabs>
        <w:spacing w:before="0" w:beforeAutospacing="0" w:after="0" w:afterAutospacing="0"/>
        <w:ind w:left="709"/>
        <w:jc w:val="both"/>
      </w:pPr>
    </w:p>
    <w:p w:rsidR="00287CD4" w:rsidRDefault="00287CD4" w:rsidP="0006011E">
      <w:pPr>
        <w:pStyle w:val="NormalWeb"/>
        <w:tabs>
          <w:tab w:val="left" w:pos="1134"/>
        </w:tabs>
        <w:spacing w:before="0" w:beforeAutospacing="0" w:after="0" w:afterAutospacing="0"/>
        <w:ind w:firstLine="709"/>
        <w:jc w:val="center"/>
        <w:rPr>
          <w:b/>
          <w:sz w:val="28"/>
          <w:szCs w:val="28"/>
        </w:rPr>
      </w:pPr>
      <w:r w:rsidRPr="001F2C76">
        <w:rPr>
          <w:b/>
          <w:sz w:val="28"/>
          <w:szCs w:val="28"/>
        </w:rPr>
        <w:t>IX. Noslēguma jautājumi</w:t>
      </w:r>
    </w:p>
    <w:p w:rsidR="0006011E" w:rsidRPr="006933E7" w:rsidRDefault="0006011E" w:rsidP="0006011E">
      <w:pPr>
        <w:pStyle w:val="NormalWeb"/>
        <w:tabs>
          <w:tab w:val="left" w:pos="1134"/>
        </w:tabs>
        <w:spacing w:before="0" w:beforeAutospacing="0" w:after="0" w:afterAutospacing="0"/>
        <w:ind w:firstLine="709"/>
        <w:jc w:val="center"/>
        <w:rPr>
          <w:b/>
          <w:sz w:val="28"/>
          <w:szCs w:val="28"/>
        </w:rPr>
      </w:pPr>
    </w:p>
    <w:p w:rsidR="00287CD4" w:rsidRPr="00791698" w:rsidRDefault="00287CD4" w:rsidP="00CB66FC">
      <w:pPr>
        <w:pStyle w:val="naisf"/>
        <w:numPr>
          <w:ilvl w:val="0"/>
          <w:numId w:val="19"/>
        </w:numPr>
        <w:tabs>
          <w:tab w:val="left" w:pos="1134"/>
        </w:tabs>
        <w:spacing w:before="0" w:beforeAutospacing="0" w:after="0" w:afterAutospacing="0"/>
        <w:ind w:left="0" w:firstLine="709"/>
        <w:jc w:val="both"/>
      </w:pPr>
      <w:r w:rsidRPr="005154D6">
        <w:rPr>
          <w:sz w:val="28"/>
          <w:szCs w:val="28"/>
        </w:rPr>
        <w:lastRenderedPageBreak/>
        <w:t xml:space="preserve">Ar šo noteikumu spēkā stāšanos spēku zaudē Ministru kabineta 2005.gada 6.decembra noteikumi Nr.919 </w:t>
      </w:r>
      <w:r w:rsidR="001C414A">
        <w:rPr>
          <w:sz w:val="28"/>
          <w:szCs w:val="28"/>
        </w:rPr>
        <w:t>„</w:t>
      </w:r>
      <w:hyperlink r:id="rId8" w:tgtFrame="_blank" w:tooltip="Noteikumi par nesēja atlīdzības par fonogrammu un filmu reproducēšanu personiskām vajadzībām lieluma noteikšanu, iekasēšanu, sadali un izmaksāšanu /Zaudējis spēku/" w:history="1">
        <w:r w:rsidRPr="005154D6">
          <w:rPr>
            <w:rStyle w:val="Hyperlink"/>
            <w:color w:val="000000"/>
            <w:sz w:val="28"/>
            <w:szCs w:val="28"/>
            <w:u w:val="none"/>
          </w:rPr>
          <w:t>Zāļu</w:t>
        </w:r>
      </w:hyperlink>
      <w:r w:rsidRPr="005154D6">
        <w:rPr>
          <w:color w:val="000000"/>
          <w:sz w:val="28"/>
          <w:szCs w:val="28"/>
        </w:rPr>
        <w:t xml:space="preserve"> </w:t>
      </w:r>
      <w:r w:rsidRPr="005154D6">
        <w:rPr>
          <w:sz w:val="28"/>
          <w:szCs w:val="28"/>
        </w:rPr>
        <w:t>lietošanas izraisīto blakusparādību uzraudzības kārtība</w:t>
      </w:r>
      <w:r w:rsidR="001C414A">
        <w:rPr>
          <w:sz w:val="28"/>
          <w:szCs w:val="28"/>
        </w:rPr>
        <w:t>”</w:t>
      </w:r>
      <w:r w:rsidRPr="005154D6">
        <w:rPr>
          <w:sz w:val="28"/>
          <w:szCs w:val="28"/>
        </w:rPr>
        <w:t xml:space="preserve"> (Latvijas Vēstnesis, 2005, 196.nr.; 2008, 10.nr.).</w:t>
      </w:r>
    </w:p>
    <w:p w:rsidR="00791698" w:rsidRPr="005154D6" w:rsidRDefault="00791698" w:rsidP="00791698">
      <w:pPr>
        <w:pStyle w:val="naisf"/>
        <w:tabs>
          <w:tab w:val="left" w:pos="1134"/>
        </w:tabs>
        <w:spacing w:before="0" w:beforeAutospacing="0" w:after="0" w:afterAutospacing="0"/>
        <w:ind w:left="709"/>
        <w:jc w:val="both"/>
      </w:pPr>
    </w:p>
    <w:p w:rsidR="00287CD4" w:rsidRPr="001F0EB0" w:rsidRDefault="00287CD4" w:rsidP="00CB66FC">
      <w:pPr>
        <w:pStyle w:val="naisf"/>
        <w:numPr>
          <w:ilvl w:val="0"/>
          <w:numId w:val="19"/>
        </w:numPr>
        <w:tabs>
          <w:tab w:val="left" w:pos="1134"/>
        </w:tabs>
        <w:spacing w:before="0" w:beforeAutospacing="0" w:after="0" w:afterAutospacing="0"/>
        <w:ind w:left="0" w:firstLine="709"/>
        <w:jc w:val="both"/>
      </w:pPr>
      <w:r w:rsidRPr="005154D6">
        <w:rPr>
          <w:sz w:val="28"/>
          <w:szCs w:val="28"/>
        </w:rPr>
        <w:t xml:space="preserve">Zāļu valsts aģentūra sagatavo un līdz 2013.gada 21.septembrim iesniedz Eiropas Komisijai pirmo pārskatu par veikto </w:t>
      </w:r>
      <w:proofErr w:type="spellStart"/>
      <w:r w:rsidRPr="005154D6">
        <w:rPr>
          <w:sz w:val="28"/>
          <w:szCs w:val="28"/>
        </w:rPr>
        <w:t>far</w:t>
      </w:r>
      <w:r>
        <w:rPr>
          <w:sz w:val="28"/>
          <w:szCs w:val="28"/>
        </w:rPr>
        <w:t>makovigilances</w:t>
      </w:r>
      <w:proofErr w:type="spellEnd"/>
      <w:r>
        <w:rPr>
          <w:sz w:val="28"/>
          <w:szCs w:val="28"/>
        </w:rPr>
        <w:t xml:space="preserve"> sistēmas auditu.</w:t>
      </w:r>
    </w:p>
    <w:p w:rsidR="001F0EB0" w:rsidRDefault="001F0EB0" w:rsidP="001F0EB0">
      <w:pPr>
        <w:pStyle w:val="ListParagraph"/>
      </w:pPr>
    </w:p>
    <w:p w:rsidR="001F0EB0" w:rsidRPr="001F0EB0" w:rsidRDefault="001F0EB0" w:rsidP="001F0EB0">
      <w:pPr>
        <w:pStyle w:val="naisf"/>
        <w:numPr>
          <w:ilvl w:val="0"/>
          <w:numId w:val="19"/>
        </w:numPr>
        <w:tabs>
          <w:tab w:val="left" w:pos="1134"/>
        </w:tabs>
        <w:spacing w:before="0" w:beforeAutospacing="0" w:after="0" w:afterAutospacing="0"/>
        <w:ind w:left="0" w:firstLine="709"/>
        <w:jc w:val="both"/>
        <w:rPr>
          <w:sz w:val="28"/>
          <w:szCs w:val="28"/>
        </w:rPr>
      </w:pPr>
      <w:r w:rsidRPr="001F0EB0">
        <w:rPr>
          <w:sz w:val="28"/>
          <w:szCs w:val="28"/>
        </w:rPr>
        <w:t>Šo noteikumu 15.6.apakšpunktā noteiktā prasība zāļu reģistrācijas</w:t>
      </w:r>
      <w:r>
        <w:rPr>
          <w:sz w:val="28"/>
          <w:szCs w:val="28"/>
        </w:rPr>
        <w:t xml:space="preserve"> </w:t>
      </w:r>
      <w:r w:rsidRPr="001F0EB0">
        <w:rPr>
          <w:sz w:val="28"/>
          <w:szCs w:val="28"/>
        </w:rPr>
        <w:t xml:space="preserve">īpašniekam uzturēt un pēc pieprasījuma darīt pieejamu </w:t>
      </w:r>
      <w:proofErr w:type="spellStart"/>
      <w:r w:rsidRPr="001F0EB0">
        <w:rPr>
          <w:sz w:val="28"/>
          <w:szCs w:val="28"/>
        </w:rPr>
        <w:t>farmakovigilances</w:t>
      </w:r>
      <w:proofErr w:type="spellEnd"/>
      <w:r w:rsidRPr="001F0EB0">
        <w:rPr>
          <w:sz w:val="28"/>
          <w:szCs w:val="28"/>
        </w:rPr>
        <w:t xml:space="preserve"> sistēmas </w:t>
      </w:r>
      <w:proofErr w:type="spellStart"/>
      <w:r w:rsidRPr="001F0EB0">
        <w:rPr>
          <w:sz w:val="28"/>
          <w:szCs w:val="28"/>
        </w:rPr>
        <w:t>pamatlietu</w:t>
      </w:r>
      <w:proofErr w:type="spellEnd"/>
      <w:r w:rsidRPr="001F0EB0">
        <w:rPr>
          <w:sz w:val="28"/>
          <w:szCs w:val="28"/>
        </w:rPr>
        <w:t xml:space="preserve"> par vienām vai vairākām zālēm, par kurām pieņemts lēmums par zāļu reģistrāciju pirms 2012.gada 21.jūlija, piemērojama no dienas, kad pieņemts lēmums par zāļu pārreģistrāciju, vai no 2015.gada 21.jūlija, atkarībā no tā, kurš datums ir agrāks.</w:t>
      </w:r>
    </w:p>
    <w:p w:rsidR="00791698" w:rsidRPr="00C14E5A" w:rsidRDefault="00791698" w:rsidP="001F0EB0">
      <w:pPr>
        <w:pStyle w:val="naisf"/>
        <w:tabs>
          <w:tab w:val="left" w:pos="1134"/>
        </w:tabs>
        <w:spacing w:before="0" w:beforeAutospacing="0" w:after="0" w:afterAutospacing="0"/>
        <w:jc w:val="both"/>
        <w:rPr>
          <w:sz w:val="28"/>
          <w:szCs w:val="28"/>
        </w:rPr>
      </w:pPr>
    </w:p>
    <w:p w:rsidR="00287CD4" w:rsidRDefault="00287CD4" w:rsidP="00CB66FC">
      <w:pPr>
        <w:pStyle w:val="naisf"/>
        <w:numPr>
          <w:ilvl w:val="0"/>
          <w:numId w:val="19"/>
        </w:numPr>
        <w:tabs>
          <w:tab w:val="left" w:pos="1134"/>
        </w:tabs>
        <w:spacing w:before="0" w:beforeAutospacing="0" w:after="0" w:afterAutospacing="0"/>
        <w:ind w:left="0" w:firstLine="709"/>
        <w:jc w:val="both"/>
        <w:rPr>
          <w:sz w:val="28"/>
          <w:szCs w:val="28"/>
        </w:rPr>
      </w:pPr>
      <w:r w:rsidRPr="00363106">
        <w:rPr>
          <w:sz w:val="28"/>
          <w:szCs w:val="28"/>
        </w:rPr>
        <w:t>Noteikumu</w:t>
      </w:r>
      <w:r w:rsidRPr="00401055">
        <w:rPr>
          <w:sz w:val="28"/>
          <w:szCs w:val="28"/>
        </w:rPr>
        <w:t xml:space="preserve"> VII. nodaļu piemēro tiem </w:t>
      </w:r>
      <w:proofErr w:type="spellStart"/>
      <w:r>
        <w:rPr>
          <w:sz w:val="28"/>
          <w:szCs w:val="28"/>
        </w:rPr>
        <w:t>pēcreģistrācijas</w:t>
      </w:r>
      <w:proofErr w:type="spellEnd"/>
      <w:r>
        <w:rPr>
          <w:sz w:val="28"/>
          <w:szCs w:val="28"/>
        </w:rPr>
        <w:t xml:space="preserve"> </w:t>
      </w:r>
      <w:r w:rsidRPr="00401055">
        <w:rPr>
          <w:sz w:val="28"/>
          <w:szCs w:val="28"/>
        </w:rPr>
        <w:t>pētījumiem, kas sākti pēc 201</w:t>
      </w:r>
      <w:r>
        <w:rPr>
          <w:sz w:val="28"/>
          <w:szCs w:val="28"/>
        </w:rPr>
        <w:t>2</w:t>
      </w:r>
      <w:r w:rsidRPr="00401055">
        <w:rPr>
          <w:sz w:val="28"/>
          <w:szCs w:val="28"/>
        </w:rPr>
        <w:t>. gada 21. jūlija.</w:t>
      </w:r>
    </w:p>
    <w:p w:rsidR="00287CD4" w:rsidRPr="005154D6" w:rsidRDefault="00287CD4" w:rsidP="006933E7">
      <w:pPr>
        <w:pStyle w:val="naisf"/>
        <w:tabs>
          <w:tab w:val="left" w:pos="1134"/>
        </w:tabs>
        <w:spacing w:before="0" w:beforeAutospacing="0" w:after="0" w:afterAutospacing="0"/>
        <w:jc w:val="both"/>
      </w:pPr>
    </w:p>
    <w:p w:rsidR="00287CD4" w:rsidRPr="005154D6" w:rsidRDefault="00287CD4" w:rsidP="00CB66FC">
      <w:pPr>
        <w:pStyle w:val="naisf"/>
        <w:numPr>
          <w:ilvl w:val="0"/>
          <w:numId w:val="19"/>
        </w:numPr>
        <w:tabs>
          <w:tab w:val="left" w:pos="1134"/>
        </w:tabs>
        <w:spacing w:before="0" w:beforeAutospacing="0" w:after="0" w:afterAutospacing="0"/>
        <w:ind w:left="0" w:firstLine="709"/>
        <w:jc w:val="both"/>
      </w:pPr>
      <w:r w:rsidRPr="00AB6053">
        <w:rPr>
          <w:sz w:val="28"/>
          <w:szCs w:val="28"/>
        </w:rPr>
        <w:t xml:space="preserve">Līdz brīdim, kad Eiropas Zāļu aģentūra sāk nodrošināt </w:t>
      </w:r>
      <w:proofErr w:type="spellStart"/>
      <w:r w:rsidRPr="00AB6053">
        <w:rPr>
          <w:sz w:val="28"/>
          <w:szCs w:val="28"/>
        </w:rPr>
        <w:t>Eudravigilance</w:t>
      </w:r>
      <w:r w:rsidR="005D08A3">
        <w:rPr>
          <w:sz w:val="28"/>
          <w:szCs w:val="28"/>
        </w:rPr>
        <w:t>s</w:t>
      </w:r>
      <w:proofErr w:type="spellEnd"/>
      <w:r w:rsidRPr="00AB6053">
        <w:rPr>
          <w:sz w:val="28"/>
          <w:szCs w:val="28"/>
        </w:rPr>
        <w:t xml:space="preserve"> datu bāzes </w:t>
      </w:r>
      <w:r>
        <w:rPr>
          <w:sz w:val="28"/>
          <w:szCs w:val="28"/>
        </w:rPr>
        <w:t xml:space="preserve">pilnīgu </w:t>
      </w:r>
      <w:r w:rsidRPr="00AB6053">
        <w:rPr>
          <w:sz w:val="28"/>
          <w:szCs w:val="28"/>
        </w:rPr>
        <w:t xml:space="preserve">darbību, par visām būtiskajām iespējamām </w:t>
      </w:r>
      <w:r w:rsidR="009528DE">
        <w:rPr>
          <w:sz w:val="28"/>
          <w:szCs w:val="28"/>
        </w:rPr>
        <w:t xml:space="preserve">zāļu </w:t>
      </w:r>
      <w:r w:rsidRPr="00AB6053">
        <w:rPr>
          <w:sz w:val="28"/>
          <w:szCs w:val="28"/>
        </w:rPr>
        <w:t xml:space="preserve">blakusparādībām, kas konstatētas Latvijas Republikas teritorijā, </w:t>
      </w:r>
      <w:r w:rsidR="00866D7D">
        <w:rPr>
          <w:sz w:val="28"/>
          <w:szCs w:val="28"/>
        </w:rPr>
        <w:t xml:space="preserve">zāļu </w:t>
      </w:r>
      <w:r w:rsidRPr="00AB6053">
        <w:rPr>
          <w:sz w:val="28"/>
          <w:szCs w:val="28"/>
        </w:rPr>
        <w:t>reģistrācijas</w:t>
      </w:r>
      <w:r w:rsidR="00264451">
        <w:rPr>
          <w:sz w:val="28"/>
          <w:szCs w:val="28"/>
        </w:rPr>
        <w:t xml:space="preserve"> īpašnieks</w:t>
      </w:r>
      <w:r w:rsidRPr="00AB6053">
        <w:rPr>
          <w:sz w:val="28"/>
          <w:szCs w:val="28"/>
        </w:rPr>
        <w:t xml:space="preserve"> ne vēlāk kā 15 dienu laikā pēc informācijas saņemšanas ziņo Zāļu valsts aģentūrai, kā arī par visām </w:t>
      </w:r>
      <w:r w:rsidR="00FE3699">
        <w:rPr>
          <w:sz w:val="28"/>
          <w:szCs w:val="28"/>
        </w:rPr>
        <w:t>iespējamām</w:t>
      </w:r>
      <w:r w:rsidRPr="00AB6053">
        <w:rPr>
          <w:sz w:val="28"/>
          <w:szCs w:val="28"/>
        </w:rPr>
        <w:t xml:space="preserve"> </w:t>
      </w:r>
      <w:r w:rsidR="009528DE">
        <w:rPr>
          <w:sz w:val="28"/>
          <w:szCs w:val="28"/>
        </w:rPr>
        <w:t xml:space="preserve">zāļu </w:t>
      </w:r>
      <w:r w:rsidRPr="00AB6053">
        <w:rPr>
          <w:sz w:val="28"/>
          <w:szCs w:val="28"/>
        </w:rPr>
        <w:t xml:space="preserve">blakusparādībām, kas konstatētas trešās valsts teritorijā – Eiropas Zāļu aģentūrai. </w:t>
      </w:r>
    </w:p>
    <w:p w:rsidR="00287CD4" w:rsidRPr="005154D6" w:rsidRDefault="00287CD4" w:rsidP="00287CD4">
      <w:pPr>
        <w:pStyle w:val="naisf"/>
        <w:tabs>
          <w:tab w:val="left" w:pos="1134"/>
        </w:tabs>
        <w:spacing w:before="0" w:beforeAutospacing="0" w:after="0" w:afterAutospacing="0"/>
        <w:jc w:val="both"/>
      </w:pPr>
    </w:p>
    <w:p w:rsidR="00287CD4" w:rsidRPr="005154D6" w:rsidRDefault="00287CD4" w:rsidP="00CB66FC">
      <w:pPr>
        <w:pStyle w:val="naisf"/>
        <w:numPr>
          <w:ilvl w:val="0"/>
          <w:numId w:val="19"/>
        </w:numPr>
        <w:tabs>
          <w:tab w:val="left" w:pos="1134"/>
        </w:tabs>
        <w:spacing w:before="0" w:beforeAutospacing="0" w:after="0" w:afterAutospacing="0"/>
        <w:ind w:left="0" w:firstLine="709"/>
        <w:jc w:val="both"/>
      </w:pPr>
      <w:r w:rsidRPr="005154D6">
        <w:rPr>
          <w:sz w:val="28"/>
          <w:szCs w:val="28"/>
        </w:rPr>
        <w:t>Līdz brīdim</w:t>
      </w:r>
      <w:r w:rsidR="00D65974">
        <w:rPr>
          <w:sz w:val="28"/>
          <w:szCs w:val="28"/>
        </w:rPr>
        <w:t>, kad Eiropas Zāļu aģentūra sāk</w:t>
      </w:r>
      <w:r w:rsidRPr="005154D6">
        <w:rPr>
          <w:sz w:val="28"/>
          <w:szCs w:val="28"/>
        </w:rPr>
        <w:t xml:space="preserve"> nodrošināt</w:t>
      </w:r>
      <w:r>
        <w:rPr>
          <w:sz w:val="28"/>
          <w:szCs w:val="28"/>
        </w:rPr>
        <w:t xml:space="preserve"> periodisko </w:t>
      </w:r>
      <w:r w:rsidRPr="005154D6">
        <w:rPr>
          <w:sz w:val="28"/>
          <w:szCs w:val="28"/>
        </w:rPr>
        <w:t xml:space="preserve">ziņojumu repozitorija saskaņoto darbību, </w:t>
      </w:r>
      <w:r w:rsidR="005F3CC5">
        <w:rPr>
          <w:sz w:val="28"/>
          <w:szCs w:val="28"/>
        </w:rPr>
        <w:t xml:space="preserve">zāļu </w:t>
      </w:r>
      <w:r w:rsidRPr="005154D6">
        <w:rPr>
          <w:sz w:val="28"/>
          <w:szCs w:val="28"/>
        </w:rPr>
        <w:t>r</w:t>
      </w:r>
      <w:r w:rsidR="00264451">
        <w:rPr>
          <w:sz w:val="28"/>
          <w:szCs w:val="28"/>
        </w:rPr>
        <w:t>eģistrācijas īpašnieks</w:t>
      </w:r>
      <w:r w:rsidRPr="005154D6">
        <w:rPr>
          <w:sz w:val="28"/>
          <w:szCs w:val="28"/>
        </w:rPr>
        <w:t xml:space="preserve"> </w:t>
      </w:r>
      <w:r>
        <w:rPr>
          <w:sz w:val="28"/>
          <w:szCs w:val="28"/>
        </w:rPr>
        <w:t xml:space="preserve">periodiskos </w:t>
      </w:r>
      <w:r w:rsidRPr="005154D6">
        <w:rPr>
          <w:sz w:val="28"/>
          <w:szCs w:val="28"/>
        </w:rPr>
        <w:t xml:space="preserve">ziņojumus iesniedz Zāļu valsts aģentūrā, ja zāles ir </w:t>
      </w:r>
      <w:r>
        <w:rPr>
          <w:sz w:val="28"/>
          <w:szCs w:val="28"/>
        </w:rPr>
        <w:t>reģistrētas</w:t>
      </w:r>
      <w:r w:rsidRPr="005154D6">
        <w:rPr>
          <w:sz w:val="28"/>
          <w:szCs w:val="28"/>
        </w:rPr>
        <w:t xml:space="preserve"> Latvijas</w:t>
      </w:r>
      <w:r>
        <w:rPr>
          <w:sz w:val="28"/>
          <w:szCs w:val="28"/>
        </w:rPr>
        <w:t xml:space="preserve"> Republikā</w:t>
      </w:r>
      <w:r w:rsidRPr="005154D6">
        <w:rPr>
          <w:sz w:val="28"/>
          <w:szCs w:val="28"/>
        </w:rPr>
        <w:t>.</w:t>
      </w:r>
    </w:p>
    <w:p w:rsidR="00287CD4" w:rsidRPr="001F2C76" w:rsidRDefault="00287CD4" w:rsidP="00287CD4">
      <w:pPr>
        <w:tabs>
          <w:tab w:val="left" w:pos="1134"/>
        </w:tabs>
        <w:spacing w:after="0"/>
        <w:jc w:val="both"/>
        <w:rPr>
          <w:bCs/>
          <w:sz w:val="28"/>
          <w:szCs w:val="28"/>
          <w:lang w:val="lv-LV"/>
        </w:rPr>
      </w:pPr>
    </w:p>
    <w:p w:rsidR="00287CD4" w:rsidRPr="000529CA" w:rsidRDefault="00287CD4" w:rsidP="00287CD4">
      <w:pPr>
        <w:pStyle w:val="naisnod"/>
        <w:tabs>
          <w:tab w:val="left" w:pos="1134"/>
        </w:tabs>
        <w:ind w:firstLine="709"/>
        <w:jc w:val="center"/>
        <w:rPr>
          <w:b/>
          <w:sz w:val="28"/>
          <w:szCs w:val="28"/>
        </w:rPr>
      </w:pPr>
      <w:r w:rsidRPr="00E73502">
        <w:rPr>
          <w:b/>
          <w:sz w:val="28"/>
          <w:szCs w:val="28"/>
        </w:rPr>
        <w:t>Informatīva atsauce uz Eiropas Savienības direktīvām</w:t>
      </w:r>
    </w:p>
    <w:p w:rsidR="00287CD4" w:rsidRPr="00E73502" w:rsidRDefault="00287CD4" w:rsidP="00287CD4">
      <w:pPr>
        <w:pStyle w:val="naisf"/>
        <w:tabs>
          <w:tab w:val="left" w:pos="1134"/>
        </w:tabs>
        <w:ind w:firstLine="709"/>
        <w:rPr>
          <w:sz w:val="28"/>
          <w:szCs w:val="28"/>
        </w:rPr>
      </w:pPr>
      <w:r w:rsidRPr="00E73502">
        <w:rPr>
          <w:sz w:val="28"/>
          <w:szCs w:val="28"/>
        </w:rPr>
        <w:t>Noteikumos iekļautas tiesību normas, kas izriet no:</w:t>
      </w:r>
    </w:p>
    <w:p w:rsidR="00287CD4" w:rsidRDefault="00287CD4" w:rsidP="00287CD4">
      <w:pPr>
        <w:pStyle w:val="naisf"/>
        <w:tabs>
          <w:tab w:val="left" w:pos="1134"/>
        </w:tabs>
        <w:ind w:firstLine="709"/>
        <w:jc w:val="both"/>
        <w:rPr>
          <w:sz w:val="28"/>
          <w:szCs w:val="28"/>
        </w:rPr>
      </w:pPr>
      <w:r>
        <w:rPr>
          <w:sz w:val="28"/>
          <w:szCs w:val="28"/>
        </w:rPr>
        <w:t xml:space="preserve">1) </w:t>
      </w:r>
      <w:r w:rsidRPr="00E73502">
        <w:rPr>
          <w:sz w:val="28"/>
          <w:szCs w:val="28"/>
        </w:rPr>
        <w:t>Ei</w:t>
      </w:r>
      <w:r>
        <w:rPr>
          <w:sz w:val="28"/>
          <w:szCs w:val="28"/>
        </w:rPr>
        <w:t>ropas Parlamenta un Padomes 2010.gada 15.decembra Direktīva</w:t>
      </w:r>
      <w:r w:rsidRPr="00E73502">
        <w:rPr>
          <w:sz w:val="28"/>
          <w:szCs w:val="28"/>
        </w:rPr>
        <w:t xml:space="preserve"> </w:t>
      </w:r>
      <w:r w:rsidRPr="0005199C">
        <w:rPr>
          <w:sz w:val="28"/>
          <w:szCs w:val="28"/>
        </w:rPr>
        <w:t>2010/84/E</w:t>
      </w:r>
      <w:r w:rsidR="00F17EBA">
        <w:rPr>
          <w:sz w:val="28"/>
          <w:szCs w:val="28"/>
        </w:rPr>
        <w:t>S</w:t>
      </w:r>
      <w:r>
        <w:rPr>
          <w:sz w:val="28"/>
          <w:szCs w:val="28"/>
        </w:rPr>
        <w:t xml:space="preserve">, ar kuru attiecībā uz </w:t>
      </w:r>
      <w:proofErr w:type="spellStart"/>
      <w:r>
        <w:rPr>
          <w:sz w:val="28"/>
          <w:szCs w:val="28"/>
        </w:rPr>
        <w:t>farmakovigilanci</w:t>
      </w:r>
      <w:proofErr w:type="spellEnd"/>
      <w:r>
        <w:rPr>
          <w:sz w:val="28"/>
          <w:szCs w:val="28"/>
        </w:rPr>
        <w:t xml:space="preserve"> groza Direktīvu 2001/83/EK par Kopienas kodeksu, kas attiecas uz cilvēkiem paredzētām zālēm;</w:t>
      </w:r>
    </w:p>
    <w:p w:rsidR="00E61F63" w:rsidRDefault="00287CD4" w:rsidP="00E72C4E">
      <w:pPr>
        <w:pStyle w:val="naisf"/>
        <w:tabs>
          <w:tab w:val="left" w:pos="1134"/>
        </w:tabs>
        <w:ind w:firstLine="709"/>
        <w:jc w:val="both"/>
        <w:rPr>
          <w:sz w:val="28"/>
          <w:szCs w:val="28"/>
        </w:rPr>
      </w:pPr>
      <w:r>
        <w:rPr>
          <w:sz w:val="28"/>
          <w:szCs w:val="28"/>
        </w:rPr>
        <w:lastRenderedPageBreak/>
        <w:t xml:space="preserve">2) </w:t>
      </w:r>
      <w:r w:rsidRPr="00805CA4">
        <w:rPr>
          <w:sz w:val="28"/>
          <w:szCs w:val="28"/>
        </w:rPr>
        <w:t>Eiropas Parlamenta un Padomes</w:t>
      </w:r>
      <w:r>
        <w:rPr>
          <w:sz w:val="28"/>
          <w:szCs w:val="28"/>
        </w:rPr>
        <w:t xml:space="preserve"> 2001.gada 6.novembra Direktīva</w:t>
      </w:r>
      <w:r w:rsidRPr="00805CA4">
        <w:rPr>
          <w:sz w:val="28"/>
          <w:szCs w:val="28"/>
        </w:rPr>
        <w:t xml:space="preserve"> </w:t>
      </w:r>
      <w:hyperlink r:id="rId9" w:tgtFrame="_blank" w:tooltip="DIREKTĪVA" w:history="1">
        <w:r w:rsidRPr="00E73502">
          <w:rPr>
            <w:rStyle w:val="Hyperlink"/>
            <w:sz w:val="28"/>
            <w:szCs w:val="28"/>
          </w:rPr>
          <w:t>2001/83/EK</w:t>
        </w:r>
      </w:hyperlink>
      <w:r w:rsidRPr="00E73502">
        <w:rPr>
          <w:sz w:val="28"/>
          <w:szCs w:val="28"/>
        </w:rPr>
        <w:t xml:space="preserve"> par Kopienas kodeksu, kas attieca</w:t>
      </w:r>
      <w:r>
        <w:rPr>
          <w:sz w:val="28"/>
          <w:szCs w:val="28"/>
        </w:rPr>
        <w:t>s uz cilvēkiem paredzētām zālēm.</w:t>
      </w:r>
    </w:p>
    <w:p w:rsidR="00E72C4E" w:rsidRPr="00DA5806" w:rsidRDefault="00E72C4E" w:rsidP="00E72C4E">
      <w:pPr>
        <w:pStyle w:val="naisf"/>
        <w:tabs>
          <w:tab w:val="left" w:pos="1134"/>
        </w:tabs>
        <w:ind w:firstLine="709"/>
        <w:jc w:val="both"/>
        <w:rPr>
          <w:sz w:val="28"/>
          <w:szCs w:val="28"/>
        </w:rPr>
      </w:pPr>
    </w:p>
    <w:p w:rsidR="00287CD4" w:rsidRDefault="00287CD4" w:rsidP="00E72C4E">
      <w:pPr>
        <w:spacing w:after="0" w:line="240" w:lineRule="auto"/>
        <w:ind w:firstLine="709"/>
        <w:jc w:val="both"/>
        <w:rPr>
          <w:rFonts w:ascii="Times New Roman" w:hAnsi="Times New Roman"/>
          <w:sz w:val="28"/>
          <w:szCs w:val="28"/>
          <w:lang w:val="lv-LV"/>
        </w:rPr>
      </w:pPr>
      <w:r w:rsidRPr="001D0331">
        <w:rPr>
          <w:rFonts w:ascii="Times New Roman" w:hAnsi="Times New Roman"/>
          <w:sz w:val="28"/>
          <w:szCs w:val="28"/>
          <w:lang w:val="lv-LV"/>
        </w:rPr>
        <w:t xml:space="preserve">Ministru </w:t>
      </w:r>
      <w:r>
        <w:rPr>
          <w:rFonts w:ascii="Times New Roman" w:hAnsi="Times New Roman"/>
          <w:sz w:val="28"/>
          <w:szCs w:val="28"/>
          <w:lang w:val="lv-LV"/>
        </w:rPr>
        <w:t>prezidents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proofErr w:type="spellStart"/>
      <w:r>
        <w:rPr>
          <w:rFonts w:ascii="Times New Roman" w:hAnsi="Times New Roman"/>
          <w:sz w:val="28"/>
          <w:szCs w:val="28"/>
          <w:lang w:val="lv-LV"/>
        </w:rPr>
        <w:t>V.Dombrovskis</w:t>
      </w:r>
      <w:proofErr w:type="spellEnd"/>
    </w:p>
    <w:p w:rsidR="00287CD4" w:rsidRDefault="00287CD4" w:rsidP="00287CD4">
      <w:pPr>
        <w:spacing w:after="0" w:line="240" w:lineRule="auto"/>
        <w:jc w:val="both"/>
        <w:rPr>
          <w:rFonts w:ascii="Times New Roman" w:hAnsi="Times New Roman"/>
          <w:sz w:val="28"/>
          <w:szCs w:val="28"/>
          <w:lang w:val="lv-LV"/>
        </w:rPr>
      </w:pPr>
    </w:p>
    <w:p w:rsidR="00287CD4" w:rsidRDefault="00287CD4" w:rsidP="00287CD4">
      <w:pPr>
        <w:spacing w:after="0" w:line="240" w:lineRule="auto"/>
        <w:jc w:val="both"/>
        <w:rPr>
          <w:rFonts w:ascii="Times New Roman" w:hAnsi="Times New Roman"/>
          <w:sz w:val="28"/>
          <w:szCs w:val="28"/>
          <w:lang w:val="lv-LV"/>
        </w:rPr>
      </w:pPr>
    </w:p>
    <w:p w:rsidR="00287CD4" w:rsidRPr="001D0331" w:rsidRDefault="00287CD4" w:rsidP="00E72C4E">
      <w:pPr>
        <w:spacing w:after="0" w:line="240" w:lineRule="auto"/>
        <w:ind w:firstLine="709"/>
        <w:jc w:val="both"/>
        <w:rPr>
          <w:rFonts w:ascii="Times New Roman" w:hAnsi="Times New Roman"/>
        </w:rPr>
      </w:pPr>
      <w:r>
        <w:rPr>
          <w:rFonts w:ascii="Times New Roman" w:hAnsi="Times New Roman"/>
          <w:sz w:val="28"/>
          <w:szCs w:val="28"/>
          <w:lang w:val="lv-LV"/>
        </w:rPr>
        <w:t>Veselības ministre</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proofErr w:type="spellStart"/>
      <w:r>
        <w:rPr>
          <w:rFonts w:ascii="Times New Roman" w:hAnsi="Times New Roman"/>
          <w:sz w:val="28"/>
          <w:szCs w:val="28"/>
          <w:lang w:val="lv-LV"/>
        </w:rPr>
        <w:t>I.Circene</w:t>
      </w:r>
      <w:proofErr w:type="spellEnd"/>
    </w:p>
    <w:p w:rsidR="00287CD4" w:rsidRDefault="00287CD4" w:rsidP="00287CD4">
      <w:pPr>
        <w:rPr>
          <w:rFonts w:ascii="Times New Roman" w:hAnsi="Times New Roman"/>
          <w:b/>
          <w:sz w:val="28"/>
          <w:szCs w:val="28"/>
        </w:rPr>
      </w:pPr>
    </w:p>
    <w:p w:rsidR="00FE3699" w:rsidRDefault="00FE3699" w:rsidP="00287CD4">
      <w:pPr>
        <w:rPr>
          <w:rFonts w:ascii="Times New Roman" w:hAnsi="Times New Roman"/>
          <w:b/>
          <w:sz w:val="28"/>
          <w:szCs w:val="28"/>
        </w:rPr>
      </w:pPr>
    </w:p>
    <w:p w:rsidR="00FE3699" w:rsidRDefault="00FE3699" w:rsidP="00287CD4">
      <w:pPr>
        <w:rPr>
          <w:rFonts w:ascii="Times New Roman" w:hAnsi="Times New Roman"/>
          <w:b/>
          <w:sz w:val="28"/>
          <w:szCs w:val="28"/>
        </w:rPr>
      </w:pPr>
    </w:p>
    <w:p w:rsidR="00FE3699" w:rsidRDefault="00FE3699" w:rsidP="00287CD4">
      <w:pPr>
        <w:rPr>
          <w:rFonts w:ascii="Times New Roman" w:hAnsi="Times New Roman"/>
          <w:b/>
          <w:sz w:val="28"/>
          <w:szCs w:val="28"/>
        </w:rPr>
      </w:pPr>
    </w:p>
    <w:p w:rsidR="00FE3699" w:rsidRDefault="00FE3699" w:rsidP="00287CD4">
      <w:pPr>
        <w:rPr>
          <w:rFonts w:ascii="Times New Roman" w:hAnsi="Times New Roman"/>
          <w:sz w:val="24"/>
          <w:szCs w:val="24"/>
          <w:lang w:val="lv-LV"/>
        </w:rPr>
      </w:pPr>
    </w:p>
    <w:p w:rsidR="00287CD4" w:rsidRDefault="00283B13" w:rsidP="00287CD4">
      <w:pPr>
        <w:tabs>
          <w:tab w:val="left" w:pos="8370"/>
        </w:tabs>
        <w:spacing w:after="0" w:line="240" w:lineRule="auto"/>
        <w:jc w:val="both"/>
        <w:rPr>
          <w:rFonts w:ascii="Times New Roman" w:hAnsi="Times New Roman"/>
          <w:bCs/>
        </w:rPr>
      </w:pPr>
      <w:r>
        <w:rPr>
          <w:rFonts w:ascii="Times New Roman" w:hAnsi="Times New Roman"/>
          <w:bCs/>
        </w:rPr>
        <w:t>21</w:t>
      </w:r>
      <w:r w:rsidR="00FE3699">
        <w:rPr>
          <w:rFonts w:ascii="Times New Roman" w:hAnsi="Times New Roman"/>
          <w:bCs/>
        </w:rPr>
        <w:t>.11</w:t>
      </w:r>
      <w:r w:rsidR="005F3CC5">
        <w:rPr>
          <w:rFonts w:ascii="Times New Roman" w:hAnsi="Times New Roman"/>
          <w:bCs/>
        </w:rPr>
        <w:t xml:space="preserve">.2012. </w:t>
      </w:r>
      <w:r w:rsidR="002707D8">
        <w:rPr>
          <w:rFonts w:ascii="Times New Roman" w:hAnsi="Times New Roman"/>
          <w:bCs/>
        </w:rPr>
        <w:t>18:18</w:t>
      </w:r>
    </w:p>
    <w:p w:rsidR="005F3CC5" w:rsidRPr="00EF715C" w:rsidRDefault="005F3CC5" w:rsidP="00287CD4">
      <w:pPr>
        <w:tabs>
          <w:tab w:val="left" w:pos="8370"/>
        </w:tabs>
        <w:spacing w:after="0" w:line="240" w:lineRule="auto"/>
        <w:jc w:val="both"/>
        <w:rPr>
          <w:rFonts w:ascii="Times New Roman" w:hAnsi="Times New Roman"/>
          <w:bCs/>
        </w:rPr>
      </w:pPr>
      <w:r>
        <w:rPr>
          <w:rFonts w:ascii="Times New Roman" w:hAnsi="Times New Roman"/>
          <w:bCs/>
        </w:rPr>
        <w:t>3</w:t>
      </w:r>
      <w:r w:rsidR="001C414A">
        <w:rPr>
          <w:rFonts w:ascii="Times New Roman" w:hAnsi="Times New Roman"/>
          <w:bCs/>
        </w:rPr>
        <w:t>3</w:t>
      </w:r>
      <w:r w:rsidR="002707D8">
        <w:rPr>
          <w:rFonts w:ascii="Times New Roman" w:hAnsi="Times New Roman"/>
          <w:bCs/>
        </w:rPr>
        <w:t>36</w:t>
      </w:r>
    </w:p>
    <w:p w:rsidR="00287CD4" w:rsidRPr="00EF715C" w:rsidRDefault="00287CD4" w:rsidP="00287CD4">
      <w:pPr>
        <w:spacing w:after="0" w:line="240" w:lineRule="auto"/>
        <w:jc w:val="both"/>
        <w:rPr>
          <w:rFonts w:ascii="Times New Roman" w:hAnsi="Times New Roman"/>
          <w:bCs/>
        </w:rPr>
      </w:pPr>
      <w:proofErr w:type="spellStart"/>
      <w:r w:rsidRPr="00EF715C">
        <w:rPr>
          <w:rFonts w:ascii="Times New Roman" w:hAnsi="Times New Roman"/>
          <w:bCs/>
        </w:rPr>
        <w:t>S.Riekstiņa</w:t>
      </w:r>
      <w:proofErr w:type="spellEnd"/>
    </w:p>
    <w:p w:rsidR="00287CD4" w:rsidRPr="00EF715C" w:rsidRDefault="00287CD4" w:rsidP="00287CD4">
      <w:pPr>
        <w:spacing w:after="0" w:line="240" w:lineRule="auto"/>
        <w:jc w:val="both"/>
        <w:rPr>
          <w:rFonts w:ascii="Times New Roman" w:hAnsi="Times New Roman"/>
        </w:rPr>
      </w:pPr>
      <w:r w:rsidRPr="00EF715C">
        <w:rPr>
          <w:rFonts w:ascii="Times New Roman" w:hAnsi="Times New Roman"/>
          <w:bCs/>
        </w:rPr>
        <w:t xml:space="preserve">67876115, </w:t>
      </w:r>
      <w:hyperlink r:id="rId10" w:history="1">
        <w:r w:rsidRPr="00EF715C">
          <w:rPr>
            <w:rStyle w:val="Hyperlink"/>
            <w:rFonts w:ascii="Times New Roman" w:hAnsi="Times New Roman"/>
            <w:bCs/>
          </w:rPr>
          <w:t>Silvija.Riekstina@vm.gov.lv</w:t>
        </w:r>
      </w:hyperlink>
    </w:p>
    <w:p w:rsidR="00287CD4" w:rsidRPr="00EF715C" w:rsidRDefault="00287CD4" w:rsidP="00287CD4">
      <w:pPr>
        <w:spacing w:after="0" w:line="240" w:lineRule="auto"/>
        <w:jc w:val="both"/>
        <w:rPr>
          <w:rFonts w:ascii="Times New Roman" w:hAnsi="Times New Roman"/>
          <w:lang w:val="lv-LV"/>
        </w:rPr>
      </w:pPr>
      <w:proofErr w:type="spellStart"/>
      <w:r w:rsidRPr="00EF715C">
        <w:rPr>
          <w:rFonts w:ascii="Times New Roman" w:hAnsi="Times New Roman"/>
          <w:lang w:val="lv-LV"/>
        </w:rPr>
        <w:t>I.Studere</w:t>
      </w:r>
      <w:proofErr w:type="spellEnd"/>
      <w:r w:rsidRPr="00EF715C">
        <w:rPr>
          <w:rFonts w:ascii="Times New Roman" w:hAnsi="Times New Roman"/>
          <w:lang w:val="lv-LV"/>
        </w:rPr>
        <w:t xml:space="preserve">, </w:t>
      </w:r>
    </w:p>
    <w:p w:rsidR="00287CD4" w:rsidRDefault="00287CD4" w:rsidP="00287CD4">
      <w:pPr>
        <w:spacing w:after="0" w:line="240" w:lineRule="auto"/>
        <w:jc w:val="both"/>
        <w:rPr>
          <w:rFonts w:ascii="Times New Roman" w:hAnsi="Times New Roman"/>
          <w:lang w:val="lv-LV"/>
        </w:rPr>
      </w:pPr>
      <w:r w:rsidRPr="00EF715C">
        <w:rPr>
          <w:rFonts w:ascii="Times New Roman" w:hAnsi="Times New Roman"/>
          <w:lang w:val="lv-LV"/>
        </w:rPr>
        <w:t>67078442</w:t>
      </w:r>
      <w:r>
        <w:rPr>
          <w:rFonts w:ascii="Times New Roman" w:hAnsi="Times New Roman"/>
          <w:lang w:val="lv-LV"/>
        </w:rPr>
        <w:t>,</w:t>
      </w:r>
      <w:r w:rsidRPr="00EF715C">
        <w:rPr>
          <w:rFonts w:ascii="Times New Roman" w:hAnsi="Times New Roman"/>
          <w:lang w:val="lv-LV"/>
        </w:rPr>
        <w:t xml:space="preserve"> </w:t>
      </w:r>
      <w:hyperlink r:id="rId11" w:history="1">
        <w:r w:rsidRPr="00C70CFD">
          <w:rPr>
            <w:rStyle w:val="Hyperlink"/>
            <w:rFonts w:ascii="Times New Roman" w:hAnsi="Times New Roman"/>
            <w:lang w:val="lv-LV"/>
          </w:rPr>
          <w:t>Inese.Studere@zva.gov.lv</w:t>
        </w:r>
      </w:hyperlink>
    </w:p>
    <w:p w:rsidR="00287CD4" w:rsidRDefault="00287CD4" w:rsidP="00287CD4">
      <w:pPr>
        <w:spacing w:after="0" w:line="240" w:lineRule="auto"/>
        <w:jc w:val="both"/>
        <w:rPr>
          <w:rFonts w:ascii="Times New Roman" w:hAnsi="Times New Roman"/>
          <w:lang w:val="lv-LV"/>
        </w:rPr>
      </w:pPr>
      <w:proofErr w:type="spellStart"/>
      <w:r w:rsidRPr="00EF715C">
        <w:rPr>
          <w:rFonts w:ascii="Times New Roman" w:hAnsi="Times New Roman"/>
          <w:lang w:val="lv-LV"/>
        </w:rPr>
        <w:t>S.Penģerote</w:t>
      </w:r>
      <w:proofErr w:type="spellEnd"/>
      <w:r w:rsidRPr="00EF715C">
        <w:rPr>
          <w:rFonts w:ascii="Times New Roman" w:hAnsi="Times New Roman"/>
          <w:lang w:val="lv-LV"/>
        </w:rPr>
        <w:t xml:space="preserve">, </w:t>
      </w:r>
    </w:p>
    <w:p w:rsidR="00287CD4" w:rsidRDefault="00287CD4" w:rsidP="00287CD4">
      <w:pPr>
        <w:spacing w:after="0" w:line="240" w:lineRule="auto"/>
        <w:jc w:val="both"/>
        <w:rPr>
          <w:rFonts w:ascii="Times New Roman" w:hAnsi="Times New Roman"/>
          <w:lang w:val="lv-LV"/>
        </w:rPr>
      </w:pPr>
      <w:r w:rsidRPr="00EF715C">
        <w:rPr>
          <w:rFonts w:ascii="Times New Roman" w:hAnsi="Times New Roman"/>
          <w:lang w:val="lv-LV"/>
        </w:rPr>
        <w:t>67078448</w:t>
      </w:r>
      <w:r>
        <w:rPr>
          <w:rFonts w:ascii="Times New Roman" w:hAnsi="Times New Roman"/>
          <w:lang w:val="lv-LV"/>
        </w:rPr>
        <w:t xml:space="preserve">, </w:t>
      </w:r>
      <w:hyperlink r:id="rId12" w:history="1">
        <w:r w:rsidRPr="00C70CFD">
          <w:rPr>
            <w:rStyle w:val="Hyperlink"/>
            <w:rFonts w:ascii="Times New Roman" w:hAnsi="Times New Roman"/>
            <w:lang w:val="lv-LV"/>
          </w:rPr>
          <w:t>Sarmite.Pengerote@zva.gov.lv</w:t>
        </w:r>
      </w:hyperlink>
    </w:p>
    <w:p w:rsidR="00287CD4" w:rsidRPr="003E4B28" w:rsidRDefault="00287CD4" w:rsidP="00287CD4">
      <w:pPr>
        <w:rPr>
          <w:rFonts w:ascii="Times New Roman" w:hAnsi="Times New Roman"/>
          <w:sz w:val="24"/>
          <w:szCs w:val="24"/>
          <w:lang w:val="lv-LV"/>
        </w:rPr>
      </w:pPr>
    </w:p>
    <w:p w:rsidR="001E4546" w:rsidRPr="00287CD4" w:rsidRDefault="001E4546" w:rsidP="00287CD4">
      <w:pPr>
        <w:rPr>
          <w:szCs w:val="24"/>
          <w:lang w:val="lv-LV"/>
        </w:rPr>
      </w:pPr>
    </w:p>
    <w:sectPr w:rsidR="001E4546" w:rsidRPr="00287CD4" w:rsidSect="00DD7FA6">
      <w:headerReference w:type="default" r:id="rId13"/>
      <w:footerReference w:type="default" r:id="rId14"/>
      <w:footerReference w:type="first" r:id="rId15"/>
      <w:pgSz w:w="12240" w:h="15840"/>
      <w:pgMar w:top="1418" w:right="1134" w:bottom="1134" w:left="1701"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64" w:rsidRDefault="00840A64" w:rsidP="005F480E">
      <w:pPr>
        <w:spacing w:after="0" w:line="240" w:lineRule="auto"/>
      </w:pPr>
      <w:r>
        <w:separator/>
      </w:r>
    </w:p>
  </w:endnote>
  <w:endnote w:type="continuationSeparator" w:id="0">
    <w:p w:rsidR="00840A64" w:rsidRDefault="00840A64" w:rsidP="005F4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NewsGoth Lat">
    <w:panose1 w:val="00000000000000000000"/>
    <w:charset w:val="BA"/>
    <w:family w:val="auto"/>
    <w:notTrueType/>
    <w:pitch w:val="default"/>
    <w:sig w:usb0="00000005" w:usb1="00000000" w:usb2="00000000" w:usb3="00000000" w:csb0="00000080"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64" w:rsidRDefault="00840A64" w:rsidP="00DD7FA6">
    <w:pPr>
      <w:pStyle w:val="Footer"/>
      <w:jc w:val="both"/>
      <w:rPr>
        <w:rFonts w:ascii="Times New Roman" w:hAnsi="Times New Roman"/>
        <w:sz w:val="24"/>
        <w:szCs w:val="24"/>
        <w:lang w:val="lv-LV"/>
      </w:rPr>
    </w:pPr>
  </w:p>
  <w:p w:rsidR="00840A64" w:rsidRDefault="00840A64" w:rsidP="00DD7FA6">
    <w:pPr>
      <w:pStyle w:val="Footer"/>
      <w:jc w:val="both"/>
      <w:rPr>
        <w:rFonts w:ascii="Times New Roman" w:hAnsi="Times New Roman"/>
        <w:sz w:val="24"/>
        <w:szCs w:val="24"/>
        <w:lang w:val="lv-LV"/>
      </w:rPr>
    </w:pPr>
    <w:r>
      <w:rPr>
        <w:rFonts w:ascii="Times New Roman" w:hAnsi="Times New Roman"/>
        <w:sz w:val="24"/>
        <w:szCs w:val="24"/>
        <w:lang w:val="lv-LV"/>
      </w:rPr>
      <w:t>VMNot_211112</w:t>
    </w:r>
    <w:r w:rsidRPr="005F480E">
      <w:rPr>
        <w:rFonts w:ascii="Times New Roman" w:hAnsi="Times New Roman"/>
        <w:sz w:val="24"/>
        <w:szCs w:val="24"/>
        <w:lang w:val="lv-LV"/>
      </w:rPr>
      <w:t>_farmakov</w:t>
    </w:r>
    <w:r>
      <w:rPr>
        <w:rFonts w:ascii="Times New Roman" w:hAnsi="Times New Roman"/>
        <w:sz w:val="24"/>
        <w:szCs w:val="24"/>
        <w:lang w:val="lv-LV"/>
      </w:rPr>
      <w:t>ig</w:t>
    </w:r>
    <w:r w:rsidRPr="005F480E">
      <w:rPr>
        <w:rFonts w:ascii="Times New Roman" w:hAnsi="Times New Roman"/>
        <w:sz w:val="24"/>
        <w:szCs w:val="24"/>
        <w:lang w:val="lv-LV"/>
      </w:rPr>
      <w:t>; Ministru kabineta noteikumu projekts „</w:t>
    </w:r>
    <w:proofErr w:type="spellStart"/>
    <w:r w:rsidRPr="005F480E">
      <w:rPr>
        <w:rFonts w:ascii="Times New Roman" w:hAnsi="Times New Roman"/>
        <w:sz w:val="24"/>
        <w:szCs w:val="24"/>
        <w:lang w:val="lv-LV"/>
      </w:rPr>
      <w:t>Farmakovigilance</w:t>
    </w:r>
    <w:r>
      <w:rPr>
        <w:rFonts w:ascii="Times New Roman" w:hAnsi="Times New Roman"/>
        <w:sz w:val="24"/>
        <w:szCs w:val="24"/>
        <w:lang w:val="lv-LV"/>
      </w:rPr>
      <w:t>s</w:t>
    </w:r>
    <w:proofErr w:type="spellEnd"/>
    <w:r>
      <w:rPr>
        <w:rFonts w:ascii="Times New Roman" w:hAnsi="Times New Roman"/>
        <w:sz w:val="24"/>
        <w:szCs w:val="24"/>
        <w:lang w:val="lv-LV"/>
      </w:rPr>
      <w:t xml:space="preserve"> kārtība</w:t>
    </w:r>
    <w:r w:rsidRPr="005F480E">
      <w:rPr>
        <w:rFonts w:ascii="Times New Roman" w:hAnsi="Times New Roman"/>
        <w:sz w:val="24"/>
        <w:szCs w:val="24"/>
        <w:lang w:val="lv-LV"/>
      </w:rPr>
      <w:t>”</w:t>
    </w:r>
  </w:p>
  <w:p w:rsidR="00840A64" w:rsidRPr="005F480E" w:rsidRDefault="00840A64" w:rsidP="006933E7">
    <w:pPr>
      <w:pStyle w:val="Footer"/>
      <w:rPr>
        <w:rFonts w:ascii="Times New Roman" w:hAnsi="Times New Roman"/>
        <w:sz w:val="24"/>
        <w:szCs w:val="24"/>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64" w:rsidRDefault="00840A64" w:rsidP="00DD7FA6">
    <w:pPr>
      <w:pStyle w:val="Footer"/>
      <w:jc w:val="both"/>
      <w:rPr>
        <w:rFonts w:ascii="Times New Roman" w:hAnsi="Times New Roman"/>
        <w:sz w:val="24"/>
        <w:szCs w:val="24"/>
        <w:lang w:val="lv-LV"/>
      </w:rPr>
    </w:pPr>
    <w:r>
      <w:rPr>
        <w:rFonts w:ascii="Times New Roman" w:hAnsi="Times New Roman"/>
        <w:sz w:val="24"/>
        <w:szCs w:val="24"/>
        <w:lang w:val="lv-LV"/>
      </w:rPr>
      <w:t>VMNot_211112</w:t>
    </w:r>
    <w:r w:rsidRPr="005F480E">
      <w:rPr>
        <w:rFonts w:ascii="Times New Roman" w:hAnsi="Times New Roman"/>
        <w:sz w:val="24"/>
        <w:szCs w:val="24"/>
        <w:lang w:val="lv-LV"/>
      </w:rPr>
      <w:t>_farmakov</w:t>
    </w:r>
    <w:r>
      <w:rPr>
        <w:rFonts w:ascii="Times New Roman" w:hAnsi="Times New Roman"/>
        <w:sz w:val="24"/>
        <w:szCs w:val="24"/>
        <w:lang w:val="lv-LV"/>
      </w:rPr>
      <w:t>ig</w:t>
    </w:r>
    <w:r w:rsidRPr="005F480E">
      <w:rPr>
        <w:rFonts w:ascii="Times New Roman" w:hAnsi="Times New Roman"/>
        <w:sz w:val="24"/>
        <w:szCs w:val="24"/>
        <w:lang w:val="lv-LV"/>
      </w:rPr>
      <w:t>; Ministru kabineta noteikumu projekts „</w:t>
    </w:r>
    <w:proofErr w:type="spellStart"/>
    <w:r w:rsidRPr="005F480E">
      <w:rPr>
        <w:rFonts w:ascii="Times New Roman" w:hAnsi="Times New Roman"/>
        <w:sz w:val="24"/>
        <w:szCs w:val="24"/>
        <w:lang w:val="lv-LV"/>
      </w:rPr>
      <w:t>Farmakovigilance</w:t>
    </w:r>
    <w:r>
      <w:rPr>
        <w:rFonts w:ascii="Times New Roman" w:hAnsi="Times New Roman"/>
        <w:sz w:val="24"/>
        <w:szCs w:val="24"/>
        <w:lang w:val="lv-LV"/>
      </w:rPr>
      <w:t>s</w:t>
    </w:r>
    <w:proofErr w:type="spellEnd"/>
    <w:r>
      <w:rPr>
        <w:rFonts w:ascii="Times New Roman" w:hAnsi="Times New Roman"/>
        <w:sz w:val="24"/>
        <w:szCs w:val="24"/>
        <w:lang w:val="lv-LV"/>
      </w:rPr>
      <w:t xml:space="preserve"> kārtība</w:t>
    </w:r>
    <w:r w:rsidRPr="005F480E">
      <w:rPr>
        <w:rFonts w:ascii="Times New Roman" w:hAnsi="Times New Roman"/>
        <w:sz w:val="24"/>
        <w:szCs w:val="24"/>
        <w:lang w:val="lv-LV"/>
      </w:rPr>
      <w:t>”</w:t>
    </w:r>
  </w:p>
  <w:p w:rsidR="00840A64" w:rsidRPr="00DD7FA6" w:rsidRDefault="00840A64">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64" w:rsidRDefault="00840A64" w:rsidP="005F480E">
      <w:pPr>
        <w:spacing w:after="0" w:line="240" w:lineRule="auto"/>
      </w:pPr>
      <w:r>
        <w:separator/>
      </w:r>
    </w:p>
  </w:footnote>
  <w:footnote w:type="continuationSeparator" w:id="0">
    <w:p w:rsidR="00840A64" w:rsidRDefault="00840A64" w:rsidP="005F4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64" w:rsidRDefault="00840A64">
    <w:pPr>
      <w:pStyle w:val="Header"/>
      <w:jc w:val="center"/>
    </w:pPr>
    <w:fldSimple w:instr=" PAGE   \* MERGEFORMAT ">
      <w:r w:rsidR="002707D8">
        <w:rPr>
          <w:noProof/>
        </w:rPr>
        <w:t>15</w:t>
      </w:r>
    </w:fldSimple>
  </w:p>
  <w:p w:rsidR="00840A64" w:rsidRDefault="00840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44F"/>
    <w:multiLevelType w:val="multilevel"/>
    <w:tmpl w:val="021A0500"/>
    <w:lvl w:ilvl="0">
      <w:start w:val="32"/>
      <w:numFmt w:val="decimal"/>
      <w:lvlText w:val="%1."/>
      <w:lvlJc w:val="left"/>
      <w:pPr>
        <w:ind w:left="1085" w:hanging="375"/>
      </w:pPr>
      <w:rPr>
        <w:rFonts w:hint="default"/>
        <w:b w:val="0"/>
        <w:sz w:val="28"/>
        <w:szCs w:val="28"/>
      </w:rPr>
    </w:lvl>
    <w:lvl w:ilvl="1">
      <w:start w:val="1"/>
      <w:numFmt w:val="decimal"/>
      <w:isLgl/>
      <w:lvlText w:val="%1.%2."/>
      <w:lvlJc w:val="left"/>
      <w:pPr>
        <w:ind w:left="1145"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DE7123E"/>
    <w:multiLevelType w:val="multilevel"/>
    <w:tmpl w:val="013A8F92"/>
    <w:lvl w:ilvl="0">
      <w:start w:val="1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635F6D"/>
    <w:multiLevelType w:val="hybridMultilevel"/>
    <w:tmpl w:val="01101FEA"/>
    <w:lvl w:ilvl="0" w:tplc="2C949B66">
      <w:start w:val="20"/>
      <w:numFmt w:val="upperRoman"/>
      <w:lvlText w:val="%1."/>
      <w:lvlJc w:val="left"/>
      <w:pPr>
        <w:ind w:left="1429" w:hanging="72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18B21DEF"/>
    <w:multiLevelType w:val="hybridMultilevel"/>
    <w:tmpl w:val="06600256"/>
    <w:lvl w:ilvl="0" w:tplc="A942CE4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C99567D"/>
    <w:multiLevelType w:val="hybridMultilevel"/>
    <w:tmpl w:val="67C67954"/>
    <w:lvl w:ilvl="0" w:tplc="F3BAAF2A">
      <w:start w:val="3"/>
      <w:numFmt w:val="upperRoman"/>
      <w:lvlText w:val="%1."/>
      <w:lvlJc w:val="left"/>
      <w:pPr>
        <w:ind w:left="1430" w:hanging="72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2199358B"/>
    <w:multiLevelType w:val="hybridMultilevel"/>
    <w:tmpl w:val="D5DA96BE"/>
    <w:lvl w:ilvl="0" w:tplc="4BB4CB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244BA6"/>
    <w:multiLevelType w:val="hybridMultilevel"/>
    <w:tmpl w:val="C74AE154"/>
    <w:lvl w:ilvl="0" w:tplc="3E38401C">
      <w:start w:val="1"/>
      <w:numFmt w:val="decimal"/>
      <w:lvlText w:val="%1)"/>
      <w:lvlJc w:val="left"/>
      <w:pPr>
        <w:ind w:left="1864" w:hanging="115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C073909"/>
    <w:multiLevelType w:val="hybridMultilevel"/>
    <w:tmpl w:val="869A5F32"/>
    <w:lvl w:ilvl="0" w:tplc="2D48725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60A2C50"/>
    <w:multiLevelType w:val="multilevel"/>
    <w:tmpl w:val="1CCC34C0"/>
    <w:lvl w:ilvl="0">
      <w:start w:val="1"/>
      <w:numFmt w:val="decimal"/>
      <w:lvlText w:val="%1."/>
      <w:lvlJc w:val="left"/>
      <w:pPr>
        <w:ind w:left="927" w:hanging="360"/>
      </w:pPr>
      <w:rPr>
        <w:rFonts w:hint="default"/>
        <w:b w:val="0"/>
        <w:sz w:val="28"/>
        <w:szCs w:val="28"/>
      </w:rPr>
    </w:lvl>
    <w:lvl w:ilvl="1">
      <w:start w:val="1"/>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7F41457"/>
    <w:multiLevelType w:val="hybridMultilevel"/>
    <w:tmpl w:val="8B409400"/>
    <w:lvl w:ilvl="0" w:tplc="4D704BAC">
      <w:start w:val="3"/>
      <w:numFmt w:val="decimal"/>
      <w:lvlText w:val="%1."/>
      <w:lvlJc w:val="left"/>
      <w:pPr>
        <w:ind w:left="1287" w:hanging="720"/>
      </w:pPr>
      <w:rPr>
        <w:rFonts w:hint="default"/>
      </w:rPr>
    </w:lvl>
    <w:lvl w:ilvl="1" w:tplc="04260019">
      <w:start w:val="1"/>
      <w:numFmt w:val="lowerLetter"/>
      <w:lvlText w:val="%2."/>
      <w:lvlJc w:val="left"/>
      <w:pPr>
        <w:ind w:left="1440" w:hanging="360"/>
      </w:pPr>
    </w:lvl>
    <w:lvl w:ilvl="2" w:tplc="DEB6709E">
      <w:start w:val="1"/>
      <w:numFmt w:val="decimal"/>
      <w:lvlText w:val="%3."/>
      <w:lvlJc w:val="righ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C762FC"/>
    <w:multiLevelType w:val="multilevel"/>
    <w:tmpl w:val="73D89AF6"/>
    <w:lvl w:ilvl="0">
      <w:start w:val="24"/>
      <w:numFmt w:val="decimal"/>
      <w:lvlText w:val="%1."/>
      <w:lvlJc w:val="left"/>
      <w:pPr>
        <w:ind w:left="600" w:hanging="600"/>
      </w:pPr>
      <w:rPr>
        <w:rFonts w:hint="default"/>
      </w:rPr>
    </w:lvl>
    <w:lvl w:ilvl="1">
      <w:start w:val="1"/>
      <w:numFmt w:val="decimal"/>
      <w:lvlText w:val="%1.%2."/>
      <w:lvlJc w:val="left"/>
      <w:pPr>
        <w:ind w:left="2162" w:hanging="720"/>
      </w:pPr>
      <w:rPr>
        <w:rFonts w:hint="default"/>
      </w:rPr>
    </w:lvl>
    <w:lvl w:ilvl="2">
      <w:start w:val="1"/>
      <w:numFmt w:val="decimal"/>
      <w:lvlText w:val="%1.%2.%3."/>
      <w:lvlJc w:val="left"/>
      <w:pPr>
        <w:ind w:left="3604" w:hanging="720"/>
      </w:pPr>
      <w:rPr>
        <w:rFonts w:hint="default"/>
      </w:rPr>
    </w:lvl>
    <w:lvl w:ilvl="3">
      <w:start w:val="1"/>
      <w:numFmt w:val="decimal"/>
      <w:lvlText w:val="%1.%2.%3.%4."/>
      <w:lvlJc w:val="left"/>
      <w:pPr>
        <w:ind w:left="5406" w:hanging="1080"/>
      </w:pPr>
      <w:rPr>
        <w:rFonts w:hint="default"/>
      </w:rPr>
    </w:lvl>
    <w:lvl w:ilvl="4">
      <w:start w:val="1"/>
      <w:numFmt w:val="decimal"/>
      <w:lvlText w:val="%1.%2.%3.%4.%5."/>
      <w:lvlJc w:val="left"/>
      <w:pPr>
        <w:ind w:left="6848" w:hanging="1080"/>
      </w:pPr>
      <w:rPr>
        <w:rFonts w:hint="default"/>
      </w:rPr>
    </w:lvl>
    <w:lvl w:ilvl="5">
      <w:start w:val="1"/>
      <w:numFmt w:val="decimal"/>
      <w:lvlText w:val="%1.%2.%3.%4.%5.%6."/>
      <w:lvlJc w:val="left"/>
      <w:pPr>
        <w:ind w:left="8650" w:hanging="1440"/>
      </w:pPr>
      <w:rPr>
        <w:rFonts w:hint="default"/>
      </w:rPr>
    </w:lvl>
    <w:lvl w:ilvl="6">
      <w:start w:val="1"/>
      <w:numFmt w:val="decimal"/>
      <w:lvlText w:val="%1.%2.%3.%4.%5.%6.%7."/>
      <w:lvlJc w:val="left"/>
      <w:pPr>
        <w:ind w:left="10452" w:hanging="1800"/>
      </w:pPr>
      <w:rPr>
        <w:rFonts w:hint="default"/>
      </w:rPr>
    </w:lvl>
    <w:lvl w:ilvl="7">
      <w:start w:val="1"/>
      <w:numFmt w:val="decimal"/>
      <w:lvlText w:val="%1.%2.%3.%4.%5.%6.%7.%8."/>
      <w:lvlJc w:val="left"/>
      <w:pPr>
        <w:ind w:left="11894" w:hanging="1800"/>
      </w:pPr>
      <w:rPr>
        <w:rFonts w:hint="default"/>
      </w:rPr>
    </w:lvl>
    <w:lvl w:ilvl="8">
      <w:start w:val="1"/>
      <w:numFmt w:val="decimal"/>
      <w:lvlText w:val="%1.%2.%3.%4.%5.%6.%7.%8.%9."/>
      <w:lvlJc w:val="left"/>
      <w:pPr>
        <w:ind w:left="13696" w:hanging="2160"/>
      </w:pPr>
      <w:rPr>
        <w:rFonts w:hint="default"/>
      </w:rPr>
    </w:lvl>
  </w:abstractNum>
  <w:abstractNum w:abstractNumId="11">
    <w:nsid w:val="5A5414EC"/>
    <w:multiLevelType w:val="hybridMultilevel"/>
    <w:tmpl w:val="90626EF2"/>
    <w:lvl w:ilvl="0" w:tplc="766A210E">
      <w:start w:val="48"/>
      <w:numFmt w:val="decimal"/>
      <w:lvlText w:val="%1."/>
      <w:lvlJc w:val="left"/>
      <w:pPr>
        <w:ind w:left="1515" w:hanging="375"/>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71FA4188"/>
    <w:multiLevelType w:val="hybridMultilevel"/>
    <w:tmpl w:val="A00464C0"/>
    <w:lvl w:ilvl="0" w:tplc="10945F70">
      <w:start w:val="19"/>
      <w:numFmt w:val="decimal"/>
      <w:lvlText w:val="%1"/>
      <w:lvlJc w:val="left"/>
      <w:pPr>
        <w:ind w:left="128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1E33E6"/>
    <w:multiLevelType w:val="hybridMultilevel"/>
    <w:tmpl w:val="6EEE1084"/>
    <w:lvl w:ilvl="0" w:tplc="4FAE3602">
      <w:start w:val="7"/>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nsid w:val="77182280"/>
    <w:multiLevelType w:val="hybridMultilevel"/>
    <w:tmpl w:val="BFAA8322"/>
    <w:lvl w:ilvl="0" w:tplc="C6344E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8D31B0C"/>
    <w:multiLevelType w:val="hybridMultilevel"/>
    <w:tmpl w:val="D0001A34"/>
    <w:lvl w:ilvl="0" w:tplc="7FD6B55A">
      <w:start w:val="5"/>
      <w:numFmt w:val="upperRoman"/>
      <w:lvlText w:val="%1."/>
      <w:lvlJc w:val="left"/>
      <w:pPr>
        <w:ind w:left="1440" w:hanging="72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92A120D"/>
    <w:multiLevelType w:val="multilevel"/>
    <w:tmpl w:val="E44CFC78"/>
    <w:lvl w:ilvl="0">
      <w:start w:val="33"/>
      <w:numFmt w:val="decimal"/>
      <w:lvlText w:val="%1."/>
      <w:lvlJc w:val="left"/>
      <w:pPr>
        <w:ind w:left="942" w:hanging="375"/>
      </w:pPr>
      <w:rPr>
        <w:rFonts w:hint="default"/>
        <w:b w:val="0"/>
        <w:sz w:val="28"/>
        <w:szCs w:val="28"/>
      </w:rPr>
    </w:lvl>
    <w:lvl w:ilvl="1">
      <w:start w:val="1"/>
      <w:numFmt w:val="decimal"/>
      <w:isLgl/>
      <w:lvlText w:val="%1.%2."/>
      <w:lvlJc w:val="left"/>
      <w:pPr>
        <w:ind w:left="1145"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7B0B2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F6C2359"/>
    <w:multiLevelType w:val="multilevel"/>
    <w:tmpl w:val="2682BABA"/>
    <w:lvl w:ilvl="0">
      <w:start w:val="1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14"/>
  </w:num>
  <w:num w:numId="4">
    <w:abstractNumId w:val="8"/>
  </w:num>
  <w:num w:numId="5">
    <w:abstractNumId w:val="9"/>
  </w:num>
  <w:num w:numId="6">
    <w:abstractNumId w:val="7"/>
  </w:num>
  <w:num w:numId="7">
    <w:abstractNumId w:val="1"/>
  </w:num>
  <w:num w:numId="8">
    <w:abstractNumId w:val="18"/>
  </w:num>
  <w:num w:numId="9">
    <w:abstractNumId w:val="17"/>
  </w:num>
  <w:num w:numId="10">
    <w:abstractNumId w:val="15"/>
  </w:num>
  <w:num w:numId="11">
    <w:abstractNumId w:val="12"/>
  </w:num>
  <w:num w:numId="12">
    <w:abstractNumId w:val="4"/>
  </w:num>
  <w:num w:numId="13">
    <w:abstractNumId w:val="13"/>
  </w:num>
  <w:num w:numId="14">
    <w:abstractNumId w:val="6"/>
  </w:num>
  <w:num w:numId="15">
    <w:abstractNumId w:val="10"/>
  </w:num>
  <w:num w:numId="16">
    <w:abstractNumId w:val="11"/>
  </w:num>
  <w:num w:numId="17">
    <w:abstractNumId w:val="2"/>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CB2C73"/>
    <w:rsid w:val="00000440"/>
    <w:rsid w:val="00003463"/>
    <w:rsid w:val="00003A55"/>
    <w:rsid w:val="00005DAA"/>
    <w:rsid w:val="00006D29"/>
    <w:rsid w:val="000112EF"/>
    <w:rsid w:val="00011FFA"/>
    <w:rsid w:val="00022E46"/>
    <w:rsid w:val="00024FF7"/>
    <w:rsid w:val="00031399"/>
    <w:rsid w:val="00031566"/>
    <w:rsid w:val="00032E6B"/>
    <w:rsid w:val="000332E2"/>
    <w:rsid w:val="0003443B"/>
    <w:rsid w:val="000378F3"/>
    <w:rsid w:val="000423A8"/>
    <w:rsid w:val="00045825"/>
    <w:rsid w:val="00045D63"/>
    <w:rsid w:val="00051786"/>
    <w:rsid w:val="0005199C"/>
    <w:rsid w:val="000529CA"/>
    <w:rsid w:val="00054489"/>
    <w:rsid w:val="00055EAD"/>
    <w:rsid w:val="0006011E"/>
    <w:rsid w:val="00060A3D"/>
    <w:rsid w:val="00061864"/>
    <w:rsid w:val="0006242E"/>
    <w:rsid w:val="0006250A"/>
    <w:rsid w:val="00065525"/>
    <w:rsid w:val="0006579C"/>
    <w:rsid w:val="0006714A"/>
    <w:rsid w:val="00070A85"/>
    <w:rsid w:val="00075649"/>
    <w:rsid w:val="00075CAC"/>
    <w:rsid w:val="000810CE"/>
    <w:rsid w:val="00085DC0"/>
    <w:rsid w:val="000934F6"/>
    <w:rsid w:val="00093CF1"/>
    <w:rsid w:val="00093FF3"/>
    <w:rsid w:val="000957E8"/>
    <w:rsid w:val="000A136F"/>
    <w:rsid w:val="000A1751"/>
    <w:rsid w:val="000A1D29"/>
    <w:rsid w:val="000A2E4E"/>
    <w:rsid w:val="000A492D"/>
    <w:rsid w:val="000A7690"/>
    <w:rsid w:val="000B0BAC"/>
    <w:rsid w:val="000B18E7"/>
    <w:rsid w:val="000B203E"/>
    <w:rsid w:val="000C0945"/>
    <w:rsid w:val="000C2E24"/>
    <w:rsid w:val="000C388C"/>
    <w:rsid w:val="000C4ABD"/>
    <w:rsid w:val="000C5E03"/>
    <w:rsid w:val="000C6238"/>
    <w:rsid w:val="000D18CC"/>
    <w:rsid w:val="000D2FFB"/>
    <w:rsid w:val="000D5ACF"/>
    <w:rsid w:val="000E0993"/>
    <w:rsid w:val="000E3528"/>
    <w:rsid w:val="000F1511"/>
    <w:rsid w:val="000F2F32"/>
    <w:rsid w:val="000F48D1"/>
    <w:rsid w:val="000F5022"/>
    <w:rsid w:val="000F6314"/>
    <w:rsid w:val="00101377"/>
    <w:rsid w:val="00102C88"/>
    <w:rsid w:val="00103FF8"/>
    <w:rsid w:val="001041C5"/>
    <w:rsid w:val="0010602F"/>
    <w:rsid w:val="001064CC"/>
    <w:rsid w:val="00112ECA"/>
    <w:rsid w:val="00115100"/>
    <w:rsid w:val="0011744D"/>
    <w:rsid w:val="00117F9D"/>
    <w:rsid w:val="00123673"/>
    <w:rsid w:val="00125ED6"/>
    <w:rsid w:val="00125FBC"/>
    <w:rsid w:val="00126CDA"/>
    <w:rsid w:val="00131B48"/>
    <w:rsid w:val="001326ED"/>
    <w:rsid w:val="001329BA"/>
    <w:rsid w:val="00137434"/>
    <w:rsid w:val="00145135"/>
    <w:rsid w:val="00146AB6"/>
    <w:rsid w:val="001479EF"/>
    <w:rsid w:val="00147CB3"/>
    <w:rsid w:val="00151705"/>
    <w:rsid w:val="00160A3B"/>
    <w:rsid w:val="00160AF9"/>
    <w:rsid w:val="00160E39"/>
    <w:rsid w:val="0016305C"/>
    <w:rsid w:val="00163E84"/>
    <w:rsid w:val="0016421F"/>
    <w:rsid w:val="00165336"/>
    <w:rsid w:val="00170AD1"/>
    <w:rsid w:val="00171DBA"/>
    <w:rsid w:val="00180E79"/>
    <w:rsid w:val="001815C5"/>
    <w:rsid w:val="001844F6"/>
    <w:rsid w:val="0018505E"/>
    <w:rsid w:val="0018759A"/>
    <w:rsid w:val="0019293D"/>
    <w:rsid w:val="00195907"/>
    <w:rsid w:val="001A1213"/>
    <w:rsid w:val="001A5707"/>
    <w:rsid w:val="001A57EC"/>
    <w:rsid w:val="001A624A"/>
    <w:rsid w:val="001A6E8A"/>
    <w:rsid w:val="001B471C"/>
    <w:rsid w:val="001B5FA8"/>
    <w:rsid w:val="001C0A57"/>
    <w:rsid w:val="001C364B"/>
    <w:rsid w:val="001C414A"/>
    <w:rsid w:val="001C58A1"/>
    <w:rsid w:val="001C6550"/>
    <w:rsid w:val="001C713F"/>
    <w:rsid w:val="001D18C8"/>
    <w:rsid w:val="001D66AE"/>
    <w:rsid w:val="001E02E9"/>
    <w:rsid w:val="001E14CD"/>
    <w:rsid w:val="001E1D69"/>
    <w:rsid w:val="001E4546"/>
    <w:rsid w:val="001E4768"/>
    <w:rsid w:val="001E5D07"/>
    <w:rsid w:val="001F056A"/>
    <w:rsid w:val="001F0EB0"/>
    <w:rsid w:val="001F18EA"/>
    <w:rsid w:val="001F1932"/>
    <w:rsid w:val="001F286B"/>
    <w:rsid w:val="001F2C76"/>
    <w:rsid w:val="001F5E0B"/>
    <w:rsid w:val="001F7043"/>
    <w:rsid w:val="002017F7"/>
    <w:rsid w:val="00201DEA"/>
    <w:rsid w:val="00206006"/>
    <w:rsid w:val="00214317"/>
    <w:rsid w:val="00214A12"/>
    <w:rsid w:val="00215AD0"/>
    <w:rsid w:val="00235C66"/>
    <w:rsid w:val="00237701"/>
    <w:rsid w:val="00237F3A"/>
    <w:rsid w:val="00245189"/>
    <w:rsid w:val="00245C0B"/>
    <w:rsid w:val="00245D24"/>
    <w:rsid w:val="00250B73"/>
    <w:rsid w:val="00250F1A"/>
    <w:rsid w:val="002544BD"/>
    <w:rsid w:val="00260F02"/>
    <w:rsid w:val="00261E23"/>
    <w:rsid w:val="00264451"/>
    <w:rsid w:val="00264F0D"/>
    <w:rsid w:val="00265BC2"/>
    <w:rsid w:val="00267B7E"/>
    <w:rsid w:val="002707D8"/>
    <w:rsid w:val="00275566"/>
    <w:rsid w:val="002770DC"/>
    <w:rsid w:val="00283B13"/>
    <w:rsid w:val="00284A23"/>
    <w:rsid w:val="00284C12"/>
    <w:rsid w:val="002879E2"/>
    <w:rsid w:val="00287CD4"/>
    <w:rsid w:val="00293812"/>
    <w:rsid w:val="002A137A"/>
    <w:rsid w:val="002A498A"/>
    <w:rsid w:val="002A4DF1"/>
    <w:rsid w:val="002B1B19"/>
    <w:rsid w:val="002B6F88"/>
    <w:rsid w:val="002C19A0"/>
    <w:rsid w:val="002C21C4"/>
    <w:rsid w:val="002C3AC8"/>
    <w:rsid w:val="002C3F4E"/>
    <w:rsid w:val="002C4207"/>
    <w:rsid w:val="002C5ED1"/>
    <w:rsid w:val="002D12BC"/>
    <w:rsid w:val="002D3816"/>
    <w:rsid w:val="002D3DE7"/>
    <w:rsid w:val="002D40FD"/>
    <w:rsid w:val="002D4969"/>
    <w:rsid w:val="002E0D32"/>
    <w:rsid w:val="002E1EDD"/>
    <w:rsid w:val="002E394A"/>
    <w:rsid w:val="002E4CC1"/>
    <w:rsid w:val="002E610A"/>
    <w:rsid w:val="002F501E"/>
    <w:rsid w:val="002F5D02"/>
    <w:rsid w:val="00300143"/>
    <w:rsid w:val="00303366"/>
    <w:rsid w:val="00306830"/>
    <w:rsid w:val="00312DBB"/>
    <w:rsid w:val="00313071"/>
    <w:rsid w:val="003137C7"/>
    <w:rsid w:val="00314FF2"/>
    <w:rsid w:val="003223E2"/>
    <w:rsid w:val="0032523A"/>
    <w:rsid w:val="00332C74"/>
    <w:rsid w:val="00334273"/>
    <w:rsid w:val="0034484E"/>
    <w:rsid w:val="00350E83"/>
    <w:rsid w:val="00352E97"/>
    <w:rsid w:val="003548FA"/>
    <w:rsid w:val="00354943"/>
    <w:rsid w:val="00356A65"/>
    <w:rsid w:val="0035788D"/>
    <w:rsid w:val="00360FE9"/>
    <w:rsid w:val="00363106"/>
    <w:rsid w:val="00363420"/>
    <w:rsid w:val="0036543F"/>
    <w:rsid w:val="003715CD"/>
    <w:rsid w:val="00372BE6"/>
    <w:rsid w:val="003774D1"/>
    <w:rsid w:val="00382760"/>
    <w:rsid w:val="00382B66"/>
    <w:rsid w:val="00386141"/>
    <w:rsid w:val="00386D94"/>
    <w:rsid w:val="00387AC9"/>
    <w:rsid w:val="00390043"/>
    <w:rsid w:val="00391A03"/>
    <w:rsid w:val="003A3B0B"/>
    <w:rsid w:val="003B2D75"/>
    <w:rsid w:val="003B2E02"/>
    <w:rsid w:val="003B3FA2"/>
    <w:rsid w:val="003B6E0D"/>
    <w:rsid w:val="003B786D"/>
    <w:rsid w:val="003B7E8C"/>
    <w:rsid w:val="003C16AB"/>
    <w:rsid w:val="003C3046"/>
    <w:rsid w:val="003C5C3C"/>
    <w:rsid w:val="003C6402"/>
    <w:rsid w:val="003C682C"/>
    <w:rsid w:val="003D2C4B"/>
    <w:rsid w:val="003D4CCD"/>
    <w:rsid w:val="003D62D7"/>
    <w:rsid w:val="003D6E53"/>
    <w:rsid w:val="003E1692"/>
    <w:rsid w:val="003E4B28"/>
    <w:rsid w:val="003E6019"/>
    <w:rsid w:val="003E72ED"/>
    <w:rsid w:val="003F29AD"/>
    <w:rsid w:val="003F341F"/>
    <w:rsid w:val="004001DB"/>
    <w:rsid w:val="00400897"/>
    <w:rsid w:val="00401055"/>
    <w:rsid w:val="004010E2"/>
    <w:rsid w:val="004040CF"/>
    <w:rsid w:val="00404BBE"/>
    <w:rsid w:val="004055AF"/>
    <w:rsid w:val="0041067D"/>
    <w:rsid w:val="004109DF"/>
    <w:rsid w:val="00411195"/>
    <w:rsid w:val="00411755"/>
    <w:rsid w:val="0041204B"/>
    <w:rsid w:val="00412A44"/>
    <w:rsid w:val="00414562"/>
    <w:rsid w:val="00415D93"/>
    <w:rsid w:val="00420AB3"/>
    <w:rsid w:val="00422C49"/>
    <w:rsid w:val="00425040"/>
    <w:rsid w:val="00425F9A"/>
    <w:rsid w:val="00426222"/>
    <w:rsid w:val="00426A2B"/>
    <w:rsid w:val="00432A16"/>
    <w:rsid w:val="00433197"/>
    <w:rsid w:val="00440266"/>
    <w:rsid w:val="00441992"/>
    <w:rsid w:val="004429A9"/>
    <w:rsid w:val="00446319"/>
    <w:rsid w:val="00446723"/>
    <w:rsid w:val="0046178F"/>
    <w:rsid w:val="00462A5C"/>
    <w:rsid w:val="004630B1"/>
    <w:rsid w:val="004709EE"/>
    <w:rsid w:val="004747F5"/>
    <w:rsid w:val="00475E4E"/>
    <w:rsid w:val="0048170D"/>
    <w:rsid w:val="00483DBF"/>
    <w:rsid w:val="00486C46"/>
    <w:rsid w:val="00487178"/>
    <w:rsid w:val="00491665"/>
    <w:rsid w:val="00492E56"/>
    <w:rsid w:val="00497C04"/>
    <w:rsid w:val="004A043B"/>
    <w:rsid w:val="004A1D40"/>
    <w:rsid w:val="004A27C1"/>
    <w:rsid w:val="004A45B7"/>
    <w:rsid w:val="004A48D1"/>
    <w:rsid w:val="004A4B58"/>
    <w:rsid w:val="004A5072"/>
    <w:rsid w:val="004B03CA"/>
    <w:rsid w:val="004B1B5C"/>
    <w:rsid w:val="004B3592"/>
    <w:rsid w:val="004B42F5"/>
    <w:rsid w:val="004B4A36"/>
    <w:rsid w:val="004B4E3E"/>
    <w:rsid w:val="004B634F"/>
    <w:rsid w:val="004B7351"/>
    <w:rsid w:val="004C065F"/>
    <w:rsid w:val="004C2548"/>
    <w:rsid w:val="004C2B80"/>
    <w:rsid w:val="004C4E28"/>
    <w:rsid w:val="004C60EA"/>
    <w:rsid w:val="004D13AB"/>
    <w:rsid w:val="004E3EB5"/>
    <w:rsid w:val="004E4F35"/>
    <w:rsid w:val="004E7C2F"/>
    <w:rsid w:val="004F1819"/>
    <w:rsid w:val="004F5C74"/>
    <w:rsid w:val="00501269"/>
    <w:rsid w:val="00503BDF"/>
    <w:rsid w:val="00504784"/>
    <w:rsid w:val="00504E35"/>
    <w:rsid w:val="00506364"/>
    <w:rsid w:val="00507DB6"/>
    <w:rsid w:val="00512917"/>
    <w:rsid w:val="00514C5B"/>
    <w:rsid w:val="005154D6"/>
    <w:rsid w:val="00521998"/>
    <w:rsid w:val="005220FA"/>
    <w:rsid w:val="00522415"/>
    <w:rsid w:val="0052343D"/>
    <w:rsid w:val="00523C47"/>
    <w:rsid w:val="005241F9"/>
    <w:rsid w:val="005300E9"/>
    <w:rsid w:val="00531536"/>
    <w:rsid w:val="00532843"/>
    <w:rsid w:val="00540026"/>
    <w:rsid w:val="00543AE1"/>
    <w:rsid w:val="00547E4F"/>
    <w:rsid w:val="00553B94"/>
    <w:rsid w:val="00560102"/>
    <w:rsid w:val="005646B8"/>
    <w:rsid w:val="00576799"/>
    <w:rsid w:val="0057712E"/>
    <w:rsid w:val="005771A4"/>
    <w:rsid w:val="00580361"/>
    <w:rsid w:val="00581E16"/>
    <w:rsid w:val="0058391F"/>
    <w:rsid w:val="0058443E"/>
    <w:rsid w:val="00584FEA"/>
    <w:rsid w:val="00594AF4"/>
    <w:rsid w:val="005A1203"/>
    <w:rsid w:val="005A172C"/>
    <w:rsid w:val="005A3288"/>
    <w:rsid w:val="005A50F6"/>
    <w:rsid w:val="005B2B6E"/>
    <w:rsid w:val="005B5CF5"/>
    <w:rsid w:val="005C43C9"/>
    <w:rsid w:val="005C676B"/>
    <w:rsid w:val="005C6D97"/>
    <w:rsid w:val="005D08A3"/>
    <w:rsid w:val="005D350C"/>
    <w:rsid w:val="005D3D7E"/>
    <w:rsid w:val="005D5B28"/>
    <w:rsid w:val="005D6121"/>
    <w:rsid w:val="005E11ED"/>
    <w:rsid w:val="005E2034"/>
    <w:rsid w:val="005E618F"/>
    <w:rsid w:val="005E7098"/>
    <w:rsid w:val="005F03BB"/>
    <w:rsid w:val="005F2039"/>
    <w:rsid w:val="005F2971"/>
    <w:rsid w:val="005F37AD"/>
    <w:rsid w:val="005F3CC5"/>
    <w:rsid w:val="005F46AA"/>
    <w:rsid w:val="005F480E"/>
    <w:rsid w:val="005F4AAF"/>
    <w:rsid w:val="005F62E6"/>
    <w:rsid w:val="005F7D3F"/>
    <w:rsid w:val="00601D01"/>
    <w:rsid w:val="00612B6A"/>
    <w:rsid w:val="006141AC"/>
    <w:rsid w:val="006144DD"/>
    <w:rsid w:val="00614FCD"/>
    <w:rsid w:val="0061531B"/>
    <w:rsid w:val="0061609E"/>
    <w:rsid w:val="006176EA"/>
    <w:rsid w:val="0062161E"/>
    <w:rsid w:val="00621C68"/>
    <w:rsid w:val="006252D7"/>
    <w:rsid w:val="006305EB"/>
    <w:rsid w:val="00634C7B"/>
    <w:rsid w:val="006358E2"/>
    <w:rsid w:val="00635924"/>
    <w:rsid w:val="0065112E"/>
    <w:rsid w:val="006521D8"/>
    <w:rsid w:val="006526B3"/>
    <w:rsid w:val="00662384"/>
    <w:rsid w:val="0066297A"/>
    <w:rsid w:val="006644EC"/>
    <w:rsid w:val="00664659"/>
    <w:rsid w:val="00667FE9"/>
    <w:rsid w:val="00673F75"/>
    <w:rsid w:val="0068164D"/>
    <w:rsid w:val="00681F79"/>
    <w:rsid w:val="006832EA"/>
    <w:rsid w:val="00685D56"/>
    <w:rsid w:val="006933E7"/>
    <w:rsid w:val="00694D3F"/>
    <w:rsid w:val="006A3462"/>
    <w:rsid w:val="006B089E"/>
    <w:rsid w:val="006B0F74"/>
    <w:rsid w:val="006B16DF"/>
    <w:rsid w:val="006B2756"/>
    <w:rsid w:val="006B3253"/>
    <w:rsid w:val="006B7087"/>
    <w:rsid w:val="006C644D"/>
    <w:rsid w:val="006C68D3"/>
    <w:rsid w:val="006C7BB3"/>
    <w:rsid w:val="006D0753"/>
    <w:rsid w:val="006D16D8"/>
    <w:rsid w:val="006D2FBC"/>
    <w:rsid w:val="006D30F7"/>
    <w:rsid w:val="006D4870"/>
    <w:rsid w:val="006D7BB0"/>
    <w:rsid w:val="006E0A8B"/>
    <w:rsid w:val="006E2DB8"/>
    <w:rsid w:val="006E7E1F"/>
    <w:rsid w:val="006F148E"/>
    <w:rsid w:val="007009D2"/>
    <w:rsid w:val="00702ECA"/>
    <w:rsid w:val="00703AD8"/>
    <w:rsid w:val="00705F93"/>
    <w:rsid w:val="00710176"/>
    <w:rsid w:val="0071041E"/>
    <w:rsid w:val="00710C46"/>
    <w:rsid w:val="0071135C"/>
    <w:rsid w:val="00712845"/>
    <w:rsid w:val="00720FB0"/>
    <w:rsid w:val="00722A48"/>
    <w:rsid w:val="00734C12"/>
    <w:rsid w:val="0073551B"/>
    <w:rsid w:val="007475FB"/>
    <w:rsid w:val="0075198F"/>
    <w:rsid w:val="007529E1"/>
    <w:rsid w:val="00760860"/>
    <w:rsid w:val="00760CC5"/>
    <w:rsid w:val="00767921"/>
    <w:rsid w:val="0077443A"/>
    <w:rsid w:val="00776171"/>
    <w:rsid w:val="00776651"/>
    <w:rsid w:val="00785834"/>
    <w:rsid w:val="00791698"/>
    <w:rsid w:val="007930D9"/>
    <w:rsid w:val="00793B8C"/>
    <w:rsid w:val="007972DC"/>
    <w:rsid w:val="00797AFA"/>
    <w:rsid w:val="007A0653"/>
    <w:rsid w:val="007A26C0"/>
    <w:rsid w:val="007A5939"/>
    <w:rsid w:val="007A78D4"/>
    <w:rsid w:val="007B1AB2"/>
    <w:rsid w:val="007B1F50"/>
    <w:rsid w:val="007B503E"/>
    <w:rsid w:val="007B63F4"/>
    <w:rsid w:val="007C51BB"/>
    <w:rsid w:val="007C5354"/>
    <w:rsid w:val="007C6EDE"/>
    <w:rsid w:val="007D05EA"/>
    <w:rsid w:val="007D09AA"/>
    <w:rsid w:val="007D4BCB"/>
    <w:rsid w:val="007E2478"/>
    <w:rsid w:val="007E333F"/>
    <w:rsid w:val="007F47F5"/>
    <w:rsid w:val="007F6113"/>
    <w:rsid w:val="007F7CC2"/>
    <w:rsid w:val="0080007A"/>
    <w:rsid w:val="008007D1"/>
    <w:rsid w:val="00801EC3"/>
    <w:rsid w:val="00803541"/>
    <w:rsid w:val="00805642"/>
    <w:rsid w:val="008059FB"/>
    <w:rsid w:val="008073EF"/>
    <w:rsid w:val="00816EA0"/>
    <w:rsid w:val="00817304"/>
    <w:rsid w:val="008228D9"/>
    <w:rsid w:val="00824BFA"/>
    <w:rsid w:val="00824C0F"/>
    <w:rsid w:val="008263E0"/>
    <w:rsid w:val="00827375"/>
    <w:rsid w:val="00832266"/>
    <w:rsid w:val="008350AD"/>
    <w:rsid w:val="008353CB"/>
    <w:rsid w:val="00840A64"/>
    <w:rsid w:val="00842E89"/>
    <w:rsid w:val="00846D3C"/>
    <w:rsid w:val="008472FA"/>
    <w:rsid w:val="00847F2B"/>
    <w:rsid w:val="008501B7"/>
    <w:rsid w:val="00852769"/>
    <w:rsid w:val="00853060"/>
    <w:rsid w:val="0086144D"/>
    <w:rsid w:val="008628A5"/>
    <w:rsid w:val="00866D7D"/>
    <w:rsid w:val="0087131B"/>
    <w:rsid w:val="008747E6"/>
    <w:rsid w:val="00875E24"/>
    <w:rsid w:val="0087768B"/>
    <w:rsid w:val="00880BD0"/>
    <w:rsid w:val="00880CC4"/>
    <w:rsid w:val="00887E9E"/>
    <w:rsid w:val="00887FA1"/>
    <w:rsid w:val="00890F8E"/>
    <w:rsid w:val="00891C01"/>
    <w:rsid w:val="0089567B"/>
    <w:rsid w:val="00896D1B"/>
    <w:rsid w:val="00896D26"/>
    <w:rsid w:val="00897813"/>
    <w:rsid w:val="008A0EC5"/>
    <w:rsid w:val="008A1F26"/>
    <w:rsid w:val="008A3949"/>
    <w:rsid w:val="008A4557"/>
    <w:rsid w:val="008A49AE"/>
    <w:rsid w:val="008B1F17"/>
    <w:rsid w:val="008B54CF"/>
    <w:rsid w:val="008B7154"/>
    <w:rsid w:val="008B7C55"/>
    <w:rsid w:val="008C039F"/>
    <w:rsid w:val="008C51F9"/>
    <w:rsid w:val="008C75C5"/>
    <w:rsid w:val="008D2953"/>
    <w:rsid w:val="008D3357"/>
    <w:rsid w:val="008D51D7"/>
    <w:rsid w:val="008D6739"/>
    <w:rsid w:val="008E2C96"/>
    <w:rsid w:val="008E4075"/>
    <w:rsid w:val="008F0723"/>
    <w:rsid w:val="008F0F8C"/>
    <w:rsid w:val="008F2EA1"/>
    <w:rsid w:val="008F360B"/>
    <w:rsid w:val="008F4B21"/>
    <w:rsid w:val="008F4CC8"/>
    <w:rsid w:val="008F74BA"/>
    <w:rsid w:val="008F7C35"/>
    <w:rsid w:val="009019F0"/>
    <w:rsid w:val="00905470"/>
    <w:rsid w:val="00906EED"/>
    <w:rsid w:val="009119A1"/>
    <w:rsid w:val="00911F44"/>
    <w:rsid w:val="00912218"/>
    <w:rsid w:val="00912FF7"/>
    <w:rsid w:val="00913EB1"/>
    <w:rsid w:val="00916A9C"/>
    <w:rsid w:val="00916FBD"/>
    <w:rsid w:val="009211BB"/>
    <w:rsid w:val="00922451"/>
    <w:rsid w:val="00922C57"/>
    <w:rsid w:val="0092305E"/>
    <w:rsid w:val="00923AD3"/>
    <w:rsid w:val="0093144A"/>
    <w:rsid w:val="00942271"/>
    <w:rsid w:val="00951421"/>
    <w:rsid w:val="009528DE"/>
    <w:rsid w:val="00953A16"/>
    <w:rsid w:val="009553C6"/>
    <w:rsid w:val="00955DBD"/>
    <w:rsid w:val="00962340"/>
    <w:rsid w:val="009630C5"/>
    <w:rsid w:val="00964C91"/>
    <w:rsid w:val="00964CC2"/>
    <w:rsid w:val="00966972"/>
    <w:rsid w:val="00972049"/>
    <w:rsid w:val="0097244F"/>
    <w:rsid w:val="0097314A"/>
    <w:rsid w:val="009766AF"/>
    <w:rsid w:val="00986B07"/>
    <w:rsid w:val="009873E8"/>
    <w:rsid w:val="009928E6"/>
    <w:rsid w:val="00994136"/>
    <w:rsid w:val="0099667F"/>
    <w:rsid w:val="00996E84"/>
    <w:rsid w:val="009A1BC3"/>
    <w:rsid w:val="009B04A0"/>
    <w:rsid w:val="009B1618"/>
    <w:rsid w:val="009B1ED0"/>
    <w:rsid w:val="009B2C0D"/>
    <w:rsid w:val="009B30F6"/>
    <w:rsid w:val="009B35EF"/>
    <w:rsid w:val="009B3896"/>
    <w:rsid w:val="009B64CF"/>
    <w:rsid w:val="009C16CB"/>
    <w:rsid w:val="009D5903"/>
    <w:rsid w:val="009D6538"/>
    <w:rsid w:val="009D65CC"/>
    <w:rsid w:val="009D65E3"/>
    <w:rsid w:val="009E071E"/>
    <w:rsid w:val="009E0E6F"/>
    <w:rsid w:val="009E361D"/>
    <w:rsid w:val="009E443E"/>
    <w:rsid w:val="009F0778"/>
    <w:rsid w:val="009F17EA"/>
    <w:rsid w:val="009F4E49"/>
    <w:rsid w:val="00A009E3"/>
    <w:rsid w:val="00A06520"/>
    <w:rsid w:val="00A07755"/>
    <w:rsid w:val="00A12931"/>
    <w:rsid w:val="00A34F35"/>
    <w:rsid w:val="00A37613"/>
    <w:rsid w:val="00A3768E"/>
    <w:rsid w:val="00A50A1D"/>
    <w:rsid w:val="00A55484"/>
    <w:rsid w:val="00A61F16"/>
    <w:rsid w:val="00A662FC"/>
    <w:rsid w:val="00A7181D"/>
    <w:rsid w:val="00A73FAB"/>
    <w:rsid w:val="00A74819"/>
    <w:rsid w:val="00A83AA0"/>
    <w:rsid w:val="00A84656"/>
    <w:rsid w:val="00A85F32"/>
    <w:rsid w:val="00A87034"/>
    <w:rsid w:val="00A9235D"/>
    <w:rsid w:val="00A949EA"/>
    <w:rsid w:val="00AA28FB"/>
    <w:rsid w:val="00AA41B3"/>
    <w:rsid w:val="00AA6065"/>
    <w:rsid w:val="00AB3CA7"/>
    <w:rsid w:val="00AB58E1"/>
    <w:rsid w:val="00AB6053"/>
    <w:rsid w:val="00AC069C"/>
    <w:rsid w:val="00AC0995"/>
    <w:rsid w:val="00AC3FE2"/>
    <w:rsid w:val="00AC45C7"/>
    <w:rsid w:val="00AD3612"/>
    <w:rsid w:val="00AD5C4B"/>
    <w:rsid w:val="00AE009E"/>
    <w:rsid w:val="00AE558F"/>
    <w:rsid w:val="00AE5B0F"/>
    <w:rsid w:val="00AE7458"/>
    <w:rsid w:val="00AF2747"/>
    <w:rsid w:val="00AF33CA"/>
    <w:rsid w:val="00AF72BC"/>
    <w:rsid w:val="00B042AF"/>
    <w:rsid w:val="00B04A15"/>
    <w:rsid w:val="00B050EE"/>
    <w:rsid w:val="00B107BC"/>
    <w:rsid w:val="00B132B4"/>
    <w:rsid w:val="00B14517"/>
    <w:rsid w:val="00B1507E"/>
    <w:rsid w:val="00B150D8"/>
    <w:rsid w:val="00B16B94"/>
    <w:rsid w:val="00B16DF3"/>
    <w:rsid w:val="00B2413A"/>
    <w:rsid w:val="00B251A5"/>
    <w:rsid w:val="00B26CED"/>
    <w:rsid w:val="00B278EE"/>
    <w:rsid w:val="00B326ED"/>
    <w:rsid w:val="00B46F75"/>
    <w:rsid w:val="00B47C23"/>
    <w:rsid w:val="00B5061E"/>
    <w:rsid w:val="00B51339"/>
    <w:rsid w:val="00B52958"/>
    <w:rsid w:val="00B54271"/>
    <w:rsid w:val="00B56D55"/>
    <w:rsid w:val="00B62476"/>
    <w:rsid w:val="00B67C3A"/>
    <w:rsid w:val="00B716F9"/>
    <w:rsid w:val="00B7580A"/>
    <w:rsid w:val="00B76BF4"/>
    <w:rsid w:val="00B8590A"/>
    <w:rsid w:val="00B87A95"/>
    <w:rsid w:val="00B90C1A"/>
    <w:rsid w:val="00B93C07"/>
    <w:rsid w:val="00B9442F"/>
    <w:rsid w:val="00B9585D"/>
    <w:rsid w:val="00BA1C83"/>
    <w:rsid w:val="00BA43EE"/>
    <w:rsid w:val="00BA4B5D"/>
    <w:rsid w:val="00BA4E83"/>
    <w:rsid w:val="00BB11FA"/>
    <w:rsid w:val="00BB1439"/>
    <w:rsid w:val="00BB1740"/>
    <w:rsid w:val="00BB344F"/>
    <w:rsid w:val="00BB6465"/>
    <w:rsid w:val="00BC13BC"/>
    <w:rsid w:val="00BC6B33"/>
    <w:rsid w:val="00BC70CA"/>
    <w:rsid w:val="00BD079D"/>
    <w:rsid w:val="00BD1616"/>
    <w:rsid w:val="00BD2749"/>
    <w:rsid w:val="00BD4846"/>
    <w:rsid w:val="00BD5088"/>
    <w:rsid w:val="00BD621E"/>
    <w:rsid w:val="00BE3F12"/>
    <w:rsid w:val="00BE4529"/>
    <w:rsid w:val="00BE4FB6"/>
    <w:rsid w:val="00BF22EA"/>
    <w:rsid w:val="00BF23C8"/>
    <w:rsid w:val="00BF2F97"/>
    <w:rsid w:val="00BF3039"/>
    <w:rsid w:val="00BF6D4C"/>
    <w:rsid w:val="00C056BE"/>
    <w:rsid w:val="00C1044F"/>
    <w:rsid w:val="00C12E63"/>
    <w:rsid w:val="00C14E5A"/>
    <w:rsid w:val="00C1692C"/>
    <w:rsid w:val="00C206BD"/>
    <w:rsid w:val="00C23408"/>
    <w:rsid w:val="00C30413"/>
    <w:rsid w:val="00C3380B"/>
    <w:rsid w:val="00C3505B"/>
    <w:rsid w:val="00C35222"/>
    <w:rsid w:val="00C35E42"/>
    <w:rsid w:val="00C363D4"/>
    <w:rsid w:val="00C42A40"/>
    <w:rsid w:val="00C43AE1"/>
    <w:rsid w:val="00C52610"/>
    <w:rsid w:val="00C53F0A"/>
    <w:rsid w:val="00C5645E"/>
    <w:rsid w:val="00C5647D"/>
    <w:rsid w:val="00C56A44"/>
    <w:rsid w:val="00C61FA5"/>
    <w:rsid w:val="00C66814"/>
    <w:rsid w:val="00C75378"/>
    <w:rsid w:val="00C77E22"/>
    <w:rsid w:val="00C83CCD"/>
    <w:rsid w:val="00C849CB"/>
    <w:rsid w:val="00C849CF"/>
    <w:rsid w:val="00C850E3"/>
    <w:rsid w:val="00C85805"/>
    <w:rsid w:val="00C85F1E"/>
    <w:rsid w:val="00C860AB"/>
    <w:rsid w:val="00C879C0"/>
    <w:rsid w:val="00C87C63"/>
    <w:rsid w:val="00C95678"/>
    <w:rsid w:val="00CA05CB"/>
    <w:rsid w:val="00CA1683"/>
    <w:rsid w:val="00CA170B"/>
    <w:rsid w:val="00CA1AB3"/>
    <w:rsid w:val="00CA4BB8"/>
    <w:rsid w:val="00CA560F"/>
    <w:rsid w:val="00CA6994"/>
    <w:rsid w:val="00CB10C4"/>
    <w:rsid w:val="00CB2C73"/>
    <w:rsid w:val="00CB5FA9"/>
    <w:rsid w:val="00CB66FC"/>
    <w:rsid w:val="00CB7749"/>
    <w:rsid w:val="00CC349D"/>
    <w:rsid w:val="00CC496F"/>
    <w:rsid w:val="00CC51F9"/>
    <w:rsid w:val="00CC6B6E"/>
    <w:rsid w:val="00CD0574"/>
    <w:rsid w:val="00CD12A8"/>
    <w:rsid w:val="00CD1F23"/>
    <w:rsid w:val="00CD3CC8"/>
    <w:rsid w:val="00CD464C"/>
    <w:rsid w:val="00CD4C0D"/>
    <w:rsid w:val="00CD5469"/>
    <w:rsid w:val="00CD6FEF"/>
    <w:rsid w:val="00CE3167"/>
    <w:rsid w:val="00CE660F"/>
    <w:rsid w:val="00CE6A57"/>
    <w:rsid w:val="00CE6D9A"/>
    <w:rsid w:val="00CF2A5C"/>
    <w:rsid w:val="00D05713"/>
    <w:rsid w:val="00D11954"/>
    <w:rsid w:val="00D120A2"/>
    <w:rsid w:val="00D1265D"/>
    <w:rsid w:val="00D13D62"/>
    <w:rsid w:val="00D14536"/>
    <w:rsid w:val="00D158EA"/>
    <w:rsid w:val="00D177D0"/>
    <w:rsid w:val="00D22EDF"/>
    <w:rsid w:val="00D23B53"/>
    <w:rsid w:val="00D23C3F"/>
    <w:rsid w:val="00D325C9"/>
    <w:rsid w:val="00D34047"/>
    <w:rsid w:val="00D34107"/>
    <w:rsid w:val="00D35A98"/>
    <w:rsid w:val="00D36A99"/>
    <w:rsid w:val="00D41105"/>
    <w:rsid w:val="00D41F3E"/>
    <w:rsid w:val="00D42C4C"/>
    <w:rsid w:val="00D43236"/>
    <w:rsid w:val="00D4354D"/>
    <w:rsid w:val="00D44B49"/>
    <w:rsid w:val="00D50FAA"/>
    <w:rsid w:val="00D51648"/>
    <w:rsid w:val="00D538A2"/>
    <w:rsid w:val="00D54C98"/>
    <w:rsid w:val="00D55B18"/>
    <w:rsid w:val="00D57081"/>
    <w:rsid w:val="00D65974"/>
    <w:rsid w:val="00D670DD"/>
    <w:rsid w:val="00D75810"/>
    <w:rsid w:val="00D76AD7"/>
    <w:rsid w:val="00D770F1"/>
    <w:rsid w:val="00D8135E"/>
    <w:rsid w:val="00D8550C"/>
    <w:rsid w:val="00D90716"/>
    <w:rsid w:val="00D94C71"/>
    <w:rsid w:val="00D9650A"/>
    <w:rsid w:val="00DA066D"/>
    <w:rsid w:val="00DA4CEF"/>
    <w:rsid w:val="00DA5806"/>
    <w:rsid w:val="00DB3657"/>
    <w:rsid w:val="00DB7C9D"/>
    <w:rsid w:val="00DB7F6B"/>
    <w:rsid w:val="00DC1C1E"/>
    <w:rsid w:val="00DC2169"/>
    <w:rsid w:val="00DC4C0B"/>
    <w:rsid w:val="00DD0D94"/>
    <w:rsid w:val="00DD403D"/>
    <w:rsid w:val="00DD43A6"/>
    <w:rsid w:val="00DD6716"/>
    <w:rsid w:val="00DD6828"/>
    <w:rsid w:val="00DD7FA6"/>
    <w:rsid w:val="00DE2ECC"/>
    <w:rsid w:val="00DE4B28"/>
    <w:rsid w:val="00DE6F74"/>
    <w:rsid w:val="00DF0AA1"/>
    <w:rsid w:val="00DF21C8"/>
    <w:rsid w:val="00DF2F46"/>
    <w:rsid w:val="00DF346C"/>
    <w:rsid w:val="00DF3BCD"/>
    <w:rsid w:val="00DF3DA2"/>
    <w:rsid w:val="00DF6BB5"/>
    <w:rsid w:val="00DF6C70"/>
    <w:rsid w:val="00DF7E15"/>
    <w:rsid w:val="00E00FF7"/>
    <w:rsid w:val="00E07233"/>
    <w:rsid w:val="00E11AF4"/>
    <w:rsid w:val="00E1567F"/>
    <w:rsid w:val="00E174BC"/>
    <w:rsid w:val="00E21115"/>
    <w:rsid w:val="00E21190"/>
    <w:rsid w:val="00E240F3"/>
    <w:rsid w:val="00E268A4"/>
    <w:rsid w:val="00E31079"/>
    <w:rsid w:val="00E31865"/>
    <w:rsid w:val="00E32305"/>
    <w:rsid w:val="00E3366D"/>
    <w:rsid w:val="00E3562F"/>
    <w:rsid w:val="00E413AD"/>
    <w:rsid w:val="00E41AB0"/>
    <w:rsid w:val="00E43D3A"/>
    <w:rsid w:val="00E57BF7"/>
    <w:rsid w:val="00E60E34"/>
    <w:rsid w:val="00E611C3"/>
    <w:rsid w:val="00E61460"/>
    <w:rsid w:val="00E61C9A"/>
    <w:rsid w:val="00E61E84"/>
    <w:rsid w:val="00E61F63"/>
    <w:rsid w:val="00E654C3"/>
    <w:rsid w:val="00E670C0"/>
    <w:rsid w:val="00E70017"/>
    <w:rsid w:val="00E7014F"/>
    <w:rsid w:val="00E705F9"/>
    <w:rsid w:val="00E72C4E"/>
    <w:rsid w:val="00E72EAB"/>
    <w:rsid w:val="00E73502"/>
    <w:rsid w:val="00E736B7"/>
    <w:rsid w:val="00E7458C"/>
    <w:rsid w:val="00E82814"/>
    <w:rsid w:val="00E86B97"/>
    <w:rsid w:val="00E904F1"/>
    <w:rsid w:val="00E907D8"/>
    <w:rsid w:val="00E90A4F"/>
    <w:rsid w:val="00E9113B"/>
    <w:rsid w:val="00E95C11"/>
    <w:rsid w:val="00E9602F"/>
    <w:rsid w:val="00E9755B"/>
    <w:rsid w:val="00EA14D6"/>
    <w:rsid w:val="00EA707D"/>
    <w:rsid w:val="00EB085C"/>
    <w:rsid w:val="00EB5367"/>
    <w:rsid w:val="00EB59B0"/>
    <w:rsid w:val="00EC1562"/>
    <w:rsid w:val="00EC3005"/>
    <w:rsid w:val="00EC495E"/>
    <w:rsid w:val="00ED75F5"/>
    <w:rsid w:val="00EE09EF"/>
    <w:rsid w:val="00EE27DB"/>
    <w:rsid w:val="00EE58D8"/>
    <w:rsid w:val="00EE728C"/>
    <w:rsid w:val="00EF36C3"/>
    <w:rsid w:val="00EF3E33"/>
    <w:rsid w:val="00EF5417"/>
    <w:rsid w:val="00EF5BF5"/>
    <w:rsid w:val="00F01D37"/>
    <w:rsid w:val="00F11707"/>
    <w:rsid w:val="00F127AD"/>
    <w:rsid w:val="00F12B99"/>
    <w:rsid w:val="00F16C33"/>
    <w:rsid w:val="00F17EBA"/>
    <w:rsid w:val="00F20DAB"/>
    <w:rsid w:val="00F227FD"/>
    <w:rsid w:val="00F24712"/>
    <w:rsid w:val="00F24C20"/>
    <w:rsid w:val="00F33426"/>
    <w:rsid w:val="00F348D0"/>
    <w:rsid w:val="00F40F52"/>
    <w:rsid w:val="00F4112E"/>
    <w:rsid w:val="00F41B50"/>
    <w:rsid w:val="00F4324E"/>
    <w:rsid w:val="00F444BC"/>
    <w:rsid w:val="00F45686"/>
    <w:rsid w:val="00F47915"/>
    <w:rsid w:val="00F50322"/>
    <w:rsid w:val="00F51CE3"/>
    <w:rsid w:val="00F52996"/>
    <w:rsid w:val="00F55FF5"/>
    <w:rsid w:val="00F56018"/>
    <w:rsid w:val="00F604AB"/>
    <w:rsid w:val="00F61F11"/>
    <w:rsid w:val="00F6454A"/>
    <w:rsid w:val="00F7038C"/>
    <w:rsid w:val="00F71B82"/>
    <w:rsid w:val="00F83255"/>
    <w:rsid w:val="00F86882"/>
    <w:rsid w:val="00F86CF7"/>
    <w:rsid w:val="00F903CC"/>
    <w:rsid w:val="00F907BE"/>
    <w:rsid w:val="00F934C8"/>
    <w:rsid w:val="00F948E0"/>
    <w:rsid w:val="00F96694"/>
    <w:rsid w:val="00F966DA"/>
    <w:rsid w:val="00F97FF1"/>
    <w:rsid w:val="00FA213B"/>
    <w:rsid w:val="00FA2614"/>
    <w:rsid w:val="00FA5F28"/>
    <w:rsid w:val="00FA7E1B"/>
    <w:rsid w:val="00FB5D0D"/>
    <w:rsid w:val="00FB631A"/>
    <w:rsid w:val="00FB678C"/>
    <w:rsid w:val="00FC0036"/>
    <w:rsid w:val="00FC5662"/>
    <w:rsid w:val="00FC5970"/>
    <w:rsid w:val="00FC7AC9"/>
    <w:rsid w:val="00FD024C"/>
    <w:rsid w:val="00FD0C41"/>
    <w:rsid w:val="00FD13A4"/>
    <w:rsid w:val="00FD47E9"/>
    <w:rsid w:val="00FD5F0B"/>
    <w:rsid w:val="00FE0119"/>
    <w:rsid w:val="00FE0B4F"/>
    <w:rsid w:val="00FE3699"/>
    <w:rsid w:val="00FE4FFC"/>
    <w:rsid w:val="00FE5C2A"/>
    <w:rsid w:val="00FE6009"/>
    <w:rsid w:val="00FF22A9"/>
    <w:rsid w:val="00FF4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E4B28"/>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uiPriority w:val="99"/>
    <w:semiHidden/>
    <w:unhideWhenUsed/>
    <w:rsid w:val="009D65CC"/>
    <w:rPr>
      <w:color w:val="0000FF"/>
      <w:u w:val="single"/>
    </w:rPr>
  </w:style>
  <w:style w:type="paragraph" w:customStyle="1" w:styleId="starpa">
    <w:name w:val="starpa"/>
    <w:basedOn w:val="Normal"/>
    <w:rsid w:val="007B1AB2"/>
    <w:pPr>
      <w:widowControl w:val="0"/>
      <w:spacing w:before="85" w:after="0" w:line="190" w:lineRule="atLeast"/>
      <w:ind w:firstLine="227"/>
      <w:jc w:val="both"/>
    </w:pPr>
    <w:rPr>
      <w:rFonts w:ascii="NewsGoth Lat" w:eastAsia="Times New Roman" w:hAnsi="NewsGoth Lat"/>
      <w:snapToGrid w:val="0"/>
      <w:sz w:val="17"/>
      <w:szCs w:val="20"/>
    </w:rPr>
  </w:style>
  <w:style w:type="character" w:styleId="CommentReference">
    <w:name w:val="annotation reference"/>
    <w:basedOn w:val="DefaultParagraphFont"/>
    <w:uiPriority w:val="99"/>
    <w:semiHidden/>
    <w:unhideWhenUsed/>
    <w:rsid w:val="00045825"/>
    <w:rPr>
      <w:sz w:val="16"/>
      <w:szCs w:val="16"/>
    </w:rPr>
  </w:style>
  <w:style w:type="paragraph" w:styleId="CommentText">
    <w:name w:val="annotation text"/>
    <w:basedOn w:val="Normal"/>
    <w:link w:val="CommentTextChar"/>
    <w:uiPriority w:val="99"/>
    <w:semiHidden/>
    <w:unhideWhenUsed/>
    <w:rsid w:val="00045825"/>
    <w:rPr>
      <w:sz w:val="20"/>
      <w:szCs w:val="20"/>
    </w:rPr>
  </w:style>
  <w:style w:type="character" w:customStyle="1" w:styleId="CommentTextChar">
    <w:name w:val="Comment Text Char"/>
    <w:basedOn w:val="DefaultParagraphFont"/>
    <w:link w:val="CommentText"/>
    <w:uiPriority w:val="99"/>
    <w:semiHidden/>
    <w:rsid w:val="00045825"/>
    <w:rPr>
      <w:lang w:val="en-US" w:eastAsia="en-US"/>
    </w:rPr>
  </w:style>
  <w:style w:type="paragraph" w:styleId="CommentSubject">
    <w:name w:val="annotation subject"/>
    <w:basedOn w:val="CommentText"/>
    <w:next w:val="CommentText"/>
    <w:link w:val="CommentSubjectChar"/>
    <w:uiPriority w:val="99"/>
    <w:semiHidden/>
    <w:unhideWhenUsed/>
    <w:rsid w:val="00045825"/>
    <w:rPr>
      <w:b/>
      <w:bCs/>
    </w:rPr>
  </w:style>
  <w:style w:type="character" w:customStyle="1" w:styleId="CommentSubjectChar">
    <w:name w:val="Comment Subject Char"/>
    <w:basedOn w:val="CommentTextChar"/>
    <w:link w:val="CommentSubject"/>
    <w:uiPriority w:val="99"/>
    <w:semiHidden/>
    <w:rsid w:val="00045825"/>
    <w:rPr>
      <w:b/>
      <w:bCs/>
    </w:rPr>
  </w:style>
  <w:style w:type="paragraph" w:styleId="BalloonText">
    <w:name w:val="Balloon Text"/>
    <w:basedOn w:val="Normal"/>
    <w:link w:val="BalloonTextChar"/>
    <w:uiPriority w:val="99"/>
    <w:semiHidden/>
    <w:unhideWhenUsed/>
    <w:rsid w:val="0004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25"/>
    <w:rPr>
      <w:rFonts w:ascii="Tahoma" w:hAnsi="Tahoma" w:cs="Tahoma"/>
      <w:sz w:val="16"/>
      <w:szCs w:val="16"/>
      <w:lang w:val="en-US" w:eastAsia="en-US"/>
    </w:rPr>
  </w:style>
  <w:style w:type="paragraph" w:customStyle="1" w:styleId="CM4">
    <w:name w:val="CM4"/>
    <w:basedOn w:val="Normal"/>
    <w:next w:val="Normal"/>
    <w:uiPriority w:val="99"/>
    <w:rsid w:val="00390043"/>
    <w:pPr>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5F480E"/>
    <w:pPr>
      <w:tabs>
        <w:tab w:val="center" w:pos="4513"/>
        <w:tab w:val="right" w:pos="9026"/>
      </w:tabs>
    </w:pPr>
  </w:style>
  <w:style w:type="character" w:customStyle="1" w:styleId="HeaderChar">
    <w:name w:val="Header Char"/>
    <w:basedOn w:val="DefaultParagraphFont"/>
    <w:link w:val="Header"/>
    <w:uiPriority w:val="99"/>
    <w:rsid w:val="005F480E"/>
    <w:rPr>
      <w:sz w:val="22"/>
      <w:szCs w:val="22"/>
      <w:lang w:val="en-US" w:eastAsia="en-US"/>
    </w:rPr>
  </w:style>
  <w:style w:type="paragraph" w:styleId="Footer">
    <w:name w:val="footer"/>
    <w:basedOn w:val="Normal"/>
    <w:link w:val="FooterChar"/>
    <w:uiPriority w:val="99"/>
    <w:unhideWhenUsed/>
    <w:rsid w:val="005F480E"/>
    <w:pPr>
      <w:tabs>
        <w:tab w:val="center" w:pos="4513"/>
        <w:tab w:val="right" w:pos="9026"/>
      </w:tabs>
    </w:pPr>
  </w:style>
  <w:style w:type="character" w:customStyle="1" w:styleId="FooterChar">
    <w:name w:val="Footer Char"/>
    <w:basedOn w:val="DefaultParagraphFont"/>
    <w:link w:val="Footer"/>
    <w:uiPriority w:val="99"/>
    <w:rsid w:val="005F480E"/>
    <w:rPr>
      <w:sz w:val="22"/>
      <w:szCs w:val="22"/>
      <w:lang w:val="en-US" w:eastAsia="en-US"/>
    </w:rPr>
  </w:style>
  <w:style w:type="character" w:customStyle="1" w:styleId="st">
    <w:name w:val="st"/>
    <w:basedOn w:val="DefaultParagraphFont"/>
    <w:rsid w:val="0065112E"/>
  </w:style>
  <w:style w:type="character" w:styleId="Emphasis">
    <w:name w:val="Emphasis"/>
    <w:basedOn w:val="DefaultParagraphFont"/>
    <w:uiPriority w:val="20"/>
    <w:qFormat/>
    <w:rsid w:val="0065112E"/>
    <w:rPr>
      <w:i/>
      <w:iCs/>
    </w:rPr>
  </w:style>
  <w:style w:type="paragraph" w:styleId="NormalWeb">
    <w:name w:val="Normal (Web)"/>
    <w:basedOn w:val="Normal"/>
    <w:uiPriority w:val="99"/>
    <w:unhideWhenUsed/>
    <w:rsid w:val="008501B7"/>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0E3528"/>
    <w:pPr>
      <w:ind w:left="720"/>
    </w:pPr>
  </w:style>
  <w:style w:type="paragraph" w:customStyle="1" w:styleId="naisnod">
    <w:name w:val="naisnod"/>
    <w:basedOn w:val="Normal"/>
    <w:rsid w:val="00E73502"/>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basedOn w:val="DefaultParagraphFont"/>
    <w:qFormat/>
    <w:rsid w:val="001A57EC"/>
    <w:rPr>
      <w:b/>
      <w:bCs/>
    </w:rPr>
  </w:style>
  <w:style w:type="paragraph" w:customStyle="1" w:styleId="Default">
    <w:name w:val="Default"/>
    <w:rsid w:val="00D42C4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1003454">
      <w:bodyDiv w:val="1"/>
      <w:marLeft w:val="0"/>
      <w:marRight w:val="0"/>
      <w:marTop w:val="0"/>
      <w:marBottom w:val="0"/>
      <w:divBdr>
        <w:top w:val="none" w:sz="0" w:space="0" w:color="auto"/>
        <w:left w:val="none" w:sz="0" w:space="0" w:color="auto"/>
        <w:bottom w:val="none" w:sz="0" w:space="0" w:color="auto"/>
        <w:right w:val="none" w:sz="0" w:space="0" w:color="auto"/>
      </w:divBdr>
    </w:div>
    <w:div w:id="274992315">
      <w:bodyDiv w:val="1"/>
      <w:marLeft w:val="0"/>
      <w:marRight w:val="0"/>
      <w:marTop w:val="0"/>
      <w:marBottom w:val="0"/>
      <w:divBdr>
        <w:top w:val="none" w:sz="0" w:space="0" w:color="auto"/>
        <w:left w:val="none" w:sz="0" w:space="0" w:color="auto"/>
        <w:bottom w:val="none" w:sz="0" w:space="0" w:color="auto"/>
        <w:right w:val="none" w:sz="0" w:space="0" w:color="auto"/>
      </w:divBdr>
    </w:div>
    <w:div w:id="347147708">
      <w:bodyDiv w:val="1"/>
      <w:marLeft w:val="0"/>
      <w:marRight w:val="0"/>
      <w:marTop w:val="0"/>
      <w:marBottom w:val="0"/>
      <w:divBdr>
        <w:top w:val="none" w:sz="0" w:space="0" w:color="auto"/>
        <w:left w:val="none" w:sz="0" w:space="0" w:color="auto"/>
        <w:bottom w:val="none" w:sz="0" w:space="0" w:color="auto"/>
        <w:right w:val="none" w:sz="0" w:space="0" w:color="auto"/>
      </w:divBdr>
      <w:divsChild>
        <w:div w:id="198786333">
          <w:marLeft w:val="0"/>
          <w:marRight w:val="0"/>
          <w:marTop w:val="0"/>
          <w:marBottom w:val="0"/>
          <w:divBdr>
            <w:top w:val="none" w:sz="0" w:space="0" w:color="auto"/>
            <w:left w:val="none" w:sz="0" w:space="0" w:color="auto"/>
            <w:bottom w:val="none" w:sz="0" w:space="0" w:color="auto"/>
            <w:right w:val="none" w:sz="0" w:space="0" w:color="auto"/>
          </w:divBdr>
        </w:div>
        <w:div w:id="247422751">
          <w:marLeft w:val="0"/>
          <w:marRight w:val="0"/>
          <w:marTop w:val="0"/>
          <w:marBottom w:val="0"/>
          <w:divBdr>
            <w:top w:val="none" w:sz="0" w:space="0" w:color="auto"/>
            <w:left w:val="none" w:sz="0" w:space="0" w:color="auto"/>
            <w:bottom w:val="none" w:sz="0" w:space="0" w:color="auto"/>
            <w:right w:val="none" w:sz="0" w:space="0" w:color="auto"/>
          </w:divBdr>
        </w:div>
        <w:div w:id="286398355">
          <w:marLeft w:val="0"/>
          <w:marRight w:val="0"/>
          <w:marTop w:val="0"/>
          <w:marBottom w:val="0"/>
          <w:divBdr>
            <w:top w:val="none" w:sz="0" w:space="0" w:color="auto"/>
            <w:left w:val="none" w:sz="0" w:space="0" w:color="auto"/>
            <w:bottom w:val="none" w:sz="0" w:space="0" w:color="auto"/>
            <w:right w:val="none" w:sz="0" w:space="0" w:color="auto"/>
          </w:divBdr>
        </w:div>
        <w:div w:id="714044148">
          <w:marLeft w:val="0"/>
          <w:marRight w:val="0"/>
          <w:marTop w:val="0"/>
          <w:marBottom w:val="0"/>
          <w:divBdr>
            <w:top w:val="none" w:sz="0" w:space="0" w:color="auto"/>
            <w:left w:val="none" w:sz="0" w:space="0" w:color="auto"/>
            <w:bottom w:val="none" w:sz="0" w:space="0" w:color="auto"/>
            <w:right w:val="none" w:sz="0" w:space="0" w:color="auto"/>
          </w:divBdr>
        </w:div>
        <w:div w:id="1067266236">
          <w:marLeft w:val="0"/>
          <w:marRight w:val="0"/>
          <w:marTop w:val="0"/>
          <w:marBottom w:val="0"/>
          <w:divBdr>
            <w:top w:val="none" w:sz="0" w:space="0" w:color="auto"/>
            <w:left w:val="none" w:sz="0" w:space="0" w:color="auto"/>
            <w:bottom w:val="none" w:sz="0" w:space="0" w:color="auto"/>
            <w:right w:val="none" w:sz="0" w:space="0" w:color="auto"/>
          </w:divBdr>
        </w:div>
        <w:div w:id="1717197603">
          <w:marLeft w:val="0"/>
          <w:marRight w:val="0"/>
          <w:marTop w:val="0"/>
          <w:marBottom w:val="0"/>
          <w:divBdr>
            <w:top w:val="none" w:sz="0" w:space="0" w:color="auto"/>
            <w:left w:val="none" w:sz="0" w:space="0" w:color="auto"/>
            <w:bottom w:val="none" w:sz="0" w:space="0" w:color="auto"/>
            <w:right w:val="none" w:sz="0" w:space="0" w:color="auto"/>
          </w:divBdr>
        </w:div>
        <w:div w:id="2077507098">
          <w:marLeft w:val="0"/>
          <w:marRight w:val="0"/>
          <w:marTop w:val="0"/>
          <w:marBottom w:val="0"/>
          <w:divBdr>
            <w:top w:val="none" w:sz="0" w:space="0" w:color="auto"/>
            <w:left w:val="none" w:sz="0" w:space="0" w:color="auto"/>
            <w:bottom w:val="none" w:sz="0" w:space="0" w:color="auto"/>
            <w:right w:val="none" w:sz="0" w:space="0" w:color="auto"/>
          </w:divBdr>
        </w:div>
      </w:divsChild>
    </w:div>
    <w:div w:id="464205118">
      <w:bodyDiv w:val="1"/>
      <w:marLeft w:val="0"/>
      <w:marRight w:val="0"/>
      <w:marTop w:val="0"/>
      <w:marBottom w:val="0"/>
      <w:divBdr>
        <w:top w:val="none" w:sz="0" w:space="0" w:color="auto"/>
        <w:left w:val="none" w:sz="0" w:space="0" w:color="auto"/>
        <w:bottom w:val="none" w:sz="0" w:space="0" w:color="auto"/>
        <w:right w:val="none" w:sz="0" w:space="0" w:color="auto"/>
      </w:divBdr>
    </w:div>
    <w:div w:id="543757826">
      <w:bodyDiv w:val="1"/>
      <w:marLeft w:val="0"/>
      <w:marRight w:val="0"/>
      <w:marTop w:val="0"/>
      <w:marBottom w:val="0"/>
      <w:divBdr>
        <w:top w:val="none" w:sz="0" w:space="0" w:color="auto"/>
        <w:left w:val="none" w:sz="0" w:space="0" w:color="auto"/>
        <w:bottom w:val="none" w:sz="0" w:space="0" w:color="auto"/>
        <w:right w:val="none" w:sz="0" w:space="0" w:color="auto"/>
      </w:divBdr>
    </w:div>
    <w:div w:id="693069332">
      <w:bodyDiv w:val="1"/>
      <w:marLeft w:val="0"/>
      <w:marRight w:val="0"/>
      <w:marTop w:val="0"/>
      <w:marBottom w:val="0"/>
      <w:divBdr>
        <w:top w:val="none" w:sz="0" w:space="0" w:color="auto"/>
        <w:left w:val="none" w:sz="0" w:space="0" w:color="auto"/>
        <w:bottom w:val="none" w:sz="0" w:space="0" w:color="auto"/>
        <w:right w:val="none" w:sz="0" w:space="0" w:color="auto"/>
      </w:divBdr>
    </w:div>
    <w:div w:id="810101345">
      <w:bodyDiv w:val="1"/>
      <w:marLeft w:val="0"/>
      <w:marRight w:val="0"/>
      <w:marTop w:val="0"/>
      <w:marBottom w:val="0"/>
      <w:divBdr>
        <w:top w:val="none" w:sz="0" w:space="0" w:color="auto"/>
        <w:left w:val="none" w:sz="0" w:space="0" w:color="auto"/>
        <w:bottom w:val="none" w:sz="0" w:space="0" w:color="auto"/>
        <w:right w:val="none" w:sz="0" w:space="0" w:color="auto"/>
      </w:divBdr>
    </w:div>
    <w:div w:id="955211998">
      <w:bodyDiv w:val="1"/>
      <w:marLeft w:val="0"/>
      <w:marRight w:val="0"/>
      <w:marTop w:val="0"/>
      <w:marBottom w:val="0"/>
      <w:divBdr>
        <w:top w:val="none" w:sz="0" w:space="0" w:color="auto"/>
        <w:left w:val="none" w:sz="0" w:space="0" w:color="auto"/>
        <w:bottom w:val="none" w:sz="0" w:space="0" w:color="auto"/>
        <w:right w:val="none" w:sz="0" w:space="0" w:color="auto"/>
      </w:divBdr>
      <w:divsChild>
        <w:div w:id="102842473">
          <w:marLeft w:val="0"/>
          <w:marRight w:val="0"/>
          <w:marTop w:val="0"/>
          <w:marBottom w:val="0"/>
          <w:divBdr>
            <w:top w:val="none" w:sz="0" w:space="0" w:color="auto"/>
            <w:left w:val="none" w:sz="0" w:space="0" w:color="auto"/>
            <w:bottom w:val="none" w:sz="0" w:space="0" w:color="auto"/>
            <w:right w:val="none" w:sz="0" w:space="0" w:color="auto"/>
          </w:divBdr>
        </w:div>
        <w:div w:id="305667488">
          <w:marLeft w:val="0"/>
          <w:marRight w:val="0"/>
          <w:marTop w:val="0"/>
          <w:marBottom w:val="0"/>
          <w:divBdr>
            <w:top w:val="none" w:sz="0" w:space="0" w:color="auto"/>
            <w:left w:val="none" w:sz="0" w:space="0" w:color="auto"/>
            <w:bottom w:val="none" w:sz="0" w:space="0" w:color="auto"/>
            <w:right w:val="none" w:sz="0" w:space="0" w:color="auto"/>
          </w:divBdr>
        </w:div>
        <w:div w:id="452477848">
          <w:marLeft w:val="0"/>
          <w:marRight w:val="0"/>
          <w:marTop w:val="0"/>
          <w:marBottom w:val="0"/>
          <w:divBdr>
            <w:top w:val="none" w:sz="0" w:space="0" w:color="auto"/>
            <w:left w:val="none" w:sz="0" w:space="0" w:color="auto"/>
            <w:bottom w:val="none" w:sz="0" w:space="0" w:color="auto"/>
            <w:right w:val="none" w:sz="0" w:space="0" w:color="auto"/>
          </w:divBdr>
        </w:div>
        <w:div w:id="1166825912">
          <w:marLeft w:val="0"/>
          <w:marRight w:val="0"/>
          <w:marTop w:val="0"/>
          <w:marBottom w:val="0"/>
          <w:divBdr>
            <w:top w:val="none" w:sz="0" w:space="0" w:color="auto"/>
            <w:left w:val="none" w:sz="0" w:space="0" w:color="auto"/>
            <w:bottom w:val="none" w:sz="0" w:space="0" w:color="auto"/>
            <w:right w:val="none" w:sz="0" w:space="0" w:color="auto"/>
          </w:divBdr>
        </w:div>
        <w:div w:id="1589388313">
          <w:marLeft w:val="0"/>
          <w:marRight w:val="0"/>
          <w:marTop w:val="0"/>
          <w:marBottom w:val="0"/>
          <w:divBdr>
            <w:top w:val="none" w:sz="0" w:space="0" w:color="auto"/>
            <w:left w:val="none" w:sz="0" w:space="0" w:color="auto"/>
            <w:bottom w:val="none" w:sz="0" w:space="0" w:color="auto"/>
            <w:right w:val="none" w:sz="0" w:space="0" w:color="auto"/>
          </w:divBdr>
        </w:div>
        <w:div w:id="1614701757">
          <w:marLeft w:val="0"/>
          <w:marRight w:val="0"/>
          <w:marTop w:val="0"/>
          <w:marBottom w:val="0"/>
          <w:divBdr>
            <w:top w:val="none" w:sz="0" w:space="0" w:color="auto"/>
            <w:left w:val="none" w:sz="0" w:space="0" w:color="auto"/>
            <w:bottom w:val="none" w:sz="0" w:space="0" w:color="auto"/>
            <w:right w:val="none" w:sz="0" w:space="0" w:color="auto"/>
          </w:divBdr>
        </w:div>
        <w:div w:id="1747918262">
          <w:marLeft w:val="0"/>
          <w:marRight w:val="0"/>
          <w:marTop w:val="0"/>
          <w:marBottom w:val="0"/>
          <w:divBdr>
            <w:top w:val="none" w:sz="0" w:space="0" w:color="auto"/>
            <w:left w:val="none" w:sz="0" w:space="0" w:color="auto"/>
            <w:bottom w:val="none" w:sz="0" w:space="0" w:color="auto"/>
            <w:right w:val="none" w:sz="0" w:space="0" w:color="auto"/>
          </w:divBdr>
        </w:div>
      </w:divsChild>
    </w:div>
    <w:div w:id="1231694977">
      <w:bodyDiv w:val="1"/>
      <w:marLeft w:val="0"/>
      <w:marRight w:val="0"/>
      <w:marTop w:val="0"/>
      <w:marBottom w:val="0"/>
      <w:divBdr>
        <w:top w:val="none" w:sz="0" w:space="0" w:color="auto"/>
        <w:left w:val="none" w:sz="0" w:space="0" w:color="auto"/>
        <w:bottom w:val="none" w:sz="0" w:space="0" w:color="auto"/>
        <w:right w:val="none" w:sz="0" w:space="0" w:color="auto"/>
      </w:divBdr>
    </w:div>
    <w:div w:id="1265310356">
      <w:bodyDiv w:val="1"/>
      <w:marLeft w:val="0"/>
      <w:marRight w:val="0"/>
      <w:marTop w:val="0"/>
      <w:marBottom w:val="0"/>
      <w:divBdr>
        <w:top w:val="none" w:sz="0" w:space="0" w:color="auto"/>
        <w:left w:val="none" w:sz="0" w:space="0" w:color="auto"/>
        <w:bottom w:val="none" w:sz="0" w:space="0" w:color="auto"/>
        <w:right w:val="none" w:sz="0" w:space="0" w:color="auto"/>
      </w:divBdr>
    </w:div>
    <w:div w:id="1450319478">
      <w:bodyDiv w:val="1"/>
      <w:marLeft w:val="0"/>
      <w:marRight w:val="0"/>
      <w:marTop w:val="0"/>
      <w:marBottom w:val="0"/>
      <w:divBdr>
        <w:top w:val="none" w:sz="0" w:space="0" w:color="auto"/>
        <w:left w:val="none" w:sz="0" w:space="0" w:color="auto"/>
        <w:bottom w:val="none" w:sz="0" w:space="0" w:color="auto"/>
        <w:right w:val="none" w:sz="0" w:space="0" w:color="auto"/>
      </w:divBdr>
    </w:div>
    <w:div w:id="1665165818">
      <w:bodyDiv w:val="1"/>
      <w:marLeft w:val="0"/>
      <w:marRight w:val="0"/>
      <w:marTop w:val="0"/>
      <w:marBottom w:val="0"/>
      <w:divBdr>
        <w:top w:val="none" w:sz="0" w:space="0" w:color="auto"/>
        <w:left w:val="none" w:sz="0" w:space="0" w:color="auto"/>
        <w:bottom w:val="none" w:sz="0" w:space="0" w:color="auto"/>
        <w:right w:val="none" w:sz="0" w:space="0" w:color="auto"/>
      </w:divBdr>
      <w:divsChild>
        <w:div w:id="781803206">
          <w:marLeft w:val="0"/>
          <w:marRight w:val="0"/>
          <w:marTop w:val="0"/>
          <w:marBottom w:val="0"/>
          <w:divBdr>
            <w:top w:val="none" w:sz="0" w:space="0" w:color="auto"/>
            <w:left w:val="none" w:sz="0" w:space="0" w:color="auto"/>
            <w:bottom w:val="none" w:sz="0" w:space="0" w:color="auto"/>
            <w:right w:val="none" w:sz="0" w:space="0" w:color="auto"/>
          </w:divBdr>
        </w:div>
        <w:div w:id="2047943502">
          <w:marLeft w:val="0"/>
          <w:marRight w:val="0"/>
          <w:marTop w:val="0"/>
          <w:marBottom w:val="0"/>
          <w:divBdr>
            <w:top w:val="none" w:sz="0" w:space="0" w:color="auto"/>
            <w:left w:val="none" w:sz="0" w:space="0" w:color="auto"/>
            <w:bottom w:val="none" w:sz="0" w:space="0" w:color="auto"/>
            <w:right w:val="none" w:sz="0" w:space="0" w:color="auto"/>
          </w:divBdr>
        </w:div>
        <w:div w:id="2133865957">
          <w:marLeft w:val="0"/>
          <w:marRight w:val="0"/>
          <w:marTop w:val="0"/>
          <w:marBottom w:val="0"/>
          <w:divBdr>
            <w:top w:val="none" w:sz="0" w:space="0" w:color="auto"/>
            <w:left w:val="none" w:sz="0" w:space="0" w:color="auto"/>
            <w:bottom w:val="none" w:sz="0" w:space="0" w:color="auto"/>
            <w:right w:val="none" w:sz="0" w:space="0" w:color="auto"/>
          </w:divBdr>
        </w:div>
      </w:divsChild>
    </w:div>
    <w:div w:id="1891762220">
      <w:bodyDiv w:val="1"/>
      <w:marLeft w:val="0"/>
      <w:marRight w:val="0"/>
      <w:marTop w:val="0"/>
      <w:marBottom w:val="0"/>
      <w:divBdr>
        <w:top w:val="none" w:sz="0" w:space="0" w:color="auto"/>
        <w:left w:val="none" w:sz="0" w:space="0" w:color="auto"/>
        <w:bottom w:val="none" w:sz="0" w:space="0" w:color="auto"/>
        <w:right w:val="none" w:sz="0" w:space="0" w:color="auto"/>
      </w:divBdr>
    </w:div>
    <w:div w:id="1905405656">
      <w:bodyDiv w:val="1"/>
      <w:marLeft w:val="0"/>
      <w:marRight w:val="0"/>
      <w:marTop w:val="0"/>
      <w:marBottom w:val="0"/>
      <w:divBdr>
        <w:top w:val="none" w:sz="0" w:space="0" w:color="auto"/>
        <w:left w:val="none" w:sz="0" w:space="0" w:color="auto"/>
        <w:bottom w:val="none" w:sz="0" w:space="0" w:color="auto"/>
        <w:right w:val="none" w:sz="0" w:space="0" w:color="auto"/>
      </w:divBdr>
    </w:div>
    <w:div w:id="2014720372">
      <w:bodyDiv w:val="1"/>
      <w:marLeft w:val="0"/>
      <w:marRight w:val="0"/>
      <w:marTop w:val="0"/>
      <w:marBottom w:val="0"/>
      <w:divBdr>
        <w:top w:val="none" w:sz="0" w:space="0" w:color="auto"/>
        <w:left w:val="none" w:sz="0" w:space="0" w:color="auto"/>
        <w:bottom w:val="none" w:sz="0" w:space="0" w:color="auto"/>
        <w:right w:val="none" w:sz="0" w:space="0" w:color="auto"/>
      </w:divBdr>
    </w:div>
    <w:div w:id="2030567762">
      <w:bodyDiv w:val="1"/>
      <w:marLeft w:val="0"/>
      <w:marRight w:val="0"/>
      <w:marTop w:val="0"/>
      <w:marBottom w:val="0"/>
      <w:divBdr>
        <w:top w:val="none" w:sz="0" w:space="0" w:color="auto"/>
        <w:left w:val="none" w:sz="0" w:space="0" w:color="auto"/>
        <w:bottom w:val="none" w:sz="0" w:space="0" w:color="auto"/>
        <w:right w:val="none" w:sz="0" w:space="0" w:color="auto"/>
      </w:divBdr>
    </w:div>
    <w:div w:id="20528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695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mite.Pengerote@zv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Studere@zv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lvija.Riekstina@vm.gov.lv" TargetMode="External"/><Relationship Id="rId4" Type="http://schemas.openxmlformats.org/officeDocument/2006/relationships/settings" Target="settings.xml"/><Relationship Id="rId9" Type="http://schemas.openxmlformats.org/officeDocument/2006/relationships/hyperlink" Target="http://pro.nais.lv/naiser/esdoc.cfm?esid=32001L008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BAFC-82C0-45F1-88AA-5A475980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15</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Farmakovigilances kārtība</vt:lpstr>
    </vt:vector>
  </TitlesOfParts>
  <Company>Veselības ministrija</Company>
  <LinksUpToDate>false</LinksUpToDate>
  <CharactersWithSpaces>26799</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7012418</vt:i4>
      </vt:variant>
      <vt:variant>
        <vt:i4>9</vt:i4>
      </vt:variant>
      <vt:variant>
        <vt:i4>0</vt:i4>
      </vt:variant>
      <vt:variant>
        <vt:i4>5</vt:i4>
      </vt:variant>
      <vt:variant>
        <vt:lpwstr>mailto:Inese.Studere@zva.gov.lv</vt:lpwstr>
      </vt:variant>
      <vt:variant>
        <vt:lpwstr/>
      </vt:variant>
      <vt:variant>
        <vt:i4>7733337</vt:i4>
      </vt:variant>
      <vt:variant>
        <vt:i4>6</vt:i4>
      </vt:variant>
      <vt:variant>
        <vt:i4>0</vt:i4>
      </vt:variant>
      <vt:variant>
        <vt:i4>5</vt:i4>
      </vt:variant>
      <vt:variant>
        <vt:lpwstr>mailto:Silvija.Riekstina@vm.gov.lv</vt:lpwstr>
      </vt:variant>
      <vt:variant>
        <vt:lpwstr/>
      </vt:variant>
      <vt:variant>
        <vt:i4>6291559</vt:i4>
      </vt:variant>
      <vt:variant>
        <vt:i4>3</vt:i4>
      </vt:variant>
      <vt:variant>
        <vt:i4>0</vt:i4>
      </vt:variant>
      <vt:variant>
        <vt:i4>5</vt:i4>
      </vt:variant>
      <vt:variant>
        <vt:lpwstr>http://pro.nais.lv/naiser/esdoc.cfm?esid=32001L0083</vt:lpwstr>
      </vt:variant>
      <vt:variant>
        <vt:lpwstr/>
      </vt:variant>
      <vt:variant>
        <vt:i4>4784152</vt:i4>
      </vt:variant>
      <vt:variant>
        <vt:i4>0</vt:i4>
      </vt:variant>
      <vt:variant>
        <vt:i4>0</vt:i4>
      </vt:variant>
      <vt:variant>
        <vt:i4>5</vt:i4>
      </vt:variant>
      <vt:variant>
        <vt:lpwstr>http://www.likumi.lv/doc.php?id=56959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Farmakovigilances kārtība</dc:title>
  <dc:subject>Ministru kabineta noteikumu projekts</dc:subject>
  <dc:creator>Silvija Riekstiņa</dc:creator>
  <cp:keywords/>
  <dc:description>silvija.riekstina@vm.gov.lv; 67876115</dc:description>
  <cp:lastModifiedBy>sriekstina</cp:lastModifiedBy>
  <cp:revision>38</cp:revision>
  <cp:lastPrinted>2012-11-02T08:29:00Z</cp:lastPrinted>
  <dcterms:created xsi:type="dcterms:W3CDTF">2012-10-03T06:13:00Z</dcterms:created>
  <dcterms:modified xsi:type="dcterms:W3CDTF">2012-11-21T16:18:00Z</dcterms:modified>
</cp:coreProperties>
</file>