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15600" w14:textId="77777777" w:rsidR="009479EC" w:rsidRPr="004751F5" w:rsidRDefault="009479EC" w:rsidP="00116EF4">
      <w:pPr>
        <w:ind w:firstLine="720"/>
        <w:jc w:val="right"/>
        <w:rPr>
          <w:sz w:val="28"/>
          <w:szCs w:val="28"/>
        </w:rPr>
      </w:pPr>
      <w:r w:rsidRPr="004751F5">
        <w:rPr>
          <w:sz w:val="28"/>
          <w:szCs w:val="28"/>
        </w:rPr>
        <w:t>Pielikums</w:t>
      </w:r>
    </w:p>
    <w:p w14:paraId="3277C421" w14:textId="77777777" w:rsidR="00116EF4" w:rsidRDefault="009479EC" w:rsidP="00116EF4">
      <w:pPr>
        <w:ind w:firstLine="720"/>
        <w:jc w:val="right"/>
        <w:rPr>
          <w:sz w:val="28"/>
          <w:szCs w:val="28"/>
        </w:rPr>
      </w:pPr>
      <w:r w:rsidRPr="004751F5">
        <w:rPr>
          <w:sz w:val="28"/>
          <w:szCs w:val="28"/>
        </w:rPr>
        <w:t xml:space="preserve">Ministru kabineta </w:t>
      </w:r>
    </w:p>
    <w:p w14:paraId="55648E37" w14:textId="28849681" w:rsidR="00116EF4" w:rsidRPr="00D64AB0" w:rsidRDefault="00116EF4" w:rsidP="00116EF4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D64AB0">
        <w:rPr>
          <w:sz w:val="28"/>
          <w:szCs w:val="28"/>
        </w:rPr>
        <w:t xml:space="preserve">.gada </w:t>
      </w:r>
      <w:r w:rsidR="00654784">
        <w:rPr>
          <w:sz w:val="28"/>
          <w:szCs w:val="28"/>
        </w:rPr>
        <w:t>27.august</w:t>
      </w:r>
      <w:r w:rsidR="00654784">
        <w:rPr>
          <w:sz w:val="28"/>
          <w:szCs w:val="28"/>
        </w:rPr>
        <w:t>a</w:t>
      </w:r>
    </w:p>
    <w:p w14:paraId="0DB0C2BB" w14:textId="7E26BFB5" w:rsidR="00116EF4" w:rsidRPr="00D64AB0" w:rsidRDefault="00116EF4" w:rsidP="00116EF4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="00654784">
        <w:rPr>
          <w:sz w:val="28"/>
          <w:szCs w:val="28"/>
        </w:rPr>
        <w:t>675</w:t>
      </w:r>
      <w:bookmarkStart w:id="0" w:name="_GoBack"/>
      <w:bookmarkEnd w:id="0"/>
    </w:p>
    <w:p w14:paraId="45F15603" w14:textId="77777777" w:rsidR="009479EC" w:rsidRPr="004751F5" w:rsidRDefault="009479EC" w:rsidP="00116EF4">
      <w:pPr>
        <w:rPr>
          <w:sz w:val="28"/>
          <w:szCs w:val="28"/>
        </w:rPr>
      </w:pPr>
    </w:p>
    <w:p w14:paraId="45F15604" w14:textId="77777777" w:rsidR="009479EC" w:rsidRPr="004751F5" w:rsidRDefault="009479EC" w:rsidP="00116EF4">
      <w:pPr>
        <w:jc w:val="center"/>
        <w:rPr>
          <w:b/>
          <w:bCs/>
          <w:sz w:val="28"/>
          <w:szCs w:val="28"/>
        </w:rPr>
      </w:pPr>
      <w:r w:rsidRPr="004751F5">
        <w:rPr>
          <w:b/>
          <w:sz w:val="28"/>
          <w:szCs w:val="28"/>
        </w:rPr>
        <w:t xml:space="preserve">Veselības inspekcijas </w:t>
      </w:r>
      <w:r w:rsidRPr="004751F5">
        <w:rPr>
          <w:b/>
          <w:bCs/>
          <w:sz w:val="28"/>
          <w:szCs w:val="28"/>
        </w:rPr>
        <w:t>maksas pakalpojumu cenrādis</w:t>
      </w:r>
    </w:p>
    <w:p w14:paraId="45F15605" w14:textId="77777777" w:rsidR="004B63EE" w:rsidRPr="004751F5" w:rsidRDefault="004B63EE" w:rsidP="00116EF4">
      <w:pPr>
        <w:ind w:firstLine="720"/>
        <w:jc w:val="both"/>
        <w:rPr>
          <w:b/>
          <w:bCs/>
          <w:sz w:val="28"/>
          <w:szCs w:val="28"/>
        </w:rPr>
      </w:pPr>
    </w:p>
    <w:tbl>
      <w:tblPr>
        <w:tblW w:w="9594" w:type="dxa"/>
        <w:jc w:val="center"/>
        <w:tblInd w:w="94" w:type="dxa"/>
        <w:tblLook w:val="04A0" w:firstRow="1" w:lastRow="0" w:firstColumn="1" w:lastColumn="0" w:noHBand="0" w:noVBand="1"/>
      </w:tblPr>
      <w:tblGrid>
        <w:gridCol w:w="936"/>
        <w:gridCol w:w="3944"/>
        <w:gridCol w:w="1560"/>
        <w:gridCol w:w="1157"/>
        <w:gridCol w:w="969"/>
        <w:gridCol w:w="1028"/>
      </w:tblGrid>
      <w:tr w:rsidR="00DB0855" w:rsidRPr="004751F5" w14:paraId="45F1560C" w14:textId="77777777" w:rsidTr="00972AA9">
        <w:trPr>
          <w:trHeight w:val="126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5606" w14:textId="7382B76E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Nr.</w:t>
            </w:r>
            <w:r w:rsidR="00116EF4" w:rsidRPr="00E240E6">
              <w:rPr>
                <w:color w:val="000000"/>
                <w:lang w:eastAsia="en-US"/>
              </w:rPr>
              <w:br/>
            </w:r>
            <w:r w:rsidRPr="00E240E6">
              <w:rPr>
                <w:color w:val="000000"/>
                <w:lang w:eastAsia="en-US"/>
              </w:rPr>
              <w:t>p.k.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5607" w14:textId="77777777" w:rsidR="00DB0855" w:rsidRPr="00E240E6" w:rsidRDefault="00DB0855" w:rsidP="00E240E6">
            <w:pPr>
              <w:jc w:val="center"/>
              <w:rPr>
                <w:bCs/>
                <w:color w:val="000000"/>
                <w:lang w:eastAsia="en-US"/>
              </w:rPr>
            </w:pPr>
            <w:r w:rsidRPr="00E240E6">
              <w:rPr>
                <w:bCs/>
                <w:color w:val="000000"/>
                <w:lang w:eastAsia="en-US"/>
              </w:rPr>
              <w:t>Pakalpojuma veids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5608" w14:textId="77777777" w:rsidR="00DB0855" w:rsidRPr="00E240E6" w:rsidRDefault="00DB0855" w:rsidP="00E240E6">
            <w:pPr>
              <w:jc w:val="center"/>
              <w:rPr>
                <w:bCs/>
                <w:color w:val="000000"/>
                <w:lang w:eastAsia="en-US"/>
              </w:rPr>
            </w:pPr>
            <w:r w:rsidRPr="00E240E6">
              <w:rPr>
                <w:bCs/>
                <w:color w:val="000000"/>
                <w:lang w:eastAsia="en-US"/>
              </w:rPr>
              <w:t>Mērvienība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5609" w14:textId="6D68B9E1" w:rsidR="00DB0855" w:rsidRPr="00E240E6" w:rsidRDefault="00DB0855" w:rsidP="00E240E6">
            <w:pPr>
              <w:jc w:val="center"/>
              <w:rPr>
                <w:bCs/>
                <w:color w:val="000000"/>
                <w:lang w:eastAsia="en-US"/>
              </w:rPr>
            </w:pPr>
            <w:r w:rsidRPr="00E240E6">
              <w:rPr>
                <w:bCs/>
                <w:color w:val="000000"/>
                <w:lang w:eastAsia="en-US"/>
              </w:rPr>
              <w:t>Cena bez PVN (</w:t>
            </w:r>
            <w:proofErr w:type="spellStart"/>
            <w:r w:rsidRPr="00E240E6">
              <w:rPr>
                <w:bCs/>
                <w:i/>
                <w:color w:val="000000"/>
                <w:lang w:eastAsia="en-US"/>
              </w:rPr>
              <w:t>euro</w:t>
            </w:r>
            <w:proofErr w:type="spellEnd"/>
            <w:r w:rsidRPr="00E240E6">
              <w:rPr>
                <w:bCs/>
                <w:i/>
                <w:color w:val="000000"/>
                <w:lang w:eastAsia="en-US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560A" w14:textId="65AFEB5D" w:rsidR="00DB0855" w:rsidRPr="00E240E6" w:rsidRDefault="00DB0855" w:rsidP="00E240E6">
            <w:pPr>
              <w:jc w:val="center"/>
              <w:rPr>
                <w:bCs/>
                <w:color w:val="000000"/>
                <w:lang w:eastAsia="en-US"/>
              </w:rPr>
            </w:pPr>
            <w:r w:rsidRPr="00E240E6">
              <w:rPr>
                <w:bCs/>
                <w:color w:val="000000"/>
                <w:lang w:eastAsia="en-US"/>
              </w:rPr>
              <w:t>PVN (</w:t>
            </w:r>
            <w:proofErr w:type="spellStart"/>
            <w:r w:rsidRPr="00E240E6">
              <w:rPr>
                <w:bCs/>
                <w:i/>
                <w:color w:val="000000"/>
                <w:lang w:eastAsia="en-US"/>
              </w:rPr>
              <w:t>euro</w:t>
            </w:r>
            <w:proofErr w:type="spellEnd"/>
            <w:r w:rsidRPr="00E240E6">
              <w:rPr>
                <w:bCs/>
                <w:color w:val="000000"/>
                <w:lang w:eastAsia="en-US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560B" w14:textId="77777777" w:rsidR="00DB0855" w:rsidRPr="00E240E6" w:rsidRDefault="00DB0855" w:rsidP="00E240E6">
            <w:pPr>
              <w:jc w:val="center"/>
              <w:rPr>
                <w:bCs/>
                <w:color w:val="000000"/>
                <w:lang w:eastAsia="en-US"/>
              </w:rPr>
            </w:pPr>
            <w:r w:rsidRPr="00E240E6">
              <w:rPr>
                <w:bCs/>
                <w:color w:val="000000"/>
                <w:lang w:eastAsia="en-US"/>
              </w:rPr>
              <w:t>Cena ar PVN (</w:t>
            </w:r>
            <w:proofErr w:type="spellStart"/>
            <w:r w:rsidRPr="00E240E6">
              <w:rPr>
                <w:bCs/>
                <w:i/>
                <w:color w:val="000000"/>
                <w:lang w:eastAsia="en-US"/>
              </w:rPr>
              <w:t>euro</w:t>
            </w:r>
            <w:proofErr w:type="spellEnd"/>
            <w:r w:rsidRPr="00E240E6">
              <w:rPr>
                <w:bCs/>
                <w:color w:val="000000"/>
                <w:lang w:eastAsia="en-US"/>
              </w:rPr>
              <w:t>)</w:t>
            </w:r>
          </w:p>
        </w:tc>
      </w:tr>
      <w:tr w:rsidR="00DB0855" w:rsidRPr="004751F5" w14:paraId="45F1560F" w14:textId="77777777" w:rsidTr="00972AA9">
        <w:trPr>
          <w:trHeight w:val="102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5F1560D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1.</w:t>
            </w:r>
          </w:p>
        </w:tc>
        <w:tc>
          <w:tcPr>
            <w:tcW w:w="8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1560E" w14:textId="08ED6A60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Nosacījumu sagatavošana higiēnas prasību ievērošanai projektēšanas stadijā (pakalpojums nav obligāts saskaņā ar normatīvajiem aktiem un tiek sniegts pēc būvniecības ierosinātāja brīvprātīga pieprasījuma, ja tiek paredzētas atkāpes no normatīvajos aktos note</w:t>
            </w:r>
            <w:r w:rsidR="00D77C70" w:rsidRPr="00E240E6">
              <w:rPr>
                <w:color w:val="000000"/>
                <w:lang w:eastAsia="en-US"/>
              </w:rPr>
              <w:t>i</w:t>
            </w:r>
            <w:r w:rsidRPr="00E240E6">
              <w:rPr>
                <w:color w:val="000000"/>
                <w:lang w:eastAsia="en-US"/>
              </w:rPr>
              <w:t>ktajām higiēnas prasībām)</w:t>
            </w:r>
          </w:p>
        </w:tc>
      </w:tr>
      <w:tr w:rsidR="00DB0855" w:rsidRPr="004751F5" w14:paraId="45F15616" w14:textId="77777777" w:rsidTr="00972AA9">
        <w:trPr>
          <w:trHeight w:val="63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610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1.1.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11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vienģimenes mājai, vasarnīcai, zemnieku saimniecībai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12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higiēnas uzdevums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15613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18,55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15614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3,89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15615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22,44</w:t>
            </w:r>
          </w:p>
        </w:tc>
      </w:tr>
      <w:tr w:rsidR="00DB0855" w:rsidRPr="004751F5" w14:paraId="45F1561D" w14:textId="77777777" w:rsidTr="00972AA9">
        <w:trPr>
          <w:trHeight w:val="63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617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1.2.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18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daudzdzīvokļu mājai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19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higiēnas uzdevums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1A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28,45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1561B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5,97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1C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34,42</w:t>
            </w:r>
          </w:p>
        </w:tc>
      </w:tr>
      <w:tr w:rsidR="00DB0855" w:rsidRPr="004751F5" w14:paraId="45F15624" w14:textId="77777777" w:rsidTr="00972AA9">
        <w:trPr>
          <w:trHeight w:val="63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61E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1.3.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1F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publiskai ēkai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20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higiēnas uzdevums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21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35,21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15622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7,39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23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42,60</w:t>
            </w:r>
          </w:p>
        </w:tc>
      </w:tr>
      <w:tr w:rsidR="00DB0855" w:rsidRPr="004751F5" w14:paraId="45F1562B" w14:textId="77777777" w:rsidTr="00972AA9">
        <w:trPr>
          <w:trHeight w:val="63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625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1.4.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26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ražošanas objektam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27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higiēnas uzdevums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28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53,36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15629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11,21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2A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64,57</w:t>
            </w:r>
          </w:p>
        </w:tc>
      </w:tr>
      <w:tr w:rsidR="00DB0855" w:rsidRPr="004751F5" w14:paraId="45F15632" w14:textId="77777777" w:rsidTr="00972AA9">
        <w:trPr>
          <w:trHeight w:val="630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62C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1.5.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2D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inženierbūvei (arī autostāvvietai)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2E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higiēnas uzdevums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2F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34,24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15630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7,19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31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41,43</w:t>
            </w:r>
          </w:p>
        </w:tc>
      </w:tr>
      <w:tr w:rsidR="00DB0855" w:rsidRPr="004751F5" w14:paraId="45F15635" w14:textId="77777777" w:rsidTr="00972AA9">
        <w:trPr>
          <w:trHeight w:val="34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633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2.</w:t>
            </w:r>
          </w:p>
        </w:tc>
        <w:tc>
          <w:tcPr>
            <w:tcW w:w="8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34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Projekta higiēnas prasību ievērošanas novērtēšana (saskaņojot atkāpes no būvniecību reglamentējošo normatīvo aktu tehniskajām prasībām)*</w:t>
            </w:r>
          </w:p>
        </w:tc>
      </w:tr>
      <w:tr w:rsidR="00DB0855" w:rsidRPr="004751F5" w14:paraId="45F1563C" w14:textId="77777777" w:rsidTr="00D95C26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F15636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2.1.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37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daudzstāvu daudzdzīvokļu dzīvojamam namam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38" w14:textId="77777777" w:rsidR="00DB0855" w:rsidRPr="00E240E6" w:rsidRDefault="00DB0855" w:rsidP="00116EF4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atzinums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39" w14:textId="77777777" w:rsidR="00DB0855" w:rsidRPr="00E240E6" w:rsidRDefault="00DB0855" w:rsidP="00D95C2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133,75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3A" w14:textId="4A5E0D5B" w:rsidR="00DB0855" w:rsidRPr="00E240E6" w:rsidRDefault="00DB0855" w:rsidP="00D95C2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0</w:t>
            </w:r>
            <w:r w:rsidR="007A4DE5">
              <w:rPr>
                <w:color w:val="000000"/>
                <w:lang w:eastAsia="en-US"/>
              </w:rPr>
              <w:t>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3B" w14:textId="77777777" w:rsidR="00DB0855" w:rsidRPr="00E240E6" w:rsidRDefault="00DB0855" w:rsidP="00D95C2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133,75</w:t>
            </w:r>
          </w:p>
        </w:tc>
      </w:tr>
      <w:tr w:rsidR="00DB0855" w:rsidRPr="004751F5" w14:paraId="45F1563F" w14:textId="77777777" w:rsidTr="00972AA9">
        <w:trPr>
          <w:trHeight w:val="300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63D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2.2.</w:t>
            </w:r>
          </w:p>
        </w:tc>
        <w:tc>
          <w:tcPr>
            <w:tcW w:w="8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3E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publiskai ēkai (objektiem, kam normatīvajos aktos ir noteiktas higiēnas prasības)</w:t>
            </w:r>
          </w:p>
        </w:tc>
      </w:tr>
      <w:tr w:rsidR="00DB0855" w:rsidRPr="004751F5" w14:paraId="45F15646" w14:textId="77777777" w:rsidTr="00972AA9">
        <w:trPr>
          <w:trHeight w:val="375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640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2.2.1.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41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ar platību līdz 500 m</w:t>
            </w:r>
            <w:r w:rsidRPr="00E240E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42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atzinums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43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56,90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15644" w14:textId="215D01DC" w:rsidR="00DB0855" w:rsidRPr="00E240E6" w:rsidRDefault="007A4DE5" w:rsidP="00E240E6">
            <w:pPr>
              <w:jc w:val="center"/>
              <w:rPr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15645" w14:textId="77777777" w:rsidR="00DB0855" w:rsidRPr="00E240E6" w:rsidRDefault="00DB0855" w:rsidP="00E240E6">
            <w:pPr>
              <w:jc w:val="center"/>
              <w:rPr>
                <w:lang w:eastAsia="en-US"/>
              </w:rPr>
            </w:pPr>
            <w:r w:rsidRPr="00E240E6">
              <w:rPr>
                <w:lang w:eastAsia="en-US"/>
              </w:rPr>
              <w:t>56,90</w:t>
            </w:r>
          </w:p>
        </w:tc>
      </w:tr>
      <w:tr w:rsidR="00DB0855" w:rsidRPr="004751F5" w14:paraId="45F1564D" w14:textId="77777777" w:rsidTr="00972AA9">
        <w:trPr>
          <w:trHeight w:val="375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647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2.2.2.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48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ar platību no 501 m</w:t>
            </w:r>
            <w:r w:rsidRPr="00E240E6">
              <w:rPr>
                <w:vertAlign w:val="superscript"/>
                <w:lang w:eastAsia="en-US"/>
              </w:rPr>
              <w:t>2</w:t>
            </w:r>
            <w:r w:rsidRPr="00E240E6">
              <w:rPr>
                <w:color w:val="000000"/>
                <w:lang w:eastAsia="en-US"/>
              </w:rPr>
              <w:t xml:space="preserve"> līdz 1 000 m</w:t>
            </w:r>
            <w:r w:rsidRPr="00E240E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49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atzinums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1564A" w14:textId="77777777" w:rsidR="00DB0855" w:rsidRPr="00E240E6" w:rsidRDefault="00DB0855" w:rsidP="00E240E6">
            <w:pPr>
              <w:jc w:val="center"/>
              <w:rPr>
                <w:lang w:eastAsia="en-US"/>
              </w:rPr>
            </w:pPr>
            <w:r w:rsidRPr="00E240E6">
              <w:rPr>
                <w:lang w:eastAsia="en-US"/>
              </w:rPr>
              <w:t>97,41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1564B" w14:textId="5CEC21D2" w:rsidR="00DB0855" w:rsidRPr="00E240E6" w:rsidRDefault="007A4DE5" w:rsidP="00E240E6">
            <w:pPr>
              <w:jc w:val="center"/>
              <w:rPr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1564C" w14:textId="77777777" w:rsidR="00DB0855" w:rsidRPr="00E240E6" w:rsidRDefault="00DB0855" w:rsidP="00E240E6">
            <w:pPr>
              <w:jc w:val="center"/>
              <w:rPr>
                <w:lang w:eastAsia="en-US"/>
              </w:rPr>
            </w:pPr>
            <w:r w:rsidRPr="00E240E6">
              <w:rPr>
                <w:lang w:eastAsia="en-US"/>
              </w:rPr>
              <w:t>97,41</w:t>
            </w:r>
          </w:p>
        </w:tc>
      </w:tr>
      <w:tr w:rsidR="00DB0855" w:rsidRPr="004751F5" w14:paraId="45F15654" w14:textId="77777777" w:rsidTr="00972AA9">
        <w:trPr>
          <w:trHeight w:val="375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64E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2.2.3.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4F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ar platību no 1 001 m</w:t>
            </w:r>
            <w:r w:rsidRPr="00E240E6">
              <w:rPr>
                <w:vertAlign w:val="superscript"/>
                <w:lang w:eastAsia="en-US"/>
              </w:rPr>
              <w:t>2</w:t>
            </w:r>
            <w:r w:rsidRPr="00E240E6">
              <w:rPr>
                <w:color w:val="000000"/>
                <w:lang w:eastAsia="en-US"/>
              </w:rPr>
              <w:t xml:space="preserve"> līdz 5 000 m</w:t>
            </w:r>
            <w:r w:rsidRPr="00E240E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50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atzinums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51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115,24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52" w14:textId="78764702" w:rsidR="00DB0855" w:rsidRPr="00E240E6" w:rsidRDefault="007A4DE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53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115,24</w:t>
            </w:r>
          </w:p>
        </w:tc>
      </w:tr>
      <w:tr w:rsidR="00DB0855" w:rsidRPr="004751F5" w14:paraId="45F1565B" w14:textId="77777777" w:rsidTr="00972AA9">
        <w:trPr>
          <w:trHeight w:val="375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655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2.2.4.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56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ar platību no 5 001 m</w:t>
            </w:r>
            <w:r w:rsidRPr="00E240E6">
              <w:rPr>
                <w:vertAlign w:val="superscript"/>
                <w:lang w:eastAsia="en-US"/>
              </w:rPr>
              <w:t>2</w:t>
            </w:r>
            <w:r w:rsidRPr="00E240E6">
              <w:rPr>
                <w:color w:val="000000"/>
                <w:lang w:eastAsia="en-US"/>
              </w:rPr>
              <w:t xml:space="preserve"> līdz 10 000 m</w:t>
            </w:r>
            <w:r w:rsidRPr="00E240E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57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atzinums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58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168,15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59" w14:textId="488777EE" w:rsidR="00DB0855" w:rsidRPr="00E240E6" w:rsidRDefault="007A4DE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5A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168,15</w:t>
            </w:r>
          </w:p>
        </w:tc>
      </w:tr>
      <w:tr w:rsidR="00DB0855" w:rsidRPr="004751F5" w14:paraId="45F15662" w14:textId="77777777" w:rsidTr="00972AA9">
        <w:trPr>
          <w:trHeight w:val="37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65C" w14:textId="06B47D28" w:rsidR="00DB0855" w:rsidRPr="00E240E6" w:rsidRDefault="00116EF4" w:rsidP="00E240E6">
            <w:pPr>
              <w:rPr>
                <w:color w:val="000000"/>
                <w:lang w:eastAsia="en-US"/>
              </w:rPr>
            </w:pPr>
            <w:r w:rsidRPr="00E240E6">
              <w:br w:type="page"/>
            </w:r>
            <w:r w:rsidR="00DB0855" w:rsidRPr="00E240E6">
              <w:rPr>
                <w:color w:val="000000"/>
                <w:lang w:eastAsia="en-US"/>
              </w:rPr>
              <w:t>2.2.5.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5D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ar platību vairāk nekā 10 001 m</w:t>
            </w:r>
            <w:r w:rsidRPr="00E240E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5E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atzinums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5F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213,32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60" w14:textId="6CE6C5E2" w:rsidR="00DB0855" w:rsidRPr="00E240E6" w:rsidRDefault="007A4DE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,00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61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213,32</w:t>
            </w:r>
          </w:p>
        </w:tc>
      </w:tr>
      <w:tr w:rsidR="00DB0855" w:rsidRPr="004751F5" w14:paraId="45F15669" w14:textId="77777777" w:rsidTr="00972AA9">
        <w:trPr>
          <w:trHeight w:val="945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663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2.3.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64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citiem paaugstināta riska objektiem atbilstoši Epidemioloģiskās drošības likumam, kas nav minēti šā pielikuma 2.2.apakšpunktā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65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atzinums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66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52,29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67" w14:textId="4BBA94D3" w:rsidR="00DB0855" w:rsidRPr="00E240E6" w:rsidRDefault="007A4DE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68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52,29</w:t>
            </w:r>
          </w:p>
        </w:tc>
      </w:tr>
      <w:tr w:rsidR="00DB0855" w:rsidRPr="004751F5" w14:paraId="45F1566C" w14:textId="77777777" w:rsidTr="00972AA9">
        <w:trPr>
          <w:trHeight w:val="300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66A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3.</w:t>
            </w:r>
          </w:p>
        </w:tc>
        <w:tc>
          <w:tcPr>
            <w:tcW w:w="8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6B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Atzinuma sagatavošana par objekta (būves) gatavību ekspluatācijai*</w:t>
            </w:r>
          </w:p>
        </w:tc>
      </w:tr>
      <w:tr w:rsidR="00DB0855" w:rsidRPr="004751F5" w14:paraId="45F1566F" w14:textId="77777777" w:rsidTr="00972AA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66D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3.1.</w:t>
            </w:r>
          </w:p>
        </w:tc>
        <w:tc>
          <w:tcPr>
            <w:tcW w:w="8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6E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sabiedriski nozīmīgām būvēm</w:t>
            </w:r>
          </w:p>
        </w:tc>
      </w:tr>
      <w:tr w:rsidR="00DB0855" w:rsidRPr="004751F5" w14:paraId="45F15676" w14:textId="77777777" w:rsidTr="00972AA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670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3.1.1.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71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daudzstāvu daudzdzīvokļu dzīvojamam namam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72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atzinums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73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114,73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74" w14:textId="349A424B" w:rsidR="00DB0855" w:rsidRPr="00E240E6" w:rsidRDefault="007A4DE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75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114,73</w:t>
            </w:r>
          </w:p>
        </w:tc>
      </w:tr>
      <w:tr w:rsidR="00DB0855" w:rsidRPr="004751F5" w14:paraId="45F15679" w14:textId="77777777" w:rsidTr="00972AA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677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3.1.2.</w:t>
            </w:r>
          </w:p>
        </w:tc>
        <w:tc>
          <w:tcPr>
            <w:tcW w:w="8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78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publiskai ēkai, ražošanas objektam</w:t>
            </w:r>
          </w:p>
        </w:tc>
      </w:tr>
      <w:tr w:rsidR="00DB0855" w:rsidRPr="004751F5" w14:paraId="45F15680" w14:textId="77777777" w:rsidTr="00D95C26">
        <w:trPr>
          <w:trHeight w:val="375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F1567A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3.1.2.1.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7B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ar platību no 1 001 m</w:t>
            </w:r>
            <w:r w:rsidRPr="00E240E6">
              <w:rPr>
                <w:vertAlign w:val="superscript"/>
                <w:lang w:eastAsia="en-US"/>
              </w:rPr>
              <w:t>2</w:t>
            </w:r>
            <w:r w:rsidRPr="00E240E6">
              <w:rPr>
                <w:color w:val="000000"/>
                <w:lang w:eastAsia="en-US"/>
              </w:rPr>
              <w:t xml:space="preserve"> līdz 5 000 m</w:t>
            </w:r>
            <w:r w:rsidRPr="00E240E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7C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atzinums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7D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79,94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7E" w14:textId="7057F599" w:rsidR="00DB0855" w:rsidRPr="00E240E6" w:rsidRDefault="007A4DE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7F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79,94</w:t>
            </w:r>
          </w:p>
        </w:tc>
      </w:tr>
      <w:tr w:rsidR="00DB0855" w:rsidRPr="004751F5" w14:paraId="45F15687" w14:textId="77777777" w:rsidTr="00D95C26">
        <w:trPr>
          <w:trHeight w:val="37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681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lastRenderedPageBreak/>
              <w:t>3.1.2.2.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82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ar platību no 5 001 m</w:t>
            </w:r>
            <w:r w:rsidRPr="00E240E6">
              <w:rPr>
                <w:vertAlign w:val="superscript"/>
                <w:lang w:eastAsia="en-US"/>
              </w:rPr>
              <w:t>2</w:t>
            </w:r>
            <w:r w:rsidRPr="00E240E6">
              <w:rPr>
                <w:color w:val="000000"/>
                <w:lang w:eastAsia="en-US"/>
              </w:rPr>
              <w:t xml:space="preserve"> līdz 10 000 m</w:t>
            </w:r>
            <w:r w:rsidRPr="00E240E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83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atzinums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84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140,99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85" w14:textId="3A56BDC9" w:rsidR="00DB0855" w:rsidRPr="00E240E6" w:rsidRDefault="007A4DE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,00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86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140,99</w:t>
            </w:r>
          </w:p>
        </w:tc>
      </w:tr>
      <w:tr w:rsidR="00DB0855" w:rsidRPr="004751F5" w14:paraId="45F1568E" w14:textId="77777777" w:rsidTr="00972AA9">
        <w:trPr>
          <w:trHeight w:val="375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688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3.1.2.3.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89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ar platību vairāk nekā 10 000 m</w:t>
            </w:r>
            <w:r w:rsidRPr="00E240E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8A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atzinums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8B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169,15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8C" w14:textId="36EC7332" w:rsidR="00DB0855" w:rsidRPr="00E240E6" w:rsidRDefault="007A4DE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8D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169,15</w:t>
            </w:r>
          </w:p>
        </w:tc>
      </w:tr>
      <w:tr w:rsidR="00DB0855" w:rsidRPr="004751F5" w14:paraId="45F15691" w14:textId="77777777" w:rsidTr="00972AA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68F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3.1.3.</w:t>
            </w:r>
          </w:p>
        </w:tc>
        <w:tc>
          <w:tcPr>
            <w:tcW w:w="8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5690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inženierbūvei un komunikāciju tīklam</w:t>
            </w:r>
          </w:p>
        </w:tc>
      </w:tr>
      <w:tr w:rsidR="00DB0855" w:rsidRPr="004751F5" w14:paraId="45F15698" w14:textId="77777777" w:rsidTr="00972AA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692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3.1.3.1.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93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autostāvvietai līdz 100 automašīnām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94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atzinums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95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79,85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96" w14:textId="7356434F" w:rsidR="00DB0855" w:rsidRPr="00E240E6" w:rsidRDefault="007A4DE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97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79,85</w:t>
            </w:r>
          </w:p>
        </w:tc>
      </w:tr>
      <w:tr w:rsidR="00DB0855" w:rsidRPr="004751F5" w14:paraId="45F1569F" w14:textId="77777777" w:rsidTr="00972AA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699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3.1.3.2.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9A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autostāvvietai līdz 300 automašīnām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9B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atzinums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9C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110,39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9D" w14:textId="5D6191B7" w:rsidR="00DB0855" w:rsidRPr="00E240E6" w:rsidRDefault="007A4DE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9E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110,39</w:t>
            </w:r>
          </w:p>
        </w:tc>
      </w:tr>
      <w:tr w:rsidR="00DB0855" w:rsidRPr="004751F5" w14:paraId="45F156A6" w14:textId="77777777" w:rsidTr="00972AA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6A0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3.1.3.3.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A1" w14:textId="2FC6618B" w:rsidR="00DB0855" w:rsidRPr="00E240E6" w:rsidRDefault="00DB0855" w:rsidP="00972AA9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autostāvvietai vairāk nekā 300</w:t>
            </w:r>
            <w:r w:rsidR="00972AA9">
              <w:rPr>
                <w:color w:val="000000"/>
                <w:lang w:eastAsia="en-US"/>
              </w:rPr>
              <w:t> </w:t>
            </w:r>
            <w:r w:rsidRPr="00E240E6">
              <w:rPr>
                <w:color w:val="000000"/>
                <w:lang w:eastAsia="en-US"/>
              </w:rPr>
              <w:t>automašīnām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A2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atzinums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A3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176,76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A4" w14:textId="7FBD14CE" w:rsidR="00DB0855" w:rsidRPr="00E240E6" w:rsidRDefault="007A4DE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A5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176,76</w:t>
            </w:r>
          </w:p>
        </w:tc>
      </w:tr>
      <w:tr w:rsidR="00DB0855" w:rsidRPr="004751F5" w14:paraId="45F156AD" w14:textId="77777777" w:rsidTr="00972AA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6A7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3.1.3.4.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A8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angāram, noliktavai, īslaicīgas lietošanas būvei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A9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atzinums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AA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59,49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AB" w14:textId="4CB5BADB" w:rsidR="00DB0855" w:rsidRPr="00E240E6" w:rsidRDefault="007A4DE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AC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59,49</w:t>
            </w:r>
          </w:p>
        </w:tc>
      </w:tr>
      <w:tr w:rsidR="00DB0855" w:rsidRPr="004751F5" w14:paraId="45F156B4" w14:textId="77777777" w:rsidTr="00972AA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6AE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3.1.3.5.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AF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ceļu inženierkomunikācijai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B0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atzinums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B1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59,19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B2" w14:textId="6E161837" w:rsidR="00DB0855" w:rsidRPr="00E240E6" w:rsidRDefault="007A4DE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B3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59,19</w:t>
            </w:r>
          </w:p>
        </w:tc>
      </w:tr>
      <w:tr w:rsidR="00DB0855" w:rsidRPr="004751F5" w14:paraId="45F156BB" w14:textId="77777777" w:rsidTr="00972AA9">
        <w:trPr>
          <w:trHeight w:val="630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6B5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3.1.3.6.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B6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citam objektam, ja pašvaldība to ir noteikusi kā sabiedriski nozīmīgu būvi attiecīgajā teritorijā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B7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atzinums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B8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52,67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B9" w14:textId="3CC8E096" w:rsidR="00DB0855" w:rsidRPr="00E240E6" w:rsidRDefault="007A4DE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BA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52,67</w:t>
            </w:r>
          </w:p>
        </w:tc>
      </w:tr>
      <w:tr w:rsidR="00DB0855" w:rsidRPr="004751F5" w14:paraId="45F156BE" w14:textId="77777777" w:rsidTr="00972AA9">
        <w:trPr>
          <w:trHeight w:val="34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6BC" w14:textId="55321E01" w:rsidR="00DB0855" w:rsidRPr="00E240E6" w:rsidRDefault="00116EF4" w:rsidP="00E240E6">
            <w:pPr>
              <w:rPr>
                <w:color w:val="000000"/>
                <w:lang w:eastAsia="en-US"/>
              </w:rPr>
            </w:pPr>
            <w:r w:rsidRPr="00E240E6">
              <w:br w:type="page"/>
            </w:r>
            <w:r w:rsidR="00DB0855" w:rsidRPr="00E240E6">
              <w:rPr>
                <w:color w:val="000000"/>
                <w:lang w:eastAsia="en-US"/>
              </w:rPr>
              <w:t>3.2.</w:t>
            </w:r>
          </w:p>
        </w:tc>
        <w:tc>
          <w:tcPr>
            <w:tcW w:w="8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BD" w14:textId="77777777" w:rsidR="00DB0855" w:rsidRPr="00E240E6" w:rsidRDefault="00232D1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 xml:space="preserve">objektam, kam ir </w:t>
            </w:r>
            <w:r w:rsidR="00DB0855" w:rsidRPr="00E240E6">
              <w:rPr>
                <w:color w:val="000000"/>
                <w:lang w:eastAsia="en-US"/>
              </w:rPr>
              <w:t>Veselības inspekcijas izsniegts higiēnas uzdevums projektēšanai vai nosacījumi higiēnas prasību ievērošanai (īpašie noteikumi)</w:t>
            </w:r>
          </w:p>
        </w:tc>
      </w:tr>
      <w:tr w:rsidR="00DB0855" w:rsidRPr="004751F5" w14:paraId="45F156C1" w14:textId="77777777" w:rsidTr="00972AA9">
        <w:trPr>
          <w:trHeight w:val="300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6BF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3.2.1.</w:t>
            </w:r>
          </w:p>
        </w:tc>
        <w:tc>
          <w:tcPr>
            <w:tcW w:w="8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C0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vienģimenes mājai, vasarnīcai, zemnieku saimniecībai</w:t>
            </w:r>
          </w:p>
        </w:tc>
      </w:tr>
      <w:tr w:rsidR="00DB0855" w:rsidRPr="004751F5" w14:paraId="45F156C8" w14:textId="77777777" w:rsidTr="00972AA9">
        <w:trPr>
          <w:trHeight w:val="375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6C2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3.2.1.1.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C3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ar platību līdz 200 m</w:t>
            </w:r>
            <w:r w:rsidRPr="00E240E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C4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atzinums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56C5" w14:textId="77777777" w:rsidR="00DB0855" w:rsidRPr="00E240E6" w:rsidRDefault="00DB0855" w:rsidP="00116EF4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56,40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56C6" w14:textId="59D5B133" w:rsidR="00DB0855" w:rsidRPr="00E240E6" w:rsidRDefault="007A4DE5" w:rsidP="00116E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56C7" w14:textId="77777777" w:rsidR="00DB0855" w:rsidRPr="00E240E6" w:rsidRDefault="00DB0855" w:rsidP="00116EF4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56,40</w:t>
            </w:r>
          </w:p>
        </w:tc>
      </w:tr>
      <w:tr w:rsidR="00DB0855" w:rsidRPr="004751F5" w14:paraId="45F156CF" w14:textId="77777777" w:rsidTr="00972AA9">
        <w:trPr>
          <w:trHeight w:val="375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6C9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3.2.1.2.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CA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ar platību vairāk nekā 200 m</w:t>
            </w:r>
            <w:r w:rsidRPr="00E240E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CB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atzinums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56CC" w14:textId="77777777" w:rsidR="00DB0855" w:rsidRPr="00E240E6" w:rsidRDefault="00DB0855" w:rsidP="00116EF4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67,42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56CD" w14:textId="5A47F4AB" w:rsidR="00DB0855" w:rsidRPr="00E240E6" w:rsidRDefault="007A4DE5" w:rsidP="00116E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56CE" w14:textId="77777777" w:rsidR="00DB0855" w:rsidRPr="00E240E6" w:rsidRDefault="00DB0855" w:rsidP="00116EF4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67,42</w:t>
            </w:r>
          </w:p>
        </w:tc>
      </w:tr>
      <w:tr w:rsidR="00DB0855" w:rsidRPr="004751F5" w14:paraId="45F156D6" w14:textId="77777777" w:rsidTr="00972AA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6D0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3.2.2.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D1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daudzdzīvokļu mājai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D2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atzinums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56D3" w14:textId="77777777" w:rsidR="00DB0855" w:rsidRPr="00E240E6" w:rsidRDefault="00DB0855" w:rsidP="00116EF4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114,73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56D4" w14:textId="3CCCAC24" w:rsidR="00DB0855" w:rsidRPr="00E240E6" w:rsidRDefault="007A4DE5" w:rsidP="00116E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56D5" w14:textId="77777777" w:rsidR="00DB0855" w:rsidRPr="00E240E6" w:rsidRDefault="00DB0855" w:rsidP="00116EF4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114,73</w:t>
            </w:r>
          </w:p>
        </w:tc>
      </w:tr>
      <w:tr w:rsidR="00DB0855" w:rsidRPr="004751F5" w14:paraId="45F156D9" w14:textId="77777777" w:rsidTr="00972AA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6D7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3.2.3.</w:t>
            </w:r>
          </w:p>
        </w:tc>
        <w:tc>
          <w:tcPr>
            <w:tcW w:w="8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D8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publiskai ēkai, ražošanas objektam</w:t>
            </w:r>
          </w:p>
        </w:tc>
      </w:tr>
      <w:tr w:rsidR="00DB0855" w:rsidRPr="004751F5" w14:paraId="45F156E0" w14:textId="77777777" w:rsidTr="00972AA9">
        <w:trPr>
          <w:trHeight w:val="375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6DA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3.2.3.1.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DB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ar platību līdz 500 m</w:t>
            </w:r>
            <w:r w:rsidRPr="00E240E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DC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atzinums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DD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58,24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DE" w14:textId="524ED40F" w:rsidR="00DB0855" w:rsidRPr="00E240E6" w:rsidRDefault="007A4DE5" w:rsidP="00E240E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DF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58,24</w:t>
            </w:r>
          </w:p>
        </w:tc>
      </w:tr>
      <w:tr w:rsidR="00DB0855" w:rsidRPr="004751F5" w14:paraId="45F156E7" w14:textId="77777777" w:rsidTr="00972AA9">
        <w:trPr>
          <w:trHeight w:val="375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6E1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3.2.3.2.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E2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ar platību no 501 m</w:t>
            </w:r>
            <w:r w:rsidRPr="00E240E6">
              <w:rPr>
                <w:vertAlign w:val="superscript"/>
                <w:lang w:eastAsia="en-US"/>
              </w:rPr>
              <w:t>2</w:t>
            </w:r>
            <w:r w:rsidRPr="00E240E6">
              <w:rPr>
                <w:color w:val="000000"/>
                <w:lang w:eastAsia="en-US"/>
              </w:rPr>
              <w:t xml:space="preserve"> līdz 1 000 m</w:t>
            </w:r>
            <w:r w:rsidRPr="00E240E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E3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atzinums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E4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79,94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E5" w14:textId="2CC66524" w:rsidR="00DB0855" w:rsidRPr="00E240E6" w:rsidRDefault="007A4DE5" w:rsidP="00E240E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E6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79,94</w:t>
            </w:r>
          </w:p>
        </w:tc>
      </w:tr>
      <w:tr w:rsidR="00DB0855" w:rsidRPr="004751F5" w14:paraId="45F156EE" w14:textId="77777777" w:rsidTr="00972AA9">
        <w:trPr>
          <w:trHeight w:val="375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6E8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3.2.3.3.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E9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ar platību no 1 001 m</w:t>
            </w:r>
            <w:r w:rsidRPr="00E240E6">
              <w:rPr>
                <w:vertAlign w:val="superscript"/>
                <w:lang w:eastAsia="en-US"/>
              </w:rPr>
              <w:t>2</w:t>
            </w:r>
            <w:r w:rsidRPr="00E240E6">
              <w:rPr>
                <w:color w:val="000000"/>
                <w:lang w:eastAsia="en-US"/>
              </w:rPr>
              <w:t xml:space="preserve"> līdz 5 000 m</w:t>
            </w:r>
            <w:r w:rsidRPr="00E240E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EA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atzinums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EB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94,01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EC" w14:textId="1F7DB183" w:rsidR="00DB0855" w:rsidRPr="00E240E6" w:rsidRDefault="007A4DE5" w:rsidP="00E240E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ED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94,01</w:t>
            </w:r>
          </w:p>
        </w:tc>
      </w:tr>
      <w:tr w:rsidR="00DB0855" w:rsidRPr="004751F5" w14:paraId="45F156F5" w14:textId="77777777" w:rsidTr="00972AA9">
        <w:trPr>
          <w:trHeight w:val="375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6EF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3.2.3.4.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F0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ar platību no 5 001 m</w:t>
            </w:r>
            <w:r w:rsidRPr="00E240E6">
              <w:rPr>
                <w:vertAlign w:val="superscript"/>
                <w:lang w:eastAsia="en-US"/>
              </w:rPr>
              <w:t>2</w:t>
            </w:r>
            <w:r w:rsidRPr="00E240E6">
              <w:rPr>
                <w:color w:val="000000"/>
                <w:lang w:eastAsia="en-US"/>
              </w:rPr>
              <w:t xml:space="preserve"> līdz 10 000 m</w:t>
            </w:r>
            <w:r w:rsidRPr="00E240E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F1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atzinums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F2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140,99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F3" w14:textId="5B808188" w:rsidR="00DB0855" w:rsidRPr="00E240E6" w:rsidRDefault="007A4DE5" w:rsidP="00E240E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F4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140,99</w:t>
            </w:r>
          </w:p>
        </w:tc>
      </w:tr>
      <w:tr w:rsidR="00DB0855" w:rsidRPr="004751F5" w14:paraId="45F156FC" w14:textId="77777777" w:rsidTr="00972AA9">
        <w:trPr>
          <w:trHeight w:val="375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6F6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3.2.3.5.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F7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ar platību vairāk nekā 10 000 m</w:t>
            </w:r>
            <w:r w:rsidRPr="00E240E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F8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atzinums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F9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169,15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FA" w14:textId="5A4F4318" w:rsidR="00DB0855" w:rsidRPr="00E240E6" w:rsidRDefault="007A4DE5" w:rsidP="00E240E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6FB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169,15</w:t>
            </w:r>
          </w:p>
        </w:tc>
      </w:tr>
      <w:tr w:rsidR="00DB0855" w:rsidRPr="004751F5" w14:paraId="45F156FF" w14:textId="77777777" w:rsidTr="00972AA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6FD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3.2.4.</w:t>
            </w:r>
          </w:p>
        </w:tc>
        <w:tc>
          <w:tcPr>
            <w:tcW w:w="8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6FE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inženierbūvei un komunikāciju tīklam</w:t>
            </w:r>
          </w:p>
        </w:tc>
      </w:tr>
      <w:tr w:rsidR="00DB0855" w:rsidRPr="004751F5" w14:paraId="45F15706" w14:textId="77777777" w:rsidTr="00972AA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700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3.2.4.1.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01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autostāvvietai līdz 100 automašīnām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02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atzinums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03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79,85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04" w14:textId="4B2D3F73" w:rsidR="00DB0855" w:rsidRPr="00E240E6" w:rsidRDefault="007A4DE5" w:rsidP="00E240E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05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79,85</w:t>
            </w:r>
          </w:p>
        </w:tc>
      </w:tr>
      <w:tr w:rsidR="00DB0855" w:rsidRPr="004751F5" w14:paraId="45F1570D" w14:textId="77777777" w:rsidTr="00972AA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707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3.2.4.2.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08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autostāvvietai līdz 300 automašīnām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09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atzinums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0A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110,39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0B" w14:textId="59736B81" w:rsidR="00DB0855" w:rsidRPr="00E240E6" w:rsidRDefault="007A4DE5" w:rsidP="00E240E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0C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110,39</w:t>
            </w:r>
          </w:p>
        </w:tc>
      </w:tr>
      <w:tr w:rsidR="00DB0855" w:rsidRPr="004751F5" w14:paraId="45F15714" w14:textId="77777777" w:rsidTr="00972AA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70E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3.2.4.3.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0F" w14:textId="4DE22FE8" w:rsidR="00DB0855" w:rsidRPr="00E240E6" w:rsidRDefault="00DB0855" w:rsidP="00972AA9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autostāvvietai vairāk nekā 300</w:t>
            </w:r>
            <w:r w:rsidR="00972AA9">
              <w:rPr>
                <w:color w:val="000000"/>
                <w:lang w:eastAsia="en-US"/>
              </w:rPr>
              <w:t> </w:t>
            </w:r>
            <w:r w:rsidRPr="00E240E6">
              <w:rPr>
                <w:color w:val="000000"/>
                <w:lang w:eastAsia="en-US"/>
              </w:rPr>
              <w:t>automašīnām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10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atzinums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11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176,76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12" w14:textId="031106A7" w:rsidR="00DB0855" w:rsidRPr="00E240E6" w:rsidRDefault="007A4DE5" w:rsidP="00E240E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13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176,76</w:t>
            </w:r>
          </w:p>
        </w:tc>
      </w:tr>
      <w:tr w:rsidR="00DB0855" w:rsidRPr="004751F5" w14:paraId="45F1571B" w14:textId="77777777" w:rsidTr="00972AA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715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3.2.4.4.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16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angāram, noliktavai, īslaicīgas lietošanas būvei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17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atzinums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18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59,49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19" w14:textId="05F7DC11" w:rsidR="00DB0855" w:rsidRPr="00E240E6" w:rsidRDefault="007A4DE5" w:rsidP="00E240E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1A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59,49</w:t>
            </w:r>
          </w:p>
        </w:tc>
      </w:tr>
      <w:tr w:rsidR="00DB0855" w:rsidRPr="004751F5" w14:paraId="45F15722" w14:textId="77777777" w:rsidTr="00972AA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71C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3.2.4.5.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1D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ceļu inženierkomunikācijai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1E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atzinums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1F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59,19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20" w14:textId="047612D1" w:rsidR="00DB0855" w:rsidRPr="00E240E6" w:rsidRDefault="007A4DE5" w:rsidP="00E240E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21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59,19</w:t>
            </w:r>
          </w:p>
        </w:tc>
      </w:tr>
      <w:tr w:rsidR="00DB0855" w:rsidRPr="004751F5" w14:paraId="45F15729" w14:textId="77777777" w:rsidTr="00972AA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723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3.2.4.6.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24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ūdensvadu un kanalizācijas tīklam un būvei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25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atzinums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26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52,67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27" w14:textId="1E2684F6" w:rsidR="00DB0855" w:rsidRPr="00E240E6" w:rsidRDefault="007A4DE5" w:rsidP="00E240E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28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52,67</w:t>
            </w:r>
          </w:p>
        </w:tc>
      </w:tr>
      <w:tr w:rsidR="00DB0855" w:rsidRPr="004751F5" w14:paraId="45F15730" w14:textId="77777777" w:rsidTr="00972AA9">
        <w:trPr>
          <w:trHeight w:val="630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72A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3.2.4.7.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2B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citam objektam (piemēram, uztveršanas un pārraidī</w:t>
            </w:r>
            <w:r w:rsidRPr="00E240E6">
              <w:rPr>
                <w:color w:val="000000"/>
                <w:lang w:eastAsia="en-US"/>
              </w:rPr>
              <w:softHyphen/>
              <w:t>šanas antenai, radaram)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2C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atzinums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2D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51,34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2E" w14:textId="71AA2855" w:rsidR="00DB0855" w:rsidRPr="00E240E6" w:rsidRDefault="007A4DE5" w:rsidP="00E240E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2F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51,34</w:t>
            </w:r>
          </w:p>
        </w:tc>
      </w:tr>
      <w:tr w:rsidR="00DB0855" w:rsidRPr="004751F5" w14:paraId="45F15733" w14:textId="77777777" w:rsidTr="00972AA9">
        <w:trPr>
          <w:trHeight w:val="300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F15731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4.</w:t>
            </w:r>
          </w:p>
        </w:tc>
        <w:tc>
          <w:tcPr>
            <w:tcW w:w="8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32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Higiēnas prasību ievērošanas novērtēšana objektiem, kam normatīvajos aktos nav noteiktas higiēnas prasības (pakalpojums nav obligāts saskaņā ar normatīvajiem aktiem un tiek sniegts pēc objekta īpašnieka brīvprātīga pieprasījuma)</w:t>
            </w:r>
          </w:p>
        </w:tc>
      </w:tr>
      <w:tr w:rsidR="00DB0855" w:rsidRPr="004751F5" w14:paraId="45F1573A" w14:textId="77777777" w:rsidTr="00972AA9">
        <w:trPr>
          <w:trHeight w:val="31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734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4.1.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35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ražošanas uzņēmumam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5736" w14:textId="77777777" w:rsidR="00DB0855" w:rsidRPr="00E240E6" w:rsidRDefault="00DB0855" w:rsidP="00116EF4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atzinums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5737" w14:textId="77777777" w:rsidR="00DB0855" w:rsidRPr="00E240E6" w:rsidRDefault="00DB0855" w:rsidP="00116EF4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51,13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5738" w14:textId="77777777" w:rsidR="00DB0855" w:rsidRPr="00E240E6" w:rsidRDefault="00DB0855" w:rsidP="00116EF4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10,74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5739" w14:textId="77777777" w:rsidR="00DB0855" w:rsidRPr="00E240E6" w:rsidRDefault="00DB0855" w:rsidP="00116EF4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61,87</w:t>
            </w:r>
          </w:p>
        </w:tc>
      </w:tr>
      <w:tr w:rsidR="00DB0855" w:rsidRPr="004751F5" w14:paraId="45F15741" w14:textId="77777777" w:rsidTr="00972AA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73B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4.2.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3C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tirdzniecības uzņēmumam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573D" w14:textId="77777777" w:rsidR="00DB0855" w:rsidRPr="00E240E6" w:rsidRDefault="00DB0855" w:rsidP="00116EF4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atzinums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573E" w14:textId="77777777" w:rsidR="00DB0855" w:rsidRPr="00E240E6" w:rsidRDefault="00DB0855" w:rsidP="00116EF4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57,50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573F" w14:textId="77777777" w:rsidR="00DB0855" w:rsidRPr="00E240E6" w:rsidRDefault="00DB0855" w:rsidP="00116EF4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12,08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5740" w14:textId="77777777" w:rsidR="00DB0855" w:rsidRPr="00E240E6" w:rsidRDefault="00DB0855" w:rsidP="00116EF4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69,58</w:t>
            </w:r>
          </w:p>
        </w:tc>
      </w:tr>
      <w:tr w:rsidR="00DB0855" w:rsidRPr="004751F5" w14:paraId="45F15748" w14:textId="77777777" w:rsidTr="00972AA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742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4.3.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43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šahtveida akai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5744" w14:textId="77777777" w:rsidR="00DB0855" w:rsidRPr="00E240E6" w:rsidRDefault="00DB0855" w:rsidP="00116EF4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atzinums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5745" w14:textId="77777777" w:rsidR="00DB0855" w:rsidRPr="00E240E6" w:rsidRDefault="00DB0855" w:rsidP="00116EF4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20,17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5746" w14:textId="77777777" w:rsidR="00DB0855" w:rsidRPr="00E240E6" w:rsidRDefault="00DB0855" w:rsidP="00116EF4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4,23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5747" w14:textId="77777777" w:rsidR="00DB0855" w:rsidRPr="00E240E6" w:rsidRDefault="00DB0855" w:rsidP="00116EF4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24,40</w:t>
            </w:r>
          </w:p>
        </w:tc>
      </w:tr>
      <w:tr w:rsidR="00DB0855" w:rsidRPr="004751F5" w14:paraId="45F1574F" w14:textId="77777777" w:rsidTr="00972AA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F15749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4.4.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4A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dzīvojamai mājai, dzīvoklim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574B" w14:textId="77777777" w:rsidR="00DB0855" w:rsidRPr="00E240E6" w:rsidRDefault="00DB0855" w:rsidP="00116EF4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atzinums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574C" w14:textId="77777777" w:rsidR="00DB0855" w:rsidRPr="00E240E6" w:rsidRDefault="00DB0855" w:rsidP="00116EF4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18,99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574D" w14:textId="77777777" w:rsidR="00DB0855" w:rsidRPr="00E240E6" w:rsidRDefault="00DB0855" w:rsidP="00116EF4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3,99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574E" w14:textId="77777777" w:rsidR="00DB0855" w:rsidRPr="00E240E6" w:rsidRDefault="00DB0855" w:rsidP="00116EF4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22,98</w:t>
            </w:r>
          </w:p>
        </w:tc>
      </w:tr>
      <w:tr w:rsidR="00DB0855" w:rsidRPr="004751F5" w14:paraId="45F15752" w14:textId="77777777" w:rsidTr="00972AA9">
        <w:trPr>
          <w:trHeight w:val="31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750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lastRenderedPageBreak/>
              <w:t>4.5.</w:t>
            </w:r>
          </w:p>
        </w:tc>
        <w:tc>
          <w:tcPr>
            <w:tcW w:w="8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5751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citam objektam</w:t>
            </w:r>
          </w:p>
        </w:tc>
      </w:tr>
      <w:tr w:rsidR="00DB0855" w:rsidRPr="004751F5" w14:paraId="45F15759" w14:textId="77777777" w:rsidTr="00972AA9">
        <w:trPr>
          <w:trHeight w:val="375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753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4.5.1.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54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ar platību līdz 250 m</w:t>
            </w:r>
            <w:r w:rsidRPr="00E240E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55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atzinums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5756" w14:textId="77777777" w:rsidR="00DB0855" w:rsidRPr="00E240E6" w:rsidRDefault="00DB0855" w:rsidP="00116EF4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41,18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5757" w14:textId="77777777" w:rsidR="00DB0855" w:rsidRPr="00E240E6" w:rsidRDefault="00DB0855" w:rsidP="00116EF4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8,65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5758" w14:textId="77777777" w:rsidR="00DB0855" w:rsidRPr="00E240E6" w:rsidRDefault="00DB0855" w:rsidP="00116EF4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49,83</w:t>
            </w:r>
          </w:p>
        </w:tc>
      </w:tr>
      <w:tr w:rsidR="00DB0855" w:rsidRPr="004751F5" w14:paraId="45F15760" w14:textId="77777777" w:rsidTr="00972AA9">
        <w:trPr>
          <w:trHeight w:val="375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75A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4.5.2.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5B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ar platību vairāk nekā 250 m</w:t>
            </w:r>
            <w:r w:rsidRPr="00E240E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5C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atzinums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575D" w14:textId="77777777" w:rsidR="00DB0855" w:rsidRPr="00E240E6" w:rsidRDefault="00DB0855" w:rsidP="00116EF4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45,93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575E" w14:textId="77777777" w:rsidR="00DB0855" w:rsidRPr="00E240E6" w:rsidRDefault="00DB0855" w:rsidP="00116EF4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9,65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575F" w14:textId="77777777" w:rsidR="00DB0855" w:rsidRPr="00E240E6" w:rsidRDefault="00DB0855" w:rsidP="00116EF4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55,58</w:t>
            </w:r>
          </w:p>
        </w:tc>
      </w:tr>
      <w:tr w:rsidR="00DB0855" w:rsidRPr="004751F5" w14:paraId="45F15767" w14:textId="77777777" w:rsidTr="00972AA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761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4.6.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62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inženiertehniskai būvei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63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atzinums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5764" w14:textId="77777777" w:rsidR="00DB0855" w:rsidRPr="00E240E6" w:rsidRDefault="00DB0855" w:rsidP="00116EF4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49,02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5765" w14:textId="77777777" w:rsidR="00DB0855" w:rsidRPr="00E240E6" w:rsidRDefault="00DB0855" w:rsidP="00116EF4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10,29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5766" w14:textId="77777777" w:rsidR="00DB0855" w:rsidRPr="00E240E6" w:rsidRDefault="00DB0855" w:rsidP="00116EF4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59,31</w:t>
            </w:r>
          </w:p>
        </w:tc>
      </w:tr>
      <w:tr w:rsidR="00DB0855" w:rsidRPr="004751F5" w14:paraId="45F1576E" w14:textId="77777777" w:rsidTr="00972AA9">
        <w:trPr>
          <w:trHeight w:val="630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768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5.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69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Atzinuma sagatavošana par fizikālo faktoru (troksnis, EML) iespējamo līmeņu aprēķiniem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6A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atzinums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6B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31,67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6C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6,65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6D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38,32</w:t>
            </w:r>
          </w:p>
        </w:tc>
      </w:tr>
      <w:tr w:rsidR="00DB0855" w:rsidRPr="004751F5" w14:paraId="45F15771" w14:textId="77777777" w:rsidTr="00972AA9">
        <w:trPr>
          <w:trHeight w:val="300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76F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6.</w:t>
            </w:r>
          </w:p>
        </w:tc>
        <w:tc>
          <w:tcPr>
            <w:tcW w:w="8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70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Kuģa sanitārās apstrādes kontroles atbrīvojuma apliecības vai kuģa sanitārās apstrādes kontroles apliecības izsniegšana*</w:t>
            </w:r>
          </w:p>
        </w:tc>
      </w:tr>
      <w:tr w:rsidR="00DB0855" w:rsidRPr="004751F5" w14:paraId="45F15778" w14:textId="77777777" w:rsidTr="00972AA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772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6.1.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73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ar kravnesību līdz 500 GT (</w:t>
            </w:r>
            <w:proofErr w:type="spellStart"/>
            <w:r w:rsidRPr="00E240E6">
              <w:rPr>
                <w:i/>
                <w:iCs/>
                <w:lang w:eastAsia="en-US"/>
              </w:rPr>
              <w:t>gross</w:t>
            </w:r>
            <w:proofErr w:type="spellEnd"/>
            <w:r w:rsidRPr="00E240E6">
              <w:rPr>
                <w:i/>
                <w:iCs/>
                <w:lang w:eastAsia="en-US"/>
              </w:rPr>
              <w:t xml:space="preserve"> </w:t>
            </w:r>
            <w:proofErr w:type="spellStart"/>
            <w:r w:rsidRPr="00E240E6">
              <w:rPr>
                <w:i/>
                <w:iCs/>
                <w:lang w:eastAsia="en-US"/>
              </w:rPr>
              <w:t>tons</w:t>
            </w:r>
            <w:proofErr w:type="spellEnd"/>
            <w:r w:rsidRPr="00E240E6">
              <w:rPr>
                <w:color w:val="000000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74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apliecība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75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86,06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76" w14:textId="7AFAEF69" w:rsidR="00DB0855" w:rsidRPr="00E240E6" w:rsidRDefault="007A4DE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77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86,06</w:t>
            </w:r>
          </w:p>
        </w:tc>
      </w:tr>
      <w:tr w:rsidR="00DB0855" w:rsidRPr="004751F5" w14:paraId="45F1577F" w14:textId="77777777" w:rsidTr="00972AA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779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6.2.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7A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ar kravnesību no 500 līdz 5 000 GT (</w:t>
            </w:r>
            <w:proofErr w:type="spellStart"/>
            <w:r w:rsidRPr="00E240E6">
              <w:rPr>
                <w:i/>
                <w:iCs/>
                <w:lang w:eastAsia="en-US"/>
              </w:rPr>
              <w:t>gross</w:t>
            </w:r>
            <w:proofErr w:type="spellEnd"/>
            <w:r w:rsidRPr="00E240E6">
              <w:rPr>
                <w:i/>
                <w:iCs/>
                <w:lang w:eastAsia="en-US"/>
              </w:rPr>
              <w:t xml:space="preserve"> </w:t>
            </w:r>
            <w:proofErr w:type="spellStart"/>
            <w:r w:rsidRPr="00E240E6">
              <w:rPr>
                <w:i/>
                <w:iCs/>
                <w:lang w:eastAsia="en-US"/>
              </w:rPr>
              <w:t>tons</w:t>
            </w:r>
            <w:proofErr w:type="spellEnd"/>
            <w:r w:rsidRPr="00E240E6">
              <w:rPr>
                <w:color w:val="000000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7B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apliecība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7C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114,27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7D" w14:textId="5A52C202" w:rsidR="00DB0855" w:rsidRPr="00E240E6" w:rsidRDefault="007A4DE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7E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114,27</w:t>
            </w:r>
          </w:p>
        </w:tc>
      </w:tr>
      <w:tr w:rsidR="00DB0855" w:rsidRPr="004751F5" w14:paraId="45F15786" w14:textId="77777777" w:rsidTr="00972AA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780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6.3.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81" w14:textId="0E99F598" w:rsidR="00DB0855" w:rsidRPr="00E240E6" w:rsidRDefault="00DB0855" w:rsidP="00972AA9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 xml:space="preserve">ar kravnesību </w:t>
            </w:r>
            <w:r w:rsidR="00972AA9">
              <w:rPr>
                <w:color w:val="000000"/>
                <w:lang w:eastAsia="en-US"/>
              </w:rPr>
              <w:t>vairāk nekā</w:t>
            </w:r>
            <w:r w:rsidRPr="00E240E6">
              <w:rPr>
                <w:color w:val="000000"/>
                <w:lang w:eastAsia="en-US"/>
              </w:rPr>
              <w:t xml:space="preserve"> 5 000 GT (</w:t>
            </w:r>
            <w:proofErr w:type="spellStart"/>
            <w:r w:rsidRPr="00E240E6">
              <w:rPr>
                <w:i/>
                <w:iCs/>
                <w:lang w:eastAsia="en-US"/>
              </w:rPr>
              <w:t>gross</w:t>
            </w:r>
            <w:proofErr w:type="spellEnd"/>
            <w:r w:rsidRPr="00E240E6">
              <w:rPr>
                <w:i/>
                <w:iCs/>
                <w:lang w:eastAsia="en-US"/>
              </w:rPr>
              <w:t xml:space="preserve"> </w:t>
            </w:r>
            <w:proofErr w:type="spellStart"/>
            <w:r w:rsidRPr="00E240E6">
              <w:rPr>
                <w:i/>
                <w:iCs/>
                <w:lang w:eastAsia="en-US"/>
              </w:rPr>
              <w:t>tons</w:t>
            </w:r>
            <w:proofErr w:type="spellEnd"/>
            <w:r w:rsidRPr="00E240E6">
              <w:rPr>
                <w:color w:val="000000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82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apliecība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83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142,49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84" w14:textId="2503C960" w:rsidR="00DB0855" w:rsidRPr="00E240E6" w:rsidRDefault="007A4DE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85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142,49</w:t>
            </w:r>
          </w:p>
        </w:tc>
      </w:tr>
      <w:tr w:rsidR="00DB0855" w:rsidRPr="004751F5" w14:paraId="45F1578D" w14:textId="77777777" w:rsidTr="00972AA9">
        <w:trPr>
          <w:trHeight w:val="630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787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7.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88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Atzinuma sagatavošana par kuģa attīrīšanas iekārtu darbības efektivitāti*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89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atzinums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8A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35,91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8B" w14:textId="4E8CDB18" w:rsidR="00DB0855" w:rsidRPr="00E240E6" w:rsidRDefault="007A4DE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8C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35,91</w:t>
            </w:r>
          </w:p>
        </w:tc>
      </w:tr>
      <w:tr w:rsidR="00DB0855" w:rsidRPr="004751F5" w14:paraId="45F15794" w14:textId="77777777" w:rsidTr="00972AA9">
        <w:trPr>
          <w:trHeight w:val="630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78E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8.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8F" w14:textId="4F44DBE9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Transporta nodrošinājums higiē</w:t>
            </w:r>
            <w:r w:rsidR="00116EF4" w:rsidRPr="00E240E6">
              <w:rPr>
                <w:color w:val="000000"/>
                <w:lang w:eastAsia="en-US"/>
              </w:rPr>
              <w:softHyphen/>
            </w:r>
            <w:r w:rsidRPr="00E240E6">
              <w:rPr>
                <w:color w:val="000000"/>
                <w:lang w:eastAsia="en-US"/>
              </w:rPr>
              <w:t>nis</w:t>
            </w:r>
            <w:r w:rsidR="00116EF4" w:rsidRPr="00E240E6">
              <w:rPr>
                <w:color w:val="000000"/>
                <w:lang w:eastAsia="en-US"/>
              </w:rPr>
              <w:softHyphen/>
            </w:r>
            <w:r w:rsidRPr="00E240E6">
              <w:rPr>
                <w:color w:val="000000"/>
                <w:lang w:eastAsia="en-US"/>
              </w:rPr>
              <w:t>kās novērtēšanas pakalpojumu sniegšanā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90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kilometrs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91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0,34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92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0,07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93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0,41</w:t>
            </w:r>
          </w:p>
        </w:tc>
      </w:tr>
      <w:tr w:rsidR="00DB0855" w:rsidRPr="004751F5" w14:paraId="45F1579B" w14:textId="77777777" w:rsidTr="00972AA9">
        <w:trPr>
          <w:trHeight w:val="268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F15795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9.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96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Speciālista atzinuma sagatavošana par mikrobioloģiskās, ķīmiskās un fizikālās testēšanas rezultātiem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97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atzinums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98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10,87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99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2,28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9A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13,15</w:t>
            </w:r>
          </w:p>
        </w:tc>
      </w:tr>
      <w:tr w:rsidR="00DB0855" w:rsidRPr="004751F5" w14:paraId="45F157A2" w14:textId="77777777" w:rsidTr="00972AA9">
        <w:trPr>
          <w:trHeight w:val="94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79C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10.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9D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Laboratorisko izmeklējumu un mērījumu uzdevuma izstrādāšana mikrobioloģiskajiem, ķīmiskajiem un fizikālajiem izmeklējumiem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9E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uzdevums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9F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46,77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A0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9,82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A1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56,59</w:t>
            </w:r>
          </w:p>
        </w:tc>
      </w:tr>
      <w:tr w:rsidR="00DB0855" w:rsidRPr="004751F5" w14:paraId="45F157A5" w14:textId="77777777" w:rsidTr="00972AA9">
        <w:trPr>
          <w:trHeight w:val="300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7A3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11.</w:t>
            </w:r>
          </w:p>
        </w:tc>
        <w:tc>
          <w:tcPr>
            <w:tcW w:w="8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A4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Parauga ņemšana higiēniskajiem un mikrobioloģiskajiem izmeklējumiem pēc personas pieprasījuma</w:t>
            </w:r>
          </w:p>
        </w:tc>
      </w:tr>
      <w:tr w:rsidR="00DB0855" w:rsidRPr="004751F5" w14:paraId="45F157AC" w14:textId="77777777" w:rsidTr="00972AA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7A6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11.1.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157A7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nomazgājumam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57A8" w14:textId="77777777" w:rsidR="00DB0855" w:rsidRPr="00E240E6" w:rsidRDefault="00DB0855" w:rsidP="00116EF4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paraugs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A9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7,98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AA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1,67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AB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9,65</w:t>
            </w:r>
          </w:p>
        </w:tc>
      </w:tr>
      <w:tr w:rsidR="00DB0855" w:rsidRPr="004751F5" w14:paraId="45F157B3" w14:textId="77777777" w:rsidTr="00972AA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7AD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11.2.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157AE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dzeramajam ūdenim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57AF" w14:textId="77777777" w:rsidR="00DB0855" w:rsidRPr="00E240E6" w:rsidRDefault="00DB0855" w:rsidP="00116EF4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paraugs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B0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10,24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B1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2,15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B2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12,39</w:t>
            </w:r>
          </w:p>
        </w:tc>
      </w:tr>
      <w:tr w:rsidR="00DB0855" w:rsidRPr="004751F5" w14:paraId="45F157BA" w14:textId="77777777" w:rsidTr="00972AA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7B4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11.3.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157B5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atklāto ūdenstilpju ūdenim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57B6" w14:textId="77777777" w:rsidR="00DB0855" w:rsidRPr="00E240E6" w:rsidRDefault="00DB0855" w:rsidP="00116EF4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paraugs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B7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8,00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B8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1,68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B9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9,68</w:t>
            </w:r>
          </w:p>
        </w:tc>
      </w:tr>
      <w:tr w:rsidR="00DB0855" w:rsidRPr="004751F5" w14:paraId="45F157C1" w14:textId="77777777" w:rsidTr="00972AA9">
        <w:trPr>
          <w:trHeight w:val="315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7BB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11.4.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BC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kuģa notekūdeņiem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57BD" w14:textId="77777777" w:rsidR="00DB0855" w:rsidRPr="00E240E6" w:rsidRDefault="00DB0855" w:rsidP="00116EF4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paraugs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BE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17,25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BF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3,62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C0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20,87</w:t>
            </w:r>
          </w:p>
        </w:tc>
      </w:tr>
      <w:tr w:rsidR="00DB0855" w:rsidRPr="004751F5" w14:paraId="45F157C8" w14:textId="77777777" w:rsidTr="00972AA9">
        <w:trPr>
          <w:trHeight w:val="1260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7C2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12.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C3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Produkta higiēnas novērtējums un dokumenta noformēšana (pakalpojums nav noteikts normatīvajos aktos un tiek sniegts pēc personas brīvprātīga pieprasījuma)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C4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novērtējums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C5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71,74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C6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15,06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C7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86,80</w:t>
            </w:r>
          </w:p>
        </w:tc>
      </w:tr>
      <w:tr w:rsidR="00DB0855" w:rsidRPr="004751F5" w14:paraId="45F157CF" w14:textId="77777777" w:rsidTr="00972AA9">
        <w:trPr>
          <w:trHeight w:val="630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7C9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13.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CA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Veselību ietekmējošo vides faktoru (tai skaitā ķīmisko vielu un produktu) riska izvērtēšana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CB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eksperta stunda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CC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43,18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CD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9,07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CE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52,25</w:t>
            </w:r>
          </w:p>
        </w:tc>
      </w:tr>
      <w:tr w:rsidR="00DB0855" w:rsidRPr="004751F5" w14:paraId="45F157D6" w14:textId="77777777" w:rsidTr="00972AA9">
        <w:trPr>
          <w:trHeight w:val="630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7D0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14.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D1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Seminārs par Veselības inspekcijas kompetencē esošajiem jautājumiem (pēc klienta pieprasījuma)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D2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akadēmiskā stunda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D3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28,27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D4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5,94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D5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34,21</w:t>
            </w:r>
          </w:p>
        </w:tc>
      </w:tr>
      <w:tr w:rsidR="00DB0855" w:rsidRPr="004751F5" w14:paraId="45F157DD" w14:textId="77777777" w:rsidTr="00972AA9">
        <w:trPr>
          <w:trHeight w:val="268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F157D7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15.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D8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Atzinuma sagatavošana par vides faktoru ietekmi uz veselību, būvprojekta novērtēšana (pēc ierosinātāja pieprasījuma)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D9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eksperta stunda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DA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25,70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DB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5,40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DC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31,10</w:t>
            </w:r>
          </w:p>
        </w:tc>
      </w:tr>
      <w:tr w:rsidR="00DB0855" w:rsidRPr="004751F5" w14:paraId="45F157E4" w14:textId="77777777" w:rsidTr="00972AA9">
        <w:trPr>
          <w:trHeight w:val="94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7DE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lastRenderedPageBreak/>
              <w:t>16.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DF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Apmācība par higiēnas prasību nodrošināšanu nodarbinātajiem, kuru darbs saistīts ar iespējamu risku citu cilvēku veselībai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E0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viss kurss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E1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16,55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E2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3,47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E3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20,02</w:t>
            </w:r>
          </w:p>
        </w:tc>
      </w:tr>
      <w:tr w:rsidR="00DB0855" w:rsidRPr="004751F5" w14:paraId="45F157EB" w14:textId="77777777" w:rsidTr="00972AA9">
        <w:trPr>
          <w:trHeight w:val="1260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7E5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17.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E6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Ārstniecības personu un ārstniecības atbalsta personu reģistrācijas apliecības vai ārvalstīs iegūtās profesionālās kvalifikācijas atzīšanas apliecības dublikāta izsniegšana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E7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dublikāts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E8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9,49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E9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1,99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EA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11,48</w:t>
            </w:r>
          </w:p>
        </w:tc>
      </w:tr>
      <w:tr w:rsidR="00DB0855" w:rsidRPr="004751F5" w14:paraId="45F157F2" w14:textId="77777777" w:rsidTr="00972AA9">
        <w:trPr>
          <w:trHeight w:val="945"/>
          <w:jc w:val="center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F157EC" w14:textId="77777777" w:rsidR="00DB0855" w:rsidRPr="00E240E6" w:rsidRDefault="00DB0855" w:rsidP="00E240E6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18.</w:t>
            </w:r>
          </w:p>
        </w:tc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ED" w14:textId="77777777" w:rsidR="00DB0855" w:rsidRPr="00E240E6" w:rsidRDefault="00DB0855" w:rsidP="00116EF4">
            <w:pPr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Statistiskās informācijas materiālu sagatavošana (valsts un pašvaldību institūcijām pakalpojums bez maksas)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57EE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stunda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EF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8,24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F0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1,73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57F1" w14:textId="77777777" w:rsidR="00DB0855" w:rsidRPr="00E240E6" w:rsidRDefault="00DB0855" w:rsidP="00E240E6">
            <w:pPr>
              <w:jc w:val="center"/>
              <w:rPr>
                <w:color w:val="000000"/>
                <w:lang w:eastAsia="en-US"/>
              </w:rPr>
            </w:pPr>
            <w:r w:rsidRPr="00E240E6">
              <w:rPr>
                <w:color w:val="000000"/>
                <w:lang w:eastAsia="en-US"/>
              </w:rPr>
              <w:t>9,97</w:t>
            </w:r>
          </w:p>
        </w:tc>
      </w:tr>
    </w:tbl>
    <w:p w14:paraId="45F157F3" w14:textId="77777777" w:rsidR="00DB0855" w:rsidRPr="004751F5" w:rsidRDefault="00DB0855" w:rsidP="00D95C26">
      <w:pPr>
        <w:ind w:firstLine="709"/>
        <w:jc w:val="both"/>
        <w:rPr>
          <w:b/>
          <w:bCs/>
          <w:sz w:val="28"/>
          <w:szCs w:val="28"/>
        </w:rPr>
      </w:pPr>
    </w:p>
    <w:p w14:paraId="45F157F5" w14:textId="64A98CB3" w:rsidR="004B63EE" w:rsidRPr="004751F5" w:rsidRDefault="00617CF3" w:rsidP="00D95C26">
      <w:pPr>
        <w:ind w:firstLine="709"/>
        <w:jc w:val="both"/>
      </w:pPr>
      <w:r w:rsidRPr="004751F5">
        <w:t>Piezīme.</w:t>
      </w:r>
      <w:r w:rsidR="004751F5" w:rsidRPr="004751F5">
        <w:t xml:space="preserve"> </w:t>
      </w:r>
      <w:r w:rsidR="009A61D9" w:rsidRPr="004751F5">
        <w:t>*</w:t>
      </w:r>
      <w:r w:rsidR="00E240E6">
        <w:t xml:space="preserve"> </w:t>
      </w:r>
      <w:r w:rsidRPr="004751F5">
        <w:t xml:space="preserve">Pievienotās vērtības nodokli nepiemēro saskaņā ar </w:t>
      </w:r>
      <w:r w:rsidR="00F358FB" w:rsidRPr="004751F5">
        <w:t>Pievienotās vērtības nodokļa likuma 3</w:t>
      </w:r>
      <w:r w:rsidR="00F46962" w:rsidRPr="004751F5">
        <w:t xml:space="preserve">.panta </w:t>
      </w:r>
      <w:r w:rsidR="00F358FB" w:rsidRPr="004751F5">
        <w:t>astoto</w:t>
      </w:r>
      <w:r w:rsidR="00F46962" w:rsidRPr="004751F5">
        <w:t xml:space="preserve"> </w:t>
      </w:r>
      <w:r w:rsidRPr="004751F5">
        <w:t>daļu.</w:t>
      </w:r>
    </w:p>
    <w:p w14:paraId="45F157F6" w14:textId="77777777" w:rsidR="00907864" w:rsidRPr="004751F5" w:rsidRDefault="00907864" w:rsidP="00116EF4">
      <w:pPr>
        <w:jc w:val="both"/>
      </w:pPr>
    </w:p>
    <w:p w14:paraId="45F157F8" w14:textId="77777777" w:rsidR="00DB0855" w:rsidRPr="004751F5" w:rsidRDefault="00DB0855" w:rsidP="00116EF4">
      <w:pPr>
        <w:jc w:val="center"/>
        <w:rPr>
          <w:color w:val="000000"/>
          <w:sz w:val="28"/>
          <w:szCs w:val="28"/>
        </w:rPr>
      </w:pPr>
    </w:p>
    <w:p w14:paraId="45F157F9" w14:textId="77777777" w:rsidR="00DB0855" w:rsidRPr="004751F5" w:rsidRDefault="00DB0855" w:rsidP="00116EF4">
      <w:pPr>
        <w:jc w:val="center"/>
        <w:rPr>
          <w:color w:val="000000"/>
          <w:sz w:val="28"/>
          <w:szCs w:val="28"/>
        </w:rPr>
      </w:pPr>
    </w:p>
    <w:p w14:paraId="45F157FA" w14:textId="416FC22A" w:rsidR="00F358FB" w:rsidRPr="004751F5" w:rsidRDefault="00F358FB" w:rsidP="00116EF4">
      <w:pPr>
        <w:tabs>
          <w:tab w:val="left" w:pos="6237"/>
        </w:tabs>
        <w:ind w:firstLine="709"/>
        <w:rPr>
          <w:sz w:val="28"/>
          <w:szCs w:val="28"/>
        </w:rPr>
      </w:pPr>
      <w:r w:rsidRPr="004751F5">
        <w:rPr>
          <w:color w:val="000000"/>
          <w:sz w:val="28"/>
          <w:szCs w:val="28"/>
        </w:rPr>
        <w:t>Veselīb</w:t>
      </w:r>
      <w:r w:rsidR="004751F5">
        <w:rPr>
          <w:sz w:val="28"/>
          <w:szCs w:val="28"/>
        </w:rPr>
        <w:t xml:space="preserve">as ministre </w:t>
      </w:r>
      <w:r w:rsidR="004751F5">
        <w:rPr>
          <w:sz w:val="28"/>
          <w:szCs w:val="28"/>
        </w:rPr>
        <w:tab/>
      </w:r>
      <w:r w:rsidRPr="004751F5">
        <w:rPr>
          <w:sz w:val="28"/>
          <w:szCs w:val="28"/>
        </w:rPr>
        <w:t>I</w:t>
      </w:r>
      <w:r w:rsidR="004751F5">
        <w:rPr>
          <w:sz w:val="28"/>
          <w:szCs w:val="28"/>
        </w:rPr>
        <w:t xml:space="preserve">ngrīda </w:t>
      </w:r>
      <w:r w:rsidRPr="004751F5">
        <w:rPr>
          <w:sz w:val="28"/>
          <w:szCs w:val="28"/>
        </w:rPr>
        <w:t>Circene</w:t>
      </w:r>
    </w:p>
    <w:p w14:paraId="45F157FB" w14:textId="77777777" w:rsidR="00F358FB" w:rsidRPr="004751F5" w:rsidRDefault="00F358FB" w:rsidP="00116EF4">
      <w:pPr>
        <w:rPr>
          <w:sz w:val="28"/>
          <w:szCs w:val="28"/>
        </w:rPr>
      </w:pPr>
    </w:p>
    <w:sectPr w:rsidR="00F358FB" w:rsidRPr="004751F5" w:rsidSect="00116EF4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15807" w14:textId="77777777" w:rsidR="009479EC" w:rsidRDefault="009479EC" w:rsidP="00F03261">
      <w:r>
        <w:separator/>
      </w:r>
    </w:p>
  </w:endnote>
  <w:endnote w:type="continuationSeparator" w:id="0">
    <w:p w14:paraId="45F15808" w14:textId="77777777" w:rsidR="009479EC" w:rsidRDefault="009479EC" w:rsidP="00F0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E84A5" w14:textId="77777777" w:rsidR="00116EF4" w:rsidRPr="00116EF4" w:rsidRDefault="00116EF4" w:rsidP="00116EF4">
    <w:pPr>
      <w:pStyle w:val="Footer"/>
      <w:jc w:val="both"/>
      <w:rPr>
        <w:sz w:val="16"/>
        <w:szCs w:val="16"/>
      </w:rPr>
    </w:pPr>
    <w:r w:rsidRPr="00116EF4">
      <w:rPr>
        <w:sz w:val="16"/>
        <w:szCs w:val="16"/>
      </w:rPr>
      <w:t>N2028_3p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1580E" w14:textId="449605D6" w:rsidR="009479EC" w:rsidRPr="00116EF4" w:rsidRDefault="00116EF4" w:rsidP="00DB0855">
    <w:pPr>
      <w:pStyle w:val="Footer"/>
      <w:jc w:val="both"/>
      <w:rPr>
        <w:sz w:val="16"/>
        <w:szCs w:val="16"/>
      </w:rPr>
    </w:pPr>
    <w:r w:rsidRPr="00116EF4">
      <w:rPr>
        <w:sz w:val="16"/>
        <w:szCs w:val="16"/>
      </w:rPr>
      <w:t>N2028_3p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15805" w14:textId="77777777" w:rsidR="009479EC" w:rsidRDefault="009479EC" w:rsidP="00F03261">
      <w:r>
        <w:separator/>
      </w:r>
    </w:p>
  </w:footnote>
  <w:footnote w:type="continuationSeparator" w:id="0">
    <w:p w14:paraId="45F15806" w14:textId="77777777" w:rsidR="009479EC" w:rsidRDefault="009479EC" w:rsidP="00F03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15809" w14:textId="77777777" w:rsidR="009479EC" w:rsidRDefault="00E01EB6" w:rsidP="00C247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79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F1580A" w14:textId="77777777" w:rsidR="009479EC" w:rsidRDefault="009479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1580B" w14:textId="77777777" w:rsidR="009479EC" w:rsidRDefault="00E01EB6" w:rsidP="00C247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79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4784">
      <w:rPr>
        <w:rStyle w:val="PageNumber"/>
        <w:noProof/>
      </w:rPr>
      <w:t>4</w:t>
    </w:r>
    <w:r>
      <w:rPr>
        <w:rStyle w:val="PageNumber"/>
      </w:rPr>
      <w:fldChar w:fldCharType="end"/>
    </w:r>
  </w:p>
  <w:p w14:paraId="45F1580C" w14:textId="77777777" w:rsidR="009479EC" w:rsidRDefault="009479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261"/>
    <w:rsid w:val="00001E9C"/>
    <w:rsid w:val="0005063F"/>
    <w:rsid w:val="00051DFE"/>
    <w:rsid w:val="00062701"/>
    <w:rsid w:val="00063746"/>
    <w:rsid w:val="00077753"/>
    <w:rsid w:val="000A1A0D"/>
    <w:rsid w:val="000A3074"/>
    <w:rsid w:val="000B2A7B"/>
    <w:rsid w:val="000B7F79"/>
    <w:rsid w:val="000F2272"/>
    <w:rsid w:val="000F4948"/>
    <w:rsid w:val="001142B3"/>
    <w:rsid w:val="00116EF4"/>
    <w:rsid w:val="00120892"/>
    <w:rsid w:val="00125168"/>
    <w:rsid w:val="001404FF"/>
    <w:rsid w:val="001520DD"/>
    <w:rsid w:val="00154318"/>
    <w:rsid w:val="001A783D"/>
    <w:rsid w:val="001B045E"/>
    <w:rsid w:val="001C132D"/>
    <w:rsid w:val="001E19EB"/>
    <w:rsid w:val="00206DBA"/>
    <w:rsid w:val="00213C34"/>
    <w:rsid w:val="00232D15"/>
    <w:rsid w:val="00242190"/>
    <w:rsid w:val="00245B91"/>
    <w:rsid w:val="002460C6"/>
    <w:rsid w:val="0027365D"/>
    <w:rsid w:val="00275801"/>
    <w:rsid w:val="002851AF"/>
    <w:rsid w:val="00285BF5"/>
    <w:rsid w:val="002A553D"/>
    <w:rsid w:val="002B5596"/>
    <w:rsid w:val="002F4534"/>
    <w:rsid w:val="00304F2B"/>
    <w:rsid w:val="00307557"/>
    <w:rsid w:val="00326124"/>
    <w:rsid w:val="00335F95"/>
    <w:rsid w:val="00341DFE"/>
    <w:rsid w:val="00346D1B"/>
    <w:rsid w:val="0036550A"/>
    <w:rsid w:val="003743C8"/>
    <w:rsid w:val="00392DA5"/>
    <w:rsid w:val="0039491B"/>
    <w:rsid w:val="003A3EA7"/>
    <w:rsid w:val="003B138F"/>
    <w:rsid w:val="003E090B"/>
    <w:rsid w:val="003F4744"/>
    <w:rsid w:val="004158D3"/>
    <w:rsid w:val="00423E5C"/>
    <w:rsid w:val="00424463"/>
    <w:rsid w:val="00425138"/>
    <w:rsid w:val="004330FE"/>
    <w:rsid w:val="00472AA2"/>
    <w:rsid w:val="0047371C"/>
    <w:rsid w:val="004751F5"/>
    <w:rsid w:val="00485EBC"/>
    <w:rsid w:val="004A60AB"/>
    <w:rsid w:val="004B2F21"/>
    <w:rsid w:val="004B63EE"/>
    <w:rsid w:val="004E233B"/>
    <w:rsid w:val="004E2E3D"/>
    <w:rsid w:val="00516D5E"/>
    <w:rsid w:val="00527930"/>
    <w:rsid w:val="00543408"/>
    <w:rsid w:val="00550C93"/>
    <w:rsid w:val="00570BC4"/>
    <w:rsid w:val="005C4D8C"/>
    <w:rsid w:val="005E152A"/>
    <w:rsid w:val="006129C8"/>
    <w:rsid w:val="00617CF3"/>
    <w:rsid w:val="006304B0"/>
    <w:rsid w:val="00640AC9"/>
    <w:rsid w:val="00652CA9"/>
    <w:rsid w:val="00654784"/>
    <w:rsid w:val="0065750B"/>
    <w:rsid w:val="00666002"/>
    <w:rsid w:val="00667EF7"/>
    <w:rsid w:val="00685987"/>
    <w:rsid w:val="006B5B08"/>
    <w:rsid w:val="007025A8"/>
    <w:rsid w:val="007132B0"/>
    <w:rsid w:val="00717F51"/>
    <w:rsid w:val="00733627"/>
    <w:rsid w:val="007578C6"/>
    <w:rsid w:val="00781894"/>
    <w:rsid w:val="00783DD6"/>
    <w:rsid w:val="00795079"/>
    <w:rsid w:val="007A4DE5"/>
    <w:rsid w:val="007B0E02"/>
    <w:rsid w:val="007B1A1B"/>
    <w:rsid w:val="007B696C"/>
    <w:rsid w:val="007E0B8C"/>
    <w:rsid w:val="00812FB9"/>
    <w:rsid w:val="00827D52"/>
    <w:rsid w:val="00844F44"/>
    <w:rsid w:val="00850A16"/>
    <w:rsid w:val="00860A15"/>
    <w:rsid w:val="00861590"/>
    <w:rsid w:val="00870C3B"/>
    <w:rsid w:val="00877920"/>
    <w:rsid w:val="00877DA2"/>
    <w:rsid w:val="008800B9"/>
    <w:rsid w:val="008C532C"/>
    <w:rsid w:val="008E532D"/>
    <w:rsid w:val="00907864"/>
    <w:rsid w:val="00913ABC"/>
    <w:rsid w:val="00925A7B"/>
    <w:rsid w:val="009479EC"/>
    <w:rsid w:val="00947E3D"/>
    <w:rsid w:val="00972AA9"/>
    <w:rsid w:val="00977571"/>
    <w:rsid w:val="0099642A"/>
    <w:rsid w:val="009A61D9"/>
    <w:rsid w:val="009A6D2A"/>
    <w:rsid w:val="009B6016"/>
    <w:rsid w:val="009C6F7E"/>
    <w:rsid w:val="009D6924"/>
    <w:rsid w:val="009F5CBD"/>
    <w:rsid w:val="00A023C6"/>
    <w:rsid w:val="00A041CE"/>
    <w:rsid w:val="00A253A2"/>
    <w:rsid w:val="00A26267"/>
    <w:rsid w:val="00A56535"/>
    <w:rsid w:val="00A6769B"/>
    <w:rsid w:val="00AB6437"/>
    <w:rsid w:val="00AF4D4B"/>
    <w:rsid w:val="00B10C23"/>
    <w:rsid w:val="00B1184F"/>
    <w:rsid w:val="00B215E6"/>
    <w:rsid w:val="00B32D75"/>
    <w:rsid w:val="00B3486A"/>
    <w:rsid w:val="00B35B97"/>
    <w:rsid w:val="00B40D13"/>
    <w:rsid w:val="00B44E67"/>
    <w:rsid w:val="00B57B67"/>
    <w:rsid w:val="00B80416"/>
    <w:rsid w:val="00B81608"/>
    <w:rsid w:val="00B92C7D"/>
    <w:rsid w:val="00B97559"/>
    <w:rsid w:val="00BE1B01"/>
    <w:rsid w:val="00BE362B"/>
    <w:rsid w:val="00BF3F3B"/>
    <w:rsid w:val="00BF59C2"/>
    <w:rsid w:val="00BF76B8"/>
    <w:rsid w:val="00C14F23"/>
    <w:rsid w:val="00C247B7"/>
    <w:rsid w:val="00C24B08"/>
    <w:rsid w:val="00C2601B"/>
    <w:rsid w:val="00C33EE7"/>
    <w:rsid w:val="00C351CF"/>
    <w:rsid w:val="00C36312"/>
    <w:rsid w:val="00C3632C"/>
    <w:rsid w:val="00C56C01"/>
    <w:rsid w:val="00C618F6"/>
    <w:rsid w:val="00C941C2"/>
    <w:rsid w:val="00C95610"/>
    <w:rsid w:val="00CB579F"/>
    <w:rsid w:val="00CB6B6D"/>
    <w:rsid w:val="00CC0608"/>
    <w:rsid w:val="00CC7356"/>
    <w:rsid w:val="00CD3CAA"/>
    <w:rsid w:val="00CD61C0"/>
    <w:rsid w:val="00CF0603"/>
    <w:rsid w:val="00CF7F66"/>
    <w:rsid w:val="00D02E45"/>
    <w:rsid w:val="00D04465"/>
    <w:rsid w:val="00D2284F"/>
    <w:rsid w:val="00D31398"/>
    <w:rsid w:val="00D3354D"/>
    <w:rsid w:val="00D4257C"/>
    <w:rsid w:val="00D44008"/>
    <w:rsid w:val="00D45338"/>
    <w:rsid w:val="00D63F09"/>
    <w:rsid w:val="00D677AC"/>
    <w:rsid w:val="00D77C70"/>
    <w:rsid w:val="00D86B9C"/>
    <w:rsid w:val="00D9333F"/>
    <w:rsid w:val="00D95C26"/>
    <w:rsid w:val="00DB0855"/>
    <w:rsid w:val="00DB2614"/>
    <w:rsid w:val="00DB2D3A"/>
    <w:rsid w:val="00DC1E13"/>
    <w:rsid w:val="00DE254E"/>
    <w:rsid w:val="00E01EB6"/>
    <w:rsid w:val="00E240E6"/>
    <w:rsid w:val="00E25ACE"/>
    <w:rsid w:val="00E26D31"/>
    <w:rsid w:val="00E422CF"/>
    <w:rsid w:val="00E43300"/>
    <w:rsid w:val="00E7041D"/>
    <w:rsid w:val="00E72179"/>
    <w:rsid w:val="00E75D03"/>
    <w:rsid w:val="00E82998"/>
    <w:rsid w:val="00E9460D"/>
    <w:rsid w:val="00E97EFC"/>
    <w:rsid w:val="00EB062D"/>
    <w:rsid w:val="00EB250D"/>
    <w:rsid w:val="00EB6A73"/>
    <w:rsid w:val="00EB74FA"/>
    <w:rsid w:val="00EF6BB0"/>
    <w:rsid w:val="00F01675"/>
    <w:rsid w:val="00F0200D"/>
    <w:rsid w:val="00F03261"/>
    <w:rsid w:val="00F04015"/>
    <w:rsid w:val="00F07DE8"/>
    <w:rsid w:val="00F17749"/>
    <w:rsid w:val="00F20866"/>
    <w:rsid w:val="00F30DAA"/>
    <w:rsid w:val="00F358FB"/>
    <w:rsid w:val="00F41B7F"/>
    <w:rsid w:val="00F42A18"/>
    <w:rsid w:val="00F46962"/>
    <w:rsid w:val="00F83F68"/>
    <w:rsid w:val="00F861E9"/>
    <w:rsid w:val="00FA3874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F15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261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F03261"/>
    <w:pPr>
      <w:keepNext/>
      <w:jc w:val="both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3261"/>
    <w:rPr>
      <w:rFonts w:ascii="Times New Roman" w:eastAsia="Times New Roman" w:hAnsi="Times New Roman" w:cs="Times New Roman"/>
      <w:sz w:val="28"/>
      <w:szCs w:val="24"/>
      <w:lang w:val="lv-LV"/>
    </w:rPr>
  </w:style>
  <w:style w:type="paragraph" w:customStyle="1" w:styleId="naislab">
    <w:name w:val="naislab"/>
    <w:basedOn w:val="Normal"/>
    <w:rsid w:val="00F03261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F032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26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F03261"/>
  </w:style>
  <w:style w:type="character" w:styleId="Hyperlink">
    <w:name w:val="Hyperlink"/>
    <w:basedOn w:val="DefaultParagraphFont"/>
    <w:uiPriority w:val="99"/>
    <w:rsid w:val="00F03261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F032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26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semiHidden/>
    <w:rsid w:val="00667EF7"/>
    <w:rPr>
      <w:sz w:val="16"/>
      <w:szCs w:val="16"/>
    </w:rPr>
  </w:style>
  <w:style w:type="paragraph" w:styleId="CommentText">
    <w:name w:val="annotation text"/>
    <w:basedOn w:val="Normal"/>
    <w:semiHidden/>
    <w:rsid w:val="00667EF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67EF7"/>
    <w:rPr>
      <w:b/>
      <w:bCs/>
    </w:rPr>
  </w:style>
  <w:style w:type="paragraph" w:styleId="BalloonText">
    <w:name w:val="Balloon Text"/>
    <w:basedOn w:val="Normal"/>
    <w:semiHidden/>
    <w:rsid w:val="00667EF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C4D8C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C4D8C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naisnod">
    <w:name w:val="naisnod"/>
    <w:basedOn w:val="Normal"/>
    <w:rsid w:val="004B63EE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4B63EE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naisvisr">
    <w:name w:val="naisvisr"/>
    <w:basedOn w:val="Normal"/>
    <w:rsid w:val="004B63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98E2C-7D40-4C12-AA23-552B0B0A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4606</Words>
  <Characters>2626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noteikumu „Veselības inspekcijas maksas pakalpojumu cenrādis” projektam </vt:lpstr>
    </vt:vector>
  </TitlesOfParts>
  <Company>Veselības ministrija</Company>
  <LinksUpToDate>false</LinksUpToDate>
  <CharactersWithSpaces>7218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„Veselības inspekcijas maksas pakalpojumu cenrādis” projektam </dc:title>
  <dc:subject>Noteikumu projekta pielikums</dc:subject>
  <dc:creator>Žanete Zvaigzne</dc:creator>
  <cp:keywords/>
  <dc:description>Budžeta un investīciju departamenta, Budžeta plānošanas nodaļa,67876041, Zanete.Zvaigzne@vm.gov.lv</dc:description>
  <cp:lastModifiedBy>Leontīne Babkina</cp:lastModifiedBy>
  <cp:revision>20</cp:revision>
  <cp:lastPrinted>2013-08-16T06:57:00Z</cp:lastPrinted>
  <dcterms:created xsi:type="dcterms:W3CDTF">2013-04-19T08:46:00Z</dcterms:created>
  <dcterms:modified xsi:type="dcterms:W3CDTF">2013-08-28T14:43:00Z</dcterms:modified>
</cp:coreProperties>
</file>