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7199D" w14:textId="77777777" w:rsidR="00F03261" w:rsidRPr="009A66E1" w:rsidRDefault="00F03261" w:rsidP="009A66E1">
      <w:pPr>
        <w:pStyle w:val="naislab"/>
        <w:spacing w:before="0" w:after="0"/>
        <w:ind w:left="5840"/>
        <w:rPr>
          <w:sz w:val="28"/>
          <w:lang w:eastAsia="en-US"/>
        </w:rPr>
      </w:pPr>
      <w:bookmarkStart w:id="0" w:name="OLE_LINK10"/>
      <w:bookmarkStart w:id="1" w:name="OLE_LINK11"/>
      <w:r w:rsidRPr="009A66E1">
        <w:rPr>
          <w:sz w:val="28"/>
          <w:lang w:eastAsia="en-US"/>
        </w:rPr>
        <w:t>Pielikums</w:t>
      </w:r>
    </w:p>
    <w:p w14:paraId="3532B1E0" w14:textId="77777777" w:rsidR="009A66E1" w:rsidRPr="009A66E1" w:rsidRDefault="00F03261" w:rsidP="009A66E1">
      <w:pPr>
        <w:jc w:val="right"/>
        <w:rPr>
          <w:sz w:val="28"/>
          <w:lang w:eastAsia="en-US"/>
        </w:rPr>
      </w:pPr>
      <w:r w:rsidRPr="009A66E1">
        <w:rPr>
          <w:sz w:val="28"/>
          <w:lang w:eastAsia="en-US"/>
        </w:rPr>
        <w:t xml:space="preserve">Ministru kabineta </w:t>
      </w:r>
    </w:p>
    <w:p w14:paraId="1DF7D70B" w14:textId="7397C973" w:rsidR="009A66E1" w:rsidRPr="009A66E1" w:rsidRDefault="009A66E1" w:rsidP="009A66E1">
      <w:pPr>
        <w:jc w:val="right"/>
        <w:rPr>
          <w:sz w:val="28"/>
          <w:lang w:eastAsia="en-US"/>
        </w:rPr>
      </w:pPr>
      <w:r w:rsidRPr="009A66E1">
        <w:rPr>
          <w:sz w:val="28"/>
          <w:lang w:eastAsia="en-US"/>
        </w:rPr>
        <w:t>2013.gada </w:t>
      </w:r>
      <w:r w:rsidR="002702D4">
        <w:rPr>
          <w:sz w:val="28"/>
          <w:lang w:eastAsia="en-US"/>
        </w:rPr>
        <w:t>15.janvāra</w:t>
      </w:r>
    </w:p>
    <w:p w14:paraId="285011F1" w14:textId="44D9228A" w:rsidR="00ED3DCD" w:rsidRPr="009A66E1" w:rsidRDefault="005C4D8C" w:rsidP="009A66E1">
      <w:pPr>
        <w:jc w:val="right"/>
        <w:rPr>
          <w:sz w:val="28"/>
          <w:lang w:eastAsia="en-US"/>
        </w:rPr>
      </w:pPr>
      <w:r w:rsidRPr="009A66E1">
        <w:rPr>
          <w:sz w:val="28"/>
          <w:lang w:eastAsia="en-US"/>
        </w:rPr>
        <w:t>noteikum</w:t>
      </w:r>
      <w:r w:rsidR="009A66E1" w:rsidRPr="009A66E1">
        <w:rPr>
          <w:sz w:val="28"/>
          <w:lang w:eastAsia="en-US"/>
        </w:rPr>
        <w:t>iem Nr. </w:t>
      </w:r>
      <w:r w:rsidR="002702D4">
        <w:rPr>
          <w:sz w:val="28"/>
          <w:lang w:eastAsia="en-US"/>
        </w:rPr>
        <w:t>31</w:t>
      </w:r>
      <w:bookmarkStart w:id="2" w:name="_GoBack"/>
      <w:bookmarkEnd w:id="2"/>
    </w:p>
    <w:bookmarkEnd w:id="0"/>
    <w:bookmarkEnd w:id="1"/>
    <w:p w14:paraId="3587199F" w14:textId="77777777" w:rsidR="000251C9" w:rsidRPr="009A66E1" w:rsidRDefault="000251C9" w:rsidP="009A66E1">
      <w:pPr>
        <w:rPr>
          <w:b/>
          <w:bCs/>
          <w:sz w:val="32"/>
          <w:szCs w:val="28"/>
        </w:rPr>
      </w:pPr>
    </w:p>
    <w:p w14:paraId="358719A0" w14:textId="6A4D3948" w:rsidR="005A0829" w:rsidRPr="00B37CC2" w:rsidRDefault="00ED3DCD" w:rsidP="009A66E1">
      <w:pPr>
        <w:jc w:val="center"/>
        <w:rPr>
          <w:b/>
          <w:bCs/>
        </w:rPr>
      </w:pPr>
      <w:r w:rsidRPr="00B37CC2">
        <w:rPr>
          <w:b/>
          <w:bCs/>
          <w:sz w:val="28"/>
          <w:szCs w:val="28"/>
        </w:rPr>
        <w:t>Ārstniecības personu un ārstniecības atbalsta personu profesionālo zināšanu pārbaudes un sertifikācijas maksas pakalpojumu cenrādis</w:t>
      </w:r>
    </w:p>
    <w:p w14:paraId="358719A1" w14:textId="77777777" w:rsidR="009C587B" w:rsidRPr="00B37CC2" w:rsidRDefault="009C587B" w:rsidP="009A66E1">
      <w:pPr>
        <w:jc w:val="both"/>
        <w:rPr>
          <w:sz w:val="22"/>
          <w:szCs w:val="22"/>
        </w:rPr>
      </w:pPr>
    </w:p>
    <w:tbl>
      <w:tblPr>
        <w:tblW w:w="9286"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1"/>
        <w:gridCol w:w="3650"/>
        <w:gridCol w:w="2126"/>
        <w:gridCol w:w="957"/>
        <w:gridCol w:w="850"/>
        <w:gridCol w:w="992"/>
      </w:tblGrid>
      <w:tr w:rsidR="00B37CC2" w:rsidRPr="00B37CC2" w14:paraId="358719AC" w14:textId="77777777" w:rsidTr="00476DA5">
        <w:trPr>
          <w:trHeight w:val="1104"/>
          <w:jc w:val="center"/>
        </w:trPr>
        <w:tc>
          <w:tcPr>
            <w:tcW w:w="711" w:type="dxa"/>
            <w:vAlign w:val="center"/>
          </w:tcPr>
          <w:p w14:paraId="358719A2" w14:textId="77777777" w:rsidR="006701C3" w:rsidRPr="00B37CC2" w:rsidRDefault="006701C3" w:rsidP="009A66E1">
            <w:pPr>
              <w:jc w:val="center"/>
              <w:rPr>
                <w:bCs/>
              </w:rPr>
            </w:pPr>
            <w:r w:rsidRPr="00B37CC2">
              <w:rPr>
                <w:bCs/>
              </w:rPr>
              <w:t>Nr.</w:t>
            </w:r>
          </w:p>
          <w:p w14:paraId="358719A3" w14:textId="77777777" w:rsidR="009C587B" w:rsidRPr="00B37CC2" w:rsidRDefault="009C587B" w:rsidP="009A66E1">
            <w:pPr>
              <w:jc w:val="center"/>
              <w:rPr>
                <w:bCs/>
              </w:rPr>
            </w:pPr>
            <w:r w:rsidRPr="00B37CC2">
              <w:rPr>
                <w:bCs/>
              </w:rPr>
              <w:t>p.k.</w:t>
            </w:r>
          </w:p>
        </w:tc>
        <w:tc>
          <w:tcPr>
            <w:tcW w:w="3650" w:type="dxa"/>
            <w:vAlign w:val="center"/>
          </w:tcPr>
          <w:p w14:paraId="358719A4" w14:textId="77777777" w:rsidR="009C587B" w:rsidRPr="00B37CC2" w:rsidRDefault="009C587B" w:rsidP="009A66E1">
            <w:pPr>
              <w:jc w:val="center"/>
              <w:rPr>
                <w:bCs/>
              </w:rPr>
            </w:pPr>
            <w:r w:rsidRPr="00B37CC2">
              <w:rPr>
                <w:bCs/>
              </w:rPr>
              <w:t>Pakalpojuma veids</w:t>
            </w:r>
          </w:p>
        </w:tc>
        <w:tc>
          <w:tcPr>
            <w:tcW w:w="2126" w:type="dxa"/>
            <w:vAlign w:val="center"/>
          </w:tcPr>
          <w:p w14:paraId="358719A5" w14:textId="77777777" w:rsidR="009C587B" w:rsidRPr="00B37CC2" w:rsidRDefault="009C587B" w:rsidP="009A66E1">
            <w:pPr>
              <w:jc w:val="center"/>
              <w:rPr>
                <w:bCs/>
              </w:rPr>
            </w:pPr>
            <w:r w:rsidRPr="00B37CC2">
              <w:rPr>
                <w:bCs/>
              </w:rPr>
              <w:t>Mērvienība</w:t>
            </w:r>
          </w:p>
        </w:tc>
        <w:tc>
          <w:tcPr>
            <w:tcW w:w="957" w:type="dxa"/>
            <w:vAlign w:val="center"/>
          </w:tcPr>
          <w:p w14:paraId="358719A6" w14:textId="77777777" w:rsidR="009C587B" w:rsidRPr="00B37CC2" w:rsidRDefault="009C587B" w:rsidP="009A66E1">
            <w:pPr>
              <w:jc w:val="center"/>
            </w:pPr>
            <w:r w:rsidRPr="00B37CC2">
              <w:t>Cena bez PVN</w:t>
            </w:r>
          </w:p>
          <w:p w14:paraId="358719A7" w14:textId="77777777" w:rsidR="009C587B" w:rsidRPr="00B37CC2" w:rsidRDefault="009C587B" w:rsidP="009A66E1">
            <w:pPr>
              <w:jc w:val="center"/>
            </w:pPr>
            <w:r w:rsidRPr="00B37CC2">
              <w:t>(Ls)</w:t>
            </w:r>
          </w:p>
        </w:tc>
        <w:tc>
          <w:tcPr>
            <w:tcW w:w="850" w:type="dxa"/>
            <w:vAlign w:val="center"/>
          </w:tcPr>
          <w:p w14:paraId="358719A8" w14:textId="52E1FCA2" w:rsidR="009C587B" w:rsidRPr="00B37CC2" w:rsidRDefault="009C587B" w:rsidP="009A66E1">
            <w:pPr>
              <w:jc w:val="center"/>
            </w:pPr>
            <w:r w:rsidRPr="00B37CC2">
              <w:t>PVN</w:t>
            </w:r>
          </w:p>
          <w:p w14:paraId="358719A9" w14:textId="282EC414" w:rsidR="009C587B" w:rsidRPr="00B37CC2" w:rsidRDefault="009C587B" w:rsidP="009A66E1">
            <w:pPr>
              <w:jc w:val="center"/>
            </w:pPr>
            <w:r w:rsidRPr="00B37CC2">
              <w:t>(Ls)</w:t>
            </w:r>
            <w:r w:rsidR="00537EBB" w:rsidRPr="00B37CC2">
              <w:t>*</w:t>
            </w:r>
          </w:p>
        </w:tc>
        <w:tc>
          <w:tcPr>
            <w:tcW w:w="992" w:type="dxa"/>
            <w:vAlign w:val="center"/>
          </w:tcPr>
          <w:p w14:paraId="358719AA" w14:textId="77777777" w:rsidR="009C587B" w:rsidRPr="00B37CC2" w:rsidRDefault="009C587B" w:rsidP="009A66E1">
            <w:pPr>
              <w:jc w:val="center"/>
            </w:pPr>
            <w:r w:rsidRPr="00B37CC2">
              <w:t>Cena ar PVN</w:t>
            </w:r>
          </w:p>
          <w:p w14:paraId="358719AB" w14:textId="77777777" w:rsidR="009C587B" w:rsidRPr="00B37CC2" w:rsidRDefault="009C587B" w:rsidP="009A66E1">
            <w:pPr>
              <w:jc w:val="center"/>
            </w:pPr>
            <w:r w:rsidRPr="00B37CC2">
              <w:t>(Ls)</w:t>
            </w:r>
          </w:p>
        </w:tc>
      </w:tr>
      <w:tr w:rsidR="00B37CC2" w:rsidRPr="00B37CC2" w14:paraId="358719B4" w14:textId="77777777" w:rsidTr="00476DA5">
        <w:trPr>
          <w:trHeight w:val="1104"/>
          <w:jc w:val="center"/>
        </w:trPr>
        <w:tc>
          <w:tcPr>
            <w:tcW w:w="711" w:type="dxa"/>
          </w:tcPr>
          <w:p w14:paraId="358719AD" w14:textId="77777777" w:rsidR="009C587B" w:rsidRPr="00B37CC2" w:rsidRDefault="009C587B" w:rsidP="009A66E1">
            <w:pPr>
              <w:jc w:val="center"/>
            </w:pPr>
            <w:r w:rsidRPr="00B37CC2">
              <w:t>1.</w:t>
            </w:r>
          </w:p>
        </w:tc>
        <w:tc>
          <w:tcPr>
            <w:tcW w:w="3650" w:type="dxa"/>
          </w:tcPr>
          <w:p w14:paraId="358719AE" w14:textId="4F63072E" w:rsidR="009C587B" w:rsidRPr="00B37CC2" w:rsidRDefault="009C587B" w:rsidP="009A66E1">
            <w:r w:rsidRPr="00B37CC2">
              <w:t>Profesionālās darbības pārskata izvērtēšana</w:t>
            </w:r>
            <w:r w:rsidR="002901E0" w:rsidRPr="00B37CC2">
              <w:t xml:space="preserve"> </w:t>
            </w:r>
          </w:p>
        </w:tc>
        <w:tc>
          <w:tcPr>
            <w:tcW w:w="2126" w:type="dxa"/>
          </w:tcPr>
          <w:p w14:paraId="358719AF" w14:textId="77777777" w:rsidR="009C587B" w:rsidRPr="00B37CC2" w:rsidRDefault="006701C3" w:rsidP="009A66E1">
            <w:pPr>
              <w:jc w:val="center"/>
            </w:pPr>
            <w:r w:rsidRPr="00B37CC2">
              <w:t>aptaujas anketa</w:t>
            </w:r>
          </w:p>
          <w:p w14:paraId="358719B0" w14:textId="77777777" w:rsidR="009C587B" w:rsidRPr="00B37CC2" w:rsidRDefault="009C587B" w:rsidP="009A66E1">
            <w:pPr>
              <w:jc w:val="center"/>
            </w:pPr>
          </w:p>
        </w:tc>
        <w:tc>
          <w:tcPr>
            <w:tcW w:w="957" w:type="dxa"/>
          </w:tcPr>
          <w:p w14:paraId="358719B1" w14:textId="77777777" w:rsidR="009C587B" w:rsidRPr="00B37CC2" w:rsidRDefault="009C587B" w:rsidP="009A66E1">
            <w:pPr>
              <w:jc w:val="center"/>
            </w:pPr>
            <w:r w:rsidRPr="00B37CC2">
              <w:t>10,00</w:t>
            </w:r>
          </w:p>
        </w:tc>
        <w:tc>
          <w:tcPr>
            <w:tcW w:w="850" w:type="dxa"/>
          </w:tcPr>
          <w:p w14:paraId="358719B2" w14:textId="77777777" w:rsidR="009C587B" w:rsidRPr="00B37CC2" w:rsidRDefault="009C587B" w:rsidP="009A66E1">
            <w:pPr>
              <w:jc w:val="center"/>
            </w:pPr>
            <w:r w:rsidRPr="00B37CC2">
              <w:t>0,00</w:t>
            </w:r>
          </w:p>
        </w:tc>
        <w:tc>
          <w:tcPr>
            <w:tcW w:w="992" w:type="dxa"/>
          </w:tcPr>
          <w:p w14:paraId="358719B3" w14:textId="77777777" w:rsidR="009C587B" w:rsidRPr="00B37CC2" w:rsidRDefault="009C587B" w:rsidP="009A66E1">
            <w:pPr>
              <w:jc w:val="center"/>
            </w:pPr>
            <w:r w:rsidRPr="00B37CC2">
              <w:t>10,00</w:t>
            </w:r>
          </w:p>
        </w:tc>
      </w:tr>
      <w:tr w:rsidR="00B37CC2" w:rsidRPr="00B37CC2" w14:paraId="358719BB" w14:textId="77777777" w:rsidTr="00476DA5">
        <w:trPr>
          <w:trHeight w:val="1104"/>
          <w:jc w:val="center"/>
        </w:trPr>
        <w:tc>
          <w:tcPr>
            <w:tcW w:w="711" w:type="dxa"/>
          </w:tcPr>
          <w:p w14:paraId="358719B5" w14:textId="77777777" w:rsidR="009C587B" w:rsidRPr="00B37CC2" w:rsidRDefault="009C587B" w:rsidP="009A66E1">
            <w:pPr>
              <w:jc w:val="center"/>
            </w:pPr>
            <w:r w:rsidRPr="00B37CC2">
              <w:t>2.</w:t>
            </w:r>
          </w:p>
        </w:tc>
        <w:tc>
          <w:tcPr>
            <w:tcW w:w="3650" w:type="dxa"/>
          </w:tcPr>
          <w:p w14:paraId="358719B6" w14:textId="041C5E87" w:rsidR="009C587B" w:rsidRPr="00B37CC2" w:rsidRDefault="00ED3DCD" w:rsidP="009A66E1">
            <w:r w:rsidRPr="00B37CC2">
              <w:t xml:space="preserve">Sertifikācijas eksāmena praktiskās daļas </w:t>
            </w:r>
            <w:r w:rsidR="002901E0" w:rsidRPr="00B37CC2">
              <w:t>kārtošana</w:t>
            </w:r>
          </w:p>
        </w:tc>
        <w:tc>
          <w:tcPr>
            <w:tcW w:w="2126" w:type="dxa"/>
          </w:tcPr>
          <w:p w14:paraId="358719B7" w14:textId="77777777" w:rsidR="009C587B" w:rsidRPr="00B37CC2" w:rsidRDefault="009C587B" w:rsidP="009A66E1">
            <w:pPr>
              <w:jc w:val="center"/>
            </w:pPr>
            <w:r w:rsidRPr="00B37CC2">
              <w:t>sertifikācijas eksāmens</w:t>
            </w:r>
          </w:p>
        </w:tc>
        <w:tc>
          <w:tcPr>
            <w:tcW w:w="957" w:type="dxa"/>
          </w:tcPr>
          <w:p w14:paraId="358719B8" w14:textId="77777777" w:rsidR="009C587B" w:rsidRPr="00B37CC2" w:rsidRDefault="009C587B" w:rsidP="009A66E1">
            <w:pPr>
              <w:jc w:val="center"/>
            </w:pPr>
            <w:r w:rsidRPr="00B37CC2">
              <w:t>10,00</w:t>
            </w:r>
          </w:p>
        </w:tc>
        <w:tc>
          <w:tcPr>
            <w:tcW w:w="850" w:type="dxa"/>
          </w:tcPr>
          <w:p w14:paraId="358719B9" w14:textId="77777777" w:rsidR="009C587B" w:rsidRPr="00B37CC2" w:rsidRDefault="009C587B" w:rsidP="009A66E1">
            <w:pPr>
              <w:jc w:val="center"/>
            </w:pPr>
            <w:r w:rsidRPr="00B37CC2">
              <w:t>0,00</w:t>
            </w:r>
          </w:p>
        </w:tc>
        <w:tc>
          <w:tcPr>
            <w:tcW w:w="992" w:type="dxa"/>
          </w:tcPr>
          <w:p w14:paraId="358719BA" w14:textId="77777777" w:rsidR="009C587B" w:rsidRPr="00B37CC2" w:rsidRDefault="009C587B" w:rsidP="009A66E1">
            <w:pPr>
              <w:jc w:val="center"/>
            </w:pPr>
            <w:r w:rsidRPr="00B37CC2">
              <w:t>10,00</w:t>
            </w:r>
          </w:p>
        </w:tc>
      </w:tr>
      <w:tr w:rsidR="00B37CC2" w:rsidRPr="00B37CC2" w14:paraId="358719C2" w14:textId="77777777" w:rsidTr="00476DA5">
        <w:trPr>
          <w:trHeight w:val="1104"/>
          <w:jc w:val="center"/>
        </w:trPr>
        <w:tc>
          <w:tcPr>
            <w:tcW w:w="711" w:type="dxa"/>
          </w:tcPr>
          <w:p w14:paraId="358719BC" w14:textId="77777777" w:rsidR="009C587B" w:rsidRPr="00B37CC2" w:rsidRDefault="009C587B" w:rsidP="009A66E1">
            <w:pPr>
              <w:jc w:val="center"/>
            </w:pPr>
            <w:r w:rsidRPr="00B37CC2">
              <w:t>3.</w:t>
            </w:r>
          </w:p>
        </w:tc>
        <w:tc>
          <w:tcPr>
            <w:tcW w:w="3650" w:type="dxa"/>
          </w:tcPr>
          <w:p w14:paraId="358719BD" w14:textId="392169D7" w:rsidR="009C587B" w:rsidRPr="00B37CC2" w:rsidRDefault="002901E0" w:rsidP="009A66E1">
            <w:r w:rsidRPr="00B37CC2">
              <w:t xml:space="preserve">Sertifikācijas eksāmena teorētiskās daļas </w:t>
            </w:r>
            <w:r w:rsidR="00476DA5" w:rsidRPr="00B37CC2">
              <w:t>kārtošana</w:t>
            </w:r>
          </w:p>
        </w:tc>
        <w:tc>
          <w:tcPr>
            <w:tcW w:w="2126" w:type="dxa"/>
          </w:tcPr>
          <w:p w14:paraId="358719BE" w14:textId="77777777" w:rsidR="009C587B" w:rsidRPr="00B37CC2" w:rsidRDefault="009C587B" w:rsidP="009A66E1">
            <w:pPr>
              <w:jc w:val="center"/>
            </w:pPr>
            <w:r w:rsidRPr="00B37CC2">
              <w:t>sertifikācijas eksāmens</w:t>
            </w:r>
          </w:p>
        </w:tc>
        <w:tc>
          <w:tcPr>
            <w:tcW w:w="957" w:type="dxa"/>
          </w:tcPr>
          <w:p w14:paraId="358719BF" w14:textId="77777777" w:rsidR="009C587B" w:rsidRPr="00B37CC2" w:rsidRDefault="009C587B" w:rsidP="009A66E1">
            <w:pPr>
              <w:jc w:val="center"/>
            </w:pPr>
            <w:r w:rsidRPr="00B37CC2">
              <w:t>15,00</w:t>
            </w:r>
          </w:p>
        </w:tc>
        <w:tc>
          <w:tcPr>
            <w:tcW w:w="850" w:type="dxa"/>
          </w:tcPr>
          <w:p w14:paraId="358719C0" w14:textId="77777777" w:rsidR="009C587B" w:rsidRPr="00B37CC2" w:rsidRDefault="009C587B" w:rsidP="009A66E1">
            <w:pPr>
              <w:jc w:val="center"/>
            </w:pPr>
            <w:r w:rsidRPr="00B37CC2">
              <w:t>0,00</w:t>
            </w:r>
          </w:p>
        </w:tc>
        <w:tc>
          <w:tcPr>
            <w:tcW w:w="992" w:type="dxa"/>
          </w:tcPr>
          <w:p w14:paraId="358719C1" w14:textId="77777777" w:rsidR="009C587B" w:rsidRPr="00B37CC2" w:rsidRDefault="009C587B" w:rsidP="009A66E1">
            <w:pPr>
              <w:jc w:val="center"/>
            </w:pPr>
            <w:r w:rsidRPr="00B37CC2">
              <w:t>15,00</w:t>
            </w:r>
          </w:p>
        </w:tc>
      </w:tr>
      <w:tr w:rsidR="00E92C79" w:rsidRPr="00B37CC2" w14:paraId="140FABA7" w14:textId="77777777" w:rsidTr="00F20A62">
        <w:trPr>
          <w:trHeight w:val="1104"/>
          <w:jc w:val="center"/>
        </w:trPr>
        <w:tc>
          <w:tcPr>
            <w:tcW w:w="711" w:type="dxa"/>
          </w:tcPr>
          <w:p w14:paraId="19287DC8" w14:textId="7B7B893E" w:rsidR="00E92C79" w:rsidRPr="00B37CC2" w:rsidRDefault="00E92C79" w:rsidP="00F20A62">
            <w:pPr>
              <w:jc w:val="center"/>
            </w:pPr>
            <w:r>
              <w:t>4</w:t>
            </w:r>
            <w:r w:rsidRPr="00B37CC2">
              <w:t>.</w:t>
            </w:r>
          </w:p>
        </w:tc>
        <w:tc>
          <w:tcPr>
            <w:tcW w:w="3650" w:type="dxa"/>
          </w:tcPr>
          <w:p w14:paraId="416E1C1A" w14:textId="77777777" w:rsidR="00E92C79" w:rsidRPr="00B37CC2" w:rsidRDefault="00E92C79" w:rsidP="00F20A62">
            <w:r w:rsidRPr="00B37CC2">
              <w:t>Re</w:t>
            </w:r>
            <w:r>
              <w:t>sertifikācija</w:t>
            </w:r>
          </w:p>
        </w:tc>
        <w:tc>
          <w:tcPr>
            <w:tcW w:w="2126" w:type="dxa"/>
          </w:tcPr>
          <w:p w14:paraId="3838DEFF" w14:textId="77777777" w:rsidR="00E92C79" w:rsidRPr="00B37CC2" w:rsidRDefault="00E92C79" w:rsidP="00F20A62">
            <w:pPr>
              <w:jc w:val="center"/>
            </w:pPr>
            <w:r w:rsidRPr="00B37CC2">
              <w:t>resertifikācijas lapa</w:t>
            </w:r>
          </w:p>
        </w:tc>
        <w:tc>
          <w:tcPr>
            <w:tcW w:w="957" w:type="dxa"/>
          </w:tcPr>
          <w:p w14:paraId="78CFB666" w14:textId="77777777" w:rsidR="00E92C79" w:rsidRPr="00B37CC2" w:rsidRDefault="00E92C79" w:rsidP="00F20A62">
            <w:pPr>
              <w:jc w:val="center"/>
            </w:pPr>
            <w:r w:rsidRPr="00B37CC2">
              <w:t>17,00</w:t>
            </w:r>
          </w:p>
        </w:tc>
        <w:tc>
          <w:tcPr>
            <w:tcW w:w="850" w:type="dxa"/>
          </w:tcPr>
          <w:p w14:paraId="5395581F" w14:textId="77777777" w:rsidR="00E92C79" w:rsidRPr="00B37CC2" w:rsidRDefault="00E92C79" w:rsidP="00F20A62">
            <w:pPr>
              <w:jc w:val="center"/>
            </w:pPr>
            <w:r w:rsidRPr="00B37CC2">
              <w:t>0,00</w:t>
            </w:r>
          </w:p>
        </w:tc>
        <w:tc>
          <w:tcPr>
            <w:tcW w:w="992" w:type="dxa"/>
          </w:tcPr>
          <w:p w14:paraId="23627AD9" w14:textId="77777777" w:rsidR="00E92C79" w:rsidRPr="00B37CC2" w:rsidRDefault="00E92C79" w:rsidP="00F20A62">
            <w:pPr>
              <w:jc w:val="center"/>
            </w:pPr>
            <w:r w:rsidRPr="00B37CC2">
              <w:t>17,00</w:t>
            </w:r>
          </w:p>
        </w:tc>
      </w:tr>
      <w:tr w:rsidR="00B37CC2" w:rsidRPr="00B37CC2" w14:paraId="358719C9" w14:textId="77777777" w:rsidTr="00476DA5">
        <w:trPr>
          <w:trHeight w:val="1104"/>
          <w:jc w:val="center"/>
        </w:trPr>
        <w:tc>
          <w:tcPr>
            <w:tcW w:w="711" w:type="dxa"/>
          </w:tcPr>
          <w:p w14:paraId="358719C3" w14:textId="20A06179" w:rsidR="009C587B" w:rsidRPr="00B37CC2" w:rsidRDefault="00E92C79" w:rsidP="009A66E1">
            <w:pPr>
              <w:jc w:val="center"/>
            </w:pPr>
            <w:r>
              <w:t>5</w:t>
            </w:r>
            <w:r w:rsidR="009C587B" w:rsidRPr="00B37CC2">
              <w:t>.</w:t>
            </w:r>
          </w:p>
        </w:tc>
        <w:tc>
          <w:tcPr>
            <w:tcW w:w="3650" w:type="dxa"/>
          </w:tcPr>
          <w:p w14:paraId="358719C4" w14:textId="6B174DE8" w:rsidR="009C587B" w:rsidRPr="00B37CC2" w:rsidRDefault="002901E0" w:rsidP="009A66E1">
            <w:r w:rsidRPr="00B37CC2">
              <w:t>S</w:t>
            </w:r>
            <w:r w:rsidR="009C587B" w:rsidRPr="00B37CC2">
              <w:t xml:space="preserve">ertifikāta vai </w:t>
            </w:r>
            <w:r w:rsidRPr="00B37CC2">
              <w:t xml:space="preserve">tā </w:t>
            </w:r>
            <w:r w:rsidR="009C587B" w:rsidRPr="00B37CC2">
              <w:t xml:space="preserve">dublikāta </w:t>
            </w:r>
            <w:r w:rsidR="00E92C79">
              <w:t xml:space="preserve">noformēšana, reģistrēšana un </w:t>
            </w:r>
            <w:r w:rsidR="009C587B" w:rsidRPr="00B37CC2">
              <w:t>izsniegšana</w:t>
            </w:r>
          </w:p>
        </w:tc>
        <w:tc>
          <w:tcPr>
            <w:tcW w:w="2126" w:type="dxa"/>
          </w:tcPr>
          <w:p w14:paraId="358719C5" w14:textId="77777777" w:rsidR="009C587B" w:rsidRPr="00B37CC2" w:rsidRDefault="006701C3" w:rsidP="009A66E1">
            <w:pPr>
              <w:jc w:val="center"/>
            </w:pPr>
            <w:r w:rsidRPr="00B37CC2">
              <w:t>s</w:t>
            </w:r>
            <w:r w:rsidR="009C587B" w:rsidRPr="00B37CC2">
              <w:t>ertifikāts</w:t>
            </w:r>
            <w:r w:rsidRPr="00B37CC2">
              <w:t>/dublikāts</w:t>
            </w:r>
          </w:p>
        </w:tc>
        <w:tc>
          <w:tcPr>
            <w:tcW w:w="957" w:type="dxa"/>
          </w:tcPr>
          <w:p w14:paraId="358719C6" w14:textId="77777777" w:rsidR="009C587B" w:rsidRPr="00B37CC2" w:rsidRDefault="009C587B" w:rsidP="009A66E1">
            <w:pPr>
              <w:jc w:val="center"/>
            </w:pPr>
            <w:r w:rsidRPr="00B37CC2">
              <w:t>7,00</w:t>
            </w:r>
          </w:p>
        </w:tc>
        <w:tc>
          <w:tcPr>
            <w:tcW w:w="850" w:type="dxa"/>
          </w:tcPr>
          <w:p w14:paraId="358719C7" w14:textId="77777777" w:rsidR="009C587B" w:rsidRPr="00B37CC2" w:rsidRDefault="009C587B" w:rsidP="009A66E1">
            <w:pPr>
              <w:jc w:val="center"/>
            </w:pPr>
            <w:r w:rsidRPr="00B37CC2">
              <w:t>0,00</w:t>
            </w:r>
          </w:p>
        </w:tc>
        <w:tc>
          <w:tcPr>
            <w:tcW w:w="992" w:type="dxa"/>
          </w:tcPr>
          <w:p w14:paraId="358719C8" w14:textId="77777777" w:rsidR="009C587B" w:rsidRPr="00B37CC2" w:rsidRDefault="009C587B" w:rsidP="009A66E1">
            <w:pPr>
              <w:jc w:val="center"/>
            </w:pPr>
            <w:r w:rsidRPr="00B37CC2">
              <w:t>7,00</w:t>
            </w:r>
          </w:p>
        </w:tc>
      </w:tr>
    </w:tbl>
    <w:p w14:paraId="2524FA86" w14:textId="77777777" w:rsidR="00537EBB" w:rsidRDefault="00537EBB" w:rsidP="009A66E1">
      <w:pPr>
        <w:jc w:val="both"/>
        <w:rPr>
          <w:sz w:val="22"/>
          <w:szCs w:val="22"/>
        </w:rPr>
      </w:pPr>
    </w:p>
    <w:p w14:paraId="4AC497CB" w14:textId="16921A35" w:rsidR="002901E0" w:rsidRPr="00537EBB" w:rsidRDefault="00EB250D" w:rsidP="00537EBB">
      <w:pPr>
        <w:ind w:firstLine="709"/>
        <w:jc w:val="both"/>
      </w:pPr>
      <w:r w:rsidRPr="00537EBB">
        <w:t>P</w:t>
      </w:r>
      <w:r w:rsidR="00537EBB" w:rsidRPr="00537EBB">
        <w:t>iezīme</w:t>
      </w:r>
      <w:r w:rsidR="001520DD" w:rsidRPr="00537EBB">
        <w:t>.</w:t>
      </w:r>
      <w:r w:rsidR="00537EBB" w:rsidRPr="00537EBB">
        <w:t xml:space="preserve"> </w:t>
      </w:r>
      <w:r w:rsidR="00AB62E6" w:rsidRPr="00537EBB">
        <w:t>*</w:t>
      </w:r>
      <w:r w:rsidR="00537EBB" w:rsidRPr="00537EBB">
        <w:t> </w:t>
      </w:r>
      <w:r w:rsidR="00F03261" w:rsidRPr="00537EBB">
        <w:t xml:space="preserve">Pievienotās vērtības nodokli nepiemēro saskaņā ar </w:t>
      </w:r>
      <w:r w:rsidR="002901E0" w:rsidRPr="00537EBB">
        <w:t>Pievienotās vērtības nodokļa likuma 3.panta astot</w:t>
      </w:r>
      <w:r w:rsidR="00DB7D21" w:rsidRPr="00537EBB">
        <w:t>o</w:t>
      </w:r>
      <w:r w:rsidR="002901E0" w:rsidRPr="00537EBB">
        <w:t xml:space="preserve"> daļ</w:t>
      </w:r>
      <w:r w:rsidR="00DB7D21" w:rsidRPr="00537EBB">
        <w:t>u</w:t>
      </w:r>
      <w:r w:rsidR="002901E0" w:rsidRPr="00537EBB">
        <w:t>.</w:t>
      </w:r>
    </w:p>
    <w:p w14:paraId="358719D3" w14:textId="77777777" w:rsidR="006701C3" w:rsidRPr="00B37CC2" w:rsidRDefault="006701C3" w:rsidP="009A66E1">
      <w:pPr>
        <w:jc w:val="both"/>
        <w:rPr>
          <w:sz w:val="28"/>
          <w:szCs w:val="28"/>
        </w:rPr>
      </w:pPr>
    </w:p>
    <w:p w14:paraId="6A0CB83E" w14:textId="77777777" w:rsidR="009A66E1" w:rsidRDefault="00DD4BA1" w:rsidP="009A66E1">
      <w:pPr>
        <w:jc w:val="both"/>
        <w:rPr>
          <w:sz w:val="28"/>
          <w:szCs w:val="28"/>
        </w:rPr>
      </w:pPr>
      <w:r w:rsidRPr="00B37CC2">
        <w:rPr>
          <w:sz w:val="28"/>
          <w:szCs w:val="28"/>
        </w:rPr>
        <w:tab/>
      </w:r>
      <w:r w:rsidRPr="00B37CC2">
        <w:rPr>
          <w:sz w:val="28"/>
          <w:szCs w:val="28"/>
        </w:rPr>
        <w:tab/>
      </w:r>
    </w:p>
    <w:p w14:paraId="358719D4" w14:textId="05050761" w:rsidR="00DD4BA1" w:rsidRPr="00B37CC2" w:rsidRDefault="00DD4BA1" w:rsidP="009A66E1">
      <w:pPr>
        <w:jc w:val="both"/>
        <w:rPr>
          <w:sz w:val="28"/>
          <w:szCs w:val="28"/>
        </w:rPr>
      </w:pPr>
      <w:r w:rsidRPr="00B37CC2">
        <w:rPr>
          <w:sz w:val="28"/>
          <w:szCs w:val="28"/>
        </w:rPr>
        <w:tab/>
      </w:r>
    </w:p>
    <w:p w14:paraId="358719D5" w14:textId="318C0597" w:rsidR="000662C0" w:rsidRPr="00B37CC2" w:rsidRDefault="000251C9" w:rsidP="009A66E1">
      <w:pPr>
        <w:tabs>
          <w:tab w:val="left" w:pos="6804"/>
        </w:tabs>
        <w:ind w:firstLine="709"/>
        <w:jc w:val="both"/>
        <w:rPr>
          <w:sz w:val="28"/>
          <w:szCs w:val="28"/>
        </w:rPr>
      </w:pPr>
      <w:r w:rsidRPr="00B37CC2">
        <w:rPr>
          <w:sz w:val="28"/>
          <w:szCs w:val="28"/>
        </w:rPr>
        <w:t>Veselības ministre</w:t>
      </w:r>
      <w:r w:rsidR="000662C0" w:rsidRPr="00B37CC2">
        <w:rPr>
          <w:sz w:val="28"/>
          <w:szCs w:val="28"/>
        </w:rPr>
        <w:t xml:space="preserve"> </w:t>
      </w:r>
      <w:r w:rsidR="000662C0" w:rsidRPr="00B37CC2">
        <w:rPr>
          <w:sz w:val="28"/>
          <w:szCs w:val="28"/>
        </w:rPr>
        <w:tab/>
      </w:r>
      <w:r w:rsidRPr="00B37CC2">
        <w:rPr>
          <w:sz w:val="28"/>
          <w:szCs w:val="28"/>
        </w:rPr>
        <w:t>I.Circene</w:t>
      </w:r>
    </w:p>
    <w:p w14:paraId="358719D6" w14:textId="77777777" w:rsidR="005A0829" w:rsidRPr="00B37CC2" w:rsidRDefault="005A0829" w:rsidP="009A66E1">
      <w:pPr>
        <w:jc w:val="both"/>
        <w:rPr>
          <w:sz w:val="22"/>
          <w:szCs w:val="22"/>
        </w:rPr>
      </w:pPr>
    </w:p>
    <w:sectPr w:rsidR="005A0829" w:rsidRPr="00B37CC2" w:rsidSect="009A66E1">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719E1" w14:textId="77777777" w:rsidR="00686C41" w:rsidRDefault="00686C41" w:rsidP="00F03261">
      <w:r>
        <w:separator/>
      </w:r>
    </w:p>
  </w:endnote>
  <w:endnote w:type="continuationSeparator" w:id="0">
    <w:p w14:paraId="358719E2" w14:textId="77777777" w:rsidR="00686C41" w:rsidRDefault="00686C41" w:rsidP="00F03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719E7" w14:textId="77777777" w:rsidR="00686C41" w:rsidRPr="006701C3" w:rsidRDefault="00686C41" w:rsidP="006701C3">
    <w:pPr>
      <w:pStyle w:val="Footer"/>
      <w:rPr>
        <w:szCs w:val="22"/>
      </w:rPr>
    </w:pPr>
    <w:r w:rsidRPr="000251C9">
      <w:rPr>
        <w:sz w:val="22"/>
        <w:szCs w:val="22"/>
      </w:rPr>
      <w:t>VMNotp_</w:t>
    </w:r>
    <w:r>
      <w:rPr>
        <w:sz w:val="22"/>
        <w:szCs w:val="22"/>
      </w:rPr>
      <w:t>170412</w:t>
    </w:r>
    <w:r w:rsidRPr="000251C9">
      <w:rPr>
        <w:sz w:val="22"/>
        <w:szCs w:val="22"/>
      </w:rPr>
      <w:t xml:space="preserve">_cenr; </w:t>
    </w:r>
    <w:r>
      <w:rPr>
        <w:sz w:val="22"/>
        <w:szCs w:val="22"/>
      </w:rPr>
      <w:t xml:space="preserve">Pielikums </w:t>
    </w:r>
    <w:r w:rsidRPr="000251C9">
      <w:rPr>
        <w:sz w:val="22"/>
        <w:szCs w:val="22"/>
      </w:rPr>
      <w:t xml:space="preserve">Ministru kabineta noteikumu </w:t>
    </w:r>
    <w:r w:rsidRPr="000251C9">
      <w:rPr>
        <w:bCs/>
        <w:sz w:val="22"/>
        <w:szCs w:val="22"/>
      </w:rPr>
      <w:t>„Noteikumi par ārstniecības personu</w:t>
    </w:r>
    <w:r>
      <w:rPr>
        <w:bCs/>
        <w:sz w:val="22"/>
        <w:szCs w:val="22"/>
      </w:rPr>
      <w:t xml:space="preserve"> un ārstniecības atbalsta personu</w:t>
    </w:r>
    <w:r w:rsidRPr="000251C9">
      <w:rPr>
        <w:bCs/>
        <w:sz w:val="22"/>
        <w:szCs w:val="22"/>
      </w:rPr>
      <w:t xml:space="preserve"> profesionālo zināšanu pārbaudes, sertifikāta noformēšanas, reģistrēšanas un tā dublikāta izgatavošanas maksas pakalpojumu cenrādi” </w:t>
    </w:r>
    <w:r w:rsidRPr="000251C9">
      <w:rPr>
        <w:sz w:val="22"/>
        <w:szCs w:val="22"/>
      </w:rPr>
      <w:t>projekta</w:t>
    </w:r>
    <w:r>
      <w:rPr>
        <w:sz w:val="22"/>
        <w:szCs w:val="22"/>
      </w:rPr>
      <w:t>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719E9" w14:textId="04DEE335" w:rsidR="00686C41" w:rsidRPr="009A66E1" w:rsidRDefault="009A66E1" w:rsidP="009A66E1">
    <w:pPr>
      <w:rPr>
        <w:sz w:val="14"/>
      </w:rPr>
    </w:pPr>
    <w:bookmarkStart w:id="3" w:name="OLE_LINK12"/>
    <w:bookmarkStart w:id="4" w:name="OLE_LINK13"/>
    <w:r w:rsidRPr="009A66E1">
      <w:rPr>
        <w:bCs/>
        <w:sz w:val="16"/>
        <w:szCs w:val="28"/>
      </w:rPr>
      <w:t>N2850_2p</w:t>
    </w:r>
    <w:bookmarkEnd w:id="3"/>
    <w:bookmarkEnd w:id="4"/>
    <w:r w:rsidR="00537EBB">
      <w:rPr>
        <w:bCs/>
        <w:sz w:val="16"/>
        <w:szCs w:val="28"/>
      </w:rPr>
      <w:t xml:space="preserve"> </w:t>
    </w:r>
    <w:proofErr w:type="spellStart"/>
    <w:r w:rsidR="00537EBB">
      <w:rPr>
        <w:bCs/>
        <w:sz w:val="16"/>
        <w:szCs w:val="28"/>
      </w:rPr>
      <w:t>v_sk</w:t>
    </w:r>
    <w:proofErr w:type="spellEnd"/>
    <w:r w:rsidR="00537EBB">
      <w:rPr>
        <w:bCs/>
        <w:sz w:val="16"/>
        <w:szCs w:val="28"/>
      </w:rPr>
      <w:t xml:space="preserve">. = </w:t>
    </w:r>
    <w:r w:rsidR="00537EBB">
      <w:rPr>
        <w:bCs/>
        <w:sz w:val="16"/>
        <w:szCs w:val="28"/>
      </w:rPr>
      <w:fldChar w:fldCharType="begin"/>
    </w:r>
    <w:r w:rsidR="00537EBB">
      <w:rPr>
        <w:bCs/>
        <w:sz w:val="16"/>
        <w:szCs w:val="28"/>
      </w:rPr>
      <w:instrText xml:space="preserve"> NUMWORDS  \* MERGEFORMAT </w:instrText>
    </w:r>
    <w:r w:rsidR="00537EBB">
      <w:rPr>
        <w:bCs/>
        <w:sz w:val="16"/>
        <w:szCs w:val="28"/>
      </w:rPr>
      <w:fldChar w:fldCharType="separate"/>
    </w:r>
    <w:r w:rsidR="002E18EB">
      <w:rPr>
        <w:bCs/>
        <w:noProof/>
        <w:sz w:val="16"/>
        <w:szCs w:val="28"/>
      </w:rPr>
      <w:t>105</w:t>
    </w:r>
    <w:r w:rsidR="00537EBB">
      <w:rPr>
        <w:bCs/>
        <w:sz w:val="16"/>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719DF" w14:textId="77777777" w:rsidR="00686C41" w:rsidRDefault="00686C41" w:rsidP="00F03261">
      <w:r>
        <w:separator/>
      </w:r>
    </w:p>
  </w:footnote>
  <w:footnote w:type="continuationSeparator" w:id="0">
    <w:p w14:paraId="358719E0" w14:textId="77777777" w:rsidR="00686C41" w:rsidRDefault="00686C41" w:rsidP="00F03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719E3" w14:textId="77777777" w:rsidR="00686C41" w:rsidRDefault="0069420F" w:rsidP="00C247B7">
    <w:pPr>
      <w:pStyle w:val="Header"/>
      <w:framePr w:wrap="around" w:vAnchor="text" w:hAnchor="margin" w:xAlign="center" w:y="1"/>
      <w:rPr>
        <w:rStyle w:val="PageNumber"/>
      </w:rPr>
    </w:pPr>
    <w:r>
      <w:rPr>
        <w:rStyle w:val="PageNumber"/>
      </w:rPr>
      <w:fldChar w:fldCharType="begin"/>
    </w:r>
    <w:r w:rsidR="00686C41">
      <w:rPr>
        <w:rStyle w:val="PageNumber"/>
      </w:rPr>
      <w:instrText xml:space="preserve">PAGE  </w:instrText>
    </w:r>
    <w:r>
      <w:rPr>
        <w:rStyle w:val="PageNumber"/>
      </w:rPr>
      <w:fldChar w:fldCharType="end"/>
    </w:r>
  </w:p>
  <w:p w14:paraId="358719E4" w14:textId="77777777" w:rsidR="00686C41" w:rsidRDefault="00686C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719E5" w14:textId="77777777" w:rsidR="00686C41" w:rsidRDefault="0069420F" w:rsidP="00C247B7">
    <w:pPr>
      <w:pStyle w:val="Header"/>
      <w:framePr w:wrap="around" w:vAnchor="text" w:hAnchor="margin" w:xAlign="center" w:y="1"/>
      <w:rPr>
        <w:rStyle w:val="PageNumber"/>
      </w:rPr>
    </w:pPr>
    <w:r>
      <w:rPr>
        <w:rStyle w:val="PageNumber"/>
      </w:rPr>
      <w:fldChar w:fldCharType="begin"/>
    </w:r>
    <w:r w:rsidR="00686C41">
      <w:rPr>
        <w:rStyle w:val="PageNumber"/>
      </w:rPr>
      <w:instrText xml:space="preserve">PAGE  </w:instrText>
    </w:r>
    <w:r>
      <w:rPr>
        <w:rStyle w:val="PageNumber"/>
      </w:rPr>
      <w:fldChar w:fldCharType="separate"/>
    </w:r>
    <w:r w:rsidR="009A66E1">
      <w:rPr>
        <w:rStyle w:val="PageNumber"/>
        <w:noProof/>
      </w:rPr>
      <w:t>2</w:t>
    </w:r>
    <w:r>
      <w:rPr>
        <w:rStyle w:val="PageNumber"/>
      </w:rPr>
      <w:fldChar w:fldCharType="end"/>
    </w:r>
  </w:p>
  <w:p w14:paraId="358719E6" w14:textId="77777777" w:rsidR="00686C41" w:rsidRDefault="00686C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57BA"/>
    <w:multiLevelType w:val="hybridMultilevel"/>
    <w:tmpl w:val="A9047440"/>
    <w:lvl w:ilvl="0" w:tplc="3E662B26">
      <w:start w:val="2"/>
      <w:numFmt w:val="bullet"/>
      <w:lvlText w:val="-"/>
      <w:lvlJc w:val="left"/>
      <w:pPr>
        <w:ind w:left="720" w:hanging="360"/>
      </w:pPr>
      <w:rPr>
        <w:rFonts w:ascii="Calibri" w:eastAsia="Calibri" w:hAnsi="Calibri"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nsid w:val="2BF6395B"/>
    <w:multiLevelType w:val="hybridMultilevel"/>
    <w:tmpl w:val="6E8C56E8"/>
    <w:lvl w:ilvl="0" w:tplc="D8B2C44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03261"/>
    <w:rsid w:val="00001E9C"/>
    <w:rsid w:val="000251C9"/>
    <w:rsid w:val="000416BE"/>
    <w:rsid w:val="00045A66"/>
    <w:rsid w:val="000662C0"/>
    <w:rsid w:val="00077753"/>
    <w:rsid w:val="00085EDC"/>
    <w:rsid w:val="00087AE7"/>
    <w:rsid w:val="000A3074"/>
    <w:rsid w:val="000B2A7B"/>
    <w:rsid w:val="000E0A65"/>
    <w:rsid w:val="000F2272"/>
    <w:rsid w:val="00120892"/>
    <w:rsid w:val="0014052C"/>
    <w:rsid w:val="001520DD"/>
    <w:rsid w:val="001821A3"/>
    <w:rsid w:val="001C132D"/>
    <w:rsid w:val="001D0036"/>
    <w:rsid w:val="001E19EB"/>
    <w:rsid w:val="001F2DC2"/>
    <w:rsid w:val="00242190"/>
    <w:rsid w:val="002460C6"/>
    <w:rsid w:val="002702D4"/>
    <w:rsid w:val="002901E0"/>
    <w:rsid w:val="002A19E4"/>
    <w:rsid w:val="002C6012"/>
    <w:rsid w:val="002E18EB"/>
    <w:rsid w:val="002F2221"/>
    <w:rsid w:val="00304F2B"/>
    <w:rsid w:val="00326124"/>
    <w:rsid w:val="00344116"/>
    <w:rsid w:val="00346D1B"/>
    <w:rsid w:val="0036430C"/>
    <w:rsid w:val="00377912"/>
    <w:rsid w:val="0038793D"/>
    <w:rsid w:val="00392DA5"/>
    <w:rsid w:val="00393C01"/>
    <w:rsid w:val="0039491B"/>
    <w:rsid w:val="003B138F"/>
    <w:rsid w:val="003C49FD"/>
    <w:rsid w:val="003E090B"/>
    <w:rsid w:val="003F4744"/>
    <w:rsid w:val="004158D3"/>
    <w:rsid w:val="00421EE2"/>
    <w:rsid w:val="00425138"/>
    <w:rsid w:val="004330FE"/>
    <w:rsid w:val="00472AA2"/>
    <w:rsid w:val="0047371C"/>
    <w:rsid w:val="00476DA5"/>
    <w:rsid w:val="00485EBC"/>
    <w:rsid w:val="004869ED"/>
    <w:rsid w:val="004A60AB"/>
    <w:rsid w:val="004B2F21"/>
    <w:rsid w:val="004E20D3"/>
    <w:rsid w:val="004E233B"/>
    <w:rsid w:val="004E607A"/>
    <w:rsid w:val="00503E86"/>
    <w:rsid w:val="00516D5E"/>
    <w:rsid w:val="00527930"/>
    <w:rsid w:val="00537EBB"/>
    <w:rsid w:val="00543408"/>
    <w:rsid w:val="00550C93"/>
    <w:rsid w:val="0056399E"/>
    <w:rsid w:val="00570BC4"/>
    <w:rsid w:val="005A0829"/>
    <w:rsid w:val="005A469E"/>
    <w:rsid w:val="005C4D8C"/>
    <w:rsid w:val="005D1922"/>
    <w:rsid w:val="005F7D15"/>
    <w:rsid w:val="00652CA9"/>
    <w:rsid w:val="00657B07"/>
    <w:rsid w:val="00667EF7"/>
    <w:rsid w:val="006701C3"/>
    <w:rsid w:val="00685987"/>
    <w:rsid w:val="00686C41"/>
    <w:rsid w:val="0069420F"/>
    <w:rsid w:val="006B5B08"/>
    <w:rsid w:val="007025A8"/>
    <w:rsid w:val="00702C16"/>
    <w:rsid w:val="007038F0"/>
    <w:rsid w:val="00733627"/>
    <w:rsid w:val="00754672"/>
    <w:rsid w:val="007578C6"/>
    <w:rsid w:val="00764032"/>
    <w:rsid w:val="00766D2C"/>
    <w:rsid w:val="007B1A1B"/>
    <w:rsid w:val="007D1C2B"/>
    <w:rsid w:val="007E0B8C"/>
    <w:rsid w:val="00812FB9"/>
    <w:rsid w:val="008141CC"/>
    <w:rsid w:val="00844F44"/>
    <w:rsid w:val="00850A16"/>
    <w:rsid w:val="00860A15"/>
    <w:rsid w:val="00877920"/>
    <w:rsid w:val="008E532D"/>
    <w:rsid w:val="008F4F2A"/>
    <w:rsid w:val="00926B2A"/>
    <w:rsid w:val="009513B4"/>
    <w:rsid w:val="00953B7F"/>
    <w:rsid w:val="00970F4F"/>
    <w:rsid w:val="00984FE6"/>
    <w:rsid w:val="0099642A"/>
    <w:rsid w:val="00996D68"/>
    <w:rsid w:val="009A66E1"/>
    <w:rsid w:val="009B6016"/>
    <w:rsid w:val="009C587B"/>
    <w:rsid w:val="009D6F8A"/>
    <w:rsid w:val="009E2F17"/>
    <w:rsid w:val="009F6340"/>
    <w:rsid w:val="00A041CE"/>
    <w:rsid w:val="00A26267"/>
    <w:rsid w:val="00A56535"/>
    <w:rsid w:val="00AB62E6"/>
    <w:rsid w:val="00AB6437"/>
    <w:rsid w:val="00AE312B"/>
    <w:rsid w:val="00AF4D4B"/>
    <w:rsid w:val="00B10C23"/>
    <w:rsid w:val="00B32D75"/>
    <w:rsid w:val="00B367CC"/>
    <w:rsid w:val="00B37CC2"/>
    <w:rsid w:val="00B44E67"/>
    <w:rsid w:val="00B7364D"/>
    <w:rsid w:val="00B74A8B"/>
    <w:rsid w:val="00B80416"/>
    <w:rsid w:val="00C247B7"/>
    <w:rsid w:val="00C24B08"/>
    <w:rsid w:val="00C33EE7"/>
    <w:rsid w:val="00C351CF"/>
    <w:rsid w:val="00C56C01"/>
    <w:rsid w:val="00C95610"/>
    <w:rsid w:val="00CB1F99"/>
    <w:rsid w:val="00CB579F"/>
    <w:rsid w:val="00CB6B6D"/>
    <w:rsid w:val="00CC0608"/>
    <w:rsid w:val="00CD2D38"/>
    <w:rsid w:val="00CD61C0"/>
    <w:rsid w:val="00CF0603"/>
    <w:rsid w:val="00CF44AE"/>
    <w:rsid w:val="00CF7F66"/>
    <w:rsid w:val="00D04465"/>
    <w:rsid w:val="00D2284F"/>
    <w:rsid w:val="00D31398"/>
    <w:rsid w:val="00D45338"/>
    <w:rsid w:val="00D677AC"/>
    <w:rsid w:val="00D86B9C"/>
    <w:rsid w:val="00D9333F"/>
    <w:rsid w:val="00D95793"/>
    <w:rsid w:val="00DB2D3A"/>
    <w:rsid w:val="00DB7D21"/>
    <w:rsid w:val="00DC1E13"/>
    <w:rsid w:val="00DD4BA1"/>
    <w:rsid w:val="00E008E7"/>
    <w:rsid w:val="00E25ACE"/>
    <w:rsid w:val="00E43300"/>
    <w:rsid w:val="00E75D03"/>
    <w:rsid w:val="00E8154B"/>
    <w:rsid w:val="00E82998"/>
    <w:rsid w:val="00E92C79"/>
    <w:rsid w:val="00EB062D"/>
    <w:rsid w:val="00EB250D"/>
    <w:rsid w:val="00EB6A73"/>
    <w:rsid w:val="00ED3DCD"/>
    <w:rsid w:val="00F03261"/>
    <w:rsid w:val="00F05BB5"/>
    <w:rsid w:val="00F20866"/>
    <w:rsid w:val="00F24CCB"/>
    <w:rsid w:val="00F41B7F"/>
    <w:rsid w:val="00F861E9"/>
    <w:rsid w:val="00FA3874"/>
    <w:rsid w:val="00FA5D49"/>
    <w:rsid w:val="00FB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7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261"/>
    <w:rPr>
      <w:rFonts w:ascii="Times New Roman" w:eastAsia="Times New Roman" w:hAnsi="Times New Roman"/>
      <w:sz w:val="24"/>
      <w:szCs w:val="24"/>
      <w:lang w:val="lv-LV" w:eastAsia="lv-LV"/>
    </w:rPr>
  </w:style>
  <w:style w:type="paragraph" w:styleId="Heading2">
    <w:name w:val="heading 2"/>
    <w:basedOn w:val="Normal"/>
    <w:next w:val="Normal"/>
    <w:link w:val="Heading2Char"/>
    <w:qFormat/>
    <w:rsid w:val="00F03261"/>
    <w:pPr>
      <w:keepNext/>
      <w:jc w:val="both"/>
      <w:outlineLvl w:val="1"/>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03261"/>
    <w:rPr>
      <w:rFonts w:ascii="Times New Roman" w:eastAsia="Times New Roman" w:hAnsi="Times New Roman" w:cs="Times New Roman"/>
      <w:sz w:val="28"/>
      <w:szCs w:val="24"/>
      <w:lang w:val="lv-LV"/>
    </w:rPr>
  </w:style>
  <w:style w:type="paragraph" w:customStyle="1" w:styleId="naislab">
    <w:name w:val="naislab"/>
    <w:basedOn w:val="Normal"/>
    <w:rsid w:val="00F03261"/>
    <w:pPr>
      <w:spacing w:before="75" w:after="75"/>
      <w:jc w:val="right"/>
    </w:pPr>
  </w:style>
  <w:style w:type="paragraph" w:styleId="Header">
    <w:name w:val="header"/>
    <w:basedOn w:val="Normal"/>
    <w:link w:val="HeaderChar"/>
    <w:uiPriority w:val="99"/>
    <w:rsid w:val="00F03261"/>
    <w:pPr>
      <w:tabs>
        <w:tab w:val="center" w:pos="4153"/>
        <w:tab w:val="right" w:pos="8306"/>
      </w:tabs>
    </w:pPr>
  </w:style>
  <w:style w:type="character" w:customStyle="1" w:styleId="HeaderChar">
    <w:name w:val="Header Char"/>
    <w:basedOn w:val="DefaultParagraphFont"/>
    <w:link w:val="Header"/>
    <w:uiPriority w:val="99"/>
    <w:rsid w:val="00F03261"/>
    <w:rPr>
      <w:rFonts w:ascii="Times New Roman" w:eastAsia="Times New Roman" w:hAnsi="Times New Roman" w:cs="Times New Roman"/>
      <w:sz w:val="24"/>
      <w:szCs w:val="24"/>
      <w:lang w:val="lv-LV" w:eastAsia="lv-LV"/>
    </w:rPr>
  </w:style>
  <w:style w:type="character" w:styleId="PageNumber">
    <w:name w:val="page number"/>
    <w:basedOn w:val="DefaultParagraphFont"/>
    <w:rsid w:val="00F03261"/>
  </w:style>
  <w:style w:type="character" w:styleId="Hyperlink">
    <w:name w:val="Hyperlink"/>
    <w:basedOn w:val="DefaultParagraphFont"/>
    <w:rsid w:val="00F03261"/>
    <w:rPr>
      <w:color w:val="0000FF"/>
      <w:u w:val="single"/>
    </w:rPr>
  </w:style>
  <w:style w:type="paragraph" w:styleId="Footer">
    <w:name w:val="footer"/>
    <w:basedOn w:val="Normal"/>
    <w:link w:val="FooterChar"/>
    <w:unhideWhenUsed/>
    <w:rsid w:val="00F03261"/>
    <w:pPr>
      <w:tabs>
        <w:tab w:val="center" w:pos="4320"/>
        <w:tab w:val="right" w:pos="8640"/>
      </w:tabs>
    </w:pPr>
  </w:style>
  <w:style w:type="character" w:customStyle="1" w:styleId="FooterChar">
    <w:name w:val="Footer Char"/>
    <w:basedOn w:val="DefaultParagraphFont"/>
    <w:link w:val="Footer"/>
    <w:rsid w:val="00F03261"/>
    <w:rPr>
      <w:rFonts w:ascii="Times New Roman" w:eastAsia="Times New Roman" w:hAnsi="Times New Roman" w:cs="Times New Roman"/>
      <w:sz w:val="24"/>
      <w:szCs w:val="24"/>
      <w:lang w:val="lv-LV" w:eastAsia="lv-LV"/>
    </w:rPr>
  </w:style>
  <w:style w:type="character" w:styleId="CommentReference">
    <w:name w:val="annotation reference"/>
    <w:basedOn w:val="DefaultParagraphFont"/>
    <w:semiHidden/>
    <w:rsid w:val="00667EF7"/>
    <w:rPr>
      <w:sz w:val="16"/>
      <w:szCs w:val="16"/>
    </w:rPr>
  </w:style>
  <w:style w:type="paragraph" w:styleId="CommentText">
    <w:name w:val="annotation text"/>
    <w:basedOn w:val="Normal"/>
    <w:semiHidden/>
    <w:rsid w:val="00667EF7"/>
    <w:rPr>
      <w:sz w:val="20"/>
      <w:szCs w:val="20"/>
    </w:rPr>
  </w:style>
  <w:style w:type="paragraph" w:styleId="CommentSubject">
    <w:name w:val="annotation subject"/>
    <w:basedOn w:val="CommentText"/>
    <w:next w:val="CommentText"/>
    <w:semiHidden/>
    <w:rsid w:val="00667EF7"/>
    <w:rPr>
      <w:b/>
      <w:bCs/>
    </w:rPr>
  </w:style>
  <w:style w:type="paragraph" w:styleId="BalloonText">
    <w:name w:val="Balloon Text"/>
    <w:basedOn w:val="Normal"/>
    <w:semiHidden/>
    <w:rsid w:val="00667EF7"/>
    <w:rPr>
      <w:rFonts w:ascii="Tahoma" w:hAnsi="Tahoma" w:cs="Tahoma"/>
      <w:sz w:val="16"/>
      <w:szCs w:val="16"/>
    </w:rPr>
  </w:style>
  <w:style w:type="paragraph" w:styleId="BodyText">
    <w:name w:val="Body Text"/>
    <w:basedOn w:val="Normal"/>
    <w:link w:val="BodyTextChar"/>
    <w:rsid w:val="005C4D8C"/>
    <w:pPr>
      <w:jc w:val="center"/>
    </w:pPr>
    <w:rPr>
      <w:sz w:val="28"/>
      <w:lang w:eastAsia="en-US"/>
    </w:rPr>
  </w:style>
  <w:style w:type="character" w:customStyle="1" w:styleId="BodyTextChar">
    <w:name w:val="Body Text Char"/>
    <w:basedOn w:val="DefaultParagraphFont"/>
    <w:link w:val="BodyText"/>
    <w:rsid w:val="005C4D8C"/>
    <w:rPr>
      <w:rFonts w:ascii="Times New Roman" w:eastAsia="Times New Roman" w:hAnsi="Times New Roman"/>
      <w:sz w:val="28"/>
      <w:szCs w:val="24"/>
      <w:lang w:eastAsia="en-US"/>
    </w:rPr>
  </w:style>
  <w:style w:type="paragraph" w:styleId="ListParagraph">
    <w:name w:val="List Paragraph"/>
    <w:basedOn w:val="Normal"/>
    <w:uiPriority w:val="34"/>
    <w:qFormat/>
    <w:rsid w:val="002901E0"/>
    <w:pPr>
      <w:ind w:left="720"/>
    </w:pPr>
    <w:rPr>
      <w:rFonts w:ascii="Calibri" w:eastAsiaTheme="minorHAns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70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566</Words>
  <Characters>323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Pielikums Ministru kabineta noteikumu „Noteikumi par ārstniecības personu un ārstniecības atbalsta personu profesionālo zināšanu pārbaudes, sertifikāta noformēšanas, reģistrēšanas un tā dublikāta izgatavošanas maksas pakalpojumu cenrādi” projektamPielikum</vt:lpstr>
    </vt:vector>
  </TitlesOfParts>
  <Company>Veselības ministrija</Company>
  <LinksUpToDate>false</LinksUpToDate>
  <CharactersWithSpaces>888</CharactersWithSpaces>
  <SharedDoc>false</SharedDoc>
  <HLinks>
    <vt:vector size="6" baseType="variant">
      <vt:variant>
        <vt:i4>4391017</vt:i4>
      </vt:variant>
      <vt:variant>
        <vt:i4>0</vt:i4>
      </vt:variant>
      <vt:variant>
        <vt:i4>0</vt:i4>
      </vt:variant>
      <vt:variant>
        <vt:i4>5</vt:i4>
      </vt:variant>
      <vt:variant>
        <vt:lpwstr>mailto:Zanete.Zvaigzne@vm.gov.lv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Ministru kabineta noteikumu „Noteikumi par ārstniecības personu un ārstniecības atbalsta personu profesionālo zināšanu pārbaudes, sertifikāta noformēšanas, reģistrēšanas un tā dublikāta izgatavošanas maksas pakalpojumu cenrādi” projektamPielikums Ministru kabineta noteikumu „Noteikumi par ārstniecības personu un ārstniecības atbalsta personu profesionālo zināšanu pārbaudes, sertifikāta noformēšanas, reģistrēšanas un tā dublikāta izgatavošanas maksas pakalpojumu cenrādi” projektam</dc:title>
  <dc:subject>Pielikums noteikumu projektam</dc:subject>
  <dc:creator>Žanete Zvaigzne</dc:creator>
  <cp:keywords/>
  <dc:description>67876041, Zanete.Zvaigzne@vm.gov.lv </dc:description>
  <cp:lastModifiedBy>Leontīne Babkina</cp:lastModifiedBy>
  <cp:revision>15</cp:revision>
  <cp:lastPrinted>2013-01-09T12:01:00Z</cp:lastPrinted>
  <dcterms:created xsi:type="dcterms:W3CDTF">2012-04-17T07:35:00Z</dcterms:created>
  <dcterms:modified xsi:type="dcterms:W3CDTF">2013-01-16T09:10:00Z</dcterms:modified>
</cp:coreProperties>
</file>