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FD" w:rsidRPr="004A276A" w:rsidRDefault="00841DFD" w:rsidP="00841DFD">
      <w:pPr>
        <w:pStyle w:val="NormalWeb"/>
        <w:spacing w:before="0" w:beforeAutospacing="0" w:after="0"/>
        <w:jc w:val="right"/>
        <w:rPr>
          <w:i/>
          <w:sz w:val="28"/>
          <w:szCs w:val="28"/>
        </w:rPr>
      </w:pPr>
      <w:r w:rsidRPr="004A276A">
        <w:rPr>
          <w:i/>
          <w:sz w:val="28"/>
          <w:szCs w:val="28"/>
        </w:rPr>
        <w:t>Projekts</w:t>
      </w:r>
    </w:p>
    <w:p w:rsidR="00841DFD" w:rsidRPr="00841DFD" w:rsidRDefault="00841DFD" w:rsidP="00841DFD">
      <w:pPr>
        <w:pStyle w:val="NormalWeb"/>
        <w:spacing w:before="0" w:beforeAutospacing="0" w:after="0"/>
        <w:jc w:val="right"/>
        <w:rPr>
          <w:sz w:val="28"/>
          <w:szCs w:val="28"/>
        </w:rPr>
      </w:pPr>
    </w:p>
    <w:p w:rsidR="00841DFD" w:rsidRPr="00841DFD" w:rsidRDefault="00841DFD" w:rsidP="00841DFD">
      <w:pPr>
        <w:pStyle w:val="NormalWeb"/>
        <w:spacing w:before="0" w:beforeAutospacing="0" w:after="0"/>
        <w:jc w:val="right"/>
        <w:rPr>
          <w:sz w:val="28"/>
          <w:szCs w:val="28"/>
        </w:rPr>
      </w:pPr>
    </w:p>
    <w:p w:rsidR="00841DFD" w:rsidRPr="00F35D68" w:rsidRDefault="00841DFD" w:rsidP="00841DFD">
      <w:pPr>
        <w:pStyle w:val="NormalWeb"/>
        <w:spacing w:before="0" w:beforeAutospacing="0" w:after="0"/>
        <w:jc w:val="center"/>
        <w:rPr>
          <w:b/>
          <w:sz w:val="28"/>
          <w:szCs w:val="28"/>
        </w:rPr>
      </w:pPr>
      <w:r w:rsidRPr="00F35D68">
        <w:rPr>
          <w:b/>
          <w:sz w:val="28"/>
          <w:szCs w:val="28"/>
        </w:rPr>
        <w:t>Latvijas Republikas Ministru kabinets</w:t>
      </w:r>
    </w:p>
    <w:p w:rsidR="00841DFD" w:rsidRPr="00841DFD" w:rsidRDefault="00841DFD" w:rsidP="00841DFD">
      <w:pPr>
        <w:pStyle w:val="NormalWeb"/>
        <w:spacing w:before="0" w:beforeAutospacing="0" w:after="0"/>
        <w:rPr>
          <w:sz w:val="28"/>
          <w:szCs w:val="28"/>
        </w:rPr>
      </w:pPr>
    </w:p>
    <w:p w:rsidR="00841DFD" w:rsidRPr="00841DFD" w:rsidRDefault="00841DFD" w:rsidP="00841DFD">
      <w:pPr>
        <w:pStyle w:val="NormalWeb"/>
        <w:spacing w:before="0" w:beforeAutospacing="0" w:after="0"/>
        <w:rPr>
          <w:sz w:val="28"/>
          <w:szCs w:val="28"/>
        </w:rPr>
      </w:pPr>
    </w:p>
    <w:p w:rsidR="00841DFD" w:rsidRDefault="000B284C" w:rsidP="00841DFD">
      <w:pPr>
        <w:pStyle w:val="NormalWeb"/>
        <w:spacing w:before="0" w:beforeAutospacing="0" w:after="0"/>
        <w:rPr>
          <w:sz w:val="28"/>
          <w:szCs w:val="28"/>
        </w:rPr>
      </w:pPr>
      <w:r>
        <w:rPr>
          <w:sz w:val="28"/>
          <w:szCs w:val="28"/>
        </w:rPr>
        <w:t>201</w:t>
      </w:r>
      <w:r w:rsidR="009B677C">
        <w:rPr>
          <w:sz w:val="28"/>
          <w:szCs w:val="28"/>
        </w:rPr>
        <w:t>2</w:t>
      </w:r>
      <w:r w:rsidR="00841DFD" w:rsidRPr="00841DFD">
        <w:rPr>
          <w:sz w:val="28"/>
          <w:szCs w:val="28"/>
        </w:rPr>
        <w:t xml:space="preserve">.gada ___ . _______ </w:t>
      </w:r>
      <w:r w:rsidR="00122270">
        <w:rPr>
          <w:sz w:val="28"/>
          <w:szCs w:val="28"/>
        </w:rPr>
        <w:tab/>
      </w:r>
      <w:r w:rsidR="00122270">
        <w:rPr>
          <w:sz w:val="28"/>
          <w:szCs w:val="28"/>
        </w:rPr>
        <w:tab/>
      </w:r>
      <w:r w:rsidR="00122270">
        <w:rPr>
          <w:sz w:val="28"/>
          <w:szCs w:val="28"/>
        </w:rPr>
        <w:tab/>
      </w:r>
      <w:r w:rsidR="00122270">
        <w:rPr>
          <w:sz w:val="28"/>
          <w:szCs w:val="28"/>
        </w:rPr>
        <w:tab/>
      </w:r>
      <w:r w:rsidR="00122270">
        <w:rPr>
          <w:sz w:val="28"/>
          <w:szCs w:val="28"/>
        </w:rPr>
        <w:tab/>
      </w:r>
      <w:r w:rsidR="00122270">
        <w:rPr>
          <w:sz w:val="28"/>
          <w:szCs w:val="28"/>
        </w:rPr>
        <w:tab/>
      </w:r>
      <w:smartTag w:uri="schemas-tilde-lv/tildestengine" w:element="veidnes">
        <w:smartTagPr>
          <w:attr w:name="id" w:val="-1"/>
          <w:attr w:name="baseform" w:val="Rīkojums"/>
          <w:attr w:name="text" w:val="Rīkojums"/>
        </w:smartTagPr>
        <w:r w:rsidR="00841DFD" w:rsidRPr="00841DFD">
          <w:rPr>
            <w:sz w:val="28"/>
            <w:szCs w:val="28"/>
          </w:rPr>
          <w:t>Rīkojums</w:t>
        </w:r>
      </w:smartTag>
      <w:r w:rsidR="00841DFD" w:rsidRPr="00841DFD">
        <w:rPr>
          <w:sz w:val="28"/>
          <w:szCs w:val="28"/>
        </w:rPr>
        <w:t xml:space="preserve"> Nr.</w:t>
      </w:r>
    </w:p>
    <w:p w:rsidR="00841DFD" w:rsidRPr="00841DFD" w:rsidRDefault="00841DFD" w:rsidP="00841DFD">
      <w:pPr>
        <w:pStyle w:val="NormalWeb"/>
        <w:spacing w:before="0" w:beforeAutospacing="0" w:after="0"/>
        <w:rPr>
          <w:sz w:val="28"/>
          <w:szCs w:val="28"/>
        </w:rPr>
      </w:pPr>
    </w:p>
    <w:p w:rsidR="00841DFD" w:rsidRDefault="00841DFD" w:rsidP="00841DFD">
      <w:pPr>
        <w:pStyle w:val="NormalWeb"/>
        <w:spacing w:before="0" w:beforeAutospacing="0" w:after="0"/>
        <w:rPr>
          <w:sz w:val="28"/>
          <w:szCs w:val="28"/>
        </w:rPr>
      </w:pPr>
      <w:r w:rsidRPr="00841DFD">
        <w:rPr>
          <w:sz w:val="28"/>
          <w:szCs w:val="28"/>
        </w:rPr>
        <w:t xml:space="preserve">Rīgā </w:t>
      </w:r>
      <w:r w:rsidR="00716F92">
        <w:rPr>
          <w:sz w:val="28"/>
          <w:szCs w:val="28"/>
        </w:rPr>
        <w:t xml:space="preserve">                                                                                                 </w:t>
      </w:r>
      <w:r w:rsidRPr="00841DFD">
        <w:rPr>
          <w:sz w:val="28"/>
          <w:szCs w:val="28"/>
        </w:rPr>
        <w:t>(prot. Nr. §)</w:t>
      </w:r>
    </w:p>
    <w:p w:rsidR="00716F92" w:rsidRDefault="00716F92" w:rsidP="00BB00C7">
      <w:pPr>
        <w:rPr>
          <w:b/>
          <w:sz w:val="28"/>
          <w:szCs w:val="28"/>
        </w:rPr>
      </w:pPr>
    </w:p>
    <w:p w:rsidR="00205847" w:rsidRDefault="00205847" w:rsidP="00BB00C7">
      <w:pPr>
        <w:rPr>
          <w:b/>
          <w:sz w:val="28"/>
          <w:szCs w:val="28"/>
        </w:rPr>
      </w:pPr>
    </w:p>
    <w:p w:rsidR="00415AEF" w:rsidRDefault="00415AEF" w:rsidP="00BB00C7">
      <w:pPr>
        <w:rPr>
          <w:b/>
          <w:sz w:val="28"/>
          <w:szCs w:val="28"/>
        </w:rPr>
      </w:pPr>
    </w:p>
    <w:p w:rsidR="00EC7C2F" w:rsidRPr="009B677C" w:rsidRDefault="009B677C" w:rsidP="00137CD1">
      <w:pPr>
        <w:jc w:val="center"/>
        <w:rPr>
          <w:b/>
          <w:sz w:val="28"/>
          <w:szCs w:val="28"/>
        </w:rPr>
      </w:pPr>
      <w:r w:rsidRPr="009B677C">
        <w:rPr>
          <w:b/>
          <w:iCs/>
          <w:sz w:val="28"/>
          <w:szCs w:val="28"/>
        </w:rPr>
        <w:t xml:space="preserve">Par finansējuma piešķiršanu un līdzekļu pārdali stacionārās veselības aprūpes nodrošināšanai, palielinot </w:t>
      </w:r>
      <w:r w:rsidRPr="009B677C">
        <w:rPr>
          <w:b/>
        </w:rPr>
        <w:t xml:space="preserve"> </w:t>
      </w:r>
      <w:r w:rsidRPr="009B677C">
        <w:rPr>
          <w:b/>
          <w:sz w:val="28"/>
          <w:szCs w:val="28"/>
        </w:rPr>
        <w:t>viena pacienta ārstēšanas tarifu terapeitiskajiem pakalpojumiem</w:t>
      </w:r>
    </w:p>
    <w:p w:rsidR="00137CD1" w:rsidRPr="00137CD1" w:rsidRDefault="00137CD1" w:rsidP="00137CD1">
      <w:pPr>
        <w:jc w:val="center"/>
        <w:rPr>
          <w:b/>
          <w:bCs/>
          <w:sz w:val="28"/>
          <w:szCs w:val="28"/>
        </w:rPr>
      </w:pPr>
    </w:p>
    <w:p w:rsidR="008E7C24" w:rsidRDefault="008E7C24" w:rsidP="008E7C24">
      <w:pPr>
        <w:jc w:val="both"/>
        <w:rPr>
          <w:iCs/>
          <w:sz w:val="28"/>
          <w:szCs w:val="28"/>
        </w:rPr>
      </w:pPr>
      <w:r>
        <w:rPr>
          <w:iCs/>
          <w:sz w:val="28"/>
          <w:szCs w:val="28"/>
        </w:rPr>
        <w:t xml:space="preserve">1. Konceptuāli atbalstīt, ka Veselības ministrijas budžeta iestādes – Zāļu valsts aģentūras maksas pakalpojumu un citu pašu ieņēmumu līdzekļu atlikumu uz 2012.gada 1.janvāri 300 000  latu apmērā novirza uz valsts budžeta programmas 33.00.00 „Veselības aprūpes nodrošināšana” apakšprogrammu 33.01.00 „Ārstniecība”, lai 2012.gadā nodrošinātu </w:t>
      </w:r>
      <w:r w:rsidRPr="004F65B6">
        <w:rPr>
          <w:iCs/>
          <w:sz w:val="28"/>
          <w:szCs w:val="28"/>
        </w:rPr>
        <w:t xml:space="preserve">viena </w:t>
      </w:r>
      <w:r>
        <w:rPr>
          <w:iCs/>
          <w:sz w:val="28"/>
          <w:szCs w:val="28"/>
        </w:rPr>
        <w:t>pacienta ārstēšanas tarifa</w:t>
      </w:r>
      <w:r w:rsidRPr="004F65B6">
        <w:rPr>
          <w:iCs/>
          <w:sz w:val="28"/>
          <w:szCs w:val="28"/>
        </w:rPr>
        <w:t xml:space="preserve"> terapeitiskajiem pakalpojumiem </w:t>
      </w:r>
      <w:r w:rsidRPr="00640D0E">
        <w:rPr>
          <w:iCs/>
          <w:sz w:val="28"/>
          <w:szCs w:val="28"/>
        </w:rPr>
        <w:t>paaugstināšanu</w:t>
      </w:r>
      <w:r w:rsidRPr="004413D1">
        <w:rPr>
          <w:iCs/>
          <w:sz w:val="28"/>
          <w:szCs w:val="28"/>
        </w:rPr>
        <w:t xml:space="preserve"> </w:t>
      </w:r>
      <w:r w:rsidRPr="00640D0E">
        <w:rPr>
          <w:iCs/>
          <w:sz w:val="28"/>
          <w:szCs w:val="28"/>
        </w:rPr>
        <w:t>un līg</w:t>
      </w:r>
      <w:r>
        <w:rPr>
          <w:iCs/>
          <w:sz w:val="28"/>
          <w:szCs w:val="28"/>
        </w:rPr>
        <w:t xml:space="preserve">umu noslēgšanu ar slimnīcām par stacionāro </w:t>
      </w:r>
      <w:r w:rsidRPr="00640D0E">
        <w:rPr>
          <w:iCs/>
          <w:sz w:val="28"/>
          <w:szCs w:val="28"/>
        </w:rPr>
        <w:t>veselības</w:t>
      </w:r>
      <w:r>
        <w:rPr>
          <w:iCs/>
          <w:sz w:val="28"/>
          <w:szCs w:val="28"/>
        </w:rPr>
        <w:t xml:space="preserve"> aprūpes pakalpojumu sniegšanu.</w:t>
      </w:r>
    </w:p>
    <w:p w:rsidR="008E7C24" w:rsidRDefault="008E7C24" w:rsidP="008E7C24">
      <w:pPr>
        <w:jc w:val="both"/>
        <w:rPr>
          <w:iCs/>
          <w:sz w:val="28"/>
          <w:szCs w:val="28"/>
        </w:rPr>
      </w:pPr>
      <w:r>
        <w:rPr>
          <w:iCs/>
          <w:sz w:val="28"/>
          <w:szCs w:val="28"/>
        </w:rPr>
        <w:t>2. Veselības ministrijai normatīvajos aktos noteiktajā kārtībā sagatavot un iesniegt Finanšu ministrijā pieprasījumu valsts budžeta apropriācijas palielināšanai atbilstoši šī rīkojuma 1.punktam.</w:t>
      </w:r>
    </w:p>
    <w:p w:rsidR="008E7C24" w:rsidRDefault="008E7C24" w:rsidP="008E7C24">
      <w:pPr>
        <w:jc w:val="both"/>
        <w:rPr>
          <w:iCs/>
          <w:sz w:val="28"/>
          <w:szCs w:val="28"/>
        </w:rPr>
      </w:pPr>
      <w:r>
        <w:rPr>
          <w:iCs/>
          <w:sz w:val="28"/>
          <w:szCs w:val="28"/>
        </w:rPr>
        <w:t xml:space="preserve">3. Finanšu </w:t>
      </w:r>
      <w:r w:rsidRPr="00640D0E">
        <w:rPr>
          <w:iCs/>
          <w:sz w:val="28"/>
          <w:szCs w:val="28"/>
        </w:rPr>
        <w:t>ministram normatīvajos aktos note</w:t>
      </w:r>
      <w:r>
        <w:rPr>
          <w:iCs/>
          <w:sz w:val="28"/>
          <w:szCs w:val="28"/>
        </w:rPr>
        <w:t>iktajā kārtībā informēt Saeimas Budžeta un finanšu (nodokļu) komisiju par apropriācijas palielināšanu Veselības ministrijai un, ja Saeimas Budžeta un finanšu (nodokļu) komisija neiebilst pret apropriācijas palielināšanu, palielināt Veselības ministrijai likumā „Par valsts budžetu 2012.gadam” noteikto apropriāciju.</w:t>
      </w:r>
    </w:p>
    <w:p w:rsidR="008E7C24" w:rsidRDefault="008E7C24" w:rsidP="008E7C24">
      <w:pPr>
        <w:jc w:val="both"/>
        <w:rPr>
          <w:iCs/>
          <w:sz w:val="28"/>
          <w:szCs w:val="28"/>
        </w:rPr>
      </w:pPr>
      <w:r>
        <w:rPr>
          <w:iCs/>
          <w:sz w:val="28"/>
          <w:szCs w:val="28"/>
        </w:rPr>
        <w:t>4. Veselības ministrijai valsts budžeta programmas 33.00.00 „Veselības aprūpes nodrošināšana” apakšprogrammas 33.01.00 „</w:t>
      </w:r>
      <w:r w:rsidRPr="00621D6C">
        <w:rPr>
          <w:iCs/>
          <w:sz w:val="28"/>
          <w:szCs w:val="28"/>
        </w:rPr>
        <w:t xml:space="preserve">Ārstniecība” ietvaros </w:t>
      </w:r>
      <w:r>
        <w:rPr>
          <w:iCs/>
          <w:sz w:val="28"/>
          <w:szCs w:val="28"/>
        </w:rPr>
        <w:t xml:space="preserve">pārdalīt līdzekļus </w:t>
      </w:r>
      <w:r w:rsidRPr="00621D6C">
        <w:rPr>
          <w:iCs/>
          <w:sz w:val="28"/>
          <w:szCs w:val="28"/>
        </w:rPr>
        <w:t>300 000 latu apmērā</w:t>
      </w:r>
      <w:r>
        <w:rPr>
          <w:iCs/>
          <w:sz w:val="28"/>
          <w:szCs w:val="28"/>
        </w:rPr>
        <w:t>, samazinot</w:t>
      </w:r>
      <w:r w:rsidRPr="00621D6C">
        <w:rPr>
          <w:iCs/>
          <w:sz w:val="28"/>
          <w:szCs w:val="28"/>
        </w:rPr>
        <w:t xml:space="preserve"> </w:t>
      </w:r>
      <w:r>
        <w:rPr>
          <w:iCs/>
          <w:sz w:val="28"/>
          <w:szCs w:val="28"/>
        </w:rPr>
        <w:t>plānoto finansējumu</w:t>
      </w:r>
      <w:r w:rsidRPr="00621D6C">
        <w:rPr>
          <w:iCs/>
          <w:sz w:val="28"/>
          <w:szCs w:val="28"/>
        </w:rPr>
        <w:t xml:space="preserve"> starptautiskajiem norēķiniem par Latvijas iedzīvotājiem</w:t>
      </w:r>
      <w:r w:rsidRPr="00621D6C">
        <w:rPr>
          <w:sz w:val="28"/>
          <w:szCs w:val="28"/>
        </w:rPr>
        <w:t xml:space="preserve"> Eiropas Savienības dalībvalstīs sniegtajiem veselības aprūpes pakalpojumiem</w:t>
      </w:r>
      <w:r>
        <w:rPr>
          <w:sz w:val="28"/>
          <w:szCs w:val="28"/>
        </w:rPr>
        <w:t xml:space="preserve"> un palielinot finansējumu stacionārās veselības aprūpes pakalpojumiem, lai </w:t>
      </w:r>
      <w:r w:rsidRPr="00621D6C">
        <w:rPr>
          <w:iCs/>
          <w:sz w:val="28"/>
          <w:szCs w:val="28"/>
        </w:rPr>
        <w:t>nodrošināt</w:t>
      </w:r>
      <w:r>
        <w:rPr>
          <w:iCs/>
          <w:sz w:val="28"/>
          <w:szCs w:val="28"/>
        </w:rPr>
        <w:t>u</w:t>
      </w:r>
      <w:r w:rsidRPr="00621D6C">
        <w:rPr>
          <w:iCs/>
          <w:sz w:val="28"/>
          <w:szCs w:val="28"/>
        </w:rPr>
        <w:t xml:space="preserve"> </w:t>
      </w:r>
      <w:r w:rsidRPr="004F65B6">
        <w:rPr>
          <w:iCs/>
          <w:sz w:val="28"/>
          <w:szCs w:val="28"/>
        </w:rPr>
        <w:t>viena pacienta ārstēšanas tarif</w:t>
      </w:r>
      <w:r>
        <w:rPr>
          <w:iCs/>
          <w:sz w:val="28"/>
          <w:szCs w:val="28"/>
        </w:rPr>
        <w:t>a</w:t>
      </w:r>
      <w:r w:rsidRPr="004F65B6">
        <w:rPr>
          <w:iCs/>
          <w:sz w:val="28"/>
          <w:szCs w:val="28"/>
        </w:rPr>
        <w:t xml:space="preserve"> terapeitiskajiem pakalpojumiem</w:t>
      </w:r>
      <w:r>
        <w:rPr>
          <w:iCs/>
          <w:sz w:val="28"/>
          <w:szCs w:val="28"/>
        </w:rPr>
        <w:t xml:space="preserve"> paaugstināšanu.</w:t>
      </w:r>
    </w:p>
    <w:p w:rsidR="008E7C24" w:rsidRDefault="008E7C24" w:rsidP="008E7C24">
      <w:pPr>
        <w:jc w:val="both"/>
        <w:rPr>
          <w:iCs/>
          <w:sz w:val="28"/>
          <w:szCs w:val="28"/>
        </w:rPr>
      </w:pPr>
      <w:r>
        <w:rPr>
          <w:iCs/>
          <w:sz w:val="28"/>
          <w:szCs w:val="28"/>
        </w:rPr>
        <w:t>5. Konceptuāli atbalstīt finansējuma</w:t>
      </w:r>
      <w:r w:rsidRPr="00640D0E">
        <w:rPr>
          <w:iCs/>
          <w:sz w:val="28"/>
          <w:szCs w:val="28"/>
        </w:rPr>
        <w:t xml:space="preserve"> </w:t>
      </w:r>
      <w:r>
        <w:rPr>
          <w:iCs/>
          <w:sz w:val="28"/>
          <w:szCs w:val="28"/>
        </w:rPr>
        <w:t>pārdali</w:t>
      </w:r>
      <w:r w:rsidRPr="00640D0E">
        <w:rPr>
          <w:iCs/>
          <w:sz w:val="28"/>
          <w:szCs w:val="28"/>
        </w:rPr>
        <w:t xml:space="preserve"> no Finanšu ministrijas budžeta apakšprogrammas 31.02.00 „Valsts parāda vadība” </w:t>
      </w:r>
      <w:r>
        <w:rPr>
          <w:iCs/>
          <w:sz w:val="28"/>
          <w:szCs w:val="28"/>
        </w:rPr>
        <w:t xml:space="preserve">9 657 965 </w:t>
      </w:r>
      <w:r w:rsidRPr="00640D0E">
        <w:rPr>
          <w:iCs/>
          <w:sz w:val="28"/>
          <w:szCs w:val="28"/>
        </w:rPr>
        <w:t xml:space="preserve">latu apmērā Veselības ministrijas budžeta apakšprogrammai 33.01.00 „Ārstniecība”, lai 2012.gadā nodrošinātu </w:t>
      </w:r>
      <w:r>
        <w:rPr>
          <w:iCs/>
          <w:sz w:val="28"/>
          <w:szCs w:val="28"/>
        </w:rPr>
        <w:t xml:space="preserve">viena pacienta ārstēšanas tarifa terapeitiskajiem </w:t>
      </w:r>
      <w:r>
        <w:rPr>
          <w:iCs/>
          <w:sz w:val="28"/>
          <w:szCs w:val="28"/>
        </w:rPr>
        <w:lastRenderedPageBreak/>
        <w:t>pakalpojumiem</w:t>
      </w:r>
      <w:r w:rsidRPr="00640D0E">
        <w:rPr>
          <w:iCs/>
          <w:sz w:val="28"/>
          <w:szCs w:val="28"/>
        </w:rPr>
        <w:t xml:space="preserve"> paaugstināšanu un līgumu noslēgšanu ar slimnīcām par </w:t>
      </w:r>
      <w:r>
        <w:rPr>
          <w:iCs/>
          <w:sz w:val="28"/>
          <w:szCs w:val="28"/>
        </w:rPr>
        <w:t xml:space="preserve">stacionāro </w:t>
      </w:r>
      <w:r w:rsidRPr="00640D0E">
        <w:rPr>
          <w:iCs/>
          <w:sz w:val="28"/>
          <w:szCs w:val="28"/>
        </w:rPr>
        <w:t>veselības</w:t>
      </w:r>
      <w:r>
        <w:rPr>
          <w:iCs/>
          <w:sz w:val="28"/>
          <w:szCs w:val="28"/>
        </w:rPr>
        <w:t xml:space="preserve"> aprūpes pakalpojumu sniegšanu.</w:t>
      </w:r>
    </w:p>
    <w:p w:rsidR="008E7C24" w:rsidRDefault="008E7C24" w:rsidP="008E7C24">
      <w:pPr>
        <w:jc w:val="both"/>
        <w:rPr>
          <w:iCs/>
          <w:sz w:val="28"/>
          <w:szCs w:val="28"/>
        </w:rPr>
      </w:pPr>
      <w:r>
        <w:rPr>
          <w:iCs/>
          <w:sz w:val="28"/>
          <w:szCs w:val="28"/>
        </w:rPr>
        <w:t>6. Veselības ministrijai normatīvajos aktos noteiktajā kārtībā sagatavot un iesniegt Finanšu ministrijā pieprasījumu valsts budžeta apropriācijas pārdalei atbilstoši šī rīkojuma 5.punktam.</w:t>
      </w:r>
    </w:p>
    <w:p w:rsidR="008E7C24" w:rsidRPr="0021006B" w:rsidRDefault="008E7C24" w:rsidP="008E7C24">
      <w:pPr>
        <w:pStyle w:val="ListParagraph"/>
        <w:spacing w:after="120" w:line="276" w:lineRule="auto"/>
        <w:ind w:left="0"/>
        <w:jc w:val="both"/>
        <w:rPr>
          <w:iCs/>
          <w:sz w:val="28"/>
          <w:szCs w:val="28"/>
          <w:lang w:eastAsia="lv-LV"/>
        </w:rPr>
      </w:pPr>
      <w:r>
        <w:rPr>
          <w:iCs/>
          <w:sz w:val="28"/>
          <w:szCs w:val="28"/>
          <w:lang w:eastAsia="lv-LV"/>
        </w:rPr>
        <w:t xml:space="preserve">7. </w:t>
      </w:r>
      <w:r w:rsidRPr="00640D0E">
        <w:rPr>
          <w:iCs/>
          <w:sz w:val="28"/>
          <w:szCs w:val="28"/>
          <w:lang w:eastAsia="lv-LV"/>
        </w:rPr>
        <w:t>Finanšu ministram normatīvajos aktos note</w:t>
      </w:r>
      <w:r>
        <w:rPr>
          <w:iCs/>
          <w:sz w:val="28"/>
          <w:szCs w:val="28"/>
          <w:lang w:eastAsia="lv-LV"/>
        </w:rPr>
        <w:t>i</w:t>
      </w:r>
      <w:r w:rsidRPr="00640D0E">
        <w:rPr>
          <w:iCs/>
          <w:sz w:val="28"/>
          <w:szCs w:val="28"/>
          <w:lang w:eastAsia="lv-LV"/>
        </w:rPr>
        <w:t xml:space="preserve">ktajā kārtībā informēt Saeimu par apropriācijas pārdali starp Finanšu ministriju un Veselības </w:t>
      </w:r>
      <w:r w:rsidRPr="0021006B">
        <w:rPr>
          <w:iCs/>
          <w:sz w:val="28"/>
          <w:szCs w:val="28"/>
          <w:lang w:eastAsia="lv-LV"/>
        </w:rPr>
        <w:t>ministriju un pēc Saeimas atļaujas saņemšanas veikt apropriācijas pārdali.</w:t>
      </w:r>
    </w:p>
    <w:p w:rsidR="008E7C24" w:rsidRDefault="008E7C24" w:rsidP="008E7C24">
      <w:pPr>
        <w:jc w:val="both"/>
        <w:rPr>
          <w:color w:val="000000"/>
          <w:sz w:val="28"/>
          <w:szCs w:val="28"/>
        </w:rPr>
      </w:pPr>
      <w:r>
        <w:rPr>
          <w:sz w:val="28"/>
          <w:szCs w:val="28"/>
        </w:rPr>
        <w:t>8.</w:t>
      </w:r>
      <w:r w:rsidRPr="0021006B">
        <w:rPr>
          <w:sz w:val="28"/>
          <w:szCs w:val="28"/>
        </w:rPr>
        <w:t xml:space="preserve"> </w:t>
      </w:r>
      <w:r w:rsidRPr="0021006B">
        <w:rPr>
          <w:color w:val="000000"/>
          <w:sz w:val="28"/>
          <w:szCs w:val="28"/>
        </w:rPr>
        <w:t xml:space="preserve">Finanšu ministrijai </w:t>
      </w:r>
      <w:r>
        <w:rPr>
          <w:color w:val="000000"/>
          <w:sz w:val="28"/>
          <w:szCs w:val="28"/>
        </w:rPr>
        <w:t xml:space="preserve">iekļaut </w:t>
      </w:r>
      <w:r w:rsidRPr="0021006B">
        <w:rPr>
          <w:color w:val="000000"/>
          <w:sz w:val="28"/>
          <w:szCs w:val="28"/>
        </w:rPr>
        <w:t xml:space="preserve">Veselības ministrijas </w:t>
      </w:r>
      <w:r>
        <w:rPr>
          <w:color w:val="000000"/>
          <w:sz w:val="28"/>
          <w:szCs w:val="28"/>
        </w:rPr>
        <w:t>pamatbudžeta bāzes izdevumo</w:t>
      </w:r>
      <w:r w:rsidRPr="0021006B">
        <w:rPr>
          <w:color w:val="000000"/>
          <w:sz w:val="28"/>
          <w:szCs w:val="28"/>
        </w:rPr>
        <w:t xml:space="preserve">s </w:t>
      </w:r>
      <w:r>
        <w:rPr>
          <w:color w:val="000000"/>
          <w:sz w:val="28"/>
          <w:szCs w:val="28"/>
        </w:rPr>
        <w:t>(</w:t>
      </w:r>
      <w:r w:rsidRPr="0021006B">
        <w:rPr>
          <w:color w:val="2A2A2A"/>
          <w:sz w:val="28"/>
          <w:szCs w:val="28"/>
        </w:rPr>
        <w:t>apakšprogrammā 33.01.00 „Ārstniecība”</w:t>
      </w:r>
      <w:r>
        <w:rPr>
          <w:iCs/>
          <w:sz w:val="28"/>
          <w:szCs w:val="28"/>
        </w:rPr>
        <w:t xml:space="preserve">) </w:t>
      </w:r>
      <w:r w:rsidRPr="0021006B">
        <w:rPr>
          <w:color w:val="000000"/>
          <w:sz w:val="28"/>
          <w:szCs w:val="28"/>
        </w:rPr>
        <w:t>2013.</w:t>
      </w:r>
      <w:r>
        <w:rPr>
          <w:color w:val="000000"/>
          <w:sz w:val="28"/>
          <w:szCs w:val="28"/>
        </w:rPr>
        <w:t>, 2014. un 2015.gadam papildu finansējumu</w:t>
      </w:r>
      <w:r w:rsidRPr="0021006B">
        <w:rPr>
          <w:color w:val="000000"/>
          <w:sz w:val="28"/>
          <w:szCs w:val="28"/>
        </w:rPr>
        <w:t xml:space="preserve"> </w:t>
      </w:r>
      <w:r>
        <w:rPr>
          <w:color w:val="000000"/>
          <w:sz w:val="28"/>
          <w:szCs w:val="28"/>
        </w:rPr>
        <w:t>9 057 965 latu</w:t>
      </w:r>
      <w:r w:rsidRPr="0021006B">
        <w:rPr>
          <w:color w:val="2A2A2A"/>
          <w:sz w:val="28"/>
          <w:szCs w:val="28"/>
        </w:rPr>
        <w:t xml:space="preserve"> </w:t>
      </w:r>
      <w:r>
        <w:rPr>
          <w:color w:val="2A2A2A"/>
          <w:sz w:val="28"/>
          <w:szCs w:val="28"/>
        </w:rPr>
        <w:t xml:space="preserve">apmērā, lai nodrošinātu </w:t>
      </w:r>
      <w:r>
        <w:rPr>
          <w:iCs/>
          <w:sz w:val="28"/>
          <w:szCs w:val="28"/>
        </w:rPr>
        <w:t>viena pacienta ārstēšanas tarifu terapeitiskajiem pakalpojumiem</w:t>
      </w:r>
      <w:r>
        <w:rPr>
          <w:color w:val="2A2A2A"/>
          <w:sz w:val="28"/>
          <w:szCs w:val="28"/>
        </w:rPr>
        <w:t xml:space="preserve"> 2012.gada līmenī. </w:t>
      </w:r>
    </w:p>
    <w:p w:rsidR="00522161" w:rsidRDefault="00522161" w:rsidP="00262125">
      <w:pPr>
        <w:pStyle w:val="NormalWeb"/>
        <w:spacing w:before="0" w:beforeAutospacing="0" w:after="0"/>
        <w:jc w:val="both"/>
        <w:rPr>
          <w:sz w:val="28"/>
          <w:szCs w:val="28"/>
        </w:rPr>
      </w:pPr>
    </w:p>
    <w:p w:rsidR="00262125" w:rsidRPr="003E102B" w:rsidRDefault="00262125" w:rsidP="00262125">
      <w:pPr>
        <w:pStyle w:val="NormalWeb"/>
        <w:spacing w:before="0" w:beforeAutospacing="0" w:after="0"/>
        <w:jc w:val="both"/>
        <w:rPr>
          <w:sz w:val="28"/>
          <w:szCs w:val="28"/>
        </w:rPr>
      </w:pPr>
    </w:p>
    <w:p w:rsidR="00137CD1" w:rsidRDefault="00137CD1" w:rsidP="00287908">
      <w:pPr>
        <w:pStyle w:val="NormalWeb"/>
        <w:spacing w:before="0" w:beforeAutospacing="0" w:after="0"/>
        <w:jc w:val="both"/>
        <w:rPr>
          <w:sz w:val="28"/>
          <w:szCs w:val="28"/>
        </w:rPr>
      </w:pPr>
    </w:p>
    <w:p w:rsidR="00137CD1" w:rsidRPr="00864D4C" w:rsidRDefault="00137CD1" w:rsidP="00287908">
      <w:pPr>
        <w:pStyle w:val="NormalWeb"/>
        <w:spacing w:before="0" w:beforeAutospacing="0" w:after="0"/>
        <w:jc w:val="both"/>
        <w:rPr>
          <w:sz w:val="28"/>
          <w:szCs w:val="28"/>
        </w:rPr>
      </w:pPr>
    </w:p>
    <w:p w:rsidR="00386807" w:rsidRPr="00864D4C" w:rsidRDefault="00386807" w:rsidP="00287908">
      <w:pPr>
        <w:rPr>
          <w:sz w:val="28"/>
          <w:szCs w:val="28"/>
        </w:rPr>
      </w:pPr>
      <w:r w:rsidRPr="00864D4C">
        <w:rPr>
          <w:sz w:val="28"/>
          <w:szCs w:val="28"/>
        </w:rPr>
        <w:t>Ministru prezidents</w:t>
      </w:r>
      <w:r w:rsidR="00864D4C">
        <w:rPr>
          <w:sz w:val="28"/>
          <w:szCs w:val="28"/>
        </w:rPr>
        <w:tab/>
      </w:r>
      <w:r w:rsidR="00864D4C">
        <w:rPr>
          <w:sz w:val="28"/>
          <w:szCs w:val="28"/>
        </w:rPr>
        <w:tab/>
      </w:r>
      <w:r w:rsidR="00864D4C">
        <w:rPr>
          <w:sz w:val="28"/>
          <w:szCs w:val="28"/>
        </w:rPr>
        <w:tab/>
      </w:r>
      <w:r w:rsidR="00864D4C">
        <w:rPr>
          <w:sz w:val="28"/>
          <w:szCs w:val="28"/>
        </w:rPr>
        <w:tab/>
      </w:r>
      <w:r w:rsidR="00864D4C">
        <w:rPr>
          <w:sz w:val="28"/>
          <w:szCs w:val="28"/>
        </w:rPr>
        <w:tab/>
      </w:r>
      <w:r w:rsidR="00864D4C">
        <w:rPr>
          <w:sz w:val="28"/>
          <w:szCs w:val="28"/>
        </w:rPr>
        <w:tab/>
      </w:r>
      <w:r w:rsidR="00287908">
        <w:rPr>
          <w:sz w:val="28"/>
          <w:szCs w:val="28"/>
        </w:rPr>
        <w:t xml:space="preserve">        </w:t>
      </w:r>
      <w:proofErr w:type="spellStart"/>
      <w:r w:rsidR="00864D4C" w:rsidRPr="00864D4C">
        <w:rPr>
          <w:sz w:val="28"/>
          <w:szCs w:val="28"/>
        </w:rPr>
        <w:t>V.</w:t>
      </w:r>
      <w:r w:rsidRPr="00864D4C">
        <w:rPr>
          <w:sz w:val="28"/>
          <w:szCs w:val="28"/>
        </w:rPr>
        <w:t>Dombrovskis</w:t>
      </w:r>
      <w:proofErr w:type="spellEnd"/>
    </w:p>
    <w:p w:rsidR="00386807" w:rsidRDefault="00386807" w:rsidP="00287908">
      <w:pPr>
        <w:rPr>
          <w:sz w:val="28"/>
          <w:szCs w:val="28"/>
        </w:rPr>
      </w:pPr>
    </w:p>
    <w:p w:rsidR="00205847" w:rsidRPr="00864D4C" w:rsidRDefault="00205847" w:rsidP="00287908">
      <w:pPr>
        <w:rPr>
          <w:sz w:val="28"/>
          <w:szCs w:val="28"/>
        </w:rPr>
      </w:pPr>
    </w:p>
    <w:p w:rsidR="00386807" w:rsidRPr="00864D4C" w:rsidRDefault="00716F92" w:rsidP="00287908">
      <w:pPr>
        <w:rPr>
          <w:sz w:val="28"/>
          <w:szCs w:val="28"/>
          <w:lang w:val="de-DE"/>
        </w:rPr>
      </w:pPr>
      <w:r w:rsidRPr="00864D4C">
        <w:rPr>
          <w:sz w:val="28"/>
          <w:szCs w:val="28"/>
        </w:rPr>
        <w:t>Veselības ministr</w:t>
      </w:r>
      <w:r w:rsidR="00137CD1">
        <w:rPr>
          <w:sz w:val="28"/>
          <w:szCs w:val="28"/>
        </w:rPr>
        <w:t>e</w:t>
      </w:r>
      <w:r w:rsidR="00864D4C">
        <w:rPr>
          <w:sz w:val="28"/>
          <w:szCs w:val="28"/>
        </w:rPr>
        <w:tab/>
      </w:r>
      <w:r w:rsidR="00864D4C">
        <w:rPr>
          <w:sz w:val="28"/>
          <w:szCs w:val="28"/>
        </w:rPr>
        <w:tab/>
      </w:r>
      <w:r w:rsidR="00864D4C">
        <w:rPr>
          <w:sz w:val="28"/>
          <w:szCs w:val="28"/>
        </w:rPr>
        <w:tab/>
      </w:r>
      <w:r w:rsidR="00864D4C">
        <w:rPr>
          <w:sz w:val="28"/>
          <w:szCs w:val="28"/>
        </w:rPr>
        <w:tab/>
      </w:r>
      <w:r w:rsidR="00864D4C">
        <w:rPr>
          <w:sz w:val="28"/>
          <w:szCs w:val="28"/>
        </w:rPr>
        <w:tab/>
        <w:t xml:space="preserve">          </w:t>
      </w:r>
      <w:r w:rsidRPr="00864D4C">
        <w:rPr>
          <w:sz w:val="28"/>
          <w:szCs w:val="28"/>
        </w:rPr>
        <w:t xml:space="preserve"> </w:t>
      </w:r>
      <w:r w:rsidR="00EC7C2F">
        <w:rPr>
          <w:sz w:val="28"/>
          <w:szCs w:val="28"/>
        </w:rPr>
        <w:tab/>
      </w:r>
      <w:r w:rsidR="00287908">
        <w:rPr>
          <w:sz w:val="28"/>
          <w:szCs w:val="28"/>
        </w:rPr>
        <w:t xml:space="preserve">                </w:t>
      </w:r>
      <w:r w:rsidRPr="00864D4C">
        <w:rPr>
          <w:sz w:val="28"/>
          <w:szCs w:val="28"/>
        </w:rPr>
        <w:t xml:space="preserve"> </w:t>
      </w:r>
      <w:r w:rsidR="00137CD1">
        <w:rPr>
          <w:sz w:val="28"/>
          <w:szCs w:val="28"/>
          <w:lang w:val="de-DE"/>
        </w:rPr>
        <w:t>I.Circene</w:t>
      </w:r>
    </w:p>
    <w:p w:rsidR="00386807" w:rsidRDefault="00386807" w:rsidP="00386807">
      <w:pPr>
        <w:pStyle w:val="Header"/>
        <w:tabs>
          <w:tab w:val="clear" w:pos="4153"/>
          <w:tab w:val="clear" w:pos="8306"/>
        </w:tabs>
      </w:pPr>
    </w:p>
    <w:p w:rsidR="00137CD1" w:rsidRDefault="00137CD1" w:rsidP="00841DFD">
      <w:pPr>
        <w:pStyle w:val="NormalWeb"/>
        <w:spacing w:before="0" w:beforeAutospacing="0" w:after="0"/>
      </w:pPr>
    </w:p>
    <w:p w:rsidR="00137CD1" w:rsidRDefault="00137CD1" w:rsidP="00841DFD">
      <w:pPr>
        <w:pStyle w:val="NormalWeb"/>
        <w:spacing w:before="0" w:beforeAutospacing="0" w:after="0"/>
      </w:pPr>
    </w:p>
    <w:p w:rsidR="00137CD1" w:rsidRDefault="00137CD1" w:rsidP="00841DFD">
      <w:pPr>
        <w:pStyle w:val="NormalWeb"/>
        <w:spacing w:before="0" w:beforeAutospacing="0" w:after="0"/>
      </w:pPr>
    </w:p>
    <w:p w:rsidR="00522161" w:rsidRDefault="00522161" w:rsidP="00841DFD">
      <w:pPr>
        <w:pStyle w:val="NormalWeb"/>
        <w:spacing w:before="0" w:beforeAutospacing="0" w:after="0"/>
      </w:pPr>
    </w:p>
    <w:p w:rsidR="004B05C9" w:rsidRDefault="009B677C" w:rsidP="00841DFD">
      <w:pPr>
        <w:pStyle w:val="NormalWeb"/>
        <w:spacing w:before="0" w:beforeAutospacing="0" w:after="0"/>
        <w:rPr>
          <w:sz w:val="22"/>
          <w:szCs w:val="22"/>
        </w:rPr>
      </w:pPr>
      <w:r>
        <w:rPr>
          <w:sz w:val="22"/>
          <w:szCs w:val="22"/>
        </w:rPr>
        <w:t>24</w:t>
      </w:r>
      <w:r w:rsidR="004B05C9">
        <w:rPr>
          <w:sz w:val="22"/>
          <w:szCs w:val="22"/>
        </w:rPr>
        <w:t>.</w:t>
      </w:r>
      <w:r>
        <w:rPr>
          <w:sz w:val="22"/>
          <w:szCs w:val="22"/>
        </w:rPr>
        <w:t>02</w:t>
      </w:r>
      <w:r w:rsidR="004B05C9">
        <w:rPr>
          <w:sz w:val="22"/>
          <w:szCs w:val="22"/>
        </w:rPr>
        <w:t>.201</w:t>
      </w:r>
      <w:r>
        <w:rPr>
          <w:sz w:val="22"/>
          <w:szCs w:val="22"/>
        </w:rPr>
        <w:t>2</w:t>
      </w:r>
      <w:r w:rsidR="004B05C9">
        <w:rPr>
          <w:sz w:val="22"/>
          <w:szCs w:val="22"/>
        </w:rPr>
        <w:t xml:space="preserve">    </w:t>
      </w:r>
      <w:r w:rsidR="008E7C24">
        <w:rPr>
          <w:sz w:val="22"/>
          <w:szCs w:val="22"/>
        </w:rPr>
        <w:t>12</w:t>
      </w:r>
      <w:r w:rsidR="00D500EB" w:rsidRPr="00F32746">
        <w:rPr>
          <w:sz w:val="22"/>
          <w:szCs w:val="22"/>
        </w:rPr>
        <w:t>:</w:t>
      </w:r>
      <w:r w:rsidR="008E7C24">
        <w:rPr>
          <w:sz w:val="22"/>
          <w:szCs w:val="22"/>
        </w:rPr>
        <w:t>3</w:t>
      </w:r>
      <w:r w:rsidR="007E7585">
        <w:rPr>
          <w:sz w:val="22"/>
          <w:szCs w:val="22"/>
        </w:rPr>
        <w:t>2</w:t>
      </w:r>
    </w:p>
    <w:p w:rsidR="00841DFD" w:rsidRPr="00A01835" w:rsidRDefault="009B677C" w:rsidP="00841DFD">
      <w:pPr>
        <w:pStyle w:val="NormalWeb"/>
        <w:spacing w:before="0" w:beforeAutospacing="0" w:after="0"/>
        <w:rPr>
          <w:sz w:val="22"/>
          <w:szCs w:val="22"/>
        </w:rPr>
      </w:pPr>
      <w:r>
        <w:rPr>
          <w:sz w:val="22"/>
          <w:szCs w:val="22"/>
        </w:rPr>
        <w:t>3</w:t>
      </w:r>
      <w:r w:rsidR="008E7C24">
        <w:rPr>
          <w:sz w:val="22"/>
          <w:szCs w:val="22"/>
        </w:rPr>
        <w:t>42</w:t>
      </w:r>
    </w:p>
    <w:p w:rsidR="00841DFD" w:rsidRPr="00A01835" w:rsidRDefault="009B677C" w:rsidP="00841DFD">
      <w:pPr>
        <w:pStyle w:val="NormalWeb"/>
        <w:spacing w:before="0" w:beforeAutospacing="0" w:after="0"/>
        <w:rPr>
          <w:sz w:val="22"/>
          <w:szCs w:val="22"/>
        </w:rPr>
      </w:pPr>
      <w:r>
        <w:rPr>
          <w:sz w:val="22"/>
          <w:szCs w:val="22"/>
        </w:rPr>
        <w:t>A.Veidemanis</w:t>
      </w:r>
    </w:p>
    <w:p w:rsidR="00841DFD" w:rsidRPr="00A01835" w:rsidRDefault="00137CD1" w:rsidP="00A126B8">
      <w:pPr>
        <w:pStyle w:val="NormalWeb"/>
        <w:spacing w:before="0" w:beforeAutospacing="0" w:after="0"/>
        <w:rPr>
          <w:sz w:val="22"/>
          <w:szCs w:val="22"/>
        </w:rPr>
      </w:pPr>
      <w:r w:rsidRPr="00A01835">
        <w:rPr>
          <w:sz w:val="22"/>
          <w:szCs w:val="22"/>
        </w:rPr>
        <w:t>678760</w:t>
      </w:r>
      <w:r w:rsidR="009B677C">
        <w:rPr>
          <w:sz w:val="22"/>
          <w:szCs w:val="22"/>
        </w:rPr>
        <w:t>29</w:t>
      </w:r>
      <w:r w:rsidR="0001389C" w:rsidRPr="00A01835">
        <w:rPr>
          <w:sz w:val="22"/>
          <w:szCs w:val="22"/>
        </w:rPr>
        <w:t xml:space="preserve">, </w:t>
      </w:r>
      <w:hyperlink r:id="rId8" w:history="1">
        <w:r w:rsidR="009B677C" w:rsidRPr="00BB6DA5">
          <w:rPr>
            <w:rStyle w:val="Hyperlink"/>
            <w:sz w:val="22"/>
            <w:szCs w:val="22"/>
          </w:rPr>
          <w:t>Arturs.Veidemanis@vm.gov.lv</w:t>
        </w:r>
      </w:hyperlink>
    </w:p>
    <w:sectPr w:rsidR="00841DFD" w:rsidRPr="00A01835" w:rsidSect="002339B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77C" w:rsidRDefault="009B677C">
      <w:r>
        <w:separator/>
      </w:r>
    </w:p>
  </w:endnote>
  <w:endnote w:type="continuationSeparator" w:id="0">
    <w:p w:rsidR="009B677C" w:rsidRDefault="009B6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77C" w:rsidRPr="009B677C" w:rsidRDefault="009B677C" w:rsidP="009B677C">
    <w:pPr>
      <w:jc w:val="both"/>
    </w:pPr>
    <w:r w:rsidRPr="009B677C">
      <w:t>VMRik_240212_lig_sleg; Ministru kabineta rīkojuma „</w:t>
    </w:r>
    <w:r w:rsidRPr="009B677C">
      <w:rPr>
        <w:iCs/>
      </w:rPr>
      <w:t xml:space="preserve">Par finansējuma piešķiršanu un līdzekļu pārdali stacionārās veselības aprūpes nodrošināšanai, palielinot </w:t>
    </w:r>
    <w:r w:rsidRPr="009B677C">
      <w:t xml:space="preserve"> viena pacienta ārstēšanas tarifu terapeitiskajiem pakalpojumiem” projekts</w:t>
    </w:r>
  </w:p>
  <w:p w:rsidR="009B677C" w:rsidRPr="009B677C" w:rsidRDefault="009B677C" w:rsidP="009B67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77C" w:rsidRPr="009B677C" w:rsidRDefault="009B677C" w:rsidP="004F55BA">
    <w:pPr>
      <w:jc w:val="both"/>
    </w:pPr>
    <w:r w:rsidRPr="009B677C">
      <w:t xml:space="preserve">VMRik_240212_lig_sleg; </w:t>
    </w:r>
    <w:bookmarkStart w:id="0" w:name="OLE_LINK19"/>
    <w:bookmarkStart w:id="1" w:name="OLE_LINK20"/>
    <w:bookmarkStart w:id="2" w:name="OLE_LINK1"/>
    <w:r w:rsidRPr="009B677C">
      <w:t>Ministru kabineta rīkojuma „</w:t>
    </w:r>
    <w:r w:rsidRPr="009B677C">
      <w:rPr>
        <w:iCs/>
      </w:rPr>
      <w:t xml:space="preserve">Par finansējuma piešķiršanu un līdzekļu pārdali stacionārās veselības aprūpes nodrošināšanai, palielinot </w:t>
    </w:r>
    <w:r w:rsidRPr="009B677C">
      <w:t xml:space="preserve"> viena pacienta ārstēšanas tarifu terapeitiskajiem pakalpojumiem” projekts</w:t>
    </w:r>
    <w:bookmarkEnd w:id="0"/>
    <w:bookmarkEnd w:id="1"/>
    <w:bookmarkEnd w:id="2"/>
  </w:p>
  <w:p w:rsidR="009B677C" w:rsidRDefault="009B67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77C" w:rsidRDefault="009B677C">
      <w:r>
        <w:separator/>
      </w:r>
    </w:p>
  </w:footnote>
  <w:footnote w:type="continuationSeparator" w:id="0">
    <w:p w:rsidR="009B677C" w:rsidRDefault="009B67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8672"/>
      <w:docPartObj>
        <w:docPartGallery w:val="Page Numbers (Top of Page)"/>
        <w:docPartUnique/>
      </w:docPartObj>
    </w:sdtPr>
    <w:sdtContent>
      <w:p w:rsidR="009B677C" w:rsidRDefault="005C552B">
        <w:pPr>
          <w:pStyle w:val="Header"/>
          <w:jc w:val="center"/>
        </w:pPr>
        <w:fldSimple w:instr=" PAGE   \* MERGEFORMAT ">
          <w:r w:rsidR="007E7585">
            <w:rPr>
              <w:noProof/>
            </w:rPr>
            <w:t>2</w:t>
          </w:r>
        </w:fldSimple>
      </w:p>
    </w:sdtContent>
  </w:sdt>
  <w:p w:rsidR="009B677C" w:rsidRDefault="009B67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E4115"/>
    <w:multiLevelType w:val="multilevel"/>
    <w:tmpl w:val="F46C84DC"/>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1">
    <w:nsid w:val="277F7C85"/>
    <w:multiLevelType w:val="hybridMultilevel"/>
    <w:tmpl w:val="FD5A030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C55F1"/>
    <w:multiLevelType w:val="hybridMultilevel"/>
    <w:tmpl w:val="70D8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AB7C8C"/>
    <w:multiLevelType w:val="multilevel"/>
    <w:tmpl w:val="84E484B2"/>
    <w:lvl w:ilvl="0">
      <w:start w:val="1"/>
      <w:numFmt w:val="decimal"/>
      <w:lvlText w:val="%1."/>
      <w:lvlJc w:val="left"/>
      <w:pPr>
        <w:ind w:left="1866" w:hanging="360"/>
      </w:pPr>
    </w:lvl>
    <w:lvl w:ilvl="1">
      <w:start w:val="1"/>
      <w:numFmt w:val="decimal"/>
      <w:isLgl/>
      <w:lvlText w:val="%1.%2."/>
      <w:lvlJc w:val="left"/>
      <w:pPr>
        <w:ind w:left="2226" w:hanging="72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946"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306" w:hanging="1800"/>
      </w:pPr>
      <w:rPr>
        <w:rFonts w:hint="default"/>
      </w:rPr>
    </w:lvl>
    <w:lvl w:ilvl="8">
      <w:start w:val="1"/>
      <w:numFmt w:val="decimal"/>
      <w:isLgl/>
      <w:lvlText w:val="%1.%2.%3.%4.%5.%6.%7.%8.%9."/>
      <w:lvlJc w:val="left"/>
      <w:pPr>
        <w:ind w:left="3666"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41DFD"/>
    <w:rsid w:val="00001F30"/>
    <w:rsid w:val="0001389C"/>
    <w:rsid w:val="00020ED0"/>
    <w:rsid w:val="00034D3B"/>
    <w:rsid w:val="00035E9D"/>
    <w:rsid w:val="00043492"/>
    <w:rsid w:val="00056131"/>
    <w:rsid w:val="000649E7"/>
    <w:rsid w:val="00076EDA"/>
    <w:rsid w:val="000B284C"/>
    <w:rsid w:val="000C520E"/>
    <w:rsid w:val="000D50E5"/>
    <w:rsid w:val="00120016"/>
    <w:rsid w:val="00122270"/>
    <w:rsid w:val="00137CD1"/>
    <w:rsid w:val="00171DB0"/>
    <w:rsid w:val="00186109"/>
    <w:rsid w:val="00187BD0"/>
    <w:rsid w:val="00196A20"/>
    <w:rsid w:val="0019784D"/>
    <w:rsid w:val="00197D33"/>
    <w:rsid w:val="001D3A9F"/>
    <w:rsid w:val="001D72D8"/>
    <w:rsid w:val="00205847"/>
    <w:rsid w:val="00212ECF"/>
    <w:rsid w:val="002339B1"/>
    <w:rsid w:val="00257865"/>
    <w:rsid w:val="00262125"/>
    <w:rsid w:val="00287908"/>
    <w:rsid w:val="00287DB2"/>
    <w:rsid w:val="002A7C35"/>
    <w:rsid w:val="002B75D0"/>
    <w:rsid w:val="002D052F"/>
    <w:rsid w:val="002D416F"/>
    <w:rsid w:val="003142B9"/>
    <w:rsid w:val="00322A1E"/>
    <w:rsid w:val="003602CE"/>
    <w:rsid w:val="00380BCB"/>
    <w:rsid w:val="00383F6A"/>
    <w:rsid w:val="00386807"/>
    <w:rsid w:val="0038756B"/>
    <w:rsid w:val="00387F0E"/>
    <w:rsid w:val="00394CF0"/>
    <w:rsid w:val="003A1DEB"/>
    <w:rsid w:val="003C557D"/>
    <w:rsid w:val="003E3F9D"/>
    <w:rsid w:val="003E61B8"/>
    <w:rsid w:val="003F40C8"/>
    <w:rsid w:val="00402700"/>
    <w:rsid w:val="00415AEF"/>
    <w:rsid w:val="00424481"/>
    <w:rsid w:val="00451619"/>
    <w:rsid w:val="00483CB1"/>
    <w:rsid w:val="00487D1A"/>
    <w:rsid w:val="004A276A"/>
    <w:rsid w:val="004A3029"/>
    <w:rsid w:val="004A6937"/>
    <w:rsid w:val="004B0519"/>
    <w:rsid w:val="004B05C9"/>
    <w:rsid w:val="004C765C"/>
    <w:rsid w:val="004F55BA"/>
    <w:rsid w:val="004F7EA9"/>
    <w:rsid w:val="00512FCF"/>
    <w:rsid w:val="00522161"/>
    <w:rsid w:val="00534A2C"/>
    <w:rsid w:val="00594408"/>
    <w:rsid w:val="005C552B"/>
    <w:rsid w:val="005E5458"/>
    <w:rsid w:val="0065735D"/>
    <w:rsid w:val="00670EC2"/>
    <w:rsid w:val="00677ECF"/>
    <w:rsid w:val="0068040A"/>
    <w:rsid w:val="00684761"/>
    <w:rsid w:val="006B3E75"/>
    <w:rsid w:val="006D79B0"/>
    <w:rsid w:val="006E2297"/>
    <w:rsid w:val="006F21F2"/>
    <w:rsid w:val="006F70A2"/>
    <w:rsid w:val="007137FD"/>
    <w:rsid w:val="00716F92"/>
    <w:rsid w:val="00725101"/>
    <w:rsid w:val="00731B22"/>
    <w:rsid w:val="00736F2E"/>
    <w:rsid w:val="00791B7A"/>
    <w:rsid w:val="007963CE"/>
    <w:rsid w:val="007A3397"/>
    <w:rsid w:val="007A6BD1"/>
    <w:rsid w:val="007D022E"/>
    <w:rsid w:val="007E5488"/>
    <w:rsid w:val="007E7585"/>
    <w:rsid w:val="00832B2C"/>
    <w:rsid w:val="00841DFD"/>
    <w:rsid w:val="00853DB5"/>
    <w:rsid w:val="00864D4C"/>
    <w:rsid w:val="00876151"/>
    <w:rsid w:val="00882CA9"/>
    <w:rsid w:val="008B4BC3"/>
    <w:rsid w:val="008C7CBC"/>
    <w:rsid w:val="008E7C24"/>
    <w:rsid w:val="00924BB9"/>
    <w:rsid w:val="00931C47"/>
    <w:rsid w:val="0093361C"/>
    <w:rsid w:val="00986750"/>
    <w:rsid w:val="009A6934"/>
    <w:rsid w:val="009B677C"/>
    <w:rsid w:val="009F7CC0"/>
    <w:rsid w:val="00A01835"/>
    <w:rsid w:val="00A04E26"/>
    <w:rsid w:val="00A126B8"/>
    <w:rsid w:val="00A5554A"/>
    <w:rsid w:val="00A63A5F"/>
    <w:rsid w:val="00A84562"/>
    <w:rsid w:val="00A871ED"/>
    <w:rsid w:val="00A87595"/>
    <w:rsid w:val="00AA5C97"/>
    <w:rsid w:val="00AE1E38"/>
    <w:rsid w:val="00AE615D"/>
    <w:rsid w:val="00B75DC6"/>
    <w:rsid w:val="00B75FE1"/>
    <w:rsid w:val="00B8122B"/>
    <w:rsid w:val="00B86FDB"/>
    <w:rsid w:val="00BA0A8B"/>
    <w:rsid w:val="00BB00C7"/>
    <w:rsid w:val="00BC61F4"/>
    <w:rsid w:val="00BD2ABE"/>
    <w:rsid w:val="00C14544"/>
    <w:rsid w:val="00C32F5A"/>
    <w:rsid w:val="00C462A0"/>
    <w:rsid w:val="00C51F98"/>
    <w:rsid w:val="00C53ADC"/>
    <w:rsid w:val="00C7477A"/>
    <w:rsid w:val="00C843CC"/>
    <w:rsid w:val="00C86F54"/>
    <w:rsid w:val="00CA64CE"/>
    <w:rsid w:val="00CC1FD5"/>
    <w:rsid w:val="00CE7456"/>
    <w:rsid w:val="00CE78FF"/>
    <w:rsid w:val="00CF6F8F"/>
    <w:rsid w:val="00D16EB9"/>
    <w:rsid w:val="00D42C25"/>
    <w:rsid w:val="00D500EB"/>
    <w:rsid w:val="00D528BD"/>
    <w:rsid w:val="00D55C3B"/>
    <w:rsid w:val="00D615CF"/>
    <w:rsid w:val="00D64198"/>
    <w:rsid w:val="00D84A6F"/>
    <w:rsid w:val="00D954DA"/>
    <w:rsid w:val="00E017B0"/>
    <w:rsid w:val="00E06B32"/>
    <w:rsid w:val="00E11BA7"/>
    <w:rsid w:val="00E20082"/>
    <w:rsid w:val="00E208E8"/>
    <w:rsid w:val="00E5470B"/>
    <w:rsid w:val="00E8241A"/>
    <w:rsid w:val="00EC7C2F"/>
    <w:rsid w:val="00ED4400"/>
    <w:rsid w:val="00F303A0"/>
    <w:rsid w:val="00F32746"/>
    <w:rsid w:val="00F35D68"/>
    <w:rsid w:val="00F438C9"/>
    <w:rsid w:val="00F5399C"/>
    <w:rsid w:val="00F66A76"/>
    <w:rsid w:val="00F71288"/>
    <w:rsid w:val="00FA407C"/>
    <w:rsid w:val="00FA6679"/>
    <w:rsid w:val="00FB43BE"/>
    <w:rsid w:val="00FC3FCC"/>
    <w:rsid w:val="00FD5CEE"/>
    <w:rsid w:val="00FE0EE9"/>
    <w:rsid w:val="00FE2381"/>
    <w:rsid w:val="00FE2DAA"/>
    <w:rsid w:val="00FE7EC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481"/>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1DFD"/>
    <w:pPr>
      <w:spacing w:before="100" w:beforeAutospacing="1" w:after="119"/>
    </w:pPr>
  </w:style>
  <w:style w:type="paragraph" w:styleId="Header">
    <w:name w:val="header"/>
    <w:basedOn w:val="Normal"/>
    <w:link w:val="HeaderChar"/>
    <w:uiPriority w:val="99"/>
    <w:rsid w:val="0001389C"/>
    <w:pPr>
      <w:tabs>
        <w:tab w:val="center" w:pos="4153"/>
        <w:tab w:val="right" w:pos="8306"/>
      </w:tabs>
    </w:pPr>
  </w:style>
  <w:style w:type="paragraph" w:styleId="Footer">
    <w:name w:val="footer"/>
    <w:basedOn w:val="Normal"/>
    <w:rsid w:val="0001389C"/>
    <w:pPr>
      <w:tabs>
        <w:tab w:val="center" w:pos="4153"/>
        <w:tab w:val="right" w:pos="8306"/>
      </w:tabs>
    </w:pPr>
  </w:style>
  <w:style w:type="character" w:styleId="Hyperlink">
    <w:name w:val="Hyperlink"/>
    <w:basedOn w:val="DefaultParagraphFont"/>
    <w:rsid w:val="00986750"/>
    <w:rPr>
      <w:color w:val="0000FF"/>
      <w:u w:val="single"/>
    </w:rPr>
  </w:style>
  <w:style w:type="paragraph" w:customStyle="1" w:styleId="naisf">
    <w:name w:val="naisf"/>
    <w:basedOn w:val="Normal"/>
    <w:rsid w:val="00853DB5"/>
    <w:pPr>
      <w:spacing w:before="100" w:beforeAutospacing="1" w:after="100" w:afterAutospacing="1"/>
    </w:pPr>
  </w:style>
  <w:style w:type="paragraph" w:customStyle="1" w:styleId="naisnod">
    <w:name w:val="naisnod"/>
    <w:basedOn w:val="Normal"/>
    <w:rsid w:val="00120016"/>
    <w:pPr>
      <w:spacing w:before="150" w:after="150"/>
      <w:jc w:val="center"/>
    </w:pPr>
    <w:rPr>
      <w:b/>
      <w:bCs/>
    </w:rPr>
  </w:style>
  <w:style w:type="paragraph" w:customStyle="1" w:styleId="RakstzCharCharRakstzCharCharRakstz">
    <w:name w:val="Rakstz. Char Char Rakstz. Char Char Rakstz."/>
    <w:basedOn w:val="Normal"/>
    <w:rsid w:val="00FD5CEE"/>
    <w:pPr>
      <w:spacing w:after="160" w:line="240" w:lineRule="exact"/>
    </w:pPr>
    <w:rPr>
      <w:rFonts w:ascii="Tahoma" w:hAnsi="Tahoma"/>
      <w:sz w:val="20"/>
      <w:szCs w:val="20"/>
      <w:lang w:val="en-US" w:eastAsia="en-US"/>
    </w:rPr>
  </w:style>
  <w:style w:type="character" w:customStyle="1" w:styleId="HeaderChar">
    <w:name w:val="Header Char"/>
    <w:basedOn w:val="DefaultParagraphFont"/>
    <w:link w:val="Header"/>
    <w:uiPriority w:val="99"/>
    <w:rsid w:val="00386807"/>
    <w:rPr>
      <w:sz w:val="24"/>
      <w:szCs w:val="24"/>
      <w:lang w:val="lv-LV" w:eastAsia="lv-LV"/>
    </w:rPr>
  </w:style>
  <w:style w:type="paragraph" w:styleId="ListParagraph">
    <w:name w:val="List Paragraph"/>
    <w:basedOn w:val="Normal"/>
    <w:uiPriority w:val="34"/>
    <w:qFormat/>
    <w:rsid w:val="00F66A76"/>
    <w:pPr>
      <w:ind w:left="720"/>
      <w:contextualSpacing/>
    </w:pPr>
    <w:rPr>
      <w:sz w:val="20"/>
      <w:szCs w:val="20"/>
      <w:lang w:eastAsia="en-US"/>
    </w:rPr>
  </w:style>
</w:styles>
</file>

<file path=word/webSettings.xml><?xml version="1.0" encoding="utf-8"?>
<w:webSettings xmlns:r="http://schemas.openxmlformats.org/officeDocument/2006/relationships" xmlns:w="http://schemas.openxmlformats.org/wordprocessingml/2006/main">
  <w:divs>
    <w:div w:id="30882982">
      <w:bodyDiv w:val="1"/>
      <w:marLeft w:val="0"/>
      <w:marRight w:val="0"/>
      <w:marTop w:val="0"/>
      <w:marBottom w:val="0"/>
      <w:divBdr>
        <w:top w:val="none" w:sz="0" w:space="0" w:color="auto"/>
        <w:left w:val="none" w:sz="0" w:space="0" w:color="auto"/>
        <w:bottom w:val="none" w:sz="0" w:space="0" w:color="auto"/>
        <w:right w:val="none" w:sz="0" w:space="0" w:color="auto"/>
      </w:divBdr>
    </w:div>
    <w:div w:id="358089581">
      <w:bodyDiv w:val="1"/>
      <w:marLeft w:val="0"/>
      <w:marRight w:val="0"/>
      <w:marTop w:val="0"/>
      <w:marBottom w:val="0"/>
      <w:divBdr>
        <w:top w:val="none" w:sz="0" w:space="0" w:color="auto"/>
        <w:left w:val="none" w:sz="0" w:space="0" w:color="auto"/>
        <w:bottom w:val="none" w:sz="0" w:space="0" w:color="auto"/>
        <w:right w:val="none" w:sz="0" w:space="0" w:color="auto"/>
      </w:divBdr>
    </w:div>
    <w:div w:id="377241613">
      <w:bodyDiv w:val="1"/>
      <w:marLeft w:val="0"/>
      <w:marRight w:val="0"/>
      <w:marTop w:val="0"/>
      <w:marBottom w:val="0"/>
      <w:divBdr>
        <w:top w:val="none" w:sz="0" w:space="0" w:color="auto"/>
        <w:left w:val="none" w:sz="0" w:space="0" w:color="auto"/>
        <w:bottom w:val="none" w:sz="0" w:space="0" w:color="auto"/>
        <w:right w:val="none" w:sz="0" w:space="0" w:color="auto"/>
      </w:divBdr>
    </w:div>
    <w:div w:id="848563329">
      <w:bodyDiv w:val="1"/>
      <w:marLeft w:val="0"/>
      <w:marRight w:val="0"/>
      <w:marTop w:val="0"/>
      <w:marBottom w:val="0"/>
      <w:divBdr>
        <w:top w:val="none" w:sz="0" w:space="0" w:color="auto"/>
        <w:left w:val="none" w:sz="0" w:space="0" w:color="auto"/>
        <w:bottom w:val="none" w:sz="0" w:space="0" w:color="auto"/>
        <w:right w:val="none" w:sz="0" w:space="0" w:color="auto"/>
      </w:divBdr>
    </w:div>
    <w:div w:id="17212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urs.Veidemanis@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93CA-4702-4E86-AA9C-B9F6AA69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342</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Ministru kabineta rīkojuma „Par finanšu līdzekļu piešķiršanu no valsts budžeta programmas „Līdzekļi neparedzētiem gadījumiem”” projekts</vt:lpstr>
    </vt:vector>
  </TitlesOfParts>
  <Company>Veselības ministrija</Company>
  <LinksUpToDate>false</LinksUpToDate>
  <CharactersWithSpaces>3303</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finansējuma piešķiršanu un līdzekļu pārdali stacionārās veselības aprūpes nodrošināšanai, palielinot viena pacienta ārstēšanas tarifu terapeitiskajiem pakalpojumiem” projekts </dc:title>
  <dc:subject>Rīkojuma projekts</dc:subject>
  <dc:creator>Artūrs Veidemanis</dc:creator>
  <dc:description>Budžeta un investīciju departaments, Budžeta plānošanas nodaļa,
Artūrs Veidemanis, Arturs.Veidemanis@vm.gov.lv, tel.67876029</dc:description>
  <cp:lastModifiedBy>VM</cp:lastModifiedBy>
  <cp:revision>12</cp:revision>
  <cp:lastPrinted>2012-02-24T07:46:00Z</cp:lastPrinted>
  <dcterms:created xsi:type="dcterms:W3CDTF">2011-12-15T07:06:00Z</dcterms:created>
  <dcterms:modified xsi:type="dcterms:W3CDTF">2012-02-24T10:32:00Z</dcterms:modified>
</cp:coreProperties>
</file>