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BE" w:rsidRPr="00521933" w:rsidRDefault="00BF4026" w:rsidP="00F706BE">
      <w:pPr>
        <w:tabs>
          <w:tab w:val="left" w:pos="567"/>
        </w:tabs>
        <w:ind w:right="-1"/>
        <w:jc w:val="right"/>
        <w:rPr>
          <w:b/>
          <w:lang w:val="lv-LV"/>
        </w:rPr>
      </w:pPr>
      <w:r>
        <w:rPr>
          <w:b/>
          <w:noProof/>
          <w:lang w:val="lv-LV" w:eastAsia="lv-LV"/>
        </w:rPr>
        <w:drawing>
          <wp:inline distT="0" distB="0" distL="0" distR="0">
            <wp:extent cx="217170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71700" cy="933450"/>
                    </a:xfrm>
                    <a:prstGeom prst="rect">
                      <a:avLst/>
                    </a:prstGeom>
                    <a:noFill/>
                    <a:ln w="9525">
                      <a:noFill/>
                      <a:miter lim="800000"/>
                      <a:headEnd/>
                      <a:tailEnd/>
                    </a:ln>
                  </pic:spPr>
                </pic:pic>
              </a:graphicData>
            </a:graphic>
          </wp:inline>
        </w:drawing>
      </w:r>
    </w:p>
    <w:p w:rsidR="00F706BE" w:rsidRPr="00521933" w:rsidRDefault="00F706BE" w:rsidP="00F706BE">
      <w:pPr>
        <w:tabs>
          <w:tab w:val="left" w:pos="567"/>
        </w:tabs>
        <w:ind w:right="-1"/>
        <w:jc w:val="center"/>
        <w:rPr>
          <w:lang w:val="lv-LV"/>
        </w:rPr>
      </w:pPr>
    </w:p>
    <w:p w:rsidR="00F706BE" w:rsidRPr="00521933" w:rsidRDefault="00F706BE" w:rsidP="00F706BE">
      <w:pPr>
        <w:tabs>
          <w:tab w:val="left" w:pos="567"/>
        </w:tabs>
        <w:ind w:right="-1"/>
        <w:jc w:val="center"/>
        <w:rPr>
          <w:lang w:val="lv-LV"/>
        </w:rPr>
      </w:pPr>
    </w:p>
    <w:p w:rsidR="00F706BE" w:rsidRPr="00521933" w:rsidRDefault="00F706BE" w:rsidP="00F706BE">
      <w:pPr>
        <w:tabs>
          <w:tab w:val="left" w:pos="567"/>
        </w:tabs>
        <w:ind w:right="-1"/>
        <w:jc w:val="center"/>
        <w:rPr>
          <w:lang w:val="lv-LV"/>
        </w:rPr>
      </w:pPr>
    </w:p>
    <w:p w:rsidR="00F706BE" w:rsidRPr="00521933" w:rsidRDefault="00F706BE" w:rsidP="00F706BE">
      <w:pPr>
        <w:tabs>
          <w:tab w:val="left" w:pos="567"/>
        </w:tabs>
        <w:ind w:right="-1"/>
        <w:jc w:val="center"/>
        <w:rPr>
          <w:lang w:val="lv-LV"/>
        </w:rPr>
      </w:pPr>
    </w:p>
    <w:p w:rsidR="00B57BEE" w:rsidRDefault="00B57BEE" w:rsidP="00B57BEE">
      <w:pPr>
        <w:tabs>
          <w:tab w:val="left" w:pos="567"/>
        </w:tabs>
        <w:ind w:right="-1"/>
        <w:jc w:val="center"/>
        <w:rPr>
          <w:b/>
        </w:rPr>
      </w:pPr>
      <w:bookmarkStart w:id="0" w:name="OLE_LINK1"/>
      <w:bookmarkStart w:id="1" w:name="OLE_LINK3"/>
      <w:r w:rsidRPr="00B57BEE">
        <w:rPr>
          <w:b/>
        </w:rPr>
        <w:t>Latvijas Republikas Veselības ministrijas un Pasaules Veselības organizācijas</w:t>
      </w:r>
    </w:p>
    <w:p w:rsidR="00B57BEE" w:rsidRDefault="00B57BEE" w:rsidP="00B57BEE">
      <w:pPr>
        <w:tabs>
          <w:tab w:val="left" w:pos="567"/>
        </w:tabs>
        <w:ind w:right="-1"/>
        <w:jc w:val="center"/>
        <w:rPr>
          <w:b/>
        </w:rPr>
      </w:pPr>
      <w:r w:rsidRPr="00B57BEE">
        <w:rPr>
          <w:b/>
        </w:rPr>
        <w:t xml:space="preserve"> Eiropas Reģionālā biroja </w:t>
      </w:r>
    </w:p>
    <w:p w:rsidR="00B57BEE" w:rsidRDefault="00B57BEE" w:rsidP="00B57BEE">
      <w:pPr>
        <w:tabs>
          <w:tab w:val="left" w:pos="567"/>
        </w:tabs>
        <w:ind w:right="-1"/>
        <w:jc w:val="center"/>
        <w:rPr>
          <w:b/>
        </w:rPr>
      </w:pPr>
    </w:p>
    <w:p w:rsidR="00B57BEE" w:rsidRDefault="00B57BEE" w:rsidP="00B57BEE">
      <w:pPr>
        <w:tabs>
          <w:tab w:val="left" w:pos="567"/>
        </w:tabs>
        <w:ind w:right="-1"/>
        <w:jc w:val="center"/>
        <w:rPr>
          <w:b/>
        </w:rPr>
      </w:pPr>
      <w:r w:rsidRPr="00B57BEE">
        <w:rPr>
          <w:b/>
        </w:rPr>
        <w:t xml:space="preserve">divgades sadarbības līgums </w:t>
      </w:r>
    </w:p>
    <w:p w:rsidR="00B57BEE" w:rsidRDefault="00B57BEE" w:rsidP="00B57BEE">
      <w:pPr>
        <w:tabs>
          <w:tab w:val="left" w:pos="567"/>
        </w:tabs>
        <w:ind w:right="-1"/>
        <w:jc w:val="center"/>
        <w:rPr>
          <w:b/>
        </w:rPr>
      </w:pPr>
    </w:p>
    <w:p w:rsidR="00B57BEE" w:rsidRPr="00B57BEE" w:rsidRDefault="00B57BEE" w:rsidP="00B57BEE">
      <w:pPr>
        <w:tabs>
          <w:tab w:val="left" w:pos="567"/>
        </w:tabs>
        <w:ind w:right="-1"/>
        <w:jc w:val="center"/>
        <w:rPr>
          <w:b/>
          <w:lang w:val="lv-LV"/>
        </w:rPr>
      </w:pPr>
      <w:r w:rsidRPr="00B57BEE">
        <w:rPr>
          <w:b/>
        </w:rPr>
        <w:t>2012.–2013.gadam</w:t>
      </w:r>
    </w:p>
    <w:bookmarkEnd w:id="0"/>
    <w:bookmarkEnd w:id="1"/>
    <w:p w:rsidR="00F706BE" w:rsidRPr="00521933" w:rsidRDefault="00F706BE" w:rsidP="00F706BE">
      <w:pPr>
        <w:tabs>
          <w:tab w:val="left" w:pos="567"/>
        </w:tabs>
        <w:ind w:right="-1"/>
        <w:jc w:val="center"/>
        <w:rPr>
          <w:b/>
          <w:lang w:val="lv-LV"/>
        </w:rPr>
      </w:pPr>
    </w:p>
    <w:p w:rsidR="00F706BE" w:rsidRPr="00521933" w:rsidRDefault="00F706BE" w:rsidP="00F706BE">
      <w:pPr>
        <w:tabs>
          <w:tab w:val="left" w:pos="567"/>
        </w:tabs>
        <w:ind w:right="-1"/>
        <w:jc w:val="center"/>
        <w:rPr>
          <w:b/>
          <w:lang w:val="lv-LV"/>
        </w:rPr>
      </w:pPr>
    </w:p>
    <w:p w:rsidR="00F706BE" w:rsidRPr="00521933" w:rsidRDefault="00F706BE" w:rsidP="00F706BE">
      <w:pPr>
        <w:tabs>
          <w:tab w:val="left" w:pos="567"/>
        </w:tabs>
        <w:ind w:right="-1"/>
        <w:jc w:val="center"/>
        <w:rPr>
          <w:b/>
          <w:lang w:val="lv-LV"/>
        </w:rPr>
      </w:pPr>
    </w:p>
    <w:p w:rsidR="00F706BE" w:rsidRPr="00521933" w:rsidRDefault="00F706BE" w:rsidP="00F706BE">
      <w:pPr>
        <w:tabs>
          <w:tab w:val="left" w:pos="567"/>
        </w:tabs>
        <w:ind w:right="-1"/>
        <w:rPr>
          <w:b/>
          <w:i/>
          <w:lang w:val="lv-LV"/>
        </w:rPr>
      </w:pPr>
      <w:r w:rsidRPr="00521933">
        <w:rPr>
          <w:b/>
          <w:i/>
          <w:lang w:val="lv-LV"/>
        </w:rPr>
        <w:t>Parakstīts:</w:t>
      </w:r>
    </w:p>
    <w:p w:rsidR="00F706BE" w:rsidRPr="00521933" w:rsidRDefault="00F706BE" w:rsidP="00F706BE">
      <w:pPr>
        <w:tabs>
          <w:tab w:val="left" w:pos="567"/>
        </w:tabs>
        <w:ind w:right="-1"/>
        <w:rPr>
          <w:lang w:val="lv-LV"/>
        </w:rPr>
      </w:pPr>
    </w:p>
    <w:p w:rsidR="00F706BE" w:rsidRPr="00521933" w:rsidRDefault="002448CC" w:rsidP="00F706BE">
      <w:pPr>
        <w:pStyle w:val="Heading9"/>
        <w:jc w:val="left"/>
        <w:rPr>
          <w:rFonts w:ascii="Times New Roman" w:hAnsi="Times New Roman"/>
          <w:b w:val="0"/>
          <w:bCs/>
          <w:i/>
          <w:iCs/>
          <w:color w:val="auto"/>
          <w:lang w:val="lv-LV"/>
        </w:rPr>
      </w:pPr>
      <w:r>
        <w:rPr>
          <w:rFonts w:ascii="Times New Roman" w:hAnsi="Times New Roman"/>
          <w:b w:val="0"/>
          <w:bCs/>
          <w:i/>
          <w:iCs/>
          <w:color w:val="auto"/>
          <w:lang w:val="lv-LV"/>
        </w:rPr>
        <w:t>Latvijas Republikas</w:t>
      </w:r>
      <w:r w:rsidR="00F706BE" w:rsidRPr="00521933">
        <w:rPr>
          <w:rFonts w:ascii="Times New Roman" w:hAnsi="Times New Roman"/>
          <w:b w:val="0"/>
          <w:bCs/>
          <w:i/>
          <w:iCs/>
          <w:color w:val="auto"/>
          <w:lang w:val="lv-LV"/>
        </w:rPr>
        <w:t xml:space="preserve"> Veselības ministrijas vārdā</w:t>
      </w:r>
    </w:p>
    <w:p w:rsidR="00F706BE" w:rsidRPr="00521933" w:rsidRDefault="00F706BE" w:rsidP="00F706BE">
      <w:pPr>
        <w:tabs>
          <w:tab w:val="left" w:pos="567"/>
        </w:tabs>
        <w:ind w:right="-1"/>
        <w:rPr>
          <w:lang w:val="lv-LV"/>
        </w:rPr>
      </w:pPr>
    </w:p>
    <w:p w:rsidR="00F706BE" w:rsidRPr="00521933" w:rsidRDefault="00F706BE" w:rsidP="00F706BE">
      <w:pPr>
        <w:tabs>
          <w:tab w:val="left" w:pos="7118"/>
        </w:tabs>
        <w:ind w:right="-1"/>
        <w:rPr>
          <w:lang w:val="lv-LV"/>
        </w:rPr>
      </w:pPr>
      <w:r w:rsidRPr="00521933">
        <w:rPr>
          <w:lang w:val="lv-LV"/>
        </w:rPr>
        <w:tab/>
      </w:r>
    </w:p>
    <w:p w:rsidR="00F706BE" w:rsidRPr="00521933" w:rsidRDefault="00F706BE" w:rsidP="00F706BE">
      <w:pPr>
        <w:tabs>
          <w:tab w:val="left" w:pos="567"/>
          <w:tab w:val="left" w:leader="underscore" w:pos="4536"/>
          <w:tab w:val="left" w:pos="5103"/>
          <w:tab w:val="left" w:leader="underscore" w:pos="8931"/>
        </w:tabs>
        <w:ind w:right="-1"/>
        <w:rPr>
          <w:lang w:val="lv-LV"/>
        </w:rPr>
      </w:pPr>
      <w:r w:rsidRPr="00521933">
        <w:rPr>
          <w:lang w:val="lv-LV"/>
        </w:rPr>
        <w:tab/>
      </w:r>
      <w:r w:rsidRPr="00521933">
        <w:rPr>
          <w:lang w:val="lv-LV"/>
        </w:rPr>
        <w:tab/>
      </w:r>
      <w:r w:rsidRPr="00521933">
        <w:rPr>
          <w:lang w:val="lv-LV"/>
        </w:rPr>
        <w:tab/>
      </w:r>
      <w:r w:rsidRPr="00521933">
        <w:rPr>
          <w:lang w:val="lv-LV"/>
        </w:rPr>
        <w:tab/>
      </w:r>
    </w:p>
    <w:p w:rsidR="00F706BE" w:rsidRPr="00521933" w:rsidRDefault="00F706BE" w:rsidP="00F706BE">
      <w:pPr>
        <w:pStyle w:val="Heading6"/>
        <w:tabs>
          <w:tab w:val="left" w:pos="709"/>
        </w:tabs>
        <w:rPr>
          <w:rFonts w:ascii="Times New Roman" w:hAnsi="Times New Roman" w:cs="Times New Roman"/>
          <w:color w:val="auto"/>
          <w:u w:val="none"/>
          <w:lang w:val="lv-LV"/>
        </w:rPr>
      </w:pPr>
      <w:r w:rsidRPr="00521933">
        <w:rPr>
          <w:rFonts w:ascii="Times New Roman" w:hAnsi="Times New Roman" w:cs="Times New Roman"/>
          <w:color w:val="auto"/>
          <w:u w:val="none"/>
          <w:lang w:val="lv-LV"/>
        </w:rPr>
        <w:tab/>
        <w:t>Paraksts</w:t>
      </w:r>
      <w:r w:rsidRPr="00521933">
        <w:rPr>
          <w:rFonts w:ascii="Times New Roman" w:hAnsi="Times New Roman" w:cs="Times New Roman"/>
          <w:color w:val="auto"/>
          <w:u w:val="none"/>
          <w:lang w:val="lv-LV"/>
        </w:rPr>
        <w:tab/>
      </w:r>
      <w:r w:rsidRPr="00521933">
        <w:rPr>
          <w:rFonts w:ascii="Times New Roman" w:hAnsi="Times New Roman" w:cs="Times New Roman"/>
          <w:color w:val="auto"/>
          <w:u w:val="none"/>
          <w:lang w:val="lv-LV"/>
        </w:rPr>
        <w:tab/>
      </w:r>
      <w:r w:rsidRPr="00521933">
        <w:rPr>
          <w:rFonts w:ascii="Times New Roman" w:hAnsi="Times New Roman" w:cs="Times New Roman"/>
          <w:color w:val="auto"/>
          <w:u w:val="none"/>
          <w:lang w:val="lv-LV"/>
        </w:rPr>
        <w:tab/>
        <w:t>Datums</w:t>
      </w:r>
    </w:p>
    <w:p w:rsidR="00F706BE" w:rsidRPr="00521933" w:rsidRDefault="00F706BE" w:rsidP="00F706BE">
      <w:pPr>
        <w:pStyle w:val="Heading6"/>
        <w:tabs>
          <w:tab w:val="left" w:pos="709"/>
        </w:tabs>
        <w:rPr>
          <w:rFonts w:ascii="Times New Roman" w:hAnsi="Times New Roman" w:cs="Times New Roman"/>
          <w:color w:val="auto"/>
          <w:u w:val="none"/>
          <w:lang w:val="lv-LV"/>
        </w:rPr>
      </w:pPr>
      <w:r w:rsidRPr="00521933">
        <w:rPr>
          <w:rFonts w:ascii="Times New Roman" w:hAnsi="Times New Roman" w:cs="Times New Roman"/>
          <w:color w:val="auto"/>
          <w:u w:val="none"/>
          <w:lang w:val="lv-LV"/>
        </w:rPr>
        <w:tab/>
      </w:r>
      <w:r w:rsidRPr="00521933">
        <w:rPr>
          <w:rFonts w:ascii="Times New Roman" w:hAnsi="Times New Roman" w:cs="Times New Roman"/>
          <w:color w:val="auto"/>
          <w:u w:val="none"/>
          <w:lang w:val="lv-LV"/>
        </w:rPr>
        <w:tab/>
      </w:r>
      <w:r w:rsidRPr="00521933">
        <w:rPr>
          <w:rFonts w:ascii="Times New Roman" w:hAnsi="Times New Roman" w:cs="Times New Roman"/>
          <w:color w:val="auto"/>
          <w:u w:val="none"/>
          <w:lang w:val="lv-LV"/>
        </w:rPr>
        <w:tab/>
      </w:r>
      <w:r w:rsidRPr="00521933">
        <w:rPr>
          <w:rFonts w:ascii="Times New Roman" w:hAnsi="Times New Roman" w:cs="Times New Roman"/>
          <w:color w:val="auto"/>
          <w:u w:val="none"/>
          <w:lang w:val="lv-LV"/>
        </w:rPr>
        <w:tab/>
      </w:r>
      <w:r w:rsidRPr="00521933">
        <w:rPr>
          <w:rFonts w:ascii="Times New Roman" w:hAnsi="Times New Roman" w:cs="Times New Roman"/>
          <w:color w:val="auto"/>
          <w:u w:val="none"/>
          <w:lang w:val="lv-LV"/>
        </w:rPr>
        <w:tab/>
      </w:r>
      <w:r w:rsidRPr="00521933">
        <w:rPr>
          <w:rFonts w:ascii="Times New Roman" w:hAnsi="Times New Roman" w:cs="Times New Roman"/>
          <w:color w:val="auto"/>
          <w:u w:val="none"/>
          <w:lang w:val="lv-LV"/>
        </w:rPr>
        <w:tab/>
      </w:r>
      <w:r w:rsidRPr="00521933">
        <w:rPr>
          <w:rFonts w:ascii="Times New Roman" w:hAnsi="Times New Roman" w:cs="Times New Roman"/>
          <w:color w:val="auto"/>
          <w:u w:val="none"/>
          <w:lang w:val="lv-LV"/>
        </w:rPr>
        <w:tab/>
      </w:r>
    </w:p>
    <w:p w:rsidR="00F706BE" w:rsidRPr="00521933" w:rsidRDefault="00853AB4" w:rsidP="00F706BE">
      <w:pPr>
        <w:tabs>
          <w:tab w:val="left" w:pos="567"/>
          <w:tab w:val="left" w:pos="810"/>
          <w:tab w:val="left" w:leader="underscore" w:pos="4536"/>
          <w:tab w:val="left" w:pos="5103"/>
          <w:tab w:val="left" w:leader="underscore" w:pos="8931"/>
        </w:tabs>
        <w:ind w:right="-1"/>
        <w:rPr>
          <w:lang w:val="lv-LV"/>
        </w:rPr>
      </w:pPr>
      <w:r>
        <w:rPr>
          <w:noProof/>
          <w:lang w:val="lv-LV" w:eastAsia="en-GB"/>
        </w:rPr>
        <w:pict>
          <v:shapetype id="_x0000_t202" coordsize="21600,21600" o:spt="202" path="m,l,21600r21600,l21600,xe">
            <v:stroke joinstyle="miter"/>
            <v:path gradientshapeok="t" o:connecttype="rect"/>
          </v:shapetype>
          <v:shape id="_x0000_s1026" type="#_x0000_t202" style="position:absolute;margin-left:41.5pt;margin-top:6pt;width:159pt;height:29.25pt;z-index:-251658752;mso-wrap-edited:f" wrapcoords="0 0 21600 0 21600 21600 0 21600 0 0" filled="f" stroked="f">
            <v:fill opacity=".5"/>
            <v:textbox style="mso-next-textbox:#_x0000_s1026">
              <w:txbxContent>
                <w:p w:rsidR="00772343" w:rsidRDefault="00772343" w:rsidP="00F706BE">
                  <w:pPr>
                    <w:rPr>
                      <w:szCs w:val="23"/>
                    </w:rPr>
                  </w:pPr>
                </w:p>
              </w:txbxContent>
            </v:textbox>
          </v:shape>
        </w:pict>
      </w:r>
    </w:p>
    <w:p w:rsidR="00F706BE" w:rsidRPr="00521933" w:rsidRDefault="00F706BE" w:rsidP="00F706BE">
      <w:pPr>
        <w:tabs>
          <w:tab w:val="left" w:pos="450"/>
          <w:tab w:val="left" w:pos="567"/>
          <w:tab w:val="left" w:pos="2391"/>
          <w:tab w:val="left" w:leader="underscore" w:pos="4536"/>
          <w:tab w:val="left" w:pos="5103"/>
          <w:tab w:val="left" w:leader="underscore" w:pos="8931"/>
        </w:tabs>
        <w:ind w:right="-1"/>
        <w:rPr>
          <w:lang w:val="lv-LV"/>
        </w:rPr>
      </w:pPr>
      <w:r w:rsidRPr="00521933">
        <w:rPr>
          <w:lang w:val="lv-LV"/>
        </w:rPr>
        <w:tab/>
      </w:r>
      <w:r w:rsidRPr="00521933">
        <w:rPr>
          <w:lang w:val="lv-LV"/>
        </w:rPr>
        <w:tab/>
      </w:r>
      <w:r w:rsidRPr="00521933">
        <w:rPr>
          <w:i/>
          <w:lang w:val="lv-LV"/>
        </w:rPr>
        <w:t>Vārds:</w:t>
      </w:r>
      <w:r w:rsidRPr="00521933">
        <w:rPr>
          <w:lang w:val="lv-LV"/>
        </w:rPr>
        <w:t xml:space="preserve">     </w:t>
      </w:r>
      <w:r w:rsidR="00C9521B" w:rsidRPr="00521933">
        <w:rPr>
          <w:lang w:val="lv-LV"/>
        </w:rPr>
        <w:t xml:space="preserve">Ingrīda </w:t>
      </w:r>
      <w:proofErr w:type="spellStart"/>
      <w:r w:rsidR="00C9521B" w:rsidRPr="00521933">
        <w:rPr>
          <w:lang w:val="lv-LV"/>
        </w:rPr>
        <w:t>Circene</w:t>
      </w:r>
      <w:proofErr w:type="spellEnd"/>
      <w:r w:rsidRPr="00521933">
        <w:rPr>
          <w:lang w:val="lv-LV"/>
        </w:rPr>
        <w:t xml:space="preserve">                                                   </w:t>
      </w:r>
      <w:r w:rsidRPr="00521933">
        <w:rPr>
          <w:i/>
          <w:lang w:val="lv-LV"/>
        </w:rPr>
        <w:t>Amats:</w:t>
      </w:r>
      <w:r w:rsidRPr="00521933">
        <w:rPr>
          <w:lang w:val="lv-LV"/>
        </w:rPr>
        <w:t xml:space="preserve">  </w:t>
      </w:r>
      <w:r w:rsidR="001A2DBF">
        <w:rPr>
          <w:iCs/>
          <w:lang w:val="lv-LV"/>
        </w:rPr>
        <w:t>Veselības ministre</w:t>
      </w:r>
    </w:p>
    <w:p w:rsidR="00F706BE" w:rsidRPr="00521933" w:rsidRDefault="00F706BE" w:rsidP="00F706BE">
      <w:pPr>
        <w:pStyle w:val="Heading6"/>
        <w:tabs>
          <w:tab w:val="left" w:pos="709"/>
        </w:tabs>
        <w:rPr>
          <w:rFonts w:ascii="Times New Roman" w:hAnsi="Times New Roman" w:cs="Times New Roman"/>
          <w:color w:val="auto"/>
          <w:u w:val="none"/>
          <w:lang w:val="lv-LV"/>
        </w:rPr>
      </w:pPr>
      <w:r w:rsidRPr="00521933">
        <w:rPr>
          <w:rFonts w:ascii="Times New Roman" w:hAnsi="Times New Roman" w:cs="Times New Roman"/>
          <w:color w:val="auto"/>
          <w:u w:val="none"/>
          <w:lang w:val="lv-LV"/>
        </w:rPr>
        <w:tab/>
      </w:r>
      <w:r w:rsidRPr="00521933">
        <w:rPr>
          <w:rFonts w:ascii="Times New Roman" w:hAnsi="Times New Roman" w:cs="Times New Roman"/>
          <w:color w:val="auto"/>
          <w:u w:val="none"/>
          <w:lang w:val="lv-LV"/>
        </w:rPr>
        <w:tab/>
      </w:r>
    </w:p>
    <w:p w:rsidR="00F706BE" w:rsidRPr="00521933" w:rsidRDefault="00F706BE" w:rsidP="00F706BE">
      <w:pPr>
        <w:tabs>
          <w:tab w:val="left" w:pos="567"/>
          <w:tab w:val="left" w:pos="810"/>
        </w:tabs>
        <w:ind w:right="-1"/>
        <w:rPr>
          <w:lang w:val="lv-LV"/>
        </w:rPr>
      </w:pPr>
    </w:p>
    <w:p w:rsidR="00F706BE" w:rsidRPr="00521933" w:rsidRDefault="00F706BE" w:rsidP="00F706BE">
      <w:pPr>
        <w:pStyle w:val="Heading9"/>
        <w:jc w:val="left"/>
        <w:rPr>
          <w:rFonts w:ascii="Times New Roman" w:hAnsi="Times New Roman"/>
          <w:b w:val="0"/>
          <w:bCs/>
          <w:i/>
          <w:iCs/>
          <w:color w:val="auto"/>
          <w:lang w:val="lv-LV"/>
        </w:rPr>
      </w:pPr>
    </w:p>
    <w:p w:rsidR="00F706BE" w:rsidRPr="00521933" w:rsidRDefault="00F706BE" w:rsidP="00F706BE">
      <w:pPr>
        <w:pStyle w:val="Heading9"/>
        <w:jc w:val="left"/>
        <w:rPr>
          <w:rFonts w:ascii="Times New Roman" w:hAnsi="Times New Roman"/>
          <w:b w:val="0"/>
          <w:bCs/>
          <w:i/>
          <w:iCs/>
          <w:color w:val="auto"/>
          <w:lang w:val="lv-LV"/>
        </w:rPr>
      </w:pPr>
      <w:r w:rsidRPr="00521933">
        <w:rPr>
          <w:rFonts w:ascii="Times New Roman" w:hAnsi="Times New Roman"/>
          <w:b w:val="0"/>
          <w:bCs/>
          <w:i/>
          <w:iCs/>
          <w:color w:val="auto"/>
          <w:lang w:val="lv-LV"/>
        </w:rPr>
        <w:t>PVO Eiropas Reģionālā biroja vārdā</w:t>
      </w:r>
    </w:p>
    <w:p w:rsidR="00F706BE" w:rsidRPr="00521933" w:rsidRDefault="00F706BE" w:rsidP="00F706BE">
      <w:pPr>
        <w:tabs>
          <w:tab w:val="left" w:pos="567"/>
          <w:tab w:val="left" w:pos="810"/>
        </w:tabs>
        <w:ind w:right="-1"/>
        <w:rPr>
          <w:lang w:val="lv-LV"/>
        </w:rPr>
      </w:pPr>
    </w:p>
    <w:p w:rsidR="00F706BE" w:rsidRPr="00521933" w:rsidRDefault="00F706BE" w:rsidP="00F706BE">
      <w:pPr>
        <w:tabs>
          <w:tab w:val="left" w:pos="7118"/>
        </w:tabs>
        <w:ind w:right="-1"/>
        <w:rPr>
          <w:lang w:val="lv-LV"/>
        </w:rPr>
      </w:pPr>
    </w:p>
    <w:p w:rsidR="00F706BE" w:rsidRPr="00521933" w:rsidRDefault="00F706BE" w:rsidP="00F706BE">
      <w:pPr>
        <w:tabs>
          <w:tab w:val="left" w:pos="7118"/>
        </w:tabs>
        <w:ind w:right="-1"/>
        <w:rPr>
          <w:lang w:val="lv-LV"/>
        </w:rPr>
      </w:pPr>
      <w:r w:rsidRPr="00521933">
        <w:rPr>
          <w:lang w:val="lv-LV"/>
        </w:rPr>
        <w:tab/>
      </w:r>
    </w:p>
    <w:p w:rsidR="00F706BE" w:rsidRPr="00521933" w:rsidRDefault="00F706BE" w:rsidP="00F706BE">
      <w:pPr>
        <w:tabs>
          <w:tab w:val="left" w:pos="7118"/>
        </w:tabs>
        <w:ind w:right="-1"/>
        <w:rPr>
          <w:lang w:val="lv-LV"/>
        </w:rPr>
      </w:pPr>
      <w:r w:rsidRPr="00521933">
        <w:rPr>
          <w:lang w:val="lv-LV"/>
        </w:rPr>
        <w:tab/>
      </w:r>
    </w:p>
    <w:p w:rsidR="00F706BE" w:rsidRPr="00521933" w:rsidRDefault="00F706BE" w:rsidP="00F706BE">
      <w:pPr>
        <w:tabs>
          <w:tab w:val="left" w:pos="450"/>
          <w:tab w:val="left" w:pos="567"/>
          <w:tab w:val="left" w:leader="underscore" w:pos="4536"/>
          <w:tab w:val="left" w:pos="5103"/>
          <w:tab w:val="left" w:leader="underscore" w:pos="8931"/>
        </w:tabs>
        <w:ind w:right="-1"/>
        <w:rPr>
          <w:lang w:val="lv-LV"/>
        </w:rPr>
      </w:pPr>
      <w:r w:rsidRPr="00521933">
        <w:rPr>
          <w:lang w:val="lv-LV"/>
        </w:rPr>
        <w:tab/>
      </w:r>
      <w:r w:rsidRPr="00521933">
        <w:rPr>
          <w:lang w:val="lv-LV"/>
        </w:rPr>
        <w:tab/>
      </w:r>
      <w:r w:rsidRPr="00521933">
        <w:rPr>
          <w:lang w:val="lv-LV"/>
        </w:rPr>
        <w:tab/>
      </w:r>
      <w:r w:rsidRPr="00521933">
        <w:rPr>
          <w:lang w:val="lv-LV"/>
        </w:rPr>
        <w:tab/>
      </w:r>
      <w:r w:rsidRPr="00521933">
        <w:rPr>
          <w:lang w:val="lv-LV"/>
        </w:rPr>
        <w:tab/>
      </w:r>
    </w:p>
    <w:p w:rsidR="00F706BE" w:rsidRPr="00521933" w:rsidRDefault="00F706BE" w:rsidP="00F706BE">
      <w:pPr>
        <w:pStyle w:val="Heading6"/>
        <w:tabs>
          <w:tab w:val="left" w:pos="709"/>
        </w:tabs>
        <w:rPr>
          <w:rFonts w:ascii="Times New Roman" w:hAnsi="Times New Roman" w:cs="Times New Roman"/>
          <w:u w:val="none"/>
          <w:lang w:val="lv-LV"/>
        </w:rPr>
      </w:pPr>
      <w:r w:rsidRPr="00521933">
        <w:rPr>
          <w:rFonts w:ascii="Times New Roman" w:hAnsi="Times New Roman" w:cs="Times New Roman"/>
          <w:u w:val="none"/>
          <w:lang w:val="lv-LV"/>
        </w:rPr>
        <w:tab/>
        <w:t xml:space="preserve">Paraksts </w:t>
      </w:r>
      <w:r w:rsidRPr="00521933">
        <w:rPr>
          <w:rFonts w:ascii="Times New Roman" w:hAnsi="Times New Roman" w:cs="Times New Roman"/>
          <w:u w:val="none"/>
          <w:lang w:val="lv-LV"/>
        </w:rPr>
        <w:tab/>
      </w:r>
      <w:r w:rsidRPr="00521933">
        <w:rPr>
          <w:rFonts w:ascii="Times New Roman" w:hAnsi="Times New Roman" w:cs="Times New Roman"/>
          <w:u w:val="none"/>
          <w:lang w:val="lv-LV"/>
        </w:rPr>
        <w:tab/>
      </w:r>
      <w:r w:rsidRPr="00521933">
        <w:rPr>
          <w:rFonts w:ascii="Times New Roman" w:hAnsi="Times New Roman" w:cs="Times New Roman"/>
          <w:u w:val="none"/>
          <w:lang w:val="lv-LV"/>
        </w:rPr>
        <w:tab/>
        <w:t>Datums</w:t>
      </w:r>
    </w:p>
    <w:p w:rsidR="00F706BE" w:rsidRPr="00521933" w:rsidRDefault="00F706BE" w:rsidP="00F706BE">
      <w:pPr>
        <w:tabs>
          <w:tab w:val="left" w:pos="567"/>
          <w:tab w:val="left" w:pos="810"/>
          <w:tab w:val="left" w:leader="underscore" w:pos="4536"/>
          <w:tab w:val="left" w:pos="5103"/>
          <w:tab w:val="left" w:leader="underscore" w:pos="8931"/>
        </w:tabs>
        <w:ind w:right="-1"/>
        <w:rPr>
          <w:lang w:val="lv-LV"/>
        </w:rPr>
      </w:pPr>
    </w:p>
    <w:p w:rsidR="00F706BE" w:rsidRPr="00521933" w:rsidRDefault="00F706BE" w:rsidP="00F706BE">
      <w:pPr>
        <w:tabs>
          <w:tab w:val="left" w:pos="450"/>
          <w:tab w:val="left" w:pos="567"/>
          <w:tab w:val="left" w:leader="underscore" w:pos="4536"/>
          <w:tab w:val="left" w:pos="5103"/>
          <w:tab w:val="left" w:leader="underscore" w:pos="8931"/>
        </w:tabs>
        <w:ind w:right="-1"/>
        <w:rPr>
          <w:lang w:val="lv-LV"/>
        </w:rPr>
      </w:pPr>
      <w:r w:rsidRPr="00521933">
        <w:rPr>
          <w:lang w:val="lv-LV"/>
        </w:rPr>
        <w:tab/>
      </w:r>
      <w:r w:rsidRPr="00521933">
        <w:rPr>
          <w:lang w:val="lv-LV"/>
        </w:rPr>
        <w:tab/>
      </w:r>
    </w:p>
    <w:p w:rsidR="00F706BE" w:rsidRPr="00521933" w:rsidRDefault="00F706BE" w:rsidP="00F706BE">
      <w:pPr>
        <w:pStyle w:val="Heading6"/>
        <w:tabs>
          <w:tab w:val="left" w:pos="709"/>
        </w:tabs>
        <w:rPr>
          <w:rFonts w:ascii="Times New Roman" w:hAnsi="Times New Roman" w:cs="Times New Roman"/>
          <w:i w:val="0"/>
          <w:iCs w:val="0"/>
          <w:color w:val="auto"/>
          <w:u w:val="none"/>
          <w:lang w:val="lv-LV" w:eastAsia="es-ES"/>
        </w:rPr>
      </w:pPr>
      <w:r w:rsidRPr="00521933">
        <w:rPr>
          <w:rFonts w:ascii="Times New Roman" w:hAnsi="Times New Roman" w:cs="Times New Roman"/>
          <w:u w:val="none"/>
          <w:lang w:val="lv-LV"/>
        </w:rPr>
        <w:tab/>
        <w:t xml:space="preserve">Vārds:      </w:t>
      </w:r>
      <w:proofErr w:type="spellStart"/>
      <w:r w:rsidRPr="00521933">
        <w:rPr>
          <w:rFonts w:ascii="Times New Roman" w:hAnsi="Times New Roman" w:cs="Times New Roman"/>
          <w:i w:val="0"/>
          <w:iCs w:val="0"/>
          <w:color w:val="auto"/>
          <w:u w:val="none"/>
          <w:lang w:val="lv-LV" w:eastAsia="es-ES"/>
        </w:rPr>
        <w:t>Zsuzsanna</w:t>
      </w:r>
      <w:proofErr w:type="spellEnd"/>
      <w:r w:rsidRPr="00521933">
        <w:rPr>
          <w:rFonts w:ascii="Times New Roman" w:hAnsi="Times New Roman" w:cs="Times New Roman"/>
          <w:i w:val="0"/>
          <w:iCs w:val="0"/>
          <w:color w:val="auto"/>
          <w:u w:val="none"/>
          <w:lang w:val="lv-LV" w:eastAsia="es-ES"/>
        </w:rPr>
        <w:t xml:space="preserve"> </w:t>
      </w:r>
      <w:proofErr w:type="spellStart"/>
      <w:r w:rsidRPr="00521933">
        <w:rPr>
          <w:rFonts w:ascii="Times New Roman" w:hAnsi="Times New Roman" w:cs="Times New Roman"/>
          <w:i w:val="0"/>
          <w:iCs w:val="0"/>
          <w:color w:val="auto"/>
          <w:u w:val="none"/>
          <w:lang w:val="lv-LV" w:eastAsia="es-ES"/>
        </w:rPr>
        <w:t>Jakab</w:t>
      </w:r>
      <w:proofErr w:type="spellEnd"/>
      <w:r w:rsidRPr="00521933">
        <w:rPr>
          <w:rFonts w:ascii="Times New Roman" w:hAnsi="Times New Roman" w:cs="Times New Roman"/>
          <w:u w:val="none"/>
          <w:lang w:val="lv-LV"/>
        </w:rPr>
        <w:tab/>
      </w:r>
      <w:r w:rsidRPr="00521933">
        <w:rPr>
          <w:rFonts w:ascii="Times New Roman" w:hAnsi="Times New Roman" w:cs="Times New Roman"/>
          <w:u w:val="none"/>
          <w:lang w:val="lv-LV"/>
        </w:rPr>
        <w:tab/>
      </w:r>
      <w:r w:rsidR="00C9521B" w:rsidRPr="00521933">
        <w:rPr>
          <w:rFonts w:ascii="Times New Roman" w:hAnsi="Times New Roman" w:cs="Times New Roman"/>
          <w:u w:val="none"/>
          <w:lang w:val="lv-LV"/>
        </w:rPr>
        <w:t xml:space="preserve">                         </w:t>
      </w:r>
      <w:r w:rsidRPr="00521933">
        <w:rPr>
          <w:rFonts w:ascii="Times New Roman" w:hAnsi="Times New Roman" w:cs="Times New Roman"/>
          <w:u w:val="none"/>
          <w:lang w:val="lv-LV"/>
        </w:rPr>
        <w:t xml:space="preserve">Amats:   </w:t>
      </w:r>
      <w:r w:rsidRPr="00521933">
        <w:rPr>
          <w:rFonts w:ascii="Times New Roman" w:hAnsi="Times New Roman" w:cs="Times New Roman"/>
          <w:i w:val="0"/>
          <w:iCs w:val="0"/>
          <w:color w:val="auto"/>
          <w:u w:val="none"/>
          <w:lang w:val="lv-LV" w:eastAsia="es-ES"/>
        </w:rPr>
        <w:t>Reģionālā direktore</w:t>
      </w:r>
    </w:p>
    <w:p w:rsidR="00F706BE" w:rsidRPr="00521933" w:rsidRDefault="00F706BE" w:rsidP="00F706BE">
      <w:pPr>
        <w:rPr>
          <w:lang w:val="lv-LV"/>
        </w:rPr>
      </w:pPr>
    </w:p>
    <w:p w:rsidR="00F706BE" w:rsidRPr="00521933" w:rsidRDefault="00195F4A" w:rsidP="00195F4A">
      <w:pPr>
        <w:pStyle w:val="Heading6"/>
        <w:tabs>
          <w:tab w:val="left" w:pos="709"/>
        </w:tabs>
        <w:jc w:val="center"/>
        <w:rPr>
          <w:rFonts w:ascii="Times New Roman" w:hAnsi="Times New Roman" w:cs="Times New Roman"/>
          <w:b/>
          <w:caps/>
          <w:lang w:val="lv-LV"/>
        </w:rPr>
      </w:pPr>
      <w:r w:rsidRPr="00521933">
        <w:rPr>
          <w:rFonts w:ascii="Times New Roman" w:hAnsi="Times New Roman" w:cs="Times New Roman"/>
          <w:u w:val="none"/>
          <w:lang w:val="lv-LV"/>
        </w:rPr>
        <w:br w:type="page"/>
      </w:r>
      <w:r w:rsidR="00F706BE" w:rsidRPr="00521933">
        <w:rPr>
          <w:rFonts w:ascii="Times New Roman" w:hAnsi="Times New Roman" w:cs="Times New Roman"/>
          <w:b/>
          <w:i w:val="0"/>
          <w:caps/>
          <w:u w:val="none"/>
          <w:lang w:val="lv-LV"/>
        </w:rPr>
        <w:lastRenderedPageBreak/>
        <w:t>SATURS</w:t>
      </w:r>
    </w:p>
    <w:p w:rsidR="00F706BE" w:rsidRPr="00521933" w:rsidRDefault="00F706BE" w:rsidP="00F706BE">
      <w:pPr>
        <w:tabs>
          <w:tab w:val="left" w:pos="567"/>
        </w:tabs>
        <w:ind w:right="-1"/>
        <w:jc w:val="center"/>
        <w:rPr>
          <w:b/>
          <w:smallCaps/>
          <w:lang w:val="lv-LV"/>
        </w:rPr>
      </w:pPr>
    </w:p>
    <w:p w:rsidR="00F706BE" w:rsidRPr="00521933" w:rsidRDefault="00F706BE" w:rsidP="00F706BE">
      <w:pPr>
        <w:tabs>
          <w:tab w:val="left" w:pos="567"/>
        </w:tabs>
        <w:ind w:right="-1"/>
        <w:jc w:val="center"/>
        <w:rPr>
          <w:b/>
          <w:smallCaps/>
          <w:lang w:val="lv-LV"/>
        </w:rPr>
      </w:pPr>
    </w:p>
    <w:p w:rsidR="00F706BE" w:rsidRPr="00521933" w:rsidRDefault="00F706BE" w:rsidP="00F706BE">
      <w:pPr>
        <w:rPr>
          <w:lang w:val="lv-LV"/>
        </w:rPr>
      </w:pPr>
    </w:p>
    <w:p w:rsidR="00F706BE" w:rsidRPr="00521933" w:rsidRDefault="00F706BE" w:rsidP="00F706BE">
      <w:pPr>
        <w:tabs>
          <w:tab w:val="left" w:pos="567"/>
          <w:tab w:val="left" w:pos="1440"/>
          <w:tab w:val="right" w:pos="9180"/>
        </w:tabs>
        <w:ind w:right="-1"/>
        <w:rPr>
          <w:lang w:val="lv-LV"/>
        </w:rPr>
      </w:pPr>
    </w:p>
    <w:p w:rsidR="00F706BE" w:rsidRPr="00521933" w:rsidRDefault="00853AB4" w:rsidP="00F706BE">
      <w:pPr>
        <w:tabs>
          <w:tab w:val="left" w:pos="-284"/>
          <w:tab w:val="right" w:pos="9353"/>
        </w:tabs>
        <w:spacing w:before="240"/>
        <w:ind w:left="-142"/>
        <w:rPr>
          <w:b/>
          <w:bCs/>
          <w:noProof/>
          <w:lang w:val="lv-LV" w:eastAsia="en-GB"/>
        </w:rPr>
      </w:pPr>
      <w:r w:rsidRPr="00521933">
        <w:rPr>
          <w:b/>
          <w:bCs/>
          <w:lang w:val="lv-LV" w:eastAsia="en-GB"/>
        </w:rPr>
        <w:fldChar w:fldCharType="begin"/>
      </w:r>
      <w:r w:rsidR="00F706BE" w:rsidRPr="00521933">
        <w:rPr>
          <w:b/>
          <w:bCs/>
          <w:lang w:val="lv-LV" w:eastAsia="en-GB"/>
        </w:rPr>
        <w:instrText xml:space="preserve"> TOC \o "1-3" \h \z \u </w:instrText>
      </w:r>
      <w:r w:rsidRPr="00521933">
        <w:rPr>
          <w:b/>
          <w:bCs/>
          <w:lang w:val="lv-LV" w:eastAsia="en-GB"/>
        </w:rPr>
        <w:fldChar w:fldCharType="separate"/>
      </w:r>
      <w:hyperlink w:anchor="_Toc177275204" w:history="1">
        <w:r w:rsidR="00F706BE" w:rsidRPr="00521933">
          <w:rPr>
            <w:b/>
            <w:bCs/>
            <w:noProof/>
            <w:lang w:val="lv-LV" w:eastAsia="en-GB"/>
          </w:rPr>
          <w:t>Ievads........................................................................................</w:t>
        </w:r>
        <w:r w:rsidR="00521933">
          <w:rPr>
            <w:b/>
            <w:bCs/>
            <w:noProof/>
            <w:lang w:val="lv-LV" w:eastAsia="en-GB"/>
          </w:rPr>
          <w:t>...............................</w:t>
        </w:r>
        <w:r w:rsidR="00F706BE" w:rsidRPr="00521933">
          <w:rPr>
            <w:b/>
            <w:bCs/>
            <w:noProof/>
            <w:lang w:val="lv-LV" w:eastAsia="en-GB"/>
          </w:rPr>
          <w:t>.......................</w:t>
        </w:r>
        <w:r w:rsidR="00F706BE" w:rsidRPr="00521933">
          <w:rPr>
            <w:b/>
            <w:bCs/>
            <w:noProof/>
            <w:webHidden/>
            <w:lang w:val="lv-LV" w:eastAsia="en-GB"/>
          </w:rPr>
          <w:tab/>
        </w:r>
      </w:hyperlink>
      <w:r w:rsidR="00F706BE" w:rsidRPr="00521933">
        <w:rPr>
          <w:lang w:val="lv-LV"/>
        </w:rPr>
        <w:t>2</w:t>
      </w:r>
    </w:p>
    <w:p w:rsidR="00F706BE" w:rsidRPr="00521933" w:rsidRDefault="00853AB4" w:rsidP="00F706BE">
      <w:pPr>
        <w:tabs>
          <w:tab w:val="left" w:pos="-284"/>
          <w:tab w:val="right" w:pos="9353"/>
        </w:tabs>
        <w:spacing w:before="240"/>
        <w:ind w:left="-142"/>
        <w:rPr>
          <w:b/>
          <w:bCs/>
          <w:noProof/>
          <w:lang w:val="lv-LV" w:eastAsia="en-GB"/>
        </w:rPr>
      </w:pPr>
      <w:hyperlink w:anchor="_Toc177275205" w:history="1">
        <w:r w:rsidR="00F706BE" w:rsidRPr="00521933">
          <w:rPr>
            <w:b/>
            <w:bCs/>
            <w:noProof/>
            <w:lang w:val="lv-LV" w:eastAsia="en-GB"/>
          </w:rPr>
          <w:t>Sadarbības nosacījumi....................................................................................................................</w:t>
        </w:r>
        <w:r w:rsidR="00F706BE" w:rsidRPr="00521933">
          <w:rPr>
            <w:b/>
            <w:bCs/>
            <w:noProof/>
            <w:webHidden/>
            <w:lang w:val="lv-LV" w:eastAsia="en-GB"/>
          </w:rPr>
          <w:tab/>
        </w:r>
      </w:hyperlink>
      <w:r w:rsidR="00F706BE" w:rsidRPr="00521933">
        <w:rPr>
          <w:lang w:val="lv-LV"/>
        </w:rPr>
        <w:t>5</w:t>
      </w:r>
    </w:p>
    <w:p w:rsidR="00F706BE" w:rsidRPr="00521933" w:rsidRDefault="00853AB4" w:rsidP="00F706BE">
      <w:pPr>
        <w:tabs>
          <w:tab w:val="left" w:pos="-284"/>
          <w:tab w:val="right" w:pos="9353"/>
        </w:tabs>
        <w:spacing w:before="240"/>
        <w:ind w:left="-142"/>
        <w:rPr>
          <w:b/>
          <w:bCs/>
          <w:noProof/>
          <w:lang w:val="lv-LV" w:eastAsia="en-GB"/>
        </w:rPr>
      </w:pPr>
      <w:hyperlink w:anchor="_Toc177275206" w:history="1">
        <w:r w:rsidR="00F706BE" w:rsidRPr="00521933">
          <w:rPr>
            <w:b/>
            <w:bCs/>
            <w:noProof/>
            <w:lang w:val="lv-LV" w:eastAsia="en-GB"/>
          </w:rPr>
          <w:t>1. DAĻA. Vidēja termiņa</w:t>
        </w:r>
        <w:r w:rsidR="00B57BEE">
          <w:rPr>
            <w:b/>
            <w:bCs/>
            <w:noProof/>
            <w:lang w:val="lv-LV" w:eastAsia="en-GB"/>
          </w:rPr>
          <w:t xml:space="preserve"> </w:t>
        </w:r>
        <w:r w:rsidR="00F706BE" w:rsidRPr="00521933">
          <w:rPr>
            <w:b/>
            <w:bCs/>
            <w:noProof/>
            <w:lang w:val="lv-LV" w:eastAsia="en-GB"/>
          </w:rPr>
          <w:t>sadarbības</w:t>
        </w:r>
        <w:r w:rsidR="00B57BEE">
          <w:rPr>
            <w:b/>
            <w:bCs/>
            <w:noProof/>
            <w:lang w:val="lv-LV" w:eastAsia="en-GB"/>
          </w:rPr>
          <w:t xml:space="preserve"> </w:t>
        </w:r>
        <w:r w:rsidR="00F706BE" w:rsidRPr="00521933">
          <w:rPr>
            <w:b/>
            <w:bCs/>
            <w:noProof/>
            <w:lang w:val="lv-LV" w:eastAsia="en-GB"/>
          </w:rPr>
          <w:t>prioritātes</w:t>
        </w:r>
        <w:r w:rsidR="00B57BEE">
          <w:rPr>
            <w:b/>
            <w:bCs/>
            <w:noProof/>
            <w:lang w:val="lv-LV" w:eastAsia="en-GB"/>
          </w:rPr>
          <w:t xml:space="preserve"> </w:t>
        </w:r>
        <w:r w:rsidR="00F706BE" w:rsidRPr="00521933">
          <w:rPr>
            <w:b/>
            <w:bCs/>
            <w:noProof/>
            <w:lang w:val="lv-LV" w:eastAsia="en-GB"/>
          </w:rPr>
          <w:t>2008.-2013.gadam</w:t>
        </w:r>
        <w:r w:rsidR="00C9521B" w:rsidRPr="00521933">
          <w:rPr>
            <w:b/>
            <w:bCs/>
            <w:noProof/>
            <w:lang w:val="lv-LV" w:eastAsia="en-GB"/>
          </w:rPr>
          <w:t xml:space="preserve"> </w:t>
        </w:r>
        <w:r w:rsidR="00F706BE" w:rsidRPr="00521933">
          <w:rPr>
            <w:b/>
            <w:bCs/>
            <w:noProof/>
            <w:lang w:val="lv-LV" w:eastAsia="en-GB"/>
          </w:rPr>
          <w:t>un</w:t>
        </w:r>
        <w:r w:rsidR="00C9521B" w:rsidRPr="00521933">
          <w:rPr>
            <w:b/>
            <w:bCs/>
            <w:noProof/>
            <w:lang w:val="lv-LV" w:eastAsia="en-GB"/>
          </w:rPr>
          <w:t xml:space="preserve"> </w:t>
        </w:r>
        <w:r w:rsidR="00F706BE" w:rsidRPr="00521933">
          <w:rPr>
            <w:b/>
            <w:bCs/>
            <w:noProof/>
            <w:lang w:val="lv-LV" w:eastAsia="en-GB"/>
          </w:rPr>
          <w:t>sadarbības  prioritātes 2012.-2013.gadam.............................................</w:t>
        </w:r>
        <w:r w:rsidR="00B57BEE">
          <w:rPr>
            <w:b/>
            <w:bCs/>
            <w:noProof/>
            <w:lang w:val="lv-LV" w:eastAsia="en-GB"/>
          </w:rPr>
          <w:t>.............................................</w:t>
        </w:r>
        <w:r w:rsidR="00F706BE" w:rsidRPr="00521933">
          <w:rPr>
            <w:b/>
            <w:bCs/>
            <w:noProof/>
            <w:lang w:val="lv-LV" w:eastAsia="en-GB"/>
          </w:rPr>
          <w:t>................</w:t>
        </w:r>
      </w:hyperlink>
      <w:r w:rsidR="00E6210C">
        <w:t>6</w:t>
      </w:r>
    </w:p>
    <w:p w:rsidR="00F706BE" w:rsidRPr="00521933" w:rsidRDefault="00853AB4" w:rsidP="00F706BE">
      <w:pPr>
        <w:tabs>
          <w:tab w:val="left" w:pos="-284"/>
          <w:tab w:val="right" w:pos="9353"/>
        </w:tabs>
        <w:spacing w:before="240"/>
        <w:ind w:left="-142"/>
        <w:rPr>
          <w:b/>
          <w:bCs/>
          <w:noProof/>
          <w:lang w:val="lv-LV" w:eastAsia="en-GB"/>
        </w:rPr>
      </w:pPr>
      <w:hyperlink w:anchor="_Toc177275207" w:history="1">
        <w:r w:rsidR="00F706BE" w:rsidRPr="00521933">
          <w:rPr>
            <w:b/>
            <w:bCs/>
            <w:noProof/>
            <w:lang w:val="lv-LV" w:eastAsia="en-GB"/>
          </w:rPr>
          <w:t>2.DAĻA.  Budžets un</w:t>
        </w:r>
        <w:r w:rsidR="00E6210C">
          <w:rPr>
            <w:b/>
            <w:bCs/>
            <w:noProof/>
            <w:lang w:val="lv-LV" w:eastAsia="en-GB"/>
          </w:rPr>
          <w:t xml:space="preserve"> </w:t>
        </w:r>
        <w:r w:rsidR="00F706BE" w:rsidRPr="00521933">
          <w:rPr>
            <w:b/>
            <w:bCs/>
            <w:noProof/>
            <w:lang w:val="lv-LV" w:eastAsia="en-GB"/>
          </w:rPr>
          <w:t>saistības</w:t>
        </w:r>
        <w:r w:rsidR="00DA2DD3">
          <w:rPr>
            <w:b/>
            <w:bCs/>
            <w:noProof/>
            <w:lang w:val="lv-LV" w:eastAsia="en-GB"/>
          </w:rPr>
          <w:t xml:space="preserve"> </w:t>
        </w:r>
        <w:r w:rsidR="00F706BE" w:rsidRPr="00521933">
          <w:rPr>
            <w:b/>
            <w:bCs/>
            <w:noProof/>
            <w:lang w:val="lv-LV" w:eastAsia="en-GB"/>
          </w:rPr>
          <w:t>2012.-2013. gadam</w:t>
        </w:r>
        <w:r w:rsidR="00F706BE" w:rsidRPr="00521933">
          <w:rPr>
            <w:b/>
            <w:bCs/>
            <w:noProof/>
            <w:webHidden/>
            <w:lang w:val="lv-LV" w:eastAsia="en-GB"/>
          </w:rPr>
          <w:tab/>
        </w:r>
      </w:hyperlink>
    </w:p>
    <w:p w:rsidR="00F706BE" w:rsidRPr="00521933" w:rsidRDefault="00853AB4" w:rsidP="00521933">
      <w:pPr>
        <w:tabs>
          <w:tab w:val="left" w:pos="-284"/>
          <w:tab w:val="right" w:pos="9353"/>
        </w:tabs>
        <w:spacing w:before="240"/>
        <w:ind w:left="-142" w:right="-284"/>
        <w:rPr>
          <w:b/>
          <w:bCs/>
          <w:noProof/>
          <w:lang w:val="lv-LV" w:eastAsia="en-GB"/>
        </w:rPr>
      </w:pPr>
      <w:hyperlink w:anchor="_Toc177275208" w:history="1">
        <w:r w:rsidR="00F706BE" w:rsidRPr="00521933">
          <w:rPr>
            <w:b/>
            <w:bCs/>
            <w:noProof/>
            <w:lang w:val="lv-LV" w:eastAsia="en-GB"/>
          </w:rPr>
          <w:t>2.</w:t>
        </w:r>
        <w:r w:rsidR="00521933">
          <w:rPr>
            <w:b/>
            <w:bCs/>
            <w:noProof/>
            <w:lang w:val="lv-LV" w:eastAsia="en-GB"/>
          </w:rPr>
          <w:t>1. Budžets un</w:t>
        </w:r>
        <w:r w:rsidR="00DA2DD3">
          <w:rPr>
            <w:b/>
            <w:bCs/>
            <w:noProof/>
            <w:lang w:val="lv-LV" w:eastAsia="en-GB"/>
          </w:rPr>
          <w:t xml:space="preserve"> </w:t>
        </w:r>
        <w:r w:rsidR="00F706BE" w:rsidRPr="00521933">
          <w:rPr>
            <w:b/>
            <w:bCs/>
            <w:noProof/>
            <w:lang w:val="lv-LV" w:eastAsia="en-GB"/>
          </w:rPr>
          <w:t>finanses...................................................................................</w:t>
        </w:r>
        <w:r w:rsidR="00521933">
          <w:rPr>
            <w:b/>
            <w:bCs/>
            <w:noProof/>
            <w:lang w:val="lv-LV" w:eastAsia="en-GB"/>
          </w:rPr>
          <w:t>...........................</w:t>
        </w:r>
        <w:r w:rsidR="00195F4A" w:rsidRPr="00521933">
          <w:rPr>
            <w:b/>
            <w:bCs/>
            <w:noProof/>
            <w:lang w:val="lv-LV" w:eastAsia="en-GB"/>
          </w:rPr>
          <w:t>................</w:t>
        </w:r>
        <w:r w:rsidR="00521933">
          <w:rPr>
            <w:b/>
            <w:bCs/>
            <w:noProof/>
            <w:lang w:val="lv-LV" w:eastAsia="en-GB"/>
          </w:rPr>
          <w:t>...........</w:t>
        </w:r>
        <w:r w:rsidR="00F706BE" w:rsidRPr="00521933">
          <w:rPr>
            <w:b/>
            <w:bCs/>
            <w:noProof/>
            <w:webHidden/>
            <w:lang w:val="lv-LV" w:eastAsia="en-GB"/>
          </w:rPr>
          <w:tab/>
        </w:r>
      </w:hyperlink>
      <w:r w:rsidR="00E6210C">
        <w:rPr>
          <w:lang w:val="lv-LV"/>
        </w:rPr>
        <w:t>8</w:t>
      </w:r>
    </w:p>
    <w:p w:rsidR="00F706BE" w:rsidRPr="00521933" w:rsidRDefault="00853AB4" w:rsidP="00F706BE">
      <w:pPr>
        <w:tabs>
          <w:tab w:val="left" w:pos="-284"/>
          <w:tab w:val="right" w:pos="9353"/>
        </w:tabs>
        <w:spacing w:before="240"/>
        <w:ind w:left="-142"/>
        <w:rPr>
          <w:b/>
          <w:bCs/>
          <w:noProof/>
          <w:lang w:val="lv-LV" w:eastAsia="en-GB"/>
        </w:rPr>
      </w:pPr>
      <w:hyperlink w:anchor="_Toc177275209" w:history="1">
        <w:r w:rsidR="00521933">
          <w:rPr>
            <w:b/>
            <w:bCs/>
            <w:noProof/>
            <w:lang w:val="lv-LV" w:eastAsia="en-GB"/>
          </w:rPr>
          <w:t>2.2.</w:t>
        </w:r>
        <w:r w:rsidR="00F706BE" w:rsidRPr="00521933">
          <w:rPr>
            <w:b/>
            <w:bCs/>
            <w:noProof/>
            <w:lang w:val="lv-LV" w:eastAsia="en-GB"/>
          </w:rPr>
          <w:t>Saistības..........................................................................</w:t>
        </w:r>
        <w:r w:rsidR="00521933">
          <w:rPr>
            <w:b/>
            <w:bCs/>
            <w:noProof/>
            <w:lang w:val="lv-LV" w:eastAsia="en-GB"/>
          </w:rPr>
          <w:t>............................</w:t>
        </w:r>
        <w:r w:rsidR="00F706BE" w:rsidRPr="00521933">
          <w:rPr>
            <w:b/>
            <w:bCs/>
            <w:noProof/>
            <w:lang w:val="lv-LV" w:eastAsia="en-GB"/>
          </w:rPr>
          <w:t>..</w:t>
        </w:r>
        <w:r w:rsidR="00195F4A" w:rsidRPr="00521933">
          <w:rPr>
            <w:b/>
            <w:bCs/>
            <w:noProof/>
            <w:lang w:val="lv-LV" w:eastAsia="en-GB"/>
          </w:rPr>
          <w:t>..............................</w:t>
        </w:r>
        <w:r w:rsidR="00F706BE" w:rsidRPr="00521933">
          <w:rPr>
            <w:b/>
            <w:bCs/>
            <w:noProof/>
            <w:webHidden/>
            <w:lang w:val="lv-LV" w:eastAsia="en-GB"/>
          </w:rPr>
          <w:tab/>
        </w:r>
      </w:hyperlink>
      <w:r w:rsidR="00E6210C">
        <w:rPr>
          <w:lang w:val="lv-LV"/>
        </w:rPr>
        <w:t>8</w:t>
      </w:r>
    </w:p>
    <w:p w:rsidR="00F706BE" w:rsidRPr="00521933" w:rsidRDefault="00853AB4" w:rsidP="00F706BE">
      <w:pPr>
        <w:tabs>
          <w:tab w:val="left" w:pos="-284"/>
          <w:tab w:val="right" w:pos="9353"/>
        </w:tabs>
        <w:spacing w:before="240"/>
        <w:ind w:left="240"/>
        <w:rPr>
          <w:bCs/>
          <w:noProof/>
          <w:lang w:val="lv-LV" w:eastAsia="en-GB"/>
        </w:rPr>
      </w:pPr>
      <w:hyperlink w:anchor="_Toc177275210" w:history="1">
        <w:r w:rsidR="00F706BE" w:rsidRPr="00521933">
          <w:rPr>
            <w:bCs/>
            <w:noProof/>
            <w:lang w:val="lv-LV" w:eastAsia="en-GB"/>
          </w:rPr>
          <w:t xml:space="preserve">2.2.1. PVO </w:t>
        </w:r>
        <w:r w:rsidR="00E6210C">
          <w:rPr>
            <w:bCs/>
            <w:noProof/>
            <w:lang w:val="lv-LV" w:eastAsia="en-GB"/>
          </w:rPr>
          <w:t>s</w:t>
        </w:r>
        <w:r w:rsidR="00F706BE" w:rsidRPr="00521933">
          <w:rPr>
            <w:bCs/>
            <w:noProof/>
            <w:lang w:val="lv-LV" w:eastAsia="en-GB"/>
          </w:rPr>
          <w:t>aistības.......................................................................</w:t>
        </w:r>
        <w:r w:rsidR="00521933">
          <w:rPr>
            <w:bCs/>
            <w:noProof/>
            <w:lang w:val="lv-LV" w:eastAsia="en-GB"/>
          </w:rPr>
          <w:t>.....................</w:t>
        </w:r>
        <w:r w:rsidR="00F706BE" w:rsidRPr="00521933">
          <w:rPr>
            <w:bCs/>
            <w:noProof/>
            <w:lang w:val="lv-LV" w:eastAsia="en-GB"/>
          </w:rPr>
          <w:t>............................................</w:t>
        </w:r>
        <w:r w:rsidR="00F706BE" w:rsidRPr="00521933">
          <w:rPr>
            <w:bCs/>
            <w:noProof/>
            <w:webHidden/>
            <w:lang w:val="lv-LV" w:eastAsia="en-GB"/>
          </w:rPr>
          <w:tab/>
        </w:r>
      </w:hyperlink>
      <w:r w:rsidR="00E6210C">
        <w:rPr>
          <w:lang w:val="lv-LV"/>
        </w:rPr>
        <w:t>8</w:t>
      </w:r>
    </w:p>
    <w:p w:rsidR="00F706BE" w:rsidRPr="00521933" w:rsidRDefault="00853AB4" w:rsidP="00F706BE">
      <w:pPr>
        <w:tabs>
          <w:tab w:val="left" w:pos="720"/>
          <w:tab w:val="right" w:pos="9353"/>
        </w:tabs>
        <w:ind w:left="240"/>
        <w:rPr>
          <w:noProof/>
          <w:lang w:val="lv-LV" w:eastAsia="en-GB"/>
        </w:rPr>
      </w:pPr>
      <w:hyperlink w:anchor="_Toc177275212" w:history="1">
        <w:r w:rsidR="00F706BE" w:rsidRPr="00521933">
          <w:rPr>
            <w:noProof/>
            <w:lang w:val="lv-LV" w:eastAsia="en-US"/>
          </w:rPr>
          <w:t>2.2.2.</w:t>
        </w:r>
        <w:r w:rsidR="00747851" w:rsidRPr="00521933">
          <w:rPr>
            <w:noProof/>
            <w:lang w:val="lv-LV" w:eastAsia="en-US"/>
          </w:rPr>
          <w:t xml:space="preserve">Veselības ministrijas </w:t>
        </w:r>
        <w:r w:rsidR="00F706BE" w:rsidRPr="00521933">
          <w:rPr>
            <w:noProof/>
            <w:lang w:val="lv-LV" w:eastAsia="en-US"/>
          </w:rPr>
          <w:t>saistības....................................................................................................................</w:t>
        </w:r>
        <w:r w:rsidR="00521933">
          <w:rPr>
            <w:noProof/>
            <w:lang w:val="lv-LV" w:eastAsia="en-US"/>
          </w:rPr>
          <w:t>....................</w:t>
        </w:r>
        <w:r w:rsidR="00F706BE" w:rsidRPr="00521933">
          <w:rPr>
            <w:noProof/>
            <w:webHidden/>
            <w:lang w:val="lv-LV" w:eastAsia="en-US"/>
          </w:rPr>
          <w:tab/>
        </w:r>
      </w:hyperlink>
      <w:r w:rsidR="00E6210C">
        <w:rPr>
          <w:lang w:val="lv-LV"/>
        </w:rPr>
        <w:t>8</w:t>
      </w:r>
    </w:p>
    <w:p w:rsidR="00F706BE" w:rsidRPr="00E6210C" w:rsidRDefault="00853AB4" w:rsidP="00F706BE">
      <w:pPr>
        <w:tabs>
          <w:tab w:val="left" w:pos="-284"/>
          <w:tab w:val="right" w:pos="9353"/>
        </w:tabs>
        <w:spacing w:before="240"/>
        <w:ind w:left="-142"/>
        <w:rPr>
          <w:bCs/>
          <w:noProof/>
          <w:lang w:val="lv-LV" w:eastAsia="en-GB"/>
        </w:rPr>
      </w:pPr>
      <w:hyperlink w:anchor="_Toc177275213" w:history="1">
        <w:r w:rsidR="00F706BE" w:rsidRPr="00E6210C">
          <w:rPr>
            <w:b/>
            <w:bCs/>
            <w:noProof/>
            <w:lang w:val="lv-LV" w:eastAsia="en-GB"/>
          </w:rPr>
          <w:t>PIELIKUMS: Sagaidāmie</w:t>
        </w:r>
        <w:r w:rsidR="00DA2DD3" w:rsidRPr="00E6210C">
          <w:rPr>
            <w:b/>
            <w:bCs/>
            <w:noProof/>
            <w:lang w:val="lv-LV" w:eastAsia="en-GB"/>
          </w:rPr>
          <w:t xml:space="preserve"> </w:t>
        </w:r>
        <w:r w:rsidR="00F706BE" w:rsidRPr="00E6210C">
          <w:rPr>
            <w:b/>
            <w:bCs/>
            <w:noProof/>
            <w:lang w:val="lv-LV" w:eastAsia="en-GB"/>
          </w:rPr>
          <w:t>rezultāti</w:t>
        </w:r>
        <w:r w:rsidR="00E6210C" w:rsidRPr="00E6210C">
          <w:rPr>
            <w:b/>
            <w:bCs/>
            <w:noProof/>
            <w:lang w:val="lv-LV" w:eastAsia="en-GB"/>
          </w:rPr>
          <w:t xml:space="preserve"> </w:t>
        </w:r>
        <w:r w:rsidR="00F706BE" w:rsidRPr="00E6210C">
          <w:rPr>
            <w:b/>
            <w:bCs/>
            <w:noProof/>
            <w:lang w:val="lv-LV" w:eastAsia="en-GB"/>
          </w:rPr>
          <w:t>un  ieguvumi</w:t>
        </w:r>
        <w:r w:rsidR="00F706BE" w:rsidRPr="00E6210C">
          <w:rPr>
            <w:bCs/>
            <w:noProof/>
            <w:lang w:val="lv-LV" w:eastAsia="en-GB"/>
          </w:rPr>
          <w:t xml:space="preserve">  ..</w:t>
        </w:r>
        <w:r w:rsidR="00521933" w:rsidRPr="00E6210C">
          <w:rPr>
            <w:bCs/>
            <w:noProof/>
            <w:lang w:val="lv-LV" w:eastAsia="en-GB"/>
          </w:rPr>
          <w:t>............</w:t>
        </w:r>
        <w:r w:rsidR="00F706BE" w:rsidRPr="00E6210C">
          <w:rPr>
            <w:bCs/>
            <w:noProof/>
            <w:lang w:val="lv-LV" w:eastAsia="en-GB"/>
          </w:rPr>
          <w:t>.........</w:t>
        </w:r>
        <w:r w:rsidR="00C9521B" w:rsidRPr="00E6210C">
          <w:rPr>
            <w:bCs/>
            <w:noProof/>
            <w:lang w:val="lv-LV" w:eastAsia="en-GB"/>
          </w:rPr>
          <w:t>.......</w:t>
        </w:r>
        <w:r w:rsidR="00DA2DD3" w:rsidRPr="00E6210C">
          <w:rPr>
            <w:bCs/>
            <w:noProof/>
            <w:lang w:val="lv-LV" w:eastAsia="en-GB"/>
          </w:rPr>
          <w:t>...............................</w:t>
        </w:r>
        <w:r w:rsidR="00C9521B" w:rsidRPr="00E6210C">
          <w:rPr>
            <w:bCs/>
            <w:noProof/>
            <w:lang w:val="lv-LV" w:eastAsia="en-GB"/>
          </w:rPr>
          <w:t>.......</w:t>
        </w:r>
        <w:r w:rsidR="00E6210C">
          <w:rPr>
            <w:bCs/>
            <w:noProof/>
            <w:lang w:val="lv-LV" w:eastAsia="en-GB"/>
          </w:rPr>
          <w:t>..</w:t>
        </w:r>
        <w:r w:rsidR="00E6210C" w:rsidRPr="00E6210C">
          <w:rPr>
            <w:bCs/>
            <w:noProof/>
            <w:webHidden/>
            <w:lang w:val="lv-LV" w:eastAsia="en-GB"/>
          </w:rPr>
          <w:t>9</w:t>
        </w:r>
      </w:hyperlink>
    </w:p>
    <w:p w:rsidR="00F706BE" w:rsidRPr="00521933" w:rsidRDefault="00F706BE" w:rsidP="00F706BE">
      <w:pPr>
        <w:tabs>
          <w:tab w:val="left" w:pos="-284"/>
          <w:tab w:val="right" w:pos="9353"/>
        </w:tabs>
        <w:spacing w:before="240"/>
        <w:ind w:left="-142"/>
        <w:rPr>
          <w:b/>
          <w:bCs/>
          <w:noProof/>
          <w:lang w:val="lv-LV" w:eastAsia="en-GB"/>
        </w:rPr>
      </w:pPr>
      <w:r w:rsidRPr="00521933">
        <w:rPr>
          <w:b/>
          <w:bCs/>
          <w:noProof/>
          <w:lang w:val="lv-LV" w:eastAsia="en-GB"/>
        </w:rPr>
        <w:t>ABREVIATŪRAS …......................................................................................................</w:t>
      </w:r>
      <w:r w:rsidR="00C9521B" w:rsidRPr="00521933">
        <w:rPr>
          <w:b/>
          <w:bCs/>
          <w:noProof/>
          <w:lang w:val="lv-LV" w:eastAsia="en-GB"/>
        </w:rPr>
        <w:t>...............</w:t>
      </w:r>
      <w:r w:rsidRPr="00E6210C">
        <w:rPr>
          <w:bCs/>
          <w:noProof/>
          <w:lang w:val="lv-LV" w:eastAsia="en-GB"/>
        </w:rPr>
        <w:t>1</w:t>
      </w:r>
      <w:r w:rsidR="00E6210C" w:rsidRPr="00E6210C">
        <w:rPr>
          <w:bCs/>
          <w:noProof/>
          <w:lang w:val="lv-LV" w:eastAsia="en-GB"/>
        </w:rPr>
        <w:t>9</w:t>
      </w:r>
    </w:p>
    <w:p w:rsidR="00F706BE" w:rsidRPr="00521933" w:rsidRDefault="00853AB4" w:rsidP="00F706BE">
      <w:pPr>
        <w:tabs>
          <w:tab w:val="left" w:pos="567"/>
          <w:tab w:val="left" w:pos="1440"/>
          <w:tab w:val="right" w:pos="9180"/>
        </w:tabs>
        <w:ind w:right="-1"/>
        <w:rPr>
          <w:b/>
          <w:bCs/>
          <w:lang w:val="lv-LV" w:eastAsia="en-GB"/>
        </w:rPr>
      </w:pPr>
      <w:r w:rsidRPr="00521933">
        <w:rPr>
          <w:b/>
          <w:bCs/>
          <w:lang w:val="lv-LV" w:eastAsia="en-GB"/>
        </w:rPr>
        <w:fldChar w:fldCharType="end"/>
      </w:r>
    </w:p>
    <w:p w:rsidR="00195F4A" w:rsidRPr="00521933" w:rsidRDefault="00195F4A" w:rsidP="00F706BE">
      <w:pPr>
        <w:tabs>
          <w:tab w:val="left" w:pos="567"/>
          <w:tab w:val="left" w:pos="1440"/>
          <w:tab w:val="right" w:pos="9180"/>
        </w:tabs>
        <w:ind w:right="-1"/>
        <w:rPr>
          <w:b/>
          <w:bCs/>
          <w:lang w:val="lv-LV" w:eastAsia="en-GB"/>
        </w:rPr>
      </w:pPr>
    </w:p>
    <w:p w:rsidR="00195F4A" w:rsidRPr="00521933" w:rsidRDefault="00195F4A" w:rsidP="00F706BE">
      <w:pPr>
        <w:tabs>
          <w:tab w:val="left" w:pos="567"/>
          <w:tab w:val="left" w:pos="1440"/>
          <w:tab w:val="right" w:pos="9180"/>
        </w:tabs>
        <w:ind w:right="-1"/>
        <w:rPr>
          <w:b/>
          <w:bCs/>
          <w:lang w:val="lv-LV" w:eastAsia="en-GB"/>
        </w:rPr>
      </w:pPr>
    </w:p>
    <w:p w:rsidR="00F706BE" w:rsidRPr="00521933" w:rsidRDefault="00195F4A" w:rsidP="00195F4A">
      <w:pPr>
        <w:tabs>
          <w:tab w:val="left" w:pos="567"/>
          <w:tab w:val="left" w:pos="1440"/>
          <w:tab w:val="right" w:pos="9180"/>
        </w:tabs>
        <w:ind w:right="-1"/>
        <w:rPr>
          <w:b/>
          <w:bCs/>
          <w:color w:val="0000FF"/>
          <w:lang w:val="lv-LV" w:eastAsia="en-GB"/>
        </w:rPr>
      </w:pPr>
      <w:r w:rsidRPr="00521933">
        <w:rPr>
          <w:b/>
          <w:bCs/>
          <w:lang w:val="lv-LV" w:eastAsia="en-GB"/>
        </w:rPr>
        <w:br w:type="page"/>
      </w:r>
      <w:bookmarkStart w:id="2" w:name="_Toc118009332"/>
      <w:bookmarkStart w:id="3" w:name="_Toc177275204"/>
      <w:bookmarkStart w:id="4" w:name="_Toc531154085"/>
      <w:bookmarkStart w:id="5" w:name="_Toc531426975"/>
      <w:bookmarkStart w:id="6" w:name="_Toc49659208"/>
      <w:bookmarkStart w:id="7" w:name="_Toc101084187"/>
      <w:bookmarkStart w:id="8" w:name="_Toc105576782"/>
      <w:r w:rsidR="00F706BE" w:rsidRPr="00521933">
        <w:rPr>
          <w:b/>
          <w:bCs/>
          <w:color w:val="0000FF"/>
          <w:lang w:val="lv-LV" w:eastAsia="en-GB"/>
        </w:rPr>
        <w:lastRenderedPageBreak/>
        <w:t>Ievads</w:t>
      </w:r>
      <w:bookmarkEnd w:id="2"/>
      <w:bookmarkEnd w:id="3"/>
    </w:p>
    <w:p w:rsidR="00F706BE" w:rsidRPr="00521933" w:rsidRDefault="00F706BE" w:rsidP="00F706BE">
      <w:pPr>
        <w:keepNext/>
        <w:autoSpaceDE w:val="0"/>
        <w:autoSpaceDN w:val="0"/>
        <w:adjustRightInd w:val="0"/>
        <w:outlineLvl w:val="1"/>
        <w:rPr>
          <w:b/>
          <w:bCs/>
          <w:color w:val="0000FF"/>
          <w:lang w:val="lv-LV" w:eastAsia="en-GB"/>
        </w:rPr>
      </w:pPr>
      <w:r w:rsidRPr="00521933">
        <w:rPr>
          <w:b/>
          <w:bCs/>
          <w:lang w:val="lv-LV" w:eastAsia="en-GB"/>
        </w:rPr>
        <w:t xml:space="preserve"> </w:t>
      </w:r>
    </w:p>
    <w:p w:rsidR="00F706BE" w:rsidRPr="00521933" w:rsidRDefault="00F706BE" w:rsidP="00521933">
      <w:pPr>
        <w:pStyle w:val="BodyText3"/>
        <w:ind w:right="-284"/>
        <w:jc w:val="both"/>
        <w:rPr>
          <w:sz w:val="24"/>
          <w:szCs w:val="24"/>
          <w:lang w:val="lv-LV"/>
        </w:rPr>
      </w:pPr>
      <w:r w:rsidRPr="00521933">
        <w:rPr>
          <w:sz w:val="24"/>
          <w:szCs w:val="24"/>
          <w:lang w:val="lv-LV"/>
        </w:rPr>
        <w:t>Latvijā sirds-asinsrites slimības joprojām ir galvenais nāves cēlonis. Pēdējo desmit gadu laikā mirstība no sirds-asinsrites slimībām pieaug vīriešu vidū, bet paliek nemainīga sievietēm, būtiski atšķiroties no vispārējām tendencēm Eiropā. Lielā atšķirība mirstības rādītājos starp Latviju un ES 15 ir pastāvējusi jau gadiem - it īpaši, priekšlaicīgas mirstības rādītājos.</w:t>
      </w:r>
      <w:r w:rsidRPr="00521933">
        <w:rPr>
          <w:color w:val="333333"/>
          <w:sz w:val="24"/>
          <w:szCs w:val="24"/>
          <w:lang w:val="lv-LV"/>
        </w:rPr>
        <w:t xml:space="preserve"> </w:t>
      </w:r>
      <w:r w:rsidRPr="00521933">
        <w:rPr>
          <w:sz w:val="24"/>
          <w:szCs w:val="24"/>
          <w:lang w:val="lv-LV"/>
        </w:rPr>
        <w:t>Galvenokārt tas ir saistīts ar vairākiem cēloņiem, proti, pastāv liela varbūtība, ka Latvijas iedzīvotāji nomirst no sirdslēkmes, insulta vai no ārējiem nāves cēloņiem. Šī ir nopietna veselības problēma vīriešiem Latvijā un arī labākie rādītāji sievietēm tomēr ir vairākas reizes sliktāki nekā rādītāji sievietēm ES15.</w:t>
      </w:r>
    </w:p>
    <w:p w:rsidR="00F706BE" w:rsidRPr="00521933" w:rsidRDefault="00F706BE" w:rsidP="00521933">
      <w:pPr>
        <w:pStyle w:val="BodyText3"/>
        <w:ind w:right="-284"/>
        <w:jc w:val="both"/>
        <w:rPr>
          <w:sz w:val="24"/>
          <w:szCs w:val="24"/>
          <w:lang w:val="lv-LV"/>
        </w:rPr>
      </w:pPr>
      <w:r w:rsidRPr="00521933">
        <w:rPr>
          <w:sz w:val="24"/>
          <w:szCs w:val="24"/>
          <w:lang w:val="lv-LV"/>
        </w:rPr>
        <w:t xml:space="preserve">Galvenais izaicinājums slimību slogam ir priekšlaicīga mirstība no ārējiem cēloņiem un ar dzīvesveidu saistītajiem riska faktoriem. Līdzīgi citām rūpnieciski attīstītajām valstīm, galvenie nāves cēloņi ir asinsrites slimības, vēzis un ārējie nāves cēloņi. Dzīvesveida riska faktori ir alkohola un tabakas lietošana, nepietiekamas fiziskās aktivitātes un nepietiekama augļu un dārzeņu lietošana uzturā. Augoša problēma ir straujā aptaukošanās izplatība. Pēdējo desmit gadu laikā Latvijā ir parādījies jauns izaicinājums infekciju slimību ierobežošanā, kas saistīts ar HIV/AIDS un </w:t>
      </w:r>
      <w:proofErr w:type="spellStart"/>
      <w:r w:rsidRPr="00521933">
        <w:rPr>
          <w:sz w:val="24"/>
          <w:szCs w:val="24"/>
          <w:lang w:val="lv-LV"/>
        </w:rPr>
        <w:t>multi-rezistentās</w:t>
      </w:r>
      <w:proofErr w:type="spellEnd"/>
      <w:r w:rsidRPr="00521933">
        <w:rPr>
          <w:sz w:val="24"/>
          <w:szCs w:val="24"/>
          <w:lang w:val="lv-LV"/>
        </w:rPr>
        <w:t xml:space="preserve"> tuberkulozes pieaugumu. Latvija ir spējusi kontrolēt citu infekcijas slimību izplatību ar plašu vakcināciju programmu un augstu aptveri. </w:t>
      </w:r>
    </w:p>
    <w:p w:rsidR="00F706BE" w:rsidRPr="00521933" w:rsidRDefault="00F706BE" w:rsidP="00F706BE">
      <w:pPr>
        <w:pStyle w:val="BodyText2"/>
        <w:spacing w:before="100" w:beforeAutospacing="1" w:after="100" w:afterAutospacing="1" w:line="240" w:lineRule="auto"/>
        <w:ind w:right="-245"/>
        <w:jc w:val="both"/>
        <w:rPr>
          <w:lang w:val="lv-LV"/>
        </w:rPr>
      </w:pPr>
      <w:r w:rsidRPr="00521933">
        <w:rPr>
          <w:lang w:val="lv-LV"/>
        </w:rPr>
        <w:t>Zīdaiņu mirstības līmenis ir samazinājies pēdējos gados, taču joprojām ir salīdzinoši augsts. Ir novērojama pozitīvu tendence, nedaudz palielinoties veselo bērnu kopējam skaitam. Ar krūti baroto zīdaiņu skaits 6 mēnešu vecumā ir palielinājies kopš 2000.gada, sasniedzot 48,9% 2008. gadā, un šis rādītājs joprojām pieaug.</w:t>
      </w:r>
    </w:p>
    <w:p w:rsidR="00F706BE" w:rsidRPr="00521933" w:rsidRDefault="00F706BE" w:rsidP="00F706BE">
      <w:pPr>
        <w:pStyle w:val="BodyText2"/>
        <w:spacing w:before="100" w:beforeAutospacing="1" w:after="100" w:afterAutospacing="1" w:line="240" w:lineRule="auto"/>
        <w:ind w:right="-245"/>
        <w:jc w:val="both"/>
        <w:rPr>
          <w:lang w:val="lv-LV"/>
        </w:rPr>
      </w:pPr>
      <w:r w:rsidRPr="00521933">
        <w:rPr>
          <w:lang w:val="lv-LV"/>
        </w:rPr>
        <w:t>Nopietna ekonomikas krīze ir bijusi galvenā Latvijas pazīme pēdējos gados kopš 2008. gada pēc vairāku gadu straujās ekonomiskās izaugsmes. Ekonomikas lejupslīde Latvijā iezīmējās ar augstu inflāciju, kreditēšanas un nekustāmā īpašuma tirgus apstāšanos, ražošanas apjoma samazināšanos un bezdarba līmeņa pieaugumu. Līdzīgi kā citus sektorus, krīze nopietni ir skārusi veselības sektoru, kas rezultātā ir novedis pie nodarbinātības samazinājuma, veselības nozares pārvaldes optimizācijas un infrastruktūras samazinājuma.</w:t>
      </w:r>
    </w:p>
    <w:p w:rsidR="00F706BE" w:rsidRPr="00521933" w:rsidRDefault="00F706BE" w:rsidP="00F706BE">
      <w:pPr>
        <w:pStyle w:val="BodyText2"/>
        <w:spacing w:before="100" w:beforeAutospacing="1" w:after="100" w:afterAutospacing="1" w:line="240" w:lineRule="auto"/>
        <w:ind w:right="-245"/>
        <w:jc w:val="both"/>
        <w:rPr>
          <w:lang w:val="lv-LV"/>
        </w:rPr>
      </w:pPr>
      <w:r w:rsidRPr="00521933">
        <w:rPr>
          <w:lang w:val="lv-LV"/>
        </w:rPr>
        <w:t xml:space="preserve">Pēdējo desmit gadu laikā, un jo īpaši pēdējos gados, veselības nozari Latvijā ir skārušas reformas, kuru mērķis ir bijis stiprināt primāro veselības aprūpi, uzlabot efektivitāti slimnīcās, racionalizēt medikamentu lietošanu, radīt vienotu neatliekamās medicīniskās palīdzības sistēmu un aizsargāt maznodrošinātos. Pēdējā dekādē ir izstrādāti un īstenoti vairāki stratēģiski dokumenti. 2011.gadā valdība pieņēma jaunu Sabiedrības veselības stratēģiju 2011-2017 </w:t>
      </w:r>
      <w:r w:rsidRPr="00521933">
        <w:rPr>
          <w:lang w:val="lv-LV" w:eastAsia="en-GB"/>
        </w:rPr>
        <w:t xml:space="preserve">ar </w:t>
      </w:r>
      <w:r w:rsidRPr="00521933">
        <w:rPr>
          <w:i/>
          <w:lang w:val="lv-LV" w:eastAsia="en-GB"/>
        </w:rPr>
        <w:t>veselību visās politikās</w:t>
      </w:r>
      <w:r w:rsidRPr="00521933">
        <w:rPr>
          <w:lang w:val="lv-LV" w:eastAsia="en-GB"/>
        </w:rPr>
        <w:t xml:space="preserve"> pieeju. Lai gan ir pieņemti virkne  stratēģisku lēmumu, joprojām ir aktuāls jautājums kā turpmāk uzlabot veselības aprūpes sistēmu un sabiedrības veselības pakalpojumus . Proti, nepieciešamība uzlabot labas pārvaldības lomu veselības aprūpes nozarē, nodrošināt aprūpes nepārtrauktību, hronisko slimību ārstēšanu, uzlabot starpnozaru saikni starp veselības aprūpi, sabiedrības veselību un sociālo aprūpi, pievērsties kvalitātei veselības aprūpē, samazināt  pacientu </w:t>
      </w:r>
      <w:proofErr w:type="spellStart"/>
      <w:r w:rsidRPr="00521933">
        <w:rPr>
          <w:lang w:val="lv-LV" w:eastAsia="en-GB"/>
        </w:rPr>
        <w:t>līdzmaksājumus</w:t>
      </w:r>
      <w:proofErr w:type="spellEnd"/>
      <w:r w:rsidRPr="00521933">
        <w:rPr>
          <w:lang w:val="lv-LV" w:eastAsia="en-GB"/>
        </w:rPr>
        <w:t xml:space="preserve">, kontrolēt </w:t>
      </w:r>
      <w:r w:rsidRPr="00521933">
        <w:rPr>
          <w:lang w:val="lv-LV"/>
        </w:rPr>
        <w:t xml:space="preserve">izmaksu pieaugumu pakalpojumu jomā, </w:t>
      </w:r>
      <w:r w:rsidRPr="00521933">
        <w:rPr>
          <w:rStyle w:val="hps"/>
          <w:color w:val="333333"/>
          <w:lang w:val="lv-LV"/>
        </w:rPr>
        <w:t>nodrošināt</w:t>
      </w:r>
      <w:r w:rsidRPr="00521933">
        <w:rPr>
          <w:color w:val="333333"/>
          <w:lang w:val="lv-LV"/>
        </w:rPr>
        <w:t xml:space="preserve"> </w:t>
      </w:r>
      <w:r w:rsidRPr="00521933">
        <w:rPr>
          <w:rStyle w:val="hps"/>
          <w:color w:val="333333"/>
          <w:lang w:val="lv-LV"/>
        </w:rPr>
        <w:t>finanšu ilgtspēju</w:t>
      </w:r>
      <w:r w:rsidRPr="00521933">
        <w:rPr>
          <w:color w:val="333333"/>
          <w:lang w:val="lv-LV"/>
        </w:rPr>
        <w:t xml:space="preserve"> </w:t>
      </w:r>
      <w:r w:rsidRPr="00521933">
        <w:rPr>
          <w:rStyle w:val="hps"/>
          <w:color w:val="333333"/>
          <w:lang w:val="lv-LV"/>
        </w:rPr>
        <w:t>saistībā ar</w:t>
      </w:r>
      <w:r w:rsidRPr="00521933">
        <w:rPr>
          <w:color w:val="333333"/>
          <w:lang w:val="lv-LV"/>
        </w:rPr>
        <w:t xml:space="preserve"> </w:t>
      </w:r>
      <w:r w:rsidRPr="00521933">
        <w:rPr>
          <w:rStyle w:val="hps"/>
          <w:color w:val="333333"/>
          <w:lang w:val="lv-LV"/>
        </w:rPr>
        <w:t>demogrāfiskajām pārmaiņām</w:t>
      </w:r>
      <w:r w:rsidRPr="00521933">
        <w:rPr>
          <w:color w:val="333333"/>
          <w:lang w:val="lv-LV"/>
        </w:rPr>
        <w:t xml:space="preserve"> </w:t>
      </w:r>
      <w:r w:rsidRPr="00521933">
        <w:rPr>
          <w:rStyle w:val="hps"/>
          <w:color w:val="333333"/>
          <w:lang w:val="lv-LV"/>
        </w:rPr>
        <w:t>un citiem</w:t>
      </w:r>
      <w:r w:rsidRPr="00521933">
        <w:rPr>
          <w:color w:val="333333"/>
          <w:lang w:val="lv-LV"/>
        </w:rPr>
        <w:t xml:space="preserve"> </w:t>
      </w:r>
      <w:r w:rsidRPr="00521933">
        <w:rPr>
          <w:rStyle w:val="hps"/>
          <w:color w:val="333333"/>
          <w:lang w:val="lv-LV"/>
        </w:rPr>
        <w:t>izmaksu faktoriem</w:t>
      </w:r>
      <w:r w:rsidRPr="00521933">
        <w:rPr>
          <w:lang w:val="lv-LV"/>
        </w:rPr>
        <w:t xml:space="preserve"> veselības aprūpē; risināt jautājumus, kas saistīti ar cilvēku resursiem veselības nozarē un kompetenču līdzsvarošanu sistēmas ietvaros, lai tie atbilstu pašreiz īstenotajai praksei; reaģēt uz vides un sabiedrības veselības apdraudējumiem. </w:t>
      </w:r>
    </w:p>
    <w:p w:rsidR="00F706BE" w:rsidRPr="00772343" w:rsidRDefault="00F706BE" w:rsidP="00772343">
      <w:pPr>
        <w:pStyle w:val="BodyText2"/>
        <w:spacing w:before="100" w:beforeAutospacing="1" w:after="100" w:afterAutospacing="1" w:line="240" w:lineRule="auto"/>
        <w:ind w:right="-245"/>
        <w:rPr>
          <w:lang w:val="lv-LV"/>
        </w:rPr>
      </w:pPr>
      <w:r w:rsidRPr="00521933">
        <w:rPr>
          <w:lang w:val="lv-LV"/>
        </w:rPr>
        <w:t xml:space="preserve">Šis dokuments ir </w:t>
      </w:r>
      <w:r w:rsidR="00772343" w:rsidRPr="00772343">
        <w:rPr>
          <w:lang w:val="lv-LV"/>
        </w:rPr>
        <w:t xml:space="preserve">Latvijas Republikas Veselības ministrijas un Pasaules Veselības organizācijas Eiropas Reģionālā biroja </w:t>
      </w:r>
      <w:r w:rsidR="00772343" w:rsidRPr="00521933">
        <w:rPr>
          <w:lang w:val="lv-LV"/>
        </w:rPr>
        <w:t xml:space="preserve">(turpmāk tekstā- PVO/EURO) </w:t>
      </w:r>
      <w:proofErr w:type="spellStart"/>
      <w:r w:rsidR="00772343" w:rsidRPr="00772343">
        <w:rPr>
          <w:lang w:val="lv-LV"/>
        </w:rPr>
        <w:t>divgades</w:t>
      </w:r>
      <w:proofErr w:type="spellEnd"/>
      <w:r w:rsidR="00772343" w:rsidRPr="00772343">
        <w:rPr>
          <w:lang w:val="lv-LV"/>
        </w:rPr>
        <w:t xml:space="preserve"> sadarbības līgums 2012.–2013.gadam</w:t>
      </w:r>
      <w:r w:rsidR="00772343" w:rsidRPr="00772343">
        <w:rPr>
          <w:i/>
          <w:lang w:val="lv-LV"/>
        </w:rPr>
        <w:t xml:space="preserve"> </w:t>
      </w:r>
      <w:r w:rsidR="00772343">
        <w:rPr>
          <w:i/>
          <w:lang w:val="lv-LV"/>
        </w:rPr>
        <w:t>(turpmāk tekstā – Līgums).</w:t>
      </w:r>
      <w:r w:rsidRPr="00521933">
        <w:rPr>
          <w:i/>
          <w:lang w:val="lv-LV"/>
        </w:rPr>
        <w:t xml:space="preserve"> </w:t>
      </w:r>
      <w:r w:rsidR="00772343" w:rsidRPr="00772343">
        <w:rPr>
          <w:lang w:val="lv-LV"/>
        </w:rPr>
        <w:t>Līgums sagatavots divos eksemplāros angļu valod</w:t>
      </w:r>
      <w:r w:rsidR="00772343">
        <w:rPr>
          <w:lang w:val="lv-LV"/>
        </w:rPr>
        <w:t>ā. Līgums stājas spēkā ar pēdējā paraksta datumu.</w:t>
      </w:r>
    </w:p>
    <w:p w:rsidR="00F706BE" w:rsidRPr="00521933" w:rsidRDefault="00F706BE" w:rsidP="00F706BE">
      <w:pPr>
        <w:autoSpaceDE w:val="0"/>
        <w:autoSpaceDN w:val="0"/>
        <w:adjustRightInd w:val="0"/>
        <w:jc w:val="both"/>
        <w:rPr>
          <w:lang w:val="lv-LV"/>
        </w:rPr>
      </w:pPr>
      <w:bookmarkStart w:id="9" w:name="_Toc111434526"/>
      <w:r w:rsidRPr="00521933">
        <w:rPr>
          <w:lang w:val="lv-LV"/>
        </w:rPr>
        <w:lastRenderedPageBreak/>
        <w:t xml:space="preserve">Līgums  2012 – 2013 ir daļa no provizoriskā vidējā termiņa sadarbības </w:t>
      </w:r>
      <w:proofErr w:type="spellStart"/>
      <w:r w:rsidRPr="00521933">
        <w:rPr>
          <w:lang w:val="lv-LV"/>
        </w:rPr>
        <w:t>ietvardokumenta</w:t>
      </w:r>
      <w:proofErr w:type="spellEnd"/>
      <w:r w:rsidRPr="00521933">
        <w:rPr>
          <w:lang w:val="lv-LV"/>
        </w:rPr>
        <w:t xml:space="preserve"> starp PVO/EURO un Latvijas Republikas Veselības ministriju, laika periodam uz sešiem gadiem, no 2008. līdz 2013.gadam, un ir saskaņā ar Pasaules Veselības Organizācijas (turpmāk tekstā PVO) vidējā termiņa stratēģisko plānu (</w:t>
      </w:r>
      <w:r w:rsidRPr="00521933">
        <w:rPr>
          <w:i/>
          <w:lang w:val="lv-LV"/>
        </w:rPr>
        <w:t>turpmāk tekstā - VTSP 2008-2013).</w:t>
      </w:r>
      <w:r w:rsidRPr="00521933">
        <w:rPr>
          <w:color w:val="333333"/>
          <w:lang w:val="lv-LV"/>
        </w:rPr>
        <w:t xml:space="preserve"> </w:t>
      </w:r>
      <w:r w:rsidRPr="00521933">
        <w:rPr>
          <w:lang w:val="lv-LV"/>
        </w:rPr>
        <w:t>Dokuments atspoguļo PVO/EURO jauno redzējumu, ko ir apstiprinājusi Eiropas Reģionālās komitejas sešdesmitā sesija - Labāku veselību Eiropā, kā arī koncepcijas, principus un pamatvērtības, kas ir par pamatu jaunajam valstu un PVO/EURO</w:t>
      </w:r>
      <w:r w:rsidR="00C9521B" w:rsidRPr="00521933">
        <w:rPr>
          <w:lang w:val="lv-LV"/>
        </w:rPr>
        <w:t xml:space="preserve"> </w:t>
      </w:r>
      <w:r w:rsidRPr="00521933">
        <w:rPr>
          <w:lang w:val="lv-LV"/>
        </w:rPr>
        <w:t xml:space="preserve">sadarbības līgumam un Eiropas Veselības politikai - </w:t>
      </w:r>
      <w:r w:rsidRPr="00521933">
        <w:rPr>
          <w:i/>
          <w:lang w:val="lv-LV"/>
        </w:rPr>
        <w:t>Veselība 2020</w:t>
      </w:r>
      <w:r w:rsidRPr="00521933">
        <w:rPr>
          <w:lang w:val="lv-LV"/>
        </w:rPr>
        <w:t>.</w:t>
      </w:r>
    </w:p>
    <w:p w:rsidR="00F706BE" w:rsidRPr="00521933" w:rsidRDefault="00F706BE" w:rsidP="00F706BE">
      <w:pPr>
        <w:autoSpaceDE w:val="0"/>
        <w:autoSpaceDN w:val="0"/>
        <w:adjustRightInd w:val="0"/>
        <w:jc w:val="both"/>
        <w:rPr>
          <w:lang w:val="lv-LV"/>
        </w:rPr>
      </w:pPr>
    </w:p>
    <w:p w:rsidR="00F706BE" w:rsidRPr="00521933" w:rsidRDefault="00F706BE" w:rsidP="00F706BE">
      <w:pPr>
        <w:autoSpaceDE w:val="0"/>
        <w:autoSpaceDN w:val="0"/>
        <w:adjustRightInd w:val="0"/>
        <w:jc w:val="both"/>
        <w:rPr>
          <w:lang w:val="lv-LV"/>
        </w:rPr>
      </w:pPr>
      <w:r w:rsidRPr="00521933">
        <w:rPr>
          <w:lang w:val="lv-LV"/>
        </w:rPr>
        <w:t xml:space="preserve">Līguma mērķu sasniegšana ir gan </w:t>
      </w:r>
      <w:r w:rsidR="0023359B">
        <w:rPr>
          <w:lang w:val="lv-LV"/>
        </w:rPr>
        <w:t>Latvijas Republikas Veselības ministrijas</w:t>
      </w:r>
      <w:r w:rsidRPr="00521933">
        <w:rPr>
          <w:lang w:val="lv-LV"/>
        </w:rPr>
        <w:t>, gan</w:t>
      </w:r>
      <w:r w:rsidR="0023359B">
        <w:rPr>
          <w:lang w:val="lv-LV"/>
        </w:rPr>
        <w:t xml:space="preserve"> </w:t>
      </w:r>
      <w:r w:rsidR="0023359B" w:rsidRPr="00521933">
        <w:rPr>
          <w:lang w:val="lv-LV"/>
        </w:rPr>
        <w:t xml:space="preserve">PVO Sekretariāta </w:t>
      </w:r>
      <w:r w:rsidRPr="00521933">
        <w:rPr>
          <w:lang w:val="lv-LV"/>
        </w:rPr>
        <w:t xml:space="preserve">atbildība.  </w:t>
      </w:r>
    </w:p>
    <w:p w:rsidR="00F706BE" w:rsidRPr="00521933" w:rsidRDefault="00F706BE" w:rsidP="00F706BE">
      <w:pPr>
        <w:autoSpaceDE w:val="0"/>
        <w:autoSpaceDN w:val="0"/>
        <w:adjustRightInd w:val="0"/>
        <w:jc w:val="both"/>
        <w:rPr>
          <w:lang w:val="lv-LV"/>
        </w:rPr>
      </w:pPr>
    </w:p>
    <w:p w:rsidR="00F706BE" w:rsidRPr="00521933" w:rsidRDefault="00F706BE" w:rsidP="00F706BE">
      <w:pPr>
        <w:autoSpaceDE w:val="0"/>
        <w:autoSpaceDN w:val="0"/>
        <w:adjustRightInd w:val="0"/>
        <w:jc w:val="both"/>
        <w:rPr>
          <w:lang w:val="lv-LV"/>
        </w:rPr>
      </w:pPr>
      <w:r w:rsidRPr="00521933">
        <w:rPr>
          <w:lang w:val="lv-LV"/>
        </w:rPr>
        <w:t xml:space="preserve">Šis ir praktisks sadarbības </w:t>
      </w:r>
      <w:proofErr w:type="spellStart"/>
      <w:r w:rsidRPr="00521933">
        <w:rPr>
          <w:lang w:val="lv-LV"/>
        </w:rPr>
        <w:t>ietvardokuments</w:t>
      </w:r>
      <w:proofErr w:type="spellEnd"/>
      <w:r w:rsidRPr="00521933">
        <w:rPr>
          <w:lang w:val="lv-LV"/>
        </w:rPr>
        <w:t xml:space="preserve">, kas ir izstrādāts regulāri konsultējoties valsts veselības politikas veidotājiem un PVO/EURO Sekretariātam. </w:t>
      </w:r>
    </w:p>
    <w:p w:rsidR="00F706BE" w:rsidRPr="00521933" w:rsidRDefault="00F706BE" w:rsidP="00F706BE">
      <w:pPr>
        <w:autoSpaceDE w:val="0"/>
        <w:autoSpaceDN w:val="0"/>
        <w:adjustRightInd w:val="0"/>
        <w:jc w:val="both"/>
        <w:rPr>
          <w:lang w:val="lv-LV"/>
        </w:rPr>
      </w:pPr>
    </w:p>
    <w:p w:rsidR="00F706BE" w:rsidRPr="00521933" w:rsidRDefault="00F706BE" w:rsidP="00F706BE">
      <w:pPr>
        <w:autoSpaceDE w:val="0"/>
        <w:autoSpaceDN w:val="0"/>
        <w:adjustRightInd w:val="0"/>
        <w:jc w:val="both"/>
        <w:rPr>
          <w:lang w:val="lv-LV"/>
        </w:rPr>
      </w:pPr>
      <w:r w:rsidRPr="00521933">
        <w:rPr>
          <w:lang w:val="lv-LV"/>
        </w:rPr>
        <w:t>Apstiprinātās vidēja termiņa sadarbības prioritātes 2008.-2013. gadam, kā norādīts dokumenta 1.daļā, tika ņemtas kā sākuma punkts, kas savukārt noteica konkrētos prioritāros rezultātus sadarbībai.</w:t>
      </w:r>
      <w:r w:rsidRPr="00521933">
        <w:rPr>
          <w:b/>
          <w:lang w:val="lv-LV"/>
        </w:rPr>
        <w:t xml:space="preserve"> 2010. gadā sešdesmitā PVO Eiropas Reģionālās Komitejas sesija apstiprināja jaunās stratēģiskās prioritātes darbam, kas atspoguļo galvenās problēmas, ar ko saskaras lielākā daļa dalībvalstu PVO Eiropas reģionā un kuras tiek risinātas, izstrādājot jauno Eiropas veselības politiku - </w:t>
      </w:r>
      <w:r w:rsidRPr="00521933">
        <w:rPr>
          <w:b/>
          <w:i/>
          <w:lang w:val="lv-LV"/>
        </w:rPr>
        <w:t>Veselība 2020</w:t>
      </w:r>
      <w:r w:rsidRPr="00521933">
        <w:rPr>
          <w:b/>
          <w:lang w:val="lv-LV"/>
        </w:rPr>
        <w:t xml:space="preserve">. Starp šīm galvenajām prioritātēm, īpaši ir izceltas: </w:t>
      </w:r>
      <w:r w:rsidRPr="00521933">
        <w:rPr>
          <w:b/>
          <w:i/>
          <w:lang w:val="lv-LV"/>
        </w:rPr>
        <w:t>veselības sistēmas stiprināšana</w:t>
      </w:r>
      <w:r w:rsidRPr="00521933">
        <w:rPr>
          <w:b/>
          <w:lang w:val="lv-LV"/>
        </w:rPr>
        <w:t xml:space="preserve">, sevišķi primāro veselības aprūpi; </w:t>
      </w:r>
      <w:r w:rsidRPr="00521933">
        <w:rPr>
          <w:b/>
          <w:i/>
          <w:lang w:val="lv-LV"/>
        </w:rPr>
        <w:t>sabiedrības veselības atjaunošana</w:t>
      </w:r>
      <w:r w:rsidRPr="00521933">
        <w:rPr>
          <w:b/>
          <w:lang w:val="lv-LV"/>
        </w:rPr>
        <w:t xml:space="preserve">, tostarp uzraudzības uzlabošana, slimību profilakse un veselības veicināšana, </w:t>
      </w:r>
      <w:r w:rsidRPr="00521933">
        <w:rPr>
          <w:b/>
          <w:i/>
          <w:lang w:val="lv-LV"/>
        </w:rPr>
        <w:t>risināt ar dzīves veidu saistītos riska faktorus</w:t>
      </w:r>
      <w:r w:rsidRPr="00521933">
        <w:rPr>
          <w:b/>
          <w:lang w:val="lv-LV"/>
        </w:rPr>
        <w:t xml:space="preserve">; </w:t>
      </w:r>
      <w:r w:rsidRPr="00521933">
        <w:rPr>
          <w:b/>
          <w:i/>
          <w:lang w:val="lv-LV"/>
        </w:rPr>
        <w:t>kontrolēt neinfekciozās slimības</w:t>
      </w:r>
      <w:r w:rsidRPr="00521933">
        <w:rPr>
          <w:b/>
          <w:lang w:val="lv-LV"/>
        </w:rPr>
        <w:t xml:space="preserve">, tādas kā sirds slimības, vēzis un cukura diabēts, </w:t>
      </w:r>
      <w:r w:rsidRPr="00521933">
        <w:rPr>
          <w:b/>
          <w:i/>
          <w:lang w:val="lv-LV"/>
        </w:rPr>
        <w:t>pievērst uzmanību infekcijas slimību izplatībai</w:t>
      </w:r>
      <w:r w:rsidRPr="00521933">
        <w:rPr>
          <w:b/>
          <w:lang w:val="lv-LV"/>
        </w:rPr>
        <w:t xml:space="preserve">, jo īpaši poliomielīta, HIV / AIDS, MDR-TB, masalu un malārijas; īstenot Starptautiskos veselības noteikumus; </w:t>
      </w:r>
      <w:r w:rsidRPr="00521933">
        <w:rPr>
          <w:b/>
          <w:i/>
          <w:lang w:val="lv-LV"/>
        </w:rPr>
        <w:t>nodrošinot gatav</w:t>
      </w:r>
      <w:r w:rsidR="00C9521B" w:rsidRPr="00521933">
        <w:rPr>
          <w:b/>
          <w:i/>
          <w:lang w:val="lv-LV"/>
        </w:rPr>
        <w:t>ību</w:t>
      </w:r>
      <w:r w:rsidRPr="00521933">
        <w:rPr>
          <w:b/>
          <w:i/>
          <w:lang w:val="lv-LV"/>
        </w:rPr>
        <w:t xml:space="preserve"> ārkārtas situācijām</w:t>
      </w:r>
      <w:r w:rsidRPr="00521933">
        <w:rPr>
          <w:b/>
          <w:lang w:val="lv-LV"/>
        </w:rPr>
        <w:t xml:space="preserve">, </w:t>
      </w:r>
      <w:r w:rsidRPr="00521933">
        <w:rPr>
          <w:b/>
          <w:i/>
          <w:lang w:val="lv-LV"/>
        </w:rPr>
        <w:t>atbalstīt attīstību vides un veselības jomās,</w:t>
      </w:r>
      <w:r w:rsidRPr="00521933">
        <w:rPr>
          <w:b/>
          <w:lang w:val="lv-LV"/>
        </w:rPr>
        <w:t xml:space="preserve"> un </w:t>
      </w:r>
      <w:r w:rsidRPr="00521933">
        <w:rPr>
          <w:b/>
          <w:i/>
          <w:lang w:val="lv-LV"/>
        </w:rPr>
        <w:t>veicināt veselības informācijas sistēmu saskaņošanu</w:t>
      </w:r>
      <w:r w:rsidRPr="00521933">
        <w:rPr>
          <w:b/>
          <w:lang w:val="lv-LV"/>
        </w:rPr>
        <w:t xml:space="preserve"> un zināšanu apmaiņu visā reģionā. </w:t>
      </w:r>
      <w:r w:rsidRPr="00521933">
        <w:rPr>
          <w:lang w:val="lv-LV"/>
        </w:rPr>
        <w:t>Prioritātes un sagaidāmie rezultāti, kas izklāstīti šajā līgumā, ir balstīti uz šīm galvenajām prioritārajām sfērām. Sagaidāmie rezultāti balstās uz analīzi, kas tika izdarīta apsekojot sabiedrības veselības stāvokli reģionā un no aptaujas datiem no valsts veselības institūcijām,  kā arī ņemot  vērā  PVO globālās prioritātes (Pasaules Veselības Asamblejas un Eiropas Reģionālās Komitejas rezolūcijas), politikas virzienus  un valsts prioritātes, un   to atbilstību PVO stratēģiskajam  novērtējumam.</w:t>
      </w:r>
    </w:p>
    <w:p w:rsidR="00F706BE" w:rsidRPr="00521933" w:rsidRDefault="00F706BE" w:rsidP="00F706BE">
      <w:pPr>
        <w:autoSpaceDE w:val="0"/>
        <w:autoSpaceDN w:val="0"/>
        <w:adjustRightInd w:val="0"/>
        <w:jc w:val="both"/>
        <w:rPr>
          <w:lang w:val="lv-LV"/>
        </w:rPr>
      </w:pPr>
    </w:p>
    <w:p w:rsidR="00F706BE" w:rsidRPr="00521933" w:rsidRDefault="00F706BE" w:rsidP="00F706BE">
      <w:pPr>
        <w:autoSpaceDE w:val="0"/>
        <w:autoSpaceDN w:val="0"/>
        <w:adjustRightInd w:val="0"/>
        <w:jc w:val="both"/>
        <w:rPr>
          <w:lang w:val="lv-LV"/>
        </w:rPr>
      </w:pPr>
      <w:r w:rsidRPr="00521933">
        <w:rPr>
          <w:lang w:val="lv-LV"/>
        </w:rPr>
        <w:t>Rezultāti atspoguļo dalībvalstu vajadzības</w:t>
      </w:r>
      <w:r w:rsidR="00C9521B" w:rsidRPr="00521933">
        <w:rPr>
          <w:lang w:val="lv-LV"/>
        </w:rPr>
        <w:t>.</w:t>
      </w:r>
      <w:r w:rsidRPr="00521933">
        <w:rPr>
          <w:lang w:val="lv-LV"/>
        </w:rPr>
        <w:t xml:space="preserve"> To sasniegšana ir gan atsevišķu dalībvalstu, gan Sekretariāta kopīga atbildība.</w:t>
      </w:r>
      <w:r w:rsidRPr="00521933">
        <w:rPr>
          <w:i/>
          <w:lang w:val="lv-LV"/>
        </w:rPr>
        <w:t xml:space="preserve"> </w:t>
      </w:r>
      <w:r w:rsidRPr="00521933">
        <w:rPr>
          <w:lang w:val="lv-LV"/>
        </w:rPr>
        <w:t>Atbilstoši</w:t>
      </w:r>
      <w:r w:rsidRPr="00521933">
        <w:rPr>
          <w:i/>
          <w:lang w:val="lv-LV"/>
        </w:rPr>
        <w:t xml:space="preserve"> </w:t>
      </w:r>
      <w:r w:rsidRPr="00521933">
        <w:rPr>
          <w:lang w:val="lv-LV"/>
        </w:rPr>
        <w:t xml:space="preserve">katram gala rezultātam (sagaidāmais rezultāts) ir noteiktas vairākas rezultātu (produktu un pakalpojumu) īstenošanas aktivitātes, lai nodrošinātu un atvieglotu dalībvalstu darbu. Šo rezultātu sasniegšana ir Sekretariāta atbildība. </w:t>
      </w:r>
    </w:p>
    <w:p w:rsidR="00F706BE" w:rsidRPr="00521933" w:rsidRDefault="00F706BE" w:rsidP="00F706BE">
      <w:pPr>
        <w:autoSpaceDE w:val="0"/>
        <w:autoSpaceDN w:val="0"/>
        <w:adjustRightInd w:val="0"/>
        <w:jc w:val="both"/>
        <w:rPr>
          <w:lang w:val="lv-LV"/>
        </w:rPr>
      </w:pPr>
    </w:p>
    <w:p w:rsidR="00F706BE" w:rsidRPr="00521933" w:rsidRDefault="00F706BE" w:rsidP="00F706BE">
      <w:pPr>
        <w:jc w:val="both"/>
        <w:rPr>
          <w:lang w:val="lv-LV"/>
        </w:rPr>
      </w:pPr>
      <w:r w:rsidRPr="00521933">
        <w:rPr>
          <w:lang w:val="lv-LV"/>
        </w:rPr>
        <w:t>Šis dokuments ir strukturēts šādi:</w:t>
      </w:r>
    </w:p>
    <w:p w:rsidR="00F706BE" w:rsidRPr="00521933" w:rsidRDefault="00F706BE" w:rsidP="00F706BE">
      <w:pPr>
        <w:autoSpaceDE w:val="0"/>
        <w:autoSpaceDN w:val="0"/>
        <w:adjustRightInd w:val="0"/>
        <w:jc w:val="both"/>
        <w:rPr>
          <w:lang w:val="lv-LV"/>
        </w:rPr>
      </w:pPr>
    </w:p>
    <w:p w:rsidR="00F706BE" w:rsidRPr="00521933" w:rsidRDefault="00F706BE" w:rsidP="00F706BE">
      <w:pPr>
        <w:numPr>
          <w:ilvl w:val="0"/>
          <w:numId w:val="13"/>
        </w:numPr>
        <w:autoSpaceDE w:val="0"/>
        <w:autoSpaceDN w:val="0"/>
        <w:adjustRightInd w:val="0"/>
        <w:jc w:val="both"/>
        <w:rPr>
          <w:lang w:val="lv-LV"/>
        </w:rPr>
      </w:pPr>
      <w:r w:rsidRPr="00521933">
        <w:rPr>
          <w:lang w:val="lv-LV"/>
        </w:rPr>
        <w:t>Pirmā daļa izklāsta apstiprinātās kopējās sadarbības vidējā termiņa prioritātes un mērķus 2008.-2013.gadam, kas jāsasniedz, kopīgi sadarbojoties Latvijas Republikas Veselības ministrijai un PVO Sekretariātam.</w:t>
      </w:r>
      <w:r w:rsidRPr="00521933">
        <w:rPr>
          <w:color w:val="333333"/>
          <w:lang w:val="lv-LV"/>
        </w:rPr>
        <w:t xml:space="preserve"> </w:t>
      </w:r>
      <w:r w:rsidRPr="00521933">
        <w:rPr>
          <w:lang w:val="lv-LV"/>
        </w:rPr>
        <w:t>Šeit tiek aprakstītas arī noteiktās prioritātes, kas jāsasniedz 2012. -2013. gadam.</w:t>
      </w:r>
    </w:p>
    <w:p w:rsidR="00F706BE" w:rsidRPr="00521933" w:rsidRDefault="00F706BE" w:rsidP="00F706BE">
      <w:pPr>
        <w:autoSpaceDE w:val="0"/>
        <w:autoSpaceDN w:val="0"/>
        <w:adjustRightInd w:val="0"/>
        <w:jc w:val="both"/>
        <w:rPr>
          <w:iCs/>
          <w:lang w:val="lv-LV" w:eastAsia="en-GB"/>
        </w:rPr>
      </w:pPr>
    </w:p>
    <w:p w:rsidR="00F706BE" w:rsidRPr="00521933" w:rsidRDefault="00F706BE" w:rsidP="00F706BE">
      <w:pPr>
        <w:numPr>
          <w:ilvl w:val="0"/>
          <w:numId w:val="13"/>
        </w:numPr>
        <w:autoSpaceDE w:val="0"/>
        <w:autoSpaceDN w:val="0"/>
        <w:adjustRightInd w:val="0"/>
        <w:jc w:val="both"/>
        <w:rPr>
          <w:iCs/>
          <w:lang w:val="lv-LV" w:eastAsia="en-GB"/>
        </w:rPr>
      </w:pPr>
      <w:r w:rsidRPr="00521933">
        <w:rPr>
          <w:iCs/>
          <w:lang w:val="lv-LV" w:eastAsia="en-GB"/>
        </w:rPr>
        <w:t>Otrā daļa ietver sadaļas par Līguma budžetu, finansēšanu un savstarpējām saistībām starp PVO Sekretariātu un katru</w:t>
      </w:r>
      <w:r w:rsidR="00747851" w:rsidRPr="00521933">
        <w:rPr>
          <w:iCs/>
          <w:lang w:val="lv-LV" w:eastAsia="en-GB"/>
        </w:rPr>
        <w:t xml:space="preserve"> dalībvalsts veselības ministriju</w:t>
      </w:r>
      <w:r w:rsidRPr="00521933">
        <w:rPr>
          <w:iCs/>
          <w:lang w:val="lv-LV" w:eastAsia="en-GB"/>
        </w:rPr>
        <w:t xml:space="preserve">. </w:t>
      </w:r>
    </w:p>
    <w:p w:rsidR="00F706BE" w:rsidRPr="00521933" w:rsidRDefault="00F706BE" w:rsidP="00F706BE">
      <w:pPr>
        <w:pStyle w:val="ListParagraph"/>
        <w:ind w:left="0"/>
        <w:rPr>
          <w:iCs/>
          <w:lang w:val="lv-LV" w:eastAsia="en-GB"/>
        </w:rPr>
      </w:pPr>
    </w:p>
    <w:p w:rsidR="00F706BE" w:rsidRPr="00521933" w:rsidRDefault="00F706BE" w:rsidP="00F706BE">
      <w:pPr>
        <w:autoSpaceDE w:val="0"/>
        <w:autoSpaceDN w:val="0"/>
        <w:adjustRightInd w:val="0"/>
        <w:jc w:val="both"/>
        <w:rPr>
          <w:iCs/>
          <w:lang w:val="lv-LV" w:eastAsia="en-GB"/>
        </w:rPr>
      </w:pPr>
      <w:r w:rsidRPr="00521933">
        <w:rPr>
          <w:iCs/>
          <w:lang w:val="lv-LV" w:eastAsia="en-GB"/>
        </w:rPr>
        <w:lastRenderedPageBreak/>
        <w:t xml:space="preserve">Līguma pielikumā  ir kopsavilkums par prioritāšu  rezultātiem kā arī rezultāti </w:t>
      </w:r>
      <w:r w:rsidRPr="00521933">
        <w:rPr>
          <w:i/>
          <w:iCs/>
          <w:lang w:val="lv-LV" w:eastAsia="en-GB"/>
        </w:rPr>
        <w:t xml:space="preserve"> </w:t>
      </w:r>
      <w:r w:rsidRPr="00521933">
        <w:rPr>
          <w:iCs/>
          <w:lang w:val="lv-LV" w:eastAsia="en-GB"/>
        </w:rPr>
        <w:t>un to īstenošanas moduļi . Tiek piedāvāti trīs īstenošanas moduļi:</w:t>
      </w:r>
    </w:p>
    <w:p w:rsidR="00F706BE" w:rsidRPr="00521933" w:rsidRDefault="00F706BE" w:rsidP="00F706BE">
      <w:pPr>
        <w:autoSpaceDE w:val="0"/>
        <w:autoSpaceDN w:val="0"/>
        <w:adjustRightInd w:val="0"/>
        <w:jc w:val="both"/>
        <w:rPr>
          <w:iCs/>
          <w:lang w:val="lv-LV" w:eastAsia="en-GB"/>
        </w:rPr>
      </w:pPr>
    </w:p>
    <w:p w:rsidR="00F706BE" w:rsidRPr="00521933" w:rsidRDefault="00F706BE" w:rsidP="00F706BE">
      <w:pPr>
        <w:numPr>
          <w:ilvl w:val="1"/>
          <w:numId w:val="13"/>
        </w:numPr>
        <w:tabs>
          <w:tab w:val="clear" w:pos="1440"/>
          <w:tab w:val="num" w:pos="720"/>
        </w:tabs>
        <w:autoSpaceDE w:val="0"/>
        <w:autoSpaceDN w:val="0"/>
        <w:adjustRightInd w:val="0"/>
        <w:ind w:left="720"/>
        <w:jc w:val="both"/>
        <w:rPr>
          <w:iCs/>
          <w:lang w:val="lv-LV" w:eastAsia="en-GB"/>
        </w:rPr>
      </w:pPr>
      <w:r w:rsidRPr="00521933">
        <w:rPr>
          <w:b/>
          <w:iCs/>
          <w:lang w:val="lv-LV" w:eastAsia="en-GB"/>
        </w:rPr>
        <w:t>Starpvalstu modulis</w:t>
      </w:r>
      <w:r w:rsidRPr="00521933">
        <w:rPr>
          <w:iCs/>
          <w:lang w:val="lv-LV" w:eastAsia="en-GB"/>
        </w:rPr>
        <w:t xml:space="preserve"> (</w:t>
      </w:r>
      <w:r w:rsidRPr="00521933">
        <w:rPr>
          <w:i/>
          <w:iCs/>
          <w:lang w:val="lv-LV" w:eastAsia="en-GB"/>
        </w:rPr>
        <w:t>turpmāk tekstā SM)</w:t>
      </w:r>
      <w:r w:rsidRPr="00521933">
        <w:rPr>
          <w:iCs/>
          <w:lang w:val="lv-LV" w:eastAsia="en-GB"/>
        </w:rPr>
        <w:t>, kas risina kopējos mērķus valstīs, izmantojot reģiona mēroga pieejas. Ir paredzams, ka arvien lielāka daļa no darba tiks īstenota izmantojot šo moduli.</w:t>
      </w:r>
    </w:p>
    <w:p w:rsidR="00F706BE" w:rsidRPr="00521933" w:rsidRDefault="00F706BE" w:rsidP="00F706BE">
      <w:pPr>
        <w:numPr>
          <w:ilvl w:val="1"/>
          <w:numId w:val="13"/>
        </w:numPr>
        <w:tabs>
          <w:tab w:val="clear" w:pos="1440"/>
          <w:tab w:val="num" w:pos="720"/>
        </w:tabs>
        <w:autoSpaceDE w:val="0"/>
        <w:autoSpaceDN w:val="0"/>
        <w:adjustRightInd w:val="0"/>
        <w:ind w:left="720"/>
        <w:jc w:val="both"/>
        <w:rPr>
          <w:iCs/>
          <w:lang w:val="lv-LV" w:eastAsia="en-GB"/>
        </w:rPr>
      </w:pPr>
      <w:r w:rsidRPr="00521933">
        <w:rPr>
          <w:b/>
          <w:iCs/>
          <w:lang w:val="lv-LV" w:eastAsia="en-GB"/>
        </w:rPr>
        <w:t>Vairāku valstu modulis</w:t>
      </w:r>
      <w:r w:rsidRPr="00521933">
        <w:rPr>
          <w:iCs/>
          <w:lang w:val="lv-LV" w:eastAsia="en-GB"/>
        </w:rPr>
        <w:t xml:space="preserve"> (</w:t>
      </w:r>
      <w:r w:rsidRPr="00521933">
        <w:rPr>
          <w:i/>
          <w:iCs/>
          <w:lang w:val="lv-LV" w:eastAsia="en-GB"/>
        </w:rPr>
        <w:t>turpmāk tekstā VVM</w:t>
      </w:r>
      <w:r w:rsidR="00C9521B" w:rsidRPr="00521933">
        <w:rPr>
          <w:i/>
          <w:iCs/>
          <w:lang w:val="lv-LV" w:eastAsia="en-GB"/>
        </w:rPr>
        <w:t xml:space="preserve"> </w:t>
      </w:r>
      <w:r w:rsidRPr="00521933">
        <w:rPr>
          <w:iCs/>
          <w:lang w:val="lv-LV" w:eastAsia="en-GB"/>
        </w:rPr>
        <w:t>tiek izmantots, kad gala rezultāts un tā plāna izstrāde ir saistīta ar ierobežotu skaitu valstu. Noteiktās grupas resursi tiks izvietoti optimāli.</w:t>
      </w:r>
    </w:p>
    <w:p w:rsidR="00F706BE" w:rsidRPr="00521933" w:rsidRDefault="00F706BE" w:rsidP="00F706BE">
      <w:pPr>
        <w:autoSpaceDE w:val="0"/>
        <w:autoSpaceDN w:val="0"/>
        <w:adjustRightInd w:val="0"/>
        <w:jc w:val="both"/>
        <w:rPr>
          <w:iCs/>
          <w:lang w:val="lv-LV" w:eastAsia="en-GB"/>
        </w:rPr>
      </w:pPr>
      <w:r w:rsidRPr="00521933">
        <w:rPr>
          <w:b/>
          <w:iCs/>
          <w:lang w:val="lv-LV" w:eastAsia="en-GB"/>
        </w:rPr>
        <w:t>Konkrētās valsts modulis</w:t>
      </w:r>
      <w:r w:rsidRPr="00521933">
        <w:rPr>
          <w:iCs/>
          <w:lang w:val="lv-LV" w:eastAsia="en-GB"/>
        </w:rPr>
        <w:t xml:space="preserve"> (</w:t>
      </w:r>
      <w:r w:rsidRPr="00521933">
        <w:rPr>
          <w:i/>
          <w:iCs/>
          <w:lang w:val="lv-LV" w:eastAsia="en-GB"/>
        </w:rPr>
        <w:t>turpmāk tekstā KVM)</w:t>
      </w:r>
      <w:r w:rsidRPr="00521933">
        <w:rPr>
          <w:iCs/>
          <w:lang w:val="lv-LV" w:eastAsia="en-GB"/>
        </w:rPr>
        <w:t xml:space="preserve"> izmanto aktivitātēm/ rezultātiem, kas ir specifiski vajadzībām un apstākļiem atsevišķās valstīs. Šis modulis joprojām būs svarīgs un tiks izvēlēts vairākos gadījumos.</w:t>
      </w:r>
    </w:p>
    <w:p w:rsidR="00747851" w:rsidRPr="00521933" w:rsidRDefault="00747851" w:rsidP="00F706BE">
      <w:pPr>
        <w:autoSpaceDE w:val="0"/>
        <w:autoSpaceDN w:val="0"/>
        <w:adjustRightInd w:val="0"/>
        <w:jc w:val="both"/>
        <w:rPr>
          <w:iCs/>
          <w:lang w:val="lv-LV" w:eastAsia="en-GB"/>
        </w:rPr>
      </w:pPr>
    </w:p>
    <w:p w:rsidR="00747851" w:rsidRPr="00521933" w:rsidRDefault="00747851" w:rsidP="00F706BE">
      <w:pPr>
        <w:autoSpaceDE w:val="0"/>
        <w:autoSpaceDN w:val="0"/>
        <w:adjustRightInd w:val="0"/>
        <w:jc w:val="both"/>
        <w:rPr>
          <w:b/>
          <w:iCs/>
          <w:lang w:val="lv-LV" w:eastAsia="en-GB"/>
        </w:rPr>
      </w:pPr>
    </w:p>
    <w:p w:rsidR="00F706BE" w:rsidRPr="00521933" w:rsidRDefault="00F706BE" w:rsidP="00F706BE">
      <w:pPr>
        <w:pStyle w:val="Heading1"/>
        <w:pBdr>
          <w:top w:val="single" w:sz="4" w:space="26" w:color="auto"/>
          <w:left w:val="single" w:sz="4" w:space="4" w:color="auto"/>
          <w:bottom w:val="single" w:sz="4" w:space="1" w:color="auto"/>
          <w:right w:val="single" w:sz="4" w:space="4" w:color="auto"/>
        </w:pBdr>
        <w:spacing w:before="0" w:after="0"/>
        <w:jc w:val="center"/>
        <w:rPr>
          <w:rFonts w:ascii="Times New Roman" w:hAnsi="Times New Roman" w:cs="Times New Roman"/>
          <w:bCs w:val="0"/>
          <w:iCs/>
          <w:color w:val="0000FF"/>
          <w:sz w:val="24"/>
          <w:szCs w:val="24"/>
          <w:lang w:val="lv-LV" w:eastAsia="en-GB"/>
        </w:rPr>
      </w:pPr>
      <w:r w:rsidRPr="00521933">
        <w:rPr>
          <w:rFonts w:ascii="Times New Roman" w:hAnsi="Times New Roman" w:cs="Times New Roman"/>
          <w:bCs w:val="0"/>
          <w:iCs/>
          <w:color w:val="0000FF"/>
          <w:sz w:val="24"/>
          <w:szCs w:val="24"/>
          <w:lang w:val="lv-LV" w:eastAsia="en-GB"/>
        </w:rPr>
        <w:t>Sadarbības nosacījumi</w:t>
      </w:r>
    </w:p>
    <w:p w:rsidR="00F706BE" w:rsidRPr="00521933" w:rsidRDefault="00F706BE" w:rsidP="00F706BE">
      <w:pPr>
        <w:autoSpaceDE w:val="0"/>
        <w:autoSpaceDN w:val="0"/>
        <w:adjustRightInd w:val="0"/>
        <w:jc w:val="both"/>
        <w:rPr>
          <w:b/>
          <w:iCs/>
          <w:lang w:val="lv-LV" w:eastAsia="en-GB"/>
        </w:rPr>
      </w:pPr>
    </w:p>
    <w:p w:rsidR="00F706BE" w:rsidRPr="00521933" w:rsidRDefault="00F706BE" w:rsidP="00F706BE">
      <w:pPr>
        <w:autoSpaceDE w:val="0"/>
        <w:autoSpaceDN w:val="0"/>
        <w:adjustRightInd w:val="0"/>
        <w:jc w:val="both"/>
        <w:rPr>
          <w:lang w:val="lv-LV" w:eastAsia="en-GB"/>
        </w:rPr>
      </w:pPr>
      <w:r w:rsidRPr="00521933">
        <w:rPr>
          <w:i/>
          <w:iCs/>
          <w:lang w:val="lv-LV" w:eastAsia="en-GB"/>
        </w:rPr>
        <w:t>Vidējā termiņa prioritātes (1.daļa) sniedz provizorisku sad</w:t>
      </w:r>
      <w:r w:rsidRPr="00521933">
        <w:rPr>
          <w:iCs/>
          <w:lang w:val="lv-LV" w:eastAsia="en-GB"/>
        </w:rPr>
        <w:t>arbības ietvaru 2008.-2013.gadam. Vidējā termiņa prioritātes var tikt pārskatītas katru otro gadu pēc savstarpējas vienošanās situācijās, kad valdošie apstākļi pieprasa iz</w:t>
      </w:r>
      <w:r w:rsidRPr="00521933">
        <w:rPr>
          <w:lang w:val="lv-LV" w:eastAsia="en-GB"/>
        </w:rPr>
        <w:t xml:space="preserve">maiņas. </w:t>
      </w:r>
    </w:p>
    <w:p w:rsidR="00F706BE" w:rsidRPr="00521933" w:rsidRDefault="00F706BE" w:rsidP="00F706BE">
      <w:pPr>
        <w:autoSpaceDE w:val="0"/>
        <w:autoSpaceDN w:val="0"/>
        <w:adjustRightInd w:val="0"/>
        <w:jc w:val="both"/>
        <w:rPr>
          <w:lang w:val="lv-LV" w:eastAsia="en-GB"/>
        </w:rPr>
      </w:pPr>
    </w:p>
    <w:p w:rsidR="00F706BE" w:rsidRPr="00521933" w:rsidRDefault="00F706BE" w:rsidP="00F706BE">
      <w:pPr>
        <w:autoSpaceDE w:val="0"/>
        <w:autoSpaceDN w:val="0"/>
        <w:adjustRightInd w:val="0"/>
        <w:jc w:val="both"/>
        <w:rPr>
          <w:lang w:val="lv-LV" w:eastAsia="en-GB"/>
        </w:rPr>
      </w:pPr>
      <w:r w:rsidRPr="00521933">
        <w:rPr>
          <w:lang w:val="lv-LV" w:eastAsia="en-GB"/>
        </w:rPr>
        <w:t>Līguma sagaidāmie rezultāti  2012.-2013.gadam, kas aprakstīti šī līguma pielikumā,</w:t>
      </w:r>
      <w:r w:rsidRPr="00521933">
        <w:rPr>
          <w:i/>
          <w:lang w:val="lv-LV" w:eastAsia="en-GB"/>
        </w:rPr>
        <w:t xml:space="preserve"> </w:t>
      </w:r>
      <w:r w:rsidRPr="00521933">
        <w:rPr>
          <w:lang w:val="lv-LV" w:eastAsia="en-GB"/>
        </w:rPr>
        <w:t xml:space="preserve">var tikt laboti, savstarpēji rakstiski vienojoties </w:t>
      </w:r>
      <w:r w:rsidRPr="00521933">
        <w:rPr>
          <w:lang w:val="lv-LV"/>
        </w:rPr>
        <w:t xml:space="preserve">PVO EURO, </w:t>
      </w:r>
      <w:r w:rsidRPr="00521933">
        <w:rPr>
          <w:lang w:val="lv-LV" w:eastAsia="en-GB"/>
        </w:rPr>
        <w:t>un katrai</w:t>
      </w:r>
      <w:r w:rsidR="00DA2DD3">
        <w:rPr>
          <w:lang w:val="lv-LV" w:eastAsia="en-GB"/>
        </w:rPr>
        <w:t xml:space="preserve"> </w:t>
      </w:r>
      <w:r w:rsidRPr="00521933">
        <w:rPr>
          <w:lang w:val="lv-LV" w:eastAsia="en-GB"/>
        </w:rPr>
        <w:t xml:space="preserve">valstij tādu izmaiņu rezultātā, kā, piemēram, izmaiņas valsts veselības situācijā, izmaiņas valsts kapacitātē, ieviešot plānotās aktivitātes, īpašu vajadzību rašanās divu gadu laikā vai izmaiņas PVO/ EURO kapacitātē ieviešot plānotās aktivitātes, vai finansējuma izmaiņu gadījumā. Izmaiņas var ierosināt abas puses. </w:t>
      </w:r>
    </w:p>
    <w:p w:rsidR="00F706BE" w:rsidRPr="00521933" w:rsidRDefault="00F706BE" w:rsidP="00F706BE">
      <w:pPr>
        <w:tabs>
          <w:tab w:val="left" w:pos="477"/>
        </w:tabs>
        <w:autoSpaceDE w:val="0"/>
        <w:autoSpaceDN w:val="0"/>
        <w:adjustRightInd w:val="0"/>
        <w:jc w:val="both"/>
        <w:rPr>
          <w:lang w:val="lv-LV" w:eastAsia="en-GB"/>
        </w:rPr>
      </w:pPr>
    </w:p>
    <w:p w:rsidR="00F706BE" w:rsidRPr="00521933" w:rsidRDefault="00F706BE" w:rsidP="00F706BE">
      <w:pPr>
        <w:autoSpaceDE w:val="0"/>
        <w:autoSpaceDN w:val="0"/>
        <w:adjustRightInd w:val="0"/>
        <w:jc w:val="both"/>
        <w:rPr>
          <w:lang w:val="lv-LV" w:eastAsia="en-GB"/>
        </w:rPr>
      </w:pPr>
      <w:r w:rsidRPr="00521933">
        <w:rPr>
          <w:lang w:val="lv-LV" w:eastAsia="en-GB"/>
        </w:rPr>
        <w:t xml:space="preserve">Pēc </w:t>
      </w:r>
      <w:r w:rsidR="00015A3C">
        <w:rPr>
          <w:lang w:val="lv-LV" w:eastAsia="en-GB"/>
        </w:rPr>
        <w:t>l</w:t>
      </w:r>
      <w:r w:rsidR="00E061BD">
        <w:rPr>
          <w:lang w:val="lv-LV" w:eastAsia="en-GB"/>
        </w:rPr>
        <w:t xml:space="preserve">īguma parakstīšanas </w:t>
      </w:r>
      <w:r w:rsidRPr="00521933">
        <w:rPr>
          <w:lang w:val="lv-LV" w:eastAsia="en-GB"/>
        </w:rPr>
        <w:t xml:space="preserve">Veselības ministrija nosauks/apstiprinās atbildīgos nacionālos sadarbības koordinētājus katrai no prioritātēm, kā arī iecels vienu atbildīgo personu, kas regulāri uzturēs sakarus ar pārējiem sadarbības koordinētājiem. Galvenais valsts sadarbības koordinētājs būs atbildīgs par vispārējo Līguma īstenošanu no ministrijas puses, bet PVO pārstāvniecības vadītājs </w:t>
      </w:r>
      <w:r w:rsidRPr="00521933">
        <w:rPr>
          <w:i/>
          <w:lang w:val="lv-LV" w:eastAsia="en-GB"/>
        </w:rPr>
        <w:t>(turpmāk tekstā –PVOPV HWCO</w:t>
      </w:r>
      <w:r w:rsidRPr="00521933">
        <w:rPr>
          <w:lang w:val="lv-LV" w:eastAsia="en-GB"/>
        </w:rPr>
        <w:t xml:space="preserve">) būs atbildīgs no PVO puses. Līguma  darba </w:t>
      </w:r>
      <w:smartTag w:uri="schemas-tilde-lv/tildestengine" w:element="veidnes">
        <w:smartTagPr>
          <w:attr w:name="text" w:val="plāns"/>
          <w:attr w:name="baseform" w:val="plāns"/>
          <w:attr w:name="id" w:val="-1"/>
        </w:smartTagPr>
        <w:r w:rsidRPr="00521933">
          <w:rPr>
            <w:lang w:val="lv-LV" w:eastAsia="en-GB"/>
          </w:rPr>
          <w:t>plāns</w:t>
        </w:r>
      </w:smartTag>
      <w:r w:rsidRPr="00521933">
        <w:rPr>
          <w:lang w:val="lv-LV" w:eastAsia="en-GB"/>
        </w:rPr>
        <w:t>, tostarp plānotie rezultāti un īstenošanas grafiks, tiks apstiprināti vienojoties. Līguma  plāna īstenošana sāksies tā noteiktā perioda 2012.-2013. sākumā. Reģionālais birojs nodrošinās iespējami augstāko tehnisko palīdzību valstij, ko veicinās un atbalstīs PVO pārstāvniecība valstī vai citas institūcijas, kas atrodas valstī. Vispārēja valsts programmas koordinācija un vadība ir PVOPV   atbildība.</w:t>
      </w:r>
    </w:p>
    <w:p w:rsidR="00F706BE" w:rsidRPr="00521933" w:rsidRDefault="00F706BE" w:rsidP="00F706BE">
      <w:pPr>
        <w:autoSpaceDE w:val="0"/>
        <w:autoSpaceDN w:val="0"/>
        <w:adjustRightInd w:val="0"/>
        <w:jc w:val="both"/>
        <w:rPr>
          <w:lang w:val="lv-LV" w:eastAsia="en-GB"/>
        </w:rPr>
      </w:pPr>
    </w:p>
    <w:p w:rsidR="00F706BE" w:rsidRPr="00521933" w:rsidRDefault="00F706BE" w:rsidP="00F706BE">
      <w:pPr>
        <w:autoSpaceDE w:val="0"/>
        <w:autoSpaceDN w:val="0"/>
        <w:adjustRightInd w:val="0"/>
        <w:jc w:val="both"/>
        <w:rPr>
          <w:rStyle w:val="hps"/>
          <w:color w:val="333333"/>
          <w:lang w:val="lv-LV"/>
        </w:rPr>
      </w:pPr>
      <w:r w:rsidRPr="00521933">
        <w:rPr>
          <w:lang w:val="lv-LV" w:eastAsia="en-GB"/>
        </w:rPr>
        <w:t xml:space="preserve">PVO budžeta asignācija Līguma ietvaros nosaka minimālo resursu daudzumu, kas tiks iztērēti valsts līmenī, </w:t>
      </w:r>
      <w:r w:rsidRPr="00521933">
        <w:rPr>
          <w:lang w:val="lv-LV"/>
        </w:rPr>
        <w:t xml:space="preserve">ieskaitot </w:t>
      </w:r>
      <w:r w:rsidRPr="00521933">
        <w:rPr>
          <w:rStyle w:val="hps"/>
          <w:lang w:val="lv-LV"/>
        </w:rPr>
        <w:t>personāla izmaksas,</w:t>
      </w:r>
      <w:r w:rsidRPr="00521933">
        <w:rPr>
          <w:lang w:val="lv-LV"/>
        </w:rPr>
        <w:t xml:space="preserve"> </w:t>
      </w:r>
      <w:r w:rsidRPr="00521933">
        <w:rPr>
          <w:rStyle w:val="hps"/>
          <w:lang w:val="lv-LV"/>
        </w:rPr>
        <w:t>kas vajadzīgi, lai</w:t>
      </w:r>
      <w:r w:rsidRPr="00521933">
        <w:rPr>
          <w:lang w:val="lv-LV"/>
        </w:rPr>
        <w:t xml:space="preserve"> </w:t>
      </w:r>
      <w:r w:rsidRPr="00521933">
        <w:rPr>
          <w:rStyle w:val="hps"/>
          <w:lang w:val="lv-LV"/>
        </w:rPr>
        <w:t>īstenotu</w:t>
      </w:r>
      <w:r w:rsidRPr="00521933">
        <w:rPr>
          <w:lang w:val="lv-LV"/>
        </w:rPr>
        <w:t xml:space="preserve"> </w:t>
      </w:r>
      <w:r w:rsidRPr="00521933">
        <w:rPr>
          <w:rStyle w:val="hps"/>
          <w:lang w:val="lv-LV"/>
        </w:rPr>
        <w:t>valsts</w:t>
      </w:r>
      <w:r w:rsidRPr="00521933">
        <w:rPr>
          <w:lang w:val="lv-LV"/>
        </w:rPr>
        <w:t xml:space="preserve"> </w:t>
      </w:r>
      <w:r w:rsidRPr="00521933">
        <w:rPr>
          <w:rStyle w:val="hps"/>
          <w:lang w:val="lv-LV"/>
        </w:rPr>
        <w:t xml:space="preserve">darba plānu. Finansējums nāks </w:t>
      </w:r>
      <w:r w:rsidRPr="00521933">
        <w:rPr>
          <w:lang w:val="lv-LV" w:eastAsia="en-GB"/>
        </w:rPr>
        <w:t xml:space="preserve">gan no </w:t>
      </w:r>
      <w:r w:rsidRPr="00521933">
        <w:rPr>
          <w:rStyle w:val="hps"/>
          <w:color w:val="333333"/>
          <w:lang w:val="lv-LV"/>
        </w:rPr>
        <w:t>PVO</w:t>
      </w:r>
      <w:r w:rsidRPr="00521933">
        <w:rPr>
          <w:color w:val="333333"/>
          <w:lang w:val="lv-LV"/>
        </w:rPr>
        <w:t xml:space="preserve"> </w:t>
      </w:r>
      <w:r w:rsidRPr="00521933">
        <w:rPr>
          <w:rStyle w:val="hps"/>
          <w:color w:val="333333"/>
          <w:lang w:val="lv-LV"/>
        </w:rPr>
        <w:t>uzņēmuma resursiem</w:t>
      </w:r>
      <w:r w:rsidRPr="00521933">
        <w:rPr>
          <w:color w:val="333333"/>
          <w:lang w:val="lv-LV"/>
        </w:rPr>
        <w:t xml:space="preserve"> </w:t>
      </w:r>
      <w:r w:rsidRPr="00521933">
        <w:rPr>
          <w:rStyle w:val="hps"/>
          <w:color w:val="333333"/>
          <w:lang w:val="lv-LV"/>
        </w:rPr>
        <w:t>un citiem</w:t>
      </w:r>
      <w:r w:rsidRPr="00521933">
        <w:rPr>
          <w:color w:val="333333"/>
          <w:lang w:val="lv-LV"/>
        </w:rPr>
        <w:t xml:space="preserve"> </w:t>
      </w:r>
      <w:r w:rsidRPr="00521933">
        <w:rPr>
          <w:rStyle w:val="hps"/>
          <w:color w:val="333333"/>
          <w:lang w:val="lv-LV"/>
        </w:rPr>
        <w:t>resursiem,</w:t>
      </w:r>
      <w:r w:rsidRPr="00521933">
        <w:rPr>
          <w:color w:val="333333"/>
          <w:lang w:val="lv-LV"/>
        </w:rPr>
        <w:t xml:space="preserve"> </w:t>
      </w:r>
      <w:r w:rsidRPr="00521933">
        <w:rPr>
          <w:rStyle w:val="hps"/>
          <w:color w:val="333333"/>
          <w:lang w:val="lv-LV"/>
        </w:rPr>
        <w:t>kas pieejami PVO.</w:t>
      </w:r>
      <w:r w:rsidRPr="00521933">
        <w:rPr>
          <w:color w:val="333333"/>
          <w:lang w:val="lv-LV"/>
        </w:rPr>
        <w:t xml:space="preserve"> </w:t>
      </w:r>
      <w:r w:rsidRPr="00521933">
        <w:rPr>
          <w:rStyle w:val="hps"/>
          <w:color w:val="333333"/>
          <w:lang w:val="lv-LV"/>
        </w:rPr>
        <w:t>Šos līdzekļus</w:t>
      </w:r>
      <w:r w:rsidRPr="00521933">
        <w:rPr>
          <w:color w:val="333333"/>
          <w:lang w:val="lv-LV"/>
        </w:rPr>
        <w:t xml:space="preserve"> </w:t>
      </w:r>
      <w:r w:rsidRPr="00521933">
        <w:rPr>
          <w:rStyle w:val="hps"/>
          <w:color w:val="333333"/>
          <w:lang w:val="lv-LV"/>
        </w:rPr>
        <w:t>nedrīkst</w:t>
      </w:r>
      <w:r w:rsidRPr="00521933">
        <w:rPr>
          <w:color w:val="333333"/>
          <w:lang w:val="lv-LV"/>
        </w:rPr>
        <w:t xml:space="preserve"> </w:t>
      </w:r>
      <w:r w:rsidRPr="00521933">
        <w:rPr>
          <w:rStyle w:val="hps"/>
          <w:color w:val="333333"/>
          <w:lang w:val="lv-LV"/>
        </w:rPr>
        <w:t>izmantot, lai subsidētu</w:t>
      </w:r>
      <w:r w:rsidRPr="00521933">
        <w:rPr>
          <w:color w:val="333333"/>
          <w:lang w:val="lv-LV"/>
        </w:rPr>
        <w:t xml:space="preserve"> </w:t>
      </w:r>
      <w:r w:rsidRPr="00521933">
        <w:rPr>
          <w:rStyle w:val="hps"/>
          <w:color w:val="333333"/>
          <w:lang w:val="lv-LV"/>
        </w:rPr>
        <w:t>vai aizpildītu</w:t>
      </w:r>
      <w:r w:rsidRPr="00521933">
        <w:rPr>
          <w:color w:val="333333"/>
          <w:lang w:val="lv-LV"/>
        </w:rPr>
        <w:t xml:space="preserve"> </w:t>
      </w:r>
      <w:r w:rsidRPr="00521933">
        <w:rPr>
          <w:rStyle w:val="hps"/>
          <w:color w:val="333333"/>
          <w:lang w:val="lv-LV"/>
        </w:rPr>
        <w:t>finansējuma</w:t>
      </w:r>
      <w:r w:rsidRPr="00521933">
        <w:rPr>
          <w:color w:val="333333"/>
          <w:lang w:val="lv-LV"/>
        </w:rPr>
        <w:t xml:space="preserve"> </w:t>
      </w:r>
      <w:r w:rsidRPr="00521933">
        <w:rPr>
          <w:rStyle w:val="hps"/>
          <w:color w:val="333333"/>
          <w:lang w:val="lv-LV"/>
        </w:rPr>
        <w:t>trūkumus</w:t>
      </w:r>
      <w:r w:rsidRPr="00521933">
        <w:rPr>
          <w:color w:val="333333"/>
          <w:lang w:val="lv-LV"/>
        </w:rPr>
        <w:t xml:space="preserve"> </w:t>
      </w:r>
      <w:r w:rsidRPr="00521933">
        <w:rPr>
          <w:rStyle w:val="hps"/>
          <w:color w:val="333333"/>
          <w:lang w:val="lv-LV"/>
        </w:rPr>
        <w:t>veselības aprūpes nozarē vai</w:t>
      </w:r>
      <w:r w:rsidRPr="00521933">
        <w:rPr>
          <w:color w:val="333333"/>
          <w:lang w:val="lv-LV"/>
        </w:rPr>
        <w:t xml:space="preserve"> </w:t>
      </w:r>
      <w:r w:rsidRPr="00521933">
        <w:rPr>
          <w:rStyle w:val="hps"/>
          <w:color w:val="333333"/>
          <w:lang w:val="lv-LV"/>
        </w:rPr>
        <w:t>palielinātu</w:t>
      </w:r>
      <w:r w:rsidRPr="00521933">
        <w:rPr>
          <w:color w:val="333333"/>
          <w:lang w:val="lv-LV"/>
        </w:rPr>
        <w:t xml:space="preserve"> </w:t>
      </w:r>
      <w:r w:rsidRPr="00521933">
        <w:rPr>
          <w:rStyle w:val="hps"/>
          <w:color w:val="333333"/>
          <w:lang w:val="lv-LV"/>
        </w:rPr>
        <w:t>algas</w:t>
      </w:r>
      <w:r w:rsidRPr="00521933">
        <w:rPr>
          <w:color w:val="333333"/>
          <w:lang w:val="lv-LV"/>
        </w:rPr>
        <w:t xml:space="preserve"> </w:t>
      </w:r>
      <w:r w:rsidRPr="00521933">
        <w:rPr>
          <w:rStyle w:val="hps"/>
          <w:color w:val="333333"/>
          <w:lang w:val="lv-LV"/>
        </w:rPr>
        <w:t>un iegādātos nepieciešamos iepirkumus.</w:t>
      </w:r>
      <w:r w:rsidRPr="00521933">
        <w:rPr>
          <w:color w:val="333333"/>
          <w:lang w:val="lv-LV"/>
        </w:rPr>
        <w:t xml:space="preserve"> Līdzekļi iepirkumiem un ziedojumiem, kas ir krīzes novēršanas operāciju ietvaros vai kā daļa no demonstrējumu projektiem, joprojām tiks finansēta, izmantojot papildu mehānismus saskaņā ar PVO noteikumiem.</w:t>
      </w:r>
    </w:p>
    <w:p w:rsidR="00F706BE" w:rsidRPr="00521933" w:rsidRDefault="00F706BE" w:rsidP="00F706BE">
      <w:pPr>
        <w:autoSpaceDE w:val="0"/>
        <w:autoSpaceDN w:val="0"/>
        <w:adjustRightInd w:val="0"/>
        <w:jc w:val="both"/>
        <w:rPr>
          <w:lang w:val="lv-LV" w:eastAsia="en-GB"/>
        </w:rPr>
      </w:pPr>
    </w:p>
    <w:p w:rsidR="00F706BE" w:rsidRPr="00521933" w:rsidRDefault="00F706BE" w:rsidP="00F706BE">
      <w:pPr>
        <w:autoSpaceDE w:val="0"/>
        <w:autoSpaceDN w:val="0"/>
        <w:adjustRightInd w:val="0"/>
        <w:jc w:val="both"/>
        <w:rPr>
          <w:lang w:val="lv-LV" w:eastAsia="en-GB"/>
        </w:rPr>
      </w:pPr>
      <w:r w:rsidRPr="00521933">
        <w:rPr>
          <w:lang w:val="lv-LV" w:eastAsia="en-GB"/>
        </w:rPr>
        <w:t>PVO/EURO tehniskais un vadības personāls, ģeogrāfiski izkliedētie biroji (</w:t>
      </w:r>
      <w:r w:rsidRPr="00521933">
        <w:rPr>
          <w:i/>
          <w:lang w:val="lv-LV" w:eastAsia="en-GB"/>
        </w:rPr>
        <w:t>turpmāk tekstā – ĢIB))</w:t>
      </w:r>
      <w:r w:rsidRPr="00521933">
        <w:rPr>
          <w:lang w:val="lv-LV" w:eastAsia="en-GB"/>
        </w:rPr>
        <w:t xml:space="preserve"> un PVO pārstāvniecības valsts biroja ieguldījums tiešo rezultātu sasniegšanā nav </w:t>
      </w:r>
      <w:r w:rsidRPr="00521933">
        <w:rPr>
          <w:lang w:val="lv-LV" w:eastAsia="en-GB"/>
        </w:rPr>
        <w:lastRenderedPageBreak/>
        <w:t>atspoguļots norādītajā budžetā un līdz ar to rādītāji neatbilstoši demonstrē patieso atbalstu sadarbības valstīm. Līgumā  iekļautie līdzekļi ir PVO līdzekļi, kas asignēti  PVO/EURO sadarbībai ar valsti.</w:t>
      </w:r>
    </w:p>
    <w:p w:rsidR="00F706BE" w:rsidRPr="00521933" w:rsidRDefault="00F706BE" w:rsidP="00F706BE">
      <w:pPr>
        <w:autoSpaceDE w:val="0"/>
        <w:autoSpaceDN w:val="0"/>
        <w:adjustRightInd w:val="0"/>
        <w:jc w:val="both"/>
        <w:rPr>
          <w:lang w:val="lv-LV" w:eastAsia="en-GB"/>
        </w:rPr>
      </w:pPr>
    </w:p>
    <w:p w:rsidR="00F706BE" w:rsidRPr="00521933" w:rsidRDefault="00F706BE" w:rsidP="00F706BE">
      <w:pPr>
        <w:autoSpaceDE w:val="0"/>
        <w:autoSpaceDN w:val="0"/>
        <w:adjustRightInd w:val="0"/>
        <w:jc w:val="both"/>
        <w:rPr>
          <w:lang w:val="lv-LV" w:eastAsia="en-GB"/>
        </w:rPr>
      </w:pPr>
      <w:r w:rsidRPr="00521933">
        <w:rPr>
          <w:lang w:val="lv-LV" w:eastAsia="en-GB"/>
        </w:rPr>
        <w:t xml:space="preserve">Tādējādi PVO ieguldījuma vērtība pārsniedz norādītās naudas summas šajā dokumentā, jo tā ietver tehnisko palīdzību un citus resursus no PVO Galvenās Mītnes </w:t>
      </w:r>
      <w:r w:rsidRPr="00521933">
        <w:rPr>
          <w:i/>
          <w:lang w:val="lv-LV" w:eastAsia="en-GB"/>
        </w:rPr>
        <w:t>(turpmāk tekstā - GMHQ)</w:t>
      </w:r>
      <w:r w:rsidRPr="00521933">
        <w:rPr>
          <w:lang w:val="lv-LV" w:eastAsia="en-GB"/>
        </w:rPr>
        <w:t xml:space="preserve">, PVO/EURO , ĢIB  un pārstāvniecības birojiem valstīs. </w:t>
      </w:r>
    </w:p>
    <w:p w:rsidR="00F706BE" w:rsidRPr="00521933" w:rsidRDefault="00F706BE" w:rsidP="00F706BE">
      <w:pPr>
        <w:autoSpaceDE w:val="0"/>
        <w:autoSpaceDN w:val="0"/>
        <w:adjustRightInd w:val="0"/>
        <w:jc w:val="both"/>
        <w:rPr>
          <w:lang w:val="lv-LV" w:eastAsia="en-GB"/>
        </w:rPr>
      </w:pPr>
    </w:p>
    <w:p w:rsidR="00F706BE" w:rsidRPr="00521933" w:rsidRDefault="00F706BE" w:rsidP="00F706BE">
      <w:pPr>
        <w:autoSpaceDE w:val="0"/>
        <w:autoSpaceDN w:val="0"/>
        <w:adjustRightInd w:val="0"/>
        <w:jc w:val="both"/>
        <w:rPr>
          <w:lang w:val="lv-LV" w:eastAsia="en-GB"/>
        </w:rPr>
      </w:pPr>
      <w:r w:rsidRPr="00521933">
        <w:rPr>
          <w:lang w:val="lv-LV" w:eastAsia="en-GB"/>
        </w:rPr>
        <w:t xml:space="preserve">Uzņēmuma resursus (aprēķinātās iemaksas, </w:t>
      </w:r>
      <w:r w:rsidRPr="00521933">
        <w:rPr>
          <w:lang w:val="lv-LV"/>
        </w:rPr>
        <w:t>CVCA</w:t>
      </w:r>
      <w:r w:rsidRPr="00521933">
        <w:rPr>
          <w:rStyle w:val="FootnoteReference"/>
          <w:lang w:val="lv-LV"/>
        </w:rPr>
        <w:footnoteReference w:id="1"/>
      </w:r>
      <w:r w:rsidRPr="00521933">
        <w:rPr>
          <w:lang w:val="lv-LV" w:eastAsia="en-GB"/>
        </w:rPr>
        <w:t>, un PVO/EURO elastīgie resursi) tiks galvenokārt izmantoti, lai pilnībā sasniegtu reģionālās galvenās prioritātes rezultātus (turpmāk tekstā – GPR)), kā aprakstīts dokumentā "Programmas budžets kā stratēģisks līdzeklis atbildībai "</w:t>
      </w:r>
    </w:p>
    <w:p w:rsidR="00F706BE" w:rsidRPr="00521933" w:rsidRDefault="00F706BE" w:rsidP="00F706BE">
      <w:pPr>
        <w:autoSpaceDE w:val="0"/>
        <w:autoSpaceDN w:val="0"/>
        <w:adjustRightInd w:val="0"/>
        <w:jc w:val="both"/>
        <w:rPr>
          <w:lang w:val="lv-LV" w:eastAsia="en-GB"/>
        </w:rPr>
      </w:pPr>
      <w:r w:rsidRPr="00521933">
        <w:rPr>
          <w:lang w:val="lv-LV" w:eastAsia="en-GB"/>
        </w:rPr>
        <w:t>(RC61/Inf.Doc/10).</w:t>
      </w:r>
    </w:p>
    <w:p w:rsidR="00F706BE" w:rsidRPr="00521933" w:rsidRDefault="00F706BE" w:rsidP="00F706BE">
      <w:pPr>
        <w:autoSpaceDE w:val="0"/>
        <w:autoSpaceDN w:val="0"/>
        <w:adjustRightInd w:val="0"/>
        <w:jc w:val="both"/>
        <w:rPr>
          <w:lang w:val="lv-LV" w:eastAsia="en-GB"/>
        </w:rPr>
      </w:pPr>
    </w:p>
    <w:p w:rsidR="00F706BE" w:rsidRPr="00521933" w:rsidRDefault="00F706BE" w:rsidP="00F706BE">
      <w:pPr>
        <w:autoSpaceDE w:val="0"/>
        <w:autoSpaceDN w:val="0"/>
        <w:adjustRightInd w:val="0"/>
        <w:jc w:val="both"/>
        <w:rPr>
          <w:lang w:val="lv-LV" w:eastAsia="en-GB"/>
        </w:rPr>
      </w:pPr>
      <w:r w:rsidRPr="00521933">
        <w:rPr>
          <w:color w:val="333333"/>
          <w:lang w:val="lv-LV"/>
        </w:rPr>
        <w:t xml:space="preserve">Veselības ministrijas </w:t>
      </w:r>
      <w:r w:rsidRPr="00521933">
        <w:rPr>
          <w:rStyle w:val="hps"/>
          <w:color w:val="333333"/>
          <w:lang w:val="lv-LV"/>
        </w:rPr>
        <w:t>ieguldījuma vērtība</w:t>
      </w:r>
      <w:r w:rsidRPr="00521933">
        <w:rPr>
          <w:color w:val="333333"/>
          <w:lang w:val="lv-LV"/>
        </w:rPr>
        <w:t xml:space="preserve"> </w:t>
      </w:r>
      <w:r w:rsidRPr="00521933">
        <w:rPr>
          <w:rStyle w:val="hps"/>
          <w:color w:val="333333"/>
          <w:lang w:val="lv-LV"/>
        </w:rPr>
        <w:t>-</w:t>
      </w:r>
      <w:r w:rsidRPr="00521933">
        <w:rPr>
          <w:color w:val="333333"/>
          <w:lang w:val="lv-LV"/>
        </w:rPr>
        <w:t xml:space="preserve"> </w:t>
      </w:r>
      <w:r w:rsidRPr="00521933">
        <w:rPr>
          <w:rStyle w:val="hps"/>
          <w:color w:val="333333"/>
          <w:lang w:val="lv-LV"/>
        </w:rPr>
        <w:t>izņemot tā, kas</w:t>
      </w:r>
      <w:r w:rsidRPr="00521933">
        <w:rPr>
          <w:color w:val="333333"/>
          <w:lang w:val="lv-LV"/>
        </w:rPr>
        <w:t xml:space="preserve"> </w:t>
      </w:r>
      <w:r w:rsidRPr="00521933">
        <w:rPr>
          <w:rStyle w:val="hps"/>
          <w:color w:val="333333"/>
          <w:lang w:val="lv-LV"/>
        </w:rPr>
        <w:t>varētu tikt novirzīta</w:t>
      </w:r>
      <w:r w:rsidRPr="00521933">
        <w:rPr>
          <w:color w:val="333333"/>
          <w:lang w:val="lv-LV"/>
        </w:rPr>
        <w:t xml:space="preserve"> caur </w:t>
      </w:r>
      <w:r w:rsidRPr="00521933">
        <w:rPr>
          <w:rStyle w:val="hps"/>
          <w:color w:val="333333"/>
          <w:lang w:val="lv-LV"/>
        </w:rPr>
        <w:t>PVO</w:t>
      </w:r>
      <w:r w:rsidRPr="00521933">
        <w:rPr>
          <w:color w:val="333333"/>
          <w:lang w:val="lv-LV"/>
        </w:rPr>
        <w:t xml:space="preserve"> S</w:t>
      </w:r>
      <w:r w:rsidRPr="00521933">
        <w:rPr>
          <w:rStyle w:val="hps"/>
          <w:color w:val="333333"/>
          <w:lang w:val="lv-LV"/>
        </w:rPr>
        <w:t>ekretariātu -</w:t>
      </w:r>
      <w:r w:rsidRPr="00521933">
        <w:rPr>
          <w:color w:val="333333"/>
          <w:lang w:val="lv-LV"/>
        </w:rPr>
        <w:t xml:space="preserve"> </w:t>
      </w:r>
      <w:r w:rsidRPr="00521933">
        <w:rPr>
          <w:rStyle w:val="hps"/>
          <w:color w:val="333333"/>
          <w:lang w:val="lv-LV"/>
        </w:rPr>
        <w:t>nav</w:t>
      </w:r>
      <w:r w:rsidRPr="00521933">
        <w:rPr>
          <w:color w:val="333333"/>
          <w:lang w:val="lv-LV"/>
        </w:rPr>
        <w:t xml:space="preserve"> </w:t>
      </w:r>
      <w:r w:rsidRPr="00521933">
        <w:rPr>
          <w:rStyle w:val="hps"/>
          <w:color w:val="333333"/>
          <w:lang w:val="lv-LV"/>
        </w:rPr>
        <w:t>novērtēta</w:t>
      </w:r>
      <w:r w:rsidRPr="00521933">
        <w:rPr>
          <w:color w:val="333333"/>
          <w:lang w:val="lv-LV"/>
        </w:rPr>
        <w:t xml:space="preserve"> </w:t>
      </w:r>
      <w:r w:rsidRPr="00521933">
        <w:rPr>
          <w:rStyle w:val="hps"/>
          <w:color w:val="333333"/>
          <w:lang w:val="lv-LV"/>
        </w:rPr>
        <w:t>Līgumā.</w:t>
      </w:r>
    </w:p>
    <w:p w:rsidR="00F706BE" w:rsidRPr="00521933" w:rsidRDefault="00F706BE" w:rsidP="00F706BE">
      <w:pPr>
        <w:autoSpaceDE w:val="0"/>
        <w:autoSpaceDN w:val="0"/>
        <w:adjustRightInd w:val="0"/>
        <w:jc w:val="both"/>
        <w:rPr>
          <w:lang w:val="lv-LV" w:eastAsia="en-GB"/>
        </w:rPr>
      </w:pPr>
      <w:r w:rsidRPr="00521933">
        <w:rPr>
          <w:lang w:val="lv-LV" w:eastAsia="en-GB"/>
        </w:rPr>
        <w:t xml:space="preserve">Ir jāpiezīmē, ka šis Līgums ir atvērts turpmākai attīstībai un ieguldījumiem no citiem avotiem, lai papildinātu esošos prioritāros mērķus un/vai ieviestu aktivitātes, kas nav tikušas iekļautas šajā stadijā.  </w:t>
      </w:r>
    </w:p>
    <w:p w:rsidR="00F706BE" w:rsidRPr="00521933" w:rsidRDefault="00F706BE" w:rsidP="00F706BE">
      <w:pPr>
        <w:autoSpaceDE w:val="0"/>
        <w:autoSpaceDN w:val="0"/>
        <w:adjustRightInd w:val="0"/>
        <w:jc w:val="both"/>
        <w:rPr>
          <w:lang w:val="lv-LV" w:eastAsia="en-GB"/>
        </w:rPr>
      </w:pPr>
    </w:p>
    <w:p w:rsidR="00F706BE" w:rsidRPr="00521933" w:rsidRDefault="00F706BE" w:rsidP="00F706BE">
      <w:pPr>
        <w:autoSpaceDE w:val="0"/>
        <w:autoSpaceDN w:val="0"/>
        <w:adjustRightInd w:val="0"/>
        <w:jc w:val="both"/>
        <w:rPr>
          <w:lang w:val="lv-LV" w:eastAsia="en-GB"/>
        </w:rPr>
      </w:pPr>
      <w:r w:rsidRPr="00521933">
        <w:rPr>
          <w:lang w:val="lv-LV" w:eastAsia="en-GB"/>
        </w:rPr>
        <w:t xml:space="preserve">It īpaši PVO/EURO sekmēs sadarbību starp PVO GM, lai padarītu efektīvāku PVO sadarbību ar valsti </w:t>
      </w:r>
      <w:r w:rsidRPr="00521933">
        <w:rPr>
          <w:i/>
          <w:lang w:val="lv-LV" w:eastAsia="en-GB"/>
        </w:rPr>
        <w:t>“Viena PVO”</w:t>
      </w:r>
      <w:r w:rsidRPr="00521933">
        <w:rPr>
          <w:lang w:val="lv-LV" w:eastAsia="en-GB"/>
        </w:rPr>
        <w:t xml:space="preserve"> principa garā. </w:t>
      </w:r>
    </w:p>
    <w:p w:rsidR="00F706BE" w:rsidRPr="00521933" w:rsidRDefault="00F706BE" w:rsidP="00F706BE">
      <w:pPr>
        <w:autoSpaceDE w:val="0"/>
        <w:autoSpaceDN w:val="0"/>
        <w:adjustRightInd w:val="0"/>
        <w:jc w:val="both"/>
        <w:rPr>
          <w:lang w:val="lv-LV" w:eastAsia="en-GB"/>
        </w:rPr>
      </w:pPr>
    </w:p>
    <w:bookmarkEnd w:id="4"/>
    <w:bookmarkEnd w:id="5"/>
    <w:bookmarkEnd w:id="6"/>
    <w:bookmarkEnd w:id="7"/>
    <w:bookmarkEnd w:id="8"/>
    <w:bookmarkEnd w:id="9"/>
    <w:p w:rsidR="00F706BE" w:rsidRPr="00521933" w:rsidRDefault="00F706BE" w:rsidP="00F706BE">
      <w:pPr>
        <w:keepNext/>
        <w:numPr>
          <w:ilvl w:val="0"/>
          <w:numId w:val="46"/>
        </w:numPr>
        <w:pBdr>
          <w:top w:val="single" w:sz="4" w:space="1" w:color="auto"/>
          <w:left w:val="single" w:sz="4" w:space="4" w:color="auto"/>
          <w:bottom w:val="single" w:sz="4" w:space="1" w:color="auto"/>
          <w:right w:val="single" w:sz="4" w:space="4" w:color="auto"/>
        </w:pBdr>
        <w:autoSpaceDE w:val="0"/>
        <w:autoSpaceDN w:val="0"/>
        <w:adjustRightInd w:val="0"/>
        <w:outlineLvl w:val="1"/>
        <w:rPr>
          <w:b/>
          <w:bCs/>
          <w:color w:val="0000FF"/>
          <w:lang w:val="lv-LV"/>
        </w:rPr>
      </w:pPr>
      <w:r w:rsidRPr="00521933">
        <w:rPr>
          <w:b/>
          <w:bCs/>
          <w:color w:val="0000FF"/>
          <w:lang w:val="lv-LV"/>
        </w:rPr>
        <w:t>DAĻA. VIDĒJA TERMIŅA SADARBĪBAS PRIORITĀTES 2008.-2013. GADAM UN SADARBĪBAS PRIORITĀTES 2012.-2013.GADAM</w:t>
      </w:r>
    </w:p>
    <w:p w:rsidR="00F706BE" w:rsidRPr="00521933" w:rsidRDefault="00F706BE" w:rsidP="00F706BE">
      <w:pPr>
        <w:tabs>
          <w:tab w:val="left" w:pos="567"/>
          <w:tab w:val="left" w:pos="4820"/>
        </w:tabs>
        <w:ind w:right="5"/>
        <w:jc w:val="both"/>
        <w:rPr>
          <w:b/>
          <w:bCs/>
          <w:lang w:val="lv-LV" w:eastAsia="en-GB"/>
        </w:rPr>
      </w:pPr>
    </w:p>
    <w:p w:rsidR="00F706BE" w:rsidRPr="00521933" w:rsidRDefault="00F706BE" w:rsidP="00F706BE">
      <w:pPr>
        <w:tabs>
          <w:tab w:val="left" w:pos="567"/>
          <w:tab w:val="left" w:pos="4820"/>
        </w:tabs>
        <w:ind w:right="5"/>
        <w:jc w:val="both"/>
        <w:rPr>
          <w:lang w:val="lv-LV"/>
        </w:rPr>
      </w:pPr>
    </w:p>
    <w:p w:rsidR="00F706BE" w:rsidRPr="00521933" w:rsidRDefault="00F706BE" w:rsidP="00F706BE">
      <w:pPr>
        <w:autoSpaceDE w:val="0"/>
        <w:autoSpaceDN w:val="0"/>
        <w:adjustRightInd w:val="0"/>
        <w:jc w:val="both"/>
        <w:rPr>
          <w:lang w:val="lv-LV" w:eastAsia="de-DE"/>
        </w:rPr>
      </w:pPr>
      <w:r w:rsidRPr="00521933">
        <w:rPr>
          <w:lang w:val="lv-LV" w:eastAsia="de-DE"/>
        </w:rPr>
        <w:t xml:space="preserve">Sekojošas sadarbības prioritātes izvirzītas 2008.-2013.gadam,  balstoties uz esošajiem sabiedrības veselības izaicinājumiem un nacionālajām pūlēm veselības sistēmas darbības uzlabošanā. </w:t>
      </w:r>
    </w:p>
    <w:p w:rsidR="00F706BE" w:rsidRPr="00521933" w:rsidRDefault="00F706BE" w:rsidP="00F706BE">
      <w:pPr>
        <w:autoSpaceDE w:val="0"/>
        <w:autoSpaceDN w:val="0"/>
        <w:adjustRightInd w:val="0"/>
        <w:spacing w:before="120"/>
        <w:jc w:val="both"/>
        <w:rPr>
          <w:b/>
          <w:iCs/>
          <w:lang w:val="lv-LV" w:eastAsia="en-GB"/>
        </w:rPr>
      </w:pPr>
      <w:r w:rsidRPr="00521933">
        <w:rPr>
          <w:b/>
          <w:lang w:val="lv-LV"/>
        </w:rPr>
        <w:t xml:space="preserve">Prioritāte 1: </w:t>
      </w:r>
      <w:r w:rsidRPr="00521933">
        <w:rPr>
          <w:b/>
          <w:iCs/>
          <w:lang w:val="lv-LV" w:eastAsia="en-GB"/>
        </w:rPr>
        <w:t xml:space="preserve">Veselības veicināšana ar uzsvaru uz tabakas, alkohola un narkotisko vielu kontroli; vēža profilaksi; garīgo veselību; veselīga uztura politikas veicināšanu un vēršanos pret fizisko pasivitāti, neveselīgu uzturu un nedrošu seksu.    </w:t>
      </w:r>
    </w:p>
    <w:p w:rsidR="00F706BE" w:rsidRPr="00521933" w:rsidRDefault="00F706BE" w:rsidP="00F706BE">
      <w:pPr>
        <w:tabs>
          <w:tab w:val="left" w:pos="567"/>
          <w:tab w:val="left" w:pos="4820"/>
        </w:tabs>
        <w:ind w:right="5"/>
        <w:jc w:val="both"/>
        <w:rPr>
          <w:lang w:val="lv-LV"/>
        </w:rPr>
      </w:pPr>
    </w:p>
    <w:p w:rsidR="00F706BE" w:rsidRPr="00521933" w:rsidRDefault="00F706BE" w:rsidP="00F706BE">
      <w:pPr>
        <w:pStyle w:val="BodyText"/>
        <w:numPr>
          <w:ilvl w:val="0"/>
          <w:numId w:val="1"/>
        </w:numPr>
        <w:spacing w:after="40"/>
        <w:rPr>
          <w:lang w:val="lv-LV"/>
        </w:rPr>
      </w:pPr>
      <w:r w:rsidRPr="00521933">
        <w:rPr>
          <w:i/>
          <w:lang w:val="lv-LV"/>
        </w:rPr>
        <w:t>Mērķis 1:</w:t>
      </w:r>
      <w:r w:rsidRPr="00521933">
        <w:rPr>
          <w:lang w:val="lv-LV"/>
        </w:rPr>
        <w:t xml:space="preserve"> Izveidot un stiprināt nacionālo politiku un kapacitāti uzsverot riska faktorus ieskaitot politiku nedroša seksa novēršanai un nacionālās vēža profilakses programmas izveidei un ieviešanai.</w:t>
      </w:r>
    </w:p>
    <w:p w:rsidR="00F706BE" w:rsidRPr="00521933" w:rsidRDefault="00F706BE" w:rsidP="00F706BE">
      <w:pPr>
        <w:numPr>
          <w:ilvl w:val="0"/>
          <w:numId w:val="1"/>
        </w:numPr>
        <w:tabs>
          <w:tab w:val="num" w:pos="1080"/>
        </w:tabs>
        <w:jc w:val="both"/>
        <w:rPr>
          <w:lang w:val="lv-LV"/>
        </w:rPr>
      </w:pPr>
      <w:r w:rsidRPr="00521933">
        <w:rPr>
          <w:i/>
          <w:lang w:val="lv-LV"/>
        </w:rPr>
        <w:t>Mērķis 2:</w:t>
      </w:r>
      <w:r w:rsidRPr="00521933">
        <w:rPr>
          <w:lang w:val="lv-LV"/>
        </w:rPr>
        <w:t xml:space="preserve"> Stiprināt riska faktoru uzraudzību.</w:t>
      </w:r>
    </w:p>
    <w:p w:rsidR="00F706BE" w:rsidRPr="00521933" w:rsidRDefault="00F706BE" w:rsidP="00F706BE">
      <w:pPr>
        <w:pStyle w:val="BodyText"/>
        <w:numPr>
          <w:ilvl w:val="0"/>
          <w:numId w:val="1"/>
        </w:numPr>
        <w:spacing w:after="40"/>
        <w:rPr>
          <w:lang w:val="lv-LV"/>
        </w:rPr>
      </w:pPr>
      <w:r w:rsidRPr="00521933">
        <w:rPr>
          <w:i/>
          <w:lang w:val="lv-LV"/>
        </w:rPr>
        <w:t>Mērķis 3:</w:t>
      </w:r>
      <w:r w:rsidRPr="00521933">
        <w:rPr>
          <w:lang w:val="lv-LV"/>
        </w:rPr>
        <w:t xml:space="preserve"> Ieviest nacionālo alkohola programmu.</w:t>
      </w:r>
    </w:p>
    <w:p w:rsidR="00F706BE" w:rsidRPr="00521933" w:rsidRDefault="00F706BE" w:rsidP="00F706BE">
      <w:pPr>
        <w:pStyle w:val="BodyText"/>
        <w:numPr>
          <w:ilvl w:val="0"/>
          <w:numId w:val="1"/>
        </w:numPr>
        <w:spacing w:after="40"/>
        <w:rPr>
          <w:lang w:val="lv-LV"/>
        </w:rPr>
      </w:pPr>
      <w:r w:rsidRPr="00521933">
        <w:rPr>
          <w:i/>
          <w:lang w:val="lv-LV"/>
        </w:rPr>
        <w:t xml:space="preserve">Mērķis 4: </w:t>
      </w:r>
      <w:r w:rsidRPr="00521933">
        <w:rPr>
          <w:lang w:val="lv-LV"/>
        </w:rPr>
        <w:t>Veicināt veselīga uztura politiku.</w:t>
      </w:r>
    </w:p>
    <w:p w:rsidR="00F706BE" w:rsidRPr="00521933" w:rsidRDefault="00F706BE" w:rsidP="00F706BE">
      <w:pPr>
        <w:pStyle w:val="BodyText"/>
        <w:numPr>
          <w:ilvl w:val="0"/>
          <w:numId w:val="1"/>
        </w:numPr>
        <w:spacing w:after="40"/>
        <w:rPr>
          <w:lang w:val="lv-LV"/>
        </w:rPr>
      </w:pPr>
      <w:r w:rsidRPr="00521933">
        <w:rPr>
          <w:i/>
          <w:lang w:val="lv-LV"/>
        </w:rPr>
        <w:t>Mērķis 5</w:t>
      </w:r>
      <w:r w:rsidRPr="00521933">
        <w:rPr>
          <w:lang w:val="lv-LV"/>
        </w:rPr>
        <w:t xml:space="preserve">: Stiprināt kapacitāti garīgās veselības problēmu risināšanai. </w:t>
      </w:r>
    </w:p>
    <w:p w:rsidR="00F706BE" w:rsidRPr="00521933" w:rsidRDefault="00F706BE" w:rsidP="00F706BE">
      <w:pPr>
        <w:pStyle w:val="BodyText"/>
        <w:spacing w:after="40"/>
        <w:ind w:left="360"/>
        <w:jc w:val="both"/>
        <w:rPr>
          <w:b/>
          <w:smallCaps/>
          <w:lang w:val="lv-LV"/>
        </w:rPr>
      </w:pPr>
    </w:p>
    <w:p w:rsidR="00F706BE" w:rsidRPr="00521933" w:rsidRDefault="00F706BE" w:rsidP="00F706BE">
      <w:pPr>
        <w:autoSpaceDE w:val="0"/>
        <w:autoSpaceDN w:val="0"/>
        <w:adjustRightInd w:val="0"/>
        <w:spacing w:before="120"/>
        <w:rPr>
          <w:b/>
          <w:iCs/>
          <w:lang w:val="lv-LV" w:eastAsia="en-GB"/>
        </w:rPr>
      </w:pPr>
      <w:r w:rsidRPr="00521933">
        <w:rPr>
          <w:b/>
          <w:iCs/>
          <w:smallCaps/>
          <w:lang w:val="lv-LV"/>
        </w:rPr>
        <w:t>P</w:t>
      </w:r>
      <w:r w:rsidRPr="00521933">
        <w:rPr>
          <w:b/>
          <w:iCs/>
          <w:lang w:val="lv-LV"/>
        </w:rPr>
        <w:t xml:space="preserve">rioritāte </w:t>
      </w:r>
      <w:r w:rsidRPr="00521933">
        <w:rPr>
          <w:b/>
          <w:smallCaps/>
          <w:lang w:val="lv-LV"/>
        </w:rPr>
        <w:t xml:space="preserve">2:  </w:t>
      </w:r>
      <w:r w:rsidRPr="00521933">
        <w:rPr>
          <w:b/>
          <w:iCs/>
          <w:lang w:val="lv-LV" w:eastAsia="en-GB"/>
        </w:rPr>
        <w:t xml:space="preserve">Veselības sistēmas stiprināšana, jo īpaši attiecībā uz veselības aprūpes pakalpojumiem, primāro veselības aprūpi, veselības finansēšanu, cilvēkresursiem veselībā, un atsauci par vardarbību ģimenē. </w:t>
      </w:r>
    </w:p>
    <w:p w:rsidR="00F706BE" w:rsidRPr="00521933" w:rsidRDefault="00F706BE" w:rsidP="00F706BE">
      <w:pPr>
        <w:tabs>
          <w:tab w:val="num" w:pos="1080"/>
        </w:tabs>
        <w:ind w:left="360"/>
        <w:jc w:val="both"/>
        <w:rPr>
          <w:i/>
          <w:lang w:val="lv-LV"/>
        </w:rPr>
      </w:pPr>
    </w:p>
    <w:p w:rsidR="00F706BE" w:rsidRPr="00521933" w:rsidRDefault="00F706BE" w:rsidP="00F706BE">
      <w:pPr>
        <w:pStyle w:val="BodyText"/>
        <w:numPr>
          <w:ilvl w:val="0"/>
          <w:numId w:val="1"/>
        </w:numPr>
        <w:spacing w:after="0"/>
        <w:rPr>
          <w:lang w:val="lv-LV"/>
        </w:rPr>
      </w:pPr>
      <w:r w:rsidRPr="00521933">
        <w:rPr>
          <w:i/>
          <w:lang w:val="lv-LV"/>
        </w:rPr>
        <w:lastRenderedPageBreak/>
        <w:t>Mērķis 1:</w:t>
      </w:r>
      <w:r w:rsidRPr="00521933">
        <w:rPr>
          <w:lang w:val="lv-LV"/>
        </w:rPr>
        <w:t xml:space="preserve"> Stiprināt visaptverošus sabiedrības veselības pakalpojumus. </w:t>
      </w:r>
    </w:p>
    <w:p w:rsidR="00F706BE" w:rsidRPr="00521933" w:rsidRDefault="00F706BE" w:rsidP="00F706BE">
      <w:pPr>
        <w:pStyle w:val="BodyText"/>
        <w:numPr>
          <w:ilvl w:val="0"/>
          <w:numId w:val="1"/>
        </w:numPr>
        <w:spacing w:after="0"/>
        <w:rPr>
          <w:lang w:val="lv-LV"/>
        </w:rPr>
      </w:pPr>
      <w:r w:rsidRPr="00521933">
        <w:rPr>
          <w:i/>
          <w:lang w:val="lv-LV"/>
        </w:rPr>
        <w:t xml:space="preserve">Mērķis 2: </w:t>
      </w:r>
      <w:r w:rsidRPr="00521933">
        <w:rPr>
          <w:lang w:val="lv-LV"/>
        </w:rPr>
        <w:t>Uzlabot veselības finansēšanas sistēmas darbību.</w:t>
      </w:r>
    </w:p>
    <w:p w:rsidR="00F706BE" w:rsidRPr="00521933" w:rsidRDefault="00F706BE" w:rsidP="00F706BE">
      <w:pPr>
        <w:pStyle w:val="BodyText"/>
        <w:numPr>
          <w:ilvl w:val="0"/>
          <w:numId w:val="1"/>
        </w:numPr>
        <w:spacing w:after="0"/>
        <w:rPr>
          <w:lang w:val="lv-LV"/>
        </w:rPr>
      </w:pPr>
      <w:r w:rsidRPr="00521933">
        <w:rPr>
          <w:i/>
          <w:lang w:val="lv-LV"/>
        </w:rPr>
        <w:t xml:space="preserve">Mērķis 3: </w:t>
      </w:r>
      <w:r w:rsidRPr="00521933">
        <w:rPr>
          <w:lang w:val="lv-LV"/>
        </w:rPr>
        <w:t xml:space="preserve">Analizēt un stiprināt neatliekamās medicīnas pakalpojumus. </w:t>
      </w:r>
    </w:p>
    <w:p w:rsidR="00F706BE" w:rsidRPr="00521933" w:rsidRDefault="00F706BE" w:rsidP="00F706BE">
      <w:pPr>
        <w:pStyle w:val="BodyText"/>
        <w:numPr>
          <w:ilvl w:val="0"/>
          <w:numId w:val="1"/>
        </w:numPr>
        <w:spacing w:after="0"/>
        <w:rPr>
          <w:lang w:val="lv-LV"/>
        </w:rPr>
      </w:pPr>
      <w:r w:rsidRPr="00521933">
        <w:rPr>
          <w:i/>
          <w:lang w:val="lv-LV"/>
        </w:rPr>
        <w:t xml:space="preserve">Mērķis 4: </w:t>
      </w:r>
      <w:r w:rsidRPr="00521933">
        <w:rPr>
          <w:lang w:val="lv-LV"/>
        </w:rPr>
        <w:t>Virzīt  veselības aprūpes darbaspēka kapacitātes stiprināšanu.</w:t>
      </w:r>
    </w:p>
    <w:p w:rsidR="00F706BE" w:rsidRPr="00521933" w:rsidRDefault="00F706BE" w:rsidP="00F706BE">
      <w:pPr>
        <w:pStyle w:val="BodyText"/>
        <w:numPr>
          <w:ilvl w:val="0"/>
          <w:numId w:val="1"/>
        </w:numPr>
        <w:spacing w:after="0"/>
        <w:rPr>
          <w:lang w:val="lv-LV"/>
        </w:rPr>
      </w:pPr>
      <w:r w:rsidRPr="00521933">
        <w:rPr>
          <w:i/>
          <w:lang w:val="lv-LV"/>
        </w:rPr>
        <w:t xml:space="preserve">Mērķis 5: </w:t>
      </w:r>
      <w:r w:rsidR="00DA2DD3">
        <w:rPr>
          <w:lang w:val="lv-LV"/>
        </w:rPr>
        <w:t>A</w:t>
      </w:r>
      <w:r w:rsidRPr="00521933">
        <w:rPr>
          <w:lang w:val="lv-LV"/>
        </w:rPr>
        <w:t>ttīstīt kvalitātes indikatorus  primārajā veselības aprūpē.</w:t>
      </w:r>
    </w:p>
    <w:p w:rsidR="00F706BE" w:rsidRPr="00521933" w:rsidRDefault="00F706BE" w:rsidP="00F706BE">
      <w:pPr>
        <w:numPr>
          <w:ilvl w:val="0"/>
          <w:numId w:val="1"/>
        </w:numPr>
        <w:tabs>
          <w:tab w:val="num" w:pos="1080"/>
        </w:tabs>
        <w:jc w:val="both"/>
        <w:rPr>
          <w:i/>
          <w:lang w:val="lv-LV"/>
        </w:rPr>
      </w:pPr>
      <w:r w:rsidRPr="00521933">
        <w:rPr>
          <w:i/>
          <w:lang w:val="lv-LV"/>
        </w:rPr>
        <w:t xml:space="preserve">Mērķis 6: </w:t>
      </w:r>
      <w:r w:rsidRPr="00521933">
        <w:rPr>
          <w:lang w:val="lv-LV"/>
        </w:rPr>
        <w:t>Uzlabot veselības sistēmas kapacitāti vardarbības ģimenē novēršanai.</w:t>
      </w:r>
    </w:p>
    <w:p w:rsidR="00F706BE" w:rsidRPr="00521933" w:rsidRDefault="00F706BE" w:rsidP="00F706BE">
      <w:pPr>
        <w:tabs>
          <w:tab w:val="left" w:pos="567"/>
          <w:tab w:val="left" w:pos="4820"/>
        </w:tabs>
        <w:ind w:right="5"/>
        <w:jc w:val="both"/>
        <w:rPr>
          <w:lang w:val="lv-LV"/>
        </w:rPr>
      </w:pPr>
    </w:p>
    <w:p w:rsidR="00F706BE" w:rsidRPr="00521933" w:rsidRDefault="00F706BE" w:rsidP="00F706BE">
      <w:pPr>
        <w:tabs>
          <w:tab w:val="left" w:pos="567"/>
          <w:tab w:val="left" w:pos="4820"/>
        </w:tabs>
        <w:ind w:right="5"/>
        <w:jc w:val="both"/>
        <w:rPr>
          <w:i/>
          <w:lang w:val="lv-LV"/>
        </w:rPr>
      </w:pPr>
      <w:r w:rsidRPr="00521933">
        <w:rPr>
          <w:lang w:val="lv-LV"/>
        </w:rPr>
        <w:t xml:space="preserve">Apstiprinātās vidēja termiņa sadarbības prioritātes 2008.-2013. gadam tika ņemtas kā sākuma punkts Līgumam, vērā tika ņemta arī jaunā PVO/EURO vīzija, kas tika apstiprināta sešdesmitās Reģionālās Komitejas sesijas laikā – Labāku veselību Eiropā, kā arī koncepcijas, principi un pamatvērtības, kuri ir pamats jaunajai sadarbības stratēģijai un Eiropas Veselība politikai - </w:t>
      </w:r>
      <w:r w:rsidRPr="00521933">
        <w:rPr>
          <w:i/>
          <w:lang w:val="lv-LV"/>
        </w:rPr>
        <w:t>Veselība 2020</w:t>
      </w:r>
      <w:r w:rsidRPr="00521933">
        <w:rPr>
          <w:lang w:val="lv-LV"/>
        </w:rPr>
        <w:t xml:space="preserve">. Līguma mērķis ir ietekmēt veselību, kas nozīmē, </w:t>
      </w:r>
      <w:r w:rsidRPr="00521933">
        <w:rPr>
          <w:i/>
          <w:lang w:val="lv-LV"/>
        </w:rPr>
        <w:t>palielināt veselības līmeni un samazināt nevienlīdzīgu veselības iespēju sadalījumu iedzīvotājiem.</w:t>
      </w:r>
    </w:p>
    <w:p w:rsidR="00F706BE" w:rsidRPr="00521933" w:rsidRDefault="00F706BE" w:rsidP="00F706BE">
      <w:pPr>
        <w:autoSpaceDE w:val="0"/>
        <w:autoSpaceDN w:val="0"/>
        <w:adjustRightInd w:val="0"/>
        <w:jc w:val="both"/>
        <w:rPr>
          <w:lang w:val="lv-LV" w:eastAsia="de-DE"/>
        </w:rPr>
      </w:pPr>
    </w:p>
    <w:p w:rsidR="00F706BE" w:rsidRPr="00521933" w:rsidRDefault="00F706BE" w:rsidP="00F706BE">
      <w:pPr>
        <w:autoSpaceDE w:val="0"/>
        <w:autoSpaceDN w:val="0"/>
        <w:adjustRightInd w:val="0"/>
        <w:jc w:val="both"/>
        <w:rPr>
          <w:lang w:val="lv-LV" w:eastAsia="de-DE"/>
        </w:rPr>
      </w:pPr>
      <w:r w:rsidRPr="00521933">
        <w:rPr>
          <w:lang w:val="lv-LV" w:eastAsia="de-DE"/>
        </w:rPr>
        <w:t>Apstiprinātās vidējā termiņa prioritātes veicina sadarbības stratēģisko virzību un kalpo par pamatu sadarbībai, liekot uzsvaru uz izvēlēto prioritāšu gala rezultātiem (ko ir uzņēmušās dalībvalstis) un uzskata par īstenojamiem un nepieciešamiem, lai uzlabotu veselības stāvokli, un kuros PVO var dot unikālu ieguldījumu.</w:t>
      </w:r>
    </w:p>
    <w:p w:rsidR="00F706BE" w:rsidRPr="00521933" w:rsidRDefault="00F706BE" w:rsidP="00F706BE">
      <w:pPr>
        <w:autoSpaceDE w:val="0"/>
        <w:autoSpaceDN w:val="0"/>
        <w:adjustRightInd w:val="0"/>
        <w:jc w:val="both"/>
        <w:rPr>
          <w:lang w:val="lv-LV" w:eastAsia="de-DE"/>
        </w:rPr>
      </w:pPr>
    </w:p>
    <w:p w:rsidR="00F706BE" w:rsidRPr="00521933" w:rsidRDefault="00F706BE" w:rsidP="00F706BE">
      <w:pPr>
        <w:rPr>
          <w:lang w:val="lv-LV"/>
        </w:rPr>
      </w:pPr>
      <w:r w:rsidRPr="00521933">
        <w:rPr>
          <w:lang w:val="lv-LV"/>
        </w:rPr>
        <w:t xml:space="preserve">2012.-2013. gada prioritātes ir šādas: </w:t>
      </w:r>
    </w:p>
    <w:p w:rsidR="00F706BE" w:rsidRPr="00521933" w:rsidRDefault="00F706BE" w:rsidP="00F706BE">
      <w:pPr>
        <w:pStyle w:val="ListParagraph"/>
        <w:ind w:left="0"/>
        <w:rPr>
          <w:lang w:val="lv-LV"/>
        </w:rPr>
      </w:pPr>
    </w:p>
    <w:p w:rsidR="00F706BE" w:rsidRPr="00521933" w:rsidRDefault="00F706BE" w:rsidP="00F706BE">
      <w:pPr>
        <w:rPr>
          <w:b/>
          <w:lang w:val="lv-LV"/>
        </w:rPr>
      </w:pPr>
      <w:bookmarkStart w:id="10" w:name="OLE_LINK2"/>
      <w:r w:rsidRPr="00521933">
        <w:rPr>
          <w:lang w:val="lv-LV"/>
        </w:rPr>
        <w:t xml:space="preserve">PRIORITĀTE 1: </w:t>
      </w:r>
      <w:r w:rsidRPr="00521933">
        <w:rPr>
          <w:b/>
          <w:lang w:val="lv-LV"/>
        </w:rPr>
        <w:t xml:space="preserve">Eiropas Veselības Politika – Veselība 2020 </w:t>
      </w:r>
    </w:p>
    <w:p w:rsidR="00F706BE" w:rsidRPr="00521933" w:rsidRDefault="00F706BE" w:rsidP="00F706BE">
      <w:pPr>
        <w:pStyle w:val="ListParagraph"/>
        <w:rPr>
          <w:lang w:val="lv-LV"/>
        </w:rPr>
      </w:pPr>
      <w:r w:rsidRPr="00521933">
        <w:rPr>
          <w:lang w:val="lv-LV"/>
        </w:rPr>
        <w:t>Sociālie veselības faktori / Veselības rādītāji</w:t>
      </w:r>
      <w:r w:rsidRPr="00521933">
        <w:rPr>
          <w:lang w:val="lv-LV"/>
        </w:rPr>
        <w:br/>
        <w:t>Valsts veselības politika, stratēģijas un rīcības plāni</w:t>
      </w:r>
    </w:p>
    <w:p w:rsidR="00F706BE" w:rsidRPr="00521933" w:rsidRDefault="00F706BE" w:rsidP="00F706BE">
      <w:pPr>
        <w:pStyle w:val="ListParagraph"/>
        <w:rPr>
          <w:lang w:val="lv-LV"/>
        </w:rPr>
      </w:pPr>
    </w:p>
    <w:p w:rsidR="00F706BE" w:rsidRPr="00521933" w:rsidRDefault="00F706BE" w:rsidP="00F706BE">
      <w:pPr>
        <w:pStyle w:val="ListParagraph"/>
        <w:ind w:left="0"/>
        <w:rPr>
          <w:b/>
          <w:lang w:val="lv-LV"/>
        </w:rPr>
      </w:pPr>
      <w:r w:rsidRPr="00521933">
        <w:rPr>
          <w:lang w:val="lv-LV"/>
        </w:rPr>
        <w:t xml:space="preserve"> PRIORITĀTE 2: </w:t>
      </w:r>
      <w:r w:rsidRPr="00521933">
        <w:rPr>
          <w:b/>
          <w:lang w:val="lv-LV"/>
        </w:rPr>
        <w:t>Veselības sistēmas stiprināšana un Sabiedrības veselība</w:t>
      </w:r>
      <w:r w:rsidRPr="00521933">
        <w:rPr>
          <w:lang w:val="lv-LV"/>
        </w:rPr>
        <w:t xml:space="preserve"> </w:t>
      </w:r>
    </w:p>
    <w:p w:rsidR="00F706BE" w:rsidRPr="00521933" w:rsidRDefault="00F706BE" w:rsidP="00F706BE">
      <w:pPr>
        <w:pStyle w:val="ListParagraph"/>
        <w:rPr>
          <w:lang w:val="lv-LV"/>
        </w:rPr>
      </w:pPr>
      <w:r w:rsidRPr="00521933">
        <w:rPr>
          <w:lang w:val="lv-LV"/>
        </w:rPr>
        <w:t xml:space="preserve">Veselības finansēšana </w:t>
      </w:r>
    </w:p>
    <w:p w:rsidR="00F706BE" w:rsidRPr="00521933" w:rsidRDefault="00F706BE" w:rsidP="00F706BE">
      <w:pPr>
        <w:pStyle w:val="ListParagraph"/>
        <w:rPr>
          <w:lang w:val="lv-LV"/>
        </w:rPr>
      </w:pPr>
      <w:r w:rsidRPr="00521933">
        <w:rPr>
          <w:lang w:val="lv-LV"/>
        </w:rPr>
        <w:t>Sabiedrības veselība, Primārā veselības aprūpe, Slimnīcas</w:t>
      </w:r>
    </w:p>
    <w:p w:rsidR="00F706BE" w:rsidRPr="00521933" w:rsidRDefault="00F706BE" w:rsidP="00F706BE">
      <w:pPr>
        <w:rPr>
          <w:lang w:val="lv-LV"/>
        </w:rPr>
      </w:pPr>
    </w:p>
    <w:p w:rsidR="00F706BE" w:rsidRPr="00521933" w:rsidRDefault="00F706BE" w:rsidP="00F706BE">
      <w:pPr>
        <w:rPr>
          <w:b/>
          <w:lang w:val="lv-LV"/>
        </w:rPr>
      </w:pPr>
      <w:r w:rsidRPr="00521933">
        <w:rPr>
          <w:lang w:val="lv-LV"/>
        </w:rPr>
        <w:t xml:space="preserve">PRIORITĀTE 3: </w:t>
      </w:r>
      <w:r w:rsidRPr="00521933">
        <w:rPr>
          <w:b/>
          <w:lang w:val="lv-LV"/>
        </w:rPr>
        <w:t>Neinfekciozās slimības, veselības veicināšana un veselīgs dzīvesveids</w:t>
      </w:r>
      <w:r w:rsidRPr="00521933">
        <w:rPr>
          <w:lang w:val="lv-LV"/>
        </w:rPr>
        <w:t xml:space="preserve"> </w:t>
      </w:r>
    </w:p>
    <w:bookmarkEnd w:id="10"/>
    <w:p w:rsidR="00F706BE" w:rsidRPr="00521933" w:rsidRDefault="00F706BE" w:rsidP="00F706BE">
      <w:pPr>
        <w:ind w:left="720"/>
        <w:rPr>
          <w:lang w:val="lv-LV"/>
        </w:rPr>
      </w:pPr>
      <w:r w:rsidRPr="00521933">
        <w:rPr>
          <w:lang w:val="lv-LV"/>
        </w:rPr>
        <w:t>Samazināt saslimstību, invaliditāti un priekšlaicīgu mirstību sakarā ar hroniskām neinfekciozām slimībām un psihiskiem traucējumiem, kā arī veselīga dzīvesveida veicināšana.</w:t>
      </w:r>
    </w:p>
    <w:p w:rsidR="00F706BE" w:rsidRPr="00521933" w:rsidRDefault="00F706BE" w:rsidP="00F706BE">
      <w:pPr>
        <w:rPr>
          <w:lang w:val="lv-LV"/>
        </w:rPr>
      </w:pPr>
    </w:p>
    <w:p w:rsidR="00F706BE" w:rsidRPr="00521933" w:rsidRDefault="00F706BE" w:rsidP="00F706BE">
      <w:pPr>
        <w:autoSpaceDE w:val="0"/>
        <w:autoSpaceDN w:val="0"/>
        <w:adjustRightInd w:val="0"/>
        <w:rPr>
          <w:b/>
          <w:lang w:val="lv-LV"/>
        </w:rPr>
      </w:pPr>
      <w:r w:rsidRPr="00521933">
        <w:rPr>
          <w:lang w:val="lv-LV"/>
        </w:rPr>
        <w:t xml:space="preserve">PRIORITĀTE 4: </w:t>
      </w:r>
      <w:r w:rsidRPr="00521933">
        <w:rPr>
          <w:b/>
          <w:lang w:val="lv-LV"/>
        </w:rPr>
        <w:t>Infekciozās slimības, veselības drošība un apkārtējā vide</w:t>
      </w:r>
    </w:p>
    <w:p w:rsidR="00F706BE" w:rsidRPr="00521933" w:rsidRDefault="00F706BE" w:rsidP="00F706BE">
      <w:pPr>
        <w:autoSpaceDE w:val="0"/>
        <w:autoSpaceDN w:val="0"/>
        <w:adjustRightInd w:val="0"/>
        <w:ind w:left="720"/>
        <w:rPr>
          <w:lang w:val="lv-LV"/>
        </w:rPr>
      </w:pPr>
      <w:r w:rsidRPr="00521933">
        <w:rPr>
          <w:lang w:val="lv-LV"/>
        </w:rPr>
        <w:t>Samazināt infekcijas slimību slogu, kā arī to sociālās un ekonomiskās sekas, tostarp arī HIV/ AIDS un tuberkulozi.</w:t>
      </w:r>
    </w:p>
    <w:p w:rsidR="00F706BE" w:rsidRPr="00521933" w:rsidRDefault="00F706BE" w:rsidP="00F706BE">
      <w:pPr>
        <w:rPr>
          <w:lang w:val="lv-LV"/>
        </w:rPr>
      </w:pPr>
      <w:r w:rsidRPr="00521933">
        <w:rPr>
          <w:lang w:val="lv-LV"/>
        </w:rPr>
        <w:t xml:space="preserve"> </w:t>
      </w:r>
    </w:p>
    <w:p w:rsidR="00F706BE" w:rsidRPr="00521933" w:rsidRDefault="00F706BE" w:rsidP="00F706BE">
      <w:pPr>
        <w:pStyle w:val="PlainText"/>
        <w:jc w:val="both"/>
        <w:rPr>
          <w:rFonts w:ascii="Times New Roman" w:hAnsi="Times New Roman" w:cs="Times New Roman"/>
          <w:sz w:val="24"/>
          <w:szCs w:val="24"/>
          <w:lang w:val="lv-LV"/>
        </w:rPr>
      </w:pPr>
      <w:r w:rsidRPr="00521933">
        <w:rPr>
          <w:rFonts w:ascii="Times New Roman" w:hAnsi="Times New Roman" w:cs="Times New Roman"/>
          <w:sz w:val="24"/>
          <w:szCs w:val="24"/>
          <w:lang w:val="lv-LV"/>
        </w:rPr>
        <w:t xml:space="preserve">PRIORITĀTE 5: </w:t>
      </w:r>
      <w:r w:rsidRPr="00521933">
        <w:rPr>
          <w:rFonts w:ascii="Times New Roman" w:hAnsi="Times New Roman" w:cs="Times New Roman"/>
          <w:b/>
          <w:sz w:val="24"/>
          <w:szCs w:val="24"/>
          <w:lang w:val="lv-LV"/>
        </w:rPr>
        <w:t>Veselības informācija, pierādījumi, pētījumi un inovācijas</w:t>
      </w:r>
      <w:r w:rsidRPr="00521933">
        <w:rPr>
          <w:rFonts w:ascii="Times New Roman" w:hAnsi="Times New Roman" w:cs="Times New Roman"/>
          <w:sz w:val="24"/>
          <w:szCs w:val="24"/>
          <w:lang w:val="lv-LV"/>
        </w:rPr>
        <w:t xml:space="preserve"> </w:t>
      </w:r>
    </w:p>
    <w:p w:rsidR="00F706BE" w:rsidRPr="00521933" w:rsidRDefault="00F706BE" w:rsidP="00F706BE">
      <w:pPr>
        <w:pStyle w:val="ListParagraph"/>
        <w:rPr>
          <w:lang w:val="lv-LV"/>
        </w:rPr>
      </w:pPr>
      <w:r w:rsidRPr="00521933">
        <w:rPr>
          <w:lang w:val="lv-LV"/>
        </w:rPr>
        <w:t>Veselības informācija analīze</w:t>
      </w:r>
      <w:r w:rsidRPr="00521933">
        <w:rPr>
          <w:lang w:val="lv-LV"/>
        </w:rPr>
        <w:br/>
        <w:t>Ticami un salīdzināmi veselības informācijas dati</w:t>
      </w:r>
    </w:p>
    <w:p w:rsidR="00F706BE" w:rsidRPr="00521933" w:rsidRDefault="00F706BE" w:rsidP="00F706BE">
      <w:pPr>
        <w:autoSpaceDE w:val="0"/>
        <w:autoSpaceDN w:val="0"/>
        <w:adjustRightInd w:val="0"/>
        <w:jc w:val="center"/>
        <w:rPr>
          <w:lang w:val="lv-LV" w:eastAsia="de-DE"/>
        </w:rPr>
      </w:pPr>
      <w:r w:rsidRPr="00521933">
        <w:rPr>
          <w:highlight w:val="red"/>
          <w:lang w:val="lv-LV" w:eastAsia="de-DE"/>
        </w:rPr>
        <w:br w:type="page"/>
      </w:r>
    </w:p>
    <w:p w:rsidR="00F706BE" w:rsidRPr="00521933" w:rsidRDefault="00F706BE" w:rsidP="00F706BE">
      <w:pPr>
        <w:pStyle w:val="Heading1"/>
        <w:pBdr>
          <w:top w:val="single" w:sz="4" w:space="1" w:color="auto"/>
          <w:left w:val="single" w:sz="4" w:space="4" w:color="auto"/>
          <w:bottom w:val="single" w:sz="4" w:space="0" w:color="auto"/>
          <w:right w:val="single" w:sz="4" w:space="4" w:color="auto"/>
        </w:pBdr>
        <w:rPr>
          <w:rFonts w:ascii="Times New Roman" w:hAnsi="Times New Roman" w:cs="Times New Roman"/>
          <w:color w:val="0000FF"/>
          <w:sz w:val="24"/>
          <w:szCs w:val="24"/>
          <w:lang w:val="lv-LV" w:eastAsia="en-GB"/>
        </w:rPr>
      </w:pPr>
      <w:bookmarkStart w:id="11" w:name="_Toc303786403"/>
      <w:r w:rsidRPr="00521933">
        <w:rPr>
          <w:rFonts w:ascii="Times New Roman" w:hAnsi="Times New Roman" w:cs="Times New Roman"/>
          <w:color w:val="0000FF"/>
          <w:sz w:val="24"/>
          <w:szCs w:val="24"/>
          <w:lang w:val="lv-LV" w:eastAsia="en-GB"/>
        </w:rPr>
        <w:lastRenderedPageBreak/>
        <w:t>DAĻA 2. Budžets un saistības 2012.–2013</w:t>
      </w:r>
      <w:bookmarkEnd w:id="11"/>
      <w:r w:rsidRPr="00521933">
        <w:rPr>
          <w:rFonts w:ascii="Times New Roman" w:hAnsi="Times New Roman" w:cs="Times New Roman"/>
          <w:color w:val="0000FF"/>
          <w:sz w:val="24"/>
          <w:szCs w:val="24"/>
          <w:lang w:val="lv-LV" w:eastAsia="en-GB"/>
        </w:rPr>
        <w:t>. gadam</w:t>
      </w:r>
    </w:p>
    <w:p w:rsidR="00F706BE" w:rsidRPr="00521933" w:rsidRDefault="00F706BE" w:rsidP="00F706BE">
      <w:pPr>
        <w:pStyle w:val="Heading2"/>
        <w:numPr>
          <w:ilvl w:val="1"/>
          <w:numId w:val="32"/>
        </w:numPr>
        <w:rPr>
          <w:rFonts w:ascii="Times New Roman" w:hAnsi="Times New Roman" w:cs="Times New Roman"/>
          <w:color w:val="0066FF"/>
          <w:sz w:val="24"/>
          <w:szCs w:val="24"/>
          <w:lang w:val="lv-LV"/>
        </w:rPr>
      </w:pPr>
      <w:bookmarkStart w:id="12" w:name="_Toc113887653"/>
      <w:bookmarkStart w:id="13" w:name="_Toc303786404"/>
      <w:r w:rsidRPr="00521933">
        <w:rPr>
          <w:rFonts w:ascii="Times New Roman" w:hAnsi="Times New Roman" w:cs="Times New Roman"/>
          <w:color w:val="0066FF"/>
          <w:sz w:val="24"/>
          <w:szCs w:val="24"/>
          <w:lang w:val="lv-LV"/>
        </w:rPr>
        <w:t>Bu</w:t>
      </w:r>
      <w:bookmarkEnd w:id="12"/>
      <w:bookmarkEnd w:id="13"/>
      <w:r w:rsidRPr="00521933">
        <w:rPr>
          <w:rFonts w:ascii="Times New Roman" w:hAnsi="Times New Roman" w:cs="Times New Roman"/>
          <w:color w:val="0066FF"/>
          <w:sz w:val="24"/>
          <w:szCs w:val="24"/>
          <w:lang w:val="lv-LV"/>
        </w:rPr>
        <w:t>džets un finanses</w:t>
      </w:r>
    </w:p>
    <w:p w:rsidR="00F706BE" w:rsidRPr="00521933" w:rsidRDefault="00F706BE" w:rsidP="00F706BE">
      <w:pPr>
        <w:rPr>
          <w:lang w:val="lv-LV"/>
        </w:rPr>
      </w:pPr>
    </w:p>
    <w:p w:rsidR="00F706BE" w:rsidRPr="00521933" w:rsidRDefault="00F706BE" w:rsidP="00F706BE">
      <w:pPr>
        <w:rPr>
          <w:u w:val="single"/>
          <w:lang w:val="lv-LV"/>
        </w:rPr>
      </w:pPr>
      <w:bookmarkStart w:id="14" w:name="_Toc111434528"/>
      <w:bookmarkStart w:id="15" w:name="_Toc111435295"/>
      <w:bookmarkStart w:id="16" w:name="_Toc113887655"/>
      <w:r w:rsidRPr="00521933">
        <w:rPr>
          <w:lang w:val="lv-LV"/>
        </w:rPr>
        <w:t>Kopējais budžets valsts darba plānam sastāda 474,000 ASV dolārus*.</w:t>
      </w:r>
    </w:p>
    <w:p w:rsidR="00F706BE" w:rsidRPr="00521933" w:rsidRDefault="00F706BE" w:rsidP="00F706BE">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1834"/>
        <w:gridCol w:w="1830"/>
      </w:tblGrid>
      <w:tr w:rsidR="00F706BE" w:rsidRPr="00521933" w:rsidTr="00747851">
        <w:trPr>
          <w:trHeight w:val="713"/>
        </w:trPr>
        <w:tc>
          <w:tcPr>
            <w:tcW w:w="5637" w:type="dxa"/>
          </w:tcPr>
          <w:p w:rsidR="00F706BE" w:rsidRPr="00521933" w:rsidRDefault="00F706BE" w:rsidP="00747851">
            <w:pPr>
              <w:jc w:val="center"/>
              <w:rPr>
                <w:b/>
                <w:lang w:val="lv-LV"/>
              </w:rPr>
            </w:pPr>
          </w:p>
        </w:tc>
        <w:tc>
          <w:tcPr>
            <w:tcW w:w="1834" w:type="dxa"/>
          </w:tcPr>
          <w:p w:rsidR="00F706BE" w:rsidRPr="00521933" w:rsidRDefault="00F706BE" w:rsidP="00747851">
            <w:pPr>
              <w:jc w:val="center"/>
              <w:rPr>
                <w:b/>
                <w:lang w:val="lv-LV"/>
              </w:rPr>
            </w:pPr>
            <w:r w:rsidRPr="00521933">
              <w:rPr>
                <w:b/>
                <w:lang w:val="lv-LV"/>
              </w:rPr>
              <w:t>Finanses</w:t>
            </w:r>
          </w:p>
          <w:p w:rsidR="00F706BE" w:rsidRPr="00521933" w:rsidRDefault="00F706BE" w:rsidP="00747851">
            <w:pPr>
              <w:jc w:val="center"/>
              <w:rPr>
                <w:b/>
                <w:lang w:val="lv-LV"/>
              </w:rPr>
            </w:pPr>
            <w:r w:rsidRPr="00521933">
              <w:rPr>
                <w:b/>
                <w:lang w:val="lv-LV"/>
              </w:rPr>
              <w:t>(US$ tūkstoši)</w:t>
            </w:r>
          </w:p>
        </w:tc>
        <w:tc>
          <w:tcPr>
            <w:tcW w:w="1830" w:type="dxa"/>
          </w:tcPr>
          <w:p w:rsidR="00F706BE" w:rsidRPr="00521933" w:rsidRDefault="00F706BE" w:rsidP="00747851">
            <w:pPr>
              <w:jc w:val="center"/>
              <w:rPr>
                <w:b/>
                <w:lang w:val="lv-LV"/>
              </w:rPr>
            </w:pPr>
            <w:r w:rsidRPr="00521933">
              <w:rPr>
                <w:b/>
                <w:lang w:val="lv-LV"/>
              </w:rPr>
              <w:t>Budžets</w:t>
            </w:r>
          </w:p>
          <w:p w:rsidR="00F706BE" w:rsidRPr="00521933" w:rsidRDefault="00F706BE" w:rsidP="00747851">
            <w:pPr>
              <w:jc w:val="center"/>
              <w:rPr>
                <w:b/>
                <w:lang w:val="lv-LV"/>
              </w:rPr>
            </w:pPr>
            <w:r w:rsidRPr="00521933">
              <w:rPr>
                <w:b/>
                <w:lang w:val="lv-LV"/>
              </w:rPr>
              <w:t>(US$ tūkstoši)</w:t>
            </w:r>
          </w:p>
        </w:tc>
      </w:tr>
      <w:tr w:rsidR="00F706BE" w:rsidRPr="00521933" w:rsidTr="00747851">
        <w:tc>
          <w:tcPr>
            <w:tcW w:w="5637" w:type="dxa"/>
          </w:tcPr>
          <w:p w:rsidR="00F706BE" w:rsidRPr="00521933" w:rsidRDefault="00F706BE" w:rsidP="00747851">
            <w:pPr>
              <w:pStyle w:val="ListParagraph"/>
              <w:numPr>
                <w:ilvl w:val="0"/>
                <w:numId w:val="35"/>
              </w:numPr>
              <w:ind w:left="284" w:hanging="284"/>
              <w:rPr>
                <w:lang w:val="lv-LV"/>
              </w:rPr>
            </w:pPr>
            <w:r w:rsidRPr="00521933">
              <w:rPr>
                <w:lang w:val="lv-LV"/>
              </w:rPr>
              <w:t>Korporatīvie fondi (AC, CVCA, un PVO/</w:t>
            </w:r>
            <w:proofErr w:type="spellStart"/>
            <w:r w:rsidRPr="00521933">
              <w:rPr>
                <w:lang w:val="lv-LV"/>
              </w:rPr>
              <w:t>EUROelastīgie</w:t>
            </w:r>
            <w:proofErr w:type="spellEnd"/>
            <w:r w:rsidRPr="00521933">
              <w:rPr>
                <w:lang w:val="lv-LV"/>
              </w:rPr>
              <w:t xml:space="preserve"> fondi (</w:t>
            </w:r>
            <w:proofErr w:type="spellStart"/>
            <w:r w:rsidRPr="00521933">
              <w:rPr>
                <w:lang w:val="lv-LV"/>
              </w:rPr>
              <w:t>flexible</w:t>
            </w:r>
            <w:proofErr w:type="spellEnd"/>
            <w:r w:rsidRPr="00521933">
              <w:rPr>
                <w:lang w:val="lv-LV"/>
              </w:rPr>
              <w:t xml:space="preserve"> fonds))</w:t>
            </w:r>
          </w:p>
          <w:p w:rsidR="00F706BE" w:rsidRPr="00521933" w:rsidRDefault="00F706BE" w:rsidP="00747851">
            <w:pPr>
              <w:pStyle w:val="ListParagraph"/>
              <w:numPr>
                <w:ilvl w:val="0"/>
                <w:numId w:val="35"/>
              </w:numPr>
              <w:ind w:left="284" w:hanging="284"/>
              <w:rPr>
                <w:lang w:val="lv-LV"/>
              </w:rPr>
            </w:pPr>
            <w:r w:rsidRPr="00521933">
              <w:rPr>
                <w:lang w:val="lv-LV"/>
              </w:rPr>
              <w:t>Prognozētie VCS fondi (garantēti ar lielu iespējamību)**</w:t>
            </w:r>
          </w:p>
          <w:p w:rsidR="00F706BE" w:rsidRPr="00521933" w:rsidRDefault="00F706BE" w:rsidP="00747851">
            <w:pPr>
              <w:pStyle w:val="ListParagraph"/>
              <w:numPr>
                <w:ilvl w:val="0"/>
                <w:numId w:val="35"/>
              </w:numPr>
              <w:ind w:left="284" w:hanging="284"/>
              <w:rPr>
                <w:lang w:val="lv-LV"/>
              </w:rPr>
            </w:pPr>
            <w:r w:rsidRPr="00521933">
              <w:rPr>
                <w:lang w:val="lv-LV"/>
              </w:rPr>
              <w:t>Papildus VCS fondi (tiks mobilizēti)</w:t>
            </w:r>
          </w:p>
        </w:tc>
        <w:tc>
          <w:tcPr>
            <w:tcW w:w="1834" w:type="dxa"/>
          </w:tcPr>
          <w:p w:rsidR="00F706BE" w:rsidRPr="00521933" w:rsidRDefault="00F706BE" w:rsidP="00747851">
            <w:pPr>
              <w:jc w:val="right"/>
              <w:rPr>
                <w:lang w:val="lv-LV"/>
              </w:rPr>
            </w:pPr>
            <w:r w:rsidRPr="00521933">
              <w:rPr>
                <w:lang w:val="lv-LV"/>
              </w:rPr>
              <w:t>70</w:t>
            </w:r>
          </w:p>
          <w:p w:rsidR="00F706BE" w:rsidRPr="00521933" w:rsidRDefault="00F706BE" w:rsidP="00747851">
            <w:pPr>
              <w:jc w:val="right"/>
              <w:rPr>
                <w:lang w:val="lv-LV"/>
              </w:rPr>
            </w:pPr>
            <w:r w:rsidRPr="00521933">
              <w:rPr>
                <w:lang w:val="lv-LV"/>
              </w:rPr>
              <w:t>72</w:t>
            </w:r>
          </w:p>
          <w:p w:rsidR="00F706BE" w:rsidRPr="00521933" w:rsidRDefault="00F706BE" w:rsidP="00747851">
            <w:pPr>
              <w:jc w:val="right"/>
              <w:rPr>
                <w:lang w:val="lv-LV"/>
              </w:rPr>
            </w:pPr>
          </w:p>
          <w:p w:rsidR="00F706BE" w:rsidRPr="00521933" w:rsidRDefault="00F706BE" w:rsidP="00747851">
            <w:pPr>
              <w:jc w:val="right"/>
              <w:rPr>
                <w:lang w:val="lv-LV"/>
              </w:rPr>
            </w:pPr>
          </w:p>
        </w:tc>
        <w:tc>
          <w:tcPr>
            <w:tcW w:w="1830" w:type="dxa"/>
          </w:tcPr>
          <w:p w:rsidR="00F706BE" w:rsidRPr="00521933" w:rsidRDefault="00F706BE" w:rsidP="00747851">
            <w:pPr>
              <w:jc w:val="right"/>
              <w:rPr>
                <w:lang w:val="lv-LV"/>
              </w:rPr>
            </w:pPr>
            <w:r w:rsidRPr="00521933">
              <w:rPr>
                <w:lang w:val="lv-LV"/>
              </w:rPr>
              <w:t>70</w:t>
            </w:r>
          </w:p>
          <w:p w:rsidR="00F706BE" w:rsidRPr="00521933" w:rsidRDefault="00F706BE" w:rsidP="00747851">
            <w:pPr>
              <w:jc w:val="right"/>
              <w:rPr>
                <w:lang w:val="lv-LV"/>
              </w:rPr>
            </w:pPr>
          </w:p>
          <w:p w:rsidR="00F706BE" w:rsidRPr="00521933" w:rsidRDefault="00F706BE" w:rsidP="00747851">
            <w:pPr>
              <w:jc w:val="right"/>
              <w:rPr>
                <w:lang w:val="lv-LV"/>
              </w:rPr>
            </w:pPr>
            <w:r w:rsidRPr="00521933">
              <w:rPr>
                <w:lang w:val="lv-LV"/>
              </w:rPr>
              <w:t>72</w:t>
            </w:r>
          </w:p>
          <w:p w:rsidR="00F706BE" w:rsidRPr="00521933" w:rsidRDefault="00F706BE" w:rsidP="00747851">
            <w:pPr>
              <w:jc w:val="right"/>
              <w:rPr>
                <w:lang w:val="lv-LV"/>
              </w:rPr>
            </w:pPr>
            <w:r w:rsidRPr="00521933">
              <w:rPr>
                <w:lang w:val="lv-LV"/>
              </w:rPr>
              <w:t>332</w:t>
            </w:r>
          </w:p>
          <w:p w:rsidR="00F706BE" w:rsidRPr="00521933" w:rsidRDefault="00F706BE" w:rsidP="00747851">
            <w:pPr>
              <w:jc w:val="right"/>
              <w:rPr>
                <w:lang w:val="lv-LV"/>
              </w:rPr>
            </w:pPr>
          </w:p>
        </w:tc>
      </w:tr>
      <w:tr w:rsidR="00F706BE" w:rsidRPr="00521933" w:rsidTr="00747851">
        <w:tc>
          <w:tcPr>
            <w:tcW w:w="5637" w:type="dxa"/>
          </w:tcPr>
          <w:p w:rsidR="00F706BE" w:rsidRPr="00521933" w:rsidRDefault="00F706BE" w:rsidP="00747851">
            <w:pPr>
              <w:rPr>
                <w:b/>
                <w:lang w:val="lv-LV"/>
              </w:rPr>
            </w:pPr>
            <w:r w:rsidRPr="00521933">
              <w:rPr>
                <w:b/>
                <w:lang w:val="lv-LV"/>
              </w:rPr>
              <w:t>Kopā:</w:t>
            </w:r>
          </w:p>
        </w:tc>
        <w:tc>
          <w:tcPr>
            <w:tcW w:w="1834" w:type="dxa"/>
          </w:tcPr>
          <w:p w:rsidR="00F706BE" w:rsidRPr="00521933" w:rsidRDefault="00F706BE" w:rsidP="00747851">
            <w:pPr>
              <w:jc w:val="right"/>
              <w:rPr>
                <w:b/>
                <w:lang w:val="lv-LV"/>
              </w:rPr>
            </w:pPr>
            <w:r w:rsidRPr="00521933">
              <w:rPr>
                <w:b/>
                <w:lang w:val="lv-LV"/>
              </w:rPr>
              <w:t>142</w:t>
            </w:r>
          </w:p>
        </w:tc>
        <w:tc>
          <w:tcPr>
            <w:tcW w:w="1830" w:type="dxa"/>
          </w:tcPr>
          <w:p w:rsidR="00F706BE" w:rsidRPr="00521933" w:rsidRDefault="00F706BE" w:rsidP="00747851">
            <w:pPr>
              <w:jc w:val="right"/>
              <w:rPr>
                <w:b/>
                <w:lang w:val="lv-LV"/>
              </w:rPr>
            </w:pPr>
            <w:r w:rsidRPr="00521933">
              <w:rPr>
                <w:b/>
                <w:lang w:val="lv-LV"/>
              </w:rPr>
              <w:t>474</w:t>
            </w:r>
          </w:p>
        </w:tc>
      </w:tr>
    </w:tbl>
    <w:p w:rsidR="00F706BE" w:rsidRPr="00521933" w:rsidRDefault="00F706BE" w:rsidP="00F706BE">
      <w:pPr>
        <w:pStyle w:val="ListParagraph"/>
        <w:ind w:left="360"/>
        <w:rPr>
          <w:i/>
          <w:lang w:val="lv-LV"/>
        </w:rPr>
      </w:pPr>
      <w:r w:rsidRPr="00521933">
        <w:rPr>
          <w:i/>
          <w:lang w:val="lv-LV"/>
        </w:rPr>
        <w:t>*Kopējais budžets ir pakļauts korekcijām, pamatojoties uz plānoto "īstenošanas modeli"</w:t>
      </w:r>
    </w:p>
    <w:p w:rsidR="00F706BE" w:rsidRPr="00521933" w:rsidRDefault="00F706BE" w:rsidP="00F706BE">
      <w:pPr>
        <w:pStyle w:val="ListParagraph"/>
        <w:ind w:left="360"/>
        <w:rPr>
          <w:i/>
          <w:lang w:val="lv-LV"/>
        </w:rPr>
      </w:pPr>
      <w:r w:rsidRPr="00521933">
        <w:rPr>
          <w:i/>
          <w:lang w:val="lv-LV"/>
        </w:rPr>
        <w:t>** Plānotie VCS fondi ir pakļauti korekcijām, pamatojoties uz faktisko pieejamību.</w:t>
      </w:r>
    </w:p>
    <w:p w:rsidR="00F706BE" w:rsidRPr="00521933" w:rsidRDefault="00F706BE" w:rsidP="00F706BE">
      <w:pPr>
        <w:rPr>
          <w:lang w:val="lv-LV"/>
        </w:rPr>
      </w:pPr>
    </w:p>
    <w:p w:rsidR="00F706BE" w:rsidRPr="00521933" w:rsidRDefault="00F706BE" w:rsidP="00F706BE">
      <w:pPr>
        <w:autoSpaceDE w:val="0"/>
        <w:autoSpaceDN w:val="0"/>
        <w:adjustRightInd w:val="0"/>
        <w:jc w:val="both"/>
        <w:rPr>
          <w:lang w:val="lv-LV" w:eastAsia="en-GB"/>
        </w:rPr>
      </w:pPr>
      <w:r w:rsidRPr="00521933">
        <w:rPr>
          <w:lang w:val="lv-LV" w:eastAsia="en-GB"/>
        </w:rPr>
        <w:t xml:space="preserve">PVO ieguldījuma vērtība pārsniedz norādītās naudas summas šajā dokumentā, jo tā ietver tehnisko palīdzību un citus resursus no GM, PVO/EURO, ĢIB un pārstāvniecības birojiem valstīs. PVO Sekretariāts savā gada un </w:t>
      </w:r>
      <w:proofErr w:type="spellStart"/>
      <w:r w:rsidRPr="00521933">
        <w:rPr>
          <w:lang w:val="lv-LV" w:eastAsia="en-GB"/>
        </w:rPr>
        <w:t>divgades</w:t>
      </w:r>
      <w:proofErr w:type="spellEnd"/>
      <w:r w:rsidRPr="00521933">
        <w:rPr>
          <w:lang w:val="lv-LV" w:eastAsia="en-GB"/>
        </w:rPr>
        <w:t xml:space="preserve"> programmas budžeta ziņojumā Reģionālajai komitejai iekļaus aplēsi par to, kā faktiskās izmaksas tiek sadalītas dažādos līmeņos starpvalstu programmas ietvaros (reģioni un valstis), kā arī starp atsevišķām valstīm.</w:t>
      </w:r>
    </w:p>
    <w:p w:rsidR="00F706BE" w:rsidRPr="00521933" w:rsidRDefault="00F706BE" w:rsidP="00F706BE">
      <w:pPr>
        <w:pStyle w:val="Heading2"/>
        <w:numPr>
          <w:ilvl w:val="1"/>
          <w:numId w:val="32"/>
        </w:numPr>
        <w:rPr>
          <w:rFonts w:ascii="Times New Roman" w:hAnsi="Times New Roman" w:cs="Times New Roman"/>
          <w:color w:val="0066FF"/>
          <w:sz w:val="24"/>
          <w:szCs w:val="24"/>
          <w:lang w:val="lv-LV"/>
        </w:rPr>
      </w:pPr>
      <w:r w:rsidRPr="00521933">
        <w:rPr>
          <w:rFonts w:ascii="Times New Roman" w:hAnsi="Times New Roman" w:cs="Times New Roman"/>
          <w:color w:val="0066FF"/>
          <w:sz w:val="24"/>
          <w:szCs w:val="24"/>
          <w:lang w:val="lv-LV"/>
        </w:rPr>
        <w:t xml:space="preserve">Saistības </w:t>
      </w:r>
      <w:bookmarkStart w:id="17" w:name="_Toc111434529"/>
      <w:bookmarkStart w:id="18" w:name="_Toc111435296"/>
      <w:bookmarkStart w:id="19" w:name="_Toc113887656"/>
      <w:bookmarkEnd w:id="14"/>
      <w:bookmarkEnd w:id="15"/>
      <w:bookmarkEnd w:id="16"/>
    </w:p>
    <w:p w:rsidR="00F706BE" w:rsidRPr="00521933" w:rsidRDefault="00F706BE" w:rsidP="00F706BE">
      <w:pPr>
        <w:rPr>
          <w:lang w:val="lv-LV"/>
        </w:rPr>
      </w:pPr>
    </w:p>
    <w:p w:rsidR="00F706BE" w:rsidRPr="00521933" w:rsidRDefault="00F706BE" w:rsidP="00F706BE">
      <w:pPr>
        <w:rPr>
          <w:lang w:val="lv-LV"/>
        </w:rPr>
      </w:pPr>
      <w:r w:rsidRPr="00521933">
        <w:rPr>
          <w:lang w:val="lv-LV"/>
        </w:rPr>
        <w:t>Veselības ministrija un PVO Sekretariāts kopīgi apņemas strādāt kopā, lai mobilizētu papildu līdzekļus un sasniegtu rezultātu, kas noteikti šajā nolīgumā.</w:t>
      </w:r>
    </w:p>
    <w:p w:rsidR="00F706BE" w:rsidRPr="00521933" w:rsidRDefault="00F706BE" w:rsidP="00F706BE">
      <w:pPr>
        <w:pStyle w:val="Heading3"/>
        <w:rPr>
          <w:rFonts w:ascii="Times New Roman" w:hAnsi="Times New Roman" w:cs="Times New Roman"/>
          <w:szCs w:val="24"/>
          <w:lang w:val="lv-LV"/>
        </w:rPr>
      </w:pPr>
      <w:bookmarkStart w:id="20" w:name="_Toc303237002"/>
      <w:bookmarkStart w:id="21" w:name="_Toc303786406"/>
      <w:r w:rsidRPr="00521933">
        <w:rPr>
          <w:rFonts w:ascii="Times New Roman" w:hAnsi="Times New Roman" w:cs="Times New Roman"/>
          <w:szCs w:val="24"/>
          <w:lang w:val="lv-LV"/>
        </w:rPr>
        <w:t>2.2.1</w:t>
      </w:r>
      <w:r w:rsidRPr="00521933">
        <w:rPr>
          <w:rFonts w:ascii="Times New Roman" w:hAnsi="Times New Roman" w:cs="Times New Roman"/>
          <w:szCs w:val="24"/>
          <w:lang w:val="lv-LV"/>
        </w:rPr>
        <w:tab/>
      </w:r>
      <w:bookmarkEnd w:id="17"/>
      <w:bookmarkEnd w:id="18"/>
      <w:bookmarkEnd w:id="19"/>
      <w:bookmarkEnd w:id="20"/>
      <w:bookmarkEnd w:id="21"/>
      <w:r w:rsidRPr="00521933">
        <w:rPr>
          <w:rFonts w:ascii="Times New Roman" w:hAnsi="Times New Roman" w:cs="Times New Roman"/>
          <w:szCs w:val="24"/>
          <w:lang w:val="lv-LV"/>
        </w:rPr>
        <w:t>PVO Sekretariāta saistības</w:t>
      </w:r>
    </w:p>
    <w:p w:rsidR="00F706BE" w:rsidRPr="00521933" w:rsidRDefault="00F706BE" w:rsidP="00F706BE">
      <w:pPr>
        <w:pStyle w:val="indent7"/>
        <w:tabs>
          <w:tab w:val="left" w:pos="567"/>
        </w:tabs>
        <w:spacing w:line="240" w:lineRule="auto"/>
        <w:ind w:right="-1"/>
        <w:rPr>
          <w:rFonts w:ascii="Times New Roman" w:hAnsi="Times New Roman"/>
          <w:szCs w:val="24"/>
          <w:lang w:val="lv-LV"/>
        </w:rPr>
      </w:pPr>
    </w:p>
    <w:p w:rsidR="00F706BE" w:rsidRPr="00521933" w:rsidRDefault="00F706BE" w:rsidP="00F706BE">
      <w:pPr>
        <w:jc w:val="both"/>
        <w:rPr>
          <w:lang w:val="lv-LV"/>
        </w:rPr>
      </w:pPr>
      <w:r w:rsidRPr="00521933">
        <w:rPr>
          <w:lang w:val="lv-LV"/>
        </w:rPr>
        <w:t xml:space="preserve">PVO piekrīt nodrošināt programmas īstenošanas aktivitātes, kas aprakstītas pielikumā, pieejamo līdzekļu robežās saskaņā ar noteikumiem. Atsevišķi līgumi tiks noslēgti ikvienai aktivitātei vietējo izmaksu finansēšanai vai tiešajiem kopējas finansiālas sadarbības ieguldījumiem līguma izpildes laikā. </w:t>
      </w:r>
    </w:p>
    <w:p w:rsidR="00F706BE" w:rsidRPr="00521933" w:rsidRDefault="00F706BE" w:rsidP="00F706BE">
      <w:pPr>
        <w:pStyle w:val="Heading3"/>
        <w:rPr>
          <w:rFonts w:ascii="Times New Roman" w:hAnsi="Times New Roman" w:cs="Times New Roman"/>
          <w:szCs w:val="24"/>
          <w:lang w:val="lv-LV"/>
        </w:rPr>
      </w:pPr>
      <w:bookmarkStart w:id="22" w:name="_Toc111434530"/>
      <w:bookmarkStart w:id="23" w:name="_Toc111435297"/>
      <w:bookmarkStart w:id="24" w:name="_Toc113887657"/>
      <w:bookmarkStart w:id="25" w:name="_Toc303237003"/>
      <w:bookmarkStart w:id="26" w:name="_Toc303786407"/>
      <w:r w:rsidRPr="00521933">
        <w:rPr>
          <w:rFonts w:ascii="Times New Roman" w:hAnsi="Times New Roman" w:cs="Times New Roman"/>
          <w:szCs w:val="24"/>
          <w:lang w:val="lv-LV"/>
        </w:rPr>
        <w:t>2.2.2</w:t>
      </w:r>
      <w:r w:rsidRPr="00521933">
        <w:rPr>
          <w:rFonts w:ascii="Times New Roman" w:hAnsi="Times New Roman" w:cs="Times New Roman"/>
          <w:szCs w:val="24"/>
          <w:lang w:val="lv-LV"/>
        </w:rPr>
        <w:tab/>
      </w:r>
      <w:bookmarkEnd w:id="22"/>
      <w:bookmarkEnd w:id="23"/>
      <w:bookmarkEnd w:id="24"/>
      <w:bookmarkEnd w:id="25"/>
      <w:bookmarkEnd w:id="26"/>
      <w:r w:rsidRPr="00521933">
        <w:rPr>
          <w:rFonts w:ascii="Times New Roman" w:hAnsi="Times New Roman" w:cs="Times New Roman"/>
          <w:szCs w:val="24"/>
          <w:lang w:val="lv-LV"/>
        </w:rPr>
        <w:t>Latvijas Republikas Veselības ministrijas saistības</w:t>
      </w:r>
    </w:p>
    <w:p w:rsidR="00F706BE" w:rsidRPr="00521933" w:rsidRDefault="00F706BE" w:rsidP="00F706BE">
      <w:pPr>
        <w:pStyle w:val="MTPbodytext"/>
        <w:rPr>
          <w:szCs w:val="24"/>
          <w:lang w:val="lv-LV"/>
        </w:rPr>
      </w:pPr>
    </w:p>
    <w:p w:rsidR="00F706BE" w:rsidRPr="00521933" w:rsidRDefault="00F706BE" w:rsidP="00F706BE">
      <w:pPr>
        <w:jc w:val="both"/>
        <w:rPr>
          <w:lang w:val="lv-LV"/>
        </w:rPr>
      </w:pPr>
      <w:r w:rsidRPr="00521933">
        <w:rPr>
          <w:lang w:val="lv-LV"/>
        </w:rPr>
        <w:t xml:space="preserve">Latvijas Republikas Veselības ministrija apņemas iesaistīties politikas un stratēģijas izstrādes un īstenošanas nepieciešamajos procesos, nodrošināt darbiniekus, materiālus, aprīkojumu un vietējās izmaksas, kas nepieciešamas </w:t>
      </w:r>
      <w:r w:rsidRPr="00521933">
        <w:rPr>
          <w:b/>
          <w:lang w:val="lv-LV"/>
        </w:rPr>
        <w:t xml:space="preserve">pielikumā minēto gala rezultātu īstenošanai. </w:t>
      </w:r>
    </w:p>
    <w:p w:rsidR="00F706BE" w:rsidRPr="00521933" w:rsidRDefault="00F706BE" w:rsidP="00F706BE">
      <w:pPr>
        <w:keepNext/>
        <w:autoSpaceDE w:val="0"/>
        <w:autoSpaceDN w:val="0"/>
        <w:adjustRightInd w:val="0"/>
        <w:jc w:val="both"/>
        <w:outlineLvl w:val="1"/>
        <w:rPr>
          <w:b/>
          <w:bCs/>
          <w:lang w:val="lv-LV" w:eastAsia="en-GB"/>
        </w:rPr>
      </w:pPr>
    </w:p>
    <w:p w:rsidR="00F706BE" w:rsidRPr="00521933" w:rsidRDefault="00F706BE" w:rsidP="00F706BE">
      <w:pPr>
        <w:pStyle w:val="Heading1"/>
        <w:jc w:val="center"/>
        <w:rPr>
          <w:rFonts w:ascii="Times New Roman" w:hAnsi="Times New Roman" w:cs="Times New Roman"/>
          <w:color w:val="0000FF"/>
          <w:sz w:val="24"/>
          <w:szCs w:val="24"/>
          <w:lang w:val="lv-LV" w:eastAsia="en-GB"/>
        </w:rPr>
      </w:pPr>
      <w:r w:rsidRPr="00521933">
        <w:rPr>
          <w:rFonts w:ascii="Times New Roman" w:hAnsi="Times New Roman" w:cs="Times New Roman"/>
          <w:sz w:val="24"/>
          <w:szCs w:val="24"/>
          <w:lang w:val="lv-LV"/>
        </w:rPr>
        <w:br w:type="page"/>
      </w:r>
      <w:bookmarkStart w:id="27" w:name="_Toc303237004"/>
      <w:bookmarkStart w:id="28" w:name="_Toc303786408"/>
      <w:r w:rsidRPr="00521933">
        <w:rPr>
          <w:rFonts w:ascii="Times New Roman" w:hAnsi="Times New Roman" w:cs="Times New Roman"/>
          <w:color w:val="0000FF"/>
          <w:sz w:val="24"/>
          <w:szCs w:val="24"/>
          <w:lang w:val="lv-LV" w:eastAsia="en-GB"/>
        </w:rPr>
        <w:lastRenderedPageBreak/>
        <w:t xml:space="preserve">Pielikums: Prioritāšu sasniedzamie rezultāti un </w:t>
      </w:r>
      <w:bookmarkEnd w:id="27"/>
      <w:bookmarkEnd w:id="28"/>
      <w:r w:rsidRPr="00521933">
        <w:rPr>
          <w:rFonts w:ascii="Times New Roman" w:hAnsi="Times New Roman" w:cs="Times New Roman"/>
          <w:color w:val="0000FF"/>
          <w:sz w:val="24"/>
          <w:szCs w:val="24"/>
          <w:lang w:val="lv-LV" w:eastAsia="en-GB"/>
        </w:rPr>
        <w:t>aktivitātes</w:t>
      </w:r>
    </w:p>
    <w:p w:rsidR="00F706BE" w:rsidRPr="00521933" w:rsidRDefault="00F706BE" w:rsidP="00F706BE">
      <w:pPr>
        <w:pStyle w:val="Header"/>
        <w:tabs>
          <w:tab w:val="clear" w:pos="4320"/>
          <w:tab w:val="clear" w:pos="8640"/>
        </w:tabs>
        <w:rPr>
          <w:lang w:val="lv-LV"/>
        </w:rPr>
      </w:pPr>
    </w:p>
    <w:p w:rsidR="00F706BE" w:rsidRPr="00521933" w:rsidRDefault="00F706BE" w:rsidP="00F706BE">
      <w:pPr>
        <w:autoSpaceDE w:val="0"/>
        <w:autoSpaceDN w:val="0"/>
        <w:adjustRightInd w:val="0"/>
        <w:jc w:val="both"/>
        <w:rPr>
          <w:lang w:val="lv-LV" w:eastAsia="en-GB"/>
        </w:rPr>
      </w:pPr>
      <w:r w:rsidRPr="00521933">
        <w:rPr>
          <w:lang w:val="lv-LV" w:eastAsia="en-GB"/>
        </w:rPr>
        <w:t>Šajā pielikumā var veikt turpmākus grozījumus, kā noteikts Līguma sadarbības noteikumos.</w:t>
      </w:r>
    </w:p>
    <w:p w:rsidR="00F706BE" w:rsidRPr="00521933" w:rsidRDefault="00F706BE" w:rsidP="00F706BE">
      <w:pPr>
        <w:jc w:val="both"/>
        <w:rPr>
          <w:b/>
          <w:color w:val="000000"/>
          <w:lang w:val="lv-LV"/>
        </w:rPr>
      </w:pPr>
    </w:p>
    <w:p w:rsidR="00F706BE" w:rsidRPr="00521933" w:rsidRDefault="00F706BE" w:rsidP="00F706BE">
      <w:pPr>
        <w:pStyle w:val="ListParagraph"/>
        <w:ind w:left="0"/>
        <w:rPr>
          <w:b/>
          <w:lang w:val="lv-LV"/>
        </w:rPr>
      </w:pPr>
      <w:r w:rsidRPr="00521933">
        <w:rPr>
          <w:b/>
          <w:lang w:val="lv-LV"/>
        </w:rPr>
        <w:t xml:space="preserve">PRIORITĀTE 1: Eiropas Veselības Politika – Veselība 2020 </w:t>
      </w:r>
    </w:p>
    <w:p w:rsidR="00F706BE" w:rsidRPr="00521933" w:rsidRDefault="00F706BE" w:rsidP="00F706BE">
      <w:pPr>
        <w:pStyle w:val="ListParagraph"/>
        <w:ind w:left="0"/>
        <w:rPr>
          <w:b/>
          <w:iCs/>
          <w:lang w:val="lv-LV"/>
        </w:rPr>
      </w:pPr>
    </w:p>
    <w:tbl>
      <w:tblPr>
        <w:tblW w:w="9141" w:type="dxa"/>
        <w:tblInd w:w="93" w:type="dxa"/>
        <w:tblLook w:val="0000"/>
      </w:tblPr>
      <w:tblGrid>
        <w:gridCol w:w="595"/>
        <w:gridCol w:w="2292"/>
        <w:gridCol w:w="2765"/>
        <w:gridCol w:w="1203"/>
        <w:gridCol w:w="990"/>
        <w:gridCol w:w="1296"/>
      </w:tblGrid>
      <w:tr w:rsidR="00F706BE" w:rsidRPr="00521933" w:rsidTr="00747851">
        <w:trPr>
          <w:trHeight w:val="420"/>
        </w:trPr>
        <w:tc>
          <w:tcPr>
            <w:tcW w:w="595" w:type="dxa"/>
            <w:vMerge w:val="restart"/>
            <w:tcBorders>
              <w:top w:val="single" w:sz="4" w:space="0" w:color="auto"/>
              <w:left w:val="single" w:sz="4" w:space="0" w:color="auto"/>
              <w:bottom w:val="double" w:sz="6" w:space="0" w:color="000000"/>
              <w:right w:val="single" w:sz="4" w:space="0" w:color="auto"/>
            </w:tcBorders>
            <w:vAlign w:val="center"/>
          </w:tcPr>
          <w:p w:rsidR="00F706BE" w:rsidRPr="00521933" w:rsidRDefault="00F706BE" w:rsidP="00747851">
            <w:pPr>
              <w:jc w:val="center"/>
              <w:rPr>
                <w:b/>
                <w:bCs/>
                <w:lang w:val="lv-LV"/>
              </w:rPr>
            </w:pPr>
            <w:r w:rsidRPr="00521933">
              <w:rPr>
                <w:b/>
                <w:bCs/>
                <w:lang w:val="lv-LV"/>
              </w:rPr>
              <w:t>SO</w:t>
            </w:r>
          </w:p>
        </w:tc>
        <w:tc>
          <w:tcPr>
            <w:tcW w:w="2829" w:type="dxa"/>
            <w:vMerge w:val="restart"/>
            <w:tcBorders>
              <w:top w:val="single" w:sz="4" w:space="0" w:color="auto"/>
              <w:left w:val="single" w:sz="4" w:space="0" w:color="auto"/>
              <w:bottom w:val="double" w:sz="6" w:space="0" w:color="000000"/>
              <w:right w:val="single" w:sz="4" w:space="0" w:color="auto"/>
            </w:tcBorders>
            <w:vAlign w:val="center"/>
          </w:tcPr>
          <w:p w:rsidR="00F706BE" w:rsidRPr="00521933" w:rsidRDefault="00F706BE" w:rsidP="00747851">
            <w:pPr>
              <w:jc w:val="center"/>
              <w:rPr>
                <w:b/>
                <w:bCs/>
                <w:lang w:val="lv-LV"/>
              </w:rPr>
            </w:pPr>
            <w:r w:rsidRPr="00521933">
              <w:rPr>
                <w:b/>
                <w:bCs/>
                <w:lang w:val="lv-LV"/>
              </w:rPr>
              <w:t xml:space="preserve">Sagaidāmais  rezultāts </w:t>
            </w:r>
          </w:p>
        </w:tc>
        <w:tc>
          <w:tcPr>
            <w:tcW w:w="3191" w:type="dxa"/>
            <w:vMerge w:val="restart"/>
            <w:tcBorders>
              <w:top w:val="single" w:sz="4" w:space="0" w:color="auto"/>
              <w:left w:val="nil"/>
              <w:bottom w:val="double" w:sz="6" w:space="0" w:color="000000"/>
              <w:right w:val="nil"/>
            </w:tcBorders>
            <w:vAlign w:val="center"/>
          </w:tcPr>
          <w:p w:rsidR="00F706BE" w:rsidRPr="00521933" w:rsidRDefault="00F706BE" w:rsidP="00747851">
            <w:pPr>
              <w:jc w:val="center"/>
              <w:rPr>
                <w:b/>
                <w:bCs/>
                <w:lang w:val="lv-LV"/>
              </w:rPr>
            </w:pPr>
            <w:r w:rsidRPr="00521933">
              <w:rPr>
                <w:b/>
                <w:bCs/>
                <w:lang w:val="lv-LV"/>
              </w:rPr>
              <w:t>Rezultatīvais rādītājs</w:t>
            </w:r>
          </w:p>
        </w:tc>
        <w:tc>
          <w:tcPr>
            <w:tcW w:w="2526" w:type="dxa"/>
            <w:gridSpan w:val="3"/>
            <w:tcBorders>
              <w:top w:val="single" w:sz="4" w:space="0" w:color="auto"/>
              <w:left w:val="single" w:sz="4" w:space="0" w:color="auto"/>
              <w:bottom w:val="single" w:sz="4" w:space="0" w:color="auto"/>
              <w:right w:val="single" w:sz="4" w:space="0" w:color="000000"/>
            </w:tcBorders>
            <w:noWrap/>
            <w:vAlign w:val="center"/>
          </w:tcPr>
          <w:p w:rsidR="00F706BE" w:rsidRPr="00521933" w:rsidRDefault="00F706BE" w:rsidP="00747851">
            <w:pPr>
              <w:jc w:val="center"/>
              <w:rPr>
                <w:b/>
                <w:bCs/>
                <w:lang w:val="lv-LV"/>
              </w:rPr>
            </w:pPr>
            <w:r w:rsidRPr="00521933">
              <w:rPr>
                <w:b/>
                <w:bCs/>
                <w:lang w:val="lv-LV"/>
              </w:rPr>
              <w:t>Īstenošanas modulis</w:t>
            </w:r>
          </w:p>
        </w:tc>
      </w:tr>
      <w:tr w:rsidR="00F706BE" w:rsidRPr="00521933" w:rsidTr="00747851">
        <w:trPr>
          <w:trHeight w:val="886"/>
        </w:trPr>
        <w:tc>
          <w:tcPr>
            <w:tcW w:w="595" w:type="dxa"/>
            <w:vMerge/>
            <w:tcBorders>
              <w:top w:val="single" w:sz="4" w:space="0" w:color="auto"/>
              <w:left w:val="single" w:sz="4" w:space="0" w:color="auto"/>
              <w:bottom w:val="double" w:sz="4" w:space="0" w:color="auto"/>
              <w:right w:val="single" w:sz="4" w:space="0" w:color="auto"/>
            </w:tcBorders>
            <w:vAlign w:val="center"/>
          </w:tcPr>
          <w:p w:rsidR="00F706BE" w:rsidRPr="00521933" w:rsidRDefault="00F706BE" w:rsidP="00747851">
            <w:pPr>
              <w:rPr>
                <w:b/>
                <w:bCs/>
                <w:lang w:val="lv-LV"/>
              </w:rPr>
            </w:pPr>
          </w:p>
        </w:tc>
        <w:tc>
          <w:tcPr>
            <w:tcW w:w="2829" w:type="dxa"/>
            <w:vMerge/>
            <w:tcBorders>
              <w:top w:val="single" w:sz="4" w:space="0" w:color="auto"/>
              <w:left w:val="single" w:sz="4" w:space="0" w:color="auto"/>
              <w:bottom w:val="double" w:sz="4" w:space="0" w:color="auto"/>
              <w:right w:val="single" w:sz="4" w:space="0" w:color="auto"/>
            </w:tcBorders>
            <w:vAlign w:val="center"/>
          </w:tcPr>
          <w:p w:rsidR="00F706BE" w:rsidRPr="00521933" w:rsidRDefault="00F706BE" w:rsidP="00747851">
            <w:pPr>
              <w:rPr>
                <w:b/>
                <w:bCs/>
                <w:lang w:val="lv-LV"/>
              </w:rPr>
            </w:pPr>
          </w:p>
        </w:tc>
        <w:tc>
          <w:tcPr>
            <w:tcW w:w="3191" w:type="dxa"/>
            <w:vMerge/>
            <w:tcBorders>
              <w:top w:val="single" w:sz="4" w:space="0" w:color="auto"/>
              <w:left w:val="nil"/>
              <w:bottom w:val="double" w:sz="6" w:space="0" w:color="000000"/>
              <w:right w:val="nil"/>
            </w:tcBorders>
            <w:vAlign w:val="center"/>
          </w:tcPr>
          <w:p w:rsidR="00F706BE" w:rsidRPr="00521933" w:rsidRDefault="00F706BE" w:rsidP="00747851">
            <w:pPr>
              <w:rPr>
                <w:b/>
                <w:bCs/>
                <w:lang w:val="lv-LV"/>
              </w:rPr>
            </w:pPr>
          </w:p>
        </w:tc>
        <w:tc>
          <w:tcPr>
            <w:tcW w:w="872" w:type="dxa"/>
            <w:tcBorders>
              <w:top w:val="nil"/>
              <w:left w:val="single" w:sz="4" w:space="0" w:color="auto"/>
              <w:bottom w:val="nil"/>
              <w:right w:val="single" w:sz="4" w:space="0" w:color="auto"/>
            </w:tcBorders>
            <w:vAlign w:val="center"/>
          </w:tcPr>
          <w:p w:rsidR="00F706BE" w:rsidRPr="00521933" w:rsidRDefault="00F706BE" w:rsidP="00747851">
            <w:pPr>
              <w:jc w:val="center"/>
              <w:rPr>
                <w:lang w:val="lv-LV"/>
              </w:rPr>
            </w:pPr>
            <w:r w:rsidRPr="00521933">
              <w:rPr>
                <w:lang w:val="lv-LV"/>
              </w:rPr>
              <w:t xml:space="preserve">Konkrētās valsts modulis </w:t>
            </w:r>
            <w:r w:rsidRPr="00521933">
              <w:rPr>
                <w:b/>
                <w:lang w:val="lv-LV"/>
              </w:rPr>
              <w:t>(KVM)</w:t>
            </w:r>
          </w:p>
        </w:tc>
        <w:tc>
          <w:tcPr>
            <w:tcW w:w="827" w:type="dxa"/>
            <w:tcBorders>
              <w:top w:val="nil"/>
              <w:left w:val="nil"/>
              <w:bottom w:val="double" w:sz="6" w:space="0" w:color="auto"/>
              <w:right w:val="single" w:sz="4" w:space="0" w:color="000000"/>
            </w:tcBorders>
            <w:vAlign w:val="center"/>
          </w:tcPr>
          <w:p w:rsidR="00F706BE" w:rsidRPr="00521933" w:rsidRDefault="00F706BE" w:rsidP="00747851">
            <w:pPr>
              <w:jc w:val="center"/>
              <w:rPr>
                <w:lang w:val="lv-LV"/>
              </w:rPr>
            </w:pPr>
            <w:r w:rsidRPr="00521933">
              <w:rPr>
                <w:lang w:val="lv-LV"/>
              </w:rPr>
              <w:t xml:space="preserve">Vairāku valstu modulis </w:t>
            </w:r>
            <w:r w:rsidRPr="00521933">
              <w:rPr>
                <w:b/>
                <w:lang w:val="lv-LV"/>
              </w:rPr>
              <w:t>(VVM)</w:t>
            </w:r>
          </w:p>
        </w:tc>
        <w:tc>
          <w:tcPr>
            <w:tcW w:w="827" w:type="dxa"/>
            <w:tcBorders>
              <w:top w:val="nil"/>
              <w:left w:val="nil"/>
              <w:bottom w:val="double" w:sz="6" w:space="0" w:color="auto"/>
              <w:right w:val="single" w:sz="4" w:space="0" w:color="000000"/>
            </w:tcBorders>
            <w:vAlign w:val="center"/>
          </w:tcPr>
          <w:p w:rsidR="00F706BE" w:rsidRPr="00521933" w:rsidRDefault="00F706BE" w:rsidP="00747851">
            <w:pPr>
              <w:jc w:val="center"/>
              <w:rPr>
                <w:lang w:val="lv-LV"/>
              </w:rPr>
            </w:pPr>
            <w:r w:rsidRPr="00521933">
              <w:rPr>
                <w:lang w:val="lv-LV"/>
              </w:rPr>
              <w:t xml:space="preserve">Starpvalstu modulis </w:t>
            </w:r>
            <w:r w:rsidRPr="00521933">
              <w:rPr>
                <w:b/>
                <w:lang w:val="lv-LV"/>
              </w:rPr>
              <w:t>(SM)</w:t>
            </w:r>
          </w:p>
        </w:tc>
      </w:tr>
      <w:tr w:rsidR="00F706BE" w:rsidRPr="00521933" w:rsidTr="00747851">
        <w:trPr>
          <w:trHeight w:val="510"/>
        </w:trPr>
        <w:tc>
          <w:tcPr>
            <w:tcW w:w="595" w:type="dxa"/>
            <w:vMerge w:val="restart"/>
            <w:tcBorders>
              <w:top w:val="double" w:sz="4" w:space="0" w:color="auto"/>
              <w:left w:val="single" w:sz="4" w:space="0" w:color="auto"/>
              <w:right w:val="single" w:sz="4" w:space="0" w:color="auto"/>
            </w:tcBorders>
          </w:tcPr>
          <w:p w:rsidR="00F706BE" w:rsidRPr="00521933" w:rsidRDefault="00F706BE" w:rsidP="00747851">
            <w:pPr>
              <w:spacing w:before="120" w:after="120"/>
              <w:jc w:val="center"/>
              <w:rPr>
                <w:lang w:val="lv-LV"/>
              </w:rPr>
            </w:pPr>
            <w:r w:rsidRPr="00521933">
              <w:rPr>
                <w:lang w:val="lv-LV"/>
              </w:rPr>
              <w:t>7</w:t>
            </w:r>
          </w:p>
        </w:tc>
        <w:tc>
          <w:tcPr>
            <w:tcW w:w="2829" w:type="dxa"/>
            <w:vMerge w:val="restart"/>
            <w:tcBorders>
              <w:top w:val="double" w:sz="4" w:space="0" w:color="auto"/>
              <w:left w:val="single" w:sz="4" w:space="0" w:color="auto"/>
              <w:right w:val="single" w:sz="4" w:space="0" w:color="auto"/>
            </w:tcBorders>
          </w:tcPr>
          <w:p w:rsidR="00F706BE" w:rsidRPr="00521933" w:rsidRDefault="00F706BE" w:rsidP="00747851">
            <w:pPr>
              <w:spacing w:before="120" w:after="120"/>
              <w:rPr>
                <w:lang w:val="lv-LV"/>
              </w:rPr>
            </w:pPr>
            <w:r w:rsidRPr="00521933">
              <w:rPr>
                <w:color w:val="000000"/>
                <w:lang w:val="lv-LV" w:eastAsia="lv-LV"/>
              </w:rPr>
              <w:t>(CNT 1010) (</w:t>
            </w:r>
            <w:proofErr w:type="spellStart"/>
            <w:r w:rsidRPr="00521933">
              <w:rPr>
                <w:color w:val="000000"/>
                <w:lang w:val="lv-LV" w:eastAsia="lv-LV"/>
              </w:rPr>
              <w:t>ex</w:t>
            </w:r>
            <w:proofErr w:type="spellEnd"/>
            <w:r w:rsidRPr="00521933">
              <w:rPr>
                <w:color w:val="000000"/>
                <w:lang w:val="lv-LV" w:eastAsia="lv-LV"/>
              </w:rPr>
              <w:t xml:space="preserve"> 40)(R00)Latvijai jāizstrādā valsts un vietējā līmeņa veselības un labklājības politika, balstoties uz / vai saskaņā ar H2020 politikas ietvariem un </w:t>
            </w:r>
            <w:proofErr w:type="spellStart"/>
            <w:r w:rsidRPr="00521933">
              <w:rPr>
                <w:color w:val="000000"/>
                <w:lang w:val="lv-LV" w:eastAsia="lv-LV"/>
              </w:rPr>
              <w:t>jāattīstīta</w:t>
            </w:r>
            <w:proofErr w:type="spellEnd"/>
            <w:r w:rsidRPr="00521933">
              <w:rPr>
                <w:color w:val="000000"/>
                <w:lang w:val="lv-LV" w:eastAsia="lv-LV"/>
              </w:rPr>
              <w:t xml:space="preserve"> kapacitāte ieviešot H2020 </w:t>
            </w:r>
            <w:proofErr w:type="spellStart"/>
            <w:r w:rsidRPr="00521933">
              <w:rPr>
                <w:color w:val="000000"/>
                <w:lang w:val="lv-LV" w:eastAsia="lv-LV"/>
              </w:rPr>
              <w:t>ietvertosvaldības</w:t>
            </w:r>
            <w:proofErr w:type="spellEnd"/>
            <w:r w:rsidRPr="00521933">
              <w:rPr>
                <w:color w:val="000000"/>
                <w:lang w:val="lv-LV" w:eastAsia="lv-LV"/>
              </w:rPr>
              <w:t xml:space="preserve"> un starpnozaru procesus un mehānismus. </w:t>
            </w:r>
          </w:p>
        </w:tc>
        <w:tc>
          <w:tcPr>
            <w:tcW w:w="3191" w:type="dxa"/>
            <w:tcBorders>
              <w:top w:val="nil"/>
              <w:left w:val="nil"/>
              <w:bottom w:val="single" w:sz="4" w:space="0" w:color="000000"/>
              <w:right w:val="single" w:sz="4" w:space="0" w:color="000000"/>
            </w:tcBorders>
          </w:tcPr>
          <w:p w:rsidR="00F706BE" w:rsidRPr="00521933" w:rsidRDefault="00F706BE" w:rsidP="00747851">
            <w:pPr>
              <w:spacing w:before="120" w:after="120"/>
              <w:rPr>
                <w:highlight w:val="red"/>
                <w:lang w:val="lv-LV"/>
              </w:rPr>
            </w:pPr>
            <w:r w:rsidRPr="00521933">
              <w:rPr>
                <w:color w:val="000000"/>
                <w:lang w:val="lv-LV"/>
              </w:rPr>
              <w:t xml:space="preserve">1) </w:t>
            </w:r>
            <w:r w:rsidRPr="00521933">
              <w:rPr>
                <w:color w:val="000000"/>
                <w:lang w:val="lv-LV" w:eastAsia="lv-LV"/>
              </w:rPr>
              <w:t>Stiprināta Veselības ministrijas kapacitāte, lai izveidotu un vadītu daudznozaru pieeju un mazinātu sociālās un veselības noteicošos faktorus un nevienlīdzību, izmantojot pieeju veselība visās politikās;</w:t>
            </w:r>
          </w:p>
        </w:tc>
        <w:tc>
          <w:tcPr>
            <w:tcW w:w="872" w:type="dxa"/>
            <w:tcBorders>
              <w:top w:val="double" w:sz="6" w:space="0" w:color="auto"/>
              <w:left w:val="nil"/>
              <w:bottom w:val="single" w:sz="4" w:space="0" w:color="000000"/>
              <w:right w:val="single" w:sz="4" w:space="0" w:color="000000"/>
            </w:tcBorders>
          </w:tcPr>
          <w:p w:rsidR="00F706BE" w:rsidRPr="00521933" w:rsidRDefault="00F706BE" w:rsidP="00747851">
            <w:pPr>
              <w:spacing w:before="120" w:after="120"/>
              <w:jc w:val="center"/>
              <w:rPr>
                <w:highlight w:val="red"/>
                <w:lang w:val="lv-LV"/>
              </w:rPr>
            </w:pPr>
            <w:r w:rsidRPr="00521933">
              <w:rPr>
                <w:lang w:val="lv-LV"/>
              </w:rPr>
              <w:t>X</w:t>
            </w:r>
          </w:p>
        </w:tc>
        <w:tc>
          <w:tcPr>
            <w:tcW w:w="827"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highlight w:val="red"/>
                <w:lang w:val="lv-LV"/>
              </w:rPr>
            </w:pPr>
          </w:p>
        </w:tc>
        <w:tc>
          <w:tcPr>
            <w:tcW w:w="827"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highlight w:val="red"/>
                <w:lang w:val="lv-LV"/>
              </w:rPr>
            </w:pPr>
          </w:p>
        </w:tc>
      </w:tr>
      <w:tr w:rsidR="00F706BE" w:rsidRPr="00521933" w:rsidTr="00747851">
        <w:trPr>
          <w:trHeight w:val="543"/>
        </w:trPr>
        <w:tc>
          <w:tcPr>
            <w:tcW w:w="595" w:type="dxa"/>
            <w:vMerge/>
            <w:tcBorders>
              <w:left w:val="single" w:sz="4" w:space="0" w:color="auto"/>
              <w:bottom w:val="single" w:sz="4" w:space="0" w:color="auto"/>
              <w:right w:val="single" w:sz="4" w:space="0" w:color="auto"/>
            </w:tcBorders>
            <w:vAlign w:val="center"/>
          </w:tcPr>
          <w:p w:rsidR="00F706BE" w:rsidRPr="00521933" w:rsidRDefault="00F706BE" w:rsidP="00747851">
            <w:pPr>
              <w:spacing w:before="120" w:after="120"/>
              <w:rPr>
                <w:lang w:val="lv-LV"/>
              </w:rPr>
            </w:pPr>
          </w:p>
        </w:tc>
        <w:tc>
          <w:tcPr>
            <w:tcW w:w="2829" w:type="dxa"/>
            <w:vMerge/>
            <w:tcBorders>
              <w:left w:val="single" w:sz="4" w:space="0" w:color="auto"/>
              <w:bottom w:val="single" w:sz="4" w:space="0" w:color="auto"/>
              <w:right w:val="single" w:sz="4" w:space="0" w:color="auto"/>
            </w:tcBorders>
            <w:vAlign w:val="center"/>
          </w:tcPr>
          <w:p w:rsidR="00F706BE" w:rsidRPr="00521933" w:rsidRDefault="00F706BE" w:rsidP="00747851">
            <w:pPr>
              <w:spacing w:before="120" w:after="120"/>
              <w:rPr>
                <w:lang w:val="lv-LV"/>
              </w:rPr>
            </w:pPr>
          </w:p>
        </w:tc>
        <w:tc>
          <w:tcPr>
            <w:tcW w:w="3191" w:type="dxa"/>
            <w:tcBorders>
              <w:top w:val="nil"/>
              <w:left w:val="nil"/>
              <w:bottom w:val="single" w:sz="4" w:space="0" w:color="000000"/>
              <w:right w:val="single" w:sz="4" w:space="0" w:color="000000"/>
            </w:tcBorders>
          </w:tcPr>
          <w:p w:rsidR="00F706BE" w:rsidRPr="00521933" w:rsidRDefault="00F706BE" w:rsidP="00747851">
            <w:pPr>
              <w:spacing w:before="120" w:after="120"/>
              <w:rPr>
                <w:highlight w:val="red"/>
                <w:lang w:val="lv-LV"/>
              </w:rPr>
            </w:pPr>
            <w:r w:rsidRPr="00521933">
              <w:rPr>
                <w:color w:val="000000"/>
                <w:lang w:val="lv-LV"/>
              </w:rPr>
              <w:t xml:space="preserve">2) </w:t>
            </w:r>
            <w:r w:rsidRPr="00521933">
              <w:rPr>
                <w:color w:val="000000"/>
                <w:lang w:val="lv-LV" w:eastAsia="lv-LV"/>
              </w:rPr>
              <w:t>Ilgstošs atbalsts Latvijas Sabiedrības veselības stratēģijas īstenošanai;</w:t>
            </w:r>
          </w:p>
        </w:tc>
        <w:tc>
          <w:tcPr>
            <w:tcW w:w="872"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highlight w:val="red"/>
                <w:lang w:val="lv-LV"/>
              </w:rPr>
            </w:pPr>
            <w:r w:rsidRPr="00521933">
              <w:rPr>
                <w:lang w:val="lv-LV"/>
              </w:rPr>
              <w:t>X</w:t>
            </w:r>
          </w:p>
        </w:tc>
        <w:tc>
          <w:tcPr>
            <w:tcW w:w="827"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highlight w:val="red"/>
                <w:lang w:val="lv-LV"/>
              </w:rPr>
            </w:pPr>
            <w:r w:rsidRPr="00521933">
              <w:rPr>
                <w:highlight w:val="red"/>
                <w:lang w:val="lv-LV"/>
              </w:rPr>
              <w:t xml:space="preserve"> </w:t>
            </w:r>
          </w:p>
        </w:tc>
        <w:tc>
          <w:tcPr>
            <w:tcW w:w="827"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highlight w:val="red"/>
                <w:lang w:val="lv-LV"/>
              </w:rPr>
            </w:pPr>
          </w:p>
        </w:tc>
      </w:tr>
      <w:tr w:rsidR="00F706BE" w:rsidRPr="00521933" w:rsidTr="00747851">
        <w:trPr>
          <w:trHeight w:val="651"/>
        </w:trPr>
        <w:tc>
          <w:tcPr>
            <w:tcW w:w="595" w:type="dxa"/>
            <w:tcBorders>
              <w:top w:val="single" w:sz="4" w:space="0" w:color="auto"/>
              <w:left w:val="single" w:sz="4" w:space="0" w:color="auto"/>
              <w:bottom w:val="single" w:sz="4" w:space="0" w:color="auto"/>
              <w:right w:val="single" w:sz="4" w:space="0" w:color="auto"/>
            </w:tcBorders>
            <w:noWrap/>
          </w:tcPr>
          <w:p w:rsidR="00F706BE" w:rsidRPr="00521933" w:rsidRDefault="00F706BE" w:rsidP="00747851">
            <w:pPr>
              <w:spacing w:before="120" w:after="120"/>
              <w:rPr>
                <w:lang w:val="lv-LV"/>
              </w:rPr>
            </w:pPr>
            <w:r w:rsidRPr="00521933">
              <w:rPr>
                <w:lang w:val="lv-LV"/>
              </w:rPr>
              <w:t> 7</w:t>
            </w:r>
          </w:p>
        </w:tc>
        <w:tc>
          <w:tcPr>
            <w:tcW w:w="2829" w:type="dxa"/>
            <w:tcBorders>
              <w:top w:val="single" w:sz="4" w:space="0" w:color="auto"/>
              <w:left w:val="nil"/>
              <w:bottom w:val="single" w:sz="4" w:space="0" w:color="auto"/>
              <w:right w:val="single" w:sz="4" w:space="0" w:color="auto"/>
            </w:tcBorders>
          </w:tcPr>
          <w:p w:rsidR="00F706BE" w:rsidRPr="00521933" w:rsidRDefault="00F706BE" w:rsidP="00747851">
            <w:pPr>
              <w:spacing w:before="120" w:after="120"/>
              <w:rPr>
                <w:lang w:val="lv-LV"/>
              </w:rPr>
            </w:pPr>
            <w:r w:rsidRPr="00521933">
              <w:rPr>
                <w:lang w:val="lv-LV"/>
              </w:rPr>
              <w:t> </w:t>
            </w:r>
            <w:r w:rsidRPr="00521933">
              <w:rPr>
                <w:color w:val="000000"/>
                <w:lang w:val="lv-LV" w:eastAsia="lv-LV"/>
              </w:rPr>
              <w:t>(043)(RO2)</w:t>
            </w:r>
            <w:r w:rsidRPr="00521933">
              <w:rPr>
                <w:lang w:val="lv-LV"/>
              </w:rPr>
              <w:t xml:space="preserve"> </w:t>
            </w:r>
            <w:r w:rsidRPr="00521933">
              <w:rPr>
                <w:color w:val="000000"/>
                <w:lang w:val="lv-LV" w:eastAsia="lv-LV"/>
              </w:rPr>
              <w:t xml:space="preserve">Uzlabota kapacitāte un pārvaldība rīcībai ar veselības un veselības nevienlīdzības sociālajiem faktoriem Veselības 2020 politikas vadlīniju ietvaros un saskaņā ar Pasaules Veselības Asamblejas rezolūciju 62.14(WHA 62.14). </w:t>
            </w:r>
          </w:p>
        </w:tc>
        <w:tc>
          <w:tcPr>
            <w:tcW w:w="3191"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highlight w:val="red"/>
                <w:lang w:val="lv-LV"/>
              </w:rPr>
            </w:pPr>
            <w:r w:rsidRPr="00521933">
              <w:rPr>
                <w:color w:val="000000"/>
                <w:lang w:val="lv-LV"/>
              </w:rPr>
              <w:t xml:space="preserve">1) </w:t>
            </w:r>
            <w:r w:rsidRPr="00521933">
              <w:rPr>
                <w:color w:val="000000"/>
                <w:lang w:val="lv-LV" w:eastAsia="lv-LV"/>
              </w:rPr>
              <w:t xml:space="preserve">Kapacitātes veidošanas programma, lai stiprinātu zināšanas kā īstenot visas valdības un sabiedrības pieeju  sociālajiem veselības faktoriem/vienlīdzībai, ietverot daudzsološu pieredzes un inovāciju apmaiņu politikas noformulēšanā, investēšanā, īstenošanā un atbildībā par veselības vienlīdzību.      </w:t>
            </w:r>
          </w:p>
        </w:tc>
        <w:tc>
          <w:tcPr>
            <w:tcW w:w="872"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jc w:val="center"/>
              <w:rPr>
                <w:lang w:val="lv-LV"/>
              </w:rPr>
            </w:pPr>
            <w:r w:rsidRPr="00521933">
              <w:rPr>
                <w:lang w:val="lv-LV"/>
              </w:rPr>
              <w:t>X</w:t>
            </w:r>
          </w:p>
        </w:tc>
        <w:tc>
          <w:tcPr>
            <w:tcW w:w="827"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jc w:val="center"/>
              <w:rPr>
                <w:lang w:val="lv-LV"/>
              </w:rPr>
            </w:pPr>
            <w:r w:rsidRPr="00521933">
              <w:rPr>
                <w:lang w:val="lv-LV"/>
              </w:rPr>
              <w:t> </w:t>
            </w:r>
          </w:p>
        </w:tc>
        <w:tc>
          <w:tcPr>
            <w:tcW w:w="827" w:type="dxa"/>
            <w:tcBorders>
              <w:top w:val="single" w:sz="4" w:space="0" w:color="auto"/>
              <w:left w:val="nil"/>
              <w:bottom w:val="single" w:sz="4" w:space="0" w:color="auto"/>
              <w:right w:val="single" w:sz="4" w:space="0" w:color="auto"/>
            </w:tcBorders>
          </w:tcPr>
          <w:p w:rsidR="00F706BE" w:rsidRPr="00521933" w:rsidRDefault="00F706BE" w:rsidP="00747851">
            <w:pPr>
              <w:spacing w:before="120" w:after="120"/>
              <w:jc w:val="center"/>
              <w:rPr>
                <w:lang w:val="lv-LV"/>
              </w:rPr>
            </w:pPr>
            <w:r w:rsidRPr="00521933">
              <w:rPr>
                <w:lang w:val="lv-LV"/>
              </w:rPr>
              <w:t> </w:t>
            </w:r>
          </w:p>
        </w:tc>
      </w:tr>
    </w:tbl>
    <w:p w:rsidR="00F706BE" w:rsidRPr="00521933" w:rsidRDefault="00F706BE" w:rsidP="00F706BE">
      <w:pPr>
        <w:pStyle w:val="ListParagraph"/>
        <w:ind w:left="0"/>
        <w:rPr>
          <w:b/>
          <w:iCs/>
          <w:lang w:val="lv-LV"/>
        </w:rPr>
      </w:pPr>
    </w:p>
    <w:p w:rsidR="00F706BE" w:rsidRPr="00521933" w:rsidRDefault="00195F4A" w:rsidP="00F706BE">
      <w:pPr>
        <w:pStyle w:val="ListParagraph"/>
        <w:ind w:left="0"/>
        <w:rPr>
          <w:b/>
          <w:lang w:val="lv-LV"/>
        </w:rPr>
      </w:pPr>
      <w:r w:rsidRPr="00521933">
        <w:rPr>
          <w:b/>
          <w:lang w:val="lv-LV"/>
        </w:rPr>
        <w:br w:type="page"/>
      </w:r>
      <w:r w:rsidR="00F706BE" w:rsidRPr="00521933">
        <w:rPr>
          <w:b/>
          <w:lang w:val="lv-LV"/>
        </w:rPr>
        <w:lastRenderedPageBreak/>
        <w:t>PRIORITĀTE 2: Veselības sistēmas stiprināšana un Sabiedrības veselība</w:t>
      </w:r>
    </w:p>
    <w:p w:rsidR="00F706BE" w:rsidRPr="00521933" w:rsidRDefault="00F706BE" w:rsidP="00F706BE">
      <w:pPr>
        <w:rPr>
          <w:b/>
          <w:lang w:val="lv-LV"/>
        </w:rPr>
      </w:pPr>
    </w:p>
    <w:tbl>
      <w:tblPr>
        <w:tblW w:w="9141" w:type="dxa"/>
        <w:tblInd w:w="93" w:type="dxa"/>
        <w:tblLook w:val="0000"/>
      </w:tblPr>
      <w:tblGrid>
        <w:gridCol w:w="537"/>
        <w:gridCol w:w="2468"/>
        <w:gridCol w:w="2647"/>
        <w:gridCol w:w="1203"/>
        <w:gridCol w:w="990"/>
        <w:gridCol w:w="1296"/>
      </w:tblGrid>
      <w:tr w:rsidR="00F706BE" w:rsidRPr="00521933" w:rsidTr="00747851">
        <w:trPr>
          <w:trHeight w:val="420"/>
        </w:trPr>
        <w:tc>
          <w:tcPr>
            <w:tcW w:w="533" w:type="dxa"/>
            <w:vMerge w:val="restart"/>
            <w:tcBorders>
              <w:top w:val="single" w:sz="4" w:space="0" w:color="auto"/>
              <w:left w:val="single" w:sz="4" w:space="0" w:color="auto"/>
              <w:bottom w:val="double" w:sz="6" w:space="0" w:color="000000"/>
              <w:right w:val="single" w:sz="4" w:space="0" w:color="auto"/>
            </w:tcBorders>
            <w:vAlign w:val="center"/>
          </w:tcPr>
          <w:p w:rsidR="00F706BE" w:rsidRPr="00521933" w:rsidRDefault="00F706BE" w:rsidP="00747851">
            <w:pPr>
              <w:jc w:val="center"/>
              <w:rPr>
                <w:b/>
                <w:bCs/>
                <w:lang w:val="lv-LV"/>
              </w:rPr>
            </w:pPr>
            <w:r w:rsidRPr="00521933">
              <w:rPr>
                <w:b/>
                <w:bCs/>
                <w:lang w:val="lv-LV"/>
              </w:rPr>
              <w:t>SO</w:t>
            </w:r>
          </w:p>
        </w:tc>
        <w:tc>
          <w:tcPr>
            <w:tcW w:w="2776" w:type="dxa"/>
            <w:vMerge w:val="restart"/>
            <w:tcBorders>
              <w:top w:val="single" w:sz="4" w:space="0" w:color="auto"/>
              <w:left w:val="single" w:sz="4" w:space="0" w:color="auto"/>
              <w:bottom w:val="double" w:sz="6" w:space="0" w:color="000000"/>
              <w:right w:val="single" w:sz="4" w:space="0" w:color="auto"/>
            </w:tcBorders>
            <w:vAlign w:val="center"/>
          </w:tcPr>
          <w:p w:rsidR="00F706BE" w:rsidRPr="00521933" w:rsidRDefault="00F706BE" w:rsidP="00747851">
            <w:pPr>
              <w:jc w:val="center"/>
              <w:rPr>
                <w:b/>
                <w:bCs/>
                <w:lang w:val="lv-LV"/>
              </w:rPr>
            </w:pPr>
            <w:r w:rsidRPr="00521933">
              <w:rPr>
                <w:b/>
                <w:bCs/>
                <w:lang w:val="lv-LV"/>
              </w:rPr>
              <w:t>Sagaidāmais rezultāts</w:t>
            </w:r>
          </w:p>
        </w:tc>
        <w:tc>
          <w:tcPr>
            <w:tcW w:w="3116" w:type="dxa"/>
            <w:vMerge w:val="restart"/>
            <w:tcBorders>
              <w:top w:val="single" w:sz="4" w:space="0" w:color="auto"/>
              <w:left w:val="nil"/>
              <w:bottom w:val="double" w:sz="6" w:space="0" w:color="000000"/>
              <w:right w:val="nil"/>
            </w:tcBorders>
            <w:vAlign w:val="center"/>
          </w:tcPr>
          <w:p w:rsidR="00F706BE" w:rsidRPr="00521933" w:rsidRDefault="00F706BE" w:rsidP="00747851">
            <w:pPr>
              <w:jc w:val="center"/>
              <w:rPr>
                <w:b/>
                <w:bCs/>
                <w:lang w:val="lv-LV"/>
              </w:rPr>
            </w:pPr>
            <w:r w:rsidRPr="00521933">
              <w:rPr>
                <w:b/>
                <w:bCs/>
                <w:lang w:val="lv-LV"/>
              </w:rPr>
              <w:t>Rezultatīvais rādītājs</w:t>
            </w:r>
          </w:p>
        </w:tc>
        <w:tc>
          <w:tcPr>
            <w:tcW w:w="2716" w:type="dxa"/>
            <w:gridSpan w:val="3"/>
            <w:tcBorders>
              <w:top w:val="single" w:sz="4" w:space="0" w:color="auto"/>
              <w:left w:val="single" w:sz="4" w:space="0" w:color="auto"/>
              <w:bottom w:val="single" w:sz="4" w:space="0" w:color="auto"/>
              <w:right w:val="single" w:sz="4" w:space="0" w:color="000000"/>
            </w:tcBorders>
            <w:noWrap/>
            <w:vAlign w:val="center"/>
          </w:tcPr>
          <w:p w:rsidR="00F706BE" w:rsidRPr="00521933" w:rsidRDefault="00F706BE" w:rsidP="00747851">
            <w:pPr>
              <w:jc w:val="center"/>
              <w:rPr>
                <w:b/>
                <w:bCs/>
                <w:lang w:val="lv-LV"/>
              </w:rPr>
            </w:pPr>
            <w:r w:rsidRPr="00521933">
              <w:rPr>
                <w:b/>
                <w:bCs/>
                <w:lang w:val="lv-LV"/>
              </w:rPr>
              <w:t>Īstenošanas modulis</w:t>
            </w:r>
          </w:p>
        </w:tc>
      </w:tr>
      <w:tr w:rsidR="00F706BE" w:rsidRPr="00521933" w:rsidTr="00747851">
        <w:trPr>
          <w:trHeight w:val="980"/>
        </w:trPr>
        <w:tc>
          <w:tcPr>
            <w:tcW w:w="533" w:type="dxa"/>
            <w:vMerge/>
            <w:tcBorders>
              <w:top w:val="single" w:sz="4" w:space="0" w:color="auto"/>
              <w:left w:val="single" w:sz="4" w:space="0" w:color="auto"/>
              <w:bottom w:val="double" w:sz="4" w:space="0" w:color="auto"/>
              <w:right w:val="single" w:sz="4" w:space="0" w:color="auto"/>
            </w:tcBorders>
            <w:vAlign w:val="center"/>
          </w:tcPr>
          <w:p w:rsidR="00F706BE" w:rsidRPr="00521933" w:rsidRDefault="00F706BE" w:rsidP="00747851">
            <w:pPr>
              <w:rPr>
                <w:b/>
                <w:bCs/>
                <w:lang w:val="lv-LV"/>
              </w:rPr>
            </w:pPr>
          </w:p>
        </w:tc>
        <w:tc>
          <w:tcPr>
            <w:tcW w:w="2776" w:type="dxa"/>
            <w:vMerge/>
            <w:tcBorders>
              <w:top w:val="single" w:sz="4" w:space="0" w:color="auto"/>
              <w:left w:val="single" w:sz="4" w:space="0" w:color="auto"/>
              <w:bottom w:val="double" w:sz="4" w:space="0" w:color="auto"/>
              <w:right w:val="single" w:sz="4" w:space="0" w:color="auto"/>
            </w:tcBorders>
            <w:vAlign w:val="center"/>
          </w:tcPr>
          <w:p w:rsidR="00F706BE" w:rsidRPr="00521933" w:rsidRDefault="00F706BE" w:rsidP="00747851">
            <w:pPr>
              <w:rPr>
                <w:b/>
                <w:bCs/>
                <w:lang w:val="lv-LV"/>
              </w:rPr>
            </w:pPr>
          </w:p>
        </w:tc>
        <w:tc>
          <w:tcPr>
            <w:tcW w:w="3116" w:type="dxa"/>
            <w:vMerge/>
            <w:tcBorders>
              <w:top w:val="single" w:sz="4" w:space="0" w:color="auto"/>
              <w:left w:val="nil"/>
              <w:bottom w:val="double" w:sz="6" w:space="0" w:color="000000"/>
              <w:right w:val="nil"/>
            </w:tcBorders>
            <w:vAlign w:val="center"/>
          </w:tcPr>
          <w:p w:rsidR="00F706BE" w:rsidRPr="00521933" w:rsidRDefault="00F706BE" w:rsidP="00747851">
            <w:pPr>
              <w:rPr>
                <w:b/>
                <w:bCs/>
                <w:lang w:val="lv-LV"/>
              </w:rPr>
            </w:pPr>
          </w:p>
        </w:tc>
        <w:tc>
          <w:tcPr>
            <w:tcW w:w="938" w:type="dxa"/>
            <w:tcBorders>
              <w:top w:val="nil"/>
              <w:left w:val="single" w:sz="4" w:space="0" w:color="auto"/>
              <w:bottom w:val="nil"/>
              <w:right w:val="single" w:sz="4" w:space="0" w:color="auto"/>
            </w:tcBorders>
            <w:vAlign w:val="center"/>
          </w:tcPr>
          <w:p w:rsidR="00F706BE" w:rsidRPr="00521933" w:rsidRDefault="00F706BE" w:rsidP="00747851">
            <w:pPr>
              <w:jc w:val="center"/>
              <w:rPr>
                <w:lang w:val="lv-LV"/>
              </w:rPr>
            </w:pPr>
            <w:r w:rsidRPr="00521933">
              <w:rPr>
                <w:lang w:val="lv-LV"/>
              </w:rPr>
              <w:t xml:space="preserve">Konkrētās valsts modulis </w:t>
            </w:r>
            <w:r w:rsidRPr="00521933">
              <w:rPr>
                <w:b/>
                <w:lang w:val="lv-LV"/>
              </w:rPr>
              <w:t>(KVM)</w:t>
            </w:r>
          </w:p>
        </w:tc>
        <w:tc>
          <w:tcPr>
            <w:tcW w:w="889" w:type="dxa"/>
            <w:tcBorders>
              <w:top w:val="nil"/>
              <w:left w:val="nil"/>
              <w:bottom w:val="double" w:sz="6" w:space="0" w:color="auto"/>
              <w:right w:val="single" w:sz="4" w:space="0" w:color="000000"/>
            </w:tcBorders>
            <w:vAlign w:val="center"/>
          </w:tcPr>
          <w:p w:rsidR="00F706BE" w:rsidRPr="00521933" w:rsidRDefault="00F706BE" w:rsidP="00747851">
            <w:pPr>
              <w:jc w:val="center"/>
              <w:rPr>
                <w:lang w:val="lv-LV"/>
              </w:rPr>
            </w:pPr>
            <w:r w:rsidRPr="00521933">
              <w:rPr>
                <w:lang w:val="lv-LV"/>
              </w:rPr>
              <w:t xml:space="preserve">Vairāku valstu modulis </w:t>
            </w:r>
            <w:r w:rsidRPr="00521933">
              <w:rPr>
                <w:b/>
                <w:lang w:val="lv-LV"/>
              </w:rPr>
              <w:t>(VVM)</w:t>
            </w:r>
          </w:p>
        </w:tc>
        <w:tc>
          <w:tcPr>
            <w:tcW w:w="889" w:type="dxa"/>
            <w:tcBorders>
              <w:top w:val="nil"/>
              <w:left w:val="nil"/>
              <w:bottom w:val="double" w:sz="6" w:space="0" w:color="auto"/>
              <w:right w:val="single" w:sz="4" w:space="0" w:color="000000"/>
            </w:tcBorders>
            <w:vAlign w:val="center"/>
          </w:tcPr>
          <w:p w:rsidR="00F706BE" w:rsidRPr="00521933" w:rsidRDefault="00F706BE" w:rsidP="00747851">
            <w:pPr>
              <w:jc w:val="center"/>
              <w:rPr>
                <w:lang w:val="lv-LV"/>
              </w:rPr>
            </w:pPr>
            <w:r w:rsidRPr="00521933">
              <w:rPr>
                <w:lang w:val="lv-LV"/>
              </w:rPr>
              <w:t xml:space="preserve">Starpvalstu modulis </w:t>
            </w:r>
            <w:r w:rsidRPr="00521933">
              <w:rPr>
                <w:b/>
                <w:lang w:val="lv-LV"/>
              </w:rPr>
              <w:t>(SM))</w:t>
            </w:r>
          </w:p>
        </w:tc>
      </w:tr>
      <w:tr w:rsidR="00F706BE" w:rsidRPr="00521933" w:rsidTr="00747851">
        <w:trPr>
          <w:trHeight w:val="556"/>
        </w:trPr>
        <w:tc>
          <w:tcPr>
            <w:tcW w:w="533" w:type="dxa"/>
            <w:vMerge w:val="restart"/>
            <w:tcBorders>
              <w:top w:val="double" w:sz="4" w:space="0" w:color="auto"/>
              <w:left w:val="single" w:sz="4" w:space="0" w:color="auto"/>
              <w:bottom w:val="single" w:sz="4" w:space="0" w:color="auto"/>
              <w:right w:val="single" w:sz="4" w:space="0" w:color="auto"/>
            </w:tcBorders>
          </w:tcPr>
          <w:p w:rsidR="00F706BE" w:rsidRPr="00521933" w:rsidRDefault="00F706BE" w:rsidP="00747851">
            <w:pPr>
              <w:spacing w:before="120" w:after="120"/>
              <w:jc w:val="center"/>
              <w:rPr>
                <w:highlight w:val="red"/>
                <w:lang w:val="lv-LV"/>
              </w:rPr>
            </w:pPr>
            <w:r w:rsidRPr="00521933">
              <w:rPr>
                <w:lang w:val="lv-LV"/>
              </w:rPr>
              <w:t>11</w:t>
            </w:r>
          </w:p>
        </w:tc>
        <w:tc>
          <w:tcPr>
            <w:tcW w:w="2776" w:type="dxa"/>
            <w:vMerge w:val="restart"/>
            <w:tcBorders>
              <w:top w:val="double" w:sz="4" w:space="0" w:color="auto"/>
              <w:left w:val="single" w:sz="4" w:space="0" w:color="auto"/>
              <w:bottom w:val="single" w:sz="4" w:space="0" w:color="auto"/>
              <w:right w:val="single" w:sz="4" w:space="0" w:color="auto"/>
            </w:tcBorders>
          </w:tcPr>
          <w:p w:rsidR="00F706BE" w:rsidRPr="00521933" w:rsidRDefault="00F706BE" w:rsidP="00747851">
            <w:pPr>
              <w:rPr>
                <w:color w:val="000000"/>
                <w:lang w:val="lv-LV"/>
              </w:rPr>
            </w:pPr>
            <w:r w:rsidRPr="00521933">
              <w:rPr>
                <w:color w:val="000000"/>
                <w:lang w:val="lv-LV" w:eastAsia="lv-LV"/>
              </w:rPr>
              <w:t>(103)(R00) Stiprināta sistemātiska pieeja izstrādei, aktualizēšanai un uz pierādījumiem balstītu instrumentu izmantošanai, racionālas medicīnas produktu (medikamentu, vakcīnu, asins produktu) un tehnoloģiju izmantošanai</w:t>
            </w:r>
          </w:p>
        </w:tc>
        <w:tc>
          <w:tcPr>
            <w:tcW w:w="3116" w:type="dxa"/>
            <w:tcBorders>
              <w:top w:val="nil"/>
              <w:left w:val="nil"/>
              <w:bottom w:val="single" w:sz="4" w:space="0" w:color="000000"/>
              <w:right w:val="single" w:sz="4" w:space="0" w:color="000000"/>
            </w:tcBorders>
          </w:tcPr>
          <w:p w:rsidR="00F706BE" w:rsidRPr="00521933" w:rsidRDefault="00F706BE" w:rsidP="00747851">
            <w:pPr>
              <w:spacing w:before="120" w:after="120"/>
              <w:rPr>
                <w:highlight w:val="red"/>
                <w:lang w:val="lv-LV"/>
              </w:rPr>
            </w:pPr>
            <w:r w:rsidRPr="00521933">
              <w:rPr>
                <w:color w:val="000000"/>
                <w:lang w:val="lv-LV"/>
              </w:rPr>
              <w:t xml:space="preserve">1) </w:t>
            </w:r>
            <w:r w:rsidRPr="00521933">
              <w:rPr>
                <w:color w:val="000000"/>
                <w:lang w:val="lv-LV" w:eastAsia="lv-LV"/>
              </w:rPr>
              <w:t>Atbalsts nacionālajai programmai par racionālu medikamentu izvēli (</w:t>
            </w:r>
            <w:r w:rsidR="00747851" w:rsidRPr="00521933">
              <w:rPr>
                <w:color w:val="000000"/>
                <w:lang w:val="lv-LV" w:eastAsia="lv-LV"/>
              </w:rPr>
              <w:t>pie</w:t>
            </w:r>
            <w:r w:rsidRPr="00521933">
              <w:rPr>
                <w:color w:val="000000"/>
                <w:lang w:val="lv-LV" w:eastAsia="lv-LV"/>
              </w:rPr>
              <w:t>lietojot  veselības tehnoloģiju novērtēšanu) un izrakstīšanu;</w:t>
            </w:r>
          </w:p>
        </w:tc>
        <w:tc>
          <w:tcPr>
            <w:tcW w:w="938" w:type="dxa"/>
            <w:tcBorders>
              <w:top w:val="double" w:sz="6" w:space="0" w:color="auto"/>
              <w:left w:val="nil"/>
              <w:bottom w:val="single" w:sz="4" w:space="0" w:color="000000"/>
              <w:right w:val="single" w:sz="4" w:space="0" w:color="000000"/>
            </w:tcBorders>
          </w:tcPr>
          <w:p w:rsidR="00F706BE" w:rsidRPr="00521933" w:rsidRDefault="00F706BE" w:rsidP="00747851">
            <w:pPr>
              <w:spacing w:before="120" w:after="120"/>
              <w:jc w:val="center"/>
              <w:rPr>
                <w:lang w:val="lv-LV"/>
              </w:rPr>
            </w:pPr>
          </w:p>
        </w:tc>
        <w:tc>
          <w:tcPr>
            <w:tcW w:w="889"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lang w:val="lv-LV"/>
              </w:rPr>
            </w:pPr>
          </w:p>
        </w:tc>
        <w:tc>
          <w:tcPr>
            <w:tcW w:w="889"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lang w:val="lv-LV"/>
              </w:rPr>
            </w:pPr>
            <w:r w:rsidRPr="00521933">
              <w:rPr>
                <w:lang w:val="lv-LV"/>
              </w:rPr>
              <w:t>X</w:t>
            </w:r>
          </w:p>
        </w:tc>
      </w:tr>
      <w:tr w:rsidR="00F706BE" w:rsidRPr="00521933" w:rsidTr="00747851">
        <w:trPr>
          <w:trHeight w:val="551"/>
        </w:trPr>
        <w:tc>
          <w:tcPr>
            <w:tcW w:w="533" w:type="dxa"/>
            <w:vMerge/>
            <w:tcBorders>
              <w:top w:val="double" w:sz="4" w:space="0" w:color="auto"/>
              <w:left w:val="single" w:sz="4" w:space="0" w:color="auto"/>
              <w:bottom w:val="single" w:sz="4" w:space="0" w:color="auto"/>
              <w:right w:val="single" w:sz="4" w:space="0" w:color="auto"/>
            </w:tcBorders>
            <w:vAlign w:val="center"/>
          </w:tcPr>
          <w:p w:rsidR="00F706BE" w:rsidRPr="00521933" w:rsidRDefault="00F706BE" w:rsidP="00747851">
            <w:pPr>
              <w:spacing w:before="120" w:after="120"/>
              <w:rPr>
                <w:highlight w:val="red"/>
                <w:lang w:val="lv-LV"/>
              </w:rPr>
            </w:pPr>
          </w:p>
        </w:tc>
        <w:tc>
          <w:tcPr>
            <w:tcW w:w="2776" w:type="dxa"/>
            <w:vMerge/>
            <w:tcBorders>
              <w:top w:val="single" w:sz="4" w:space="0" w:color="000000"/>
              <w:left w:val="single" w:sz="4" w:space="0" w:color="auto"/>
              <w:bottom w:val="single" w:sz="4" w:space="0" w:color="auto"/>
              <w:right w:val="single" w:sz="4" w:space="0" w:color="auto"/>
            </w:tcBorders>
            <w:vAlign w:val="center"/>
          </w:tcPr>
          <w:p w:rsidR="00F706BE" w:rsidRPr="00521933" w:rsidRDefault="00F706BE" w:rsidP="00747851">
            <w:pPr>
              <w:spacing w:before="120" w:after="120"/>
              <w:rPr>
                <w:highlight w:val="red"/>
                <w:lang w:val="lv-LV"/>
              </w:rPr>
            </w:pPr>
          </w:p>
        </w:tc>
        <w:tc>
          <w:tcPr>
            <w:tcW w:w="3116" w:type="dxa"/>
            <w:tcBorders>
              <w:top w:val="nil"/>
              <w:left w:val="nil"/>
              <w:bottom w:val="single" w:sz="4" w:space="0" w:color="000000"/>
              <w:right w:val="single" w:sz="4" w:space="0" w:color="000000"/>
            </w:tcBorders>
          </w:tcPr>
          <w:p w:rsidR="00F706BE" w:rsidRPr="00521933" w:rsidRDefault="00F706BE" w:rsidP="00747851">
            <w:pPr>
              <w:spacing w:before="100" w:beforeAutospacing="1" w:after="100" w:afterAutospacing="1"/>
              <w:rPr>
                <w:lang w:val="lv-LV" w:eastAsia="lv-LV"/>
              </w:rPr>
            </w:pPr>
            <w:r w:rsidRPr="00521933">
              <w:rPr>
                <w:color w:val="000000"/>
                <w:lang w:val="lv-LV"/>
              </w:rPr>
              <w:t xml:space="preserve">2) </w:t>
            </w:r>
            <w:r w:rsidRPr="00521933">
              <w:rPr>
                <w:color w:val="000000"/>
                <w:lang w:val="lv-LV" w:eastAsia="lv-LV"/>
              </w:rPr>
              <w:t xml:space="preserve">Baltijas politikas dialogs par  kapacitātes celšanu zāļu politikas jomā; </w:t>
            </w:r>
          </w:p>
        </w:tc>
        <w:tc>
          <w:tcPr>
            <w:tcW w:w="938"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lang w:val="lv-LV"/>
              </w:rPr>
            </w:pPr>
          </w:p>
        </w:tc>
        <w:tc>
          <w:tcPr>
            <w:tcW w:w="889"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lang w:val="lv-LV"/>
              </w:rPr>
            </w:pPr>
            <w:r w:rsidRPr="00521933">
              <w:rPr>
                <w:lang w:val="lv-LV"/>
              </w:rPr>
              <w:t>X</w:t>
            </w:r>
          </w:p>
        </w:tc>
        <w:tc>
          <w:tcPr>
            <w:tcW w:w="889"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lang w:val="lv-LV"/>
              </w:rPr>
            </w:pPr>
          </w:p>
        </w:tc>
      </w:tr>
      <w:tr w:rsidR="00F706BE" w:rsidRPr="00521933" w:rsidTr="00747851">
        <w:trPr>
          <w:trHeight w:val="930"/>
        </w:trPr>
        <w:tc>
          <w:tcPr>
            <w:tcW w:w="533" w:type="dxa"/>
            <w:vMerge w:val="restart"/>
            <w:tcBorders>
              <w:top w:val="single" w:sz="4" w:space="0" w:color="auto"/>
              <w:left w:val="single" w:sz="4" w:space="0" w:color="auto"/>
              <w:right w:val="single" w:sz="4" w:space="0" w:color="auto"/>
            </w:tcBorders>
          </w:tcPr>
          <w:p w:rsidR="00F706BE" w:rsidRPr="00521933" w:rsidRDefault="00F706BE" w:rsidP="00747851">
            <w:pPr>
              <w:spacing w:before="120" w:after="120"/>
              <w:rPr>
                <w:highlight w:val="red"/>
                <w:lang w:val="lv-LV"/>
              </w:rPr>
            </w:pPr>
            <w:r w:rsidRPr="00521933">
              <w:rPr>
                <w:lang w:val="lv-LV"/>
              </w:rPr>
              <w:t>10</w:t>
            </w:r>
          </w:p>
          <w:p w:rsidR="00F706BE" w:rsidRPr="00521933" w:rsidRDefault="00F706BE" w:rsidP="00747851">
            <w:pPr>
              <w:spacing w:before="120" w:after="120"/>
              <w:rPr>
                <w:highlight w:val="red"/>
                <w:lang w:val="lv-LV"/>
              </w:rPr>
            </w:pPr>
            <w:r w:rsidRPr="00521933">
              <w:rPr>
                <w:highlight w:val="red"/>
                <w:lang w:val="lv-LV"/>
              </w:rPr>
              <w:t xml:space="preserve"> </w:t>
            </w:r>
          </w:p>
        </w:tc>
        <w:tc>
          <w:tcPr>
            <w:tcW w:w="2776" w:type="dxa"/>
            <w:vMerge w:val="restart"/>
            <w:tcBorders>
              <w:top w:val="single" w:sz="4" w:space="0" w:color="auto"/>
              <w:left w:val="single" w:sz="4" w:space="0" w:color="auto"/>
              <w:right w:val="single" w:sz="4" w:space="0" w:color="auto"/>
            </w:tcBorders>
          </w:tcPr>
          <w:p w:rsidR="00F706BE" w:rsidRPr="00521933" w:rsidRDefault="00F706BE" w:rsidP="00747851">
            <w:pPr>
              <w:spacing w:before="100" w:beforeAutospacing="1" w:after="100" w:afterAutospacing="1"/>
              <w:rPr>
                <w:lang w:val="lv-LV" w:eastAsia="lv-LV"/>
              </w:rPr>
            </w:pPr>
            <w:r w:rsidRPr="00521933">
              <w:rPr>
                <w:color w:val="000000"/>
                <w:lang w:val="lv-LV" w:eastAsia="lv-LV"/>
              </w:rPr>
              <w:t>(CNT 983)(R00) Veselības aprūpes finansēšanas politika, ko īsteno dalībvalstis, lai panāktu progresu vai saglabātu pašreizējos sasniegumus vispārējas veselības nodrošinājumā, pievēršot uzmanību finansiālās krīzes seku negatīvās ietekmes mazināšanai veselības sektorā un nodrošinot, ka finansējums un pakalpojumu sniegšanas kārtība privātajiem un sabiedrības veselības aprūpes pakalpojumiem ir labi saskaņoti.</w:t>
            </w:r>
          </w:p>
        </w:tc>
        <w:tc>
          <w:tcPr>
            <w:tcW w:w="3116"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rPr>
                <w:color w:val="000000"/>
                <w:lang w:val="lv-LV"/>
              </w:rPr>
            </w:pPr>
            <w:r w:rsidRPr="00521933">
              <w:rPr>
                <w:color w:val="000000"/>
                <w:lang w:val="lv-LV"/>
              </w:rPr>
              <w:t xml:space="preserve">1) </w:t>
            </w:r>
            <w:r w:rsidRPr="00521933">
              <w:rPr>
                <w:color w:val="000000"/>
                <w:lang w:val="lv-LV" w:eastAsia="lv-LV"/>
              </w:rPr>
              <w:t>Pārskats un ieteikumi ilgtermiņa veselības finansēšanas sistēmai Latvijā atbilstoši notiekošajām reformām un ekonomiskajai situācijai;</w:t>
            </w:r>
          </w:p>
          <w:p w:rsidR="00F706BE" w:rsidRPr="00521933" w:rsidRDefault="00F706BE" w:rsidP="00747851">
            <w:pPr>
              <w:spacing w:before="120" w:after="120"/>
              <w:rPr>
                <w:highlight w:val="red"/>
                <w:lang w:val="lv-LV"/>
              </w:rPr>
            </w:pPr>
          </w:p>
        </w:tc>
        <w:tc>
          <w:tcPr>
            <w:tcW w:w="938"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p>
        </w:tc>
        <w:tc>
          <w:tcPr>
            <w:tcW w:w="889"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p>
        </w:tc>
      </w:tr>
      <w:tr w:rsidR="00F706BE" w:rsidRPr="00521933" w:rsidTr="00747851">
        <w:trPr>
          <w:trHeight w:val="930"/>
        </w:trPr>
        <w:tc>
          <w:tcPr>
            <w:tcW w:w="533" w:type="dxa"/>
            <w:vMerge/>
            <w:tcBorders>
              <w:left w:val="single" w:sz="4" w:space="0" w:color="auto"/>
              <w:right w:val="single" w:sz="4" w:space="0" w:color="auto"/>
            </w:tcBorders>
          </w:tcPr>
          <w:p w:rsidR="00F706BE" w:rsidRPr="00521933" w:rsidRDefault="00F706BE" w:rsidP="00747851">
            <w:pPr>
              <w:spacing w:before="120" w:after="120"/>
              <w:rPr>
                <w:highlight w:val="red"/>
                <w:lang w:val="lv-LV"/>
              </w:rPr>
            </w:pPr>
          </w:p>
        </w:tc>
        <w:tc>
          <w:tcPr>
            <w:tcW w:w="2776" w:type="dxa"/>
            <w:vMerge/>
            <w:tcBorders>
              <w:left w:val="single" w:sz="4" w:space="0" w:color="auto"/>
              <w:right w:val="single" w:sz="4" w:space="0" w:color="auto"/>
            </w:tcBorders>
          </w:tcPr>
          <w:p w:rsidR="00F706BE" w:rsidRPr="00521933" w:rsidRDefault="00F706BE" w:rsidP="00747851">
            <w:pPr>
              <w:spacing w:before="120" w:after="120"/>
              <w:rPr>
                <w:highlight w:val="red"/>
                <w:lang w:val="lv-LV"/>
              </w:rPr>
            </w:pPr>
          </w:p>
        </w:tc>
        <w:tc>
          <w:tcPr>
            <w:tcW w:w="3116"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rPr>
                <w:color w:val="000000"/>
                <w:lang w:val="lv-LV"/>
              </w:rPr>
            </w:pPr>
            <w:r w:rsidRPr="00521933">
              <w:rPr>
                <w:color w:val="000000"/>
                <w:lang w:val="lv-LV"/>
              </w:rPr>
              <w:t xml:space="preserve">2) </w:t>
            </w:r>
            <w:r w:rsidRPr="00521933">
              <w:rPr>
                <w:color w:val="000000"/>
                <w:lang w:val="lv-LV" w:eastAsia="lv-LV"/>
              </w:rPr>
              <w:t>turpmāka tehniskā palīdzība slimnīcu reformu veikšanā ekonomiskās krīzes kontekstā;</w:t>
            </w:r>
          </w:p>
        </w:tc>
        <w:tc>
          <w:tcPr>
            <w:tcW w:w="938"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p>
        </w:tc>
        <w:tc>
          <w:tcPr>
            <w:tcW w:w="889"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p>
        </w:tc>
      </w:tr>
      <w:tr w:rsidR="00F706BE" w:rsidRPr="00521933" w:rsidTr="00747851">
        <w:trPr>
          <w:trHeight w:val="930"/>
        </w:trPr>
        <w:tc>
          <w:tcPr>
            <w:tcW w:w="533" w:type="dxa"/>
            <w:vMerge/>
            <w:tcBorders>
              <w:left w:val="single" w:sz="4" w:space="0" w:color="auto"/>
              <w:bottom w:val="single" w:sz="4" w:space="0" w:color="auto"/>
              <w:right w:val="single" w:sz="4" w:space="0" w:color="auto"/>
            </w:tcBorders>
          </w:tcPr>
          <w:p w:rsidR="00F706BE" w:rsidRPr="00521933" w:rsidRDefault="00F706BE" w:rsidP="00747851">
            <w:pPr>
              <w:spacing w:before="120" w:after="120"/>
              <w:rPr>
                <w:highlight w:val="red"/>
                <w:lang w:val="lv-LV"/>
              </w:rPr>
            </w:pPr>
          </w:p>
        </w:tc>
        <w:tc>
          <w:tcPr>
            <w:tcW w:w="2776" w:type="dxa"/>
            <w:vMerge/>
            <w:tcBorders>
              <w:left w:val="single" w:sz="4" w:space="0" w:color="auto"/>
              <w:bottom w:val="single" w:sz="4" w:space="0" w:color="auto"/>
              <w:right w:val="single" w:sz="4" w:space="0" w:color="auto"/>
            </w:tcBorders>
          </w:tcPr>
          <w:p w:rsidR="00F706BE" w:rsidRPr="00521933" w:rsidRDefault="00F706BE" w:rsidP="00747851">
            <w:pPr>
              <w:spacing w:before="120" w:after="120"/>
              <w:rPr>
                <w:highlight w:val="red"/>
                <w:lang w:val="lv-LV"/>
              </w:rPr>
            </w:pPr>
          </w:p>
        </w:tc>
        <w:tc>
          <w:tcPr>
            <w:tcW w:w="3116"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rPr>
                <w:color w:val="000000"/>
                <w:lang w:val="lv-LV"/>
              </w:rPr>
            </w:pPr>
            <w:r w:rsidRPr="00521933">
              <w:rPr>
                <w:color w:val="000000"/>
                <w:lang w:val="lv-LV"/>
              </w:rPr>
              <w:t xml:space="preserve">3) </w:t>
            </w:r>
            <w:r w:rsidRPr="00521933">
              <w:rPr>
                <w:color w:val="000000"/>
                <w:lang w:val="lv-LV" w:eastAsia="lv-LV"/>
              </w:rPr>
              <w:t>Baltijas politikas dialogs 2012.gadā par  veselības finansēšanas, slimnīcu un līgum</w:t>
            </w:r>
            <w:r w:rsidR="00747851" w:rsidRPr="00521933">
              <w:rPr>
                <w:color w:val="000000"/>
                <w:lang w:val="lv-LV" w:eastAsia="lv-LV"/>
              </w:rPr>
              <w:t xml:space="preserve">u </w:t>
            </w:r>
            <w:r w:rsidRPr="00521933">
              <w:rPr>
                <w:color w:val="000000"/>
                <w:lang w:val="lv-LV" w:eastAsia="lv-LV"/>
              </w:rPr>
              <w:t>slēgšanas jautājumiem</w:t>
            </w:r>
            <w:r w:rsidR="00747851" w:rsidRPr="00521933">
              <w:rPr>
                <w:color w:val="000000"/>
                <w:lang w:val="lv-LV" w:eastAsia="lv-LV"/>
              </w:rPr>
              <w:t xml:space="preserve"> </w:t>
            </w:r>
            <w:r w:rsidRPr="00521933">
              <w:rPr>
                <w:color w:val="000000"/>
                <w:lang w:val="lv-LV" w:eastAsia="lv-LV"/>
              </w:rPr>
              <w:t>kopīgi ar Eiropas Observatoriju;</w:t>
            </w:r>
          </w:p>
        </w:tc>
        <w:tc>
          <w:tcPr>
            <w:tcW w:w="938"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p>
        </w:tc>
        <w:tc>
          <w:tcPr>
            <w:tcW w:w="889"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p>
        </w:tc>
      </w:tr>
      <w:tr w:rsidR="00F706BE" w:rsidRPr="00521933" w:rsidTr="00747851">
        <w:trPr>
          <w:trHeight w:val="930"/>
        </w:trPr>
        <w:tc>
          <w:tcPr>
            <w:tcW w:w="533" w:type="dxa"/>
            <w:vMerge w:val="restart"/>
            <w:tcBorders>
              <w:top w:val="single" w:sz="4" w:space="0" w:color="auto"/>
              <w:left w:val="single" w:sz="4" w:space="0" w:color="auto"/>
              <w:right w:val="single" w:sz="4" w:space="0" w:color="auto"/>
            </w:tcBorders>
          </w:tcPr>
          <w:p w:rsidR="00F706BE" w:rsidRPr="00521933" w:rsidRDefault="00F706BE" w:rsidP="00747851">
            <w:pPr>
              <w:spacing w:before="120" w:after="120"/>
              <w:rPr>
                <w:highlight w:val="red"/>
                <w:lang w:val="lv-LV"/>
              </w:rPr>
            </w:pPr>
            <w:r w:rsidRPr="00521933">
              <w:rPr>
                <w:lang w:val="lv-LV"/>
              </w:rPr>
              <w:t>10</w:t>
            </w:r>
          </w:p>
        </w:tc>
        <w:tc>
          <w:tcPr>
            <w:tcW w:w="2776" w:type="dxa"/>
            <w:vMerge w:val="restart"/>
            <w:tcBorders>
              <w:top w:val="single" w:sz="4" w:space="0" w:color="auto"/>
              <w:left w:val="single" w:sz="4" w:space="0" w:color="auto"/>
              <w:right w:val="single" w:sz="4" w:space="0" w:color="auto"/>
            </w:tcBorders>
          </w:tcPr>
          <w:p w:rsidR="00F706BE" w:rsidRPr="00521933" w:rsidRDefault="00F706BE" w:rsidP="00747851">
            <w:pPr>
              <w:rPr>
                <w:color w:val="000000"/>
                <w:lang w:val="lv-LV"/>
              </w:rPr>
            </w:pPr>
            <w:r w:rsidRPr="00521933">
              <w:rPr>
                <w:color w:val="000000"/>
                <w:lang w:val="lv-LV" w:eastAsia="lv-LV"/>
              </w:rPr>
              <w:t xml:space="preserve">(987) Dalībvalstis tiek apgādātas un izmanto citu valstu veselības aprūpes sistēmas un </w:t>
            </w:r>
            <w:r w:rsidRPr="00521933">
              <w:rPr>
                <w:color w:val="000000"/>
                <w:lang w:val="lv-LV" w:eastAsia="lv-LV"/>
              </w:rPr>
              <w:lastRenderedPageBreak/>
              <w:t>liecības savas valsts veselības aprūpē un atbalstam lēmumu pieņemšanā un reformu veikšanā. </w:t>
            </w:r>
          </w:p>
        </w:tc>
        <w:tc>
          <w:tcPr>
            <w:tcW w:w="3116"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rPr>
                <w:color w:val="000000"/>
                <w:lang w:val="lv-LV"/>
              </w:rPr>
            </w:pPr>
            <w:r w:rsidRPr="00521933">
              <w:rPr>
                <w:color w:val="000000"/>
                <w:lang w:val="lv-LV"/>
              </w:rPr>
              <w:lastRenderedPageBreak/>
              <w:t xml:space="preserve">1) Izdevuma </w:t>
            </w:r>
            <w:r w:rsidRPr="00521933">
              <w:rPr>
                <w:color w:val="000000"/>
                <w:lang w:val="lv-LV" w:eastAsia="lv-LV"/>
              </w:rPr>
              <w:t xml:space="preserve"> Veselība pārmaiņu procesā Latvijā  atjaunināšana ;</w:t>
            </w:r>
          </w:p>
          <w:p w:rsidR="00F706BE" w:rsidRPr="00521933" w:rsidRDefault="00F706BE" w:rsidP="00747851">
            <w:pPr>
              <w:rPr>
                <w:color w:val="000000"/>
                <w:lang w:val="lv-LV"/>
              </w:rPr>
            </w:pPr>
          </w:p>
        </w:tc>
        <w:tc>
          <w:tcPr>
            <w:tcW w:w="938"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p>
        </w:tc>
        <w:tc>
          <w:tcPr>
            <w:tcW w:w="889"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p>
        </w:tc>
      </w:tr>
      <w:tr w:rsidR="00F706BE" w:rsidRPr="00521933" w:rsidTr="00747851">
        <w:trPr>
          <w:trHeight w:val="930"/>
        </w:trPr>
        <w:tc>
          <w:tcPr>
            <w:tcW w:w="533" w:type="dxa"/>
            <w:vMerge/>
            <w:tcBorders>
              <w:left w:val="single" w:sz="4" w:space="0" w:color="auto"/>
              <w:bottom w:val="single" w:sz="4" w:space="0" w:color="auto"/>
              <w:right w:val="single" w:sz="4" w:space="0" w:color="auto"/>
            </w:tcBorders>
          </w:tcPr>
          <w:p w:rsidR="00F706BE" w:rsidRPr="00521933" w:rsidRDefault="00F706BE" w:rsidP="00747851">
            <w:pPr>
              <w:spacing w:before="120" w:after="120"/>
              <w:rPr>
                <w:highlight w:val="red"/>
                <w:lang w:val="lv-LV"/>
              </w:rPr>
            </w:pPr>
          </w:p>
        </w:tc>
        <w:tc>
          <w:tcPr>
            <w:tcW w:w="2776" w:type="dxa"/>
            <w:vMerge/>
            <w:tcBorders>
              <w:left w:val="single" w:sz="4" w:space="0" w:color="auto"/>
              <w:bottom w:val="single" w:sz="4" w:space="0" w:color="auto"/>
              <w:right w:val="single" w:sz="4" w:space="0" w:color="auto"/>
            </w:tcBorders>
          </w:tcPr>
          <w:p w:rsidR="00F706BE" w:rsidRPr="00521933" w:rsidRDefault="00F706BE" w:rsidP="00747851">
            <w:pPr>
              <w:rPr>
                <w:color w:val="000000"/>
                <w:lang w:val="lv-LV"/>
              </w:rPr>
            </w:pPr>
          </w:p>
        </w:tc>
        <w:tc>
          <w:tcPr>
            <w:tcW w:w="3116"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rPr>
                <w:color w:val="000000"/>
                <w:lang w:val="lv-LV"/>
              </w:rPr>
            </w:pPr>
            <w:r w:rsidRPr="00521933">
              <w:rPr>
                <w:color w:val="000000"/>
                <w:lang w:val="lv-LV"/>
              </w:rPr>
              <w:t xml:space="preserve">2) </w:t>
            </w:r>
            <w:r w:rsidRPr="00521933">
              <w:rPr>
                <w:color w:val="000000"/>
                <w:lang w:val="lv-LV" w:eastAsia="lv-LV"/>
              </w:rPr>
              <w:t>Politikas dialogs, kura ietvaros prezentēts izdevums Veselība pārmaiņu procesā Latvijā.</w:t>
            </w:r>
          </w:p>
        </w:tc>
        <w:tc>
          <w:tcPr>
            <w:tcW w:w="938"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p>
        </w:tc>
      </w:tr>
      <w:tr w:rsidR="00F706BE" w:rsidRPr="00521933" w:rsidTr="00747851">
        <w:trPr>
          <w:trHeight w:val="930"/>
        </w:trPr>
        <w:tc>
          <w:tcPr>
            <w:tcW w:w="533" w:type="dxa"/>
            <w:vMerge w:val="restart"/>
            <w:tcBorders>
              <w:top w:val="single" w:sz="4" w:space="0" w:color="auto"/>
              <w:left w:val="single" w:sz="4" w:space="0" w:color="auto"/>
              <w:right w:val="single" w:sz="4" w:space="0" w:color="auto"/>
            </w:tcBorders>
          </w:tcPr>
          <w:p w:rsidR="00F706BE" w:rsidRPr="00521933" w:rsidRDefault="00F706BE" w:rsidP="00747851">
            <w:pPr>
              <w:spacing w:before="120" w:after="120"/>
              <w:rPr>
                <w:highlight w:val="red"/>
                <w:lang w:val="lv-LV"/>
              </w:rPr>
            </w:pPr>
            <w:r w:rsidRPr="00521933">
              <w:rPr>
                <w:lang w:val="lv-LV"/>
              </w:rPr>
              <w:lastRenderedPageBreak/>
              <w:t>10</w:t>
            </w:r>
          </w:p>
        </w:tc>
        <w:tc>
          <w:tcPr>
            <w:tcW w:w="2776" w:type="dxa"/>
            <w:vMerge w:val="restart"/>
            <w:tcBorders>
              <w:top w:val="single" w:sz="4" w:space="0" w:color="auto"/>
              <w:left w:val="single" w:sz="4" w:space="0" w:color="auto"/>
              <w:right w:val="single" w:sz="4" w:space="0" w:color="auto"/>
            </w:tcBorders>
          </w:tcPr>
          <w:p w:rsidR="00F706BE" w:rsidRPr="00521933" w:rsidRDefault="00F706BE" w:rsidP="00747851">
            <w:pPr>
              <w:rPr>
                <w:color w:val="000000"/>
                <w:highlight w:val="lightGray"/>
                <w:lang w:val="lv-LV"/>
              </w:rPr>
            </w:pPr>
            <w:r w:rsidRPr="00521933">
              <w:rPr>
                <w:color w:val="000000"/>
                <w:lang w:val="lv-LV" w:eastAsia="lv-LV"/>
              </w:rPr>
              <w:t>(1145) Dalībvalstis mobilizēs un izmantos datus no horizontālajām disciplīnām un starptautiskajām robežām un izmantojot zināšanu starpniecības politikas principus, iegūs liecības, kas būtu par pamatu politikas lēmumiem un reformu ietekmes novērtējumam.</w:t>
            </w:r>
            <w:r w:rsidRPr="00521933">
              <w:rPr>
                <w:color w:val="000000"/>
                <w:highlight w:val="lightGray"/>
                <w:lang w:val="lv-LV" w:eastAsia="lv-LV"/>
              </w:rPr>
              <w:t xml:space="preserve"> </w:t>
            </w:r>
          </w:p>
        </w:tc>
        <w:tc>
          <w:tcPr>
            <w:tcW w:w="3116"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rPr>
                <w:color w:val="000000"/>
                <w:lang w:val="lv-LV"/>
              </w:rPr>
            </w:pPr>
            <w:r w:rsidRPr="00521933">
              <w:rPr>
                <w:color w:val="000000"/>
                <w:lang w:val="lv-LV"/>
              </w:rPr>
              <w:t xml:space="preserve">1) </w:t>
            </w:r>
            <w:r w:rsidRPr="00521933">
              <w:rPr>
                <w:color w:val="000000"/>
                <w:lang w:val="lv-LV" w:eastAsia="lv-LV"/>
              </w:rPr>
              <w:t>Baltijas politikas dialoga 2012. gadā vadīšana (iespējams saistīts ar 983. rezultāta finansēšanu); </w:t>
            </w:r>
          </w:p>
        </w:tc>
        <w:tc>
          <w:tcPr>
            <w:tcW w:w="938"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p>
        </w:tc>
        <w:tc>
          <w:tcPr>
            <w:tcW w:w="889"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p>
        </w:tc>
      </w:tr>
      <w:tr w:rsidR="00F706BE" w:rsidRPr="00521933" w:rsidTr="00747851">
        <w:trPr>
          <w:trHeight w:val="930"/>
        </w:trPr>
        <w:tc>
          <w:tcPr>
            <w:tcW w:w="533" w:type="dxa"/>
            <w:vMerge/>
            <w:tcBorders>
              <w:left w:val="single" w:sz="4" w:space="0" w:color="auto"/>
              <w:bottom w:val="single" w:sz="4" w:space="0" w:color="auto"/>
              <w:right w:val="single" w:sz="4" w:space="0" w:color="auto"/>
            </w:tcBorders>
          </w:tcPr>
          <w:p w:rsidR="00F706BE" w:rsidRPr="00521933" w:rsidRDefault="00F706BE" w:rsidP="00747851">
            <w:pPr>
              <w:spacing w:before="120" w:after="120"/>
              <w:rPr>
                <w:highlight w:val="red"/>
                <w:lang w:val="lv-LV"/>
              </w:rPr>
            </w:pPr>
          </w:p>
        </w:tc>
        <w:tc>
          <w:tcPr>
            <w:tcW w:w="2776" w:type="dxa"/>
            <w:vMerge/>
            <w:tcBorders>
              <w:left w:val="single" w:sz="4" w:space="0" w:color="auto"/>
              <w:bottom w:val="single" w:sz="4" w:space="0" w:color="auto"/>
              <w:right w:val="single" w:sz="4" w:space="0" w:color="auto"/>
            </w:tcBorders>
          </w:tcPr>
          <w:p w:rsidR="00F706BE" w:rsidRPr="00521933" w:rsidRDefault="00F706BE" w:rsidP="00747851">
            <w:pPr>
              <w:rPr>
                <w:color w:val="000000"/>
                <w:lang w:val="lv-LV"/>
              </w:rPr>
            </w:pPr>
          </w:p>
        </w:tc>
        <w:tc>
          <w:tcPr>
            <w:tcW w:w="3116"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rPr>
                <w:color w:val="000000"/>
                <w:lang w:val="lv-LV"/>
              </w:rPr>
            </w:pPr>
            <w:r w:rsidRPr="00521933">
              <w:rPr>
                <w:color w:val="000000"/>
                <w:lang w:val="lv-LV"/>
              </w:rPr>
              <w:t xml:space="preserve">2) </w:t>
            </w:r>
            <w:r w:rsidRPr="00521933">
              <w:rPr>
                <w:color w:val="000000"/>
                <w:lang w:val="lv-LV" w:eastAsia="lv-LV"/>
              </w:rPr>
              <w:t>Baltijas politikas dialogs 2013.gadā  Igaunijā – ministrijas delegācijas piedalīšanās</w:t>
            </w:r>
            <w:r w:rsidRPr="00521933">
              <w:rPr>
                <w:color w:val="000000"/>
                <w:lang w:val="lv-LV"/>
              </w:rPr>
              <w:t>;</w:t>
            </w:r>
          </w:p>
        </w:tc>
        <w:tc>
          <w:tcPr>
            <w:tcW w:w="938"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p>
        </w:tc>
        <w:tc>
          <w:tcPr>
            <w:tcW w:w="889"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p>
        </w:tc>
      </w:tr>
    </w:tbl>
    <w:p w:rsidR="00F706BE" w:rsidRPr="00521933" w:rsidRDefault="00F706BE" w:rsidP="00F706BE">
      <w:pPr>
        <w:rPr>
          <w:b/>
          <w:lang w:val="lv-LV"/>
        </w:rPr>
      </w:pPr>
    </w:p>
    <w:p w:rsidR="00C9521B" w:rsidRPr="00521933" w:rsidRDefault="00C9521B" w:rsidP="00F706BE">
      <w:pPr>
        <w:spacing w:before="100" w:beforeAutospacing="1" w:after="100" w:afterAutospacing="1"/>
        <w:rPr>
          <w:b/>
          <w:bCs/>
          <w:lang w:val="lv-LV" w:eastAsia="lv-LV"/>
        </w:rPr>
      </w:pPr>
    </w:p>
    <w:p w:rsidR="00F706BE" w:rsidRPr="00521933" w:rsidRDefault="00F706BE" w:rsidP="00F706BE">
      <w:pPr>
        <w:spacing w:before="100" w:beforeAutospacing="1" w:after="100" w:afterAutospacing="1"/>
        <w:rPr>
          <w:lang w:val="lv-LV" w:eastAsia="lv-LV"/>
        </w:rPr>
      </w:pPr>
      <w:r w:rsidRPr="00521933">
        <w:rPr>
          <w:b/>
          <w:bCs/>
          <w:lang w:val="lv-LV" w:eastAsia="lv-LV"/>
        </w:rPr>
        <w:t>PRIORITĀTE 3: Neinfekciozās slimības, veselības veicināšana un veselīgs dzīvesveids </w:t>
      </w:r>
    </w:p>
    <w:tbl>
      <w:tblPr>
        <w:tblW w:w="9141" w:type="dxa"/>
        <w:tblInd w:w="93" w:type="dxa"/>
        <w:tblLook w:val="0000"/>
      </w:tblPr>
      <w:tblGrid>
        <w:gridCol w:w="537"/>
        <w:gridCol w:w="2592"/>
        <w:gridCol w:w="2523"/>
        <w:gridCol w:w="1203"/>
        <w:gridCol w:w="990"/>
        <w:gridCol w:w="1296"/>
      </w:tblGrid>
      <w:tr w:rsidR="00F706BE" w:rsidRPr="00521933" w:rsidTr="00747851">
        <w:trPr>
          <w:trHeight w:val="420"/>
        </w:trPr>
        <w:tc>
          <w:tcPr>
            <w:tcW w:w="510" w:type="dxa"/>
            <w:vMerge w:val="restart"/>
            <w:tcBorders>
              <w:top w:val="single" w:sz="4" w:space="0" w:color="auto"/>
              <w:left w:val="single" w:sz="4" w:space="0" w:color="auto"/>
              <w:bottom w:val="double" w:sz="6" w:space="0" w:color="000000"/>
              <w:right w:val="single" w:sz="4" w:space="0" w:color="auto"/>
            </w:tcBorders>
            <w:vAlign w:val="center"/>
          </w:tcPr>
          <w:p w:rsidR="00F706BE" w:rsidRPr="00521933" w:rsidRDefault="00F706BE" w:rsidP="00747851">
            <w:pPr>
              <w:jc w:val="center"/>
              <w:rPr>
                <w:b/>
                <w:bCs/>
                <w:lang w:val="lv-LV"/>
              </w:rPr>
            </w:pPr>
            <w:r w:rsidRPr="00521933">
              <w:rPr>
                <w:b/>
                <w:bCs/>
                <w:lang w:val="lv-LV"/>
              </w:rPr>
              <w:t>SO</w:t>
            </w:r>
          </w:p>
        </w:tc>
        <w:tc>
          <w:tcPr>
            <w:tcW w:w="2804" w:type="dxa"/>
            <w:vMerge w:val="restart"/>
            <w:tcBorders>
              <w:top w:val="single" w:sz="4" w:space="0" w:color="auto"/>
              <w:left w:val="single" w:sz="4" w:space="0" w:color="auto"/>
              <w:bottom w:val="double" w:sz="6" w:space="0" w:color="000000"/>
              <w:right w:val="single" w:sz="4" w:space="0" w:color="auto"/>
            </w:tcBorders>
            <w:vAlign w:val="center"/>
          </w:tcPr>
          <w:p w:rsidR="00F706BE" w:rsidRPr="00521933" w:rsidRDefault="00F706BE" w:rsidP="00747851">
            <w:pPr>
              <w:jc w:val="center"/>
              <w:rPr>
                <w:b/>
                <w:bCs/>
                <w:lang w:val="lv-LV"/>
              </w:rPr>
            </w:pPr>
            <w:r w:rsidRPr="00521933">
              <w:rPr>
                <w:b/>
                <w:bCs/>
                <w:lang w:val="lv-LV"/>
              </w:rPr>
              <w:t>Sagaidāmais rezultāts</w:t>
            </w:r>
          </w:p>
        </w:tc>
        <w:tc>
          <w:tcPr>
            <w:tcW w:w="3111" w:type="dxa"/>
            <w:vMerge w:val="restart"/>
            <w:tcBorders>
              <w:top w:val="single" w:sz="4" w:space="0" w:color="auto"/>
              <w:left w:val="nil"/>
              <w:bottom w:val="double" w:sz="6" w:space="0" w:color="000000"/>
              <w:right w:val="nil"/>
            </w:tcBorders>
            <w:vAlign w:val="center"/>
          </w:tcPr>
          <w:p w:rsidR="00F706BE" w:rsidRPr="00521933" w:rsidRDefault="00F706BE" w:rsidP="00747851">
            <w:pPr>
              <w:jc w:val="center"/>
              <w:rPr>
                <w:b/>
                <w:bCs/>
                <w:lang w:val="lv-LV"/>
              </w:rPr>
            </w:pPr>
            <w:r w:rsidRPr="00521933">
              <w:rPr>
                <w:b/>
                <w:bCs/>
                <w:lang w:val="lv-LV"/>
              </w:rPr>
              <w:t>Rezultatīvais rādītājs</w:t>
            </w:r>
          </w:p>
        </w:tc>
        <w:tc>
          <w:tcPr>
            <w:tcW w:w="2716" w:type="dxa"/>
            <w:gridSpan w:val="3"/>
            <w:tcBorders>
              <w:top w:val="single" w:sz="4" w:space="0" w:color="auto"/>
              <w:left w:val="single" w:sz="4" w:space="0" w:color="auto"/>
              <w:bottom w:val="single" w:sz="4" w:space="0" w:color="auto"/>
              <w:right w:val="single" w:sz="4" w:space="0" w:color="000000"/>
            </w:tcBorders>
            <w:noWrap/>
            <w:vAlign w:val="center"/>
          </w:tcPr>
          <w:p w:rsidR="00F706BE" w:rsidRPr="00521933" w:rsidRDefault="00F706BE" w:rsidP="00747851">
            <w:pPr>
              <w:jc w:val="center"/>
              <w:rPr>
                <w:b/>
                <w:bCs/>
                <w:lang w:val="lv-LV"/>
              </w:rPr>
            </w:pPr>
            <w:r w:rsidRPr="00521933">
              <w:rPr>
                <w:b/>
                <w:bCs/>
                <w:lang w:val="lv-LV"/>
              </w:rPr>
              <w:t>Īstenošanas modulis</w:t>
            </w:r>
          </w:p>
        </w:tc>
      </w:tr>
      <w:tr w:rsidR="00F706BE" w:rsidRPr="00521933" w:rsidTr="00747851">
        <w:trPr>
          <w:trHeight w:val="1045"/>
        </w:trPr>
        <w:tc>
          <w:tcPr>
            <w:tcW w:w="510" w:type="dxa"/>
            <w:vMerge/>
            <w:tcBorders>
              <w:top w:val="single" w:sz="4" w:space="0" w:color="auto"/>
              <w:left w:val="single" w:sz="4" w:space="0" w:color="auto"/>
              <w:bottom w:val="double" w:sz="4" w:space="0" w:color="auto"/>
              <w:right w:val="single" w:sz="4" w:space="0" w:color="auto"/>
            </w:tcBorders>
            <w:vAlign w:val="center"/>
          </w:tcPr>
          <w:p w:rsidR="00F706BE" w:rsidRPr="00521933" w:rsidRDefault="00F706BE" w:rsidP="00747851">
            <w:pPr>
              <w:rPr>
                <w:b/>
                <w:bCs/>
                <w:lang w:val="lv-LV"/>
              </w:rPr>
            </w:pPr>
          </w:p>
        </w:tc>
        <w:tc>
          <w:tcPr>
            <w:tcW w:w="2804" w:type="dxa"/>
            <w:vMerge/>
            <w:tcBorders>
              <w:top w:val="single" w:sz="4" w:space="0" w:color="auto"/>
              <w:left w:val="single" w:sz="4" w:space="0" w:color="auto"/>
              <w:bottom w:val="double" w:sz="4" w:space="0" w:color="auto"/>
              <w:right w:val="single" w:sz="4" w:space="0" w:color="auto"/>
            </w:tcBorders>
            <w:vAlign w:val="center"/>
          </w:tcPr>
          <w:p w:rsidR="00F706BE" w:rsidRPr="00521933" w:rsidRDefault="00F706BE" w:rsidP="00747851">
            <w:pPr>
              <w:rPr>
                <w:b/>
                <w:bCs/>
                <w:lang w:val="lv-LV"/>
              </w:rPr>
            </w:pPr>
          </w:p>
        </w:tc>
        <w:tc>
          <w:tcPr>
            <w:tcW w:w="3111" w:type="dxa"/>
            <w:vMerge/>
            <w:tcBorders>
              <w:top w:val="single" w:sz="4" w:space="0" w:color="auto"/>
              <w:left w:val="nil"/>
              <w:bottom w:val="double" w:sz="6" w:space="0" w:color="000000"/>
              <w:right w:val="nil"/>
            </w:tcBorders>
            <w:vAlign w:val="center"/>
          </w:tcPr>
          <w:p w:rsidR="00F706BE" w:rsidRPr="00521933" w:rsidRDefault="00F706BE" w:rsidP="00747851">
            <w:pPr>
              <w:rPr>
                <w:b/>
                <w:bCs/>
                <w:lang w:val="lv-LV"/>
              </w:rPr>
            </w:pPr>
          </w:p>
        </w:tc>
        <w:tc>
          <w:tcPr>
            <w:tcW w:w="938" w:type="dxa"/>
            <w:tcBorders>
              <w:top w:val="nil"/>
              <w:left w:val="single" w:sz="4" w:space="0" w:color="auto"/>
              <w:bottom w:val="single" w:sz="4" w:space="0" w:color="auto"/>
              <w:right w:val="single" w:sz="4" w:space="0" w:color="auto"/>
            </w:tcBorders>
            <w:vAlign w:val="center"/>
          </w:tcPr>
          <w:p w:rsidR="00F706BE" w:rsidRPr="00521933" w:rsidRDefault="00F706BE" w:rsidP="00747851">
            <w:pPr>
              <w:jc w:val="center"/>
              <w:rPr>
                <w:lang w:val="lv-LV"/>
              </w:rPr>
            </w:pPr>
            <w:r w:rsidRPr="00521933">
              <w:rPr>
                <w:lang w:val="lv-LV"/>
              </w:rPr>
              <w:t xml:space="preserve">Konkrētās valsts modulis </w:t>
            </w:r>
            <w:r w:rsidRPr="00521933">
              <w:rPr>
                <w:b/>
                <w:lang w:val="lv-LV"/>
              </w:rPr>
              <w:t>(KVM)</w:t>
            </w:r>
          </w:p>
        </w:tc>
        <w:tc>
          <w:tcPr>
            <w:tcW w:w="889" w:type="dxa"/>
            <w:tcBorders>
              <w:top w:val="nil"/>
              <w:left w:val="nil"/>
              <w:bottom w:val="double" w:sz="6" w:space="0" w:color="auto"/>
              <w:right w:val="single" w:sz="4" w:space="0" w:color="000000"/>
            </w:tcBorders>
            <w:vAlign w:val="center"/>
          </w:tcPr>
          <w:p w:rsidR="00F706BE" w:rsidRPr="00521933" w:rsidRDefault="00F706BE" w:rsidP="00747851">
            <w:pPr>
              <w:jc w:val="center"/>
              <w:rPr>
                <w:b/>
                <w:bCs/>
                <w:lang w:val="lv-LV"/>
              </w:rPr>
            </w:pPr>
            <w:r w:rsidRPr="00521933">
              <w:rPr>
                <w:lang w:val="lv-LV"/>
              </w:rPr>
              <w:t xml:space="preserve">Vairāku valstu modulis </w:t>
            </w:r>
            <w:r w:rsidRPr="00521933">
              <w:rPr>
                <w:b/>
                <w:lang w:val="lv-LV"/>
              </w:rPr>
              <w:t>(VVM)</w:t>
            </w:r>
          </w:p>
        </w:tc>
        <w:tc>
          <w:tcPr>
            <w:tcW w:w="889" w:type="dxa"/>
            <w:tcBorders>
              <w:top w:val="nil"/>
              <w:left w:val="nil"/>
              <w:bottom w:val="double" w:sz="6" w:space="0" w:color="auto"/>
              <w:right w:val="single" w:sz="4" w:space="0" w:color="000000"/>
            </w:tcBorders>
            <w:vAlign w:val="center"/>
          </w:tcPr>
          <w:p w:rsidR="00F706BE" w:rsidRPr="00521933" w:rsidRDefault="00F706BE" w:rsidP="00747851">
            <w:pPr>
              <w:jc w:val="center"/>
              <w:rPr>
                <w:b/>
                <w:bCs/>
                <w:lang w:val="lv-LV"/>
              </w:rPr>
            </w:pPr>
            <w:r w:rsidRPr="00521933">
              <w:rPr>
                <w:lang w:val="lv-LV"/>
              </w:rPr>
              <w:t xml:space="preserve">Starpvalstu modulis </w:t>
            </w:r>
            <w:r w:rsidRPr="00521933">
              <w:rPr>
                <w:b/>
                <w:lang w:val="lv-LV"/>
              </w:rPr>
              <w:t>(SM)</w:t>
            </w:r>
          </w:p>
        </w:tc>
      </w:tr>
      <w:tr w:rsidR="00F706BE" w:rsidRPr="00521933" w:rsidTr="00747851">
        <w:trPr>
          <w:trHeight w:val="810"/>
        </w:trPr>
        <w:tc>
          <w:tcPr>
            <w:tcW w:w="510" w:type="dxa"/>
            <w:vMerge w:val="restart"/>
            <w:tcBorders>
              <w:top w:val="double" w:sz="4" w:space="0" w:color="auto"/>
              <w:left w:val="single" w:sz="4" w:space="0" w:color="auto"/>
              <w:bottom w:val="single" w:sz="4" w:space="0" w:color="auto"/>
              <w:right w:val="single" w:sz="4" w:space="0" w:color="auto"/>
            </w:tcBorders>
          </w:tcPr>
          <w:p w:rsidR="00F706BE" w:rsidRPr="00521933" w:rsidRDefault="00F706BE" w:rsidP="00747851">
            <w:pPr>
              <w:spacing w:before="120" w:after="120"/>
              <w:jc w:val="center"/>
              <w:rPr>
                <w:highlight w:val="red"/>
                <w:lang w:val="lv-LV"/>
              </w:rPr>
            </w:pPr>
            <w:r w:rsidRPr="00521933">
              <w:rPr>
                <w:lang w:val="lv-LV"/>
              </w:rPr>
              <w:t>3</w:t>
            </w:r>
          </w:p>
        </w:tc>
        <w:tc>
          <w:tcPr>
            <w:tcW w:w="2804" w:type="dxa"/>
            <w:vMerge w:val="restart"/>
            <w:tcBorders>
              <w:top w:val="double" w:sz="4" w:space="0" w:color="auto"/>
              <w:left w:val="single" w:sz="4" w:space="0" w:color="auto"/>
              <w:bottom w:val="single" w:sz="4" w:space="0" w:color="auto"/>
              <w:right w:val="single" w:sz="4" w:space="0" w:color="auto"/>
            </w:tcBorders>
          </w:tcPr>
          <w:p w:rsidR="00F706BE" w:rsidRPr="00521933" w:rsidRDefault="00F706BE" w:rsidP="00747851">
            <w:pPr>
              <w:spacing w:before="100" w:beforeAutospacing="1" w:after="100" w:afterAutospacing="1"/>
              <w:rPr>
                <w:lang w:val="lv-LV" w:eastAsia="lv-LV"/>
              </w:rPr>
            </w:pPr>
            <w:r w:rsidRPr="00521933">
              <w:rPr>
                <w:color w:val="000000"/>
                <w:lang w:val="lv-LV" w:eastAsia="lv-LV"/>
              </w:rPr>
              <w:t xml:space="preserve">(23d)(R00)Dalībvalstis izstrādās un ieviesīs nacionālos vēža kontroles programmas ar uzsvaru uz agrīnu krūts, dzemdes kakla un </w:t>
            </w:r>
            <w:proofErr w:type="spellStart"/>
            <w:r w:rsidRPr="00521933">
              <w:rPr>
                <w:color w:val="000000"/>
                <w:lang w:val="lv-LV" w:eastAsia="lv-LV"/>
              </w:rPr>
              <w:t>kolorektālā</w:t>
            </w:r>
            <w:proofErr w:type="spellEnd"/>
            <w:r w:rsidRPr="00521933">
              <w:rPr>
                <w:color w:val="000000"/>
                <w:lang w:val="lv-LV" w:eastAsia="lv-LV"/>
              </w:rPr>
              <w:t xml:space="preserve"> vēža atklāšanu. </w:t>
            </w:r>
          </w:p>
          <w:p w:rsidR="00F706BE" w:rsidRPr="00521933" w:rsidRDefault="00F706BE" w:rsidP="00747851">
            <w:pPr>
              <w:spacing w:before="120" w:after="120"/>
              <w:rPr>
                <w:highlight w:val="red"/>
                <w:lang w:val="lv-LV"/>
              </w:rPr>
            </w:pPr>
            <w:r w:rsidRPr="00521933">
              <w:rPr>
                <w:highlight w:val="red"/>
                <w:lang w:val="lv-LV"/>
              </w:rPr>
              <w:t xml:space="preserve">  </w:t>
            </w:r>
          </w:p>
        </w:tc>
        <w:tc>
          <w:tcPr>
            <w:tcW w:w="3111" w:type="dxa"/>
            <w:tcBorders>
              <w:top w:val="nil"/>
              <w:left w:val="nil"/>
              <w:bottom w:val="single" w:sz="4" w:space="0" w:color="000000"/>
              <w:right w:val="single" w:sz="4" w:space="0" w:color="000000"/>
            </w:tcBorders>
          </w:tcPr>
          <w:p w:rsidR="00F706BE" w:rsidRPr="00521933" w:rsidRDefault="00F706BE" w:rsidP="00747851">
            <w:pPr>
              <w:rPr>
                <w:color w:val="000000"/>
                <w:lang w:val="lv-LV"/>
              </w:rPr>
            </w:pPr>
            <w:r w:rsidRPr="00521933">
              <w:rPr>
                <w:color w:val="000000"/>
                <w:lang w:val="lv-LV"/>
              </w:rPr>
              <w:t>1)</w:t>
            </w:r>
            <w:r w:rsidRPr="00521933">
              <w:rPr>
                <w:color w:val="000000"/>
                <w:lang w:val="lv-LV" w:eastAsia="lv-LV"/>
              </w:rPr>
              <w:t xml:space="preserve"> Agrīnā dzemdes kakla vēža diagnosticēšanas sistēmas novērtēšana;</w:t>
            </w:r>
          </w:p>
        </w:tc>
        <w:tc>
          <w:tcPr>
            <w:tcW w:w="938" w:type="dxa"/>
            <w:tcBorders>
              <w:top w:val="single" w:sz="4" w:space="0" w:color="auto"/>
              <w:left w:val="nil"/>
              <w:bottom w:val="single" w:sz="4" w:space="0" w:color="000000"/>
              <w:right w:val="single" w:sz="4" w:space="0" w:color="000000"/>
            </w:tcBorders>
          </w:tcPr>
          <w:p w:rsidR="00F706BE" w:rsidRPr="00521933" w:rsidRDefault="00F706BE" w:rsidP="00747851">
            <w:pPr>
              <w:spacing w:before="120" w:after="120"/>
              <w:jc w:val="center"/>
              <w:rPr>
                <w:lang w:val="lv-LV"/>
              </w:rPr>
            </w:pPr>
            <w:r w:rsidRPr="00521933">
              <w:rPr>
                <w:lang w:val="lv-LV"/>
              </w:rPr>
              <w:t>X</w:t>
            </w:r>
          </w:p>
        </w:tc>
        <w:tc>
          <w:tcPr>
            <w:tcW w:w="889"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lang w:val="lv-LV"/>
              </w:rPr>
            </w:pPr>
          </w:p>
        </w:tc>
        <w:tc>
          <w:tcPr>
            <w:tcW w:w="889"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lang w:val="lv-LV"/>
              </w:rPr>
            </w:pPr>
          </w:p>
        </w:tc>
      </w:tr>
      <w:tr w:rsidR="00F706BE" w:rsidRPr="00521933" w:rsidTr="00747851">
        <w:trPr>
          <w:trHeight w:val="1094"/>
        </w:trPr>
        <w:tc>
          <w:tcPr>
            <w:tcW w:w="510" w:type="dxa"/>
            <w:vMerge/>
            <w:tcBorders>
              <w:top w:val="double" w:sz="4" w:space="0" w:color="auto"/>
              <w:left w:val="single" w:sz="4" w:space="0" w:color="auto"/>
              <w:bottom w:val="single" w:sz="4" w:space="0" w:color="auto"/>
              <w:right w:val="single" w:sz="4" w:space="0" w:color="auto"/>
            </w:tcBorders>
            <w:vAlign w:val="center"/>
          </w:tcPr>
          <w:p w:rsidR="00F706BE" w:rsidRPr="00521933" w:rsidRDefault="00F706BE" w:rsidP="00747851">
            <w:pPr>
              <w:spacing w:before="120" w:after="120"/>
              <w:rPr>
                <w:highlight w:val="red"/>
                <w:lang w:val="lv-LV"/>
              </w:rPr>
            </w:pPr>
          </w:p>
        </w:tc>
        <w:tc>
          <w:tcPr>
            <w:tcW w:w="2804" w:type="dxa"/>
            <w:vMerge/>
            <w:tcBorders>
              <w:top w:val="single" w:sz="4" w:space="0" w:color="000000"/>
              <w:left w:val="single" w:sz="4" w:space="0" w:color="auto"/>
              <w:bottom w:val="single" w:sz="4" w:space="0" w:color="auto"/>
              <w:right w:val="single" w:sz="4" w:space="0" w:color="auto"/>
            </w:tcBorders>
            <w:vAlign w:val="center"/>
          </w:tcPr>
          <w:p w:rsidR="00F706BE" w:rsidRPr="00521933" w:rsidRDefault="00F706BE" w:rsidP="00747851">
            <w:pPr>
              <w:spacing w:before="120" w:after="120"/>
              <w:rPr>
                <w:highlight w:val="red"/>
                <w:lang w:val="lv-LV"/>
              </w:rPr>
            </w:pPr>
          </w:p>
        </w:tc>
        <w:tc>
          <w:tcPr>
            <w:tcW w:w="3111" w:type="dxa"/>
            <w:tcBorders>
              <w:top w:val="nil"/>
              <w:left w:val="nil"/>
              <w:bottom w:val="single" w:sz="4" w:space="0" w:color="000000"/>
              <w:right w:val="single" w:sz="4" w:space="0" w:color="000000"/>
            </w:tcBorders>
          </w:tcPr>
          <w:p w:rsidR="00F706BE" w:rsidRPr="00521933" w:rsidRDefault="00F706BE" w:rsidP="00747851">
            <w:pPr>
              <w:spacing w:before="120" w:after="120"/>
              <w:rPr>
                <w:highlight w:val="red"/>
                <w:lang w:val="lv-LV"/>
              </w:rPr>
            </w:pPr>
            <w:r w:rsidRPr="00521933">
              <w:rPr>
                <w:color w:val="000000"/>
                <w:lang w:val="lv-LV"/>
              </w:rPr>
              <w:t xml:space="preserve">2) </w:t>
            </w:r>
            <w:r w:rsidRPr="00521933">
              <w:rPr>
                <w:color w:val="000000"/>
                <w:lang w:val="lv-LV" w:eastAsia="lv-LV"/>
              </w:rPr>
              <w:t xml:space="preserve"> Vienota izpratne par  agrīno krūts, dzemdes kakla un </w:t>
            </w:r>
            <w:proofErr w:type="spellStart"/>
            <w:r w:rsidRPr="00521933">
              <w:rPr>
                <w:color w:val="000000"/>
                <w:lang w:val="lv-LV" w:eastAsia="lv-LV"/>
              </w:rPr>
              <w:t>kolorektālā</w:t>
            </w:r>
            <w:proofErr w:type="spellEnd"/>
            <w:r w:rsidRPr="00521933">
              <w:rPr>
                <w:color w:val="000000"/>
                <w:lang w:val="lv-LV" w:eastAsia="lv-LV"/>
              </w:rPr>
              <w:t xml:space="preserve"> vēža diagnosticēšanu;</w:t>
            </w:r>
          </w:p>
        </w:tc>
        <w:tc>
          <w:tcPr>
            <w:tcW w:w="938"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lang w:val="lv-LV"/>
              </w:rPr>
            </w:pPr>
            <w:r w:rsidRPr="00521933">
              <w:rPr>
                <w:lang w:val="lv-LV"/>
              </w:rPr>
              <w:t>X</w:t>
            </w:r>
          </w:p>
        </w:tc>
        <w:tc>
          <w:tcPr>
            <w:tcW w:w="889"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lang w:val="lv-LV"/>
              </w:rPr>
            </w:pPr>
          </w:p>
        </w:tc>
        <w:tc>
          <w:tcPr>
            <w:tcW w:w="889"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lang w:val="lv-LV"/>
              </w:rPr>
            </w:pPr>
          </w:p>
        </w:tc>
      </w:tr>
      <w:tr w:rsidR="00F706BE" w:rsidRPr="00521933" w:rsidTr="00747851">
        <w:trPr>
          <w:trHeight w:val="1020"/>
        </w:trPr>
        <w:tc>
          <w:tcPr>
            <w:tcW w:w="510" w:type="dxa"/>
            <w:vMerge/>
            <w:tcBorders>
              <w:top w:val="double" w:sz="4" w:space="0" w:color="auto"/>
              <w:left w:val="single" w:sz="4" w:space="0" w:color="auto"/>
              <w:bottom w:val="single" w:sz="4" w:space="0" w:color="auto"/>
              <w:right w:val="single" w:sz="4" w:space="0" w:color="auto"/>
            </w:tcBorders>
            <w:vAlign w:val="center"/>
          </w:tcPr>
          <w:p w:rsidR="00F706BE" w:rsidRPr="00521933" w:rsidRDefault="00F706BE" w:rsidP="00747851">
            <w:pPr>
              <w:spacing w:before="120" w:after="120"/>
              <w:rPr>
                <w:highlight w:val="red"/>
                <w:lang w:val="lv-LV"/>
              </w:rPr>
            </w:pPr>
          </w:p>
        </w:tc>
        <w:tc>
          <w:tcPr>
            <w:tcW w:w="2804" w:type="dxa"/>
            <w:vMerge/>
            <w:tcBorders>
              <w:top w:val="single" w:sz="4" w:space="0" w:color="000000"/>
              <w:left w:val="single" w:sz="4" w:space="0" w:color="auto"/>
              <w:bottom w:val="single" w:sz="4" w:space="0" w:color="auto"/>
              <w:right w:val="single" w:sz="4" w:space="0" w:color="auto"/>
            </w:tcBorders>
            <w:vAlign w:val="center"/>
          </w:tcPr>
          <w:p w:rsidR="00F706BE" w:rsidRPr="00521933" w:rsidRDefault="00F706BE" w:rsidP="00747851">
            <w:pPr>
              <w:spacing w:before="120" w:after="120"/>
              <w:rPr>
                <w:highlight w:val="red"/>
                <w:lang w:val="lv-LV"/>
              </w:rPr>
            </w:pPr>
          </w:p>
        </w:tc>
        <w:tc>
          <w:tcPr>
            <w:tcW w:w="3111" w:type="dxa"/>
            <w:tcBorders>
              <w:top w:val="nil"/>
              <w:left w:val="nil"/>
              <w:bottom w:val="single" w:sz="4" w:space="0" w:color="000000"/>
              <w:right w:val="single" w:sz="4" w:space="0" w:color="000000"/>
            </w:tcBorders>
          </w:tcPr>
          <w:p w:rsidR="00F706BE" w:rsidRPr="00521933" w:rsidRDefault="00F706BE" w:rsidP="00747851">
            <w:pPr>
              <w:spacing w:before="120" w:after="120"/>
              <w:rPr>
                <w:highlight w:val="red"/>
                <w:lang w:val="lv-LV"/>
              </w:rPr>
            </w:pPr>
            <w:r w:rsidRPr="00521933">
              <w:rPr>
                <w:color w:val="000000"/>
                <w:lang w:val="lv-LV"/>
              </w:rPr>
              <w:t xml:space="preserve">3)Pētniecības projektu uzsākšana (tai skaitā, veselības sistēmas komponente) pēc valstu iniciatīvas (arī Latvijas) ar mērķi dokumentēt intervences ietekmi; </w:t>
            </w:r>
          </w:p>
        </w:tc>
        <w:tc>
          <w:tcPr>
            <w:tcW w:w="938"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lang w:val="lv-LV"/>
              </w:rPr>
            </w:pPr>
            <w:r w:rsidRPr="00521933">
              <w:rPr>
                <w:lang w:val="lv-LV"/>
              </w:rPr>
              <w:t>X</w:t>
            </w:r>
          </w:p>
        </w:tc>
        <w:tc>
          <w:tcPr>
            <w:tcW w:w="889"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lang w:val="lv-LV"/>
              </w:rPr>
            </w:pPr>
            <w:r w:rsidRPr="00521933">
              <w:rPr>
                <w:lang w:val="lv-LV"/>
              </w:rPr>
              <w:t>X</w:t>
            </w:r>
          </w:p>
        </w:tc>
        <w:tc>
          <w:tcPr>
            <w:tcW w:w="889" w:type="dxa"/>
            <w:tcBorders>
              <w:top w:val="nil"/>
              <w:left w:val="nil"/>
              <w:bottom w:val="single" w:sz="4" w:space="0" w:color="000000"/>
              <w:right w:val="single" w:sz="4" w:space="0" w:color="000000"/>
            </w:tcBorders>
          </w:tcPr>
          <w:p w:rsidR="00F706BE" w:rsidRPr="00521933" w:rsidRDefault="00F706BE" w:rsidP="00747851">
            <w:pPr>
              <w:spacing w:before="120" w:after="120"/>
              <w:jc w:val="center"/>
              <w:rPr>
                <w:lang w:val="lv-LV"/>
              </w:rPr>
            </w:pPr>
          </w:p>
        </w:tc>
      </w:tr>
      <w:tr w:rsidR="00F706BE" w:rsidRPr="00521933" w:rsidTr="00747851">
        <w:trPr>
          <w:trHeight w:val="770"/>
        </w:trPr>
        <w:tc>
          <w:tcPr>
            <w:tcW w:w="510" w:type="dxa"/>
            <w:vMerge w:val="restart"/>
            <w:tcBorders>
              <w:top w:val="single" w:sz="4" w:space="0" w:color="auto"/>
              <w:left w:val="single" w:sz="4" w:space="0" w:color="auto"/>
              <w:right w:val="single" w:sz="4" w:space="0" w:color="auto"/>
            </w:tcBorders>
          </w:tcPr>
          <w:p w:rsidR="00F706BE" w:rsidRPr="00521933" w:rsidRDefault="00F706BE" w:rsidP="00747851">
            <w:pPr>
              <w:spacing w:before="120" w:after="120"/>
              <w:rPr>
                <w:highlight w:val="red"/>
                <w:lang w:val="lv-LV"/>
              </w:rPr>
            </w:pPr>
            <w:r w:rsidRPr="00521933">
              <w:rPr>
                <w:lang w:val="lv-LV"/>
              </w:rPr>
              <w:lastRenderedPageBreak/>
              <w:t>3</w:t>
            </w:r>
          </w:p>
          <w:p w:rsidR="00F706BE" w:rsidRPr="00521933" w:rsidRDefault="00F706BE" w:rsidP="00747851">
            <w:pPr>
              <w:spacing w:before="120" w:after="120"/>
              <w:rPr>
                <w:highlight w:val="red"/>
                <w:lang w:val="lv-LV"/>
              </w:rPr>
            </w:pPr>
            <w:r w:rsidRPr="00521933">
              <w:rPr>
                <w:highlight w:val="red"/>
                <w:lang w:val="lv-LV"/>
              </w:rPr>
              <w:t xml:space="preserve"> </w:t>
            </w:r>
          </w:p>
          <w:p w:rsidR="00F706BE" w:rsidRPr="00521933" w:rsidRDefault="00F706BE" w:rsidP="00747851">
            <w:pPr>
              <w:spacing w:before="120" w:after="120"/>
              <w:rPr>
                <w:highlight w:val="red"/>
                <w:lang w:val="lv-LV"/>
              </w:rPr>
            </w:pPr>
            <w:r w:rsidRPr="00521933">
              <w:rPr>
                <w:highlight w:val="red"/>
                <w:lang w:val="lv-LV"/>
              </w:rPr>
              <w:t xml:space="preserve"> </w:t>
            </w:r>
          </w:p>
        </w:tc>
        <w:tc>
          <w:tcPr>
            <w:tcW w:w="2804" w:type="dxa"/>
            <w:vMerge w:val="restart"/>
            <w:tcBorders>
              <w:top w:val="single" w:sz="4" w:space="0" w:color="000000"/>
              <w:left w:val="single" w:sz="4" w:space="0" w:color="auto"/>
              <w:right w:val="single" w:sz="4" w:space="0" w:color="auto"/>
            </w:tcBorders>
          </w:tcPr>
          <w:p w:rsidR="00F706BE" w:rsidRPr="00521933" w:rsidRDefault="00F706BE" w:rsidP="00747851">
            <w:pPr>
              <w:spacing w:before="120" w:after="120"/>
              <w:rPr>
                <w:highlight w:val="red"/>
                <w:lang w:val="lv-LV"/>
              </w:rPr>
            </w:pPr>
            <w:r w:rsidRPr="00521933">
              <w:rPr>
                <w:color w:val="000000"/>
                <w:lang w:val="lv-LV"/>
              </w:rPr>
              <w:t>(CNT 23a) Prioritāšu un uz pierādījumiem balstītu pasākumu apstiprināšana</w:t>
            </w:r>
            <w:r w:rsidR="00C9521B" w:rsidRPr="00521933">
              <w:rPr>
                <w:color w:val="000000"/>
                <w:lang w:val="lv-LV"/>
              </w:rPr>
              <w:t xml:space="preserve"> </w:t>
            </w:r>
            <w:r w:rsidRPr="00521933">
              <w:rPr>
                <w:color w:val="000000"/>
                <w:lang w:val="lv-LV"/>
              </w:rPr>
              <w:t xml:space="preserve">dalībvalstīs, lai novērstu un kontrolētu Neinfekciozo slimību (turpmāk tekstā NS)S izplatību atbilstoši Eiropas NS ierobežošanas  plānam. Šie pasākumi ietver uzraudzības sistēmu integrēšanu, izmantojot fiskālos pasākumus, </w:t>
            </w:r>
            <w:proofErr w:type="spellStart"/>
            <w:r w:rsidRPr="00521933">
              <w:rPr>
                <w:color w:val="000000"/>
                <w:lang w:val="lv-LV"/>
              </w:rPr>
              <w:t>kardio-metaboliskos</w:t>
            </w:r>
            <w:proofErr w:type="spellEnd"/>
            <w:r w:rsidRPr="00521933">
              <w:rPr>
                <w:color w:val="000000"/>
                <w:lang w:val="lv-LV"/>
              </w:rPr>
              <w:t xml:space="preserve"> risku pārzināšanu un pakāpenisku pieeju vēža kontrolei. </w:t>
            </w:r>
          </w:p>
        </w:tc>
        <w:tc>
          <w:tcPr>
            <w:tcW w:w="3111"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highlight w:val="red"/>
                <w:lang w:val="lv-LV"/>
              </w:rPr>
            </w:pPr>
            <w:r w:rsidRPr="00521933">
              <w:rPr>
                <w:lang w:val="lv-LV"/>
              </w:rPr>
              <w:t xml:space="preserve">1) noorganizēt 2 ieinteresēto pušu </w:t>
            </w:r>
            <w:proofErr w:type="spellStart"/>
            <w:r w:rsidRPr="00521933">
              <w:rPr>
                <w:lang w:val="lv-LV"/>
              </w:rPr>
              <w:t>starpsektoru</w:t>
            </w:r>
            <w:proofErr w:type="spellEnd"/>
            <w:r w:rsidRPr="00521933">
              <w:rPr>
                <w:lang w:val="lv-LV"/>
              </w:rPr>
              <w:t xml:space="preserve"> koalīcijas sanāksmes par hroniskajām neinfekciozajām slimībām </w:t>
            </w:r>
          </w:p>
        </w:tc>
        <w:tc>
          <w:tcPr>
            <w:tcW w:w="938"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X</w:t>
            </w:r>
          </w:p>
        </w:tc>
      </w:tr>
      <w:tr w:rsidR="00F706BE" w:rsidRPr="00521933" w:rsidTr="00747851">
        <w:trPr>
          <w:trHeight w:val="930"/>
        </w:trPr>
        <w:tc>
          <w:tcPr>
            <w:tcW w:w="510" w:type="dxa"/>
            <w:vMerge/>
            <w:tcBorders>
              <w:left w:val="single" w:sz="4" w:space="0" w:color="auto"/>
              <w:right w:val="single" w:sz="4" w:space="0" w:color="auto"/>
            </w:tcBorders>
          </w:tcPr>
          <w:p w:rsidR="00F706BE" w:rsidRPr="00521933" w:rsidRDefault="00F706BE" w:rsidP="00747851">
            <w:pPr>
              <w:spacing w:before="120" w:after="120"/>
              <w:rPr>
                <w:highlight w:val="red"/>
                <w:lang w:val="lv-LV"/>
              </w:rPr>
            </w:pPr>
          </w:p>
        </w:tc>
        <w:tc>
          <w:tcPr>
            <w:tcW w:w="2804" w:type="dxa"/>
            <w:vMerge/>
            <w:tcBorders>
              <w:left w:val="single" w:sz="4" w:space="0" w:color="auto"/>
              <w:right w:val="single" w:sz="4" w:space="0" w:color="auto"/>
            </w:tcBorders>
          </w:tcPr>
          <w:p w:rsidR="00F706BE" w:rsidRPr="00521933" w:rsidRDefault="00F706BE" w:rsidP="00747851">
            <w:pPr>
              <w:spacing w:before="120" w:after="120"/>
              <w:rPr>
                <w:highlight w:val="red"/>
                <w:lang w:val="lv-LV"/>
              </w:rPr>
            </w:pPr>
          </w:p>
        </w:tc>
        <w:tc>
          <w:tcPr>
            <w:tcW w:w="3111"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highlight w:val="red"/>
                <w:lang w:val="lv-LV"/>
              </w:rPr>
            </w:pPr>
            <w:r w:rsidRPr="00521933">
              <w:rPr>
                <w:lang w:val="lv-LV"/>
              </w:rPr>
              <w:t>2) Latvijas dalība PVO/EURO organizētajās NS sanāksmēs / semināros, tai sk</w:t>
            </w:r>
            <w:r w:rsidR="00747851" w:rsidRPr="00521933">
              <w:rPr>
                <w:lang w:val="lv-LV"/>
              </w:rPr>
              <w:t>ai</w:t>
            </w:r>
            <w:r w:rsidRPr="00521933">
              <w:rPr>
                <w:lang w:val="lv-LV"/>
              </w:rPr>
              <w:t xml:space="preserve">tā par dzemdes kakla vēzi; </w:t>
            </w:r>
          </w:p>
        </w:tc>
        <w:tc>
          <w:tcPr>
            <w:tcW w:w="938" w:type="dxa"/>
            <w:tcBorders>
              <w:top w:val="nil"/>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nil"/>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nil"/>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X</w:t>
            </w:r>
          </w:p>
        </w:tc>
      </w:tr>
      <w:tr w:rsidR="00F706BE" w:rsidRPr="00521933" w:rsidTr="00747851">
        <w:trPr>
          <w:trHeight w:val="930"/>
        </w:trPr>
        <w:tc>
          <w:tcPr>
            <w:tcW w:w="510" w:type="dxa"/>
            <w:vMerge/>
            <w:tcBorders>
              <w:left w:val="single" w:sz="4" w:space="0" w:color="auto"/>
              <w:bottom w:val="single" w:sz="4" w:space="0" w:color="auto"/>
              <w:right w:val="single" w:sz="4" w:space="0" w:color="auto"/>
            </w:tcBorders>
          </w:tcPr>
          <w:p w:rsidR="00F706BE" w:rsidRPr="00521933" w:rsidRDefault="00F706BE" w:rsidP="00747851">
            <w:pPr>
              <w:spacing w:before="120" w:after="120"/>
              <w:rPr>
                <w:highlight w:val="red"/>
                <w:lang w:val="lv-LV"/>
              </w:rPr>
            </w:pPr>
          </w:p>
        </w:tc>
        <w:tc>
          <w:tcPr>
            <w:tcW w:w="2804" w:type="dxa"/>
            <w:vMerge/>
            <w:tcBorders>
              <w:left w:val="single" w:sz="4" w:space="0" w:color="auto"/>
              <w:bottom w:val="single" w:sz="4" w:space="0" w:color="000000"/>
              <w:right w:val="single" w:sz="4" w:space="0" w:color="auto"/>
            </w:tcBorders>
          </w:tcPr>
          <w:p w:rsidR="00F706BE" w:rsidRPr="00521933" w:rsidRDefault="00F706BE" w:rsidP="00747851">
            <w:pPr>
              <w:spacing w:before="120" w:after="120"/>
              <w:rPr>
                <w:highlight w:val="red"/>
                <w:lang w:val="lv-LV"/>
              </w:rPr>
            </w:pPr>
          </w:p>
        </w:tc>
        <w:tc>
          <w:tcPr>
            <w:tcW w:w="3111"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highlight w:val="red"/>
                <w:lang w:val="lv-LV"/>
              </w:rPr>
            </w:pPr>
          </w:p>
        </w:tc>
        <w:tc>
          <w:tcPr>
            <w:tcW w:w="938"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r>
      <w:tr w:rsidR="00F706BE" w:rsidRPr="00521933" w:rsidTr="00747851">
        <w:trPr>
          <w:trHeight w:val="930"/>
        </w:trPr>
        <w:tc>
          <w:tcPr>
            <w:tcW w:w="510"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r w:rsidRPr="00521933">
              <w:rPr>
                <w:lang w:val="lv-LV"/>
              </w:rPr>
              <w:t>4</w:t>
            </w:r>
          </w:p>
        </w:tc>
        <w:tc>
          <w:tcPr>
            <w:tcW w:w="2804" w:type="dxa"/>
            <w:tcBorders>
              <w:top w:val="single" w:sz="4" w:space="0" w:color="000000"/>
              <w:left w:val="single" w:sz="4" w:space="0" w:color="auto"/>
              <w:bottom w:val="single" w:sz="4" w:space="0" w:color="000000"/>
              <w:right w:val="single" w:sz="4" w:space="0" w:color="auto"/>
            </w:tcBorders>
          </w:tcPr>
          <w:p w:rsidR="00F706BE" w:rsidRPr="00521933" w:rsidRDefault="00F706BE" w:rsidP="00747851">
            <w:pPr>
              <w:spacing w:before="120" w:after="120"/>
              <w:rPr>
                <w:highlight w:val="red"/>
                <w:lang w:val="lv-LV"/>
              </w:rPr>
            </w:pPr>
            <w:r w:rsidRPr="00521933">
              <w:rPr>
                <w:lang w:val="lv-LV"/>
              </w:rPr>
              <w:t xml:space="preserve">(024) Daudznozaru un uz pierādījumiem balstītas programmas izveide, kas skaidri risina pusaudžu veselības un attīstības prioritātes un nevienlīdzību, un nodrošina, ka tiesības uz universālu pieeju pakalpojumiem pusaudžiem tiek īstenotas. </w:t>
            </w:r>
          </w:p>
        </w:tc>
        <w:tc>
          <w:tcPr>
            <w:tcW w:w="3111"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 xml:space="preserve">1)Turpināt  atbalstu starptautiskā pētījuma „Veselības ieradumi skolas vecuma bērniem” koordinācijai  </w:t>
            </w:r>
          </w:p>
        </w:tc>
        <w:tc>
          <w:tcPr>
            <w:tcW w:w="938"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X</w:t>
            </w:r>
          </w:p>
        </w:tc>
      </w:tr>
      <w:tr w:rsidR="00F706BE" w:rsidRPr="00521933" w:rsidTr="00747851">
        <w:trPr>
          <w:trHeight w:val="709"/>
        </w:trPr>
        <w:tc>
          <w:tcPr>
            <w:tcW w:w="510" w:type="dxa"/>
            <w:vMerge w:val="restart"/>
            <w:tcBorders>
              <w:top w:val="single" w:sz="4" w:space="0" w:color="auto"/>
              <w:left w:val="single" w:sz="4" w:space="0" w:color="auto"/>
              <w:right w:val="single" w:sz="4" w:space="0" w:color="auto"/>
            </w:tcBorders>
          </w:tcPr>
          <w:p w:rsidR="00F706BE" w:rsidRPr="00521933" w:rsidRDefault="00F706BE" w:rsidP="00747851">
            <w:pPr>
              <w:spacing w:before="120" w:after="120"/>
              <w:rPr>
                <w:highlight w:val="red"/>
                <w:lang w:val="lv-LV"/>
              </w:rPr>
            </w:pPr>
            <w:r w:rsidRPr="00521933">
              <w:rPr>
                <w:lang w:val="lv-LV"/>
              </w:rPr>
              <w:t>6</w:t>
            </w:r>
          </w:p>
        </w:tc>
        <w:tc>
          <w:tcPr>
            <w:tcW w:w="2804" w:type="dxa"/>
            <w:vMerge w:val="restart"/>
            <w:tcBorders>
              <w:top w:val="single" w:sz="4" w:space="0" w:color="000000"/>
              <w:left w:val="single" w:sz="4" w:space="0" w:color="auto"/>
              <w:right w:val="single" w:sz="4" w:space="0" w:color="auto"/>
            </w:tcBorders>
          </w:tcPr>
          <w:p w:rsidR="00F706BE" w:rsidRPr="00521933" w:rsidRDefault="00F706BE" w:rsidP="00747851">
            <w:pPr>
              <w:spacing w:before="120" w:after="120"/>
              <w:rPr>
                <w:lang w:val="lv-LV"/>
              </w:rPr>
            </w:pPr>
            <w:r w:rsidRPr="00521933">
              <w:rPr>
                <w:color w:val="000000"/>
                <w:lang w:val="lv-LV"/>
              </w:rPr>
              <w:t xml:space="preserve">(CNT 1009) Aptaukošanās novēršana un rīcības plāna kontrole, tostarp veselības un fizisko aktivitāšu sagatavošana un īstenošana dalībvalstīs, pamatojoties uz Eiropas Hartu aptaukošanās principu novēršanai. </w:t>
            </w:r>
          </w:p>
        </w:tc>
        <w:tc>
          <w:tcPr>
            <w:tcW w:w="3111"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 xml:space="preserve">1) Nacionālā pārtikas un uztura plāna pārskatīšana; </w:t>
            </w:r>
          </w:p>
        </w:tc>
        <w:tc>
          <w:tcPr>
            <w:tcW w:w="938"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r>
      <w:tr w:rsidR="00F706BE" w:rsidRPr="00521933" w:rsidTr="00747851">
        <w:trPr>
          <w:trHeight w:val="930"/>
        </w:trPr>
        <w:tc>
          <w:tcPr>
            <w:tcW w:w="510" w:type="dxa"/>
            <w:vMerge/>
            <w:tcBorders>
              <w:left w:val="single" w:sz="4" w:space="0" w:color="auto"/>
              <w:right w:val="single" w:sz="4" w:space="0" w:color="auto"/>
            </w:tcBorders>
          </w:tcPr>
          <w:p w:rsidR="00F706BE" w:rsidRPr="00521933" w:rsidRDefault="00F706BE" w:rsidP="00747851">
            <w:pPr>
              <w:spacing w:before="120" w:after="120"/>
              <w:rPr>
                <w:highlight w:val="red"/>
                <w:lang w:val="lv-LV"/>
              </w:rPr>
            </w:pPr>
          </w:p>
        </w:tc>
        <w:tc>
          <w:tcPr>
            <w:tcW w:w="2804" w:type="dxa"/>
            <w:vMerge/>
            <w:tcBorders>
              <w:left w:val="single" w:sz="4" w:space="0" w:color="auto"/>
              <w:right w:val="single" w:sz="4" w:space="0" w:color="auto"/>
            </w:tcBorders>
          </w:tcPr>
          <w:p w:rsidR="00F706BE" w:rsidRPr="00521933" w:rsidRDefault="00F706BE" w:rsidP="00747851">
            <w:pPr>
              <w:rPr>
                <w:color w:val="000000"/>
                <w:lang w:val="lv-LV"/>
              </w:rPr>
            </w:pPr>
          </w:p>
        </w:tc>
        <w:tc>
          <w:tcPr>
            <w:tcW w:w="3111"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2) Sāls mazināšanas uzturā stratēģijas pieņemšana  un apstiprināšana;</w:t>
            </w:r>
          </w:p>
        </w:tc>
        <w:tc>
          <w:tcPr>
            <w:tcW w:w="938"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r>
      <w:tr w:rsidR="00F706BE" w:rsidRPr="00521933" w:rsidTr="00747851">
        <w:trPr>
          <w:trHeight w:val="670"/>
        </w:trPr>
        <w:tc>
          <w:tcPr>
            <w:tcW w:w="510" w:type="dxa"/>
            <w:vMerge/>
            <w:tcBorders>
              <w:left w:val="single" w:sz="4" w:space="0" w:color="auto"/>
              <w:bottom w:val="single" w:sz="4" w:space="0" w:color="auto"/>
              <w:right w:val="single" w:sz="4" w:space="0" w:color="auto"/>
            </w:tcBorders>
          </w:tcPr>
          <w:p w:rsidR="00F706BE" w:rsidRPr="00521933" w:rsidRDefault="00F706BE" w:rsidP="00747851">
            <w:pPr>
              <w:spacing w:before="120" w:after="120"/>
              <w:rPr>
                <w:highlight w:val="red"/>
                <w:lang w:val="lv-LV"/>
              </w:rPr>
            </w:pPr>
          </w:p>
        </w:tc>
        <w:tc>
          <w:tcPr>
            <w:tcW w:w="2804" w:type="dxa"/>
            <w:vMerge/>
            <w:tcBorders>
              <w:left w:val="single" w:sz="4" w:space="0" w:color="auto"/>
              <w:bottom w:val="single" w:sz="4" w:space="0" w:color="000000"/>
              <w:right w:val="single" w:sz="4" w:space="0" w:color="auto"/>
            </w:tcBorders>
          </w:tcPr>
          <w:p w:rsidR="00F706BE" w:rsidRPr="00521933" w:rsidRDefault="00F706BE" w:rsidP="00747851">
            <w:pPr>
              <w:rPr>
                <w:color w:val="000000"/>
                <w:lang w:val="lv-LV"/>
              </w:rPr>
            </w:pPr>
          </w:p>
        </w:tc>
        <w:tc>
          <w:tcPr>
            <w:tcW w:w="3111"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 xml:space="preserve">3) HFSS pārtikas mārketinga bērniem politika adaptēta; </w:t>
            </w:r>
          </w:p>
        </w:tc>
        <w:tc>
          <w:tcPr>
            <w:tcW w:w="938"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r>
      <w:tr w:rsidR="00F706BE" w:rsidRPr="00521933" w:rsidTr="00747851">
        <w:trPr>
          <w:trHeight w:val="930"/>
        </w:trPr>
        <w:tc>
          <w:tcPr>
            <w:tcW w:w="510" w:type="dxa"/>
            <w:vMerge w:val="restart"/>
            <w:tcBorders>
              <w:top w:val="single" w:sz="4" w:space="0" w:color="auto"/>
              <w:left w:val="single" w:sz="4" w:space="0" w:color="auto"/>
              <w:right w:val="single" w:sz="4" w:space="0" w:color="auto"/>
            </w:tcBorders>
          </w:tcPr>
          <w:p w:rsidR="00F706BE" w:rsidRPr="00521933" w:rsidRDefault="00F706BE" w:rsidP="00747851">
            <w:pPr>
              <w:spacing w:before="120" w:after="120"/>
              <w:rPr>
                <w:highlight w:val="red"/>
                <w:lang w:val="lv-LV"/>
              </w:rPr>
            </w:pPr>
            <w:r w:rsidRPr="00521933">
              <w:rPr>
                <w:lang w:val="lv-LV"/>
              </w:rPr>
              <w:t>6</w:t>
            </w:r>
          </w:p>
        </w:tc>
        <w:tc>
          <w:tcPr>
            <w:tcW w:w="2804" w:type="dxa"/>
            <w:vMerge w:val="restart"/>
            <w:tcBorders>
              <w:top w:val="single" w:sz="4" w:space="0" w:color="000000"/>
              <w:left w:val="single" w:sz="4" w:space="0" w:color="auto"/>
              <w:right w:val="single" w:sz="4" w:space="0" w:color="auto"/>
            </w:tcBorders>
          </w:tcPr>
          <w:p w:rsidR="00F706BE" w:rsidRPr="00521933" w:rsidRDefault="00F706BE" w:rsidP="00747851">
            <w:pPr>
              <w:rPr>
                <w:color w:val="000000"/>
                <w:lang w:val="lv-LV"/>
              </w:rPr>
            </w:pPr>
            <w:r w:rsidRPr="00521933">
              <w:rPr>
                <w:color w:val="000000"/>
                <w:lang w:val="lv-LV"/>
              </w:rPr>
              <w:t>(39r)</w:t>
            </w:r>
            <w:r w:rsidRPr="00521933">
              <w:rPr>
                <w:color w:val="333333"/>
                <w:lang w:val="lv-LV"/>
              </w:rPr>
              <w:t xml:space="preserve"> </w:t>
            </w:r>
            <w:r w:rsidRPr="00521933">
              <w:rPr>
                <w:color w:val="000000"/>
                <w:lang w:val="lv-LV"/>
              </w:rPr>
              <w:t xml:space="preserve">Dalībvalstis izveido vai stiprina nacionālās uzraudzības </w:t>
            </w:r>
            <w:r w:rsidRPr="00521933">
              <w:rPr>
                <w:color w:val="000000"/>
                <w:lang w:val="lv-LV"/>
              </w:rPr>
              <w:lastRenderedPageBreak/>
              <w:t>sistēmas tabakas patēriņa un tabakas iedarbības mazināšanai, balstītas uz ilgtspējīgumu, standartizāciju un būt salīdzināmām  starp valstīm, veidot politiku, izmantojot datus vadoties no PVO FCTC</w:t>
            </w:r>
          </w:p>
        </w:tc>
        <w:tc>
          <w:tcPr>
            <w:tcW w:w="3111"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lastRenderedPageBreak/>
              <w:t xml:space="preserve">1) Kapacitātes stiprināšana un tehniskā palīdzība jaunatnes </w:t>
            </w:r>
            <w:r w:rsidRPr="00521933">
              <w:rPr>
                <w:lang w:val="lv-LV"/>
              </w:rPr>
              <w:lastRenderedPageBreak/>
              <w:t xml:space="preserve">aptauju veikšanai valstīs; </w:t>
            </w:r>
          </w:p>
        </w:tc>
        <w:tc>
          <w:tcPr>
            <w:tcW w:w="938"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lastRenderedPageBreak/>
              <w:t>X</w:t>
            </w: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r>
      <w:tr w:rsidR="00F706BE" w:rsidRPr="00521933" w:rsidTr="00747851">
        <w:trPr>
          <w:trHeight w:val="930"/>
        </w:trPr>
        <w:tc>
          <w:tcPr>
            <w:tcW w:w="510" w:type="dxa"/>
            <w:vMerge/>
            <w:tcBorders>
              <w:left w:val="single" w:sz="4" w:space="0" w:color="auto"/>
              <w:bottom w:val="single" w:sz="4" w:space="0" w:color="auto"/>
              <w:right w:val="single" w:sz="4" w:space="0" w:color="auto"/>
            </w:tcBorders>
          </w:tcPr>
          <w:p w:rsidR="00F706BE" w:rsidRPr="00521933" w:rsidRDefault="00F706BE" w:rsidP="00747851">
            <w:pPr>
              <w:spacing w:before="120" w:after="120"/>
              <w:rPr>
                <w:highlight w:val="red"/>
                <w:lang w:val="lv-LV"/>
              </w:rPr>
            </w:pPr>
          </w:p>
        </w:tc>
        <w:tc>
          <w:tcPr>
            <w:tcW w:w="2804" w:type="dxa"/>
            <w:vMerge/>
            <w:tcBorders>
              <w:left w:val="single" w:sz="4" w:space="0" w:color="auto"/>
              <w:bottom w:val="single" w:sz="4" w:space="0" w:color="000000"/>
              <w:right w:val="single" w:sz="4" w:space="0" w:color="auto"/>
            </w:tcBorders>
          </w:tcPr>
          <w:p w:rsidR="00F706BE" w:rsidRPr="00521933" w:rsidRDefault="00F706BE" w:rsidP="00747851">
            <w:pPr>
              <w:rPr>
                <w:color w:val="000000"/>
                <w:lang w:val="lv-LV"/>
              </w:rPr>
            </w:pPr>
          </w:p>
        </w:tc>
        <w:tc>
          <w:tcPr>
            <w:tcW w:w="3111"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 xml:space="preserve">2) Kapacitātes stiprināšana un tehniskā palīdzība drošas un uz pierādījumiem balstītas politikas izveidei, izmantojot iegūtos aptaujas datus, kas būtu saskaņā ar PVO FCTC un tās vadlīnijām; </w:t>
            </w:r>
          </w:p>
        </w:tc>
        <w:tc>
          <w:tcPr>
            <w:tcW w:w="938"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r>
      <w:tr w:rsidR="00F706BE" w:rsidRPr="00521933" w:rsidTr="00747851">
        <w:trPr>
          <w:trHeight w:val="930"/>
        </w:trPr>
        <w:tc>
          <w:tcPr>
            <w:tcW w:w="510" w:type="dxa"/>
            <w:tcBorders>
              <w:top w:val="single" w:sz="4" w:space="0" w:color="auto"/>
              <w:left w:val="single" w:sz="4" w:space="0" w:color="auto"/>
              <w:bottom w:val="single" w:sz="4" w:space="0" w:color="auto"/>
              <w:right w:val="single" w:sz="4" w:space="0" w:color="auto"/>
            </w:tcBorders>
          </w:tcPr>
          <w:p w:rsidR="00F706BE" w:rsidRPr="00521933" w:rsidRDefault="00F706BE" w:rsidP="00747851">
            <w:pPr>
              <w:spacing w:before="120" w:after="120"/>
              <w:rPr>
                <w:highlight w:val="red"/>
                <w:lang w:val="lv-LV"/>
              </w:rPr>
            </w:pPr>
            <w:r w:rsidRPr="00521933">
              <w:rPr>
                <w:lang w:val="lv-LV"/>
              </w:rPr>
              <w:t>6</w:t>
            </w:r>
          </w:p>
        </w:tc>
        <w:tc>
          <w:tcPr>
            <w:tcW w:w="2804" w:type="dxa"/>
            <w:tcBorders>
              <w:top w:val="single" w:sz="4" w:space="0" w:color="000000"/>
              <w:left w:val="single" w:sz="4" w:space="0" w:color="auto"/>
              <w:bottom w:val="single" w:sz="4" w:space="0" w:color="000000"/>
              <w:right w:val="single" w:sz="4" w:space="0" w:color="auto"/>
            </w:tcBorders>
          </w:tcPr>
          <w:p w:rsidR="00F706BE" w:rsidRPr="00521933" w:rsidRDefault="00F706BE" w:rsidP="00747851">
            <w:pPr>
              <w:rPr>
                <w:color w:val="000000"/>
                <w:lang w:val="lv-LV"/>
              </w:rPr>
            </w:pPr>
            <w:r w:rsidRPr="00521933">
              <w:rPr>
                <w:color w:val="000000"/>
                <w:lang w:val="lv-LV"/>
              </w:rPr>
              <w:t>(39i) Dalībvalstis ir ieviesušas visaptverošas veselības intervences savās cietumu sistēmās.</w:t>
            </w:r>
          </w:p>
        </w:tc>
        <w:tc>
          <w:tcPr>
            <w:tcW w:w="3111"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1) sniegt tehnisko palīdzību Veselības ministrijai (ziņojums ar rekomendācijām, daudznozaru pieejas stiprināšana, īpaši ar Tieslietu ministriju, ieinteresēto pušu sanāksmes) cietumu veselības aprūpes sistēmas integrēšanai sabiedrības veselības aprūpes sistēmā;</w:t>
            </w:r>
          </w:p>
        </w:tc>
        <w:tc>
          <w:tcPr>
            <w:tcW w:w="938"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r>
      <w:tr w:rsidR="00F706BE" w:rsidRPr="00521933" w:rsidTr="00747851">
        <w:trPr>
          <w:trHeight w:val="2821"/>
        </w:trPr>
        <w:tc>
          <w:tcPr>
            <w:tcW w:w="510" w:type="dxa"/>
            <w:vMerge w:val="restart"/>
            <w:tcBorders>
              <w:top w:val="single" w:sz="4" w:space="0" w:color="auto"/>
              <w:left w:val="single" w:sz="4" w:space="0" w:color="auto"/>
              <w:right w:val="single" w:sz="4" w:space="0" w:color="auto"/>
            </w:tcBorders>
          </w:tcPr>
          <w:p w:rsidR="00F706BE" w:rsidRPr="00521933" w:rsidRDefault="00F706BE" w:rsidP="00747851">
            <w:pPr>
              <w:spacing w:before="120" w:after="120"/>
              <w:rPr>
                <w:highlight w:val="red"/>
                <w:lang w:val="lv-LV"/>
              </w:rPr>
            </w:pPr>
            <w:r w:rsidRPr="00521933">
              <w:rPr>
                <w:lang w:val="lv-LV"/>
              </w:rPr>
              <w:t>6</w:t>
            </w:r>
          </w:p>
        </w:tc>
        <w:tc>
          <w:tcPr>
            <w:tcW w:w="2804" w:type="dxa"/>
            <w:vMerge w:val="restart"/>
            <w:tcBorders>
              <w:top w:val="single" w:sz="4" w:space="0" w:color="000000"/>
              <w:left w:val="single" w:sz="4" w:space="0" w:color="auto"/>
              <w:right w:val="single" w:sz="4" w:space="0" w:color="auto"/>
            </w:tcBorders>
          </w:tcPr>
          <w:p w:rsidR="00F706BE" w:rsidRPr="00521933" w:rsidRDefault="00F706BE" w:rsidP="00747851">
            <w:pPr>
              <w:rPr>
                <w:color w:val="000000"/>
                <w:lang w:val="lv-LV"/>
              </w:rPr>
            </w:pPr>
            <w:r w:rsidRPr="00521933">
              <w:rPr>
                <w:color w:val="000000"/>
                <w:lang w:val="lv-LV"/>
              </w:rPr>
              <w:t xml:space="preserve">CNT 1008) Stiprināta nacionālā alkohola programma saskaņā ar Eiropas Alkohola Rīcības plānu 2012-2020.  </w:t>
            </w:r>
          </w:p>
        </w:tc>
        <w:tc>
          <w:tcPr>
            <w:tcW w:w="3111"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 xml:space="preserve">1) Savākt datus par alkohola patēriņu, kaitējumu un lietošanas iemesliem izmantošanai Eiropas informācijas sistēmā par Alkoholu un veselību, piedalīties ikgadējās sanāksmēs. Sniegt savāktos datus Eiropas informācijas sistēmai par Alkoholu un veselību; </w:t>
            </w:r>
          </w:p>
        </w:tc>
        <w:tc>
          <w:tcPr>
            <w:tcW w:w="938"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r>
      <w:tr w:rsidR="00F706BE" w:rsidRPr="00521933" w:rsidTr="00747851">
        <w:trPr>
          <w:trHeight w:val="930"/>
        </w:trPr>
        <w:tc>
          <w:tcPr>
            <w:tcW w:w="510" w:type="dxa"/>
            <w:vMerge/>
            <w:tcBorders>
              <w:left w:val="single" w:sz="4" w:space="0" w:color="auto"/>
              <w:right w:val="single" w:sz="4" w:space="0" w:color="auto"/>
            </w:tcBorders>
          </w:tcPr>
          <w:p w:rsidR="00F706BE" w:rsidRPr="00521933" w:rsidRDefault="00F706BE" w:rsidP="00747851">
            <w:pPr>
              <w:spacing w:before="120" w:after="120"/>
              <w:rPr>
                <w:highlight w:val="red"/>
                <w:lang w:val="lv-LV"/>
              </w:rPr>
            </w:pPr>
          </w:p>
        </w:tc>
        <w:tc>
          <w:tcPr>
            <w:tcW w:w="2804" w:type="dxa"/>
            <w:vMerge/>
            <w:tcBorders>
              <w:left w:val="single" w:sz="4" w:space="0" w:color="auto"/>
              <w:right w:val="single" w:sz="4" w:space="0" w:color="auto"/>
            </w:tcBorders>
          </w:tcPr>
          <w:p w:rsidR="00F706BE" w:rsidRPr="00521933" w:rsidRDefault="00F706BE" w:rsidP="00747851">
            <w:pPr>
              <w:rPr>
                <w:color w:val="000000"/>
                <w:lang w:val="lv-LV"/>
              </w:rPr>
            </w:pPr>
          </w:p>
        </w:tc>
        <w:tc>
          <w:tcPr>
            <w:tcW w:w="3111"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 xml:space="preserve">2) Alkohola patēriņa, radīto kaitējumu novērtējums un politikas pasākumi; </w:t>
            </w:r>
          </w:p>
        </w:tc>
        <w:tc>
          <w:tcPr>
            <w:tcW w:w="938"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r>
      <w:tr w:rsidR="00F706BE" w:rsidRPr="00521933" w:rsidTr="00747851">
        <w:trPr>
          <w:trHeight w:val="348"/>
        </w:trPr>
        <w:tc>
          <w:tcPr>
            <w:tcW w:w="510" w:type="dxa"/>
            <w:vMerge/>
            <w:tcBorders>
              <w:left w:val="single" w:sz="4" w:space="0" w:color="auto"/>
              <w:right w:val="single" w:sz="4" w:space="0" w:color="auto"/>
            </w:tcBorders>
          </w:tcPr>
          <w:p w:rsidR="00F706BE" w:rsidRPr="00521933" w:rsidRDefault="00F706BE" w:rsidP="00747851">
            <w:pPr>
              <w:spacing w:before="120" w:after="120"/>
              <w:rPr>
                <w:highlight w:val="red"/>
                <w:lang w:val="lv-LV"/>
              </w:rPr>
            </w:pPr>
          </w:p>
        </w:tc>
        <w:tc>
          <w:tcPr>
            <w:tcW w:w="2804" w:type="dxa"/>
            <w:vMerge/>
            <w:tcBorders>
              <w:left w:val="single" w:sz="4" w:space="0" w:color="auto"/>
              <w:right w:val="single" w:sz="4" w:space="0" w:color="auto"/>
            </w:tcBorders>
          </w:tcPr>
          <w:p w:rsidR="00F706BE" w:rsidRPr="00521933" w:rsidRDefault="00F706BE" w:rsidP="00747851">
            <w:pPr>
              <w:rPr>
                <w:color w:val="000000"/>
                <w:lang w:val="lv-LV"/>
              </w:rPr>
            </w:pPr>
          </w:p>
        </w:tc>
        <w:tc>
          <w:tcPr>
            <w:tcW w:w="3111"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 xml:space="preserve">3) Vadlīnijas nacionālā alkohola rīcības plāna izveidošanai, izmantojot Eiropas </w:t>
            </w:r>
            <w:r w:rsidRPr="00521933">
              <w:rPr>
                <w:lang w:val="lv-LV"/>
              </w:rPr>
              <w:lastRenderedPageBreak/>
              <w:t xml:space="preserve">rīcības plānu, lai mazinātu alkohola lietošanas kaitīgas sekas; </w:t>
            </w:r>
          </w:p>
        </w:tc>
        <w:tc>
          <w:tcPr>
            <w:tcW w:w="938"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lastRenderedPageBreak/>
              <w:t>X</w:t>
            </w: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X</w:t>
            </w:r>
          </w:p>
        </w:tc>
      </w:tr>
      <w:tr w:rsidR="00F706BE" w:rsidRPr="00521933" w:rsidTr="00747851">
        <w:trPr>
          <w:trHeight w:val="930"/>
        </w:trPr>
        <w:tc>
          <w:tcPr>
            <w:tcW w:w="510" w:type="dxa"/>
            <w:vMerge/>
            <w:tcBorders>
              <w:left w:val="single" w:sz="4" w:space="0" w:color="auto"/>
              <w:right w:val="single" w:sz="4" w:space="0" w:color="auto"/>
            </w:tcBorders>
          </w:tcPr>
          <w:p w:rsidR="00F706BE" w:rsidRPr="00521933" w:rsidRDefault="00F706BE" w:rsidP="00747851">
            <w:pPr>
              <w:spacing w:before="120" w:after="120"/>
              <w:rPr>
                <w:highlight w:val="red"/>
                <w:lang w:val="lv-LV"/>
              </w:rPr>
            </w:pPr>
          </w:p>
        </w:tc>
        <w:tc>
          <w:tcPr>
            <w:tcW w:w="2804" w:type="dxa"/>
            <w:vMerge/>
            <w:tcBorders>
              <w:left w:val="single" w:sz="4" w:space="0" w:color="auto"/>
              <w:right w:val="single" w:sz="4" w:space="0" w:color="auto"/>
            </w:tcBorders>
          </w:tcPr>
          <w:p w:rsidR="00F706BE" w:rsidRPr="00521933" w:rsidRDefault="00F706BE" w:rsidP="00747851">
            <w:pPr>
              <w:rPr>
                <w:color w:val="000000"/>
                <w:lang w:val="lv-LV"/>
              </w:rPr>
            </w:pPr>
          </w:p>
        </w:tc>
        <w:tc>
          <w:tcPr>
            <w:tcW w:w="3111"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 xml:space="preserve">4) Apmaiņa ar labās prakses piemēriem alkohola lietošanas novēršanai un piedalīšanās nacionālo koordinatoru sanāksmēs par alkohola politiku; </w:t>
            </w:r>
          </w:p>
        </w:tc>
        <w:tc>
          <w:tcPr>
            <w:tcW w:w="938"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X</w:t>
            </w: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p>
        </w:tc>
        <w:tc>
          <w:tcPr>
            <w:tcW w:w="889" w:type="dxa"/>
            <w:tcBorders>
              <w:top w:val="single" w:sz="4" w:space="0" w:color="auto"/>
              <w:left w:val="nil"/>
              <w:bottom w:val="single" w:sz="4" w:space="0" w:color="auto"/>
              <w:right w:val="single" w:sz="4" w:space="0" w:color="000000"/>
            </w:tcBorders>
          </w:tcPr>
          <w:p w:rsidR="00F706BE" w:rsidRPr="00521933" w:rsidRDefault="00F706BE" w:rsidP="00747851">
            <w:pPr>
              <w:spacing w:before="120" w:after="120"/>
              <w:rPr>
                <w:lang w:val="lv-LV"/>
              </w:rPr>
            </w:pPr>
            <w:r w:rsidRPr="00521933">
              <w:rPr>
                <w:lang w:val="lv-LV"/>
              </w:rPr>
              <w:t>X</w:t>
            </w:r>
          </w:p>
        </w:tc>
      </w:tr>
      <w:tr w:rsidR="00F706BE" w:rsidRPr="00521933" w:rsidTr="00747851">
        <w:trPr>
          <w:trHeight w:val="930"/>
        </w:trPr>
        <w:tc>
          <w:tcPr>
            <w:tcW w:w="510" w:type="dxa"/>
            <w:tcBorders>
              <w:left w:val="single" w:sz="4" w:space="0" w:color="auto"/>
              <w:bottom w:val="single" w:sz="4" w:space="0" w:color="auto"/>
              <w:right w:val="single" w:sz="4" w:space="0" w:color="auto"/>
            </w:tcBorders>
          </w:tcPr>
          <w:p w:rsidR="00F706BE" w:rsidRPr="00521933" w:rsidRDefault="00F706BE" w:rsidP="00747851">
            <w:pPr>
              <w:spacing w:before="120" w:after="120"/>
              <w:rPr>
                <w:lang w:val="lv-LV"/>
              </w:rPr>
            </w:pPr>
            <w:r w:rsidRPr="00521933">
              <w:rPr>
                <w:lang w:val="lv-LV"/>
              </w:rPr>
              <w:t xml:space="preserve">7. </w:t>
            </w:r>
          </w:p>
        </w:tc>
        <w:tc>
          <w:tcPr>
            <w:tcW w:w="2804" w:type="dxa"/>
            <w:tcBorders>
              <w:left w:val="single" w:sz="4" w:space="0" w:color="auto"/>
              <w:bottom w:val="single" w:sz="4" w:space="0" w:color="auto"/>
              <w:right w:val="single" w:sz="4" w:space="0" w:color="auto"/>
            </w:tcBorders>
          </w:tcPr>
          <w:p w:rsidR="00F706BE" w:rsidRPr="00521933" w:rsidRDefault="00F706BE" w:rsidP="00747851">
            <w:pPr>
              <w:spacing w:before="120" w:after="120"/>
              <w:rPr>
                <w:highlight w:val="red"/>
                <w:lang w:val="lv-LV"/>
              </w:rPr>
            </w:pPr>
            <w:r w:rsidRPr="00521933">
              <w:rPr>
                <w:lang w:val="lv-LV"/>
              </w:rPr>
              <w:t xml:space="preserve">Izstrādātas </w:t>
            </w:r>
            <w:proofErr w:type="spellStart"/>
            <w:r w:rsidRPr="00521933">
              <w:rPr>
                <w:lang w:val="lv-LV"/>
              </w:rPr>
              <w:t>multisektorālas</w:t>
            </w:r>
            <w:proofErr w:type="spellEnd"/>
            <w:r w:rsidRPr="00521933">
              <w:rPr>
                <w:lang w:val="lv-LV"/>
              </w:rPr>
              <w:t xml:space="preserve"> veselības un labklājības  stratēģijas un plāni un stiprinātas veselības veicināšanas un vienlīdzības kapacitātes dalībvalstīs nacionālajā līmenī saskaņā ar V2020 principiem un pieeju. Veselīgu Pilsētu programmas V fāzes pabeigšana.</w:t>
            </w:r>
          </w:p>
        </w:tc>
        <w:tc>
          <w:tcPr>
            <w:tcW w:w="3111" w:type="dxa"/>
            <w:tcBorders>
              <w:top w:val="single" w:sz="4" w:space="0" w:color="auto"/>
              <w:left w:val="nil"/>
              <w:bottom w:val="single" w:sz="4" w:space="0" w:color="000000"/>
              <w:right w:val="single" w:sz="4" w:space="0" w:color="000000"/>
            </w:tcBorders>
          </w:tcPr>
          <w:p w:rsidR="00F706BE" w:rsidRPr="00521933" w:rsidRDefault="00F706BE" w:rsidP="00747851">
            <w:pPr>
              <w:spacing w:before="120" w:after="120"/>
              <w:rPr>
                <w:lang w:val="lv-LV"/>
              </w:rPr>
            </w:pPr>
            <w:r w:rsidRPr="00521933">
              <w:rPr>
                <w:lang w:val="lv-LV"/>
              </w:rPr>
              <w:t>1)Izstrādāt vadlīnijas un rīkus vietējai/pilsētu veselības vadībai, informācijai par veselību, vienlīdzībai, veselīgai novecošanai un veselīgai pilsētu plānošanai</w:t>
            </w:r>
          </w:p>
          <w:p w:rsidR="00F706BE" w:rsidRPr="00521933" w:rsidRDefault="00F706BE" w:rsidP="00747851">
            <w:pPr>
              <w:spacing w:before="120" w:after="120"/>
              <w:rPr>
                <w:lang w:val="lv-LV"/>
              </w:rPr>
            </w:pPr>
            <w:r w:rsidRPr="00521933">
              <w:rPr>
                <w:lang w:val="lv-LV"/>
              </w:rPr>
              <w:t>2)Nodrošināta vietējo pašvaldību iesaiste V2020izstrādāšanā;</w:t>
            </w:r>
          </w:p>
          <w:p w:rsidR="00F706BE" w:rsidRPr="00521933" w:rsidRDefault="00F706BE" w:rsidP="00747851">
            <w:pPr>
              <w:spacing w:before="120" w:after="120"/>
              <w:rPr>
                <w:lang w:val="lv-LV"/>
              </w:rPr>
            </w:pPr>
            <w:r w:rsidRPr="00521933">
              <w:rPr>
                <w:lang w:val="lv-LV"/>
              </w:rPr>
              <w:t>3)Nodrošināta  PVO veselīgo pilsētu tīkla stratēģiskā vadība un organizētas ikgadējās konferences veselīgām pilsētām;</w:t>
            </w:r>
          </w:p>
          <w:p w:rsidR="00F706BE" w:rsidRPr="00521933" w:rsidRDefault="00F706BE" w:rsidP="00747851">
            <w:pPr>
              <w:spacing w:before="120" w:after="120"/>
              <w:rPr>
                <w:lang w:val="lv-LV"/>
              </w:rPr>
            </w:pPr>
            <w:r w:rsidRPr="00521933">
              <w:rPr>
                <w:lang w:val="lv-LV"/>
              </w:rPr>
              <w:t>4)Reģiona valstīs palielinājies veselīgo pilsētu skaits, kas vēl nav veselīgo pilsētu tīkla sastāvā</w:t>
            </w:r>
          </w:p>
          <w:p w:rsidR="00F706BE" w:rsidRPr="00521933" w:rsidRDefault="00F706BE" w:rsidP="00747851">
            <w:pPr>
              <w:spacing w:before="120" w:after="120"/>
              <w:rPr>
                <w:highlight w:val="red"/>
                <w:lang w:val="lv-LV"/>
              </w:rPr>
            </w:pPr>
            <w:r w:rsidRPr="00521933">
              <w:rPr>
                <w:lang w:val="lv-LV"/>
              </w:rPr>
              <w:t>5)Piedalīšanās  un atbalsts 2012.gada pasaules veselības dienu aktivitātēm Eiropas un globālā mērogā.</w:t>
            </w:r>
          </w:p>
        </w:tc>
        <w:tc>
          <w:tcPr>
            <w:tcW w:w="938" w:type="dxa"/>
            <w:tcBorders>
              <w:top w:val="single" w:sz="4" w:space="0" w:color="auto"/>
              <w:left w:val="nil"/>
              <w:bottom w:val="single" w:sz="4" w:space="0" w:color="000000"/>
              <w:right w:val="single" w:sz="4" w:space="0" w:color="000000"/>
            </w:tcBorders>
          </w:tcPr>
          <w:p w:rsidR="00F706BE" w:rsidRPr="00521933" w:rsidRDefault="00F706BE" w:rsidP="00747851">
            <w:pPr>
              <w:spacing w:before="120" w:after="120"/>
              <w:rPr>
                <w:lang w:val="lv-LV"/>
              </w:rPr>
            </w:pPr>
            <w:r w:rsidRPr="00521933">
              <w:rPr>
                <w:lang w:val="lv-LV"/>
              </w:rPr>
              <w:t>X</w:t>
            </w:r>
          </w:p>
          <w:p w:rsidR="00F706BE" w:rsidRPr="00521933" w:rsidRDefault="00F706BE" w:rsidP="00747851">
            <w:pPr>
              <w:spacing w:before="120" w:after="120"/>
              <w:rPr>
                <w:lang w:val="lv-LV"/>
              </w:rPr>
            </w:pPr>
          </w:p>
          <w:p w:rsidR="00F706BE" w:rsidRPr="00521933" w:rsidRDefault="00F706BE" w:rsidP="00747851">
            <w:pPr>
              <w:spacing w:before="120" w:after="120"/>
              <w:rPr>
                <w:lang w:val="lv-LV"/>
              </w:rPr>
            </w:pPr>
          </w:p>
          <w:p w:rsidR="00F706BE" w:rsidRPr="00521933" w:rsidRDefault="00F706BE" w:rsidP="00747851">
            <w:pPr>
              <w:spacing w:before="120" w:after="120"/>
              <w:rPr>
                <w:lang w:val="lv-LV"/>
              </w:rPr>
            </w:pPr>
          </w:p>
          <w:p w:rsidR="00F706BE" w:rsidRPr="00521933" w:rsidRDefault="00F706BE" w:rsidP="00747851">
            <w:pPr>
              <w:spacing w:before="120" w:after="120"/>
              <w:rPr>
                <w:lang w:val="lv-LV"/>
              </w:rPr>
            </w:pPr>
          </w:p>
          <w:p w:rsidR="00F706BE" w:rsidRPr="00521933" w:rsidRDefault="00F706BE" w:rsidP="00747851">
            <w:pPr>
              <w:spacing w:before="120" w:after="120"/>
              <w:rPr>
                <w:lang w:val="lv-LV"/>
              </w:rPr>
            </w:pPr>
          </w:p>
          <w:p w:rsidR="00F706BE" w:rsidRPr="00521933" w:rsidRDefault="00F706BE" w:rsidP="00747851">
            <w:pPr>
              <w:spacing w:before="120" w:after="120"/>
              <w:rPr>
                <w:lang w:val="lv-LV"/>
              </w:rPr>
            </w:pPr>
          </w:p>
          <w:p w:rsidR="00F706BE" w:rsidRPr="00521933" w:rsidRDefault="00F706BE" w:rsidP="00747851">
            <w:pPr>
              <w:spacing w:before="120" w:after="120"/>
              <w:rPr>
                <w:lang w:val="lv-LV"/>
              </w:rPr>
            </w:pPr>
          </w:p>
          <w:p w:rsidR="00F706BE" w:rsidRPr="00521933" w:rsidRDefault="00F706BE" w:rsidP="00747851">
            <w:pPr>
              <w:spacing w:before="120" w:after="120"/>
              <w:rPr>
                <w:lang w:val="lv-LV"/>
              </w:rPr>
            </w:pPr>
          </w:p>
          <w:p w:rsidR="00F706BE" w:rsidRPr="00521933" w:rsidRDefault="00F706BE" w:rsidP="00747851">
            <w:pPr>
              <w:spacing w:before="120" w:after="120"/>
              <w:rPr>
                <w:lang w:val="lv-LV"/>
              </w:rPr>
            </w:pPr>
            <w:r w:rsidRPr="00521933">
              <w:rPr>
                <w:lang w:val="lv-LV"/>
              </w:rPr>
              <w:t>X</w:t>
            </w:r>
          </w:p>
          <w:p w:rsidR="00F706BE" w:rsidRPr="00521933" w:rsidRDefault="00F706BE" w:rsidP="00747851">
            <w:pPr>
              <w:spacing w:before="120" w:after="120"/>
              <w:rPr>
                <w:highlight w:val="red"/>
                <w:lang w:val="lv-LV"/>
              </w:rPr>
            </w:pPr>
          </w:p>
          <w:p w:rsidR="00F706BE" w:rsidRPr="00521933" w:rsidRDefault="00F706BE" w:rsidP="00747851">
            <w:pPr>
              <w:spacing w:before="120" w:after="120"/>
              <w:rPr>
                <w:highlight w:val="red"/>
                <w:lang w:val="lv-LV"/>
              </w:rPr>
            </w:pPr>
          </w:p>
          <w:p w:rsidR="00F706BE" w:rsidRPr="00521933" w:rsidRDefault="00F706BE" w:rsidP="00747851">
            <w:pPr>
              <w:spacing w:before="120" w:after="120"/>
              <w:rPr>
                <w:lang w:val="lv-LV"/>
              </w:rPr>
            </w:pPr>
          </w:p>
          <w:p w:rsidR="00F706BE" w:rsidRPr="00521933" w:rsidRDefault="00F706BE" w:rsidP="00747851">
            <w:pPr>
              <w:spacing w:before="120" w:after="120"/>
              <w:rPr>
                <w:lang w:val="lv-LV"/>
              </w:rPr>
            </w:pPr>
            <w:r w:rsidRPr="00521933">
              <w:rPr>
                <w:lang w:val="lv-LV"/>
              </w:rPr>
              <w:t>X</w:t>
            </w:r>
          </w:p>
          <w:p w:rsidR="00F706BE" w:rsidRPr="00521933" w:rsidRDefault="00F706BE" w:rsidP="00747851">
            <w:pPr>
              <w:spacing w:before="120" w:after="120"/>
              <w:rPr>
                <w:lang w:val="lv-LV"/>
              </w:rPr>
            </w:pPr>
          </w:p>
          <w:p w:rsidR="00F706BE" w:rsidRPr="00521933" w:rsidRDefault="00F706BE" w:rsidP="00747851">
            <w:pPr>
              <w:spacing w:before="120" w:after="120"/>
              <w:rPr>
                <w:highlight w:val="red"/>
                <w:lang w:val="lv-LV"/>
              </w:rPr>
            </w:pPr>
            <w:r w:rsidRPr="00521933">
              <w:rPr>
                <w:lang w:val="lv-LV"/>
              </w:rPr>
              <w:t>X</w:t>
            </w:r>
          </w:p>
        </w:tc>
        <w:tc>
          <w:tcPr>
            <w:tcW w:w="889" w:type="dxa"/>
            <w:tcBorders>
              <w:top w:val="single" w:sz="4" w:space="0" w:color="auto"/>
              <w:left w:val="nil"/>
              <w:bottom w:val="single" w:sz="4" w:space="0" w:color="000000"/>
              <w:right w:val="single" w:sz="4" w:space="0" w:color="000000"/>
            </w:tcBorders>
          </w:tcPr>
          <w:p w:rsidR="00F706BE" w:rsidRPr="00521933" w:rsidRDefault="00F706BE" w:rsidP="00747851">
            <w:pPr>
              <w:spacing w:before="120" w:after="120"/>
              <w:rPr>
                <w:lang w:val="lv-LV"/>
              </w:rPr>
            </w:pPr>
            <w:r w:rsidRPr="00521933">
              <w:rPr>
                <w:lang w:val="lv-LV"/>
              </w:rPr>
              <w:t>X</w:t>
            </w:r>
          </w:p>
          <w:p w:rsidR="00F706BE" w:rsidRPr="00521933" w:rsidRDefault="00F706BE" w:rsidP="00747851">
            <w:pPr>
              <w:spacing w:before="120" w:after="120"/>
              <w:rPr>
                <w:lang w:val="lv-LV"/>
              </w:rPr>
            </w:pPr>
          </w:p>
          <w:p w:rsidR="00F706BE" w:rsidRPr="00521933" w:rsidRDefault="00F706BE" w:rsidP="00747851">
            <w:pPr>
              <w:spacing w:before="120" w:after="120"/>
              <w:rPr>
                <w:lang w:val="lv-LV"/>
              </w:rPr>
            </w:pPr>
          </w:p>
          <w:p w:rsidR="00F706BE" w:rsidRPr="00521933" w:rsidRDefault="00F706BE" w:rsidP="00747851">
            <w:pPr>
              <w:spacing w:before="120" w:after="120"/>
              <w:rPr>
                <w:lang w:val="lv-LV"/>
              </w:rPr>
            </w:pPr>
          </w:p>
          <w:p w:rsidR="00F706BE" w:rsidRPr="00521933" w:rsidRDefault="00F706BE" w:rsidP="00747851">
            <w:pPr>
              <w:spacing w:before="120" w:after="120"/>
              <w:rPr>
                <w:lang w:val="lv-LV"/>
              </w:rPr>
            </w:pPr>
          </w:p>
          <w:p w:rsidR="00F706BE" w:rsidRPr="00521933" w:rsidRDefault="00F706BE" w:rsidP="00747851">
            <w:pPr>
              <w:spacing w:before="120" w:after="120"/>
              <w:rPr>
                <w:lang w:val="lv-LV"/>
              </w:rPr>
            </w:pPr>
          </w:p>
          <w:p w:rsidR="00F706BE" w:rsidRPr="00521933" w:rsidRDefault="00F706BE" w:rsidP="00747851">
            <w:pPr>
              <w:spacing w:before="120" w:after="120"/>
              <w:rPr>
                <w:lang w:val="lv-LV"/>
              </w:rPr>
            </w:pPr>
            <w:r w:rsidRPr="00521933">
              <w:rPr>
                <w:lang w:val="lv-LV"/>
              </w:rPr>
              <w:t>X</w:t>
            </w:r>
          </w:p>
          <w:p w:rsidR="00F706BE" w:rsidRPr="00521933" w:rsidRDefault="00F706BE" w:rsidP="00747851">
            <w:pPr>
              <w:spacing w:before="120" w:after="120"/>
              <w:rPr>
                <w:highlight w:val="red"/>
                <w:lang w:val="lv-LV"/>
              </w:rPr>
            </w:pPr>
          </w:p>
          <w:p w:rsidR="00F706BE" w:rsidRPr="00521933" w:rsidRDefault="00F706BE" w:rsidP="00747851">
            <w:pPr>
              <w:spacing w:before="120" w:after="120"/>
              <w:rPr>
                <w:highlight w:val="red"/>
                <w:lang w:val="lv-LV"/>
              </w:rPr>
            </w:pPr>
          </w:p>
          <w:p w:rsidR="00F706BE" w:rsidRPr="00521933" w:rsidRDefault="00F706BE" w:rsidP="00747851">
            <w:pPr>
              <w:spacing w:before="120" w:after="120"/>
              <w:rPr>
                <w:lang w:val="lv-LV"/>
              </w:rPr>
            </w:pPr>
            <w:r w:rsidRPr="00521933">
              <w:rPr>
                <w:lang w:val="lv-LV"/>
              </w:rPr>
              <w:t>X</w:t>
            </w:r>
          </w:p>
          <w:p w:rsidR="00F706BE" w:rsidRPr="00521933" w:rsidRDefault="00F706BE" w:rsidP="00747851">
            <w:pPr>
              <w:spacing w:before="120" w:after="120"/>
              <w:rPr>
                <w:lang w:val="lv-LV"/>
              </w:rPr>
            </w:pPr>
          </w:p>
          <w:p w:rsidR="00F706BE" w:rsidRPr="00521933" w:rsidRDefault="00F706BE" w:rsidP="00747851">
            <w:pPr>
              <w:spacing w:before="120" w:after="120"/>
              <w:rPr>
                <w:lang w:val="lv-LV"/>
              </w:rPr>
            </w:pPr>
          </w:p>
          <w:p w:rsidR="00F706BE" w:rsidRPr="00521933" w:rsidRDefault="00F706BE" w:rsidP="00747851">
            <w:pPr>
              <w:spacing w:before="120" w:after="120"/>
              <w:rPr>
                <w:lang w:val="lv-LV"/>
              </w:rPr>
            </w:pPr>
          </w:p>
          <w:p w:rsidR="00F706BE" w:rsidRPr="00521933" w:rsidRDefault="00F706BE" w:rsidP="00747851">
            <w:pPr>
              <w:spacing w:before="120" w:after="120"/>
              <w:rPr>
                <w:highlight w:val="red"/>
                <w:lang w:val="lv-LV"/>
              </w:rPr>
            </w:pPr>
            <w:r w:rsidRPr="00521933">
              <w:rPr>
                <w:lang w:val="lv-LV"/>
              </w:rPr>
              <w:t>X</w:t>
            </w:r>
          </w:p>
        </w:tc>
        <w:tc>
          <w:tcPr>
            <w:tcW w:w="889" w:type="dxa"/>
            <w:tcBorders>
              <w:top w:val="single" w:sz="4" w:space="0" w:color="auto"/>
              <w:left w:val="nil"/>
              <w:bottom w:val="single" w:sz="4" w:space="0" w:color="000000"/>
              <w:right w:val="single" w:sz="4" w:space="0" w:color="000000"/>
            </w:tcBorders>
          </w:tcPr>
          <w:p w:rsidR="00F706BE" w:rsidRPr="00521933" w:rsidRDefault="00F706BE" w:rsidP="00747851">
            <w:pPr>
              <w:spacing w:before="120" w:after="120"/>
              <w:rPr>
                <w:highlight w:val="red"/>
                <w:lang w:val="lv-LV"/>
              </w:rPr>
            </w:pPr>
          </w:p>
        </w:tc>
      </w:tr>
    </w:tbl>
    <w:p w:rsidR="00F706BE" w:rsidRPr="00521933" w:rsidRDefault="00F706BE" w:rsidP="00F706BE">
      <w:pPr>
        <w:rPr>
          <w:b/>
          <w:lang w:val="lv-LV"/>
        </w:rPr>
      </w:pPr>
    </w:p>
    <w:p w:rsidR="00F706BE" w:rsidRPr="00521933" w:rsidRDefault="00F706BE" w:rsidP="00F706BE">
      <w:pPr>
        <w:rPr>
          <w:b/>
          <w:lang w:val="lv-LV"/>
        </w:rPr>
      </w:pPr>
    </w:p>
    <w:p w:rsidR="00C9521B" w:rsidRPr="00521933" w:rsidRDefault="00195F4A" w:rsidP="00F706BE">
      <w:pPr>
        <w:rPr>
          <w:b/>
          <w:lang w:val="lv-LV"/>
        </w:rPr>
      </w:pPr>
      <w:r w:rsidRPr="00521933">
        <w:rPr>
          <w:b/>
          <w:lang w:val="lv-LV"/>
        </w:rPr>
        <w:br w:type="page"/>
      </w:r>
    </w:p>
    <w:p w:rsidR="00F706BE" w:rsidRPr="00521933" w:rsidRDefault="00F706BE" w:rsidP="00F706BE">
      <w:pPr>
        <w:rPr>
          <w:b/>
          <w:lang w:val="lv-LV"/>
        </w:rPr>
      </w:pPr>
      <w:r w:rsidRPr="00521933">
        <w:rPr>
          <w:b/>
          <w:lang w:val="lv-LV"/>
        </w:rPr>
        <w:lastRenderedPageBreak/>
        <w:t>Prioritāte 4: Infekciozās slimības, veselības drošība un apkārtējā vide</w:t>
      </w:r>
    </w:p>
    <w:p w:rsidR="00F706BE" w:rsidRPr="00521933" w:rsidRDefault="00F706BE" w:rsidP="00F706BE">
      <w:pPr>
        <w:rPr>
          <w:b/>
          <w:lang w:val="lv-LV"/>
        </w:rPr>
      </w:pPr>
    </w:p>
    <w:tbl>
      <w:tblPr>
        <w:tblW w:w="91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2317"/>
        <w:gridCol w:w="2798"/>
        <w:gridCol w:w="1203"/>
        <w:gridCol w:w="990"/>
        <w:gridCol w:w="1296"/>
      </w:tblGrid>
      <w:tr w:rsidR="00F706BE" w:rsidRPr="00521933" w:rsidTr="00747851">
        <w:trPr>
          <w:trHeight w:val="420"/>
        </w:trPr>
        <w:tc>
          <w:tcPr>
            <w:tcW w:w="509" w:type="dxa"/>
            <w:vMerge w:val="restart"/>
            <w:vAlign w:val="center"/>
          </w:tcPr>
          <w:p w:rsidR="00F706BE" w:rsidRPr="00521933" w:rsidRDefault="00F706BE" w:rsidP="00747851">
            <w:pPr>
              <w:jc w:val="center"/>
              <w:rPr>
                <w:b/>
                <w:bCs/>
                <w:lang w:val="lv-LV"/>
              </w:rPr>
            </w:pPr>
            <w:r w:rsidRPr="00521933">
              <w:rPr>
                <w:b/>
                <w:bCs/>
                <w:lang w:val="lv-LV"/>
              </w:rPr>
              <w:t>SO</w:t>
            </w:r>
          </w:p>
        </w:tc>
        <w:tc>
          <w:tcPr>
            <w:tcW w:w="2708" w:type="dxa"/>
            <w:vMerge w:val="restart"/>
            <w:vAlign w:val="center"/>
          </w:tcPr>
          <w:p w:rsidR="00F706BE" w:rsidRPr="00521933" w:rsidRDefault="00F706BE" w:rsidP="00747851">
            <w:pPr>
              <w:jc w:val="center"/>
              <w:rPr>
                <w:b/>
                <w:bCs/>
                <w:lang w:val="lv-LV"/>
              </w:rPr>
            </w:pPr>
            <w:r w:rsidRPr="00521933">
              <w:rPr>
                <w:b/>
                <w:bCs/>
                <w:lang w:val="lv-LV"/>
              </w:rPr>
              <w:t>Gala rezultāti (</w:t>
            </w:r>
            <w:proofErr w:type="spellStart"/>
            <w:r w:rsidRPr="00521933">
              <w:rPr>
                <w:b/>
                <w:bCs/>
                <w:lang w:val="lv-LV"/>
              </w:rPr>
              <w:t>Outcome</w:t>
            </w:r>
            <w:proofErr w:type="spellEnd"/>
            <w:r w:rsidRPr="00521933">
              <w:rPr>
                <w:b/>
                <w:bCs/>
                <w:lang w:val="lv-LV"/>
              </w:rPr>
              <w:t>)</w:t>
            </w:r>
          </w:p>
        </w:tc>
        <w:tc>
          <w:tcPr>
            <w:tcW w:w="3074" w:type="dxa"/>
            <w:vMerge w:val="restart"/>
            <w:vAlign w:val="center"/>
          </w:tcPr>
          <w:p w:rsidR="00F706BE" w:rsidRPr="00521933" w:rsidRDefault="00F706BE" w:rsidP="00747851">
            <w:pPr>
              <w:jc w:val="center"/>
              <w:rPr>
                <w:b/>
                <w:bCs/>
                <w:lang w:val="lv-LV"/>
              </w:rPr>
            </w:pPr>
            <w:r w:rsidRPr="00521933">
              <w:rPr>
                <w:b/>
                <w:bCs/>
                <w:lang w:val="lv-LV"/>
              </w:rPr>
              <w:t>Paredzētās Aktivitātes/Produkti (</w:t>
            </w:r>
            <w:proofErr w:type="spellStart"/>
            <w:r w:rsidRPr="00521933">
              <w:rPr>
                <w:b/>
                <w:bCs/>
                <w:lang w:val="lv-LV"/>
              </w:rPr>
              <w:t>Output</w:t>
            </w:r>
            <w:proofErr w:type="spellEnd"/>
            <w:r w:rsidRPr="00521933">
              <w:rPr>
                <w:b/>
                <w:bCs/>
                <w:lang w:val="lv-LV"/>
              </w:rPr>
              <w:t>)</w:t>
            </w:r>
          </w:p>
        </w:tc>
        <w:tc>
          <w:tcPr>
            <w:tcW w:w="2850" w:type="dxa"/>
            <w:gridSpan w:val="3"/>
            <w:noWrap/>
            <w:vAlign w:val="center"/>
          </w:tcPr>
          <w:p w:rsidR="00F706BE" w:rsidRPr="00521933" w:rsidRDefault="00F706BE" w:rsidP="00747851">
            <w:pPr>
              <w:jc w:val="center"/>
              <w:rPr>
                <w:b/>
                <w:bCs/>
                <w:lang w:val="lv-LV"/>
              </w:rPr>
            </w:pPr>
            <w:r w:rsidRPr="00521933">
              <w:rPr>
                <w:b/>
                <w:bCs/>
                <w:lang w:val="lv-LV"/>
              </w:rPr>
              <w:t>Īstenošanas modulis</w:t>
            </w:r>
          </w:p>
        </w:tc>
      </w:tr>
      <w:tr w:rsidR="00F706BE" w:rsidRPr="00521933" w:rsidTr="00747851">
        <w:trPr>
          <w:trHeight w:val="998"/>
        </w:trPr>
        <w:tc>
          <w:tcPr>
            <w:tcW w:w="509" w:type="dxa"/>
            <w:vMerge/>
            <w:vAlign w:val="center"/>
          </w:tcPr>
          <w:p w:rsidR="00F706BE" w:rsidRPr="00521933" w:rsidRDefault="00F706BE" w:rsidP="00747851">
            <w:pPr>
              <w:rPr>
                <w:b/>
                <w:bCs/>
                <w:lang w:val="lv-LV"/>
              </w:rPr>
            </w:pPr>
          </w:p>
        </w:tc>
        <w:tc>
          <w:tcPr>
            <w:tcW w:w="2708" w:type="dxa"/>
            <w:vMerge/>
            <w:vAlign w:val="center"/>
          </w:tcPr>
          <w:p w:rsidR="00F706BE" w:rsidRPr="00521933" w:rsidRDefault="00F706BE" w:rsidP="00747851">
            <w:pPr>
              <w:rPr>
                <w:b/>
                <w:bCs/>
                <w:lang w:val="lv-LV"/>
              </w:rPr>
            </w:pPr>
          </w:p>
        </w:tc>
        <w:tc>
          <w:tcPr>
            <w:tcW w:w="3074" w:type="dxa"/>
            <w:vMerge/>
            <w:vAlign w:val="center"/>
          </w:tcPr>
          <w:p w:rsidR="00F706BE" w:rsidRPr="00521933" w:rsidRDefault="00F706BE" w:rsidP="00747851">
            <w:pPr>
              <w:rPr>
                <w:b/>
                <w:bCs/>
                <w:lang w:val="lv-LV"/>
              </w:rPr>
            </w:pPr>
          </w:p>
        </w:tc>
        <w:tc>
          <w:tcPr>
            <w:tcW w:w="1080" w:type="dxa"/>
            <w:vAlign w:val="center"/>
          </w:tcPr>
          <w:p w:rsidR="00F706BE" w:rsidRPr="00521933" w:rsidRDefault="00F706BE" w:rsidP="00747851">
            <w:pPr>
              <w:jc w:val="center"/>
              <w:rPr>
                <w:lang w:val="lv-LV"/>
              </w:rPr>
            </w:pPr>
            <w:r w:rsidRPr="00521933">
              <w:rPr>
                <w:lang w:val="lv-LV"/>
              </w:rPr>
              <w:t xml:space="preserve">Konkrētās valsts modulis </w:t>
            </w:r>
            <w:r w:rsidRPr="00521933">
              <w:rPr>
                <w:b/>
                <w:lang w:val="lv-LV"/>
              </w:rPr>
              <w:t>(CS)</w:t>
            </w:r>
          </w:p>
        </w:tc>
        <w:tc>
          <w:tcPr>
            <w:tcW w:w="885" w:type="dxa"/>
            <w:vAlign w:val="center"/>
          </w:tcPr>
          <w:p w:rsidR="00F706BE" w:rsidRPr="00521933" w:rsidRDefault="00F706BE" w:rsidP="00747851">
            <w:pPr>
              <w:jc w:val="center"/>
              <w:rPr>
                <w:b/>
                <w:bCs/>
                <w:lang w:val="lv-LV"/>
              </w:rPr>
            </w:pPr>
            <w:r w:rsidRPr="00521933">
              <w:rPr>
                <w:lang w:val="lv-LV"/>
              </w:rPr>
              <w:t xml:space="preserve">Vairāku valstu modulis </w:t>
            </w:r>
            <w:r w:rsidRPr="00521933">
              <w:rPr>
                <w:b/>
                <w:lang w:val="lv-LV"/>
              </w:rPr>
              <w:t>(MC)</w:t>
            </w:r>
          </w:p>
        </w:tc>
        <w:tc>
          <w:tcPr>
            <w:tcW w:w="885" w:type="dxa"/>
            <w:vAlign w:val="center"/>
          </w:tcPr>
          <w:p w:rsidR="00F706BE" w:rsidRPr="00521933" w:rsidRDefault="00F706BE" w:rsidP="00747851">
            <w:pPr>
              <w:jc w:val="center"/>
              <w:rPr>
                <w:b/>
                <w:bCs/>
                <w:lang w:val="lv-LV"/>
              </w:rPr>
            </w:pPr>
            <w:r w:rsidRPr="00521933">
              <w:rPr>
                <w:lang w:val="lv-LV"/>
              </w:rPr>
              <w:t xml:space="preserve">Starpvalstu modulis </w:t>
            </w:r>
            <w:r w:rsidRPr="00521933">
              <w:rPr>
                <w:b/>
                <w:lang w:val="lv-LV"/>
              </w:rPr>
              <w:t>(IC)</w:t>
            </w:r>
          </w:p>
        </w:tc>
      </w:tr>
      <w:tr w:rsidR="00F706BE" w:rsidRPr="00521933" w:rsidTr="00747851">
        <w:trPr>
          <w:trHeight w:val="810"/>
        </w:trPr>
        <w:tc>
          <w:tcPr>
            <w:tcW w:w="509" w:type="dxa"/>
            <w:vMerge w:val="restart"/>
          </w:tcPr>
          <w:p w:rsidR="00F706BE" w:rsidRPr="00521933" w:rsidRDefault="00F706BE" w:rsidP="00747851">
            <w:pPr>
              <w:spacing w:before="120" w:after="120"/>
              <w:jc w:val="center"/>
              <w:rPr>
                <w:highlight w:val="red"/>
                <w:lang w:val="lv-LV"/>
              </w:rPr>
            </w:pPr>
            <w:r w:rsidRPr="00521933">
              <w:rPr>
                <w:lang w:val="lv-LV"/>
              </w:rPr>
              <w:t>1</w:t>
            </w:r>
          </w:p>
        </w:tc>
        <w:tc>
          <w:tcPr>
            <w:tcW w:w="2708" w:type="dxa"/>
            <w:vMerge w:val="restart"/>
          </w:tcPr>
          <w:p w:rsidR="00F706BE" w:rsidRPr="00521933" w:rsidRDefault="00F706BE" w:rsidP="00747851">
            <w:pPr>
              <w:spacing w:before="120" w:after="120"/>
              <w:rPr>
                <w:highlight w:val="red"/>
                <w:lang w:val="lv-LV"/>
              </w:rPr>
            </w:pPr>
            <w:r w:rsidRPr="00521933">
              <w:rPr>
                <w:lang w:val="lv-LV"/>
              </w:rPr>
              <w:t>(001)(R00) Dalībvalstu imunizācijas sistēmas stiprināšana saistībā ar veselības aprūpes sistēmas stiprināšanu, lai palielinātu vienlīdzīgu piekļuvi visiem cilvēkiem pārbaudītas kvalitātes vakcīnām, tai skaitā jauniem vai neizmantotiem imunizācijas produktiem un tehnoloģijām, kā arī, lai nodrošinātu bērniem un ģimenēm citu būtisku veselības intervenču integrāciju ar imunizāciju.</w:t>
            </w:r>
            <w:r w:rsidRPr="00521933">
              <w:rPr>
                <w:highlight w:val="red"/>
                <w:lang w:val="lv-LV"/>
              </w:rPr>
              <w:t xml:space="preserve"> </w:t>
            </w:r>
          </w:p>
        </w:tc>
        <w:tc>
          <w:tcPr>
            <w:tcW w:w="3074" w:type="dxa"/>
          </w:tcPr>
          <w:p w:rsidR="00F706BE" w:rsidRPr="00521933" w:rsidRDefault="00F706BE" w:rsidP="00747851">
            <w:pPr>
              <w:spacing w:before="120" w:after="120"/>
              <w:rPr>
                <w:highlight w:val="red"/>
                <w:lang w:val="lv-LV"/>
              </w:rPr>
            </w:pPr>
            <w:r w:rsidRPr="00521933">
              <w:rPr>
                <w:lang w:val="lv-LV"/>
              </w:rPr>
              <w:t xml:space="preserve">1) uzlabots rutīnas vakcināciju nodrošinājums.  </w:t>
            </w:r>
          </w:p>
        </w:tc>
        <w:tc>
          <w:tcPr>
            <w:tcW w:w="1080" w:type="dxa"/>
          </w:tcPr>
          <w:p w:rsidR="00F706BE" w:rsidRPr="00521933" w:rsidRDefault="00F706BE" w:rsidP="00747851">
            <w:pPr>
              <w:spacing w:before="120" w:after="120"/>
              <w:jc w:val="center"/>
              <w:rPr>
                <w:lang w:val="lv-LV"/>
              </w:rPr>
            </w:pPr>
            <w:r w:rsidRPr="00521933">
              <w:rPr>
                <w:lang w:val="lv-LV"/>
              </w:rPr>
              <w:t>X</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p>
        </w:tc>
      </w:tr>
      <w:tr w:rsidR="00F706BE" w:rsidRPr="00521933" w:rsidTr="00747851">
        <w:trPr>
          <w:trHeight w:val="870"/>
        </w:trPr>
        <w:tc>
          <w:tcPr>
            <w:tcW w:w="509" w:type="dxa"/>
            <w:vMerge/>
            <w:vAlign w:val="center"/>
          </w:tcPr>
          <w:p w:rsidR="00F706BE" w:rsidRPr="00521933" w:rsidRDefault="00F706BE" w:rsidP="00747851">
            <w:pPr>
              <w:spacing w:before="120" w:after="120"/>
              <w:rPr>
                <w:highlight w:val="red"/>
                <w:lang w:val="lv-LV"/>
              </w:rPr>
            </w:pPr>
          </w:p>
        </w:tc>
        <w:tc>
          <w:tcPr>
            <w:tcW w:w="2708" w:type="dxa"/>
            <w:vMerge/>
            <w:vAlign w:val="center"/>
          </w:tcPr>
          <w:p w:rsidR="00F706BE" w:rsidRPr="00521933" w:rsidRDefault="00F706BE" w:rsidP="00747851">
            <w:pPr>
              <w:spacing w:before="120" w:after="120"/>
              <w:rPr>
                <w:highlight w:val="red"/>
                <w:lang w:val="lv-LV"/>
              </w:rPr>
            </w:pPr>
          </w:p>
        </w:tc>
        <w:tc>
          <w:tcPr>
            <w:tcW w:w="3074" w:type="dxa"/>
          </w:tcPr>
          <w:p w:rsidR="00F706BE" w:rsidRPr="00521933" w:rsidRDefault="00F706BE" w:rsidP="00747851">
            <w:pPr>
              <w:spacing w:before="120" w:after="120"/>
              <w:rPr>
                <w:highlight w:val="red"/>
                <w:lang w:val="lv-LV"/>
              </w:rPr>
            </w:pPr>
            <w:r w:rsidRPr="00521933">
              <w:rPr>
                <w:lang w:val="lv-LV"/>
              </w:rPr>
              <w:t>2) jauno vakcīnu ieviešanas ilgtspējīgums (lēmumu pieņemšana, finanses, vairākiem gadiem)</w:t>
            </w:r>
          </w:p>
        </w:tc>
        <w:tc>
          <w:tcPr>
            <w:tcW w:w="1080" w:type="dxa"/>
          </w:tcPr>
          <w:p w:rsidR="00F706BE" w:rsidRPr="00521933" w:rsidRDefault="00F706BE" w:rsidP="00747851">
            <w:pPr>
              <w:spacing w:before="120" w:after="120"/>
              <w:jc w:val="center"/>
              <w:rPr>
                <w:lang w:val="lv-LV"/>
              </w:rPr>
            </w:pPr>
            <w:r w:rsidRPr="00521933">
              <w:rPr>
                <w:lang w:val="lv-LV"/>
              </w:rPr>
              <w:t>X</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p>
        </w:tc>
      </w:tr>
      <w:tr w:rsidR="00F706BE" w:rsidRPr="00521933" w:rsidTr="00747851">
        <w:trPr>
          <w:trHeight w:val="1020"/>
        </w:trPr>
        <w:tc>
          <w:tcPr>
            <w:tcW w:w="509" w:type="dxa"/>
            <w:vMerge/>
            <w:vAlign w:val="center"/>
          </w:tcPr>
          <w:p w:rsidR="00F706BE" w:rsidRPr="00521933" w:rsidRDefault="00F706BE" w:rsidP="00747851">
            <w:pPr>
              <w:spacing w:before="120" w:after="120"/>
              <w:rPr>
                <w:highlight w:val="red"/>
                <w:lang w:val="lv-LV"/>
              </w:rPr>
            </w:pPr>
          </w:p>
        </w:tc>
        <w:tc>
          <w:tcPr>
            <w:tcW w:w="2708" w:type="dxa"/>
            <w:vMerge/>
            <w:vAlign w:val="center"/>
          </w:tcPr>
          <w:p w:rsidR="00F706BE" w:rsidRPr="00521933" w:rsidRDefault="00F706BE" w:rsidP="00747851">
            <w:pPr>
              <w:spacing w:before="120" w:after="120"/>
              <w:rPr>
                <w:highlight w:val="red"/>
                <w:lang w:val="lv-LV"/>
              </w:rPr>
            </w:pPr>
          </w:p>
        </w:tc>
        <w:tc>
          <w:tcPr>
            <w:tcW w:w="3074" w:type="dxa"/>
          </w:tcPr>
          <w:p w:rsidR="00F706BE" w:rsidRPr="00521933" w:rsidRDefault="00F706BE" w:rsidP="00747851">
            <w:pPr>
              <w:spacing w:before="120" w:after="120"/>
              <w:rPr>
                <w:highlight w:val="red"/>
                <w:lang w:val="lv-LV"/>
              </w:rPr>
            </w:pPr>
            <w:r w:rsidRPr="00521933">
              <w:rPr>
                <w:lang w:val="lv-LV"/>
              </w:rPr>
              <w:t>3)paātrināt NIP vakcīnu iepirkuma veikšanu</w:t>
            </w:r>
            <w:r w:rsidRPr="00521933">
              <w:rPr>
                <w:highlight w:val="lightGray"/>
                <w:lang w:val="lv-LV"/>
              </w:rPr>
              <w:t xml:space="preserve"> </w:t>
            </w:r>
          </w:p>
        </w:tc>
        <w:tc>
          <w:tcPr>
            <w:tcW w:w="1080"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r w:rsidRPr="00521933">
              <w:rPr>
                <w:lang w:val="lv-LV"/>
              </w:rPr>
              <w:t>X</w:t>
            </w:r>
          </w:p>
        </w:tc>
      </w:tr>
      <w:tr w:rsidR="00F706BE" w:rsidRPr="00521933" w:rsidTr="00747851">
        <w:trPr>
          <w:trHeight w:val="930"/>
        </w:trPr>
        <w:tc>
          <w:tcPr>
            <w:tcW w:w="509" w:type="dxa"/>
            <w:vMerge w:val="restart"/>
            <w:vAlign w:val="center"/>
          </w:tcPr>
          <w:p w:rsidR="00F706BE" w:rsidRPr="00521933" w:rsidRDefault="00F706BE" w:rsidP="00747851">
            <w:pPr>
              <w:spacing w:before="120" w:after="120"/>
              <w:rPr>
                <w:highlight w:val="red"/>
                <w:lang w:val="lv-LV"/>
              </w:rPr>
            </w:pPr>
            <w:r w:rsidRPr="00521933">
              <w:rPr>
                <w:lang w:val="lv-LV"/>
              </w:rPr>
              <w:t>1</w:t>
            </w:r>
            <w:r w:rsidRPr="00521933">
              <w:rPr>
                <w:highlight w:val="red"/>
                <w:lang w:val="lv-LV"/>
              </w:rPr>
              <w:t xml:space="preserve"> </w:t>
            </w:r>
          </w:p>
        </w:tc>
        <w:tc>
          <w:tcPr>
            <w:tcW w:w="2708" w:type="dxa"/>
            <w:vMerge w:val="restart"/>
            <w:vAlign w:val="center"/>
          </w:tcPr>
          <w:p w:rsidR="00F706BE" w:rsidRPr="00521933" w:rsidRDefault="00F706BE" w:rsidP="00747851">
            <w:pPr>
              <w:spacing w:before="120" w:after="120"/>
              <w:rPr>
                <w:lang w:val="lv-LV"/>
              </w:rPr>
            </w:pPr>
            <w:r w:rsidRPr="00521933">
              <w:rPr>
                <w:lang w:val="lv-LV"/>
              </w:rPr>
              <w:t xml:space="preserve">(CNT 1001) Lai atbalstītu nacionālo un reģionālo veselības drošību, dalībvalstis ir izstrādājušas daudznozaru politikas un plānus, lai īstenotu IHR, tostarp stiprinot  sabiedrības veselības aizsardzības kapacitāti slimību uzraudzības un reaģēšanas jautājumos, kā arī stiprinot gatavību epidēmisko un pandēmisko infekciju izplatībai, piemēram, </w:t>
            </w:r>
            <w:r w:rsidRPr="00521933">
              <w:rPr>
                <w:lang w:val="lv-LV"/>
              </w:rPr>
              <w:lastRenderedPageBreak/>
              <w:t xml:space="preserve">gripas pandēmijai. </w:t>
            </w:r>
          </w:p>
        </w:tc>
        <w:tc>
          <w:tcPr>
            <w:tcW w:w="3074" w:type="dxa"/>
          </w:tcPr>
          <w:p w:rsidR="00F706BE" w:rsidRPr="00521933" w:rsidRDefault="00F706BE" w:rsidP="00747851">
            <w:pPr>
              <w:spacing w:before="120" w:after="120"/>
              <w:rPr>
                <w:highlight w:val="red"/>
                <w:lang w:val="lv-LV"/>
              </w:rPr>
            </w:pPr>
            <w:r w:rsidRPr="00521933">
              <w:rPr>
                <w:lang w:val="lv-LV"/>
              </w:rPr>
              <w:lastRenderedPageBreak/>
              <w:t xml:space="preserve">1) sniegt tehnisko atbalstu IHR īstenošanai Latvijā ar pastiprinātu starpnozaru sadarbību;  </w:t>
            </w:r>
          </w:p>
        </w:tc>
        <w:tc>
          <w:tcPr>
            <w:tcW w:w="1080" w:type="dxa"/>
          </w:tcPr>
          <w:p w:rsidR="00F706BE" w:rsidRPr="00521933" w:rsidRDefault="00F706BE" w:rsidP="00747851">
            <w:pPr>
              <w:spacing w:before="120" w:after="120"/>
              <w:jc w:val="center"/>
              <w:rPr>
                <w:lang w:val="lv-LV"/>
              </w:rPr>
            </w:pPr>
            <w:r w:rsidRPr="00521933">
              <w:rPr>
                <w:lang w:val="lv-LV"/>
              </w:rPr>
              <w:t>X</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p>
        </w:tc>
      </w:tr>
      <w:tr w:rsidR="00F706BE" w:rsidRPr="00521933" w:rsidTr="00747851">
        <w:trPr>
          <w:trHeight w:val="930"/>
        </w:trPr>
        <w:tc>
          <w:tcPr>
            <w:tcW w:w="509" w:type="dxa"/>
            <w:vMerge/>
            <w:vAlign w:val="center"/>
          </w:tcPr>
          <w:p w:rsidR="00F706BE" w:rsidRPr="00521933" w:rsidRDefault="00F706BE" w:rsidP="00747851">
            <w:pPr>
              <w:spacing w:before="120" w:after="120"/>
              <w:rPr>
                <w:highlight w:val="red"/>
                <w:lang w:val="lv-LV"/>
              </w:rPr>
            </w:pPr>
          </w:p>
        </w:tc>
        <w:tc>
          <w:tcPr>
            <w:tcW w:w="2708" w:type="dxa"/>
            <w:vMerge/>
            <w:vAlign w:val="center"/>
          </w:tcPr>
          <w:p w:rsidR="00F706BE" w:rsidRPr="00521933" w:rsidRDefault="00F706BE" w:rsidP="00747851">
            <w:pPr>
              <w:spacing w:before="120" w:after="120"/>
              <w:rPr>
                <w:lang w:val="lv-LV"/>
              </w:rPr>
            </w:pPr>
          </w:p>
        </w:tc>
        <w:tc>
          <w:tcPr>
            <w:tcW w:w="3074" w:type="dxa"/>
          </w:tcPr>
          <w:p w:rsidR="00F706BE" w:rsidRPr="00521933" w:rsidRDefault="00F706BE" w:rsidP="00747851">
            <w:pPr>
              <w:spacing w:before="120" w:after="120"/>
              <w:rPr>
                <w:lang w:val="lv-LV"/>
              </w:rPr>
            </w:pPr>
            <w:r w:rsidRPr="00521933">
              <w:rPr>
                <w:lang w:val="lv-LV"/>
              </w:rPr>
              <w:t xml:space="preserve">2) Latvijas piedalīšanās reģionālajās sanāksmēs/ semināros/ kapacitātes stiprināšanas aktivitātēs; </w:t>
            </w:r>
          </w:p>
        </w:tc>
        <w:tc>
          <w:tcPr>
            <w:tcW w:w="1080"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r w:rsidRPr="00521933">
              <w:rPr>
                <w:lang w:val="lv-LV"/>
              </w:rPr>
              <w:t>X</w:t>
            </w:r>
          </w:p>
        </w:tc>
      </w:tr>
      <w:tr w:rsidR="00F706BE" w:rsidRPr="00521933" w:rsidTr="00747851">
        <w:trPr>
          <w:trHeight w:val="930"/>
        </w:trPr>
        <w:tc>
          <w:tcPr>
            <w:tcW w:w="509" w:type="dxa"/>
            <w:vMerge w:val="restart"/>
            <w:vAlign w:val="center"/>
          </w:tcPr>
          <w:p w:rsidR="00F706BE" w:rsidRPr="00521933" w:rsidRDefault="00F706BE" w:rsidP="00747851">
            <w:pPr>
              <w:spacing w:before="120" w:after="120"/>
              <w:rPr>
                <w:highlight w:val="red"/>
                <w:lang w:val="lv-LV"/>
              </w:rPr>
            </w:pPr>
            <w:r w:rsidRPr="00521933">
              <w:rPr>
                <w:lang w:val="lv-LV"/>
              </w:rPr>
              <w:lastRenderedPageBreak/>
              <w:t>1</w:t>
            </w:r>
          </w:p>
        </w:tc>
        <w:tc>
          <w:tcPr>
            <w:tcW w:w="2708" w:type="dxa"/>
            <w:vMerge w:val="restart"/>
            <w:vAlign w:val="center"/>
          </w:tcPr>
          <w:p w:rsidR="00F706BE" w:rsidRPr="00521933" w:rsidRDefault="00F706BE" w:rsidP="00747851">
            <w:pPr>
              <w:spacing w:before="120" w:after="120"/>
              <w:rPr>
                <w:lang w:val="lv-LV"/>
              </w:rPr>
            </w:pPr>
            <w:r w:rsidRPr="00521933">
              <w:rPr>
                <w:lang w:val="lv-LV"/>
              </w:rPr>
              <w:t>(004)(R00) Dalībvalstis ir aprīkotas, lai veiktu infekcijas slimību uzraudzību un reaģēšanu, ieskaitot laboratoriju, kā daļa no visaptverošas uzraudzības un veselības informācijas sistēmas.</w:t>
            </w:r>
          </w:p>
        </w:tc>
        <w:tc>
          <w:tcPr>
            <w:tcW w:w="3074" w:type="dxa"/>
          </w:tcPr>
          <w:p w:rsidR="00F706BE" w:rsidRPr="00521933" w:rsidRDefault="00F706BE" w:rsidP="00747851">
            <w:pPr>
              <w:spacing w:before="120" w:after="120"/>
              <w:rPr>
                <w:lang w:val="lv-LV"/>
              </w:rPr>
            </w:pPr>
            <w:r w:rsidRPr="00521933">
              <w:rPr>
                <w:lang w:val="lv-LV"/>
              </w:rPr>
              <w:t>1) Uzraudzības politikas attīstība,  datu vadības sistēmas stiprināšana;</w:t>
            </w:r>
          </w:p>
        </w:tc>
        <w:tc>
          <w:tcPr>
            <w:tcW w:w="1080" w:type="dxa"/>
          </w:tcPr>
          <w:p w:rsidR="00F706BE" w:rsidRPr="00521933" w:rsidRDefault="00F706BE" w:rsidP="00747851">
            <w:pPr>
              <w:spacing w:before="120" w:after="120"/>
              <w:jc w:val="center"/>
              <w:rPr>
                <w:lang w:val="lv-LV"/>
              </w:rPr>
            </w:pPr>
            <w:r w:rsidRPr="00521933">
              <w:rPr>
                <w:lang w:val="lv-LV"/>
              </w:rPr>
              <w:t>X</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r w:rsidRPr="00521933">
              <w:rPr>
                <w:lang w:val="lv-LV"/>
              </w:rPr>
              <w:t>X</w:t>
            </w:r>
          </w:p>
        </w:tc>
      </w:tr>
      <w:tr w:rsidR="00F706BE" w:rsidRPr="00521933" w:rsidTr="00747851">
        <w:trPr>
          <w:trHeight w:val="930"/>
        </w:trPr>
        <w:tc>
          <w:tcPr>
            <w:tcW w:w="509" w:type="dxa"/>
            <w:vMerge/>
            <w:vAlign w:val="center"/>
          </w:tcPr>
          <w:p w:rsidR="00F706BE" w:rsidRPr="00521933" w:rsidRDefault="00F706BE" w:rsidP="00747851">
            <w:pPr>
              <w:spacing w:before="120" w:after="120"/>
              <w:rPr>
                <w:highlight w:val="red"/>
                <w:lang w:val="lv-LV"/>
              </w:rPr>
            </w:pPr>
          </w:p>
        </w:tc>
        <w:tc>
          <w:tcPr>
            <w:tcW w:w="2708" w:type="dxa"/>
            <w:vMerge/>
            <w:vAlign w:val="center"/>
          </w:tcPr>
          <w:p w:rsidR="00F706BE" w:rsidRPr="00521933" w:rsidRDefault="00F706BE" w:rsidP="00747851">
            <w:pPr>
              <w:spacing w:before="120" w:after="120"/>
              <w:rPr>
                <w:lang w:val="lv-LV"/>
              </w:rPr>
            </w:pPr>
          </w:p>
        </w:tc>
        <w:tc>
          <w:tcPr>
            <w:tcW w:w="3074" w:type="dxa"/>
          </w:tcPr>
          <w:p w:rsidR="00F706BE" w:rsidRPr="00521933" w:rsidRDefault="00F706BE" w:rsidP="00747851">
            <w:pPr>
              <w:spacing w:before="120" w:after="120"/>
              <w:rPr>
                <w:lang w:val="lv-LV"/>
              </w:rPr>
            </w:pPr>
            <w:r w:rsidRPr="00521933">
              <w:rPr>
                <w:lang w:val="lv-LV"/>
              </w:rPr>
              <w:t>2)</w:t>
            </w:r>
            <w:r w:rsidRPr="00521933">
              <w:rPr>
                <w:highlight w:val="lightGray"/>
                <w:lang w:val="lv-LV"/>
              </w:rPr>
              <w:t xml:space="preserve"> </w:t>
            </w:r>
            <w:r w:rsidRPr="00521933">
              <w:rPr>
                <w:lang w:val="lv-LV"/>
              </w:rPr>
              <w:t>tehniskā palīdzība laboratoriju kapacitātes attīstībai un politisks atbalsts mērķtiecīgai  slimību apstiprināšanai Latvijā.</w:t>
            </w:r>
            <w:r w:rsidRPr="00521933">
              <w:rPr>
                <w:highlight w:val="lightGray"/>
                <w:lang w:val="lv-LV"/>
              </w:rPr>
              <w:t xml:space="preserve"> </w:t>
            </w:r>
          </w:p>
        </w:tc>
        <w:tc>
          <w:tcPr>
            <w:tcW w:w="1080" w:type="dxa"/>
          </w:tcPr>
          <w:p w:rsidR="00F706BE" w:rsidRPr="00521933" w:rsidRDefault="00F706BE" w:rsidP="00747851">
            <w:pPr>
              <w:spacing w:before="120" w:after="120"/>
              <w:jc w:val="center"/>
              <w:rPr>
                <w:lang w:val="lv-LV"/>
              </w:rPr>
            </w:pPr>
            <w:r w:rsidRPr="00521933">
              <w:rPr>
                <w:lang w:val="lv-LV"/>
              </w:rPr>
              <w:t>X</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r w:rsidRPr="00521933">
              <w:rPr>
                <w:lang w:val="lv-LV"/>
              </w:rPr>
              <w:t>X</w:t>
            </w:r>
          </w:p>
        </w:tc>
      </w:tr>
      <w:tr w:rsidR="00F706BE" w:rsidRPr="00521933" w:rsidTr="00747851">
        <w:trPr>
          <w:trHeight w:val="930"/>
        </w:trPr>
        <w:tc>
          <w:tcPr>
            <w:tcW w:w="509" w:type="dxa"/>
            <w:vMerge/>
            <w:vAlign w:val="center"/>
          </w:tcPr>
          <w:p w:rsidR="00F706BE" w:rsidRPr="00521933" w:rsidRDefault="00F706BE" w:rsidP="00747851">
            <w:pPr>
              <w:spacing w:before="120" w:after="120"/>
              <w:rPr>
                <w:highlight w:val="red"/>
                <w:lang w:val="lv-LV"/>
              </w:rPr>
            </w:pPr>
          </w:p>
        </w:tc>
        <w:tc>
          <w:tcPr>
            <w:tcW w:w="2708" w:type="dxa"/>
            <w:vMerge/>
            <w:vAlign w:val="center"/>
          </w:tcPr>
          <w:p w:rsidR="00F706BE" w:rsidRPr="00521933" w:rsidRDefault="00F706BE" w:rsidP="00747851">
            <w:pPr>
              <w:spacing w:before="120" w:after="120"/>
              <w:rPr>
                <w:lang w:val="lv-LV"/>
              </w:rPr>
            </w:pPr>
          </w:p>
        </w:tc>
        <w:tc>
          <w:tcPr>
            <w:tcW w:w="3074" w:type="dxa"/>
          </w:tcPr>
          <w:p w:rsidR="00F706BE" w:rsidRPr="00521933" w:rsidRDefault="00F706BE" w:rsidP="00747851">
            <w:pPr>
              <w:spacing w:before="120" w:after="120"/>
              <w:rPr>
                <w:lang w:val="lv-LV"/>
              </w:rPr>
            </w:pPr>
            <w:r w:rsidRPr="00521933">
              <w:rPr>
                <w:lang w:val="lv-LV"/>
              </w:rPr>
              <w:t xml:space="preserve">3) Standarta aprīkojums datu pārvaldīšanai un atbalsts pārejai uz pacientu lietu balstītu pārskatu; </w:t>
            </w:r>
          </w:p>
        </w:tc>
        <w:tc>
          <w:tcPr>
            <w:tcW w:w="1080" w:type="dxa"/>
          </w:tcPr>
          <w:p w:rsidR="00F706BE" w:rsidRPr="00521933" w:rsidRDefault="00F706BE" w:rsidP="00747851">
            <w:pPr>
              <w:spacing w:before="120" w:after="120"/>
              <w:jc w:val="center"/>
              <w:rPr>
                <w:lang w:val="lv-LV"/>
              </w:rPr>
            </w:pPr>
            <w:r w:rsidRPr="00521933">
              <w:rPr>
                <w:lang w:val="lv-LV"/>
              </w:rPr>
              <w:t>X</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p>
        </w:tc>
      </w:tr>
      <w:tr w:rsidR="00F706BE" w:rsidRPr="00521933" w:rsidTr="00747851">
        <w:trPr>
          <w:trHeight w:val="718"/>
        </w:trPr>
        <w:tc>
          <w:tcPr>
            <w:tcW w:w="509" w:type="dxa"/>
            <w:vMerge/>
            <w:vAlign w:val="center"/>
          </w:tcPr>
          <w:p w:rsidR="00F706BE" w:rsidRPr="00521933" w:rsidRDefault="00F706BE" w:rsidP="00747851">
            <w:pPr>
              <w:spacing w:before="120" w:after="120"/>
              <w:rPr>
                <w:highlight w:val="red"/>
                <w:lang w:val="lv-LV"/>
              </w:rPr>
            </w:pPr>
          </w:p>
        </w:tc>
        <w:tc>
          <w:tcPr>
            <w:tcW w:w="2708" w:type="dxa"/>
            <w:vMerge/>
            <w:vAlign w:val="center"/>
          </w:tcPr>
          <w:p w:rsidR="00F706BE" w:rsidRPr="00521933" w:rsidRDefault="00F706BE" w:rsidP="00747851">
            <w:pPr>
              <w:spacing w:before="120" w:after="120"/>
              <w:rPr>
                <w:lang w:val="lv-LV"/>
              </w:rPr>
            </w:pPr>
          </w:p>
        </w:tc>
        <w:tc>
          <w:tcPr>
            <w:tcW w:w="3074" w:type="dxa"/>
          </w:tcPr>
          <w:p w:rsidR="00F706BE" w:rsidRPr="00521933" w:rsidRDefault="00F706BE" w:rsidP="00747851">
            <w:pPr>
              <w:spacing w:before="120" w:after="120"/>
              <w:rPr>
                <w:lang w:val="lv-LV"/>
              </w:rPr>
            </w:pPr>
            <w:r w:rsidRPr="00521933">
              <w:rPr>
                <w:lang w:val="lv-LV"/>
              </w:rPr>
              <w:t xml:space="preserve">4) Regulāri atjaunotas vadlīnijas gripas uzraudzībai; </w:t>
            </w:r>
          </w:p>
        </w:tc>
        <w:tc>
          <w:tcPr>
            <w:tcW w:w="1080" w:type="dxa"/>
          </w:tcPr>
          <w:p w:rsidR="00F706BE" w:rsidRPr="00521933" w:rsidRDefault="00F706BE" w:rsidP="00747851">
            <w:pPr>
              <w:spacing w:before="120" w:after="120"/>
              <w:jc w:val="center"/>
              <w:rPr>
                <w:lang w:val="lv-LV"/>
              </w:rPr>
            </w:pPr>
            <w:r w:rsidRPr="00521933">
              <w:rPr>
                <w:lang w:val="lv-LV"/>
              </w:rPr>
              <w:t>X</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p>
        </w:tc>
      </w:tr>
      <w:tr w:rsidR="00F706BE" w:rsidRPr="00521933" w:rsidTr="00747851">
        <w:trPr>
          <w:trHeight w:val="743"/>
        </w:trPr>
        <w:tc>
          <w:tcPr>
            <w:tcW w:w="509" w:type="dxa"/>
            <w:vMerge/>
            <w:vAlign w:val="center"/>
          </w:tcPr>
          <w:p w:rsidR="00F706BE" w:rsidRPr="00521933" w:rsidRDefault="00F706BE" w:rsidP="00747851">
            <w:pPr>
              <w:spacing w:before="120" w:after="120"/>
              <w:rPr>
                <w:highlight w:val="red"/>
                <w:lang w:val="lv-LV"/>
              </w:rPr>
            </w:pPr>
          </w:p>
        </w:tc>
        <w:tc>
          <w:tcPr>
            <w:tcW w:w="2708" w:type="dxa"/>
            <w:vMerge/>
            <w:vAlign w:val="center"/>
          </w:tcPr>
          <w:p w:rsidR="00F706BE" w:rsidRPr="00521933" w:rsidRDefault="00F706BE" w:rsidP="00747851">
            <w:pPr>
              <w:spacing w:before="120" w:after="120"/>
              <w:rPr>
                <w:lang w:val="lv-LV"/>
              </w:rPr>
            </w:pPr>
          </w:p>
        </w:tc>
        <w:tc>
          <w:tcPr>
            <w:tcW w:w="3074" w:type="dxa"/>
          </w:tcPr>
          <w:p w:rsidR="00F706BE" w:rsidRPr="00521933" w:rsidRDefault="00F706BE" w:rsidP="00747851">
            <w:pPr>
              <w:spacing w:before="120" w:after="120"/>
              <w:rPr>
                <w:lang w:val="lv-LV"/>
              </w:rPr>
            </w:pPr>
            <w:r w:rsidRPr="00521933">
              <w:rPr>
                <w:lang w:val="lv-LV"/>
              </w:rPr>
              <w:t xml:space="preserve">5) tehniskā palīdzība Latvijai ILI un SARI uzraudzības stiprināšanai; </w:t>
            </w:r>
          </w:p>
        </w:tc>
        <w:tc>
          <w:tcPr>
            <w:tcW w:w="1080" w:type="dxa"/>
          </w:tcPr>
          <w:p w:rsidR="00F706BE" w:rsidRPr="00521933" w:rsidRDefault="00F706BE" w:rsidP="00747851">
            <w:pPr>
              <w:spacing w:before="120" w:after="120"/>
              <w:jc w:val="center"/>
              <w:rPr>
                <w:lang w:val="lv-LV"/>
              </w:rPr>
            </w:pPr>
            <w:r w:rsidRPr="00521933">
              <w:rPr>
                <w:lang w:val="lv-LV"/>
              </w:rPr>
              <w:t>X</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p>
        </w:tc>
      </w:tr>
      <w:tr w:rsidR="00F706BE" w:rsidRPr="00521933" w:rsidTr="00747851">
        <w:trPr>
          <w:trHeight w:val="739"/>
        </w:trPr>
        <w:tc>
          <w:tcPr>
            <w:tcW w:w="509" w:type="dxa"/>
            <w:vMerge/>
            <w:vAlign w:val="center"/>
          </w:tcPr>
          <w:p w:rsidR="00F706BE" w:rsidRPr="00521933" w:rsidRDefault="00F706BE" w:rsidP="00747851">
            <w:pPr>
              <w:spacing w:before="120" w:after="120"/>
              <w:rPr>
                <w:highlight w:val="red"/>
                <w:lang w:val="lv-LV"/>
              </w:rPr>
            </w:pPr>
          </w:p>
        </w:tc>
        <w:tc>
          <w:tcPr>
            <w:tcW w:w="2708" w:type="dxa"/>
            <w:vMerge/>
            <w:vAlign w:val="center"/>
          </w:tcPr>
          <w:p w:rsidR="00F706BE" w:rsidRPr="00521933" w:rsidRDefault="00F706BE" w:rsidP="00747851">
            <w:pPr>
              <w:spacing w:before="120" w:after="120"/>
              <w:rPr>
                <w:lang w:val="lv-LV"/>
              </w:rPr>
            </w:pPr>
          </w:p>
        </w:tc>
        <w:tc>
          <w:tcPr>
            <w:tcW w:w="3074" w:type="dxa"/>
          </w:tcPr>
          <w:p w:rsidR="00F706BE" w:rsidRPr="00521933" w:rsidRDefault="00F706BE" w:rsidP="00747851">
            <w:pPr>
              <w:spacing w:before="120" w:after="120"/>
              <w:rPr>
                <w:lang w:val="lv-LV"/>
              </w:rPr>
            </w:pPr>
            <w:r w:rsidRPr="00521933">
              <w:rPr>
                <w:lang w:val="lv-LV"/>
              </w:rPr>
              <w:t xml:space="preserve">6) Atbalsts citu infekciozo slimību uzraudzībai; </w:t>
            </w:r>
          </w:p>
        </w:tc>
        <w:tc>
          <w:tcPr>
            <w:tcW w:w="1080" w:type="dxa"/>
          </w:tcPr>
          <w:p w:rsidR="00F706BE" w:rsidRPr="00521933" w:rsidRDefault="00F706BE" w:rsidP="00747851">
            <w:pPr>
              <w:spacing w:before="120" w:after="120"/>
              <w:jc w:val="center"/>
              <w:rPr>
                <w:lang w:val="lv-LV"/>
              </w:rPr>
            </w:pPr>
            <w:r w:rsidRPr="00521933">
              <w:rPr>
                <w:lang w:val="lv-LV"/>
              </w:rPr>
              <w:t>X</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r w:rsidRPr="00521933">
              <w:rPr>
                <w:lang w:val="lv-LV"/>
              </w:rPr>
              <w:t>X</w:t>
            </w:r>
          </w:p>
        </w:tc>
      </w:tr>
      <w:tr w:rsidR="00F706BE" w:rsidRPr="00521933" w:rsidTr="00747851">
        <w:trPr>
          <w:trHeight w:val="930"/>
        </w:trPr>
        <w:tc>
          <w:tcPr>
            <w:tcW w:w="509" w:type="dxa"/>
            <w:vMerge w:val="restart"/>
          </w:tcPr>
          <w:p w:rsidR="00F706BE" w:rsidRPr="00521933" w:rsidRDefault="00F706BE" w:rsidP="00747851">
            <w:pPr>
              <w:spacing w:before="120" w:after="120"/>
              <w:rPr>
                <w:highlight w:val="red"/>
                <w:lang w:val="lv-LV"/>
              </w:rPr>
            </w:pPr>
            <w:r w:rsidRPr="00521933">
              <w:rPr>
                <w:lang w:val="lv-LV"/>
              </w:rPr>
              <w:t>2</w:t>
            </w:r>
          </w:p>
          <w:p w:rsidR="00F706BE" w:rsidRPr="00521933" w:rsidRDefault="00F706BE" w:rsidP="00747851">
            <w:pPr>
              <w:spacing w:before="120" w:after="120"/>
              <w:rPr>
                <w:highlight w:val="red"/>
                <w:lang w:val="lv-LV"/>
              </w:rPr>
            </w:pPr>
          </w:p>
          <w:p w:rsidR="00F706BE" w:rsidRPr="00521933" w:rsidRDefault="00F706BE" w:rsidP="00747851">
            <w:pPr>
              <w:spacing w:before="120" w:after="120"/>
              <w:rPr>
                <w:highlight w:val="red"/>
                <w:lang w:val="lv-LV"/>
              </w:rPr>
            </w:pPr>
          </w:p>
        </w:tc>
        <w:tc>
          <w:tcPr>
            <w:tcW w:w="2708" w:type="dxa"/>
            <w:vMerge w:val="restart"/>
          </w:tcPr>
          <w:p w:rsidR="00F706BE" w:rsidRPr="00521933" w:rsidRDefault="00F706BE" w:rsidP="00747851">
            <w:pPr>
              <w:rPr>
                <w:color w:val="000000"/>
                <w:lang w:val="lv-LV"/>
              </w:rPr>
            </w:pPr>
            <w:r w:rsidRPr="00521933">
              <w:rPr>
                <w:color w:val="000000"/>
                <w:lang w:val="lv-LV"/>
              </w:rPr>
              <w:t xml:space="preserve">(011)(R00) Dalībvalstis veido spēcīgas un ilgtspējīgas sistēmas, kurās HIV, STI vīrusu hepatīts un citi būtiski pakalpojumi ir pieejami. </w:t>
            </w:r>
          </w:p>
          <w:p w:rsidR="00F706BE" w:rsidRPr="00521933" w:rsidRDefault="00F706BE" w:rsidP="00747851">
            <w:pPr>
              <w:spacing w:before="120" w:after="120"/>
              <w:rPr>
                <w:lang w:val="lv-LV"/>
              </w:rPr>
            </w:pPr>
          </w:p>
        </w:tc>
        <w:tc>
          <w:tcPr>
            <w:tcW w:w="3074" w:type="dxa"/>
          </w:tcPr>
          <w:p w:rsidR="00F706BE" w:rsidRPr="00521933" w:rsidRDefault="00F706BE" w:rsidP="00747851">
            <w:pPr>
              <w:spacing w:before="120" w:after="120"/>
              <w:rPr>
                <w:lang w:val="lv-LV"/>
              </w:rPr>
            </w:pPr>
            <w:r w:rsidRPr="00521933">
              <w:rPr>
                <w:lang w:val="lv-LV"/>
              </w:rPr>
              <w:t xml:space="preserve">1) Stiprināt Latviju stratēģiskās informācijas vākšanai, apkopošanai, analizēšanai un izmantošanai; </w:t>
            </w:r>
          </w:p>
        </w:tc>
        <w:tc>
          <w:tcPr>
            <w:tcW w:w="1080"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r w:rsidRPr="00521933">
              <w:rPr>
                <w:lang w:val="lv-LV"/>
              </w:rPr>
              <w:t>X</w:t>
            </w:r>
          </w:p>
        </w:tc>
      </w:tr>
      <w:tr w:rsidR="00F706BE" w:rsidRPr="00521933" w:rsidTr="00747851">
        <w:trPr>
          <w:trHeight w:val="930"/>
        </w:trPr>
        <w:tc>
          <w:tcPr>
            <w:tcW w:w="509" w:type="dxa"/>
            <w:vMerge/>
            <w:vAlign w:val="center"/>
          </w:tcPr>
          <w:p w:rsidR="00F706BE" w:rsidRPr="00521933" w:rsidRDefault="00F706BE" w:rsidP="00747851">
            <w:pPr>
              <w:spacing w:before="120" w:after="120"/>
              <w:rPr>
                <w:highlight w:val="red"/>
                <w:lang w:val="lv-LV"/>
              </w:rPr>
            </w:pPr>
          </w:p>
        </w:tc>
        <w:tc>
          <w:tcPr>
            <w:tcW w:w="2708" w:type="dxa"/>
            <w:vMerge/>
            <w:vAlign w:val="center"/>
          </w:tcPr>
          <w:p w:rsidR="00F706BE" w:rsidRPr="00521933" w:rsidRDefault="00F706BE" w:rsidP="00747851">
            <w:pPr>
              <w:rPr>
                <w:color w:val="000000"/>
                <w:lang w:val="lv-LV"/>
              </w:rPr>
            </w:pPr>
          </w:p>
        </w:tc>
        <w:tc>
          <w:tcPr>
            <w:tcW w:w="3074" w:type="dxa"/>
          </w:tcPr>
          <w:p w:rsidR="00F706BE" w:rsidRPr="00521933" w:rsidRDefault="00F706BE" w:rsidP="00747851">
            <w:pPr>
              <w:spacing w:before="120" w:after="120"/>
              <w:rPr>
                <w:lang w:val="lv-LV"/>
              </w:rPr>
            </w:pPr>
            <w:r w:rsidRPr="00521933">
              <w:rPr>
                <w:lang w:val="lv-LV"/>
              </w:rPr>
              <w:t xml:space="preserve">2) Palīdzēt Latvijai izstrādāt, pielāgot, integrēt un sasaistīt klientu orientētus pakalpojumu modeļus ar galvenajām iedzīvotāju grupām (UNAIDS ārstēšana 2.0); </w:t>
            </w:r>
          </w:p>
        </w:tc>
        <w:tc>
          <w:tcPr>
            <w:tcW w:w="1080" w:type="dxa"/>
          </w:tcPr>
          <w:p w:rsidR="00F706BE" w:rsidRPr="00521933" w:rsidRDefault="00F706BE" w:rsidP="00747851">
            <w:pPr>
              <w:spacing w:before="120" w:after="120"/>
              <w:jc w:val="center"/>
              <w:rPr>
                <w:lang w:val="lv-LV"/>
              </w:rPr>
            </w:pPr>
            <w:r w:rsidRPr="00521933">
              <w:rPr>
                <w:lang w:val="lv-LV"/>
              </w:rPr>
              <w:t xml:space="preserve"> </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r w:rsidRPr="00521933">
              <w:rPr>
                <w:lang w:val="lv-LV"/>
              </w:rPr>
              <w:t>X</w:t>
            </w:r>
          </w:p>
        </w:tc>
      </w:tr>
      <w:tr w:rsidR="00F706BE" w:rsidRPr="00521933" w:rsidTr="00747851">
        <w:trPr>
          <w:trHeight w:val="930"/>
        </w:trPr>
        <w:tc>
          <w:tcPr>
            <w:tcW w:w="509" w:type="dxa"/>
            <w:vMerge/>
            <w:vAlign w:val="center"/>
          </w:tcPr>
          <w:p w:rsidR="00F706BE" w:rsidRPr="00521933" w:rsidRDefault="00F706BE" w:rsidP="00747851">
            <w:pPr>
              <w:spacing w:before="120" w:after="120"/>
              <w:rPr>
                <w:highlight w:val="red"/>
                <w:lang w:val="lv-LV"/>
              </w:rPr>
            </w:pPr>
          </w:p>
        </w:tc>
        <w:tc>
          <w:tcPr>
            <w:tcW w:w="2708" w:type="dxa"/>
            <w:vMerge/>
            <w:vAlign w:val="center"/>
          </w:tcPr>
          <w:p w:rsidR="00F706BE" w:rsidRPr="00521933" w:rsidRDefault="00F706BE" w:rsidP="00747851">
            <w:pPr>
              <w:rPr>
                <w:color w:val="000000"/>
                <w:lang w:val="lv-LV"/>
              </w:rPr>
            </w:pPr>
          </w:p>
        </w:tc>
        <w:tc>
          <w:tcPr>
            <w:tcW w:w="3074" w:type="dxa"/>
          </w:tcPr>
          <w:p w:rsidR="00F706BE" w:rsidRPr="00521933" w:rsidRDefault="00F706BE" w:rsidP="00747851">
            <w:pPr>
              <w:spacing w:before="120" w:after="120"/>
              <w:rPr>
                <w:lang w:val="lv-LV"/>
              </w:rPr>
            </w:pPr>
            <w:r w:rsidRPr="00521933">
              <w:rPr>
                <w:lang w:val="lv-LV"/>
              </w:rPr>
              <w:t>3) Palīdzēt Latvijai nodrošināt medikamentu, diagnostikas un citu preču nepārtrauktu piegādi;</w:t>
            </w:r>
          </w:p>
        </w:tc>
        <w:tc>
          <w:tcPr>
            <w:tcW w:w="1080" w:type="dxa"/>
          </w:tcPr>
          <w:p w:rsidR="00F706BE" w:rsidRPr="00521933" w:rsidRDefault="00F706BE" w:rsidP="00747851">
            <w:pPr>
              <w:spacing w:before="120" w:after="120"/>
              <w:jc w:val="center"/>
              <w:rPr>
                <w:lang w:val="lv-LV"/>
              </w:rPr>
            </w:pPr>
            <w:r w:rsidRPr="00521933">
              <w:rPr>
                <w:lang w:val="lv-LV"/>
              </w:rPr>
              <w:t xml:space="preserve"> </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r w:rsidRPr="00521933">
              <w:rPr>
                <w:lang w:val="lv-LV"/>
              </w:rPr>
              <w:t>X</w:t>
            </w:r>
          </w:p>
        </w:tc>
      </w:tr>
      <w:tr w:rsidR="00F706BE" w:rsidRPr="00521933" w:rsidTr="00747851">
        <w:trPr>
          <w:trHeight w:val="930"/>
        </w:trPr>
        <w:tc>
          <w:tcPr>
            <w:tcW w:w="509" w:type="dxa"/>
            <w:vMerge/>
            <w:vAlign w:val="center"/>
          </w:tcPr>
          <w:p w:rsidR="00F706BE" w:rsidRPr="00521933" w:rsidRDefault="00F706BE" w:rsidP="00747851">
            <w:pPr>
              <w:spacing w:before="120" w:after="120"/>
              <w:rPr>
                <w:highlight w:val="red"/>
                <w:lang w:val="lv-LV"/>
              </w:rPr>
            </w:pPr>
          </w:p>
        </w:tc>
        <w:tc>
          <w:tcPr>
            <w:tcW w:w="2708" w:type="dxa"/>
            <w:vMerge/>
            <w:vAlign w:val="center"/>
          </w:tcPr>
          <w:p w:rsidR="00F706BE" w:rsidRPr="00521933" w:rsidRDefault="00F706BE" w:rsidP="00747851">
            <w:pPr>
              <w:rPr>
                <w:color w:val="000000"/>
                <w:lang w:val="lv-LV"/>
              </w:rPr>
            </w:pPr>
          </w:p>
        </w:tc>
        <w:tc>
          <w:tcPr>
            <w:tcW w:w="3074" w:type="dxa"/>
          </w:tcPr>
          <w:p w:rsidR="00F706BE" w:rsidRPr="00521933" w:rsidRDefault="00F706BE" w:rsidP="00747851">
            <w:pPr>
              <w:spacing w:before="120" w:after="120"/>
              <w:rPr>
                <w:lang w:val="lv-LV"/>
              </w:rPr>
            </w:pPr>
            <w:r w:rsidRPr="00521933">
              <w:rPr>
                <w:lang w:val="lv-LV"/>
              </w:rPr>
              <w:t>4) Attīstīt praktiskus kvalitātes uzlabošanas instrumentus HIV profilaksei. Palīdzēt Latvijai uzraudzīt un uzlabot pakalpojumu kvalitāti;</w:t>
            </w:r>
          </w:p>
        </w:tc>
        <w:tc>
          <w:tcPr>
            <w:tcW w:w="1080" w:type="dxa"/>
          </w:tcPr>
          <w:p w:rsidR="00F706BE" w:rsidRPr="00521933" w:rsidRDefault="00F706BE" w:rsidP="00747851">
            <w:pPr>
              <w:spacing w:before="120" w:after="120"/>
              <w:jc w:val="center"/>
              <w:rPr>
                <w:lang w:val="lv-LV"/>
              </w:rPr>
            </w:pPr>
            <w:r w:rsidRPr="00521933">
              <w:rPr>
                <w:lang w:val="lv-LV"/>
              </w:rPr>
              <w:t xml:space="preserve"> </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r w:rsidRPr="00521933">
              <w:rPr>
                <w:lang w:val="lv-LV"/>
              </w:rPr>
              <w:t>X</w:t>
            </w:r>
          </w:p>
        </w:tc>
      </w:tr>
      <w:tr w:rsidR="00F706BE" w:rsidRPr="00521933" w:rsidTr="00747851">
        <w:trPr>
          <w:trHeight w:val="693"/>
        </w:trPr>
        <w:tc>
          <w:tcPr>
            <w:tcW w:w="509" w:type="dxa"/>
            <w:vMerge/>
            <w:vAlign w:val="center"/>
          </w:tcPr>
          <w:p w:rsidR="00F706BE" w:rsidRPr="00521933" w:rsidRDefault="00F706BE" w:rsidP="00747851">
            <w:pPr>
              <w:spacing w:before="120" w:after="120"/>
              <w:rPr>
                <w:highlight w:val="red"/>
                <w:lang w:val="lv-LV"/>
              </w:rPr>
            </w:pPr>
          </w:p>
        </w:tc>
        <w:tc>
          <w:tcPr>
            <w:tcW w:w="2708" w:type="dxa"/>
            <w:vMerge/>
            <w:vAlign w:val="center"/>
          </w:tcPr>
          <w:p w:rsidR="00F706BE" w:rsidRPr="00521933" w:rsidRDefault="00F706BE" w:rsidP="00747851">
            <w:pPr>
              <w:rPr>
                <w:color w:val="000000"/>
                <w:lang w:val="lv-LV"/>
              </w:rPr>
            </w:pPr>
          </w:p>
        </w:tc>
        <w:tc>
          <w:tcPr>
            <w:tcW w:w="3074" w:type="dxa"/>
          </w:tcPr>
          <w:p w:rsidR="00F706BE" w:rsidRPr="00521933" w:rsidRDefault="00F706BE" w:rsidP="00747851">
            <w:pPr>
              <w:spacing w:before="120" w:after="120"/>
              <w:rPr>
                <w:lang w:val="lv-LV"/>
              </w:rPr>
            </w:pPr>
            <w:r w:rsidRPr="00521933">
              <w:rPr>
                <w:lang w:val="lv-LV"/>
              </w:rPr>
              <w:t xml:space="preserve">5) ilgstošs atbalsts EURO misijas rekomendāciju īstenošanai; </w:t>
            </w:r>
          </w:p>
        </w:tc>
        <w:tc>
          <w:tcPr>
            <w:tcW w:w="1080" w:type="dxa"/>
          </w:tcPr>
          <w:p w:rsidR="00F706BE" w:rsidRPr="00521933" w:rsidRDefault="00F706BE" w:rsidP="00747851">
            <w:pPr>
              <w:spacing w:before="120" w:after="120"/>
              <w:jc w:val="center"/>
              <w:rPr>
                <w:lang w:val="lv-LV"/>
              </w:rPr>
            </w:pPr>
            <w:r w:rsidRPr="00521933">
              <w:rPr>
                <w:lang w:val="lv-LV"/>
              </w:rPr>
              <w:t>X</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p>
        </w:tc>
      </w:tr>
      <w:tr w:rsidR="00F706BE" w:rsidRPr="00521933" w:rsidTr="00747851">
        <w:trPr>
          <w:trHeight w:val="930"/>
        </w:trPr>
        <w:tc>
          <w:tcPr>
            <w:tcW w:w="509" w:type="dxa"/>
            <w:vMerge w:val="restart"/>
            <w:vAlign w:val="center"/>
          </w:tcPr>
          <w:p w:rsidR="00F706BE" w:rsidRPr="00521933" w:rsidRDefault="00F706BE" w:rsidP="00747851">
            <w:pPr>
              <w:spacing w:before="120" w:after="120"/>
              <w:rPr>
                <w:highlight w:val="red"/>
                <w:lang w:val="lv-LV"/>
              </w:rPr>
            </w:pPr>
            <w:r w:rsidRPr="00521933">
              <w:rPr>
                <w:lang w:val="lv-LV"/>
              </w:rPr>
              <w:t>2</w:t>
            </w:r>
          </w:p>
        </w:tc>
        <w:tc>
          <w:tcPr>
            <w:tcW w:w="2708" w:type="dxa"/>
            <w:vMerge w:val="restart"/>
            <w:vAlign w:val="center"/>
          </w:tcPr>
          <w:p w:rsidR="00F706BE" w:rsidRPr="00521933" w:rsidRDefault="00F706BE" w:rsidP="00747851">
            <w:pPr>
              <w:spacing w:before="120" w:after="120"/>
              <w:rPr>
                <w:lang w:val="lv-LV"/>
              </w:rPr>
            </w:pPr>
            <w:r w:rsidRPr="00521933">
              <w:rPr>
                <w:lang w:val="lv-LV"/>
              </w:rPr>
              <w:t>(CNT 1005) Dalībvalstīm izstrādāt MDR-TB kontroles un novēršanas politiku un stratēģiju, izmantojot stiprinātas veselības aprūpes sistēmas un sabiedrības veselības metodes.</w:t>
            </w:r>
          </w:p>
        </w:tc>
        <w:tc>
          <w:tcPr>
            <w:tcW w:w="3074" w:type="dxa"/>
          </w:tcPr>
          <w:p w:rsidR="00F706BE" w:rsidRPr="00521933" w:rsidRDefault="00F706BE" w:rsidP="00747851">
            <w:pPr>
              <w:spacing w:before="120" w:after="120"/>
              <w:rPr>
                <w:lang w:val="lv-LV"/>
              </w:rPr>
            </w:pPr>
            <w:r w:rsidRPr="00521933">
              <w:rPr>
                <w:lang w:val="lv-LV"/>
              </w:rPr>
              <w:t xml:space="preserve">1) Nacionālā MXDR-TB reaģēšanas plāna atjaunināšana un apstiprināšana saskaņā ar Reģionālo MXDR-TB rīcības plānu; </w:t>
            </w:r>
          </w:p>
        </w:tc>
        <w:tc>
          <w:tcPr>
            <w:tcW w:w="1080" w:type="dxa"/>
          </w:tcPr>
          <w:p w:rsidR="00F706BE" w:rsidRPr="00521933" w:rsidRDefault="00F706BE" w:rsidP="00747851">
            <w:pPr>
              <w:spacing w:before="120" w:after="120"/>
              <w:jc w:val="center"/>
              <w:rPr>
                <w:lang w:val="lv-LV"/>
              </w:rPr>
            </w:pPr>
            <w:r w:rsidRPr="00521933">
              <w:rPr>
                <w:lang w:val="lv-LV"/>
              </w:rPr>
              <w:t>X</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p>
        </w:tc>
      </w:tr>
      <w:tr w:rsidR="00F706BE" w:rsidRPr="00521933" w:rsidTr="00747851">
        <w:trPr>
          <w:trHeight w:val="930"/>
        </w:trPr>
        <w:tc>
          <w:tcPr>
            <w:tcW w:w="509" w:type="dxa"/>
            <w:vMerge/>
            <w:vAlign w:val="center"/>
          </w:tcPr>
          <w:p w:rsidR="00F706BE" w:rsidRPr="00521933" w:rsidRDefault="00F706BE" w:rsidP="00747851">
            <w:pPr>
              <w:spacing w:before="120" w:after="120"/>
              <w:rPr>
                <w:highlight w:val="red"/>
                <w:lang w:val="lv-LV"/>
              </w:rPr>
            </w:pPr>
          </w:p>
        </w:tc>
        <w:tc>
          <w:tcPr>
            <w:tcW w:w="2708" w:type="dxa"/>
            <w:vMerge/>
            <w:vAlign w:val="center"/>
          </w:tcPr>
          <w:p w:rsidR="00F706BE" w:rsidRPr="00521933" w:rsidRDefault="00F706BE" w:rsidP="00747851">
            <w:pPr>
              <w:spacing w:before="120" w:after="120"/>
              <w:rPr>
                <w:lang w:val="lv-LV"/>
              </w:rPr>
            </w:pPr>
          </w:p>
        </w:tc>
        <w:tc>
          <w:tcPr>
            <w:tcW w:w="3074" w:type="dxa"/>
          </w:tcPr>
          <w:p w:rsidR="00F706BE" w:rsidRPr="00521933" w:rsidRDefault="00F706BE" w:rsidP="00747851">
            <w:pPr>
              <w:spacing w:before="120" w:after="120"/>
              <w:rPr>
                <w:lang w:val="lv-LV"/>
              </w:rPr>
            </w:pPr>
            <w:r w:rsidRPr="00521933">
              <w:rPr>
                <w:lang w:val="lv-LV"/>
              </w:rPr>
              <w:t>2) tehniskā palīdzība Latvijai STOP TB stratēģijas un MXDR-TB reaģēšanas palielināšanai</w:t>
            </w:r>
          </w:p>
        </w:tc>
        <w:tc>
          <w:tcPr>
            <w:tcW w:w="1080" w:type="dxa"/>
          </w:tcPr>
          <w:p w:rsidR="00F706BE" w:rsidRPr="00521933" w:rsidRDefault="00F706BE" w:rsidP="00747851">
            <w:pPr>
              <w:spacing w:before="120" w:after="120"/>
              <w:jc w:val="center"/>
              <w:rPr>
                <w:lang w:val="lv-LV"/>
              </w:rPr>
            </w:pPr>
            <w:r w:rsidRPr="00521933">
              <w:rPr>
                <w:lang w:val="lv-LV"/>
              </w:rPr>
              <w:t>X</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p>
        </w:tc>
      </w:tr>
      <w:tr w:rsidR="00F706BE" w:rsidRPr="00521933" w:rsidTr="00747851">
        <w:trPr>
          <w:trHeight w:val="930"/>
        </w:trPr>
        <w:tc>
          <w:tcPr>
            <w:tcW w:w="509" w:type="dxa"/>
            <w:vMerge w:val="restart"/>
            <w:vAlign w:val="center"/>
          </w:tcPr>
          <w:p w:rsidR="00F706BE" w:rsidRPr="00521933" w:rsidRDefault="00F706BE" w:rsidP="00747851">
            <w:pPr>
              <w:spacing w:before="120" w:after="120"/>
              <w:rPr>
                <w:highlight w:val="red"/>
                <w:lang w:val="lv-LV"/>
              </w:rPr>
            </w:pPr>
            <w:r w:rsidRPr="00521933">
              <w:rPr>
                <w:lang w:val="lv-LV"/>
              </w:rPr>
              <w:t>8</w:t>
            </w:r>
          </w:p>
        </w:tc>
        <w:tc>
          <w:tcPr>
            <w:tcW w:w="2708" w:type="dxa"/>
            <w:vMerge w:val="restart"/>
            <w:vAlign w:val="center"/>
          </w:tcPr>
          <w:p w:rsidR="00F706BE" w:rsidRPr="00521933" w:rsidRDefault="00F706BE" w:rsidP="00747851">
            <w:pPr>
              <w:spacing w:before="120" w:after="120"/>
              <w:rPr>
                <w:lang w:val="lv-LV"/>
              </w:rPr>
            </w:pPr>
            <w:r w:rsidRPr="00521933">
              <w:rPr>
                <w:lang w:val="lv-LV"/>
              </w:rPr>
              <w:t xml:space="preserve">(CNT 063) Dalībvalstīm, kas īsteno uz pierādījumiem balstītas starpnozaru politikas un stratēģijas reģionālā un nacionālajā līmenī, izpildīt </w:t>
            </w:r>
            <w:proofErr w:type="spellStart"/>
            <w:r w:rsidRPr="00521933">
              <w:rPr>
                <w:lang w:val="lv-LV"/>
              </w:rPr>
              <w:t>Parma</w:t>
            </w:r>
            <w:r w:rsidR="00747851" w:rsidRPr="00521933">
              <w:rPr>
                <w:lang w:val="lv-LV"/>
              </w:rPr>
              <w:t>s</w:t>
            </w:r>
            <w:proofErr w:type="spellEnd"/>
            <w:r w:rsidRPr="00521933">
              <w:rPr>
                <w:lang w:val="lv-LV"/>
              </w:rPr>
              <w:t xml:space="preserve"> deklarācijas saistības par efektīvu un jaunu Eiropas vides un veselības procesu pārvaldību (EEHP).</w:t>
            </w:r>
          </w:p>
        </w:tc>
        <w:tc>
          <w:tcPr>
            <w:tcW w:w="3074" w:type="dxa"/>
          </w:tcPr>
          <w:p w:rsidR="00F706BE" w:rsidRPr="00521933" w:rsidRDefault="00F706BE" w:rsidP="00747851">
            <w:pPr>
              <w:spacing w:before="120" w:after="120"/>
              <w:rPr>
                <w:lang w:val="lv-LV"/>
              </w:rPr>
            </w:pPr>
            <w:r w:rsidRPr="00521933">
              <w:rPr>
                <w:lang w:val="lv-LV"/>
              </w:rPr>
              <w:t xml:space="preserve">1) Kapacitātes celšana un  </w:t>
            </w:r>
            <w:proofErr w:type="spellStart"/>
            <w:r w:rsidRPr="00521933">
              <w:rPr>
                <w:lang w:val="lv-LV"/>
              </w:rPr>
              <w:t>starpsektoru</w:t>
            </w:r>
            <w:proofErr w:type="spellEnd"/>
            <w:r w:rsidRPr="00521933">
              <w:rPr>
                <w:lang w:val="lv-LV"/>
              </w:rPr>
              <w:t xml:space="preserve"> apmācības par </w:t>
            </w:r>
            <w:r w:rsidR="00747851" w:rsidRPr="00521933">
              <w:rPr>
                <w:lang w:val="lv-LV"/>
              </w:rPr>
              <w:t>ietekmes uz veselību novērtēšanas (</w:t>
            </w:r>
            <w:r w:rsidRPr="00521933">
              <w:rPr>
                <w:lang w:val="lv-LV"/>
              </w:rPr>
              <w:t>HIA</w:t>
            </w:r>
            <w:r w:rsidR="00747851" w:rsidRPr="00521933">
              <w:rPr>
                <w:lang w:val="lv-LV"/>
              </w:rPr>
              <w:t>)</w:t>
            </w:r>
            <w:r w:rsidRPr="00521933">
              <w:rPr>
                <w:lang w:val="lv-LV"/>
              </w:rPr>
              <w:t xml:space="preserve"> metodēm un instrumentiem;  </w:t>
            </w:r>
          </w:p>
        </w:tc>
        <w:tc>
          <w:tcPr>
            <w:tcW w:w="1080" w:type="dxa"/>
          </w:tcPr>
          <w:p w:rsidR="00F706BE" w:rsidRPr="00521933" w:rsidRDefault="00F706BE" w:rsidP="00747851">
            <w:pPr>
              <w:spacing w:before="120" w:after="120"/>
              <w:jc w:val="center"/>
              <w:rPr>
                <w:lang w:val="lv-LV"/>
              </w:rPr>
            </w:pPr>
            <w:r w:rsidRPr="00521933">
              <w:rPr>
                <w:lang w:val="lv-LV"/>
              </w:rPr>
              <w:t>X</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r w:rsidRPr="00521933">
              <w:rPr>
                <w:lang w:val="lv-LV"/>
              </w:rPr>
              <w:t>X</w:t>
            </w:r>
          </w:p>
        </w:tc>
      </w:tr>
      <w:tr w:rsidR="00F706BE" w:rsidRPr="00521933" w:rsidTr="00747851">
        <w:trPr>
          <w:trHeight w:val="930"/>
        </w:trPr>
        <w:tc>
          <w:tcPr>
            <w:tcW w:w="509" w:type="dxa"/>
            <w:vMerge/>
            <w:vAlign w:val="center"/>
          </w:tcPr>
          <w:p w:rsidR="00F706BE" w:rsidRPr="00521933" w:rsidRDefault="00F706BE" w:rsidP="00747851">
            <w:pPr>
              <w:spacing w:before="120" w:after="120"/>
              <w:rPr>
                <w:highlight w:val="red"/>
                <w:lang w:val="lv-LV"/>
              </w:rPr>
            </w:pPr>
          </w:p>
        </w:tc>
        <w:tc>
          <w:tcPr>
            <w:tcW w:w="2708" w:type="dxa"/>
            <w:vMerge/>
            <w:vAlign w:val="center"/>
          </w:tcPr>
          <w:p w:rsidR="00F706BE" w:rsidRPr="00521933" w:rsidRDefault="00F706BE" w:rsidP="00747851">
            <w:pPr>
              <w:spacing w:before="120" w:after="120"/>
              <w:rPr>
                <w:lang w:val="lv-LV"/>
              </w:rPr>
            </w:pPr>
          </w:p>
        </w:tc>
        <w:tc>
          <w:tcPr>
            <w:tcW w:w="3074" w:type="dxa"/>
          </w:tcPr>
          <w:p w:rsidR="00F706BE" w:rsidRPr="00521933" w:rsidRDefault="00F706BE" w:rsidP="00747851">
            <w:pPr>
              <w:spacing w:before="120" w:after="120"/>
              <w:rPr>
                <w:lang w:val="lv-LV"/>
              </w:rPr>
            </w:pPr>
            <w:r w:rsidRPr="00521933">
              <w:rPr>
                <w:lang w:val="lv-LV"/>
              </w:rPr>
              <w:t xml:space="preserve">2) tehniskais atbalsts vides veselības datu analīzei; </w:t>
            </w:r>
          </w:p>
        </w:tc>
        <w:tc>
          <w:tcPr>
            <w:tcW w:w="1080" w:type="dxa"/>
          </w:tcPr>
          <w:p w:rsidR="00F706BE" w:rsidRPr="00521933" w:rsidRDefault="00F706BE" w:rsidP="00747851">
            <w:pPr>
              <w:spacing w:before="120" w:after="120"/>
              <w:jc w:val="center"/>
              <w:rPr>
                <w:lang w:val="lv-LV"/>
              </w:rPr>
            </w:pPr>
            <w:r w:rsidRPr="00521933">
              <w:rPr>
                <w:lang w:val="lv-LV"/>
              </w:rPr>
              <w:t>X</w:t>
            </w:r>
          </w:p>
        </w:tc>
        <w:tc>
          <w:tcPr>
            <w:tcW w:w="885" w:type="dxa"/>
          </w:tcPr>
          <w:p w:rsidR="00F706BE" w:rsidRPr="00521933" w:rsidRDefault="00F706BE" w:rsidP="00747851">
            <w:pPr>
              <w:spacing w:before="120" w:after="120"/>
              <w:jc w:val="center"/>
              <w:rPr>
                <w:lang w:val="lv-LV"/>
              </w:rPr>
            </w:pPr>
          </w:p>
        </w:tc>
        <w:tc>
          <w:tcPr>
            <w:tcW w:w="885" w:type="dxa"/>
          </w:tcPr>
          <w:p w:rsidR="00F706BE" w:rsidRPr="00521933" w:rsidRDefault="00F706BE" w:rsidP="00747851">
            <w:pPr>
              <w:spacing w:before="120" w:after="120"/>
              <w:jc w:val="center"/>
              <w:rPr>
                <w:lang w:val="lv-LV"/>
              </w:rPr>
            </w:pPr>
            <w:r w:rsidRPr="00521933">
              <w:rPr>
                <w:lang w:val="lv-LV"/>
              </w:rPr>
              <w:t>X</w:t>
            </w:r>
          </w:p>
        </w:tc>
      </w:tr>
      <w:tr w:rsidR="00F706BE" w:rsidRPr="00521933" w:rsidTr="00747851">
        <w:trPr>
          <w:trHeight w:val="930"/>
        </w:trPr>
        <w:tc>
          <w:tcPr>
            <w:tcW w:w="509" w:type="dxa"/>
            <w:vMerge/>
            <w:vAlign w:val="center"/>
          </w:tcPr>
          <w:p w:rsidR="00F706BE" w:rsidRPr="00521933" w:rsidRDefault="00F706BE" w:rsidP="00747851">
            <w:pPr>
              <w:spacing w:before="120" w:after="120"/>
              <w:rPr>
                <w:highlight w:val="red"/>
                <w:lang w:val="lv-LV"/>
              </w:rPr>
            </w:pPr>
          </w:p>
        </w:tc>
        <w:tc>
          <w:tcPr>
            <w:tcW w:w="2708" w:type="dxa"/>
            <w:vMerge/>
            <w:vAlign w:val="center"/>
          </w:tcPr>
          <w:p w:rsidR="00F706BE" w:rsidRPr="00521933" w:rsidRDefault="00F706BE" w:rsidP="00747851">
            <w:pPr>
              <w:spacing w:before="120" w:after="120"/>
              <w:rPr>
                <w:lang w:val="lv-LV"/>
              </w:rPr>
            </w:pPr>
          </w:p>
        </w:tc>
        <w:tc>
          <w:tcPr>
            <w:tcW w:w="3074" w:type="dxa"/>
          </w:tcPr>
          <w:p w:rsidR="00F706BE" w:rsidRPr="00521933" w:rsidRDefault="00F706BE" w:rsidP="00747851">
            <w:pPr>
              <w:spacing w:before="120" w:after="120"/>
              <w:rPr>
                <w:lang w:val="lv-LV"/>
              </w:rPr>
            </w:pPr>
            <w:r w:rsidRPr="00521933">
              <w:rPr>
                <w:lang w:val="lv-LV"/>
              </w:rPr>
              <w:t>3) HIA vadlīniju nacionālajā līmenī īstenošanas pabeigšana un uzraudzīšana;</w:t>
            </w:r>
          </w:p>
        </w:tc>
        <w:tc>
          <w:tcPr>
            <w:tcW w:w="1080" w:type="dxa"/>
          </w:tcPr>
          <w:p w:rsidR="00F706BE" w:rsidRPr="00521933" w:rsidRDefault="00F706BE" w:rsidP="00747851">
            <w:pPr>
              <w:spacing w:before="120" w:after="120"/>
              <w:jc w:val="center"/>
              <w:rPr>
                <w:lang w:val="lv-LV"/>
              </w:rPr>
            </w:pPr>
            <w:r w:rsidRPr="00521933">
              <w:rPr>
                <w:lang w:val="lv-LV"/>
              </w:rPr>
              <w:t>X</w:t>
            </w:r>
          </w:p>
        </w:tc>
        <w:tc>
          <w:tcPr>
            <w:tcW w:w="885" w:type="dxa"/>
          </w:tcPr>
          <w:p w:rsidR="00F706BE" w:rsidRPr="00521933" w:rsidRDefault="00F706BE" w:rsidP="00747851">
            <w:pPr>
              <w:spacing w:before="120" w:after="120"/>
              <w:jc w:val="center"/>
              <w:rPr>
                <w:lang w:val="lv-LV"/>
              </w:rPr>
            </w:pPr>
            <w:r w:rsidRPr="00521933">
              <w:rPr>
                <w:lang w:val="lv-LV"/>
              </w:rPr>
              <w:t>X</w:t>
            </w:r>
          </w:p>
        </w:tc>
        <w:tc>
          <w:tcPr>
            <w:tcW w:w="885" w:type="dxa"/>
          </w:tcPr>
          <w:p w:rsidR="00F706BE" w:rsidRPr="00521933" w:rsidRDefault="00F706BE" w:rsidP="00747851">
            <w:pPr>
              <w:spacing w:before="120" w:after="120"/>
              <w:jc w:val="center"/>
              <w:rPr>
                <w:lang w:val="lv-LV"/>
              </w:rPr>
            </w:pPr>
            <w:r w:rsidRPr="00521933">
              <w:rPr>
                <w:lang w:val="lv-LV"/>
              </w:rPr>
              <w:t xml:space="preserve"> </w:t>
            </w:r>
          </w:p>
        </w:tc>
      </w:tr>
    </w:tbl>
    <w:p w:rsidR="00F706BE" w:rsidRPr="00521933" w:rsidRDefault="00F706BE" w:rsidP="00F706BE">
      <w:pPr>
        <w:rPr>
          <w:b/>
          <w:lang w:val="lv-LV"/>
        </w:rPr>
      </w:pPr>
    </w:p>
    <w:p w:rsidR="00F706BE" w:rsidRPr="00521933" w:rsidRDefault="00195F4A" w:rsidP="00F706BE">
      <w:pPr>
        <w:rPr>
          <w:b/>
          <w:lang w:val="lv-LV"/>
        </w:rPr>
      </w:pPr>
      <w:r w:rsidRPr="00521933">
        <w:rPr>
          <w:b/>
          <w:lang w:val="lv-LV"/>
        </w:rPr>
        <w:br w:type="page"/>
      </w:r>
      <w:r w:rsidR="00F706BE" w:rsidRPr="00521933">
        <w:rPr>
          <w:b/>
          <w:lang w:val="lv-LV"/>
        </w:rPr>
        <w:lastRenderedPageBreak/>
        <w:t xml:space="preserve">PRIORITĀTE 5: Veselības informācija, pierādījumi, pētījumi un inovācijas </w:t>
      </w:r>
    </w:p>
    <w:p w:rsidR="00F706BE" w:rsidRPr="00521933" w:rsidRDefault="00F706BE" w:rsidP="00F706BE">
      <w:pPr>
        <w:pStyle w:val="ListParagraph"/>
        <w:ind w:left="0"/>
        <w:rPr>
          <w:lang w:val="lv-LV"/>
        </w:rPr>
      </w:pPr>
    </w:p>
    <w:tbl>
      <w:tblPr>
        <w:tblW w:w="91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2312"/>
        <w:gridCol w:w="2803"/>
        <w:gridCol w:w="1203"/>
        <w:gridCol w:w="990"/>
        <w:gridCol w:w="1296"/>
      </w:tblGrid>
      <w:tr w:rsidR="00F706BE" w:rsidRPr="00521933" w:rsidTr="00747851">
        <w:trPr>
          <w:trHeight w:val="420"/>
        </w:trPr>
        <w:tc>
          <w:tcPr>
            <w:tcW w:w="532" w:type="dxa"/>
            <w:vMerge w:val="restart"/>
            <w:vAlign w:val="center"/>
          </w:tcPr>
          <w:p w:rsidR="00F706BE" w:rsidRPr="00521933" w:rsidRDefault="00F706BE" w:rsidP="00747851">
            <w:pPr>
              <w:jc w:val="center"/>
              <w:rPr>
                <w:b/>
                <w:bCs/>
                <w:lang w:val="lv-LV"/>
              </w:rPr>
            </w:pPr>
            <w:r w:rsidRPr="00521933">
              <w:rPr>
                <w:b/>
                <w:bCs/>
                <w:lang w:val="lv-LV"/>
              </w:rPr>
              <w:t>SO</w:t>
            </w:r>
          </w:p>
        </w:tc>
        <w:tc>
          <w:tcPr>
            <w:tcW w:w="2773" w:type="dxa"/>
            <w:vMerge w:val="restart"/>
            <w:vAlign w:val="center"/>
          </w:tcPr>
          <w:p w:rsidR="00F706BE" w:rsidRPr="00521933" w:rsidRDefault="00F706BE" w:rsidP="00747851">
            <w:pPr>
              <w:jc w:val="center"/>
              <w:rPr>
                <w:b/>
                <w:bCs/>
                <w:lang w:val="lv-LV"/>
              </w:rPr>
            </w:pPr>
            <w:r w:rsidRPr="00521933">
              <w:rPr>
                <w:b/>
                <w:bCs/>
                <w:lang w:val="lv-LV"/>
              </w:rPr>
              <w:t>Gala rezultāti (</w:t>
            </w:r>
            <w:proofErr w:type="spellStart"/>
            <w:r w:rsidRPr="00521933">
              <w:rPr>
                <w:b/>
                <w:bCs/>
                <w:lang w:val="lv-LV"/>
              </w:rPr>
              <w:t>Outcome</w:t>
            </w:r>
            <w:proofErr w:type="spellEnd"/>
            <w:r w:rsidRPr="00521933">
              <w:rPr>
                <w:b/>
                <w:bCs/>
                <w:lang w:val="lv-LV"/>
              </w:rPr>
              <w:t>)</w:t>
            </w:r>
          </w:p>
        </w:tc>
        <w:tc>
          <w:tcPr>
            <w:tcW w:w="3120" w:type="dxa"/>
            <w:vMerge w:val="restart"/>
            <w:vAlign w:val="center"/>
          </w:tcPr>
          <w:p w:rsidR="00F706BE" w:rsidRPr="00521933" w:rsidRDefault="00F706BE" w:rsidP="00747851">
            <w:pPr>
              <w:jc w:val="center"/>
              <w:rPr>
                <w:b/>
                <w:bCs/>
                <w:lang w:val="lv-LV"/>
              </w:rPr>
            </w:pPr>
            <w:r w:rsidRPr="00521933">
              <w:rPr>
                <w:b/>
                <w:bCs/>
                <w:lang w:val="lv-LV"/>
              </w:rPr>
              <w:t>Paredzētās Aktivitātes/Produkti (</w:t>
            </w:r>
            <w:proofErr w:type="spellStart"/>
            <w:r w:rsidRPr="00521933">
              <w:rPr>
                <w:b/>
                <w:bCs/>
                <w:lang w:val="lv-LV"/>
              </w:rPr>
              <w:t>Output</w:t>
            </w:r>
            <w:proofErr w:type="spellEnd"/>
            <w:r w:rsidRPr="00521933">
              <w:rPr>
                <w:b/>
                <w:bCs/>
                <w:lang w:val="lv-LV"/>
              </w:rPr>
              <w:t>)</w:t>
            </w:r>
          </w:p>
        </w:tc>
        <w:tc>
          <w:tcPr>
            <w:tcW w:w="2716" w:type="dxa"/>
            <w:gridSpan w:val="3"/>
            <w:noWrap/>
            <w:vAlign w:val="center"/>
          </w:tcPr>
          <w:p w:rsidR="00F706BE" w:rsidRPr="00521933" w:rsidRDefault="00F706BE" w:rsidP="00747851">
            <w:pPr>
              <w:jc w:val="center"/>
              <w:rPr>
                <w:b/>
                <w:bCs/>
                <w:lang w:val="lv-LV"/>
              </w:rPr>
            </w:pPr>
            <w:r w:rsidRPr="00521933">
              <w:rPr>
                <w:b/>
                <w:bCs/>
                <w:lang w:val="lv-LV"/>
              </w:rPr>
              <w:t>Īstenošanas modulis</w:t>
            </w:r>
          </w:p>
        </w:tc>
      </w:tr>
      <w:tr w:rsidR="00F706BE" w:rsidRPr="00521933" w:rsidTr="00747851">
        <w:trPr>
          <w:trHeight w:val="1290"/>
        </w:trPr>
        <w:tc>
          <w:tcPr>
            <w:tcW w:w="532" w:type="dxa"/>
            <w:vMerge/>
            <w:vAlign w:val="center"/>
          </w:tcPr>
          <w:p w:rsidR="00F706BE" w:rsidRPr="00521933" w:rsidRDefault="00F706BE" w:rsidP="00747851">
            <w:pPr>
              <w:rPr>
                <w:b/>
                <w:bCs/>
                <w:lang w:val="lv-LV"/>
              </w:rPr>
            </w:pPr>
          </w:p>
        </w:tc>
        <w:tc>
          <w:tcPr>
            <w:tcW w:w="2773" w:type="dxa"/>
            <w:vMerge/>
            <w:vAlign w:val="center"/>
          </w:tcPr>
          <w:p w:rsidR="00F706BE" w:rsidRPr="00521933" w:rsidRDefault="00F706BE" w:rsidP="00747851">
            <w:pPr>
              <w:rPr>
                <w:b/>
                <w:bCs/>
                <w:lang w:val="lv-LV"/>
              </w:rPr>
            </w:pPr>
          </w:p>
        </w:tc>
        <w:tc>
          <w:tcPr>
            <w:tcW w:w="3120" w:type="dxa"/>
            <w:vMerge/>
            <w:vAlign w:val="center"/>
          </w:tcPr>
          <w:p w:rsidR="00F706BE" w:rsidRPr="00521933" w:rsidRDefault="00F706BE" w:rsidP="00747851">
            <w:pPr>
              <w:rPr>
                <w:b/>
                <w:bCs/>
                <w:lang w:val="lv-LV"/>
              </w:rPr>
            </w:pPr>
          </w:p>
        </w:tc>
        <w:tc>
          <w:tcPr>
            <w:tcW w:w="938" w:type="dxa"/>
            <w:vAlign w:val="center"/>
          </w:tcPr>
          <w:p w:rsidR="00F706BE" w:rsidRPr="00521933" w:rsidRDefault="00F706BE" w:rsidP="00747851">
            <w:pPr>
              <w:jc w:val="center"/>
              <w:rPr>
                <w:lang w:val="lv-LV"/>
              </w:rPr>
            </w:pPr>
            <w:r w:rsidRPr="00521933">
              <w:rPr>
                <w:lang w:val="lv-LV"/>
              </w:rPr>
              <w:t xml:space="preserve">Konkrētās valsts modulis </w:t>
            </w:r>
            <w:r w:rsidRPr="00521933">
              <w:rPr>
                <w:b/>
                <w:lang w:val="lv-LV"/>
              </w:rPr>
              <w:t>(CS)</w:t>
            </w:r>
          </w:p>
        </w:tc>
        <w:tc>
          <w:tcPr>
            <w:tcW w:w="889" w:type="dxa"/>
            <w:vAlign w:val="center"/>
          </w:tcPr>
          <w:p w:rsidR="00F706BE" w:rsidRPr="00521933" w:rsidRDefault="00F706BE" w:rsidP="00747851">
            <w:pPr>
              <w:jc w:val="center"/>
              <w:rPr>
                <w:b/>
                <w:bCs/>
                <w:lang w:val="lv-LV"/>
              </w:rPr>
            </w:pPr>
            <w:r w:rsidRPr="00521933">
              <w:rPr>
                <w:lang w:val="lv-LV"/>
              </w:rPr>
              <w:t xml:space="preserve">Vairāku valstu modulis </w:t>
            </w:r>
            <w:r w:rsidRPr="00521933">
              <w:rPr>
                <w:b/>
                <w:lang w:val="lv-LV"/>
              </w:rPr>
              <w:t>(MC)</w:t>
            </w:r>
          </w:p>
        </w:tc>
        <w:tc>
          <w:tcPr>
            <w:tcW w:w="889" w:type="dxa"/>
            <w:vAlign w:val="center"/>
          </w:tcPr>
          <w:p w:rsidR="00F706BE" w:rsidRPr="00521933" w:rsidRDefault="00F706BE" w:rsidP="00747851">
            <w:pPr>
              <w:jc w:val="center"/>
              <w:rPr>
                <w:b/>
                <w:bCs/>
                <w:lang w:val="lv-LV"/>
              </w:rPr>
            </w:pPr>
            <w:r w:rsidRPr="00521933">
              <w:rPr>
                <w:lang w:val="lv-LV"/>
              </w:rPr>
              <w:t xml:space="preserve">Starpvalstu modulis </w:t>
            </w:r>
            <w:r w:rsidRPr="00521933">
              <w:rPr>
                <w:b/>
                <w:lang w:val="lv-LV"/>
              </w:rPr>
              <w:t>(IC)</w:t>
            </w:r>
          </w:p>
        </w:tc>
      </w:tr>
      <w:tr w:rsidR="00F706BE" w:rsidRPr="00521933" w:rsidTr="00747851">
        <w:trPr>
          <w:trHeight w:val="1825"/>
        </w:trPr>
        <w:tc>
          <w:tcPr>
            <w:tcW w:w="532" w:type="dxa"/>
          </w:tcPr>
          <w:p w:rsidR="00F706BE" w:rsidRPr="00521933" w:rsidRDefault="00F706BE" w:rsidP="00747851">
            <w:pPr>
              <w:spacing w:before="120" w:after="120"/>
              <w:jc w:val="center"/>
              <w:rPr>
                <w:lang w:val="lv-LV"/>
              </w:rPr>
            </w:pPr>
            <w:r w:rsidRPr="00521933">
              <w:rPr>
                <w:lang w:val="lv-LV"/>
              </w:rPr>
              <w:t>10</w:t>
            </w:r>
          </w:p>
          <w:p w:rsidR="00F706BE" w:rsidRPr="00521933" w:rsidRDefault="00F706BE" w:rsidP="00747851">
            <w:pPr>
              <w:rPr>
                <w:highlight w:val="red"/>
                <w:lang w:val="lv-LV"/>
              </w:rPr>
            </w:pPr>
          </w:p>
        </w:tc>
        <w:tc>
          <w:tcPr>
            <w:tcW w:w="2773" w:type="dxa"/>
          </w:tcPr>
          <w:p w:rsidR="00F706BE" w:rsidRPr="00521933" w:rsidRDefault="00F706BE" w:rsidP="00747851">
            <w:pPr>
              <w:rPr>
                <w:color w:val="000000"/>
                <w:lang w:val="lv-LV"/>
              </w:rPr>
            </w:pPr>
            <w:r w:rsidRPr="00521933">
              <w:rPr>
                <w:color w:val="000000"/>
                <w:lang w:val="lv-LV"/>
              </w:rPr>
              <w:t>(CNT 097)</w:t>
            </w:r>
            <w:r w:rsidRPr="00521933">
              <w:rPr>
                <w:color w:val="333333"/>
                <w:lang w:val="lv-LV"/>
              </w:rPr>
              <w:t xml:space="preserve"> </w:t>
            </w:r>
            <w:r w:rsidRPr="00521933">
              <w:rPr>
                <w:color w:val="000000"/>
                <w:lang w:val="lv-LV"/>
              </w:rPr>
              <w:t xml:space="preserve">Augstākas kvalitātes un kapacitātes veselības stāvokļa analīze, ieskaitot informācijas savākšanu, standartu izmantošanu, analīzi un veselības informācijas izplatīšanu dalībvalstīs. </w:t>
            </w:r>
          </w:p>
        </w:tc>
        <w:tc>
          <w:tcPr>
            <w:tcW w:w="3120" w:type="dxa"/>
          </w:tcPr>
          <w:p w:rsidR="00F706BE" w:rsidRPr="00521933" w:rsidRDefault="00F706BE" w:rsidP="00747851">
            <w:pPr>
              <w:rPr>
                <w:color w:val="000000"/>
                <w:lang w:val="lv-LV"/>
              </w:rPr>
            </w:pPr>
            <w:r w:rsidRPr="00521933">
              <w:rPr>
                <w:color w:val="000000"/>
                <w:lang w:val="lv-LV"/>
              </w:rPr>
              <w:t xml:space="preserve">1) ICD-10 tīmekļa apmācības organizētas. Instrumentu pielietošana svarīgāko un citu veselības statistikas datu savākšanas uzlabošanai;  </w:t>
            </w:r>
          </w:p>
          <w:p w:rsidR="00F706BE" w:rsidRPr="00521933" w:rsidRDefault="00F706BE" w:rsidP="00747851">
            <w:pPr>
              <w:rPr>
                <w:color w:val="000000"/>
                <w:lang w:val="lv-LV"/>
              </w:rPr>
            </w:pPr>
          </w:p>
        </w:tc>
        <w:tc>
          <w:tcPr>
            <w:tcW w:w="938" w:type="dxa"/>
          </w:tcPr>
          <w:p w:rsidR="00F706BE" w:rsidRPr="00521933" w:rsidRDefault="00F706BE" w:rsidP="00747851">
            <w:pPr>
              <w:spacing w:before="120" w:after="120"/>
              <w:jc w:val="center"/>
              <w:rPr>
                <w:lang w:val="lv-LV"/>
              </w:rPr>
            </w:pPr>
            <w:r w:rsidRPr="00521933">
              <w:rPr>
                <w:lang w:val="lv-LV"/>
              </w:rPr>
              <w:t>X</w:t>
            </w:r>
          </w:p>
        </w:tc>
        <w:tc>
          <w:tcPr>
            <w:tcW w:w="889" w:type="dxa"/>
          </w:tcPr>
          <w:p w:rsidR="00F706BE" w:rsidRPr="00521933" w:rsidRDefault="00F706BE" w:rsidP="00747851">
            <w:pPr>
              <w:spacing w:before="120" w:after="120"/>
              <w:jc w:val="center"/>
              <w:rPr>
                <w:lang w:val="lv-LV"/>
              </w:rPr>
            </w:pPr>
          </w:p>
        </w:tc>
        <w:tc>
          <w:tcPr>
            <w:tcW w:w="889" w:type="dxa"/>
          </w:tcPr>
          <w:p w:rsidR="00F706BE" w:rsidRPr="00521933" w:rsidRDefault="00F706BE" w:rsidP="00747851">
            <w:pPr>
              <w:spacing w:before="120" w:after="120"/>
              <w:jc w:val="center"/>
              <w:rPr>
                <w:lang w:val="lv-LV"/>
              </w:rPr>
            </w:pPr>
          </w:p>
        </w:tc>
      </w:tr>
      <w:tr w:rsidR="00F706BE" w:rsidRPr="00521933" w:rsidTr="00747851">
        <w:trPr>
          <w:trHeight w:val="930"/>
        </w:trPr>
        <w:tc>
          <w:tcPr>
            <w:tcW w:w="532" w:type="dxa"/>
            <w:vAlign w:val="center"/>
          </w:tcPr>
          <w:p w:rsidR="00F706BE" w:rsidRPr="00521933" w:rsidRDefault="00F706BE" w:rsidP="00747851">
            <w:pPr>
              <w:rPr>
                <w:highlight w:val="red"/>
                <w:lang w:val="lv-LV"/>
              </w:rPr>
            </w:pPr>
          </w:p>
          <w:p w:rsidR="00F706BE" w:rsidRPr="00521933" w:rsidRDefault="00F706BE" w:rsidP="00747851">
            <w:pPr>
              <w:rPr>
                <w:highlight w:val="red"/>
                <w:lang w:val="lv-LV"/>
              </w:rPr>
            </w:pPr>
            <w:r w:rsidRPr="00521933">
              <w:rPr>
                <w:lang w:val="lv-LV"/>
              </w:rPr>
              <w:t>10</w:t>
            </w:r>
          </w:p>
        </w:tc>
        <w:tc>
          <w:tcPr>
            <w:tcW w:w="2773" w:type="dxa"/>
            <w:vAlign w:val="center"/>
          </w:tcPr>
          <w:p w:rsidR="00F706BE" w:rsidRPr="00521933" w:rsidRDefault="00F706BE" w:rsidP="00747851">
            <w:pPr>
              <w:rPr>
                <w:color w:val="000000"/>
                <w:lang w:val="lv-LV"/>
              </w:rPr>
            </w:pPr>
            <w:r w:rsidRPr="00521933">
              <w:rPr>
                <w:color w:val="000000"/>
                <w:lang w:val="lv-LV"/>
              </w:rPr>
              <w:t>(096) Palielināta augstas kvalitātes starptautiski saskaņotas informācijas un uz pierādījumiem balstītu analītisko pakalpojumu, ko sniedz DIR, saņemšana dalībvalstīm un sekretariātam, veselības stāvokļa un nevienlīdzības</w:t>
            </w:r>
          </w:p>
          <w:p w:rsidR="00F706BE" w:rsidRPr="00521933" w:rsidRDefault="00F706BE" w:rsidP="00747851">
            <w:pPr>
              <w:rPr>
                <w:color w:val="000000"/>
                <w:lang w:val="lv-LV"/>
              </w:rPr>
            </w:pPr>
            <w:r w:rsidRPr="00521933">
              <w:rPr>
                <w:color w:val="000000"/>
                <w:lang w:val="lv-LV"/>
              </w:rPr>
              <w:t>plānošanai, pārraudzībai un izvērtēšanai.</w:t>
            </w:r>
          </w:p>
        </w:tc>
        <w:tc>
          <w:tcPr>
            <w:tcW w:w="3120" w:type="dxa"/>
          </w:tcPr>
          <w:p w:rsidR="00F706BE" w:rsidRPr="00521933" w:rsidRDefault="00F706BE" w:rsidP="00747851">
            <w:pPr>
              <w:rPr>
                <w:color w:val="000000"/>
                <w:lang w:val="lv-LV"/>
              </w:rPr>
            </w:pPr>
            <w:r w:rsidRPr="00521933">
              <w:rPr>
                <w:color w:val="000000"/>
                <w:lang w:val="lv-LV"/>
              </w:rPr>
              <w:t xml:space="preserve">1) Uzlabota analītiskā izstrāde dažādiem ziņojumiem, izplatīšanai un komunikācijai paredzētajiem dokumentiem, kuru pamatā ir HFA DB. Pieejamas valsts veselības pamatdatu kopas, kas ļauj veikt veselības vajadzību un nevienlīdzību analīzes, lai informētu lēmumu pieņēmējus. </w:t>
            </w:r>
          </w:p>
          <w:p w:rsidR="00F706BE" w:rsidRPr="00521933" w:rsidRDefault="00F706BE" w:rsidP="00747851">
            <w:pPr>
              <w:spacing w:before="120" w:after="120"/>
              <w:jc w:val="both"/>
              <w:rPr>
                <w:highlight w:val="red"/>
                <w:lang w:val="lv-LV"/>
              </w:rPr>
            </w:pPr>
            <w:r w:rsidRPr="00521933">
              <w:rPr>
                <w:highlight w:val="red"/>
                <w:lang w:val="lv-LV"/>
              </w:rPr>
              <w:t xml:space="preserve">  </w:t>
            </w:r>
          </w:p>
        </w:tc>
        <w:tc>
          <w:tcPr>
            <w:tcW w:w="938" w:type="dxa"/>
          </w:tcPr>
          <w:p w:rsidR="00F706BE" w:rsidRPr="00521933" w:rsidRDefault="00F706BE" w:rsidP="00747851">
            <w:pPr>
              <w:spacing w:before="120" w:after="120"/>
              <w:jc w:val="center"/>
              <w:rPr>
                <w:lang w:val="lv-LV"/>
              </w:rPr>
            </w:pPr>
            <w:r w:rsidRPr="00521933">
              <w:rPr>
                <w:lang w:val="lv-LV"/>
              </w:rPr>
              <w:t>X</w:t>
            </w:r>
          </w:p>
        </w:tc>
        <w:tc>
          <w:tcPr>
            <w:tcW w:w="889" w:type="dxa"/>
          </w:tcPr>
          <w:p w:rsidR="00F706BE" w:rsidRPr="00521933" w:rsidRDefault="00F706BE" w:rsidP="00747851">
            <w:pPr>
              <w:spacing w:before="120" w:after="120"/>
              <w:jc w:val="center"/>
              <w:rPr>
                <w:lang w:val="lv-LV"/>
              </w:rPr>
            </w:pPr>
          </w:p>
        </w:tc>
        <w:tc>
          <w:tcPr>
            <w:tcW w:w="889" w:type="dxa"/>
          </w:tcPr>
          <w:p w:rsidR="00F706BE" w:rsidRPr="00521933" w:rsidRDefault="00F706BE" w:rsidP="00747851">
            <w:pPr>
              <w:spacing w:before="120" w:after="120"/>
              <w:jc w:val="center"/>
              <w:rPr>
                <w:lang w:val="lv-LV"/>
              </w:rPr>
            </w:pPr>
          </w:p>
        </w:tc>
      </w:tr>
    </w:tbl>
    <w:p w:rsidR="00F706BE" w:rsidRPr="00521933" w:rsidRDefault="00F706BE" w:rsidP="00F706BE">
      <w:pPr>
        <w:pStyle w:val="ListParagraph"/>
        <w:ind w:left="0"/>
        <w:rPr>
          <w:lang w:val="lv-LV"/>
        </w:rPr>
      </w:pPr>
    </w:p>
    <w:p w:rsidR="00F706BE" w:rsidRPr="00521933" w:rsidRDefault="00F706BE" w:rsidP="00F706BE">
      <w:pPr>
        <w:jc w:val="both"/>
        <w:rPr>
          <w:b/>
          <w:color w:val="000000"/>
          <w:lang w:val="lv-LV"/>
        </w:rPr>
      </w:pPr>
    </w:p>
    <w:p w:rsidR="00F706BE" w:rsidRPr="00521933" w:rsidRDefault="00F706BE" w:rsidP="00F706BE">
      <w:pPr>
        <w:pStyle w:val="Heading1"/>
        <w:jc w:val="center"/>
        <w:rPr>
          <w:rFonts w:ascii="Times New Roman" w:hAnsi="Times New Roman" w:cs="Times New Roman"/>
          <w:color w:val="0066FF"/>
          <w:sz w:val="24"/>
          <w:szCs w:val="24"/>
          <w:lang w:val="lv-LV" w:eastAsia="en-GB"/>
        </w:rPr>
      </w:pPr>
      <w:bookmarkStart w:id="29" w:name="_Toc303786409"/>
      <w:r w:rsidRPr="00521933">
        <w:rPr>
          <w:rFonts w:ascii="Times New Roman" w:hAnsi="Times New Roman" w:cs="Times New Roman"/>
          <w:color w:val="0066FF"/>
          <w:sz w:val="24"/>
          <w:szCs w:val="24"/>
          <w:lang w:val="lv-LV"/>
        </w:rPr>
        <w:t>A</w:t>
      </w:r>
      <w:r w:rsidRPr="00521933">
        <w:rPr>
          <w:rFonts w:ascii="Times New Roman" w:hAnsi="Times New Roman" w:cs="Times New Roman"/>
          <w:color w:val="0066FF"/>
          <w:sz w:val="24"/>
          <w:szCs w:val="24"/>
          <w:lang w:val="lv-LV" w:eastAsia="en-GB"/>
        </w:rPr>
        <w:t>BREVIAT</w:t>
      </w:r>
      <w:bookmarkEnd w:id="29"/>
      <w:r w:rsidRPr="00521933">
        <w:rPr>
          <w:rFonts w:ascii="Times New Roman" w:hAnsi="Times New Roman" w:cs="Times New Roman"/>
          <w:color w:val="0066FF"/>
          <w:sz w:val="24"/>
          <w:szCs w:val="24"/>
          <w:lang w:val="lv-LV" w:eastAsia="en-GB"/>
        </w:rPr>
        <w:t>ŪRAS</w:t>
      </w:r>
    </w:p>
    <w:p w:rsidR="00F706BE" w:rsidRPr="00521933" w:rsidRDefault="00F706BE" w:rsidP="00F706BE">
      <w:pPr>
        <w:rPr>
          <w:lang w:val="lv-LV" w:eastAsia="en-GB"/>
        </w:rPr>
      </w:pPr>
    </w:p>
    <w:tbl>
      <w:tblPr>
        <w:tblW w:w="8174" w:type="dxa"/>
        <w:tblInd w:w="94" w:type="dxa"/>
        <w:tblLook w:val="0000"/>
      </w:tblPr>
      <w:tblGrid>
        <w:gridCol w:w="8174"/>
      </w:tblGrid>
      <w:tr w:rsidR="00F706BE" w:rsidRPr="00521933" w:rsidTr="00747851">
        <w:trPr>
          <w:trHeight w:val="278"/>
        </w:trPr>
        <w:tc>
          <w:tcPr>
            <w:tcW w:w="8174" w:type="dxa"/>
            <w:tcBorders>
              <w:top w:val="nil"/>
              <w:left w:val="nil"/>
              <w:bottom w:val="nil"/>
              <w:right w:val="nil"/>
            </w:tcBorders>
            <w:noWrap/>
            <w:vAlign w:val="bottom"/>
          </w:tcPr>
          <w:p w:rsidR="00F706BE" w:rsidRPr="00521933" w:rsidRDefault="00F706BE" w:rsidP="00747851">
            <w:pPr>
              <w:spacing w:before="120" w:after="60"/>
              <w:rPr>
                <w:b/>
                <w:color w:val="000000"/>
                <w:lang w:val="lv-LV"/>
              </w:rPr>
            </w:pPr>
            <w:r w:rsidRPr="00521933">
              <w:rPr>
                <w:b/>
                <w:color w:val="000000"/>
                <w:lang w:val="lv-LV"/>
              </w:rPr>
              <w:t>Vispārīgās abreviatūras</w:t>
            </w:r>
          </w:p>
        </w:tc>
      </w:tr>
      <w:tr w:rsidR="00F706BE" w:rsidRPr="00521933" w:rsidTr="00747851">
        <w:trPr>
          <w:trHeight w:val="295"/>
        </w:trPr>
        <w:tc>
          <w:tcPr>
            <w:tcW w:w="8174" w:type="dxa"/>
            <w:tcBorders>
              <w:top w:val="nil"/>
              <w:left w:val="nil"/>
              <w:bottom w:val="nil"/>
              <w:right w:val="nil"/>
            </w:tcBorders>
            <w:noWrap/>
            <w:vAlign w:val="bottom"/>
          </w:tcPr>
          <w:p w:rsidR="00F706BE" w:rsidRPr="00521933" w:rsidRDefault="00F706BE" w:rsidP="00747851">
            <w:pPr>
              <w:rPr>
                <w:color w:val="000000"/>
                <w:lang w:val="lv-LV"/>
              </w:rPr>
            </w:pPr>
            <w:r w:rsidRPr="00521933">
              <w:rPr>
                <w:color w:val="000000"/>
                <w:lang w:val="lv-LV"/>
              </w:rPr>
              <w:t xml:space="preserve">AC – </w:t>
            </w:r>
            <w:proofErr w:type="spellStart"/>
            <w:r w:rsidRPr="00521933">
              <w:rPr>
                <w:color w:val="000000"/>
                <w:lang w:val="lv-LV"/>
              </w:rPr>
              <w:t>Assessed</w:t>
            </w:r>
            <w:proofErr w:type="spellEnd"/>
            <w:r w:rsidRPr="00521933">
              <w:rPr>
                <w:color w:val="000000"/>
                <w:lang w:val="lv-LV"/>
              </w:rPr>
              <w:t xml:space="preserve"> </w:t>
            </w:r>
            <w:proofErr w:type="spellStart"/>
            <w:r w:rsidRPr="00521933">
              <w:rPr>
                <w:color w:val="000000"/>
                <w:lang w:val="lv-LV"/>
              </w:rPr>
              <w:t>contributions-</w:t>
            </w:r>
            <w:proofErr w:type="spellEnd"/>
            <w:r w:rsidRPr="00521933">
              <w:rPr>
                <w:color w:val="000000"/>
                <w:lang w:val="lv-LV"/>
              </w:rPr>
              <w:t xml:space="preserve"> Aprēķinātās iemaksas</w:t>
            </w:r>
          </w:p>
          <w:p w:rsidR="00F706BE" w:rsidRPr="00521933" w:rsidRDefault="00F706BE" w:rsidP="00747851">
            <w:pPr>
              <w:rPr>
                <w:color w:val="000000"/>
                <w:lang w:val="lv-LV"/>
              </w:rPr>
            </w:pPr>
            <w:r w:rsidRPr="00521933">
              <w:rPr>
                <w:color w:val="000000"/>
                <w:lang w:val="lv-LV"/>
              </w:rPr>
              <w:t xml:space="preserve">BCA – </w:t>
            </w:r>
            <w:proofErr w:type="spellStart"/>
            <w:r w:rsidRPr="00521933">
              <w:rPr>
                <w:color w:val="000000"/>
                <w:lang w:val="lv-LV"/>
              </w:rPr>
              <w:t>Biennial</w:t>
            </w:r>
            <w:proofErr w:type="spellEnd"/>
            <w:r w:rsidRPr="00521933">
              <w:rPr>
                <w:color w:val="000000"/>
                <w:lang w:val="lv-LV"/>
              </w:rPr>
              <w:t xml:space="preserve"> </w:t>
            </w:r>
            <w:proofErr w:type="spellStart"/>
            <w:r w:rsidRPr="00521933">
              <w:rPr>
                <w:color w:val="000000"/>
                <w:lang w:val="lv-LV"/>
              </w:rPr>
              <w:t>Collaborative</w:t>
            </w:r>
            <w:proofErr w:type="spellEnd"/>
            <w:r w:rsidRPr="00521933">
              <w:rPr>
                <w:color w:val="000000"/>
                <w:lang w:val="lv-LV"/>
              </w:rPr>
              <w:t xml:space="preserve"> </w:t>
            </w:r>
            <w:proofErr w:type="spellStart"/>
            <w:r w:rsidRPr="00521933">
              <w:rPr>
                <w:color w:val="000000"/>
                <w:lang w:val="lv-LV"/>
              </w:rPr>
              <w:t>Agreement</w:t>
            </w:r>
            <w:proofErr w:type="spellEnd"/>
            <w:r w:rsidRPr="00521933">
              <w:rPr>
                <w:color w:val="000000"/>
                <w:lang w:val="lv-LV"/>
              </w:rPr>
              <w:t xml:space="preserve"> - </w:t>
            </w:r>
            <w:proofErr w:type="spellStart"/>
            <w:r w:rsidRPr="00521933">
              <w:rPr>
                <w:lang w:val="lv-LV"/>
              </w:rPr>
              <w:t>Divgades</w:t>
            </w:r>
            <w:proofErr w:type="spellEnd"/>
            <w:r w:rsidRPr="00521933">
              <w:rPr>
                <w:lang w:val="lv-LV"/>
              </w:rPr>
              <w:t xml:space="preserve"> sadarbības līgums</w:t>
            </w:r>
            <w:r w:rsidRPr="00521933">
              <w:rPr>
                <w:color w:val="000000"/>
                <w:lang w:val="lv-LV"/>
              </w:rPr>
              <w:t xml:space="preserve"> </w:t>
            </w:r>
          </w:p>
          <w:p w:rsidR="00F706BE" w:rsidRPr="00521933" w:rsidRDefault="00F706BE" w:rsidP="00747851">
            <w:pPr>
              <w:rPr>
                <w:color w:val="000000"/>
                <w:lang w:val="lv-LV"/>
              </w:rPr>
            </w:pPr>
            <w:r w:rsidRPr="00521933">
              <w:rPr>
                <w:color w:val="000000"/>
                <w:lang w:val="lv-LV"/>
              </w:rPr>
              <w:t xml:space="preserve">CVCA – </w:t>
            </w:r>
            <w:proofErr w:type="spellStart"/>
            <w:r w:rsidRPr="00521933">
              <w:rPr>
                <w:color w:val="000000"/>
                <w:lang w:val="lv-LV"/>
              </w:rPr>
              <w:t>Core</w:t>
            </w:r>
            <w:proofErr w:type="spellEnd"/>
            <w:r w:rsidRPr="00521933">
              <w:rPr>
                <w:color w:val="000000"/>
                <w:lang w:val="lv-LV"/>
              </w:rPr>
              <w:t xml:space="preserve"> </w:t>
            </w:r>
            <w:proofErr w:type="spellStart"/>
            <w:r w:rsidRPr="00521933">
              <w:rPr>
                <w:color w:val="000000"/>
                <w:lang w:val="lv-LV"/>
              </w:rPr>
              <w:t>Voluntary</w:t>
            </w:r>
            <w:proofErr w:type="spellEnd"/>
            <w:r w:rsidRPr="00521933">
              <w:rPr>
                <w:color w:val="000000"/>
                <w:lang w:val="lv-LV"/>
              </w:rPr>
              <w:t xml:space="preserve"> </w:t>
            </w:r>
            <w:proofErr w:type="spellStart"/>
            <w:r w:rsidRPr="00521933">
              <w:rPr>
                <w:color w:val="000000"/>
                <w:lang w:val="lv-LV"/>
              </w:rPr>
              <w:t>Contributions</w:t>
            </w:r>
            <w:proofErr w:type="spellEnd"/>
            <w:r w:rsidRPr="00521933">
              <w:rPr>
                <w:color w:val="000000"/>
                <w:lang w:val="lv-LV"/>
              </w:rPr>
              <w:t xml:space="preserve"> </w:t>
            </w:r>
            <w:proofErr w:type="spellStart"/>
            <w:r w:rsidRPr="00521933">
              <w:rPr>
                <w:color w:val="000000"/>
                <w:lang w:val="lv-LV"/>
              </w:rPr>
              <w:t>Account</w:t>
            </w:r>
            <w:proofErr w:type="spellEnd"/>
            <w:r w:rsidRPr="00521933">
              <w:rPr>
                <w:color w:val="000000"/>
                <w:lang w:val="lv-LV"/>
              </w:rPr>
              <w:t xml:space="preserve"> – Pamata brīvprātīgās iemaksas kontā</w:t>
            </w:r>
          </w:p>
          <w:p w:rsidR="00F706BE" w:rsidRPr="00521933" w:rsidRDefault="00F706BE" w:rsidP="00747851">
            <w:pPr>
              <w:rPr>
                <w:color w:val="000000"/>
                <w:lang w:val="lv-LV"/>
              </w:rPr>
            </w:pPr>
            <w:r w:rsidRPr="00521933">
              <w:rPr>
                <w:color w:val="000000"/>
                <w:lang w:val="lv-LV"/>
              </w:rPr>
              <w:t xml:space="preserve">HWCO – </w:t>
            </w:r>
            <w:proofErr w:type="spellStart"/>
            <w:r w:rsidRPr="00521933">
              <w:rPr>
                <w:color w:val="000000"/>
                <w:lang w:val="lv-LV"/>
              </w:rPr>
              <w:t>Head</w:t>
            </w:r>
            <w:proofErr w:type="spellEnd"/>
            <w:r w:rsidRPr="00521933">
              <w:rPr>
                <w:color w:val="000000"/>
                <w:lang w:val="lv-LV"/>
              </w:rPr>
              <w:t xml:space="preserve"> </w:t>
            </w:r>
            <w:proofErr w:type="spellStart"/>
            <w:r w:rsidRPr="00521933">
              <w:rPr>
                <w:color w:val="000000"/>
                <w:lang w:val="lv-LV"/>
              </w:rPr>
              <w:t>of</w:t>
            </w:r>
            <w:proofErr w:type="spellEnd"/>
            <w:r w:rsidRPr="00521933">
              <w:rPr>
                <w:color w:val="000000"/>
                <w:lang w:val="lv-LV"/>
              </w:rPr>
              <w:t xml:space="preserve"> </w:t>
            </w:r>
            <w:proofErr w:type="spellStart"/>
            <w:r w:rsidRPr="00521933">
              <w:rPr>
                <w:color w:val="000000"/>
                <w:lang w:val="lv-LV"/>
              </w:rPr>
              <w:t>the</w:t>
            </w:r>
            <w:proofErr w:type="spellEnd"/>
            <w:r w:rsidRPr="00521933">
              <w:rPr>
                <w:color w:val="000000"/>
                <w:lang w:val="lv-LV"/>
              </w:rPr>
              <w:t xml:space="preserve"> WHO </w:t>
            </w:r>
            <w:proofErr w:type="spellStart"/>
            <w:r w:rsidRPr="00521933">
              <w:rPr>
                <w:color w:val="000000"/>
                <w:lang w:val="lv-LV"/>
              </w:rPr>
              <w:t>Country</w:t>
            </w:r>
            <w:proofErr w:type="spellEnd"/>
            <w:r w:rsidRPr="00521933">
              <w:rPr>
                <w:color w:val="000000"/>
                <w:lang w:val="lv-LV"/>
              </w:rPr>
              <w:t xml:space="preserve"> Office – PVO Pārstāvniecības vadītājs</w:t>
            </w:r>
          </w:p>
        </w:tc>
      </w:tr>
      <w:tr w:rsidR="00F706BE" w:rsidRPr="00521933" w:rsidTr="00747851">
        <w:trPr>
          <w:trHeight w:val="295"/>
        </w:trPr>
        <w:tc>
          <w:tcPr>
            <w:tcW w:w="8174" w:type="dxa"/>
            <w:tcBorders>
              <w:top w:val="nil"/>
              <w:left w:val="nil"/>
              <w:bottom w:val="nil"/>
              <w:right w:val="nil"/>
            </w:tcBorders>
            <w:noWrap/>
            <w:vAlign w:val="bottom"/>
          </w:tcPr>
          <w:p w:rsidR="00F706BE" w:rsidRPr="00521933" w:rsidRDefault="00F706BE" w:rsidP="00747851">
            <w:pPr>
              <w:rPr>
                <w:color w:val="000000"/>
                <w:lang w:val="lv-LV"/>
              </w:rPr>
            </w:pPr>
            <w:r w:rsidRPr="00521933">
              <w:rPr>
                <w:color w:val="000000"/>
                <w:lang w:val="lv-LV"/>
              </w:rPr>
              <w:t xml:space="preserve">HQ – </w:t>
            </w:r>
            <w:proofErr w:type="spellStart"/>
            <w:r w:rsidRPr="00521933">
              <w:rPr>
                <w:color w:val="000000"/>
                <w:lang w:val="lv-LV"/>
              </w:rPr>
              <w:t>World</w:t>
            </w:r>
            <w:proofErr w:type="spellEnd"/>
            <w:r w:rsidRPr="00521933">
              <w:rPr>
                <w:color w:val="000000"/>
                <w:lang w:val="lv-LV"/>
              </w:rPr>
              <w:t xml:space="preserve"> </w:t>
            </w:r>
            <w:proofErr w:type="spellStart"/>
            <w:r w:rsidRPr="00521933">
              <w:rPr>
                <w:color w:val="000000"/>
                <w:lang w:val="lv-LV"/>
              </w:rPr>
              <w:t>Health</w:t>
            </w:r>
            <w:proofErr w:type="spellEnd"/>
            <w:r w:rsidRPr="00521933">
              <w:rPr>
                <w:color w:val="000000"/>
                <w:lang w:val="lv-LV"/>
              </w:rPr>
              <w:t xml:space="preserve"> </w:t>
            </w:r>
            <w:proofErr w:type="spellStart"/>
            <w:r w:rsidRPr="00521933">
              <w:rPr>
                <w:color w:val="000000"/>
                <w:lang w:val="lv-LV"/>
              </w:rPr>
              <w:t>Organization</w:t>
            </w:r>
            <w:proofErr w:type="spellEnd"/>
            <w:r w:rsidRPr="00521933">
              <w:rPr>
                <w:color w:val="000000"/>
                <w:lang w:val="lv-LV"/>
              </w:rPr>
              <w:t xml:space="preserve"> </w:t>
            </w:r>
            <w:proofErr w:type="spellStart"/>
            <w:r w:rsidRPr="00521933">
              <w:rPr>
                <w:color w:val="000000"/>
                <w:lang w:val="lv-LV"/>
              </w:rPr>
              <w:t>headquarters</w:t>
            </w:r>
            <w:proofErr w:type="spellEnd"/>
            <w:r w:rsidRPr="00521933">
              <w:rPr>
                <w:color w:val="000000"/>
                <w:lang w:val="lv-LV"/>
              </w:rPr>
              <w:t xml:space="preserve"> - PVO Galvenā pārvalde</w:t>
            </w:r>
          </w:p>
          <w:p w:rsidR="00F706BE" w:rsidRPr="00521933" w:rsidRDefault="00F706BE" w:rsidP="00747851">
            <w:pPr>
              <w:rPr>
                <w:color w:val="000000"/>
                <w:lang w:val="lv-LV"/>
              </w:rPr>
            </w:pPr>
            <w:r w:rsidRPr="00521933">
              <w:rPr>
                <w:color w:val="000000"/>
                <w:lang w:val="lv-LV"/>
              </w:rPr>
              <w:lastRenderedPageBreak/>
              <w:t xml:space="preserve">KPO – </w:t>
            </w:r>
            <w:proofErr w:type="spellStart"/>
            <w:r w:rsidRPr="00521933">
              <w:rPr>
                <w:color w:val="000000"/>
                <w:lang w:val="lv-LV"/>
              </w:rPr>
              <w:t>Key</w:t>
            </w:r>
            <w:proofErr w:type="spellEnd"/>
            <w:r w:rsidRPr="00521933">
              <w:rPr>
                <w:color w:val="000000"/>
                <w:lang w:val="lv-LV"/>
              </w:rPr>
              <w:t xml:space="preserve"> </w:t>
            </w:r>
            <w:proofErr w:type="spellStart"/>
            <w:r w:rsidRPr="00521933">
              <w:rPr>
                <w:color w:val="000000"/>
                <w:lang w:val="lv-LV"/>
              </w:rPr>
              <w:t>Priority</w:t>
            </w:r>
            <w:proofErr w:type="spellEnd"/>
            <w:r w:rsidRPr="00521933">
              <w:rPr>
                <w:color w:val="000000"/>
                <w:lang w:val="lv-LV"/>
              </w:rPr>
              <w:t xml:space="preserve"> </w:t>
            </w:r>
            <w:proofErr w:type="spellStart"/>
            <w:r w:rsidRPr="00521933">
              <w:rPr>
                <w:color w:val="000000"/>
                <w:lang w:val="lv-LV"/>
              </w:rPr>
              <w:t>Outcome</w:t>
            </w:r>
            <w:proofErr w:type="spellEnd"/>
            <w:r w:rsidRPr="00521933">
              <w:rPr>
                <w:color w:val="000000"/>
                <w:lang w:val="lv-LV"/>
              </w:rPr>
              <w:t xml:space="preserve"> – Galveno prioritāšu rezultāts</w:t>
            </w:r>
          </w:p>
          <w:p w:rsidR="00F706BE" w:rsidRPr="00521933" w:rsidRDefault="00F706BE" w:rsidP="00747851">
            <w:pPr>
              <w:rPr>
                <w:color w:val="000000"/>
                <w:lang w:val="lv-LV"/>
              </w:rPr>
            </w:pPr>
            <w:r w:rsidRPr="00521933">
              <w:rPr>
                <w:color w:val="000000"/>
                <w:lang w:val="lv-LV"/>
              </w:rPr>
              <w:t xml:space="preserve">MTSP – WHO </w:t>
            </w:r>
            <w:proofErr w:type="spellStart"/>
            <w:r w:rsidRPr="00521933">
              <w:rPr>
                <w:color w:val="000000"/>
                <w:lang w:val="lv-LV"/>
              </w:rPr>
              <w:t>Medium</w:t>
            </w:r>
            <w:proofErr w:type="spellEnd"/>
            <w:r w:rsidRPr="00521933">
              <w:rPr>
                <w:color w:val="000000"/>
                <w:lang w:val="lv-LV"/>
              </w:rPr>
              <w:t xml:space="preserve"> </w:t>
            </w:r>
            <w:proofErr w:type="spellStart"/>
            <w:r w:rsidRPr="00521933">
              <w:rPr>
                <w:color w:val="000000"/>
                <w:lang w:val="lv-LV"/>
              </w:rPr>
              <w:t>Term</w:t>
            </w:r>
            <w:proofErr w:type="spellEnd"/>
            <w:r w:rsidRPr="00521933">
              <w:rPr>
                <w:color w:val="000000"/>
                <w:lang w:val="lv-LV"/>
              </w:rPr>
              <w:t xml:space="preserve"> </w:t>
            </w:r>
            <w:proofErr w:type="spellStart"/>
            <w:r w:rsidRPr="00521933">
              <w:rPr>
                <w:color w:val="000000"/>
                <w:lang w:val="lv-LV"/>
              </w:rPr>
              <w:t>Strategic</w:t>
            </w:r>
            <w:proofErr w:type="spellEnd"/>
            <w:r w:rsidRPr="00521933">
              <w:rPr>
                <w:color w:val="000000"/>
                <w:lang w:val="lv-LV"/>
              </w:rPr>
              <w:t xml:space="preserve"> </w:t>
            </w:r>
            <w:proofErr w:type="spellStart"/>
            <w:r w:rsidRPr="00521933">
              <w:rPr>
                <w:color w:val="000000"/>
                <w:lang w:val="lv-LV"/>
              </w:rPr>
              <w:t>Plan-</w:t>
            </w:r>
            <w:proofErr w:type="spellEnd"/>
            <w:r w:rsidRPr="00521933">
              <w:rPr>
                <w:color w:val="000000"/>
                <w:lang w:val="lv-LV"/>
              </w:rPr>
              <w:t xml:space="preserve"> PVO v</w:t>
            </w:r>
            <w:r w:rsidRPr="00521933">
              <w:rPr>
                <w:bCs/>
                <w:color w:val="000000"/>
                <w:lang w:val="lv-LV"/>
              </w:rPr>
              <w:t>idēja termiņa stratēģiskais plāns</w:t>
            </w:r>
            <w:r w:rsidRPr="00521933">
              <w:rPr>
                <w:b/>
                <w:bCs/>
                <w:color w:val="000000"/>
                <w:lang w:val="lv-LV"/>
              </w:rPr>
              <w:t xml:space="preserve"> </w:t>
            </w:r>
            <w:r w:rsidRPr="00521933">
              <w:rPr>
                <w:color w:val="000000"/>
                <w:lang w:val="lv-LV"/>
              </w:rPr>
              <w:t xml:space="preserve">ODA – </w:t>
            </w:r>
            <w:proofErr w:type="spellStart"/>
            <w:r w:rsidRPr="00521933">
              <w:rPr>
                <w:color w:val="000000"/>
                <w:lang w:val="lv-LV"/>
              </w:rPr>
              <w:t>Official</w:t>
            </w:r>
            <w:proofErr w:type="spellEnd"/>
            <w:r w:rsidRPr="00521933">
              <w:rPr>
                <w:color w:val="000000"/>
                <w:lang w:val="lv-LV"/>
              </w:rPr>
              <w:t xml:space="preserve"> </w:t>
            </w:r>
            <w:proofErr w:type="spellStart"/>
            <w:r w:rsidRPr="00521933">
              <w:rPr>
                <w:color w:val="000000"/>
                <w:lang w:val="lv-LV"/>
              </w:rPr>
              <w:t>Development</w:t>
            </w:r>
            <w:proofErr w:type="spellEnd"/>
            <w:r w:rsidRPr="00521933">
              <w:rPr>
                <w:color w:val="000000"/>
                <w:lang w:val="lv-LV"/>
              </w:rPr>
              <w:t xml:space="preserve"> </w:t>
            </w:r>
            <w:proofErr w:type="spellStart"/>
            <w:r w:rsidRPr="00521933">
              <w:rPr>
                <w:color w:val="000000"/>
                <w:lang w:val="lv-LV"/>
              </w:rPr>
              <w:t>Assistance</w:t>
            </w:r>
            <w:proofErr w:type="spellEnd"/>
            <w:r w:rsidRPr="00521933">
              <w:rPr>
                <w:color w:val="000000"/>
                <w:lang w:val="lv-LV"/>
              </w:rPr>
              <w:t xml:space="preserve"> – Oficiālā attīstības palīdzība</w:t>
            </w:r>
          </w:p>
          <w:p w:rsidR="00F706BE" w:rsidRPr="00521933" w:rsidRDefault="00F706BE" w:rsidP="00747851">
            <w:pPr>
              <w:rPr>
                <w:color w:val="000000"/>
                <w:lang w:val="lv-LV"/>
              </w:rPr>
            </w:pPr>
            <w:r w:rsidRPr="00521933">
              <w:rPr>
                <w:color w:val="000000"/>
                <w:lang w:val="lv-LV"/>
              </w:rPr>
              <w:t xml:space="preserve">OPO – </w:t>
            </w:r>
            <w:proofErr w:type="spellStart"/>
            <w:r w:rsidRPr="00521933">
              <w:rPr>
                <w:color w:val="000000"/>
                <w:lang w:val="lv-LV"/>
              </w:rPr>
              <w:t>Other</w:t>
            </w:r>
            <w:proofErr w:type="spellEnd"/>
            <w:r w:rsidRPr="00521933">
              <w:rPr>
                <w:color w:val="000000"/>
                <w:lang w:val="lv-LV"/>
              </w:rPr>
              <w:t xml:space="preserve"> </w:t>
            </w:r>
            <w:proofErr w:type="spellStart"/>
            <w:r w:rsidRPr="00521933">
              <w:rPr>
                <w:color w:val="000000"/>
                <w:lang w:val="lv-LV"/>
              </w:rPr>
              <w:t>Priority</w:t>
            </w:r>
            <w:proofErr w:type="spellEnd"/>
            <w:r w:rsidRPr="00521933">
              <w:rPr>
                <w:color w:val="000000"/>
                <w:lang w:val="lv-LV"/>
              </w:rPr>
              <w:t xml:space="preserve"> </w:t>
            </w:r>
            <w:proofErr w:type="spellStart"/>
            <w:r w:rsidRPr="00521933">
              <w:rPr>
                <w:color w:val="000000"/>
                <w:lang w:val="lv-LV"/>
              </w:rPr>
              <w:t>Outcome</w:t>
            </w:r>
            <w:proofErr w:type="spellEnd"/>
            <w:r w:rsidRPr="00521933">
              <w:rPr>
                <w:color w:val="000000"/>
                <w:lang w:val="lv-LV"/>
              </w:rPr>
              <w:t xml:space="preserve"> – Cits prioritātes rezultāts</w:t>
            </w:r>
          </w:p>
          <w:p w:rsidR="00F706BE" w:rsidRPr="00521933" w:rsidRDefault="00F706BE" w:rsidP="00747851">
            <w:pPr>
              <w:rPr>
                <w:color w:val="000000"/>
                <w:lang w:val="lv-LV"/>
              </w:rPr>
            </w:pPr>
            <w:r w:rsidRPr="00521933">
              <w:rPr>
                <w:color w:val="000000"/>
                <w:lang w:val="lv-LV"/>
              </w:rPr>
              <w:t xml:space="preserve">SO – </w:t>
            </w:r>
            <w:proofErr w:type="spellStart"/>
            <w:r w:rsidRPr="00521933">
              <w:rPr>
                <w:color w:val="000000"/>
                <w:lang w:val="lv-LV"/>
              </w:rPr>
              <w:t>Strategic</w:t>
            </w:r>
            <w:proofErr w:type="spellEnd"/>
            <w:r w:rsidRPr="00521933">
              <w:rPr>
                <w:color w:val="000000"/>
                <w:lang w:val="lv-LV"/>
              </w:rPr>
              <w:t xml:space="preserve"> </w:t>
            </w:r>
            <w:proofErr w:type="spellStart"/>
            <w:r w:rsidRPr="00521933">
              <w:rPr>
                <w:color w:val="000000"/>
                <w:lang w:val="lv-LV"/>
              </w:rPr>
              <w:t>objective</w:t>
            </w:r>
            <w:proofErr w:type="spellEnd"/>
            <w:r w:rsidRPr="00521933">
              <w:rPr>
                <w:color w:val="000000"/>
                <w:lang w:val="lv-LV"/>
              </w:rPr>
              <w:t xml:space="preserve"> – Stratēģiskais mērķis</w:t>
            </w:r>
          </w:p>
          <w:p w:rsidR="00F706BE" w:rsidRPr="00521933" w:rsidRDefault="00F706BE" w:rsidP="00747851">
            <w:pPr>
              <w:rPr>
                <w:color w:val="000000"/>
                <w:lang w:val="lv-LV"/>
              </w:rPr>
            </w:pPr>
            <w:r w:rsidRPr="00521933">
              <w:rPr>
                <w:color w:val="000000"/>
                <w:lang w:val="lv-LV"/>
              </w:rPr>
              <w:t xml:space="preserve">VCS – </w:t>
            </w:r>
            <w:proofErr w:type="spellStart"/>
            <w:r w:rsidRPr="00521933">
              <w:rPr>
                <w:color w:val="000000"/>
                <w:lang w:val="lv-LV"/>
              </w:rPr>
              <w:t>Specified</w:t>
            </w:r>
            <w:proofErr w:type="spellEnd"/>
            <w:r w:rsidRPr="00521933">
              <w:rPr>
                <w:color w:val="000000"/>
                <w:lang w:val="lv-LV"/>
              </w:rPr>
              <w:t xml:space="preserve"> </w:t>
            </w:r>
            <w:proofErr w:type="spellStart"/>
            <w:r w:rsidRPr="00521933">
              <w:rPr>
                <w:color w:val="000000"/>
                <w:lang w:val="lv-LV"/>
              </w:rPr>
              <w:t>Voluntary</w:t>
            </w:r>
            <w:proofErr w:type="spellEnd"/>
            <w:r w:rsidRPr="00521933">
              <w:rPr>
                <w:color w:val="000000"/>
                <w:lang w:val="lv-LV"/>
              </w:rPr>
              <w:t xml:space="preserve"> </w:t>
            </w:r>
            <w:proofErr w:type="spellStart"/>
            <w:r w:rsidRPr="00521933">
              <w:rPr>
                <w:color w:val="000000"/>
                <w:lang w:val="lv-LV"/>
              </w:rPr>
              <w:t>Contributions</w:t>
            </w:r>
            <w:proofErr w:type="spellEnd"/>
            <w:r w:rsidRPr="00521933">
              <w:rPr>
                <w:color w:val="000000"/>
                <w:lang w:val="lv-LV"/>
              </w:rPr>
              <w:t xml:space="preserve"> – Noteiktas brīvprātīgās iemaksas</w:t>
            </w:r>
          </w:p>
          <w:p w:rsidR="00F706BE" w:rsidRPr="00521933" w:rsidRDefault="00F706BE" w:rsidP="00747851">
            <w:pPr>
              <w:rPr>
                <w:color w:val="000000"/>
                <w:lang w:val="lv-LV"/>
              </w:rPr>
            </w:pPr>
            <w:r w:rsidRPr="00521933">
              <w:rPr>
                <w:color w:val="000000"/>
                <w:lang w:val="lv-LV"/>
              </w:rPr>
              <w:t xml:space="preserve">RO – </w:t>
            </w:r>
            <w:proofErr w:type="spellStart"/>
            <w:r w:rsidRPr="00521933">
              <w:rPr>
                <w:color w:val="000000"/>
                <w:lang w:val="lv-LV"/>
              </w:rPr>
              <w:t>Regional</w:t>
            </w:r>
            <w:proofErr w:type="spellEnd"/>
            <w:r w:rsidRPr="00521933">
              <w:rPr>
                <w:color w:val="000000"/>
                <w:lang w:val="lv-LV"/>
              </w:rPr>
              <w:t xml:space="preserve"> Office – Reģionālais </w:t>
            </w:r>
            <w:r w:rsidR="00B23FA1">
              <w:rPr>
                <w:color w:val="000000"/>
                <w:lang w:val="lv-LV"/>
              </w:rPr>
              <w:t>birojs</w:t>
            </w:r>
          </w:p>
          <w:p w:rsidR="00F706BE" w:rsidRPr="00521933" w:rsidRDefault="00F706BE" w:rsidP="00747851">
            <w:pPr>
              <w:rPr>
                <w:color w:val="000000"/>
                <w:lang w:val="lv-LV"/>
              </w:rPr>
            </w:pPr>
            <w:r w:rsidRPr="00521933">
              <w:rPr>
                <w:color w:val="000000"/>
                <w:lang w:val="lv-LV"/>
              </w:rPr>
              <w:t xml:space="preserve">GDO – </w:t>
            </w:r>
            <w:proofErr w:type="spellStart"/>
            <w:r w:rsidRPr="00521933">
              <w:rPr>
                <w:color w:val="000000"/>
                <w:lang w:val="lv-LV"/>
              </w:rPr>
              <w:t>Geographically</w:t>
            </w:r>
            <w:proofErr w:type="spellEnd"/>
            <w:r w:rsidRPr="00521933">
              <w:rPr>
                <w:color w:val="000000"/>
                <w:lang w:val="lv-LV"/>
              </w:rPr>
              <w:t xml:space="preserve"> </w:t>
            </w:r>
            <w:proofErr w:type="spellStart"/>
            <w:r w:rsidRPr="00521933">
              <w:rPr>
                <w:color w:val="000000"/>
                <w:lang w:val="lv-LV"/>
              </w:rPr>
              <w:t>Dispersed</w:t>
            </w:r>
            <w:proofErr w:type="spellEnd"/>
            <w:r w:rsidRPr="00521933">
              <w:rPr>
                <w:color w:val="000000"/>
                <w:lang w:val="lv-LV"/>
              </w:rPr>
              <w:t xml:space="preserve"> Office – Ģeogrāfiski izkliedētais </w:t>
            </w:r>
            <w:r w:rsidR="00B23FA1">
              <w:rPr>
                <w:color w:val="000000"/>
                <w:lang w:val="lv-LV"/>
              </w:rPr>
              <w:t>birojs</w:t>
            </w:r>
          </w:p>
          <w:p w:rsidR="00F706BE" w:rsidRPr="00521933" w:rsidRDefault="00F706BE" w:rsidP="00747851">
            <w:pPr>
              <w:rPr>
                <w:color w:val="000000"/>
                <w:lang w:val="lv-LV"/>
              </w:rPr>
            </w:pPr>
            <w:r w:rsidRPr="00521933">
              <w:rPr>
                <w:color w:val="000000"/>
                <w:lang w:val="lv-LV"/>
              </w:rPr>
              <w:t xml:space="preserve">CO – </w:t>
            </w:r>
            <w:proofErr w:type="spellStart"/>
            <w:r w:rsidRPr="00521933">
              <w:rPr>
                <w:color w:val="000000"/>
                <w:lang w:val="lv-LV"/>
              </w:rPr>
              <w:t>Country</w:t>
            </w:r>
            <w:proofErr w:type="spellEnd"/>
            <w:r w:rsidRPr="00521933">
              <w:rPr>
                <w:color w:val="000000"/>
                <w:lang w:val="lv-LV"/>
              </w:rPr>
              <w:t xml:space="preserve"> Office- Valsts pārstāvniecība</w:t>
            </w:r>
          </w:p>
        </w:tc>
      </w:tr>
    </w:tbl>
    <w:p w:rsidR="00F706BE" w:rsidRPr="00521933" w:rsidRDefault="00F706BE" w:rsidP="00F706BE">
      <w:pPr>
        <w:rPr>
          <w:lang w:val="lv-LV"/>
        </w:rPr>
      </w:pPr>
    </w:p>
    <w:tbl>
      <w:tblPr>
        <w:tblW w:w="8174" w:type="dxa"/>
        <w:tblInd w:w="94" w:type="dxa"/>
        <w:tblLook w:val="0000"/>
      </w:tblPr>
      <w:tblGrid>
        <w:gridCol w:w="8174"/>
      </w:tblGrid>
      <w:tr w:rsidR="00F706BE" w:rsidRPr="00521933" w:rsidTr="00747851">
        <w:trPr>
          <w:trHeight w:val="277"/>
        </w:trPr>
        <w:tc>
          <w:tcPr>
            <w:tcW w:w="8174" w:type="dxa"/>
            <w:tcBorders>
              <w:top w:val="nil"/>
              <w:left w:val="nil"/>
              <w:bottom w:val="nil"/>
              <w:right w:val="nil"/>
            </w:tcBorders>
            <w:noWrap/>
            <w:vAlign w:val="bottom"/>
          </w:tcPr>
          <w:p w:rsidR="00F706BE" w:rsidRPr="00521933" w:rsidRDefault="00F706BE" w:rsidP="00747851">
            <w:pPr>
              <w:spacing w:after="60"/>
              <w:rPr>
                <w:color w:val="000000"/>
                <w:lang w:val="lv-LV"/>
              </w:rPr>
            </w:pPr>
            <w:r w:rsidRPr="00521933">
              <w:rPr>
                <w:b/>
                <w:color w:val="000000"/>
                <w:lang w:val="lv-LV" w:eastAsia="en-GB"/>
              </w:rPr>
              <w:t>Tehniskās abreviatūras</w:t>
            </w:r>
          </w:p>
        </w:tc>
      </w:tr>
      <w:tr w:rsidR="00F706BE" w:rsidRPr="00521933" w:rsidTr="00747851">
        <w:trPr>
          <w:trHeight w:val="364"/>
        </w:trPr>
        <w:tc>
          <w:tcPr>
            <w:tcW w:w="8174" w:type="dxa"/>
            <w:tcBorders>
              <w:top w:val="nil"/>
              <w:left w:val="nil"/>
              <w:bottom w:val="nil"/>
              <w:right w:val="nil"/>
            </w:tcBorders>
            <w:noWrap/>
            <w:vAlign w:val="bottom"/>
          </w:tcPr>
          <w:p w:rsidR="00F706BE" w:rsidRPr="00521933" w:rsidRDefault="00F706BE" w:rsidP="00747851">
            <w:pPr>
              <w:spacing w:before="80"/>
              <w:rPr>
                <w:lang w:val="lv-LV"/>
              </w:rPr>
            </w:pPr>
            <w:r w:rsidRPr="00521933">
              <w:rPr>
                <w:lang w:val="lv-LV"/>
              </w:rPr>
              <w:t xml:space="preserve">MDG – </w:t>
            </w:r>
            <w:proofErr w:type="spellStart"/>
            <w:r w:rsidRPr="00521933">
              <w:rPr>
                <w:lang w:val="lv-LV"/>
              </w:rPr>
              <w:t>Millennium</w:t>
            </w:r>
            <w:proofErr w:type="spellEnd"/>
            <w:r w:rsidRPr="00521933">
              <w:rPr>
                <w:lang w:val="lv-LV"/>
              </w:rPr>
              <w:t xml:space="preserve"> </w:t>
            </w:r>
            <w:proofErr w:type="spellStart"/>
            <w:r w:rsidRPr="00521933">
              <w:rPr>
                <w:lang w:val="lv-LV"/>
              </w:rPr>
              <w:t>Development</w:t>
            </w:r>
            <w:proofErr w:type="spellEnd"/>
            <w:r w:rsidRPr="00521933">
              <w:rPr>
                <w:lang w:val="lv-LV"/>
              </w:rPr>
              <w:t xml:space="preserve"> </w:t>
            </w:r>
            <w:proofErr w:type="spellStart"/>
            <w:r w:rsidRPr="00521933">
              <w:rPr>
                <w:lang w:val="lv-LV"/>
              </w:rPr>
              <w:t>Goals-</w:t>
            </w:r>
            <w:proofErr w:type="spellEnd"/>
            <w:r w:rsidRPr="00521933">
              <w:rPr>
                <w:lang w:val="lv-LV"/>
              </w:rPr>
              <w:t xml:space="preserve"> Tūkstošgades attīstības mērķi</w:t>
            </w:r>
          </w:p>
        </w:tc>
      </w:tr>
      <w:tr w:rsidR="00F706BE" w:rsidRPr="00521933" w:rsidTr="00747851">
        <w:trPr>
          <w:trHeight w:val="365"/>
        </w:trPr>
        <w:tc>
          <w:tcPr>
            <w:tcW w:w="8174" w:type="dxa"/>
            <w:tcBorders>
              <w:top w:val="nil"/>
              <w:left w:val="nil"/>
              <w:bottom w:val="nil"/>
              <w:right w:val="nil"/>
            </w:tcBorders>
            <w:noWrap/>
            <w:vAlign w:val="bottom"/>
          </w:tcPr>
          <w:p w:rsidR="00F706BE" w:rsidRPr="00521933" w:rsidRDefault="00F706BE" w:rsidP="00747851">
            <w:pPr>
              <w:rPr>
                <w:color w:val="000000"/>
                <w:lang w:val="lv-LV"/>
              </w:rPr>
            </w:pPr>
            <w:r w:rsidRPr="00521933">
              <w:rPr>
                <w:color w:val="000000"/>
                <w:lang w:val="lv-LV"/>
              </w:rPr>
              <w:t xml:space="preserve">PHC – </w:t>
            </w:r>
            <w:proofErr w:type="spellStart"/>
            <w:r w:rsidRPr="00521933">
              <w:rPr>
                <w:color w:val="000000"/>
                <w:lang w:val="lv-LV"/>
              </w:rPr>
              <w:t>Primary</w:t>
            </w:r>
            <w:proofErr w:type="spellEnd"/>
            <w:r w:rsidRPr="00521933">
              <w:rPr>
                <w:color w:val="000000"/>
                <w:lang w:val="lv-LV"/>
              </w:rPr>
              <w:t xml:space="preserve"> </w:t>
            </w:r>
            <w:proofErr w:type="spellStart"/>
            <w:r w:rsidRPr="00521933">
              <w:rPr>
                <w:color w:val="000000"/>
                <w:lang w:val="lv-LV"/>
              </w:rPr>
              <w:t>Health</w:t>
            </w:r>
            <w:proofErr w:type="spellEnd"/>
            <w:r w:rsidRPr="00521933">
              <w:rPr>
                <w:color w:val="000000"/>
                <w:lang w:val="lv-LV"/>
              </w:rPr>
              <w:t xml:space="preserve"> </w:t>
            </w:r>
            <w:proofErr w:type="spellStart"/>
            <w:r w:rsidRPr="00521933">
              <w:rPr>
                <w:color w:val="000000"/>
                <w:lang w:val="lv-LV"/>
              </w:rPr>
              <w:t>Care</w:t>
            </w:r>
            <w:proofErr w:type="spellEnd"/>
            <w:r w:rsidRPr="00521933">
              <w:rPr>
                <w:color w:val="000000"/>
                <w:lang w:val="lv-LV"/>
              </w:rPr>
              <w:t xml:space="preserve"> – Primārā veselības aprūpe</w:t>
            </w:r>
          </w:p>
        </w:tc>
      </w:tr>
      <w:tr w:rsidR="00F706BE" w:rsidRPr="00521933" w:rsidTr="00747851">
        <w:trPr>
          <w:trHeight w:val="365"/>
        </w:trPr>
        <w:tc>
          <w:tcPr>
            <w:tcW w:w="8174" w:type="dxa"/>
            <w:tcBorders>
              <w:top w:val="nil"/>
              <w:left w:val="nil"/>
              <w:bottom w:val="nil"/>
              <w:right w:val="nil"/>
            </w:tcBorders>
            <w:noWrap/>
            <w:vAlign w:val="bottom"/>
          </w:tcPr>
          <w:p w:rsidR="00F706BE" w:rsidRPr="00521933" w:rsidRDefault="00F706BE" w:rsidP="00747851">
            <w:pPr>
              <w:rPr>
                <w:color w:val="000000"/>
                <w:lang w:val="lv-LV"/>
              </w:rPr>
            </w:pPr>
            <w:r w:rsidRPr="00521933">
              <w:rPr>
                <w:color w:val="000000"/>
                <w:lang w:val="lv-LV"/>
              </w:rPr>
              <w:t>SDH</w:t>
            </w:r>
            <w:r w:rsidRPr="00521933">
              <w:rPr>
                <w:iCs/>
                <w:lang w:val="lv-LV"/>
              </w:rPr>
              <w:t xml:space="preserve">/HI </w:t>
            </w:r>
            <w:r w:rsidRPr="00521933">
              <w:rPr>
                <w:lang w:val="lv-LV"/>
              </w:rPr>
              <w:softHyphen/>
            </w:r>
            <w:r w:rsidRPr="00521933">
              <w:rPr>
                <w:color w:val="000000"/>
                <w:lang w:val="lv-LV"/>
              </w:rPr>
              <w:t>–</w:t>
            </w:r>
            <w:r w:rsidRPr="00521933">
              <w:rPr>
                <w:lang w:val="lv-LV"/>
              </w:rPr>
              <w:softHyphen/>
            </w:r>
            <w:r w:rsidRPr="00521933">
              <w:rPr>
                <w:iCs/>
                <w:lang w:val="lv-LV"/>
              </w:rPr>
              <w:t xml:space="preserve"> </w:t>
            </w:r>
            <w:proofErr w:type="spellStart"/>
            <w:r w:rsidRPr="00521933">
              <w:rPr>
                <w:iCs/>
                <w:lang w:val="lv-LV"/>
              </w:rPr>
              <w:t>Social</w:t>
            </w:r>
            <w:proofErr w:type="spellEnd"/>
            <w:r w:rsidRPr="00521933">
              <w:rPr>
                <w:iCs/>
                <w:lang w:val="lv-LV"/>
              </w:rPr>
              <w:t xml:space="preserve"> determinants </w:t>
            </w:r>
            <w:proofErr w:type="spellStart"/>
            <w:r w:rsidRPr="00521933">
              <w:rPr>
                <w:iCs/>
                <w:lang w:val="lv-LV"/>
              </w:rPr>
              <w:t>of</w:t>
            </w:r>
            <w:proofErr w:type="spellEnd"/>
            <w:r w:rsidRPr="00521933">
              <w:rPr>
                <w:iCs/>
                <w:lang w:val="lv-LV"/>
              </w:rPr>
              <w:t xml:space="preserve"> </w:t>
            </w:r>
            <w:proofErr w:type="spellStart"/>
            <w:r w:rsidRPr="00521933">
              <w:rPr>
                <w:iCs/>
                <w:lang w:val="lv-LV"/>
              </w:rPr>
              <w:t>health</w:t>
            </w:r>
            <w:proofErr w:type="spellEnd"/>
            <w:r w:rsidRPr="00521933">
              <w:rPr>
                <w:iCs/>
                <w:lang w:val="lv-LV"/>
              </w:rPr>
              <w:t xml:space="preserve"> </w:t>
            </w:r>
            <w:proofErr w:type="spellStart"/>
            <w:r w:rsidRPr="00521933">
              <w:rPr>
                <w:iCs/>
                <w:lang w:val="lv-LV"/>
              </w:rPr>
              <w:t>and</w:t>
            </w:r>
            <w:proofErr w:type="spellEnd"/>
            <w:r w:rsidRPr="00521933">
              <w:rPr>
                <w:iCs/>
                <w:lang w:val="lv-LV"/>
              </w:rPr>
              <w:t xml:space="preserve"> </w:t>
            </w:r>
            <w:proofErr w:type="spellStart"/>
            <w:r w:rsidRPr="00521933">
              <w:rPr>
                <w:iCs/>
                <w:lang w:val="lv-LV"/>
              </w:rPr>
              <w:t>inequities</w:t>
            </w:r>
            <w:proofErr w:type="spellEnd"/>
            <w:r w:rsidRPr="00521933">
              <w:rPr>
                <w:iCs/>
                <w:lang w:val="lv-LV"/>
              </w:rPr>
              <w:t xml:space="preserve"> – Sociālie veselības un nevienlīdzības determinanti</w:t>
            </w:r>
          </w:p>
        </w:tc>
      </w:tr>
      <w:tr w:rsidR="00F706BE" w:rsidRPr="00521933" w:rsidTr="00747851">
        <w:trPr>
          <w:trHeight w:val="365"/>
        </w:trPr>
        <w:tc>
          <w:tcPr>
            <w:tcW w:w="8174" w:type="dxa"/>
            <w:tcBorders>
              <w:top w:val="nil"/>
              <w:left w:val="nil"/>
              <w:bottom w:val="nil"/>
              <w:right w:val="nil"/>
            </w:tcBorders>
            <w:noWrap/>
            <w:vAlign w:val="bottom"/>
          </w:tcPr>
          <w:p w:rsidR="00F706BE" w:rsidRPr="00521933" w:rsidRDefault="00F706BE" w:rsidP="00747851">
            <w:pPr>
              <w:rPr>
                <w:color w:val="000000"/>
                <w:lang w:val="lv-LV"/>
              </w:rPr>
            </w:pPr>
            <w:r w:rsidRPr="00521933">
              <w:rPr>
                <w:color w:val="000000"/>
                <w:lang w:val="lv-LV"/>
              </w:rPr>
              <w:t>NHPS</w:t>
            </w:r>
            <w:r w:rsidRPr="00521933">
              <w:rPr>
                <w:iCs/>
                <w:lang w:val="lv-LV"/>
              </w:rPr>
              <w:t xml:space="preserve">&amp;P </w:t>
            </w:r>
            <w:r w:rsidRPr="00521933">
              <w:rPr>
                <w:lang w:val="lv-LV"/>
              </w:rPr>
              <w:softHyphen/>
            </w:r>
            <w:r w:rsidRPr="00521933">
              <w:rPr>
                <w:color w:val="000000"/>
                <w:lang w:val="lv-LV"/>
              </w:rPr>
              <w:t>–</w:t>
            </w:r>
            <w:r w:rsidRPr="00521933">
              <w:rPr>
                <w:iCs/>
                <w:lang w:val="lv-LV"/>
              </w:rPr>
              <w:t xml:space="preserve"> </w:t>
            </w:r>
            <w:proofErr w:type="spellStart"/>
            <w:r w:rsidRPr="00521933">
              <w:rPr>
                <w:iCs/>
                <w:lang w:val="lv-LV"/>
              </w:rPr>
              <w:t>National</w:t>
            </w:r>
            <w:proofErr w:type="spellEnd"/>
            <w:r w:rsidRPr="00521933">
              <w:rPr>
                <w:iCs/>
                <w:lang w:val="lv-LV"/>
              </w:rPr>
              <w:t xml:space="preserve"> </w:t>
            </w:r>
            <w:proofErr w:type="spellStart"/>
            <w:r w:rsidRPr="00521933">
              <w:rPr>
                <w:iCs/>
                <w:lang w:val="lv-LV"/>
              </w:rPr>
              <w:t>health</w:t>
            </w:r>
            <w:proofErr w:type="spellEnd"/>
            <w:r w:rsidRPr="00521933">
              <w:rPr>
                <w:iCs/>
                <w:lang w:val="lv-LV"/>
              </w:rPr>
              <w:t xml:space="preserve"> </w:t>
            </w:r>
            <w:proofErr w:type="spellStart"/>
            <w:r w:rsidRPr="00521933">
              <w:rPr>
                <w:iCs/>
                <w:lang w:val="lv-LV"/>
              </w:rPr>
              <w:t>policies</w:t>
            </w:r>
            <w:proofErr w:type="spellEnd"/>
            <w:r w:rsidRPr="00521933">
              <w:rPr>
                <w:iCs/>
                <w:lang w:val="lv-LV"/>
              </w:rPr>
              <w:t xml:space="preserve">, </w:t>
            </w:r>
            <w:proofErr w:type="spellStart"/>
            <w:r w:rsidRPr="00521933">
              <w:rPr>
                <w:iCs/>
                <w:lang w:val="lv-LV"/>
              </w:rPr>
              <w:t>strategies</w:t>
            </w:r>
            <w:proofErr w:type="spellEnd"/>
            <w:r w:rsidRPr="00521933">
              <w:rPr>
                <w:iCs/>
                <w:lang w:val="lv-LV"/>
              </w:rPr>
              <w:t xml:space="preserve"> </w:t>
            </w:r>
            <w:proofErr w:type="spellStart"/>
            <w:r w:rsidRPr="00521933">
              <w:rPr>
                <w:iCs/>
                <w:lang w:val="lv-LV"/>
              </w:rPr>
              <w:t>and</w:t>
            </w:r>
            <w:proofErr w:type="spellEnd"/>
            <w:r w:rsidRPr="00521933">
              <w:rPr>
                <w:iCs/>
                <w:lang w:val="lv-LV"/>
              </w:rPr>
              <w:t xml:space="preserve"> </w:t>
            </w:r>
            <w:proofErr w:type="spellStart"/>
            <w:r w:rsidRPr="00521933">
              <w:rPr>
                <w:iCs/>
                <w:lang w:val="lv-LV"/>
              </w:rPr>
              <w:t>plans-</w:t>
            </w:r>
            <w:proofErr w:type="spellEnd"/>
            <w:r w:rsidRPr="00521933">
              <w:rPr>
                <w:iCs/>
                <w:lang w:val="lv-LV"/>
              </w:rPr>
              <w:t xml:space="preserve"> Nacionālās veselības politikas, stratēģijas un plāni. </w:t>
            </w:r>
          </w:p>
        </w:tc>
      </w:tr>
      <w:tr w:rsidR="00F706BE" w:rsidRPr="00521933" w:rsidTr="00747851">
        <w:trPr>
          <w:trHeight w:val="365"/>
        </w:trPr>
        <w:tc>
          <w:tcPr>
            <w:tcW w:w="8174" w:type="dxa"/>
            <w:tcBorders>
              <w:top w:val="nil"/>
              <w:left w:val="nil"/>
              <w:bottom w:val="nil"/>
              <w:right w:val="nil"/>
            </w:tcBorders>
            <w:noWrap/>
            <w:vAlign w:val="bottom"/>
          </w:tcPr>
          <w:p w:rsidR="00F706BE" w:rsidRPr="00521933" w:rsidRDefault="00F706BE" w:rsidP="00747851">
            <w:pPr>
              <w:rPr>
                <w:color w:val="000000"/>
                <w:lang w:val="lv-LV"/>
              </w:rPr>
            </w:pPr>
            <w:r w:rsidRPr="00521933">
              <w:rPr>
                <w:color w:val="000000"/>
                <w:lang w:val="lv-LV"/>
              </w:rPr>
              <w:t xml:space="preserve">WHO </w:t>
            </w:r>
            <w:r w:rsidRPr="00521933">
              <w:rPr>
                <w:lang w:val="lv-LV"/>
              </w:rPr>
              <w:t xml:space="preserve">FCTC </w:t>
            </w:r>
            <w:r w:rsidRPr="00521933">
              <w:rPr>
                <w:lang w:val="lv-LV"/>
              </w:rPr>
              <w:softHyphen/>
            </w:r>
            <w:r w:rsidRPr="00521933">
              <w:rPr>
                <w:color w:val="000000"/>
                <w:lang w:val="lv-LV"/>
              </w:rPr>
              <w:t>–</w:t>
            </w:r>
            <w:r w:rsidRPr="00521933">
              <w:rPr>
                <w:lang w:val="lv-LV"/>
              </w:rPr>
              <w:t xml:space="preserve"> WHO </w:t>
            </w:r>
            <w:proofErr w:type="spellStart"/>
            <w:r w:rsidRPr="00521933">
              <w:rPr>
                <w:lang w:val="lv-LV"/>
              </w:rPr>
              <w:t>Framework</w:t>
            </w:r>
            <w:proofErr w:type="spellEnd"/>
            <w:r w:rsidRPr="00521933">
              <w:rPr>
                <w:lang w:val="lv-LV"/>
              </w:rPr>
              <w:t xml:space="preserve"> </w:t>
            </w:r>
            <w:proofErr w:type="spellStart"/>
            <w:r w:rsidRPr="00521933">
              <w:rPr>
                <w:lang w:val="lv-LV"/>
              </w:rPr>
              <w:t>Convention</w:t>
            </w:r>
            <w:proofErr w:type="spellEnd"/>
            <w:r w:rsidRPr="00521933">
              <w:rPr>
                <w:lang w:val="lv-LV"/>
              </w:rPr>
              <w:t xml:space="preserve"> </w:t>
            </w:r>
            <w:proofErr w:type="spellStart"/>
            <w:r w:rsidRPr="00521933">
              <w:rPr>
                <w:lang w:val="lv-LV"/>
              </w:rPr>
              <w:t>on</w:t>
            </w:r>
            <w:proofErr w:type="spellEnd"/>
            <w:r w:rsidRPr="00521933">
              <w:rPr>
                <w:lang w:val="lv-LV"/>
              </w:rPr>
              <w:t xml:space="preserve"> </w:t>
            </w:r>
            <w:proofErr w:type="spellStart"/>
            <w:r w:rsidRPr="00521933">
              <w:rPr>
                <w:lang w:val="lv-LV"/>
              </w:rPr>
              <w:t>tobacco</w:t>
            </w:r>
            <w:proofErr w:type="spellEnd"/>
            <w:r w:rsidRPr="00521933">
              <w:rPr>
                <w:lang w:val="lv-LV"/>
              </w:rPr>
              <w:t xml:space="preserve"> </w:t>
            </w:r>
            <w:proofErr w:type="spellStart"/>
            <w:r w:rsidRPr="00521933">
              <w:rPr>
                <w:lang w:val="lv-LV"/>
              </w:rPr>
              <w:t>control-</w:t>
            </w:r>
            <w:proofErr w:type="spellEnd"/>
            <w:r w:rsidRPr="00521933">
              <w:rPr>
                <w:lang w:val="lv-LV"/>
              </w:rPr>
              <w:t xml:space="preserve"> PVO Tabakas kontroles pamatkonvencija</w:t>
            </w:r>
          </w:p>
        </w:tc>
      </w:tr>
      <w:tr w:rsidR="00F706BE" w:rsidRPr="00521933" w:rsidTr="00747851">
        <w:trPr>
          <w:trHeight w:val="365"/>
        </w:trPr>
        <w:tc>
          <w:tcPr>
            <w:tcW w:w="8174" w:type="dxa"/>
            <w:tcBorders>
              <w:top w:val="nil"/>
              <w:left w:val="nil"/>
              <w:bottom w:val="nil"/>
              <w:right w:val="nil"/>
            </w:tcBorders>
            <w:noWrap/>
            <w:vAlign w:val="bottom"/>
          </w:tcPr>
          <w:p w:rsidR="00F706BE" w:rsidRPr="00521933" w:rsidRDefault="00F706BE" w:rsidP="00747851">
            <w:pPr>
              <w:rPr>
                <w:color w:val="000000"/>
                <w:lang w:val="lv-LV"/>
              </w:rPr>
            </w:pPr>
            <w:r w:rsidRPr="00521933">
              <w:rPr>
                <w:lang w:val="lv-LV"/>
              </w:rPr>
              <w:t xml:space="preserve">MPOWER </w:t>
            </w:r>
            <w:r w:rsidRPr="00521933">
              <w:rPr>
                <w:lang w:val="lv-LV"/>
              </w:rPr>
              <w:softHyphen/>
              <w:t xml:space="preserve"> </w:t>
            </w:r>
            <w:r w:rsidRPr="00521933">
              <w:rPr>
                <w:color w:val="000000"/>
                <w:lang w:val="lv-LV"/>
              </w:rPr>
              <w:t xml:space="preserve">– </w:t>
            </w:r>
            <w:r w:rsidRPr="00521933">
              <w:rPr>
                <w:lang w:val="lv-LV"/>
              </w:rPr>
              <w:t xml:space="preserve">A </w:t>
            </w:r>
            <w:proofErr w:type="spellStart"/>
            <w:r w:rsidRPr="00521933">
              <w:rPr>
                <w:lang w:val="lv-LV"/>
              </w:rPr>
              <w:t>Policy</w:t>
            </w:r>
            <w:proofErr w:type="spellEnd"/>
            <w:r w:rsidRPr="00521933">
              <w:rPr>
                <w:lang w:val="lv-LV"/>
              </w:rPr>
              <w:t xml:space="preserve"> </w:t>
            </w:r>
            <w:proofErr w:type="spellStart"/>
            <w:r w:rsidRPr="00521933">
              <w:rPr>
                <w:lang w:val="lv-LV"/>
              </w:rPr>
              <w:t>package</w:t>
            </w:r>
            <w:proofErr w:type="spellEnd"/>
            <w:r w:rsidRPr="00521933">
              <w:rPr>
                <w:lang w:val="lv-LV"/>
              </w:rPr>
              <w:t xml:space="preserve"> to </w:t>
            </w:r>
            <w:proofErr w:type="spellStart"/>
            <w:r w:rsidRPr="00521933">
              <w:rPr>
                <w:lang w:val="lv-LV"/>
              </w:rPr>
              <w:t>reverse</w:t>
            </w:r>
            <w:proofErr w:type="spellEnd"/>
            <w:r w:rsidRPr="00521933">
              <w:rPr>
                <w:lang w:val="lv-LV"/>
              </w:rPr>
              <w:t xml:space="preserve"> </w:t>
            </w:r>
            <w:proofErr w:type="spellStart"/>
            <w:r w:rsidRPr="00521933">
              <w:rPr>
                <w:lang w:val="lv-LV"/>
              </w:rPr>
              <w:t>the</w:t>
            </w:r>
            <w:proofErr w:type="spellEnd"/>
            <w:r w:rsidRPr="00521933">
              <w:rPr>
                <w:lang w:val="lv-LV"/>
              </w:rPr>
              <w:t xml:space="preserve"> </w:t>
            </w:r>
            <w:proofErr w:type="spellStart"/>
            <w:r w:rsidRPr="00521933">
              <w:rPr>
                <w:lang w:val="lv-LV"/>
              </w:rPr>
              <w:t>tobacco</w:t>
            </w:r>
            <w:proofErr w:type="spellEnd"/>
            <w:r w:rsidRPr="00521933">
              <w:rPr>
                <w:lang w:val="lv-LV"/>
              </w:rPr>
              <w:t xml:space="preserve"> </w:t>
            </w:r>
            <w:proofErr w:type="spellStart"/>
            <w:r w:rsidRPr="00521933">
              <w:rPr>
                <w:lang w:val="lv-LV"/>
              </w:rPr>
              <w:t>epidemic</w:t>
            </w:r>
            <w:proofErr w:type="spellEnd"/>
            <w:r w:rsidRPr="00521933">
              <w:rPr>
                <w:lang w:val="lv-LV"/>
              </w:rPr>
              <w:t xml:space="preserve"> (</w:t>
            </w:r>
            <w:proofErr w:type="spellStart"/>
            <w:r w:rsidRPr="00521933">
              <w:rPr>
                <w:lang w:val="lv-LV"/>
              </w:rPr>
              <w:t>Monitor</w:t>
            </w:r>
            <w:proofErr w:type="spellEnd"/>
            <w:r w:rsidRPr="00521933">
              <w:rPr>
                <w:lang w:val="lv-LV"/>
              </w:rPr>
              <w:t xml:space="preserve">, </w:t>
            </w:r>
            <w:proofErr w:type="spellStart"/>
            <w:r w:rsidRPr="00521933">
              <w:rPr>
                <w:lang w:val="lv-LV"/>
              </w:rPr>
              <w:t>Protect</w:t>
            </w:r>
            <w:proofErr w:type="spellEnd"/>
            <w:r w:rsidRPr="00521933">
              <w:rPr>
                <w:lang w:val="lv-LV"/>
              </w:rPr>
              <w:t xml:space="preserve">, </w:t>
            </w:r>
            <w:proofErr w:type="spellStart"/>
            <w:r w:rsidRPr="00521933">
              <w:rPr>
                <w:lang w:val="lv-LV"/>
              </w:rPr>
              <w:t>Offer</w:t>
            </w:r>
            <w:proofErr w:type="spellEnd"/>
            <w:r w:rsidRPr="00521933">
              <w:rPr>
                <w:lang w:val="lv-LV"/>
              </w:rPr>
              <w:t xml:space="preserve">, </w:t>
            </w:r>
            <w:proofErr w:type="spellStart"/>
            <w:r w:rsidRPr="00521933">
              <w:rPr>
                <w:lang w:val="lv-LV"/>
              </w:rPr>
              <w:t>Warn</w:t>
            </w:r>
            <w:proofErr w:type="spellEnd"/>
            <w:r w:rsidRPr="00521933">
              <w:rPr>
                <w:lang w:val="lv-LV"/>
              </w:rPr>
              <w:t xml:space="preserve">, </w:t>
            </w:r>
            <w:proofErr w:type="spellStart"/>
            <w:r w:rsidRPr="00521933">
              <w:rPr>
                <w:lang w:val="lv-LV"/>
              </w:rPr>
              <w:t>Enforce</w:t>
            </w:r>
            <w:proofErr w:type="spellEnd"/>
            <w:r w:rsidRPr="00521933">
              <w:rPr>
                <w:lang w:val="lv-LV"/>
              </w:rPr>
              <w:t xml:space="preserve">, </w:t>
            </w:r>
            <w:proofErr w:type="spellStart"/>
            <w:r w:rsidRPr="00521933">
              <w:rPr>
                <w:lang w:val="lv-LV"/>
              </w:rPr>
              <w:t>Raise</w:t>
            </w:r>
            <w:proofErr w:type="spellEnd"/>
            <w:r w:rsidRPr="00521933">
              <w:rPr>
                <w:lang w:val="lv-LV"/>
              </w:rPr>
              <w:t>) – Politiku apkopojums tabakas epidēmijas apturēšanai (novērot, aizsargāt, piedāvāt, brīdināt, celt)</w:t>
            </w:r>
          </w:p>
        </w:tc>
      </w:tr>
      <w:tr w:rsidR="00F706BE" w:rsidRPr="00521933" w:rsidTr="00747851">
        <w:trPr>
          <w:trHeight w:val="365"/>
        </w:trPr>
        <w:tc>
          <w:tcPr>
            <w:tcW w:w="8174" w:type="dxa"/>
            <w:tcBorders>
              <w:top w:val="nil"/>
              <w:left w:val="nil"/>
              <w:bottom w:val="nil"/>
              <w:right w:val="nil"/>
            </w:tcBorders>
            <w:noWrap/>
            <w:vAlign w:val="bottom"/>
          </w:tcPr>
          <w:p w:rsidR="00F706BE" w:rsidRPr="00521933" w:rsidRDefault="00F706BE" w:rsidP="00747851">
            <w:pPr>
              <w:rPr>
                <w:lang w:val="lv-LV"/>
              </w:rPr>
            </w:pPr>
            <w:r w:rsidRPr="00521933">
              <w:rPr>
                <w:color w:val="000000"/>
                <w:lang w:val="lv-LV"/>
              </w:rPr>
              <w:t xml:space="preserve">NCD </w:t>
            </w:r>
            <w:r w:rsidRPr="00521933">
              <w:rPr>
                <w:lang w:val="lv-LV"/>
              </w:rPr>
              <w:softHyphen/>
            </w:r>
            <w:r w:rsidRPr="00521933">
              <w:rPr>
                <w:color w:val="000000"/>
                <w:lang w:val="lv-LV"/>
              </w:rPr>
              <w:t>–</w:t>
            </w:r>
            <w:r w:rsidRPr="00521933">
              <w:rPr>
                <w:lang w:val="lv-LV"/>
              </w:rPr>
              <w:t xml:space="preserve"> </w:t>
            </w:r>
            <w:proofErr w:type="spellStart"/>
            <w:r w:rsidRPr="00521933">
              <w:rPr>
                <w:lang w:val="lv-LV"/>
              </w:rPr>
              <w:t>Non-communicable</w:t>
            </w:r>
            <w:proofErr w:type="spellEnd"/>
            <w:r w:rsidRPr="00521933">
              <w:rPr>
                <w:lang w:val="lv-LV"/>
              </w:rPr>
              <w:t xml:space="preserve"> </w:t>
            </w:r>
            <w:proofErr w:type="spellStart"/>
            <w:r w:rsidRPr="00521933">
              <w:rPr>
                <w:lang w:val="lv-LV"/>
              </w:rPr>
              <w:t>diseases-</w:t>
            </w:r>
            <w:proofErr w:type="spellEnd"/>
            <w:r w:rsidRPr="00521933">
              <w:rPr>
                <w:lang w:val="lv-LV"/>
              </w:rPr>
              <w:t xml:space="preserve"> Neinfekciozās slimības</w:t>
            </w:r>
          </w:p>
        </w:tc>
      </w:tr>
      <w:tr w:rsidR="00F706BE" w:rsidRPr="00521933" w:rsidTr="00747851">
        <w:trPr>
          <w:trHeight w:val="365"/>
        </w:trPr>
        <w:tc>
          <w:tcPr>
            <w:tcW w:w="8174" w:type="dxa"/>
            <w:tcBorders>
              <w:top w:val="nil"/>
              <w:left w:val="nil"/>
              <w:bottom w:val="nil"/>
              <w:right w:val="nil"/>
            </w:tcBorders>
            <w:noWrap/>
            <w:vAlign w:val="bottom"/>
          </w:tcPr>
          <w:p w:rsidR="00F706BE" w:rsidRPr="00521933" w:rsidRDefault="00F706BE" w:rsidP="00747851">
            <w:pPr>
              <w:rPr>
                <w:color w:val="000000"/>
                <w:lang w:val="lv-LV"/>
              </w:rPr>
            </w:pPr>
            <w:r w:rsidRPr="00521933">
              <w:rPr>
                <w:lang w:val="lv-LV"/>
              </w:rPr>
              <w:t xml:space="preserve">IHR </w:t>
            </w:r>
            <w:r w:rsidRPr="00521933">
              <w:rPr>
                <w:lang w:val="lv-LV"/>
              </w:rPr>
              <w:softHyphen/>
            </w:r>
            <w:r w:rsidRPr="00521933">
              <w:rPr>
                <w:color w:val="000000"/>
                <w:lang w:val="lv-LV"/>
              </w:rPr>
              <w:t>–</w:t>
            </w:r>
            <w:r w:rsidRPr="00521933">
              <w:rPr>
                <w:lang w:val="lv-LV"/>
              </w:rPr>
              <w:t xml:space="preserve"> </w:t>
            </w:r>
            <w:proofErr w:type="spellStart"/>
            <w:r w:rsidRPr="00521933">
              <w:rPr>
                <w:lang w:val="lv-LV"/>
              </w:rPr>
              <w:t>International</w:t>
            </w:r>
            <w:proofErr w:type="spellEnd"/>
            <w:r w:rsidRPr="00521933">
              <w:rPr>
                <w:lang w:val="lv-LV"/>
              </w:rPr>
              <w:t xml:space="preserve"> </w:t>
            </w:r>
            <w:proofErr w:type="spellStart"/>
            <w:r w:rsidRPr="00521933">
              <w:rPr>
                <w:lang w:val="lv-LV"/>
              </w:rPr>
              <w:t>Health</w:t>
            </w:r>
            <w:proofErr w:type="spellEnd"/>
            <w:r w:rsidRPr="00521933">
              <w:rPr>
                <w:lang w:val="lv-LV"/>
              </w:rPr>
              <w:t xml:space="preserve"> </w:t>
            </w:r>
            <w:proofErr w:type="spellStart"/>
            <w:r w:rsidRPr="00521933">
              <w:rPr>
                <w:lang w:val="lv-LV"/>
              </w:rPr>
              <w:t>regulations</w:t>
            </w:r>
            <w:proofErr w:type="spellEnd"/>
            <w:r w:rsidRPr="00521933">
              <w:rPr>
                <w:lang w:val="lv-LV"/>
              </w:rPr>
              <w:t xml:space="preserve"> – Starptautiskie veselības noteikumi</w:t>
            </w:r>
          </w:p>
        </w:tc>
      </w:tr>
      <w:tr w:rsidR="00F706BE" w:rsidRPr="00521933" w:rsidTr="00747851">
        <w:trPr>
          <w:trHeight w:val="365"/>
        </w:trPr>
        <w:tc>
          <w:tcPr>
            <w:tcW w:w="8174" w:type="dxa"/>
            <w:tcBorders>
              <w:top w:val="nil"/>
              <w:left w:val="nil"/>
              <w:bottom w:val="nil"/>
              <w:right w:val="nil"/>
            </w:tcBorders>
            <w:noWrap/>
            <w:vAlign w:val="bottom"/>
          </w:tcPr>
          <w:p w:rsidR="00F706BE" w:rsidRPr="00521933" w:rsidRDefault="00F706BE" w:rsidP="00747851">
            <w:pPr>
              <w:rPr>
                <w:lang w:val="lv-LV"/>
              </w:rPr>
            </w:pPr>
            <w:proofErr w:type="spellStart"/>
            <w:r w:rsidRPr="00521933">
              <w:rPr>
                <w:lang w:val="lv-LV"/>
              </w:rPr>
              <w:t>NFPs</w:t>
            </w:r>
            <w:proofErr w:type="spellEnd"/>
            <w:r w:rsidRPr="00521933">
              <w:rPr>
                <w:lang w:val="lv-LV"/>
              </w:rPr>
              <w:t xml:space="preserve"> </w:t>
            </w:r>
            <w:r w:rsidRPr="00521933">
              <w:rPr>
                <w:lang w:val="lv-LV"/>
              </w:rPr>
              <w:softHyphen/>
            </w:r>
            <w:r w:rsidRPr="00521933">
              <w:rPr>
                <w:color w:val="000000"/>
                <w:lang w:val="lv-LV"/>
              </w:rPr>
              <w:t>–</w:t>
            </w:r>
            <w:r w:rsidRPr="00521933">
              <w:rPr>
                <w:lang w:val="lv-LV"/>
              </w:rPr>
              <w:t xml:space="preserve"> </w:t>
            </w:r>
            <w:proofErr w:type="spellStart"/>
            <w:r w:rsidRPr="00521933">
              <w:rPr>
                <w:lang w:val="lv-LV"/>
              </w:rPr>
              <w:t>National</w:t>
            </w:r>
            <w:proofErr w:type="spellEnd"/>
            <w:r w:rsidRPr="00521933">
              <w:rPr>
                <w:lang w:val="lv-LV"/>
              </w:rPr>
              <w:t xml:space="preserve"> </w:t>
            </w:r>
            <w:proofErr w:type="spellStart"/>
            <w:r w:rsidRPr="00521933">
              <w:rPr>
                <w:lang w:val="lv-LV"/>
              </w:rPr>
              <w:t>focal</w:t>
            </w:r>
            <w:proofErr w:type="spellEnd"/>
            <w:r w:rsidRPr="00521933">
              <w:rPr>
                <w:lang w:val="lv-LV"/>
              </w:rPr>
              <w:t xml:space="preserve"> </w:t>
            </w:r>
            <w:proofErr w:type="spellStart"/>
            <w:r w:rsidRPr="00521933">
              <w:rPr>
                <w:lang w:val="lv-LV"/>
              </w:rPr>
              <w:t>points-</w:t>
            </w:r>
            <w:proofErr w:type="spellEnd"/>
            <w:r w:rsidRPr="00521933">
              <w:rPr>
                <w:lang w:val="lv-LV"/>
              </w:rPr>
              <w:t xml:space="preserve"> Nacionālie sadarbības koordinatori</w:t>
            </w:r>
          </w:p>
        </w:tc>
      </w:tr>
      <w:tr w:rsidR="00F706BE" w:rsidRPr="00521933" w:rsidTr="00747851">
        <w:trPr>
          <w:trHeight w:val="365"/>
        </w:trPr>
        <w:tc>
          <w:tcPr>
            <w:tcW w:w="8174" w:type="dxa"/>
            <w:tcBorders>
              <w:top w:val="nil"/>
              <w:left w:val="nil"/>
              <w:bottom w:val="nil"/>
              <w:right w:val="nil"/>
            </w:tcBorders>
            <w:noWrap/>
            <w:vAlign w:val="bottom"/>
          </w:tcPr>
          <w:p w:rsidR="00F706BE" w:rsidRPr="00521933" w:rsidRDefault="00F706BE" w:rsidP="00747851">
            <w:pPr>
              <w:rPr>
                <w:lang w:val="lv-LV"/>
              </w:rPr>
            </w:pPr>
            <w:r w:rsidRPr="00521933">
              <w:rPr>
                <w:color w:val="000000"/>
                <w:lang w:val="lv-LV"/>
              </w:rPr>
              <w:t xml:space="preserve">M/XDR-TB </w:t>
            </w:r>
            <w:r w:rsidRPr="00521933">
              <w:rPr>
                <w:lang w:val="lv-LV"/>
              </w:rPr>
              <w:softHyphen/>
            </w:r>
            <w:r w:rsidRPr="00521933">
              <w:rPr>
                <w:color w:val="000000"/>
                <w:lang w:val="lv-LV"/>
              </w:rPr>
              <w:t>–</w:t>
            </w:r>
            <w:r w:rsidRPr="00521933">
              <w:rPr>
                <w:lang w:val="lv-LV"/>
              </w:rPr>
              <w:t xml:space="preserve"> </w:t>
            </w:r>
            <w:proofErr w:type="spellStart"/>
            <w:r w:rsidRPr="00521933">
              <w:rPr>
                <w:lang w:val="lv-LV"/>
              </w:rPr>
              <w:t>Multidrug</w:t>
            </w:r>
            <w:proofErr w:type="spellEnd"/>
            <w:r w:rsidRPr="00521933">
              <w:rPr>
                <w:lang w:val="lv-LV"/>
              </w:rPr>
              <w:t xml:space="preserve"> </w:t>
            </w:r>
            <w:proofErr w:type="spellStart"/>
            <w:r w:rsidRPr="00521933">
              <w:rPr>
                <w:lang w:val="lv-LV"/>
              </w:rPr>
              <w:t>and</w:t>
            </w:r>
            <w:proofErr w:type="spellEnd"/>
            <w:r w:rsidRPr="00521933">
              <w:rPr>
                <w:lang w:val="lv-LV"/>
              </w:rPr>
              <w:t xml:space="preserve"> </w:t>
            </w:r>
            <w:proofErr w:type="spellStart"/>
            <w:r w:rsidRPr="00521933">
              <w:rPr>
                <w:lang w:val="lv-LV"/>
              </w:rPr>
              <w:t>extensively</w:t>
            </w:r>
            <w:proofErr w:type="spellEnd"/>
            <w:r w:rsidRPr="00521933">
              <w:rPr>
                <w:lang w:val="lv-LV"/>
              </w:rPr>
              <w:t xml:space="preserve"> </w:t>
            </w:r>
            <w:proofErr w:type="spellStart"/>
            <w:r w:rsidRPr="00521933">
              <w:rPr>
                <w:lang w:val="lv-LV"/>
              </w:rPr>
              <w:t>drug</w:t>
            </w:r>
            <w:proofErr w:type="spellEnd"/>
            <w:r w:rsidRPr="00521933">
              <w:rPr>
                <w:lang w:val="lv-LV"/>
              </w:rPr>
              <w:t xml:space="preserve"> </w:t>
            </w:r>
            <w:proofErr w:type="spellStart"/>
            <w:r w:rsidRPr="00521933">
              <w:rPr>
                <w:lang w:val="lv-LV"/>
              </w:rPr>
              <w:t>resistant</w:t>
            </w:r>
            <w:proofErr w:type="spellEnd"/>
            <w:r w:rsidRPr="00521933">
              <w:rPr>
                <w:lang w:val="lv-LV"/>
              </w:rPr>
              <w:t xml:space="preserve"> TB- </w:t>
            </w:r>
            <w:proofErr w:type="spellStart"/>
            <w:r w:rsidRPr="00521933">
              <w:rPr>
                <w:lang w:val="lv-LV"/>
              </w:rPr>
              <w:t>Multi</w:t>
            </w:r>
            <w:proofErr w:type="spellEnd"/>
            <w:r w:rsidRPr="00521933">
              <w:rPr>
                <w:lang w:val="lv-LV"/>
              </w:rPr>
              <w:t xml:space="preserve"> medikamentu un īpaši </w:t>
            </w:r>
            <w:proofErr w:type="spellStart"/>
            <w:r w:rsidRPr="00521933">
              <w:rPr>
                <w:lang w:val="lv-LV"/>
              </w:rPr>
              <w:t>rezistentā</w:t>
            </w:r>
            <w:proofErr w:type="spellEnd"/>
            <w:r w:rsidRPr="00521933">
              <w:rPr>
                <w:lang w:val="lv-LV"/>
              </w:rPr>
              <w:t xml:space="preserve"> tuberkuloze</w:t>
            </w:r>
          </w:p>
        </w:tc>
      </w:tr>
      <w:tr w:rsidR="00F706BE" w:rsidRPr="00521933" w:rsidTr="00747851">
        <w:trPr>
          <w:trHeight w:val="365"/>
        </w:trPr>
        <w:tc>
          <w:tcPr>
            <w:tcW w:w="8174" w:type="dxa"/>
            <w:tcBorders>
              <w:top w:val="nil"/>
              <w:left w:val="nil"/>
              <w:bottom w:val="nil"/>
              <w:right w:val="nil"/>
            </w:tcBorders>
            <w:noWrap/>
            <w:vAlign w:val="bottom"/>
          </w:tcPr>
          <w:p w:rsidR="00F706BE" w:rsidRPr="00521933" w:rsidRDefault="00F706BE" w:rsidP="00747851">
            <w:pPr>
              <w:rPr>
                <w:color w:val="000000"/>
                <w:lang w:val="lv-LV"/>
              </w:rPr>
            </w:pPr>
            <w:proofErr w:type="spellStart"/>
            <w:r w:rsidRPr="00521933">
              <w:rPr>
                <w:bCs/>
                <w:color w:val="000000"/>
                <w:lang w:val="lv-LV"/>
              </w:rPr>
              <w:t>CBOs</w:t>
            </w:r>
            <w:proofErr w:type="spellEnd"/>
            <w:r w:rsidRPr="00521933">
              <w:rPr>
                <w:bCs/>
                <w:color w:val="000000"/>
                <w:lang w:val="lv-LV"/>
              </w:rPr>
              <w:t xml:space="preserve"> </w:t>
            </w:r>
            <w:r w:rsidRPr="00521933">
              <w:rPr>
                <w:lang w:val="lv-LV"/>
              </w:rPr>
              <w:softHyphen/>
            </w:r>
            <w:r w:rsidRPr="00521933">
              <w:rPr>
                <w:color w:val="000000"/>
                <w:lang w:val="lv-LV"/>
              </w:rPr>
              <w:t>–</w:t>
            </w:r>
            <w:r w:rsidRPr="00521933">
              <w:rPr>
                <w:lang w:val="lv-LV"/>
              </w:rPr>
              <w:t xml:space="preserve"> </w:t>
            </w:r>
            <w:proofErr w:type="spellStart"/>
            <w:r w:rsidRPr="00521933">
              <w:rPr>
                <w:lang w:val="lv-LV"/>
              </w:rPr>
              <w:t>Community</w:t>
            </w:r>
            <w:proofErr w:type="spellEnd"/>
            <w:r w:rsidRPr="00521933">
              <w:rPr>
                <w:lang w:val="lv-LV"/>
              </w:rPr>
              <w:t xml:space="preserve"> </w:t>
            </w:r>
            <w:proofErr w:type="spellStart"/>
            <w:r w:rsidRPr="00521933">
              <w:rPr>
                <w:lang w:val="lv-LV"/>
              </w:rPr>
              <w:t>based</w:t>
            </w:r>
            <w:proofErr w:type="spellEnd"/>
            <w:r w:rsidRPr="00521933">
              <w:rPr>
                <w:lang w:val="lv-LV"/>
              </w:rPr>
              <w:t xml:space="preserve"> </w:t>
            </w:r>
            <w:proofErr w:type="spellStart"/>
            <w:r w:rsidRPr="00521933">
              <w:rPr>
                <w:lang w:val="lv-LV"/>
              </w:rPr>
              <w:t>organisations-</w:t>
            </w:r>
            <w:proofErr w:type="spellEnd"/>
            <w:r w:rsidRPr="00521933">
              <w:rPr>
                <w:lang w:val="lv-LV"/>
              </w:rPr>
              <w:t xml:space="preserve"> Sabiedrības organizācijas</w:t>
            </w:r>
          </w:p>
        </w:tc>
      </w:tr>
      <w:tr w:rsidR="00F706BE" w:rsidRPr="00521933" w:rsidTr="00747851">
        <w:trPr>
          <w:trHeight w:val="365"/>
        </w:trPr>
        <w:tc>
          <w:tcPr>
            <w:tcW w:w="8174" w:type="dxa"/>
            <w:tcBorders>
              <w:top w:val="nil"/>
              <w:left w:val="nil"/>
              <w:bottom w:val="nil"/>
              <w:right w:val="nil"/>
            </w:tcBorders>
            <w:noWrap/>
            <w:vAlign w:val="bottom"/>
          </w:tcPr>
          <w:p w:rsidR="00F706BE" w:rsidRPr="00521933" w:rsidRDefault="00F706BE" w:rsidP="00747851">
            <w:pPr>
              <w:rPr>
                <w:color w:val="000000"/>
                <w:lang w:val="lv-LV"/>
              </w:rPr>
            </w:pPr>
            <w:proofErr w:type="spellStart"/>
            <w:r w:rsidRPr="00521933">
              <w:rPr>
                <w:color w:val="000000"/>
                <w:lang w:val="lv-LV"/>
              </w:rPr>
              <w:t>HiT</w:t>
            </w:r>
            <w:proofErr w:type="spellEnd"/>
            <w:r w:rsidRPr="00521933">
              <w:rPr>
                <w:color w:val="000000"/>
                <w:lang w:val="lv-LV"/>
              </w:rPr>
              <w:t xml:space="preserve"> </w:t>
            </w:r>
            <w:r w:rsidRPr="00521933">
              <w:rPr>
                <w:lang w:val="lv-LV"/>
              </w:rPr>
              <w:softHyphen/>
            </w:r>
            <w:r w:rsidRPr="00521933">
              <w:rPr>
                <w:color w:val="000000"/>
                <w:lang w:val="lv-LV"/>
              </w:rPr>
              <w:t>–</w:t>
            </w:r>
            <w:r w:rsidRPr="00521933">
              <w:rPr>
                <w:lang w:val="lv-LV"/>
              </w:rPr>
              <w:t xml:space="preserve"> </w:t>
            </w:r>
            <w:proofErr w:type="spellStart"/>
            <w:r w:rsidRPr="00521933">
              <w:rPr>
                <w:lang w:val="lv-LV"/>
              </w:rPr>
              <w:t>Health</w:t>
            </w:r>
            <w:proofErr w:type="spellEnd"/>
            <w:r w:rsidRPr="00521933">
              <w:rPr>
                <w:lang w:val="lv-LV"/>
              </w:rPr>
              <w:t xml:space="preserve"> </w:t>
            </w:r>
            <w:proofErr w:type="spellStart"/>
            <w:r w:rsidRPr="00521933">
              <w:rPr>
                <w:lang w:val="lv-LV"/>
              </w:rPr>
              <w:t>in</w:t>
            </w:r>
            <w:proofErr w:type="spellEnd"/>
            <w:r w:rsidRPr="00521933">
              <w:rPr>
                <w:lang w:val="lv-LV"/>
              </w:rPr>
              <w:t xml:space="preserve"> </w:t>
            </w:r>
            <w:proofErr w:type="spellStart"/>
            <w:r w:rsidRPr="00521933">
              <w:rPr>
                <w:lang w:val="lv-LV"/>
              </w:rPr>
              <w:t>transition</w:t>
            </w:r>
            <w:proofErr w:type="spellEnd"/>
            <w:r w:rsidRPr="00521933">
              <w:rPr>
                <w:lang w:val="lv-LV"/>
              </w:rPr>
              <w:t xml:space="preserve"> – Veselības aprūpe pārejas laikā. </w:t>
            </w:r>
          </w:p>
        </w:tc>
      </w:tr>
      <w:tr w:rsidR="00747851" w:rsidRPr="00521933" w:rsidTr="00747851">
        <w:trPr>
          <w:trHeight w:val="365"/>
        </w:trPr>
        <w:tc>
          <w:tcPr>
            <w:tcW w:w="8174" w:type="dxa"/>
            <w:tcBorders>
              <w:top w:val="nil"/>
              <w:left w:val="nil"/>
              <w:bottom w:val="nil"/>
              <w:right w:val="nil"/>
            </w:tcBorders>
            <w:noWrap/>
            <w:vAlign w:val="bottom"/>
          </w:tcPr>
          <w:p w:rsidR="00747851" w:rsidRPr="00521933" w:rsidRDefault="00B23FA1" w:rsidP="00747851">
            <w:pPr>
              <w:rPr>
                <w:color w:val="000000"/>
                <w:lang w:val="lv-LV"/>
              </w:rPr>
            </w:pPr>
            <w:r>
              <w:rPr>
                <w:color w:val="000000"/>
                <w:lang w:val="lv-LV"/>
              </w:rPr>
              <w:t xml:space="preserve">HIA – </w:t>
            </w:r>
            <w:proofErr w:type="spellStart"/>
            <w:r>
              <w:rPr>
                <w:color w:val="000000"/>
                <w:lang w:val="lv-LV"/>
              </w:rPr>
              <w:t>Health</w:t>
            </w:r>
            <w:proofErr w:type="spellEnd"/>
            <w:r>
              <w:rPr>
                <w:color w:val="000000"/>
                <w:lang w:val="lv-LV"/>
              </w:rPr>
              <w:t xml:space="preserve"> </w:t>
            </w:r>
            <w:proofErr w:type="spellStart"/>
            <w:r>
              <w:rPr>
                <w:color w:val="000000"/>
                <w:lang w:val="lv-LV"/>
              </w:rPr>
              <w:t>impact</w:t>
            </w:r>
            <w:proofErr w:type="spellEnd"/>
            <w:r w:rsidR="00747851" w:rsidRPr="00521933">
              <w:rPr>
                <w:color w:val="000000"/>
                <w:lang w:val="lv-LV"/>
              </w:rPr>
              <w:t xml:space="preserve"> </w:t>
            </w:r>
            <w:proofErr w:type="spellStart"/>
            <w:r w:rsidR="00747851" w:rsidRPr="00521933">
              <w:rPr>
                <w:color w:val="000000"/>
                <w:lang w:val="lv-LV"/>
              </w:rPr>
              <w:t>assesment</w:t>
            </w:r>
            <w:proofErr w:type="spellEnd"/>
            <w:r w:rsidR="00747851" w:rsidRPr="00521933">
              <w:rPr>
                <w:color w:val="000000"/>
                <w:lang w:val="lv-LV"/>
              </w:rPr>
              <w:t xml:space="preserve"> – Ietekmes uz veselību izvērtēšana</w:t>
            </w:r>
          </w:p>
        </w:tc>
      </w:tr>
    </w:tbl>
    <w:p w:rsidR="00F706BE" w:rsidRDefault="00F706BE" w:rsidP="00F706BE">
      <w:pPr>
        <w:rPr>
          <w:lang w:val="lv-LV" w:eastAsia="en-GB"/>
        </w:rPr>
      </w:pPr>
    </w:p>
    <w:p w:rsidR="005828A1" w:rsidRDefault="005828A1" w:rsidP="00F706BE">
      <w:pPr>
        <w:rPr>
          <w:lang w:val="lv-LV" w:eastAsia="en-GB"/>
        </w:rPr>
      </w:pPr>
    </w:p>
    <w:p w:rsidR="005828A1" w:rsidRDefault="005828A1" w:rsidP="00F706BE">
      <w:pPr>
        <w:rPr>
          <w:lang w:val="lv-LV" w:eastAsia="en-GB"/>
        </w:rPr>
      </w:pPr>
    </w:p>
    <w:p w:rsidR="005828A1" w:rsidRDefault="005828A1" w:rsidP="00F706BE">
      <w:pPr>
        <w:rPr>
          <w:lang w:val="lv-LV" w:eastAsia="en-GB"/>
        </w:rPr>
      </w:pPr>
      <w:r>
        <w:rPr>
          <w:lang w:val="lv-LV" w:eastAsia="en-GB"/>
        </w:rPr>
        <w:t>Veselības ministre</w:t>
      </w:r>
      <w:r>
        <w:rPr>
          <w:lang w:val="lv-LV" w:eastAsia="en-GB"/>
        </w:rPr>
        <w:tab/>
      </w:r>
      <w:r>
        <w:rPr>
          <w:lang w:val="lv-LV" w:eastAsia="en-GB"/>
        </w:rPr>
        <w:tab/>
      </w:r>
      <w:r>
        <w:rPr>
          <w:lang w:val="lv-LV" w:eastAsia="en-GB"/>
        </w:rPr>
        <w:tab/>
      </w:r>
      <w:r>
        <w:rPr>
          <w:lang w:val="lv-LV" w:eastAsia="en-GB"/>
        </w:rPr>
        <w:tab/>
      </w:r>
      <w:r>
        <w:rPr>
          <w:lang w:val="lv-LV" w:eastAsia="en-GB"/>
        </w:rPr>
        <w:tab/>
      </w:r>
      <w:r>
        <w:rPr>
          <w:lang w:val="lv-LV" w:eastAsia="en-GB"/>
        </w:rPr>
        <w:tab/>
      </w:r>
      <w:r>
        <w:rPr>
          <w:lang w:val="lv-LV" w:eastAsia="en-GB"/>
        </w:rPr>
        <w:tab/>
      </w:r>
      <w:r>
        <w:rPr>
          <w:lang w:val="lv-LV" w:eastAsia="en-GB"/>
        </w:rPr>
        <w:tab/>
      </w:r>
      <w:proofErr w:type="spellStart"/>
      <w:r>
        <w:rPr>
          <w:lang w:val="lv-LV" w:eastAsia="en-GB"/>
        </w:rPr>
        <w:t>I.Circene</w:t>
      </w:r>
      <w:proofErr w:type="spellEnd"/>
    </w:p>
    <w:p w:rsidR="005828A1" w:rsidRDefault="005828A1" w:rsidP="00F706BE">
      <w:pPr>
        <w:rPr>
          <w:lang w:val="lv-LV" w:eastAsia="en-GB"/>
        </w:rPr>
      </w:pPr>
    </w:p>
    <w:p w:rsidR="005828A1" w:rsidRDefault="005828A1" w:rsidP="00F706BE">
      <w:pPr>
        <w:rPr>
          <w:lang w:val="lv-LV" w:eastAsia="en-GB"/>
        </w:rPr>
      </w:pPr>
    </w:p>
    <w:p w:rsidR="005828A1" w:rsidRDefault="005828A1" w:rsidP="00F706BE">
      <w:pPr>
        <w:rPr>
          <w:lang w:val="lv-LV" w:eastAsia="en-GB"/>
        </w:rPr>
      </w:pPr>
    </w:p>
    <w:p w:rsidR="005828A1" w:rsidRDefault="005828A1" w:rsidP="00F706BE">
      <w:pPr>
        <w:rPr>
          <w:lang w:val="lv-LV" w:eastAsia="en-GB"/>
        </w:rPr>
      </w:pPr>
    </w:p>
    <w:p w:rsidR="005828A1" w:rsidRDefault="005828A1" w:rsidP="00F706BE">
      <w:pPr>
        <w:rPr>
          <w:lang w:val="lv-LV" w:eastAsia="en-GB"/>
        </w:rPr>
      </w:pPr>
    </w:p>
    <w:p w:rsidR="005828A1" w:rsidRDefault="005828A1" w:rsidP="00F706BE">
      <w:pPr>
        <w:rPr>
          <w:lang w:val="lv-LV" w:eastAsia="en-GB"/>
        </w:rPr>
      </w:pPr>
    </w:p>
    <w:p w:rsidR="005828A1" w:rsidRDefault="005828A1" w:rsidP="00F706BE">
      <w:pPr>
        <w:rPr>
          <w:lang w:val="lv-LV" w:eastAsia="en-GB"/>
        </w:rPr>
      </w:pPr>
    </w:p>
    <w:p w:rsidR="005828A1" w:rsidRPr="00521933" w:rsidRDefault="005828A1" w:rsidP="00F706BE">
      <w:pPr>
        <w:rPr>
          <w:lang w:val="lv-LV" w:eastAsia="en-GB"/>
        </w:rPr>
      </w:pPr>
    </w:p>
    <w:p w:rsidR="005C0207" w:rsidRPr="00521933" w:rsidRDefault="005828A1" w:rsidP="005C0207">
      <w:pPr>
        <w:rPr>
          <w:sz w:val="20"/>
          <w:szCs w:val="20"/>
        </w:rPr>
      </w:pPr>
      <w:r>
        <w:rPr>
          <w:sz w:val="20"/>
          <w:szCs w:val="20"/>
        </w:rPr>
        <w:t>04</w:t>
      </w:r>
      <w:r w:rsidR="00E6210C">
        <w:rPr>
          <w:sz w:val="20"/>
          <w:szCs w:val="20"/>
        </w:rPr>
        <w:t>.01.2012</w:t>
      </w:r>
      <w:r w:rsidR="00DA2DD3">
        <w:rPr>
          <w:sz w:val="20"/>
          <w:szCs w:val="20"/>
        </w:rPr>
        <w:t xml:space="preserve"> </w:t>
      </w:r>
      <w:r w:rsidR="00DA2DD3">
        <w:rPr>
          <w:sz w:val="20"/>
          <w:szCs w:val="20"/>
        </w:rPr>
        <w:tab/>
      </w:r>
      <w:r w:rsidR="00335B42">
        <w:rPr>
          <w:sz w:val="20"/>
          <w:szCs w:val="20"/>
        </w:rPr>
        <w:t>15:17</w:t>
      </w:r>
    </w:p>
    <w:p w:rsidR="005C0207" w:rsidRPr="00521933" w:rsidRDefault="00335B42" w:rsidP="005C0207">
      <w:pPr>
        <w:rPr>
          <w:sz w:val="20"/>
          <w:szCs w:val="20"/>
        </w:rPr>
      </w:pPr>
      <w:r>
        <w:rPr>
          <w:sz w:val="20"/>
          <w:szCs w:val="20"/>
        </w:rPr>
        <w:t>4 053</w:t>
      </w:r>
    </w:p>
    <w:p w:rsidR="005C0207" w:rsidRPr="00521933" w:rsidRDefault="0023359B" w:rsidP="005C0207">
      <w:pPr>
        <w:rPr>
          <w:sz w:val="20"/>
          <w:szCs w:val="20"/>
        </w:rPr>
      </w:pPr>
      <w:r>
        <w:rPr>
          <w:sz w:val="20"/>
          <w:szCs w:val="20"/>
        </w:rPr>
        <w:t>L.Pauliņš</w:t>
      </w:r>
    </w:p>
    <w:p w:rsidR="001E07B3" w:rsidRPr="00521933" w:rsidRDefault="005C0207">
      <w:pPr>
        <w:rPr>
          <w:sz w:val="20"/>
          <w:szCs w:val="20"/>
        </w:rPr>
      </w:pPr>
      <w:r w:rsidRPr="00521933">
        <w:rPr>
          <w:sz w:val="20"/>
          <w:szCs w:val="20"/>
        </w:rPr>
        <w:t xml:space="preserve">67876025, </w:t>
      </w:r>
      <w:r w:rsidR="0023359B">
        <w:rPr>
          <w:sz w:val="20"/>
          <w:szCs w:val="20"/>
        </w:rPr>
        <w:t>ludis.paulins</w:t>
      </w:r>
      <w:r w:rsidRPr="00521933">
        <w:rPr>
          <w:sz w:val="20"/>
          <w:szCs w:val="20"/>
        </w:rPr>
        <w:t>@vm.gov.lv</w:t>
      </w:r>
    </w:p>
    <w:sectPr w:rsidR="001E07B3" w:rsidRPr="00521933" w:rsidSect="00521933">
      <w:footerReference w:type="default" r:id="rId8"/>
      <w:footerReference w:type="first" r:id="rId9"/>
      <w:pgSz w:w="11907" w:h="16840" w:code="9"/>
      <w:pgMar w:top="1134" w:right="1134" w:bottom="720" w:left="1418"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343" w:rsidRDefault="00772343" w:rsidP="00F706BE">
      <w:r>
        <w:separator/>
      </w:r>
    </w:p>
  </w:endnote>
  <w:endnote w:type="continuationSeparator" w:id="0">
    <w:p w:rsidR="00772343" w:rsidRDefault="00772343" w:rsidP="00F70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AFF" w:usb1="C000605B" w:usb2="00000029" w:usb3="00000000" w:csb0="000101FF" w:csb1="00000000"/>
  </w:font>
  <w:font w:name="Times">
    <w:panose1 w:val="02020603050405020304"/>
    <w:charset w:val="BA"/>
    <w:family w:val="roman"/>
    <w:pitch w:val="variable"/>
    <w:sig w:usb0="E0002AEF" w:usb1="C0007841" w:usb2="00000009" w:usb3="00000000" w:csb0="000001FF"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43" w:rsidRPr="00B57BEE" w:rsidRDefault="00772343" w:rsidP="00B57BEE">
    <w:pPr>
      <w:tabs>
        <w:tab w:val="left" w:pos="567"/>
      </w:tabs>
      <w:ind w:right="-1"/>
      <w:jc w:val="both"/>
      <w:rPr>
        <w:sz w:val="20"/>
        <w:szCs w:val="20"/>
        <w:lang w:val="lv-LV"/>
      </w:rPr>
    </w:pPr>
    <w:r>
      <w:rPr>
        <w:sz w:val="20"/>
        <w:szCs w:val="20"/>
      </w:rPr>
      <w:t>VMSl_</w:t>
    </w:r>
    <w:r w:rsidR="005828A1">
      <w:rPr>
        <w:sz w:val="20"/>
        <w:szCs w:val="20"/>
      </w:rPr>
      <w:t>04</w:t>
    </w:r>
    <w:r w:rsidR="00E6210C">
      <w:rPr>
        <w:sz w:val="20"/>
        <w:szCs w:val="20"/>
      </w:rPr>
      <w:t>0112</w:t>
    </w:r>
    <w:r w:rsidRPr="0043161A">
      <w:rPr>
        <w:sz w:val="20"/>
        <w:szCs w:val="20"/>
      </w:rPr>
      <w:t xml:space="preserve">_LV; </w:t>
    </w:r>
    <w:r w:rsidRPr="00B57BEE">
      <w:rPr>
        <w:sz w:val="20"/>
        <w:szCs w:val="20"/>
      </w:rPr>
      <w:t>Latvijas Republikas Veselības ministrijas un Pasaules Veselības organizācijas Eiropas Reģionālā b</w:t>
    </w:r>
    <w:r>
      <w:rPr>
        <w:sz w:val="20"/>
        <w:szCs w:val="20"/>
      </w:rPr>
      <w:t>iroja divgades sadarbības līgums</w:t>
    </w:r>
    <w:r w:rsidRPr="00B57BEE">
      <w:rPr>
        <w:sz w:val="20"/>
        <w:szCs w:val="20"/>
      </w:rPr>
      <w:t xml:space="preserve"> 2012.–2013.gadam</w:t>
    </w:r>
  </w:p>
  <w:p w:rsidR="00772343" w:rsidRDefault="00853AB4">
    <w:pPr>
      <w:pStyle w:val="Footer"/>
      <w:jc w:val="right"/>
    </w:pPr>
    <w:fldSimple w:instr=" PAGE   \* MERGEFORMAT ">
      <w:r w:rsidR="00335B42">
        <w:rPr>
          <w:noProof/>
        </w:rPr>
        <w:t>19</w:t>
      </w:r>
    </w:fldSimple>
  </w:p>
  <w:p w:rsidR="00772343" w:rsidRPr="0043161A" w:rsidRDefault="00772343" w:rsidP="0043161A">
    <w:pPr>
      <w:pStyle w:val="Footer"/>
      <w:ind w:right="360"/>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43" w:rsidRPr="00B57BEE" w:rsidRDefault="00772343" w:rsidP="00B57BEE">
    <w:pPr>
      <w:tabs>
        <w:tab w:val="left" w:pos="567"/>
      </w:tabs>
      <w:ind w:right="-1"/>
      <w:jc w:val="both"/>
      <w:rPr>
        <w:sz w:val="20"/>
        <w:szCs w:val="20"/>
        <w:lang w:val="lv-LV"/>
      </w:rPr>
    </w:pPr>
    <w:r>
      <w:rPr>
        <w:sz w:val="20"/>
        <w:szCs w:val="20"/>
      </w:rPr>
      <w:t>VMSl_</w:t>
    </w:r>
    <w:r w:rsidR="005828A1">
      <w:rPr>
        <w:sz w:val="20"/>
        <w:szCs w:val="20"/>
      </w:rPr>
      <w:t>04</w:t>
    </w:r>
    <w:r w:rsidR="00E6210C">
      <w:rPr>
        <w:sz w:val="20"/>
        <w:szCs w:val="20"/>
      </w:rPr>
      <w:t>0112</w:t>
    </w:r>
    <w:r w:rsidRPr="0043161A">
      <w:rPr>
        <w:sz w:val="20"/>
        <w:szCs w:val="20"/>
      </w:rPr>
      <w:t xml:space="preserve">_LV; </w:t>
    </w:r>
    <w:r w:rsidRPr="00B57BEE">
      <w:rPr>
        <w:sz w:val="20"/>
        <w:szCs w:val="20"/>
      </w:rPr>
      <w:t>Latvijas Republikas Veselības ministrijas un Pasaules Veselības organizācijas Eiropas Reģionālā b</w:t>
    </w:r>
    <w:r>
      <w:rPr>
        <w:sz w:val="20"/>
        <w:szCs w:val="20"/>
      </w:rPr>
      <w:t>iroja divgades sadarbības līgums</w:t>
    </w:r>
    <w:r w:rsidRPr="00B57BEE">
      <w:rPr>
        <w:sz w:val="20"/>
        <w:szCs w:val="20"/>
      </w:rPr>
      <w:t xml:space="preserve"> 2012.–2013.gadam</w:t>
    </w:r>
  </w:p>
  <w:p w:rsidR="00772343" w:rsidRPr="00B57BEE" w:rsidRDefault="00772343" w:rsidP="00B57BEE">
    <w:pPr>
      <w:tabs>
        <w:tab w:val="left" w:pos="567"/>
      </w:tabs>
      <w:ind w:right="-1"/>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343" w:rsidRDefault="00772343" w:rsidP="00F706BE">
      <w:r>
        <w:separator/>
      </w:r>
    </w:p>
  </w:footnote>
  <w:footnote w:type="continuationSeparator" w:id="0">
    <w:p w:rsidR="00772343" w:rsidRDefault="00772343" w:rsidP="00F706BE">
      <w:r>
        <w:continuationSeparator/>
      </w:r>
    </w:p>
  </w:footnote>
  <w:footnote w:id="1">
    <w:p w:rsidR="00772343" w:rsidRDefault="00772343" w:rsidP="00F706BE">
      <w:pPr>
        <w:pStyle w:val="FootnoteText"/>
      </w:pPr>
      <w:r>
        <w:rPr>
          <w:rStyle w:val="FootnoteReference"/>
        </w:rPr>
        <w:footnoteRef/>
      </w:r>
      <w:r>
        <w:t xml:space="preserve"> CVCA (Core Voluntary Contributions Account) = Official Development Assistance (ODA) funds provided flexibly and globally to WHO by donors for funding activities in support of ODA-eligible countries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6DD"/>
    <w:multiLevelType w:val="hybridMultilevel"/>
    <w:tmpl w:val="ACB663AC"/>
    <w:lvl w:ilvl="0" w:tplc="F8102CAA">
      <w:start w:val="1"/>
      <w:numFmt w:val="lowerLetter"/>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7714CD"/>
    <w:multiLevelType w:val="hybridMultilevel"/>
    <w:tmpl w:val="3620FBE0"/>
    <w:lvl w:ilvl="0" w:tplc="0809001B">
      <w:start w:val="1"/>
      <w:numFmt w:val="lowerLetter"/>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694F9E"/>
    <w:multiLevelType w:val="hybridMultilevel"/>
    <w:tmpl w:val="61708A96"/>
    <w:lvl w:ilvl="0" w:tplc="F8102CAA">
      <w:start w:val="1"/>
      <w:numFmt w:val="lowerLetter"/>
      <w:lvlText w:val="%1."/>
      <w:lvlJc w:val="right"/>
      <w:pPr>
        <w:tabs>
          <w:tab w:val="num" w:pos="180"/>
        </w:tabs>
        <w:ind w:left="180" w:hanging="180"/>
      </w:pPr>
      <w:rPr>
        <w:rFonts w:cs="Times New Roman" w:hint="default"/>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3">
    <w:nsid w:val="17A1215D"/>
    <w:multiLevelType w:val="hybridMultilevel"/>
    <w:tmpl w:val="5542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91AF3"/>
    <w:multiLevelType w:val="multilevel"/>
    <w:tmpl w:val="0648595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
    <w:nsid w:val="19FE6714"/>
    <w:multiLevelType w:val="hybridMultilevel"/>
    <w:tmpl w:val="90767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2939B9"/>
    <w:multiLevelType w:val="hybridMultilevel"/>
    <w:tmpl w:val="72221F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567473"/>
    <w:multiLevelType w:val="hybridMultilevel"/>
    <w:tmpl w:val="64021212"/>
    <w:lvl w:ilvl="0" w:tplc="3C18D20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391D01"/>
    <w:multiLevelType w:val="hybridMultilevel"/>
    <w:tmpl w:val="D28E2DB6"/>
    <w:lvl w:ilvl="0" w:tplc="0D20F0FC">
      <w:start w:val="1"/>
      <w:numFmt w:val="bullet"/>
      <w:lvlText w:val="•"/>
      <w:lvlJc w:val="left"/>
      <w:pPr>
        <w:tabs>
          <w:tab w:val="num" w:pos="720"/>
        </w:tabs>
        <w:ind w:left="720" w:hanging="360"/>
      </w:pPr>
      <w:rPr>
        <w:rFonts w:ascii="Times New Roman" w:hAnsi="Times New Roman" w:hint="default"/>
      </w:rPr>
    </w:lvl>
    <w:lvl w:ilvl="1" w:tplc="96909526" w:tentative="1">
      <w:start w:val="1"/>
      <w:numFmt w:val="bullet"/>
      <w:lvlText w:val="•"/>
      <w:lvlJc w:val="left"/>
      <w:pPr>
        <w:tabs>
          <w:tab w:val="num" w:pos="1440"/>
        </w:tabs>
        <w:ind w:left="1440" w:hanging="360"/>
      </w:pPr>
      <w:rPr>
        <w:rFonts w:ascii="Times New Roman" w:hAnsi="Times New Roman" w:hint="default"/>
      </w:rPr>
    </w:lvl>
    <w:lvl w:ilvl="2" w:tplc="4538FA76" w:tentative="1">
      <w:start w:val="1"/>
      <w:numFmt w:val="bullet"/>
      <w:lvlText w:val="•"/>
      <w:lvlJc w:val="left"/>
      <w:pPr>
        <w:tabs>
          <w:tab w:val="num" w:pos="2160"/>
        </w:tabs>
        <w:ind w:left="2160" w:hanging="360"/>
      </w:pPr>
      <w:rPr>
        <w:rFonts w:ascii="Times New Roman" w:hAnsi="Times New Roman" w:hint="default"/>
      </w:rPr>
    </w:lvl>
    <w:lvl w:ilvl="3" w:tplc="18E4614C" w:tentative="1">
      <w:start w:val="1"/>
      <w:numFmt w:val="bullet"/>
      <w:lvlText w:val="•"/>
      <w:lvlJc w:val="left"/>
      <w:pPr>
        <w:tabs>
          <w:tab w:val="num" w:pos="2880"/>
        </w:tabs>
        <w:ind w:left="2880" w:hanging="360"/>
      </w:pPr>
      <w:rPr>
        <w:rFonts w:ascii="Times New Roman" w:hAnsi="Times New Roman" w:hint="default"/>
      </w:rPr>
    </w:lvl>
    <w:lvl w:ilvl="4" w:tplc="356CD36A" w:tentative="1">
      <w:start w:val="1"/>
      <w:numFmt w:val="bullet"/>
      <w:lvlText w:val="•"/>
      <w:lvlJc w:val="left"/>
      <w:pPr>
        <w:tabs>
          <w:tab w:val="num" w:pos="3600"/>
        </w:tabs>
        <w:ind w:left="3600" w:hanging="360"/>
      </w:pPr>
      <w:rPr>
        <w:rFonts w:ascii="Times New Roman" w:hAnsi="Times New Roman" w:hint="default"/>
      </w:rPr>
    </w:lvl>
    <w:lvl w:ilvl="5" w:tplc="0AFCCF5E" w:tentative="1">
      <w:start w:val="1"/>
      <w:numFmt w:val="bullet"/>
      <w:lvlText w:val="•"/>
      <w:lvlJc w:val="left"/>
      <w:pPr>
        <w:tabs>
          <w:tab w:val="num" w:pos="4320"/>
        </w:tabs>
        <w:ind w:left="4320" w:hanging="360"/>
      </w:pPr>
      <w:rPr>
        <w:rFonts w:ascii="Times New Roman" w:hAnsi="Times New Roman" w:hint="default"/>
      </w:rPr>
    </w:lvl>
    <w:lvl w:ilvl="6" w:tplc="EC4CCE34" w:tentative="1">
      <w:start w:val="1"/>
      <w:numFmt w:val="bullet"/>
      <w:lvlText w:val="•"/>
      <w:lvlJc w:val="left"/>
      <w:pPr>
        <w:tabs>
          <w:tab w:val="num" w:pos="5040"/>
        </w:tabs>
        <w:ind w:left="5040" w:hanging="360"/>
      </w:pPr>
      <w:rPr>
        <w:rFonts w:ascii="Times New Roman" w:hAnsi="Times New Roman" w:hint="default"/>
      </w:rPr>
    </w:lvl>
    <w:lvl w:ilvl="7" w:tplc="508EE248" w:tentative="1">
      <w:start w:val="1"/>
      <w:numFmt w:val="bullet"/>
      <w:lvlText w:val="•"/>
      <w:lvlJc w:val="left"/>
      <w:pPr>
        <w:tabs>
          <w:tab w:val="num" w:pos="5760"/>
        </w:tabs>
        <w:ind w:left="5760" w:hanging="360"/>
      </w:pPr>
      <w:rPr>
        <w:rFonts w:ascii="Times New Roman" w:hAnsi="Times New Roman" w:hint="default"/>
      </w:rPr>
    </w:lvl>
    <w:lvl w:ilvl="8" w:tplc="64E079F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AD7F54"/>
    <w:multiLevelType w:val="multilevel"/>
    <w:tmpl w:val="1018BAB8"/>
    <w:lvl w:ilvl="0">
      <w:start w:val="1"/>
      <w:numFmt w:val="lowerLetter"/>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7180FB2"/>
    <w:multiLevelType w:val="hybridMultilevel"/>
    <w:tmpl w:val="B16E75B8"/>
    <w:lvl w:ilvl="0" w:tplc="8E362C10">
      <w:start w:val="1"/>
      <w:numFmt w:val="lowerLetter"/>
      <w:lvlText w:val="%1."/>
      <w:lvlJc w:val="right"/>
      <w:pPr>
        <w:tabs>
          <w:tab w:val="num" w:pos="540"/>
        </w:tabs>
        <w:ind w:left="540" w:hanging="18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2BE10D68"/>
    <w:multiLevelType w:val="hybridMultilevel"/>
    <w:tmpl w:val="1FB4A1B2"/>
    <w:lvl w:ilvl="0" w:tplc="2E8AB94E">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7878D2"/>
    <w:multiLevelType w:val="hybridMultilevel"/>
    <w:tmpl w:val="BA341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B92B94"/>
    <w:multiLevelType w:val="hybridMultilevel"/>
    <w:tmpl w:val="F8880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0508C6"/>
    <w:multiLevelType w:val="hybridMultilevel"/>
    <w:tmpl w:val="36665F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55043D"/>
    <w:multiLevelType w:val="hybridMultilevel"/>
    <w:tmpl w:val="A9FA8D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3B97E94"/>
    <w:multiLevelType w:val="hybridMultilevel"/>
    <w:tmpl w:val="7326F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4E73C10"/>
    <w:multiLevelType w:val="multilevel"/>
    <w:tmpl w:val="15F6FE9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360816EC"/>
    <w:multiLevelType w:val="hybridMultilevel"/>
    <w:tmpl w:val="1018BAB8"/>
    <w:lvl w:ilvl="0" w:tplc="F8102CAA">
      <w:start w:val="1"/>
      <w:numFmt w:val="lowerLetter"/>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7A906EC"/>
    <w:multiLevelType w:val="hybridMultilevel"/>
    <w:tmpl w:val="5478E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970453"/>
    <w:multiLevelType w:val="hybridMultilevel"/>
    <w:tmpl w:val="5FE65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6527D2"/>
    <w:multiLevelType w:val="hybridMultilevel"/>
    <w:tmpl w:val="DA42A060"/>
    <w:lvl w:ilvl="0" w:tplc="F1889F5A">
      <w:numFmt w:val="none"/>
      <w:lvlText w:val=""/>
      <w:lvlJc w:val="left"/>
      <w:pPr>
        <w:tabs>
          <w:tab w:val="num" w:pos="360"/>
        </w:tabs>
      </w:pPr>
      <w:rPr>
        <w:rFonts w:cs="Times New Roman"/>
      </w:rPr>
    </w:lvl>
    <w:lvl w:ilvl="1" w:tplc="F2041140" w:tentative="1">
      <w:start w:val="1"/>
      <w:numFmt w:val="lowerLetter"/>
      <w:lvlText w:val="%2."/>
      <w:lvlJc w:val="left"/>
      <w:pPr>
        <w:ind w:left="1440" w:hanging="360"/>
      </w:pPr>
      <w:rPr>
        <w:rFonts w:cs="Times New Roman"/>
      </w:rPr>
    </w:lvl>
    <w:lvl w:ilvl="2" w:tplc="127C73B0" w:tentative="1">
      <w:start w:val="1"/>
      <w:numFmt w:val="lowerRoman"/>
      <w:lvlText w:val="%3."/>
      <w:lvlJc w:val="right"/>
      <w:pPr>
        <w:ind w:left="2160" w:hanging="180"/>
      </w:pPr>
      <w:rPr>
        <w:rFonts w:cs="Times New Roman"/>
      </w:rPr>
    </w:lvl>
    <w:lvl w:ilvl="3" w:tplc="9C6C7C72" w:tentative="1">
      <w:start w:val="1"/>
      <w:numFmt w:val="decimal"/>
      <w:lvlText w:val="%4."/>
      <w:lvlJc w:val="left"/>
      <w:pPr>
        <w:ind w:left="2880" w:hanging="360"/>
      </w:pPr>
      <w:rPr>
        <w:rFonts w:cs="Times New Roman"/>
      </w:rPr>
    </w:lvl>
    <w:lvl w:ilvl="4" w:tplc="C700FA9E" w:tentative="1">
      <w:start w:val="1"/>
      <w:numFmt w:val="lowerLetter"/>
      <w:lvlText w:val="%5."/>
      <w:lvlJc w:val="left"/>
      <w:pPr>
        <w:ind w:left="3600" w:hanging="360"/>
      </w:pPr>
      <w:rPr>
        <w:rFonts w:cs="Times New Roman"/>
      </w:rPr>
    </w:lvl>
    <w:lvl w:ilvl="5" w:tplc="4942DB20" w:tentative="1">
      <w:start w:val="1"/>
      <w:numFmt w:val="lowerRoman"/>
      <w:lvlText w:val="%6."/>
      <w:lvlJc w:val="right"/>
      <w:pPr>
        <w:ind w:left="4320" w:hanging="180"/>
      </w:pPr>
      <w:rPr>
        <w:rFonts w:cs="Times New Roman"/>
      </w:rPr>
    </w:lvl>
    <w:lvl w:ilvl="6" w:tplc="F19A5832" w:tentative="1">
      <w:start w:val="1"/>
      <w:numFmt w:val="decimal"/>
      <w:lvlText w:val="%7."/>
      <w:lvlJc w:val="left"/>
      <w:pPr>
        <w:ind w:left="5040" w:hanging="360"/>
      </w:pPr>
      <w:rPr>
        <w:rFonts w:cs="Times New Roman"/>
      </w:rPr>
    </w:lvl>
    <w:lvl w:ilvl="7" w:tplc="0B704DD8" w:tentative="1">
      <w:start w:val="1"/>
      <w:numFmt w:val="lowerLetter"/>
      <w:lvlText w:val="%8."/>
      <w:lvlJc w:val="left"/>
      <w:pPr>
        <w:ind w:left="5760" w:hanging="360"/>
      </w:pPr>
      <w:rPr>
        <w:rFonts w:cs="Times New Roman"/>
      </w:rPr>
    </w:lvl>
    <w:lvl w:ilvl="8" w:tplc="EC7606F0" w:tentative="1">
      <w:start w:val="1"/>
      <w:numFmt w:val="lowerRoman"/>
      <w:lvlText w:val="%9."/>
      <w:lvlJc w:val="right"/>
      <w:pPr>
        <w:ind w:left="6480" w:hanging="180"/>
      </w:pPr>
      <w:rPr>
        <w:rFonts w:cs="Times New Roman"/>
      </w:rPr>
    </w:lvl>
  </w:abstractNum>
  <w:abstractNum w:abstractNumId="22">
    <w:nsid w:val="3DF40262"/>
    <w:multiLevelType w:val="hybridMultilevel"/>
    <w:tmpl w:val="773E23D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1B27E9A"/>
    <w:multiLevelType w:val="hybridMultilevel"/>
    <w:tmpl w:val="EB246110"/>
    <w:lvl w:ilvl="0" w:tplc="06C04038">
      <w:start w:val="1"/>
      <w:numFmt w:val="decimal"/>
      <w:lvlText w:val="%1."/>
      <w:lvlJc w:val="left"/>
      <w:pPr>
        <w:tabs>
          <w:tab w:val="num" w:pos="720"/>
        </w:tabs>
        <w:ind w:left="720" w:hanging="360"/>
      </w:pPr>
      <w:rPr>
        <w:rFonts w:cs="Times New Roman" w:hint="default"/>
        <w:i/>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4">
    <w:nsid w:val="43EB3F76"/>
    <w:multiLevelType w:val="hybridMultilevel"/>
    <w:tmpl w:val="C2748FC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4472D9A"/>
    <w:multiLevelType w:val="multilevel"/>
    <w:tmpl w:val="56788B54"/>
    <w:lvl w:ilvl="0">
      <w:start w:val="1"/>
      <w:numFmt w:val="lowerLetter"/>
      <w:lvlText w:val="%1."/>
      <w:lvlJc w:val="right"/>
      <w:pPr>
        <w:tabs>
          <w:tab w:val="num" w:pos="180"/>
        </w:tabs>
        <w:ind w:left="180" w:hanging="18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4522720E"/>
    <w:multiLevelType w:val="hybridMultilevel"/>
    <w:tmpl w:val="4AD89D84"/>
    <w:lvl w:ilvl="0" w:tplc="A6F205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D7965E0"/>
    <w:multiLevelType w:val="hybridMultilevel"/>
    <w:tmpl w:val="264ED8CC"/>
    <w:lvl w:ilvl="0" w:tplc="CA9C66F4">
      <w:start w:val="1"/>
      <w:numFmt w:val="bullet"/>
      <w:lvlText w:val=""/>
      <w:lvlJc w:val="left"/>
      <w:pPr>
        <w:tabs>
          <w:tab w:val="num" w:pos="765"/>
        </w:tabs>
        <w:ind w:left="765" w:hanging="34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FF5415F"/>
    <w:multiLevelType w:val="hybridMultilevel"/>
    <w:tmpl w:val="667E6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400688"/>
    <w:multiLevelType w:val="hybridMultilevel"/>
    <w:tmpl w:val="66C86804"/>
    <w:lvl w:ilvl="0" w:tplc="0809001B">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30">
    <w:nsid w:val="5D95598C"/>
    <w:multiLevelType w:val="hybridMultilevel"/>
    <w:tmpl w:val="5636D0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DD62F96"/>
    <w:multiLevelType w:val="hybridMultilevel"/>
    <w:tmpl w:val="29AE7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966F3"/>
    <w:multiLevelType w:val="hybridMultilevel"/>
    <w:tmpl w:val="4AC4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FC48DC"/>
    <w:multiLevelType w:val="hybridMultilevel"/>
    <w:tmpl w:val="5B985D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4555929"/>
    <w:multiLevelType w:val="hybridMultilevel"/>
    <w:tmpl w:val="7130A64A"/>
    <w:lvl w:ilvl="0" w:tplc="71D2ED4A">
      <w:start w:val="1"/>
      <w:numFmt w:val="decimal"/>
      <w:lvlText w:val="%1."/>
      <w:lvlJc w:val="left"/>
      <w:pPr>
        <w:tabs>
          <w:tab w:val="num" w:pos="360"/>
        </w:tabs>
        <w:ind w:left="360" w:hanging="360"/>
      </w:pPr>
      <w:rPr>
        <w:rFonts w:cs="Times New Roman"/>
      </w:rPr>
    </w:lvl>
    <w:lvl w:ilvl="1" w:tplc="08090019">
      <w:start w:val="1"/>
      <w:numFmt w:val="bullet"/>
      <w:lvlText w:val=""/>
      <w:lvlJc w:val="left"/>
      <w:pPr>
        <w:tabs>
          <w:tab w:val="num" w:pos="1080"/>
        </w:tabs>
        <w:ind w:left="1080" w:hanging="360"/>
      </w:pPr>
      <w:rPr>
        <w:rFonts w:ascii="Wingdings" w:hAnsi="Wingdings" w:hint="default"/>
      </w:rPr>
    </w:lvl>
    <w:lvl w:ilvl="2" w:tplc="0809001B">
      <w:start w:val="1"/>
      <w:numFmt w:val="lowerLetter"/>
      <w:lvlText w:val="%3."/>
      <w:lvlJc w:val="left"/>
      <w:pPr>
        <w:tabs>
          <w:tab w:val="num" w:pos="1980"/>
        </w:tabs>
        <w:ind w:left="1980" w:hanging="36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5">
    <w:nsid w:val="66C013A4"/>
    <w:multiLevelType w:val="hybridMultilevel"/>
    <w:tmpl w:val="A290D96C"/>
    <w:lvl w:ilvl="0" w:tplc="0809000F">
      <w:start w:val="1"/>
      <w:numFmt w:val="decimal"/>
      <w:lvlText w:val="%1."/>
      <w:lvlJc w:val="left"/>
      <w:pPr>
        <w:tabs>
          <w:tab w:val="num" w:pos="360"/>
        </w:tabs>
        <w:ind w:left="360" w:hanging="360"/>
      </w:pPr>
      <w:rPr>
        <w:rFonts w:cs="Times New Roman" w:hint="default"/>
      </w:rPr>
    </w:lvl>
    <w:lvl w:ilvl="1" w:tplc="04090005" w:tentative="1">
      <w:start w:val="1"/>
      <w:numFmt w:val="lowerLetter"/>
      <w:lvlText w:val="%2."/>
      <w:lvlJc w:val="left"/>
      <w:pPr>
        <w:tabs>
          <w:tab w:val="num" w:pos="1440"/>
        </w:tabs>
        <w:ind w:left="1440" w:hanging="360"/>
      </w:pPr>
      <w:rPr>
        <w:rFonts w:cs="Times New Roman"/>
      </w:rPr>
    </w:lvl>
    <w:lvl w:ilvl="2" w:tplc="3A86B1EA"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76273CA"/>
    <w:multiLevelType w:val="hybridMultilevel"/>
    <w:tmpl w:val="AB16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4C7734"/>
    <w:multiLevelType w:val="hybridMultilevel"/>
    <w:tmpl w:val="26E6BA1A"/>
    <w:lvl w:ilvl="0" w:tplc="08026DBC">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A0213DA"/>
    <w:multiLevelType w:val="hybridMultilevel"/>
    <w:tmpl w:val="0D168A4A"/>
    <w:lvl w:ilvl="0" w:tplc="0809000F">
      <w:start w:val="1"/>
      <w:numFmt w:val="decimal"/>
      <w:lvlText w:val="%1."/>
      <w:lvlJc w:val="left"/>
      <w:pPr>
        <w:tabs>
          <w:tab w:val="num" w:pos="720"/>
        </w:tabs>
        <w:ind w:left="720" w:hanging="360"/>
      </w:pPr>
      <w:rPr>
        <w:rFonts w:cs="Times New Roman"/>
      </w:rPr>
    </w:lvl>
    <w:lvl w:ilvl="1" w:tplc="7AB0130C">
      <w:start w:val="1"/>
      <w:numFmt w:val="bullet"/>
      <w:lvlText w:val="-"/>
      <w:lvlJc w:val="left"/>
      <w:pPr>
        <w:tabs>
          <w:tab w:val="num" w:pos="1440"/>
        </w:tabs>
        <w:ind w:left="1440" w:hanging="360"/>
      </w:pPr>
      <w:rPr>
        <w:rFonts w:ascii="Times New Roman" w:eastAsia="Times New Roman" w:hAnsi="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6C665302"/>
    <w:multiLevelType w:val="hybridMultilevel"/>
    <w:tmpl w:val="9654C38E"/>
    <w:lvl w:ilvl="0" w:tplc="81447834">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D9B285B"/>
    <w:multiLevelType w:val="hybridMultilevel"/>
    <w:tmpl w:val="33A22E76"/>
    <w:lvl w:ilvl="0" w:tplc="8E362C10">
      <w:start w:val="1"/>
      <w:numFmt w:val="bullet"/>
      <w:lvlText w:val=""/>
      <w:lvlJc w:val="left"/>
      <w:pPr>
        <w:tabs>
          <w:tab w:val="num" w:pos="720"/>
        </w:tabs>
        <w:ind w:left="720" w:hanging="360"/>
      </w:pPr>
      <w:rPr>
        <w:rFonts w:ascii="Wingdings" w:hAnsi="Wingdings" w:hint="default"/>
      </w:rPr>
    </w:lvl>
    <w:lvl w:ilvl="1" w:tplc="04060019">
      <w:start w:val="1"/>
      <w:numFmt w:val="bullet"/>
      <w:lvlText w:val=""/>
      <w:lvlJc w:val="left"/>
      <w:pPr>
        <w:tabs>
          <w:tab w:val="num" w:pos="1440"/>
        </w:tabs>
        <w:ind w:left="1440" w:hanging="360"/>
      </w:pPr>
      <w:rPr>
        <w:rFonts w:ascii="Symbol" w:hAnsi="Symbol"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41">
    <w:nsid w:val="6F66756B"/>
    <w:multiLevelType w:val="multilevel"/>
    <w:tmpl w:val="A85A3090"/>
    <w:lvl w:ilvl="0">
      <w:start w:val="2"/>
      <w:numFmt w:val="decimal"/>
      <w:lvlText w:val="%1"/>
      <w:lvlJc w:val="left"/>
      <w:pPr>
        <w:ind w:left="405" w:hanging="40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nsid w:val="73316180"/>
    <w:multiLevelType w:val="hybridMultilevel"/>
    <w:tmpl w:val="56788B54"/>
    <w:lvl w:ilvl="0" w:tplc="F8102CAA">
      <w:start w:val="1"/>
      <w:numFmt w:val="lowerLetter"/>
      <w:lvlText w:val="%1."/>
      <w:lvlJc w:val="right"/>
      <w:pPr>
        <w:tabs>
          <w:tab w:val="num" w:pos="180"/>
        </w:tabs>
        <w:ind w:left="180" w:hanging="180"/>
      </w:pPr>
      <w:rPr>
        <w:rFonts w:cs="Times New Roman" w:hint="default"/>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43">
    <w:nsid w:val="78813DAB"/>
    <w:multiLevelType w:val="hybridMultilevel"/>
    <w:tmpl w:val="10249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6444F0"/>
    <w:multiLevelType w:val="multilevel"/>
    <w:tmpl w:val="7130A64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nsid w:val="7EB54A85"/>
    <w:multiLevelType w:val="hybridMultilevel"/>
    <w:tmpl w:val="C2A4B8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0"/>
  </w:num>
  <w:num w:numId="2">
    <w:abstractNumId w:val="34"/>
  </w:num>
  <w:num w:numId="3">
    <w:abstractNumId w:val="23"/>
  </w:num>
  <w:num w:numId="4">
    <w:abstractNumId w:val="35"/>
  </w:num>
  <w:num w:numId="5">
    <w:abstractNumId w:val="10"/>
  </w:num>
  <w:num w:numId="6">
    <w:abstractNumId w:val="42"/>
  </w:num>
  <w:num w:numId="7">
    <w:abstractNumId w:val="2"/>
  </w:num>
  <w:num w:numId="8">
    <w:abstractNumId w:val="1"/>
  </w:num>
  <w:num w:numId="9">
    <w:abstractNumId w:val="29"/>
  </w:num>
  <w:num w:numId="10">
    <w:abstractNumId w:val="6"/>
  </w:num>
  <w:num w:numId="11">
    <w:abstractNumId w:val="44"/>
  </w:num>
  <w:num w:numId="12">
    <w:abstractNumId w:val="39"/>
  </w:num>
  <w:num w:numId="13">
    <w:abstractNumId w:val="38"/>
  </w:num>
  <w:num w:numId="14">
    <w:abstractNumId w:val="27"/>
  </w:num>
  <w:num w:numId="15">
    <w:abstractNumId w:val="11"/>
  </w:num>
  <w:num w:numId="16">
    <w:abstractNumId w:val="17"/>
  </w:num>
  <w:num w:numId="17">
    <w:abstractNumId w:val="25"/>
  </w:num>
  <w:num w:numId="18">
    <w:abstractNumId w:val="18"/>
  </w:num>
  <w:num w:numId="19">
    <w:abstractNumId w:val="9"/>
  </w:num>
  <w:num w:numId="20">
    <w:abstractNumId w:val="0"/>
  </w:num>
  <w:num w:numId="21">
    <w:abstractNumId w:val="19"/>
  </w:num>
  <w:num w:numId="22">
    <w:abstractNumId w:val="28"/>
  </w:num>
  <w:num w:numId="23">
    <w:abstractNumId w:val="21"/>
  </w:num>
  <w:num w:numId="24">
    <w:abstractNumId w:val="43"/>
  </w:num>
  <w:num w:numId="25">
    <w:abstractNumId w:val="45"/>
  </w:num>
  <w:num w:numId="26">
    <w:abstractNumId w:val="4"/>
  </w:num>
  <w:num w:numId="27">
    <w:abstractNumId w:val="30"/>
  </w:num>
  <w:num w:numId="28">
    <w:abstractNumId w:val="26"/>
  </w:num>
  <w:num w:numId="29">
    <w:abstractNumId w:val="13"/>
  </w:num>
  <w:num w:numId="30">
    <w:abstractNumId w:val="16"/>
  </w:num>
  <w:num w:numId="31">
    <w:abstractNumId w:val="33"/>
  </w:num>
  <w:num w:numId="32">
    <w:abstractNumId w:val="41"/>
  </w:num>
  <w:num w:numId="33">
    <w:abstractNumId w:val="15"/>
  </w:num>
  <w:num w:numId="34">
    <w:abstractNumId w:val="8"/>
  </w:num>
  <w:num w:numId="35">
    <w:abstractNumId w:val="36"/>
  </w:num>
  <w:num w:numId="36">
    <w:abstractNumId w:val="5"/>
  </w:num>
  <w:num w:numId="37">
    <w:abstractNumId w:val="31"/>
  </w:num>
  <w:num w:numId="38">
    <w:abstractNumId w:val="12"/>
  </w:num>
  <w:num w:numId="39">
    <w:abstractNumId w:val="20"/>
  </w:num>
  <w:num w:numId="40">
    <w:abstractNumId w:val="32"/>
  </w:num>
  <w:num w:numId="41">
    <w:abstractNumId w:val="3"/>
  </w:num>
  <w:num w:numId="42">
    <w:abstractNumId w:val="24"/>
  </w:num>
  <w:num w:numId="43">
    <w:abstractNumId w:val="22"/>
  </w:num>
  <w:num w:numId="44">
    <w:abstractNumId w:val="14"/>
  </w:num>
  <w:num w:numId="45">
    <w:abstractNumId w:val="37"/>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F706BE"/>
    <w:rsid w:val="00010DF4"/>
    <w:rsid w:val="00015A3C"/>
    <w:rsid w:val="000D0EF5"/>
    <w:rsid w:val="000F4E66"/>
    <w:rsid w:val="001929E9"/>
    <w:rsid w:val="00195F4A"/>
    <w:rsid w:val="001A2DBF"/>
    <w:rsid w:val="001E07B3"/>
    <w:rsid w:val="0022439C"/>
    <w:rsid w:val="0023359B"/>
    <w:rsid w:val="002448CC"/>
    <w:rsid w:val="00266D2F"/>
    <w:rsid w:val="002B6CA8"/>
    <w:rsid w:val="00335B42"/>
    <w:rsid w:val="003424E5"/>
    <w:rsid w:val="00343C75"/>
    <w:rsid w:val="00382E7E"/>
    <w:rsid w:val="003930B2"/>
    <w:rsid w:val="003F1B38"/>
    <w:rsid w:val="003F4201"/>
    <w:rsid w:val="0043161A"/>
    <w:rsid w:val="004B4CF8"/>
    <w:rsid w:val="00521933"/>
    <w:rsid w:val="005828A1"/>
    <w:rsid w:val="005944AE"/>
    <w:rsid w:val="005C0207"/>
    <w:rsid w:val="006C0E91"/>
    <w:rsid w:val="006F2940"/>
    <w:rsid w:val="00744236"/>
    <w:rsid w:val="00747851"/>
    <w:rsid w:val="00772343"/>
    <w:rsid w:val="00853AB4"/>
    <w:rsid w:val="0086610D"/>
    <w:rsid w:val="008A3454"/>
    <w:rsid w:val="008A597A"/>
    <w:rsid w:val="00997A8F"/>
    <w:rsid w:val="009C2F82"/>
    <w:rsid w:val="00A66481"/>
    <w:rsid w:val="00A77C5A"/>
    <w:rsid w:val="00A81260"/>
    <w:rsid w:val="00A928D4"/>
    <w:rsid w:val="00AB02B6"/>
    <w:rsid w:val="00AB7615"/>
    <w:rsid w:val="00AD42E5"/>
    <w:rsid w:val="00B2340B"/>
    <w:rsid w:val="00B23FA1"/>
    <w:rsid w:val="00B57BEE"/>
    <w:rsid w:val="00B756B7"/>
    <w:rsid w:val="00BD6663"/>
    <w:rsid w:val="00BF4026"/>
    <w:rsid w:val="00C153CF"/>
    <w:rsid w:val="00C221DC"/>
    <w:rsid w:val="00C9521B"/>
    <w:rsid w:val="00CC33E8"/>
    <w:rsid w:val="00CF0DF0"/>
    <w:rsid w:val="00DA2DD3"/>
    <w:rsid w:val="00DD71D7"/>
    <w:rsid w:val="00E061BD"/>
    <w:rsid w:val="00E14A99"/>
    <w:rsid w:val="00E15EE9"/>
    <w:rsid w:val="00E6210C"/>
    <w:rsid w:val="00ED0322"/>
    <w:rsid w:val="00F02453"/>
    <w:rsid w:val="00F706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BE"/>
    <w:rPr>
      <w:rFonts w:ascii="Times New Roman" w:eastAsia="Times New Roman" w:hAnsi="Times New Roman"/>
      <w:sz w:val="24"/>
      <w:szCs w:val="24"/>
      <w:lang w:val="en-GB" w:eastAsia="es-ES"/>
    </w:rPr>
  </w:style>
  <w:style w:type="paragraph" w:styleId="Heading1">
    <w:name w:val="heading 1"/>
    <w:basedOn w:val="Normal"/>
    <w:next w:val="Normal"/>
    <w:link w:val="Heading1Char"/>
    <w:qFormat/>
    <w:rsid w:val="00F706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706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706BE"/>
    <w:pPr>
      <w:keepNext/>
      <w:spacing w:before="240" w:after="60"/>
      <w:outlineLvl w:val="2"/>
    </w:pPr>
    <w:rPr>
      <w:rFonts w:ascii="Arial" w:hAnsi="Arial" w:cs="Arial"/>
      <w:b/>
      <w:bCs/>
      <w:i/>
      <w:color w:val="008000"/>
      <w:szCs w:val="26"/>
    </w:rPr>
  </w:style>
  <w:style w:type="paragraph" w:styleId="Heading6">
    <w:name w:val="heading 6"/>
    <w:basedOn w:val="Normal"/>
    <w:next w:val="Normal"/>
    <w:link w:val="Heading6Char"/>
    <w:qFormat/>
    <w:rsid w:val="00F706BE"/>
    <w:pPr>
      <w:keepNext/>
      <w:outlineLvl w:val="5"/>
    </w:pPr>
    <w:rPr>
      <w:rFonts w:ascii="Arial" w:hAnsi="Arial" w:cs="Arial"/>
      <w:i/>
      <w:iCs/>
      <w:color w:val="000000"/>
      <w:u w:val="single"/>
      <w:lang w:eastAsia="en-US"/>
    </w:rPr>
  </w:style>
  <w:style w:type="paragraph" w:styleId="Heading7">
    <w:name w:val="heading 7"/>
    <w:basedOn w:val="Normal"/>
    <w:next w:val="Normal"/>
    <w:link w:val="Heading7Char"/>
    <w:qFormat/>
    <w:rsid w:val="00F706BE"/>
    <w:pPr>
      <w:keepNext/>
      <w:ind w:left="425"/>
      <w:outlineLvl w:val="6"/>
    </w:pPr>
    <w:rPr>
      <w:rFonts w:ascii="Arial" w:hAnsi="Arial" w:cs="Arial"/>
      <w:b/>
      <w:bCs/>
      <w:i/>
      <w:iCs/>
      <w:color w:val="000000"/>
      <w:sz w:val="20"/>
      <w:lang w:eastAsia="en-US"/>
    </w:rPr>
  </w:style>
  <w:style w:type="paragraph" w:styleId="Heading9">
    <w:name w:val="heading 9"/>
    <w:basedOn w:val="Normal"/>
    <w:next w:val="Normal"/>
    <w:link w:val="Heading9Char"/>
    <w:qFormat/>
    <w:rsid w:val="00F706BE"/>
    <w:pPr>
      <w:keepNext/>
      <w:ind w:left="360"/>
      <w:jc w:val="center"/>
      <w:outlineLvl w:val="8"/>
    </w:pPr>
    <w:rPr>
      <w:rFonts w:ascii="Arial" w:hAnsi="Arial"/>
      <w:b/>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6BE"/>
    <w:rPr>
      <w:rFonts w:ascii="Arial" w:eastAsia="Times New Roman" w:hAnsi="Arial" w:cs="Arial"/>
      <w:b/>
      <w:bCs/>
      <w:kern w:val="32"/>
      <w:sz w:val="32"/>
      <w:szCs w:val="32"/>
      <w:lang w:val="en-GB" w:eastAsia="es-ES"/>
    </w:rPr>
  </w:style>
  <w:style w:type="character" w:customStyle="1" w:styleId="Heading2Char">
    <w:name w:val="Heading 2 Char"/>
    <w:basedOn w:val="DefaultParagraphFont"/>
    <w:link w:val="Heading2"/>
    <w:rsid w:val="00F706BE"/>
    <w:rPr>
      <w:rFonts w:ascii="Arial" w:eastAsia="Times New Roman" w:hAnsi="Arial" w:cs="Arial"/>
      <w:b/>
      <w:bCs/>
      <w:i/>
      <w:iCs/>
      <w:sz w:val="28"/>
      <w:szCs w:val="28"/>
      <w:lang w:val="en-GB" w:eastAsia="es-ES"/>
    </w:rPr>
  </w:style>
  <w:style w:type="character" w:customStyle="1" w:styleId="Heading3Char">
    <w:name w:val="Heading 3 Char"/>
    <w:basedOn w:val="DefaultParagraphFont"/>
    <w:link w:val="Heading3"/>
    <w:rsid w:val="00F706BE"/>
    <w:rPr>
      <w:rFonts w:ascii="Arial" w:eastAsia="Times New Roman" w:hAnsi="Arial" w:cs="Arial"/>
      <w:b/>
      <w:bCs/>
      <w:i/>
      <w:color w:val="008000"/>
      <w:sz w:val="24"/>
      <w:szCs w:val="26"/>
      <w:lang w:val="en-GB" w:eastAsia="es-ES"/>
    </w:rPr>
  </w:style>
  <w:style w:type="character" w:customStyle="1" w:styleId="Heading6Char">
    <w:name w:val="Heading 6 Char"/>
    <w:basedOn w:val="DefaultParagraphFont"/>
    <w:link w:val="Heading6"/>
    <w:rsid w:val="00F706BE"/>
    <w:rPr>
      <w:rFonts w:ascii="Arial" w:eastAsia="Times New Roman" w:hAnsi="Arial" w:cs="Arial"/>
      <w:i/>
      <w:iCs/>
      <w:color w:val="000000"/>
      <w:sz w:val="24"/>
      <w:szCs w:val="24"/>
      <w:u w:val="single"/>
      <w:lang w:val="en-GB"/>
    </w:rPr>
  </w:style>
  <w:style w:type="character" w:customStyle="1" w:styleId="Heading7Char">
    <w:name w:val="Heading 7 Char"/>
    <w:basedOn w:val="DefaultParagraphFont"/>
    <w:link w:val="Heading7"/>
    <w:rsid w:val="00F706BE"/>
    <w:rPr>
      <w:rFonts w:ascii="Arial" w:eastAsia="Times New Roman" w:hAnsi="Arial" w:cs="Arial"/>
      <w:b/>
      <w:bCs/>
      <w:i/>
      <w:iCs/>
      <w:color w:val="000000"/>
      <w:sz w:val="20"/>
      <w:szCs w:val="24"/>
      <w:lang w:val="en-GB"/>
    </w:rPr>
  </w:style>
  <w:style w:type="character" w:customStyle="1" w:styleId="Heading9Char">
    <w:name w:val="Heading 9 Char"/>
    <w:basedOn w:val="DefaultParagraphFont"/>
    <w:link w:val="Heading9"/>
    <w:rsid w:val="00F706BE"/>
    <w:rPr>
      <w:rFonts w:ascii="Arial" w:eastAsia="Times New Roman" w:hAnsi="Arial" w:cs="Times New Roman"/>
      <w:b/>
      <w:color w:val="000000"/>
      <w:sz w:val="24"/>
      <w:szCs w:val="24"/>
      <w:lang w:val="en-GB"/>
    </w:rPr>
  </w:style>
  <w:style w:type="paragraph" w:styleId="BalloonText">
    <w:name w:val="Balloon Text"/>
    <w:basedOn w:val="Normal"/>
    <w:link w:val="BalloonTextChar"/>
    <w:semiHidden/>
    <w:rsid w:val="00F706BE"/>
    <w:rPr>
      <w:rFonts w:ascii="Tahoma" w:hAnsi="Tahoma" w:cs="Tahoma"/>
      <w:sz w:val="16"/>
      <w:szCs w:val="16"/>
    </w:rPr>
  </w:style>
  <w:style w:type="character" w:customStyle="1" w:styleId="BalloonTextChar">
    <w:name w:val="Balloon Text Char"/>
    <w:basedOn w:val="DefaultParagraphFont"/>
    <w:link w:val="BalloonText"/>
    <w:semiHidden/>
    <w:rsid w:val="00F706BE"/>
    <w:rPr>
      <w:rFonts w:ascii="Tahoma" w:eastAsia="Times New Roman" w:hAnsi="Tahoma" w:cs="Tahoma"/>
      <w:sz w:val="16"/>
      <w:szCs w:val="16"/>
      <w:lang w:val="en-GB" w:eastAsia="es-ES"/>
    </w:rPr>
  </w:style>
  <w:style w:type="paragraph" w:styleId="Header">
    <w:name w:val="header"/>
    <w:basedOn w:val="Normal"/>
    <w:link w:val="HeaderChar"/>
    <w:rsid w:val="00F706BE"/>
    <w:pPr>
      <w:tabs>
        <w:tab w:val="center" w:pos="4320"/>
        <w:tab w:val="right" w:pos="8640"/>
      </w:tabs>
    </w:pPr>
  </w:style>
  <w:style w:type="character" w:customStyle="1" w:styleId="HeaderChar">
    <w:name w:val="Header Char"/>
    <w:basedOn w:val="DefaultParagraphFont"/>
    <w:link w:val="Header"/>
    <w:rsid w:val="00F706BE"/>
    <w:rPr>
      <w:rFonts w:ascii="Times New Roman" w:eastAsia="Times New Roman" w:hAnsi="Times New Roman" w:cs="Times New Roman"/>
      <w:sz w:val="24"/>
      <w:szCs w:val="24"/>
      <w:lang w:val="en-GB" w:eastAsia="es-ES"/>
    </w:rPr>
  </w:style>
  <w:style w:type="paragraph" w:styleId="Footer">
    <w:name w:val="footer"/>
    <w:basedOn w:val="Normal"/>
    <w:link w:val="FooterChar"/>
    <w:uiPriority w:val="99"/>
    <w:rsid w:val="00F706BE"/>
    <w:pPr>
      <w:tabs>
        <w:tab w:val="center" w:pos="4320"/>
        <w:tab w:val="right" w:pos="8640"/>
      </w:tabs>
    </w:pPr>
  </w:style>
  <w:style w:type="character" w:customStyle="1" w:styleId="FooterChar">
    <w:name w:val="Footer Char"/>
    <w:basedOn w:val="DefaultParagraphFont"/>
    <w:link w:val="Footer"/>
    <w:uiPriority w:val="99"/>
    <w:rsid w:val="00F706BE"/>
    <w:rPr>
      <w:rFonts w:ascii="Times New Roman" w:eastAsia="Times New Roman" w:hAnsi="Times New Roman" w:cs="Times New Roman"/>
      <w:sz w:val="24"/>
      <w:szCs w:val="24"/>
      <w:lang w:val="en-GB" w:eastAsia="es-ES"/>
    </w:rPr>
  </w:style>
  <w:style w:type="paragraph" w:styleId="Title">
    <w:name w:val="Title"/>
    <w:basedOn w:val="Normal"/>
    <w:link w:val="TitleChar"/>
    <w:qFormat/>
    <w:rsid w:val="00F706BE"/>
    <w:pPr>
      <w:jc w:val="center"/>
    </w:pPr>
    <w:rPr>
      <w:b/>
      <w:sz w:val="28"/>
      <w:szCs w:val="20"/>
      <w:lang w:eastAsia="en-US"/>
    </w:rPr>
  </w:style>
  <w:style w:type="character" w:customStyle="1" w:styleId="TitleChar">
    <w:name w:val="Title Char"/>
    <w:basedOn w:val="DefaultParagraphFont"/>
    <w:link w:val="Title"/>
    <w:rsid w:val="00F706BE"/>
    <w:rPr>
      <w:rFonts w:ascii="Times New Roman" w:eastAsia="Times New Roman" w:hAnsi="Times New Roman" w:cs="Times New Roman"/>
      <w:b/>
      <w:sz w:val="28"/>
      <w:szCs w:val="20"/>
      <w:lang w:val="en-GB"/>
    </w:rPr>
  </w:style>
  <w:style w:type="character" w:styleId="Hyperlink">
    <w:name w:val="Hyperlink"/>
    <w:basedOn w:val="DefaultParagraphFont"/>
    <w:rsid w:val="00F706BE"/>
    <w:rPr>
      <w:rFonts w:cs="Times New Roman"/>
      <w:color w:val="0000FF"/>
      <w:u w:val="single"/>
    </w:rPr>
  </w:style>
  <w:style w:type="paragraph" w:styleId="TOC2">
    <w:name w:val="toc 2"/>
    <w:basedOn w:val="Normal"/>
    <w:next w:val="Normal"/>
    <w:autoRedefine/>
    <w:rsid w:val="00F706BE"/>
    <w:pPr>
      <w:spacing w:before="240"/>
    </w:pPr>
    <w:rPr>
      <w:b/>
      <w:bCs/>
      <w:sz w:val="20"/>
      <w:szCs w:val="20"/>
    </w:rPr>
  </w:style>
  <w:style w:type="paragraph" w:styleId="TOC3">
    <w:name w:val="toc 3"/>
    <w:basedOn w:val="Normal"/>
    <w:next w:val="Normal"/>
    <w:autoRedefine/>
    <w:rsid w:val="00F706BE"/>
    <w:pPr>
      <w:ind w:left="240"/>
    </w:pPr>
    <w:rPr>
      <w:sz w:val="20"/>
      <w:szCs w:val="20"/>
    </w:rPr>
  </w:style>
  <w:style w:type="paragraph" w:customStyle="1" w:styleId="MTPbodytext">
    <w:name w:val="MTP body text"/>
    <w:basedOn w:val="Normal"/>
    <w:rsid w:val="00F706BE"/>
    <w:pPr>
      <w:tabs>
        <w:tab w:val="left" w:pos="567"/>
      </w:tabs>
      <w:jc w:val="both"/>
    </w:pPr>
    <w:rPr>
      <w:szCs w:val="20"/>
      <w:lang w:eastAsia="en-US"/>
    </w:rPr>
  </w:style>
  <w:style w:type="paragraph" w:customStyle="1" w:styleId="indent7">
    <w:name w:val="indent 7"/>
    <w:basedOn w:val="Normal"/>
    <w:rsid w:val="00F706BE"/>
    <w:pPr>
      <w:tabs>
        <w:tab w:val="left" w:pos="5616"/>
        <w:tab w:val="decimal" w:pos="6663"/>
      </w:tabs>
      <w:spacing w:line="240" w:lineRule="atLeast"/>
      <w:ind w:left="720" w:right="-57" w:hanging="720"/>
      <w:jc w:val="both"/>
    </w:pPr>
    <w:rPr>
      <w:rFonts w:ascii="Times" w:hAnsi="Times"/>
      <w:szCs w:val="20"/>
      <w:lang w:val="en-US" w:eastAsia="en-US"/>
    </w:rPr>
  </w:style>
  <w:style w:type="character" w:styleId="PageNumber">
    <w:name w:val="page number"/>
    <w:basedOn w:val="DefaultParagraphFont"/>
    <w:rsid w:val="00F706BE"/>
    <w:rPr>
      <w:rFonts w:cs="Times New Roman"/>
    </w:rPr>
  </w:style>
  <w:style w:type="paragraph" w:styleId="BodyText">
    <w:name w:val="Body Text"/>
    <w:basedOn w:val="Normal"/>
    <w:link w:val="BodyTextChar"/>
    <w:rsid w:val="00F706BE"/>
    <w:pPr>
      <w:spacing w:after="120"/>
    </w:pPr>
    <w:rPr>
      <w:lang w:eastAsia="en-US"/>
    </w:rPr>
  </w:style>
  <w:style w:type="character" w:customStyle="1" w:styleId="BodyTextChar">
    <w:name w:val="Body Text Char"/>
    <w:basedOn w:val="DefaultParagraphFont"/>
    <w:link w:val="BodyText"/>
    <w:rsid w:val="00F706BE"/>
    <w:rPr>
      <w:rFonts w:ascii="Times New Roman" w:eastAsia="Times New Roman" w:hAnsi="Times New Roman" w:cs="Times New Roman"/>
      <w:sz w:val="24"/>
      <w:szCs w:val="24"/>
      <w:lang w:val="en-GB"/>
    </w:rPr>
  </w:style>
  <w:style w:type="paragraph" w:customStyle="1" w:styleId="TableText">
    <w:name w:val="Table Text"/>
    <w:basedOn w:val="Normal"/>
    <w:rsid w:val="00F706BE"/>
    <w:pPr>
      <w:spacing w:before="60"/>
    </w:pPr>
    <w:rPr>
      <w:rFonts w:ascii="Arial" w:hAnsi="Arial"/>
      <w:spacing w:val="-5"/>
      <w:sz w:val="16"/>
      <w:szCs w:val="20"/>
      <w:lang w:val="en-US" w:eastAsia="en-US"/>
    </w:rPr>
  </w:style>
  <w:style w:type="paragraph" w:styleId="TOC1">
    <w:name w:val="toc 1"/>
    <w:basedOn w:val="Normal"/>
    <w:next w:val="Normal"/>
    <w:autoRedefine/>
    <w:rsid w:val="00F706BE"/>
    <w:pPr>
      <w:spacing w:before="360"/>
    </w:pPr>
    <w:rPr>
      <w:rFonts w:ascii="Arial" w:hAnsi="Arial" w:cs="Arial"/>
      <w:b/>
      <w:bCs/>
      <w:caps/>
    </w:rPr>
  </w:style>
  <w:style w:type="character" w:styleId="Strong">
    <w:name w:val="Strong"/>
    <w:basedOn w:val="DefaultParagraphFont"/>
    <w:qFormat/>
    <w:rsid w:val="00F706BE"/>
    <w:rPr>
      <w:rFonts w:cs="Times New Roman"/>
      <w:b/>
      <w:bCs/>
    </w:rPr>
  </w:style>
  <w:style w:type="character" w:styleId="CommentReference">
    <w:name w:val="annotation reference"/>
    <w:basedOn w:val="DefaultParagraphFont"/>
    <w:semiHidden/>
    <w:rsid w:val="00F706BE"/>
    <w:rPr>
      <w:rFonts w:cs="Times New Roman"/>
      <w:sz w:val="16"/>
      <w:szCs w:val="16"/>
    </w:rPr>
  </w:style>
  <w:style w:type="paragraph" w:styleId="CommentText">
    <w:name w:val="annotation text"/>
    <w:basedOn w:val="Normal"/>
    <w:link w:val="CommentTextChar"/>
    <w:semiHidden/>
    <w:rsid w:val="00F706BE"/>
    <w:rPr>
      <w:sz w:val="20"/>
      <w:szCs w:val="20"/>
    </w:rPr>
  </w:style>
  <w:style w:type="character" w:customStyle="1" w:styleId="CommentTextChar">
    <w:name w:val="Comment Text Char"/>
    <w:basedOn w:val="DefaultParagraphFont"/>
    <w:link w:val="CommentText"/>
    <w:semiHidden/>
    <w:rsid w:val="00F706BE"/>
    <w:rPr>
      <w:rFonts w:ascii="Times New Roman" w:eastAsia="Times New Roman" w:hAnsi="Times New Roman" w:cs="Times New Roman"/>
      <w:sz w:val="20"/>
      <w:szCs w:val="20"/>
      <w:lang w:val="en-GB" w:eastAsia="es-ES"/>
    </w:rPr>
  </w:style>
  <w:style w:type="character" w:customStyle="1" w:styleId="CommentSubjectChar">
    <w:name w:val="Comment Subject Char"/>
    <w:basedOn w:val="CommentTextChar"/>
    <w:link w:val="CommentSubject"/>
    <w:semiHidden/>
    <w:rsid w:val="00F706BE"/>
    <w:rPr>
      <w:b/>
      <w:bCs/>
    </w:rPr>
  </w:style>
  <w:style w:type="paragraph" w:styleId="CommentSubject">
    <w:name w:val="annotation subject"/>
    <w:basedOn w:val="CommentText"/>
    <w:next w:val="CommentText"/>
    <w:link w:val="CommentSubjectChar"/>
    <w:semiHidden/>
    <w:rsid w:val="00F706BE"/>
    <w:rPr>
      <w:b/>
      <w:bCs/>
    </w:rPr>
  </w:style>
  <w:style w:type="character" w:customStyle="1" w:styleId="DocumentMapChar">
    <w:name w:val="Document Map Char"/>
    <w:basedOn w:val="DefaultParagraphFont"/>
    <w:link w:val="DocumentMap"/>
    <w:semiHidden/>
    <w:rsid w:val="00F706BE"/>
    <w:rPr>
      <w:rFonts w:ascii="Tahoma" w:eastAsia="Times New Roman" w:hAnsi="Tahoma" w:cs="Tahoma"/>
      <w:sz w:val="20"/>
      <w:szCs w:val="20"/>
      <w:shd w:val="clear" w:color="auto" w:fill="000080"/>
      <w:lang w:val="en-GB" w:eastAsia="es-ES"/>
    </w:rPr>
  </w:style>
  <w:style w:type="paragraph" w:styleId="DocumentMap">
    <w:name w:val="Document Map"/>
    <w:basedOn w:val="Normal"/>
    <w:link w:val="DocumentMapChar"/>
    <w:semiHidden/>
    <w:rsid w:val="00F706BE"/>
    <w:pPr>
      <w:shd w:val="clear" w:color="auto" w:fill="000080"/>
    </w:pPr>
    <w:rPr>
      <w:rFonts w:ascii="Tahoma" w:hAnsi="Tahoma" w:cs="Tahoma"/>
      <w:sz w:val="20"/>
      <w:szCs w:val="20"/>
    </w:rPr>
  </w:style>
  <w:style w:type="paragraph" w:styleId="ListParagraph">
    <w:name w:val="List Paragraph"/>
    <w:basedOn w:val="Normal"/>
    <w:qFormat/>
    <w:rsid w:val="00F706BE"/>
    <w:pPr>
      <w:ind w:left="720"/>
      <w:contextualSpacing/>
    </w:pPr>
  </w:style>
  <w:style w:type="paragraph" w:styleId="FootnoteText">
    <w:name w:val="footnote text"/>
    <w:basedOn w:val="Normal"/>
    <w:link w:val="FootnoteTextChar"/>
    <w:semiHidden/>
    <w:rsid w:val="00F706BE"/>
    <w:rPr>
      <w:sz w:val="20"/>
      <w:szCs w:val="20"/>
    </w:rPr>
  </w:style>
  <w:style w:type="character" w:customStyle="1" w:styleId="FootnoteTextChar">
    <w:name w:val="Footnote Text Char"/>
    <w:basedOn w:val="DefaultParagraphFont"/>
    <w:link w:val="FootnoteText"/>
    <w:semiHidden/>
    <w:rsid w:val="00F706BE"/>
    <w:rPr>
      <w:rFonts w:ascii="Times New Roman" w:eastAsia="Times New Roman" w:hAnsi="Times New Roman" w:cs="Times New Roman"/>
      <w:sz w:val="20"/>
      <w:szCs w:val="20"/>
      <w:lang w:val="en-GB" w:eastAsia="es-ES"/>
    </w:rPr>
  </w:style>
  <w:style w:type="character" w:styleId="FootnoteReference">
    <w:name w:val="footnote reference"/>
    <w:basedOn w:val="DefaultParagraphFont"/>
    <w:semiHidden/>
    <w:rsid w:val="00F706BE"/>
    <w:rPr>
      <w:rFonts w:cs="Times New Roman"/>
      <w:vertAlign w:val="superscript"/>
    </w:rPr>
  </w:style>
  <w:style w:type="paragraph" w:styleId="PlainText">
    <w:name w:val="Plain Text"/>
    <w:basedOn w:val="Normal"/>
    <w:link w:val="PlainTextChar1"/>
    <w:rsid w:val="00F706BE"/>
    <w:pPr>
      <w:widowControl w:val="0"/>
      <w:autoSpaceDE w:val="0"/>
      <w:autoSpaceDN w:val="0"/>
      <w:adjustRightInd w:val="0"/>
    </w:pPr>
    <w:rPr>
      <w:rFonts w:ascii="Courier New" w:hAnsi="Courier New" w:cs="Courier New"/>
      <w:sz w:val="22"/>
      <w:szCs w:val="22"/>
      <w:lang w:val="ru-RU" w:eastAsia="en-US"/>
    </w:rPr>
  </w:style>
  <w:style w:type="character" w:customStyle="1" w:styleId="PlainTextChar1">
    <w:name w:val="Plain Text Char1"/>
    <w:basedOn w:val="DefaultParagraphFont"/>
    <w:link w:val="PlainText"/>
    <w:locked/>
    <w:rsid w:val="00F706BE"/>
    <w:rPr>
      <w:rFonts w:ascii="Courier New" w:eastAsia="Times New Roman" w:hAnsi="Courier New" w:cs="Courier New"/>
      <w:lang w:val="ru-RU"/>
    </w:rPr>
  </w:style>
  <w:style w:type="character" w:customStyle="1" w:styleId="PlainTextChar">
    <w:name w:val="Plain Text Char"/>
    <w:basedOn w:val="DefaultParagraphFont"/>
    <w:link w:val="PlainText"/>
    <w:semiHidden/>
    <w:rsid w:val="00F706BE"/>
    <w:rPr>
      <w:rFonts w:ascii="Consolas" w:eastAsia="Times New Roman" w:hAnsi="Consolas" w:cs="Times New Roman"/>
      <w:sz w:val="21"/>
      <w:szCs w:val="21"/>
      <w:lang w:val="en-GB" w:eastAsia="es-ES"/>
    </w:rPr>
  </w:style>
  <w:style w:type="paragraph" w:styleId="BodyText2">
    <w:name w:val="Body Text 2"/>
    <w:basedOn w:val="Normal"/>
    <w:link w:val="BodyText2Char"/>
    <w:rsid w:val="00F706BE"/>
    <w:pPr>
      <w:spacing w:after="120" w:line="480" w:lineRule="auto"/>
    </w:pPr>
  </w:style>
  <w:style w:type="character" w:customStyle="1" w:styleId="BodyText2Char">
    <w:name w:val="Body Text 2 Char"/>
    <w:basedOn w:val="DefaultParagraphFont"/>
    <w:link w:val="BodyText2"/>
    <w:rsid w:val="00F706BE"/>
    <w:rPr>
      <w:rFonts w:ascii="Times New Roman" w:eastAsia="Times New Roman" w:hAnsi="Times New Roman" w:cs="Times New Roman"/>
      <w:sz w:val="24"/>
      <w:szCs w:val="24"/>
      <w:lang w:val="en-GB" w:eastAsia="es-ES"/>
    </w:rPr>
  </w:style>
  <w:style w:type="paragraph" w:styleId="BodyText3">
    <w:name w:val="Body Text 3"/>
    <w:basedOn w:val="Normal"/>
    <w:link w:val="BodyText3Char"/>
    <w:rsid w:val="00F706BE"/>
    <w:pPr>
      <w:spacing w:after="120"/>
    </w:pPr>
    <w:rPr>
      <w:sz w:val="16"/>
      <w:szCs w:val="16"/>
    </w:rPr>
  </w:style>
  <w:style w:type="character" w:customStyle="1" w:styleId="BodyText3Char">
    <w:name w:val="Body Text 3 Char"/>
    <w:basedOn w:val="DefaultParagraphFont"/>
    <w:link w:val="BodyText3"/>
    <w:rsid w:val="00F706BE"/>
    <w:rPr>
      <w:rFonts w:ascii="Times New Roman" w:eastAsia="Times New Roman" w:hAnsi="Times New Roman" w:cs="Times New Roman"/>
      <w:sz w:val="16"/>
      <w:szCs w:val="16"/>
      <w:lang w:val="en-GB" w:eastAsia="es-ES"/>
    </w:rPr>
  </w:style>
  <w:style w:type="character" w:customStyle="1" w:styleId="hps">
    <w:name w:val="hps"/>
    <w:basedOn w:val="DefaultParagraphFont"/>
    <w:rsid w:val="00F706BE"/>
  </w:style>
  <w:style w:type="character" w:customStyle="1" w:styleId="hpsatn">
    <w:name w:val="hps atn"/>
    <w:basedOn w:val="DefaultParagraphFont"/>
    <w:rsid w:val="00F706BE"/>
  </w:style>
  <w:style w:type="character" w:customStyle="1" w:styleId="atn">
    <w:name w:val="atn"/>
    <w:basedOn w:val="DefaultParagraphFont"/>
    <w:rsid w:val="00F706BE"/>
  </w:style>
  <w:style w:type="character" w:styleId="FollowedHyperlink">
    <w:name w:val="FollowedHyperlink"/>
    <w:basedOn w:val="DefaultParagraphFont"/>
    <w:rsid w:val="00F706B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4151</Words>
  <Characters>30684</Characters>
  <Application>Microsoft Office Word</Application>
  <DocSecurity>0</DocSecurity>
  <Lines>1461</Lines>
  <Paragraphs>414</Paragraphs>
  <ScaleCrop>false</ScaleCrop>
  <HeadingPairs>
    <vt:vector size="2" baseType="variant">
      <vt:variant>
        <vt:lpstr>Title</vt:lpstr>
      </vt:variant>
      <vt:variant>
        <vt:i4>1</vt:i4>
      </vt:variant>
    </vt:vector>
  </HeadingPairs>
  <TitlesOfParts>
    <vt:vector size="1" baseType="lpstr">
      <vt:lpstr>Latvijas Republikas Veselības ministrijas un Pasaules Veselības organizācijas Eiropas Reģionālā biroja  divgades sadarbības līgums  2012.–2013.gadam</vt:lpstr>
    </vt:vector>
  </TitlesOfParts>
  <Company>Veselības ministrija</Company>
  <LinksUpToDate>false</LinksUpToDate>
  <CharactersWithSpaces>34421</CharactersWithSpaces>
  <SharedDoc>false</SharedDoc>
  <HLinks>
    <vt:vector size="54" baseType="variant">
      <vt:variant>
        <vt:i4>1441843</vt:i4>
      </vt:variant>
      <vt:variant>
        <vt:i4>26</vt:i4>
      </vt:variant>
      <vt:variant>
        <vt:i4>0</vt:i4>
      </vt:variant>
      <vt:variant>
        <vt:i4>5</vt:i4>
      </vt:variant>
      <vt:variant>
        <vt:lpwstr/>
      </vt:variant>
      <vt:variant>
        <vt:lpwstr>_Toc177275213</vt:lpwstr>
      </vt:variant>
      <vt:variant>
        <vt:i4>1441843</vt:i4>
      </vt:variant>
      <vt:variant>
        <vt:i4>23</vt:i4>
      </vt:variant>
      <vt:variant>
        <vt:i4>0</vt:i4>
      </vt:variant>
      <vt:variant>
        <vt:i4>5</vt:i4>
      </vt:variant>
      <vt:variant>
        <vt:lpwstr/>
      </vt:variant>
      <vt:variant>
        <vt:lpwstr>_Toc177275212</vt:lpwstr>
      </vt:variant>
      <vt:variant>
        <vt:i4>1441843</vt:i4>
      </vt:variant>
      <vt:variant>
        <vt:i4>20</vt:i4>
      </vt:variant>
      <vt:variant>
        <vt:i4>0</vt:i4>
      </vt:variant>
      <vt:variant>
        <vt:i4>5</vt:i4>
      </vt:variant>
      <vt:variant>
        <vt:lpwstr/>
      </vt:variant>
      <vt:variant>
        <vt:lpwstr>_Toc177275210</vt:lpwstr>
      </vt:variant>
      <vt:variant>
        <vt:i4>1507379</vt:i4>
      </vt:variant>
      <vt:variant>
        <vt:i4>17</vt:i4>
      </vt:variant>
      <vt:variant>
        <vt:i4>0</vt:i4>
      </vt:variant>
      <vt:variant>
        <vt:i4>5</vt:i4>
      </vt:variant>
      <vt:variant>
        <vt:lpwstr/>
      </vt:variant>
      <vt:variant>
        <vt:lpwstr>_Toc177275209</vt:lpwstr>
      </vt:variant>
      <vt:variant>
        <vt:i4>1507379</vt:i4>
      </vt:variant>
      <vt:variant>
        <vt:i4>14</vt:i4>
      </vt:variant>
      <vt:variant>
        <vt:i4>0</vt:i4>
      </vt:variant>
      <vt:variant>
        <vt:i4>5</vt:i4>
      </vt:variant>
      <vt:variant>
        <vt:lpwstr/>
      </vt:variant>
      <vt:variant>
        <vt:lpwstr>_Toc177275208</vt:lpwstr>
      </vt:variant>
      <vt:variant>
        <vt:i4>1507379</vt:i4>
      </vt:variant>
      <vt:variant>
        <vt:i4>11</vt:i4>
      </vt:variant>
      <vt:variant>
        <vt:i4>0</vt:i4>
      </vt:variant>
      <vt:variant>
        <vt:i4>5</vt:i4>
      </vt:variant>
      <vt:variant>
        <vt:lpwstr/>
      </vt:variant>
      <vt:variant>
        <vt:lpwstr>_Toc177275207</vt:lpwstr>
      </vt:variant>
      <vt:variant>
        <vt:i4>1507379</vt:i4>
      </vt:variant>
      <vt:variant>
        <vt:i4>8</vt:i4>
      </vt:variant>
      <vt:variant>
        <vt:i4>0</vt:i4>
      </vt:variant>
      <vt:variant>
        <vt:i4>5</vt:i4>
      </vt:variant>
      <vt:variant>
        <vt:lpwstr/>
      </vt:variant>
      <vt:variant>
        <vt:lpwstr>_Toc177275206</vt:lpwstr>
      </vt:variant>
      <vt:variant>
        <vt:i4>1507379</vt:i4>
      </vt:variant>
      <vt:variant>
        <vt:i4>5</vt:i4>
      </vt:variant>
      <vt:variant>
        <vt:i4>0</vt:i4>
      </vt:variant>
      <vt:variant>
        <vt:i4>5</vt:i4>
      </vt:variant>
      <vt:variant>
        <vt:lpwstr/>
      </vt:variant>
      <vt:variant>
        <vt:lpwstr>_Toc177275205</vt:lpwstr>
      </vt:variant>
      <vt:variant>
        <vt:i4>1507379</vt:i4>
      </vt:variant>
      <vt:variant>
        <vt:i4>2</vt:i4>
      </vt:variant>
      <vt:variant>
        <vt:i4>0</vt:i4>
      </vt:variant>
      <vt:variant>
        <vt:i4>5</vt:i4>
      </vt:variant>
      <vt:variant>
        <vt:lpwstr/>
      </vt:variant>
      <vt:variant>
        <vt:lpwstr>_Toc177275204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Veselības ministrijas un Pasaules Veselības organizācijas Eiropas Reģionālā biroja  divgades sadarbības līgums  2012.–2013.gadam</dc:title>
  <dc:subject>Līgums</dc:subject>
  <dc:creator>Ludis Pauliņš</dc:creator>
  <dc:description>ludis.paulins@vm.gov.lv
67876024</dc:description>
  <cp:lastModifiedBy>VM</cp:lastModifiedBy>
  <cp:revision>5</cp:revision>
  <dcterms:created xsi:type="dcterms:W3CDTF">2012-01-03T14:34:00Z</dcterms:created>
  <dcterms:modified xsi:type="dcterms:W3CDTF">2012-01-04T13:17:00Z</dcterms:modified>
</cp:coreProperties>
</file>