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07" w:rsidRPr="00392EA5" w:rsidRDefault="00A3254F" w:rsidP="006C2FAF">
      <w:pPr>
        <w:tabs>
          <w:tab w:val="left" w:pos="567"/>
        </w:tabs>
        <w:ind w:right="-1"/>
        <w:jc w:val="right"/>
        <w:rPr>
          <w:b/>
        </w:rPr>
      </w:pPr>
      <w:r>
        <w:rPr>
          <w:b/>
          <w:noProof/>
          <w:lang w:val="lv-LV" w:eastAsia="lv-LV"/>
        </w:rPr>
        <w:drawing>
          <wp:inline distT="0" distB="0" distL="0" distR="0">
            <wp:extent cx="21717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71700" cy="933450"/>
                    </a:xfrm>
                    <a:prstGeom prst="rect">
                      <a:avLst/>
                    </a:prstGeom>
                    <a:noFill/>
                    <a:ln w="9525">
                      <a:noFill/>
                      <a:miter lim="800000"/>
                      <a:headEnd/>
                      <a:tailEnd/>
                    </a:ln>
                  </pic:spPr>
                </pic:pic>
              </a:graphicData>
            </a:graphic>
          </wp:inline>
        </w:drawing>
      </w:r>
    </w:p>
    <w:p w:rsidR="00D55D07" w:rsidRDefault="00D55D07" w:rsidP="00DE4964">
      <w:pPr>
        <w:tabs>
          <w:tab w:val="left" w:pos="567"/>
        </w:tabs>
        <w:ind w:right="-1"/>
        <w:jc w:val="center"/>
        <w:rPr>
          <w:sz w:val="23"/>
        </w:rPr>
      </w:pPr>
    </w:p>
    <w:p w:rsidR="00D55D07" w:rsidRDefault="00D55D07" w:rsidP="00DE4964">
      <w:pPr>
        <w:tabs>
          <w:tab w:val="left" w:pos="567"/>
        </w:tabs>
        <w:ind w:right="-1"/>
        <w:jc w:val="center"/>
        <w:rPr>
          <w:sz w:val="23"/>
        </w:rPr>
      </w:pPr>
    </w:p>
    <w:p w:rsidR="00D55D07" w:rsidRDefault="00D55D07" w:rsidP="00DE4964">
      <w:pPr>
        <w:tabs>
          <w:tab w:val="left" w:pos="567"/>
        </w:tabs>
        <w:ind w:right="-1"/>
        <w:jc w:val="center"/>
        <w:rPr>
          <w:sz w:val="23"/>
        </w:rPr>
      </w:pPr>
    </w:p>
    <w:p w:rsidR="00D55D07" w:rsidRDefault="00D55D07" w:rsidP="00DE4964">
      <w:pPr>
        <w:tabs>
          <w:tab w:val="left" w:pos="567"/>
        </w:tabs>
        <w:ind w:right="-1"/>
        <w:jc w:val="center"/>
        <w:rPr>
          <w:sz w:val="23"/>
        </w:rPr>
      </w:pPr>
    </w:p>
    <w:p w:rsidR="00D55D07" w:rsidRPr="00941E41" w:rsidRDefault="00D55D07" w:rsidP="00941E41">
      <w:pPr>
        <w:tabs>
          <w:tab w:val="left" w:pos="567"/>
        </w:tabs>
        <w:ind w:right="-1"/>
        <w:jc w:val="center"/>
        <w:rPr>
          <w:b/>
          <w:sz w:val="40"/>
        </w:rPr>
      </w:pPr>
      <w:r w:rsidRPr="00544D4F">
        <w:rPr>
          <w:b/>
          <w:sz w:val="40"/>
        </w:rPr>
        <w:t>Biennial Collaborative</w:t>
      </w:r>
      <w:r>
        <w:rPr>
          <w:b/>
          <w:sz w:val="40"/>
        </w:rPr>
        <w:t xml:space="preserve"> Agreement (BCA)</w:t>
      </w:r>
    </w:p>
    <w:p w:rsidR="00D55D07" w:rsidRDefault="00D55D07" w:rsidP="00DE4964">
      <w:pPr>
        <w:tabs>
          <w:tab w:val="left" w:pos="567"/>
        </w:tabs>
        <w:ind w:right="-1"/>
        <w:jc w:val="center"/>
        <w:rPr>
          <w:b/>
          <w:sz w:val="32"/>
        </w:rPr>
      </w:pPr>
    </w:p>
    <w:p w:rsidR="00D55D07" w:rsidRDefault="00D55D07" w:rsidP="00DE4964">
      <w:pPr>
        <w:tabs>
          <w:tab w:val="left" w:pos="567"/>
        </w:tabs>
        <w:ind w:right="-1"/>
        <w:jc w:val="center"/>
        <w:rPr>
          <w:b/>
          <w:sz w:val="32"/>
        </w:rPr>
      </w:pPr>
      <w:r>
        <w:rPr>
          <w:b/>
          <w:sz w:val="32"/>
        </w:rPr>
        <w:t xml:space="preserve">between </w:t>
      </w:r>
    </w:p>
    <w:p w:rsidR="00D55D07" w:rsidRDefault="00D55D07" w:rsidP="00DE4964">
      <w:pPr>
        <w:tabs>
          <w:tab w:val="left" w:pos="567"/>
        </w:tabs>
        <w:ind w:right="-1"/>
        <w:jc w:val="center"/>
        <w:rPr>
          <w:b/>
          <w:sz w:val="32"/>
        </w:rPr>
      </w:pPr>
    </w:p>
    <w:p w:rsidR="00D55D07" w:rsidRDefault="00D55D07" w:rsidP="008522EE">
      <w:pPr>
        <w:tabs>
          <w:tab w:val="left" w:pos="567"/>
        </w:tabs>
        <w:ind w:right="-1"/>
        <w:jc w:val="center"/>
        <w:rPr>
          <w:b/>
          <w:sz w:val="32"/>
        </w:rPr>
      </w:pPr>
      <w:r w:rsidRPr="0085653B">
        <w:rPr>
          <w:b/>
          <w:sz w:val="32"/>
        </w:rPr>
        <w:t>the</w:t>
      </w:r>
      <w:r>
        <w:rPr>
          <w:b/>
          <w:sz w:val="32"/>
        </w:rPr>
        <w:t xml:space="preserve"> Ministry of Health of the </w:t>
      </w:r>
      <w:smartTag w:uri="urn:schemas-microsoft-com:office:smarttags" w:element="PlaceType">
        <w:smartTag w:uri="urn:schemas-microsoft-com:office:smarttags" w:element="place">
          <w:r>
            <w:rPr>
              <w:b/>
              <w:sz w:val="32"/>
            </w:rPr>
            <w:t>Republic</w:t>
          </w:r>
        </w:smartTag>
        <w:r>
          <w:rPr>
            <w:b/>
            <w:sz w:val="32"/>
          </w:rPr>
          <w:t xml:space="preserve"> of </w:t>
        </w:r>
        <w:smartTag w:uri="urn:schemas-microsoft-com:office:smarttags" w:element="country-region">
          <w:smartTag w:uri="urn:schemas-microsoft-com:office:smarttags" w:element="PlaceName">
            <w:r>
              <w:rPr>
                <w:b/>
                <w:sz w:val="32"/>
              </w:rPr>
              <w:t>Latvia</w:t>
            </w:r>
          </w:smartTag>
        </w:smartTag>
      </w:smartTag>
      <w:r>
        <w:rPr>
          <w:b/>
          <w:sz w:val="32"/>
        </w:rPr>
        <w:t xml:space="preserve"> </w:t>
      </w:r>
    </w:p>
    <w:p w:rsidR="00D55D07" w:rsidRDefault="00D55D07" w:rsidP="008522EE">
      <w:pPr>
        <w:tabs>
          <w:tab w:val="left" w:pos="567"/>
        </w:tabs>
        <w:ind w:right="-1"/>
        <w:jc w:val="center"/>
        <w:rPr>
          <w:b/>
          <w:sz w:val="32"/>
        </w:rPr>
      </w:pPr>
    </w:p>
    <w:p w:rsidR="00D55D07" w:rsidRDefault="00D55D07" w:rsidP="00DE4964">
      <w:pPr>
        <w:tabs>
          <w:tab w:val="left" w:pos="567"/>
        </w:tabs>
        <w:ind w:right="-1"/>
        <w:jc w:val="center"/>
        <w:rPr>
          <w:b/>
          <w:sz w:val="32"/>
        </w:rPr>
      </w:pPr>
      <w:r>
        <w:rPr>
          <w:b/>
          <w:sz w:val="32"/>
        </w:rPr>
        <w:t>and</w:t>
      </w:r>
    </w:p>
    <w:p w:rsidR="00D55D07" w:rsidRDefault="00D55D07" w:rsidP="00DE4964">
      <w:pPr>
        <w:tabs>
          <w:tab w:val="left" w:pos="567"/>
        </w:tabs>
        <w:ind w:right="-1"/>
        <w:jc w:val="center"/>
        <w:rPr>
          <w:b/>
          <w:sz w:val="32"/>
        </w:rPr>
      </w:pPr>
    </w:p>
    <w:p w:rsidR="00D55D07" w:rsidRDefault="00D55D07" w:rsidP="00DE4964">
      <w:pPr>
        <w:tabs>
          <w:tab w:val="left" w:pos="567"/>
        </w:tabs>
        <w:ind w:right="-1"/>
        <w:jc w:val="center"/>
        <w:rPr>
          <w:b/>
          <w:sz w:val="32"/>
        </w:rPr>
      </w:pPr>
      <w:r>
        <w:rPr>
          <w:b/>
          <w:sz w:val="32"/>
        </w:rPr>
        <w:t xml:space="preserve">the Regional Office for </w:t>
      </w:r>
      <w:smartTag w:uri="urn:schemas-microsoft-com:office:smarttags" w:element="country-region">
        <w:smartTag w:uri="urn:schemas-microsoft-com:office:smarttags" w:element="place">
          <w:r>
            <w:rPr>
              <w:b/>
              <w:sz w:val="32"/>
            </w:rPr>
            <w:t>Europe</w:t>
          </w:r>
        </w:smartTag>
      </w:smartTag>
    </w:p>
    <w:p w:rsidR="00D55D07" w:rsidRDefault="00D55D07" w:rsidP="00DE4964">
      <w:pPr>
        <w:tabs>
          <w:tab w:val="left" w:pos="567"/>
        </w:tabs>
        <w:ind w:right="-1"/>
        <w:jc w:val="center"/>
        <w:rPr>
          <w:b/>
          <w:sz w:val="32"/>
        </w:rPr>
      </w:pPr>
      <w:r>
        <w:rPr>
          <w:b/>
          <w:sz w:val="32"/>
        </w:rPr>
        <w:t>of the World Health Organization</w:t>
      </w:r>
    </w:p>
    <w:p w:rsidR="00D55D07" w:rsidRDefault="00D55D07" w:rsidP="00DE4964">
      <w:pPr>
        <w:tabs>
          <w:tab w:val="left" w:pos="567"/>
        </w:tabs>
        <w:ind w:right="-1"/>
        <w:jc w:val="center"/>
        <w:rPr>
          <w:b/>
          <w:sz w:val="32"/>
        </w:rPr>
      </w:pPr>
    </w:p>
    <w:p w:rsidR="00D55D07" w:rsidRDefault="00D55D07" w:rsidP="00DE4964">
      <w:pPr>
        <w:tabs>
          <w:tab w:val="left" w:pos="567"/>
        </w:tabs>
        <w:ind w:right="-1"/>
        <w:jc w:val="center"/>
        <w:rPr>
          <w:b/>
          <w:sz w:val="32"/>
        </w:rPr>
      </w:pPr>
      <w:r>
        <w:rPr>
          <w:b/>
          <w:sz w:val="32"/>
        </w:rPr>
        <w:t>2012/2013</w:t>
      </w:r>
    </w:p>
    <w:p w:rsidR="00D55D07" w:rsidRDefault="00D55D07" w:rsidP="00DE4964">
      <w:pPr>
        <w:tabs>
          <w:tab w:val="left" w:pos="567"/>
        </w:tabs>
        <w:ind w:right="-1"/>
        <w:jc w:val="center"/>
        <w:rPr>
          <w:b/>
          <w:sz w:val="32"/>
        </w:rPr>
      </w:pPr>
    </w:p>
    <w:p w:rsidR="00D55D07" w:rsidRDefault="00D55D07" w:rsidP="00DE4964">
      <w:pPr>
        <w:tabs>
          <w:tab w:val="left" w:pos="567"/>
        </w:tabs>
        <w:ind w:right="-1"/>
        <w:jc w:val="center"/>
        <w:rPr>
          <w:b/>
          <w:sz w:val="28"/>
        </w:rPr>
      </w:pPr>
    </w:p>
    <w:p w:rsidR="00D55D07" w:rsidRDefault="00D55D07" w:rsidP="00DE4964">
      <w:pPr>
        <w:tabs>
          <w:tab w:val="left" w:pos="567"/>
        </w:tabs>
        <w:ind w:right="-1"/>
        <w:jc w:val="center"/>
        <w:rPr>
          <w:b/>
          <w:sz w:val="28"/>
        </w:rPr>
      </w:pPr>
    </w:p>
    <w:p w:rsidR="00D55D07" w:rsidRDefault="00D55D07" w:rsidP="00DE4964">
      <w:pPr>
        <w:tabs>
          <w:tab w:val="left" w:pos="567"/>
        </w:tabs>
        <w:ind w:right="-1"/>
        <w:rPr>
          <w:b/>
          <w:i/>
          <w:sz w:val="23"/>
        </w:rPr>
      </w:pPr>
      <w:r>
        <w:rPr>
          <w:b/>
          <w:i/>
        </w:rPr>
        <w:t>Signed</w:t>
      </w:r>
      <w:r>
        <w:rPr>
          <w:b/>
          <w:i/>
          <w:sz w:val="23"/>
        </w:rPr>
        <w:t xml:space="preserve"> by:</w:t>
      </w:r>
    </w:p>
    <w:p w:rsidR="00D55D07" w:rsidRDefault="00D55D07" w:rsidP="00DE4964">
      <w:pPr>
        <w:tabs>
          <w:tab w:val="left" w:pos="567"/>
        </w:tabs>
        <w:ind w:right="-1"/>
      </w:pPr>
    </w:p>
    <w:p w:rsidR="00D55D07" w:rsidRDefault="00D55D07" w:rsidP="008522EE">
      <w:pPr>
        <w:pStyle w:val="Heading9"/>
        <w:jc w:val="left"/>
        <w:rPr>
          <w:rFonts w:ascii="Times New Roman" w:hAnsi="Times New Roman"/>
          <w:b w:val="0"/>
          <w:bCs/>
          <w:i/>
          <w:iCs/>
        </w:rPr>
      </w:pPr>
      <w:r>
        <w:rPr>
          <w:rFonts w:ascii="Times New Roman" w:hAnsi="Times New Roman"/>
          <w:b w:val="0"/>
          <w:bCs/>
          <w:i/>
          <w:iCs/>
        </w:rPr>
        <w:t xml:space="preserve">For the Ministry of Health </w:t>
      </w:r>
    </w:p>
    <w:p w:rsidR="00D55D07" w:rsidRDefault="00D55D07" w:rsidP="00DE4964">
      <w:pPr>
        <w:tabs>
          <w:tab w:val="left" w:pos="567"/>
        </w:tabs>
        <w:ind w:right="-1"/>
        <w:rPr>
          <w:sz w:val="23"/>
        </w:rPr>
      </w:pPr>
    </w:p>
    <w:p w:rsidR="00D55D07" w:rsidRDefault="00D55D07" w:rsidP="00DE4964">
      <w:pPr>
        <w:tabs>
          <w:tab w:val="left" w:pos="7118"/>
        </w:tabs>
        <w:ind w:right="-1"/>
        <w:rPr>
          <w:sz w:val="23"/>
        </w:rPr>
      </w:pPr>
      <w:r>
        <w:rPr>
          <w:sz w:val="23"/>
        </w:rPr>
        <w:tab/>
      </w:r>
    </w:p>
    <w:p w:rsidR="00D55D07" w:rsidRDefault="00D55D07" w:rsidP="00DE4964">
      <w:pPr>
        <w:tabs>
          <w:tab w:val="left" w:pos="567"/>
          <w:tab w:val="left" w:leader="underscore" w:pos="4536"/>
          <w:tab w:val="left" w:pos="5103"/>
          <w:tab w:val="left" w:leader="underscore" w:pos="8931"/>
        </w:tabs>
        <w:ind w:right="-1"/>
        <w:rPr>
          <w:sz w:val="23"/>
        </w:rPr>
      </w:pPr>
      <w:r>
        <w:rPr>
          <w:sz w:val="23"/>
        </w:rPr>
        <w:tab/>
      </w:r>
      <w:r>
        <w:rPr>
          <w:sz w:val="23"/>
        </w:rPr>
        <w:tab/>
      </w:r>
      <w:r>
        <w:rPr>
          <w:sz w:val="23"/>
        </w:rPr>
        <w:tab/>
      </w:r>
      <w:r>
        <w:rPr>
          <w:sz w:val="23"/>
        </w:rPr>
        <w:tab/>
      </w:r>
    </w:p>
    <w:p w:rsidR="00D55D07" w:rsidRDefault="00D55D07" w:rsidP="00DE4964">
      <w:pPr>
        <w:pStyle w:val="Heading6"/>
        <w:tabs>
          <w:tab w:val="left" w:pos="709"/>
        </w:tabs>
        <w:rPr>
          <w:rFonts w:ascii="Times New Roman" w:hAnsi="Times New Roman"/>
          <w:u w:val="none"/>
        </w:rPr>
      </w:pPr>
      <w:r>
        <w:rPr>
          <w:rFonts w:ascii="Times New Roman" w:hAnsi="Times New Roman"/>
          <w:u w:val="none"/>
        </w:rPr>
        <w:tab/>
      </w:r>
      <w:r>
        <w:rPr>
          <w:rFonts w:ascii="Times New Roman" w:hAnsi="Times New Roman"/>
          <w:sz w:val="20"/>
          <w:u w:val="none"/>
        </w:rPr>
        <w:t>Signature</w:t>
      </w:r>
      <w:r>
        <w:rPr>
          <w:rFonts w:ascii="Times New Roman" w:hAnsi="Times New Roman"/>
          <w:u w:val="none"/>
        </w:rPr>
        <w:tab/>
      </w:r>
      <w:r>
        <w:rPr>
          <w:rFonts w:ascii="Times New Roman" w:hAnsi="Times New Roman"/>
          <w:u w:val="none"/>
        </w:rPr>
        <w:tab/>
      </w:r>
      <w:r>
        <w:rPr>
          <w:rFonts w:ascii="Times New Roman" w:hAnsi="Times New Roman"/>
          <w:u w:val="none"/>
        </w:rPr>
        <w:tab/>
      </w:r>
      <w:r w:rsidRPr="00CE261E">
        <w:rPr>
          <w:rFonts w:ascii="Times New Roman" w:hAnsi="Times New Roman"/>
          <w:sz w:val="20"/>
          <w:szCs w:val="20"/>
          <w:u w:val="none"/>
        </w:rPr>
        <w:t>Date</w:t>
      </w:r>
    </w:p>
    <w:p w:rsidR="00D55D07" w:rsidRDefault="00D55D07" w:rsidP="00DE4964">
      <w:pPr>
        <w:tabs>
          <w:tab w:val="left" w:pos="567"/>
          <w:tab w:val="left" w:pos="810"/>
          <w:tab w:val="left" w:leader="underscore" w:pos="4536"/>
          <w:tab w:val="left" w:pos="5103"/>
          <w:tab w:val="left" w:leader="underscore" w:pos="8931"/>
        </w:tabs>
        <w:ind w:right="-1"/>
        <w:rPr>
          <w:sz w:val="23"/>
        </w:rPr>
      </w:pPr>
    </w:p>
    <w:p w:rsidR="00D55D07" w:rsidRDefault="00D55D07" w:rsidP="008522EE">
      <w:pPr>
        <w:pStyle w:val="Heading6"/>
        <w:tabs>
          <w:tab w:val="left" w:pos="709"/>
        </w:tabs>
        <w:rPr>
          <w:rFonts w:ascii="Times New Roman" w:hAnsi="Times New Roman"/>
          <w:u w:val="none"/>
        </w:rPr>
      </w:pPr>
      <w:r>
        <w:rPr>
          <w:rFonts w:ascii="Times New Roman" w:hAnsi="Times New Roman"/>
          <w:u w:val="none"/>
        </w:rPr>
        <w:tab/>
      </w:r>
      <w:r>
        <w:rPr>
          <w:rFonts w:ascii="Times New Roman" w:hAnsi="Times New Roman"/>
          <w:sz w:val="20"/>
          <w:u w:val="none"/>
        </w:rPr>
        <w:t xml:space="preserve">Name   </w:t>
      </w:r>
      <w:r w:rsidR="00046161" w:rsidRPr="00046161">
        <w:rPr>
          <w:rFonts w:ascii="Times New Roman" w:hAnsi="Times New Roman" w:cs="Times New Roman"/>
          <w:i w:val="0"/>
          <w:iCs w:val="0"/>
          <w:color w:val="auto"/>
          <w:sz w:val="23"/>
          <w:szCs w:val="23"/>
          <w:u w:val="none"/>
          <w:lang w:eastAsia="es-ES"/>
        </w:rPr>
        <w:t>Ingrida Circene</w:t>
      </w:r>
      <w:r>
        <w:rPr>
          <w:rFonts w:ascii="Times New Roman" w:hAnsi="Times New Roman"/>
          <w:sz w:val="20"/>
          <w:u w:val="none"/>
        </w:rPr>
        <w:t xml:space="preserve"> </w:t>
      </w:r>
      <w:r>
        <w:rPr>
          <w:rFonts w:ascii="Times New Roman" w:hAnsi="Times New Roman"/>
          <w:i w:val="0"/>
          <w:u w:val="none"/>
        </w:rPr>
        <w:t xml:space="preserve"> </w:t>
      </w:r>
      <w:r w:rsidRPr="00BD4A53">
        <w:rPr>
          <w:rFonts w:ascii="Times New Roman" w:hAnsi="Times New Roman"/>
          <w:u w:val="none"/>
        </w:rPr>
        <w:tab/>
      </w:r>
      <w:r>
        <w:rPr>
          <w:rFonts w:ascii="Times New Roman" w:hAnsi="Times New Roman"/>
          <w:u w:val="none"/>
        </w:rPr>
        <w:tab/>
        <w:t xml:space="preserve">                         </w:t>
      </w:r>
      <w:r>
        <w:rPr>
          <w:rFonts w:ascii="Times New Roman" w:hAnsi="Times New Roman"/>
          <w:sz w:val="20"/>
          <w:u w:val="none"/>
        </w:rPr>
        <w:t xml:space="preserve">Title    </w:t>
      </w:r>
      <w:r w:rsidR="00046161">
        <w:rPr>
          <w:rFonts w:ascii="Times New Roman" w:hAnsi="Times New Roman"/>
          <w:i w:val="0"/>
          <w:u w:val="none"/>
        </w:rPr>
        <w:t>Minister for</w:t>
      </w:r>
      <w:r w:rsidRPr="00BD4A53">
        <w:rPr>
          <w:rFonts w:ascii="Times New Roman" w:hAnsi="Times New Roman"/>
          <w:i w:val="0"/>
          <w:u w:val="none"/>
        </w:rPr>
        <w:t xml:space="preserve"> Health</w:t>
      </w:r>
      <w:r>
        <w:rPr>
          <w:rFonts w:ascii="Times New Roman" w:hAnsi="Times New Roman"/>
          <w:sz w:val="20"/>
          <w:u w:val="none"/>
        </w:rPr>
        <w:t xml:space="preserve">  </w:t>
      </w:r>
      <w:r>
        <w:rPr>
          <w:rFonts w:ascii="Times New Roman" w:hAnsi="Times New Roman" w:cs="Times New Roman"/>
          <w:i w:val="0"/>
          <w:iCs w:val="0"/>
          <w:sz w:val="20"/>
          <w:szCs w:val="23"/>
          <w:u w:val="none"/>
        </w:rPr>
        <w:t xml:space="preserve">  </w:t>
      </w:r>
      <w:r>
        <w:rPr>
          <w:rFonts w:ascii="Times New Roman" w:hAnsi="Times New Roman" w:cs="Times New Roman"/>
          <w:i w:val="0"/>
          <w:iCs w:val="0"/>
          <w:sz w:val="20"/>
          <w:szCs w:val="23"/>
          <w:u w:val="none"/>
        </w:rPr>
        <w:tab/>
      </w:r>
      <w:r>
        <w:rPr>
          <w:rFonts w:ascii="Times New Roman" w:hAnsi="Times New Roman" w:cs="Times New Roman"/>
          <w:i w:val="0"/>
          <w:iCs w:val="0"/>
          <w:color w:val="auto"/>
          <w:sz w:val="23"/>
          <w:u w:val="none"/>
          <w:lang w:eastAsia="es-ES"/>
        </w:rPr>
        <w:tab/>
      </w:r>
    </w:p>
    <w:p w:rsidR="00D55D07" w:rsidRDefault="00D55D07" w:rsidP="00DE4964">
      <w:pPr>
        <w:tabs>
          <w:tab w:val="left" w:pos="567"/>
          <w:tab w:val="left" w:pos="810"/>
        </w:tabs>
        <w:ind w:right="-1"/>
      </w:pPr>
    </w:p>
    <w:p w:rsidR="00D55D07" w:rsidRDefault="00D55D07" w:rsidP="00DE4964">
      <w:pPr>
        <w:tabs>
          <w:tab w:val="left" w:pos="567"/>
          <w:tab w:val="left" w:pos="810"/>
        </w:tabs>
        <w:ind w:right="-1"/>
      </w:pPr>
    </w:p>
    <w:p w:rsidR="00D55D07" w:rsidRDefault="00D55D07" w:rsidP="00DE4964">
      <w:pPr>
        <w:tabs>
          <w:tab w:val="left" w:pos="567"/>
          <w:tab w:val="left" w:pos="810"/>
        </w:tabs>
        <w:ind w:right="-1"/>
      </w:pPr>
    </w:p>
    <w:p w:rsidR="00D55D07" w:rsidRDefault="00D55D07" w:rsidP="00DE4964">
      <w:pPr>
        <w:pStyle w:val="Heading9"/>
        <w:jc w:val="left"/>
        <w:rPr>
          <w:rFonts w:ascii="Times New Roman" w:hAnsi="Times New Roman"/>
          <w:b w:val="0"/>
          <w:bCs/>
          <w:i/>
          <w:iCs/>
        </w:rPr>
      </w:pPr>
      <w:r>
        <w:rPr>
          <w:rFonts w:ascii="Times New Roman" w:hAnsi="Times New Roman"/>
          <w:b w:val="0"/>
          <w:bCs/>
          <w:i/>
          <w:iCs/>
        </w:rPr>
        <w:t xml:space="preserve">For the WHO Regional Office for </w:t>
      </w:r>
      <w:smartTag w:uri="urn:schemas-microsoft-com:office:smarttags" w:element="country-region">
        <w:smartTag w:uri="urn:schemas-microsoft-com:office:smarttags" w:element="place">
          <w:r>
            <w:rPr>
              <w:rFonts w:ascii="Times New Roman" w:hAnsi="Times New Roman"/>
              <w:b w:val="0"/>
              <w:bCs/>
              <w:i/>
              <w:iCs/>
            </w:rPr>
            <w:t>Europe</w:t>
          </w:r>
        </w:smartTag>
      </w:smartTag>
    </w:p>
    <w:p w:rsidR="00D55D07" w:rsidRDefault="00D55D07" w:rsidP="00DE4964">
      <w:pPr>
        <w:tabs>
          <w:tab w:val="left" w:pos="567"/>
          <w:tab w:val="left" w:pos="810"/>
        </w:tabs>
        <w:ind w:right="-1"/>
        <w:rPr>
          <w:sz w:val="23"/>
        </w:rPr>
      </w:pPr>
    </w:p>
    <w:p w:rsidR="00D55D07" w:rsidRDefault="00D55D07" w:rsidP="00DE4964">
      <w:pPr>
        <w:tabs>
          <w:tab w:val="left" w:pos="7118"/>
        </w:tabs>
        <w:ind w:right="-1"/>
        <w:rPr>
          <w:sz w:val="23"/>
        </w:rPr>
      </w:pPr>
      <w:r>
        <w:rPr>
          <w:sz w:val="23"/>
        </w:rPr>
        <w:tab/>
      </w:r>
    </w:p>
    <w:p w:rsidR="00D55D07" w:rsidRDefault="00D55D07" w:rsidP="00DE4964">
      <w:pPr>
        <w:tabs>
          <w:tab w:val="left" w:pos="450"/>
          <w:tab w:val="left" w:pos="567"/>
          <w:tab w:val="left" w:leader="underscore" w:pos="4536"/>
          <w:tab w:val="left" w:pos="5103"/>
          <w:tab w:val="left" w:leader="underscore" w:pos="8931"/>
        </w:tabs>
        <w:ind w:right="-1"/>
        <w:rPr>
          <w:sz w:val="23"/>
        </w:rPr>
      </w:pPr>
      <w:r>
        <w:rPr>
          <w:sz w:val="23"/>
        </w:rPr>
        <w:tab/>
      </w:r>
      <w:r>
        <w:rPr>
          <w:sz w:val="23"/>
        </w:rPr>
        <w:tab/>
      </w:r>
      <w:r>
        <w:rPr>
          <w:sz w:val="23"/>
        </w:rPr>
        <w:tab/>
      </w:r>
      <w:r>
        <w:rPr>
          <w:sz w:val="23"/>
        </w:rPr>
        <w:tab/>
      </w:r>
      <w:r>
        <w:rPr>
          <w:sz w:val="23"/>
        </w:rPr>
        <w:tab/>
      </w:r>
    </w:p>
    <w:p w:rsidR="00D55D07" w:rsidRDefault="00D55D07" w:rsidP="00DE4964">
      <w:pPr>
        <w:pStyle w:val="Heading6"/>
        <w:tabs>
          <w:tab w:val="left" w:pos="709"/>
        </w:tabs>
        <w:rPr>
          <w:rFonts w:ascii="Times New Roman" w:hAnsi="Times New Roman"/>
          <w:u w:val="none"/>
        </w:rPr>
      </w:pPr>
      <w:r>
        <w:rPr>
          <w:rFonts w:ascii="Times New Roman" w:hAnsi="Times New Roman"/>
          <w:u w:val="none"/>
        </w:rPr>
        <w:tab/>
      </w:r>
      <w:r>
        <w:rPr>
          <w:rFonts w:ascii="Times New Roman" w:hAnsi="Times New Roman"/>
          <w:sz w:val="20"/>
          <w:u w:val="none"/>
        </w:rPr>
        <w:t>Signature</w:t>
      </w:r>
      <w:r>
        <w:rPr>
          <w:rFonts w:ascii="Times New Roman" w:hAnsi="Times New Roman"/>
          <w:u w:val="none"/>
        </w:rPr>
        <w:tab/>
      </w:r>
      <w:r>
        <w:rPr>
          <w:rFonts w:ascii="Times New Roman" w:hAnsi="Times New Roman"/>
          <w:u w:val="none"/>
        </w:rPr>
        <w:tab/>
      </w:r>
      <w:r>
        <w:rPr>
          <w:rFonts w:ascii="Times New Roman" w:hAnsi="Times New Roman"/>
          <w:u w:val="none"/>
        </w:rPr>
        <w:tab/>
      </w:r>
      <w:r>
        <w:rPr>
          <w:rFonts w:ascii="Times New Roman" w:hAnsi="Times New Roman"/>
          <w:sz w:val="20"/>
          <w:u w:val="none"/>
        </w:rPr>
        <w:t>Date</w:t>
      </w:r>
    </w:p>
    <w:p w:rsidR="00D55D07" w:rsidRDefault="00D55D07" w:rsidP="00DE4964">
      <w:pPr>
        <w:tabs>
          <w:tab w:val="left" w:pos="567"/>
          <w:tab w:val="left" w:pos="810"/>
          <w:tab w:val="left" w:leader="underscore" w:pos="4536"/>
          <w:tab w:val="left" w:pos="5103"/>
          <w:tab w:val="left" w:leader="underscore" w:pos="8931"/>
        </w:tabs>
        <w:ind w:right="-1"/>
        <w:rPr>
          <w:sz w:val="23"/>
        </w:rPr>
      </w:pPr>
    </w:p>
    <w:p w:rsidR="00D55D07" w:rsidRDefault="00D55D07" w:rsidP="00A80060">
      <w:pPr>
        <w:tabs>
          <w:tab w:val="left" w:pos="450"/>
          <w:tab w:val="left" w:pos="567"/>
          <w:tab w:val="left" w:leader="underscore" w:pos="4536"/>
          <w:tab w:val="left" w:pos="5103"/>
          <w:tab w:val="left" w:leader="underscore" w:pos="8931"/>
        </w:tabs>
        <w:ind w:right="-1"/>
        <w:rPr>
          <w:sz w:val="23"/>
        </w:rPr>
      </w:pPr>
      <w:r>
        <w:rPr>
          <w:sz w:val="23"/>
        </w:rPr>
        <w:tab/>
      </w:r>
      <w:r>
        <w:rPr>
          <w:sz w:val="23"/>
        </w:rPr>
        <w:tab/>
      </w:r>
    </w:p>
    <w:p w:rsidR="00D55D07" w:rsidRDefault="00D55D07" w:rsidP="00DE4964">
      <w:pPr>
        <w:pStyle w:val="Heading6"/>
        <w:tabs>
          <w:tab w:val="left" w:pos="709"/>
        </w:tabs>
        <w:rPr>
          <w:rFonts w:ascii="Times New Roman" w:hAnsi="Times New Roman" w:cs="Times New Roman"/>
          <w:i w:val="0"/>
          <w:iCs w:val="0"/>
          <w:color w:val="auto"/>
          <w:sz w:val="23"/>
          <w:szCs w:val="23"/>
          <w:u w:val="none"/>
          <w:lang w:eastAsia="es-ES"/>
        </w:rPr>
      </w:pPr>
      <w:r>
        <w:rPr>
          <w:rFonts w:ascii="Times New Roman" w:hAnsi="Times New Roman"/>
          <w:u w:val="none"/>
        </w:rPr>
        <w:tab/>
      </w:r>
      <w:r>
        <w:rPr>
          <w:rFonts w:ascii="Times New Roman" w:hAnsi="Times New Roman"/>
          <w:sz w:val="20"/>
          <w:u w:val="none"/>
        </w:rPr>
        <w:t>Name</w:t>
      </w:r>
      <w:r>
        <w:rPr>
          <w:rFonts w:ascii="Times New Roman" w:hAnsi="Times New Roman"/>
          <w:u w:val="none"/>
        </w:rPr>
        <w:t xml:space="preserve">     </w:t>
      </w:r>
      <w:r w:rsidRPr="005951F7">
        <w:rPr>
          <w:rFonts w:ascii="Times New Roman" w:hAnsi="Times New Roman" w:cs="Times New Roman"/>
          <w:i w:val="0"/>
          <w:iCs w:val="0"/>
          <w:color w:val="auto"/>
          <w:sz w:val="23"/>
          <w:szCs w:val="23"/>
          <w:u w:val="none"/>
          <w:lang w:eastAsia="es-ES"/>
        </w:rPr>
        <w:t>Zsuzsanna Jakab</w:t>
      </w:r>
      <w:r>
        <w:rPr>
          <w:rFonts w:ascii="Times New Roman" w:hAnsi="Times New Roman"/>
          <w:u w:val="none"/>
        </w:rPr>
        <w:tab/>
      </w:r>
      <w:r>
        <w:rPr>
          <w:rFonts w:ascii="Times New Roman" w:hAnsi="Times New Roman"/>
          <w:u w:val="none"/>
        </w:rPr>
        <w:tab/>
      </w:r>
      <w:r>
        <w:rPr>
          <w:rFonts w:ascii="Times New Roman" w:hAnsi="Times New Roman"/>
          <w:sz w:val="20"/>
          <w:u w:val="none"/>
        </w:rPr>
        <w:t xml:space="preserve">Title     </w:t>
      </w:r>
      <w:r w:rsidRPr="005951F7">
        <w:rPr>
          <w:rFonts w:ascii="Times New Roman" w:hAnsi="Times New Roman" w:cs="Times New Roman"/>
          <w:i w:val="0"/>
          <w:iCs w:val="0"/>
          <w:color w:val="auto"/>
          <w:sz w:val="23"/>
          <w:szCs w:val="23"/>
          <w:u w:val="none"/>
          <w:lang w:eastAsia="es-ES"/>
        </w:rPr>
        <w:t>Regional Director</w:t>
      </w:r>
    </w:p>
    <w:p w:rsidR="00D55D07" w:rsidRDefault="00D55D07" w:rsidP="00CD630B"/>
    <w:p w:rsidR="00D55D07" w:rsidRPr="00CD630B" w:rsidRDefault="00D55D07" w:rsidP="00CD630B">
      <w:pPr>
        <w:sectPr w:rsidR="00D55D07" w:rsidRPr="00CD630B" w:rsidSect="00AC7F0D">
          <w:headerReference w:type="even" r:id="rId9"/>
          <w:headerReference w:type="default" r:id="rId10"/>
          <w:footerReference w:type="even" r:id="rId11"/>
          <w:footerReference w:type="default" r:id="rId12"/>
          <w:footerReference w:type="first" r:id="rId13"/>
          <w:type w:val="nextColumn"/>
          <w:pgSz w:w="11909" w:h="16834" w:code="9"/>
          <w:pgMar w:top="1134" w:right="1134" w:bottom="1134" w:left="1440" w:header="709" w:footer="709" w:gutter="0"/>
          <w:pgBorders w:offsetFrom="page">
            <w:top w:val="double" w:sz="12" w:space="24" w:color="auto"/>
            <w:left w:val="double" w:sz="12" w:space="24" w:color="auto"/>
            <w:bottom w:val="double" w:sz="12" w:space="24" w:color="auto"/>
            <w:right w:val="double" w:sz="12" w:space="24" w:color="auto"/>
          </w:pgBorders>
          <w:pgNumType w:start="1"/>
          <w:cols w:space="720"/>
          <w:titlePg/>
        </w:sectPr>
      </w:pPr>
    </w:p>
    <w:p w:rsidR="00D55D07" w:rsidRDefault="00D55D07" w:rsidP="00DE4964">
      <w:pPr>
        <w:pStyle w:val="Heading6"/>
        <w:tabs>
          <w:tab w:val="left" w:pos="709"/>
        </w:tabs>
        <w:rPr>
          <w:rFonts w:ascii="Times New Roman" w:hAnsi="Times New Roman"/>
          <w:u w:val="none"/>
        </w:rPr>
      </w:pPr>
    </w:p>
    <w:p w:rsidR="00D55D07" w:rsidRDefault="00D55D07" w:rsidP="00DE4964">
      <w:pPr>
        <w:tabs>
          <w:tab w:val="left" w:pos="567"/>
          <w:tab w:val="left" w:pos="7290"/>
        </w:tabs>
        <w:ind w:right="-1"/>
        <w:jc w:val="center"/>
        <w:rPr>
          <w:b/>
          <w:sz w:val="17"/>
        </w:rPr>
      </w:pPr>
    </w:p>
    <w:p w:rsidR="00D55D07" w:rsidRDefault="00D55D07" w:rsidP="00DE4964">
      <w:pPr>
        <w:pStyle w:val="Title"/>
        <w:rPr>
          <w:caps/>
        </w:rPr>
      </w:pPr>
      <w:r>
        <w:rPr>
          <w:caps/>
        </w:rPr>
        <w:t>Contents</w:t>
      </w:r>
    </w:p>
    <w:p w:rsidR="00D55D07" w:rsidRDefault="00D55D07" w:rsidP="00DE4964">
      <w:pPr>
        <w:tabs>
          <w:tab w:val="left" w:pos="567"/>
        </w:tabs>
        <w:ind w:right="-1"/>
        <w:jc w:val="center"/>
        <w:rPr>
          <w:b/>
          <w:smallCaps/>
        </w:rPr>
      </w:pPr>
    </w:p>
    <w:p w:rsidR="00D55D07" w:rsidRDefault="00D55D07" w:rsidP="00DE4964">
      <w:pPr>
        <w:tabs>
          <w:tab w:val="left" w:pos="567"/>
        </w:tabs>
        <w:ind w:right="-1"/>
        <w:jc w:val="center"/>
        <w:rPr>
          <w:b/>
          <w:smallCaps/>
        </w:rPr>
      </w:pPr>
    </w:p>
    <w:p w:rsidR="00D55D07" w:rsidRDefault="00D55D07" w:rsidP="00DE4964">
      <w:pPr>
        <w:tabs>
          <w:tab w:val="left" w:pos="567"/>
        </w:tabs>
        <w:ind w:right="-1"/>
        <w:jc w:val="center"/>
        <w:rPr>
          <w:b/>
          <w:smallCaps/>
        </w:rPr>
      </w:pPr>
    </w:p>
    <w:p w:rsidR="00D55D07" w:rsidRDefault="00D55D07" w:rsidP="00DE4964">
      <w:pPr>
        <w:rPr>
          <w:sz w:val="12"/>
        </w:rPr>
      </w:pPr>
    </w:p>
    <w:p w:rsidR="00D55D07" w:rsidRDefault="00D55D07" w:rsidP="00DE4964">
      <w:pPr>
        <w:tabs>
          <w:tab w:val="left" w:pos="567"/>
          <w:tab w:val="left" w:pos="1440"/>
          <w:tab w:val="right" w:pos="9180"/>
        </w:tabs>
        <w:ind w:right="-1"/>
      </w:pPr>
    </w:p>
    <w:p w:rsidR="00D55D07" w:rsidRDefault="00BF16DC">
      <w:pPr>
        <w:pStyle w:val="TOC1"/>
        <w:tabs>
          <w:tab w:val="right" w:leader="dot" w:pos="9325"/>
        </w:tabs>
        <w:rPr>
          <w:rFonts w:ascii="Calibri" w:hAnsi="Calibri" w:cs="Times New Roman"/>
          <w:b w:val="0"/>
          <w:bCs w:val="0"/>
          <w:caps w:val="0"/>
          <w:noProof/>
          <w:sz w:val="22"/>
          <w:szCs w:val="22"/>
          <w:lang w:eastAsia="en-GB"/>
        </w:rPr>
      </w:pPr>
      <w:r w:rsidRPr="00154E2E">
        <w:rPr>
          <w:rFonts w:ascii="Times New Roman" w:hAnsi="Times New Roman" w:cs="Times New Roman"/>
          <w:b w:val="0"/>
          <w:bCs w:val="0"/>
          <w:caps w:val="0"/>
        </w:rPr>
        <w:fldChar w:fldCharType="begin"/>
      </w:r>
      <w:r w:rsidR="00D55D07" w:rsidRPr="00154E2E">
        <w:rPr>
          <w:rFonts w:ascii="Times New Roman" w:hAnsi="Times New Roman" w:cs="Times New Roman"/>
          <w:b w:val="0"/>
          <w:bCs w:val="0"/>
          <w:caps w:val="0"/>
        </w:rPr>
        <w:instrText xml:space="preserve"> TOC \o "1-3" \h \z \u </w:instrText>
      </w:r>
      <w:r w:rsidRPr="00154E2E">
        <w:rPr>
          <w:rFonts w:ascii="Times New Roman" w:hAnsi="Times New Roman" w:cs="Times New Roman"/>
          <w:b w:val="0"/>
          <w:bCs w:val="0"/>
          <w:caps w:val="0"/>
        </w:rPr>
        <w:fldChar w:fldCharType="separate"/>
      </w:r>
      <w:hyperlink w:anchor="_Toc303786400" w:history="1">
        <w:r w:rsidR="00D55D07" w:rsidRPr="00EA4001">
          <w:rPr>
            <w:rStyle w:val="Hyperlink"/>
            <w:rFonts w:ascii="Times New Roman" w:hAnsi="Times New Roman"/>
            <w:noProof/>
            <w:lang w:eastAsia="en-GB"/>
          </w:rPr>
          <w:t>Introduction</w:t>
        </w:r>
        <w:r w:rsidR="00D55D07">
          <w:rPr>
            <w:noProof/>
            <w:webHidden/>
          </w:rPr>
          <w:tab/>
        </w:r>
        <w:r>
          <w:rPr>
            <w:noProof/>
            <w:webHidden/>
          </w:rPr>
          <w:fldChar w:fldCharType="begin"/>
        </w:r>
        <w:r w:rsidR="00D55D07">
          <w:rPr>
            <w:noProof/>
            <w:webHidden/>
          </w:rPr>
          <w:instrText xml:space="preserve"> PAGEREF _Toc303786400 \h </w:instrText>
        </w:r>
        <w:r>
          <w:rPr>
            <w:noProof/>
            <w:webHidden/>
          </w:rPr>
        </w:r>
        <w:r>
          <w:rPr>
            <w:noProof/>
            <w:webHidden/>
          </w:rPr>
          <w:fldChar w:fldCharType="separate"/>
        </w:r>
        <w:r w:rsidR="0040515D">
          <w:rPr>
            <w:noProof/>
            <w:webHidden/>
          </w:rPr>
          <w:t>2</w:t>
        </w:r>
        <w:r>
          <w:rPr>
            <w:noProof/>
            <w:webHidden/>
          </w:rPr>
          <w:fldChar w:fldCharType="end"/>
        </w:r>
      </w:hyperlink>
    </w:p>
    <w:p w:rsidR="00D55D07" w:rsidRDefault="00BF16DC">
      <w:pPr>
        <w:pStyle w:val="TOC1"/>
        <w:tabs>
          <w:tab w:val="right" w:leader="dot" w:pos="9325"/>
        </w:tabs>
        <w:rPr>
          <w:rFonts w:ascii="Calibri" w:hAnsi="Calibri" w:cs="Times New Roman"/>
          <w:b w:val="0"/>
          <w:bCs w:val="0"/>
          <w:caps w:val="0"/>
          <w:noProof/>
          <w:sz w:val="22"/>
          <w:szCs w:val="22"/>
          <w:lang w:eastAsia="en-GB"/>
        </w:rPr>
      </w:pPr>
      <w:hyperlink w:anchor="_Toc303786401" w:history="1">
        <w:r w:rsidR="00D55D07" w:rsidRPr="00EA4001">
          <w:rPr>
            <w:rStyle w:val="Hyperlink"/>
            <w:rFonts w:ascii="Times New Roman" w:hAnsi="Times New Roman"/>
            <w:noProof/>
            <w:lang w:eastAsia="en-GB"/>
          </w:rPr>
          <w:t>Terms of Collaboration</w:t>
        </w:r>
        <w:r w:rsidR="00D55D07">
          <w:rPr>
            <w:noProof/>
            <w:webHidden/>
          </w:rPr>
          <w:tab/>
        </w:r>
      </w:hyperlink>
      <w:r w:rsidR="00BA6EAE">
        <w:t>5</w:t>
      </w:r>
    </w:p>
    <w:p w:rsidR="00D55D07" w:rsidRDefault="00BF16DC">
      <w:pPr>
        <w:pStyle w:val="TOC1"/>
        <w:tabs>
          <w:tab w:val="right" w:leader="dot" w:pos="9325"/>
        </w:tabs>
        <w:rPr>
          <w:rFonts w:ascii="Calibri" w:hAnsi="Calibri" w:cs="Times New Roman"/>
          <w:b w:val="0"/>
          <w:bCs w:val="0"/>
          <w:caps w:val="0"/>
          <w:noProof/>
          <w:sz w:val="22"/>
          <w:szCs w:val="22"/>
          <w:lang w:eastAsia="en-GB"/>
        </w:rPr>
      </w:pPr>
      <w:hyperlink w:anchor="_Toc303786402" w:history="1">
        <w:r w:rsidR="00D55D07" w:rsidRPr="00EA4001">
          <w:rPr>
            <w:rStyle w:val="Hyperlink"/>
            <w:rFonts w:ascii="Times New Roman" w:hAnsi="Times New Roman"/>
            <w:noProof/>
            <w:lang w:eastAsia="en-GB"/>
          </w:rPr>
          <w:t>PART 1. Medium-Term priorities for collaboration for 2008-2013</w:t>
        </w:r>
        <w:r w:rsidR="00D55D07">
          <w:rPr>
            <w:rStyle w:val="Hyperlink"/>
            <w:rFonts w:ascii="Times New Roman" w:hAnsi="Times New Roman"/>
            <w:noProof/>
            <w:lang w:eastAsia="en-GB"/>
          </w:rPr>
          <w:br/>
          <w:t xml:space="preserve">               </w:t>
        </w:r>
        <w:r w:rsidR="00D55D07" w:rsidRPr="00EA4001">
          <w:rPr>
            <w:rStyle w:val="Hyperlink"/>
            <w:rFonts w:ascii="Times New Roman" w:hAnsi="Times New Roman"/>
            <w:noProof/>
            <w:lang w:eastAsia="en-GB"/>
          </w:rPr>
          <w:t xml:space="preserve"> and priorities for 2012-2013</w:t>
        </w:r>
        <w:r w:rsidR="00D55D07">
          <w:rPr>
            <w:noProof/>
            <w:webHidden/>
          </w:rPr>
          <w:tab/>
        </w:r>
      </w:hyperlink>
      <w:r w:rsidR="00BA6EAE">
        <w:t>7</w:t>
      </w:r>
    </w:p>
    <w:p w:rsidR="00D55D07" w:rsidRDefault="00BF16DC">
      <w:pPr>
        <w:pStyle w:val="TOC1"/>
        <w:tabs>
          <w:tab w:val="right" w:leader="dot" w:pos="9325"/>
        </w:tabs>
        <w:rPr>
          <w:rFonts w:ascii="Calibri" w:hAnsi="Calibri" w:cs="Times New Roman"/>
          <w:b w:val="0"/>
          <w:bCs w:val="0"/>
          <w:caps w:val="0"/>
          <w:noProof/>
          <w:sz w:val="22"/>
          <w:szCs w:val="22"/>
          <w:lang w:eastAsia="en-GB"/>
        </w:rPr>
      </w:pPr>
      <w:hyperlink w:anchor="_Toc303786403" w:history="1">
        <w:r w:rsidR="00D55D07" w:rsidRPr="00EA4001">
          <w:rPr>
            <w:rStyle w:val="Hyperlink"/>
            <w:rFonts w:ascii="Times New Roman" w:hAnsi="Times New Roman"/>
            <w:noProof/>
            <w:lang w:eastAsia="en-GB"/>
          </w:rPr>
          <w:t>PART 2. Budget and Commitments for 2012–2013</w:t>
        </w:r>
        <w:r w:rsidR="00D55D07">
          <w:rPr>
            <w:noProof/>
            <w:webHidden/>
          </w:rPr>
          <w:tab/>
        </w:r>
        <w:r w:rsidR="00BA6EAE">
          <w:rPr>
            <w:noProof/>
            <w:webHidden/>
          </w:rPr>
          <w:t>9</w:t>
        </w:r>
      </w:hyperlink>
    </w:p>
    <w:p w:rsidR="00D55D07" w:rsidRDefault="00BF16DC">
      <w:pPr>
        <w:pStyle w:val="TOC2"/>
        <w:tabs>
          <w:tab w:val="left" w:pos="480"/>
          <w:tab w:val="right" w:leader="dot" w:pos="9325"/>
        </w:tabs>
        <w:rPr>
          <w:rFonts w:ascii="Calibri" w:hAnsi="Calibri"/>
          <w:b w:val="0"/>
          <w:bCs w:val="0"/>
          <w:noProof/>
          <w:sz w:val="22"/>
          <w:szCs w:val="22"/>
          <w:lang w:eastAsia="en-GB"/>
        </w:rPr>
      </w:pPr>
      <w:hyperlink w:anchor="_Toc303786404" w:history="1">
        <w:r w:rsidR="00D55D07" w:rsidRPr="00EA4001">
          <w:rPr>
            <w:rStyle w:val="Hyperlink"/>
            <w:noProof/>
          </w:rPr>
          <w:t>2.1</w:t>
        </w:r>
        <w:r w:rsidR="00D55D07">
          <w:rPr>
            <w:rFonts w:ascii="Calibri" w:hAnsi="Calibri"/>
            <w:b w:val="0"/>
            <w:bCs w:val="0"/>
            <w:noProof/>
            <w:sz w:val="22"/>
            <w:szCs w:val="22"/>
            <w:lang w:eastAsia="en-GB"/>
          </w:rPr>
          <w:tab/>
        </w:r>
        <w:r w:rsidR="00D55D07" w:rsidRPr="00EA4001">
          <w:rPr>
            <w:rStyle w:val="Hyperlink"/>
            <w:noProof/>
          </w:rPr>
          <w:t>Budget and Financing</w:t>
        </w:r>
        <w:r w:rsidR="00D55D07">
          <w:rPr>
            <w:noProof/>
            <w:webHidden/>
          </w:rPr>
          <w:tab/>
        </w:r>
      </w:hyperlink>
      <w:r w:rsidR="00BA6EAE">
        <w:t>9</w:t>
      </w:r>
    </w:p>
    <w:p w:rsidR="00D55D07" w:rsidRDefault="00BF16DC">
      <w:pPr>
        <w:pStyle w:val="TOC2"/>
        <w:tabs>
          <w:tab w:val="left" w:pos="480"/>
          <w:tab w:val="right" w:leader="dot" w:pos="9325"/>
        </w:tabs>
        <w:rPr>
          <w:rFonts w:ascii="Calibri" w:hAnsi="Calibri"/>
          <w:b w:val="0"/>
          <w:bCs w:val="0"/>
          <w:noProof/>
          <w:sz w:val="22"/>
          <w:szCs w:val="22"/>
          <w:lang w:eastAsia="en-GB"/>
        </w:rPr>
      </w:pPr>
      <w:hyperlink w:anchor="_Toc303786405" w:history="1">
        <w:r w:rsidR="00D55D07" w:rsidRPr="00EA4001">
          <w:rPr>
            <w:rStyle w:val="Hyperlink"/>
            <w:noProof/>
          </w:rPr>
          <w:t>2.2</w:t>
        </w:r>
        <w:r w:rsidR="00D55D07">
          <w:rPr>
            <w:rFonts w:ascii="Calibri" w:hAnsi="Calibri"/>
            <w:b w:val="0"/>
            <w:bCs w:val="0"/>
            <w:noProof/>
            <w:sz w:val="22"/>
            <w:szCs w:val="22"/>
            <w:lang w:eastAsia="en-GB"/>
          </w:rPr>
          <w:tab/>
        </w:r>
        <w:r w:rsidR="00D55D07" w:rsidRPr="00EA4001">
          <w:rPr>
            <w:rStyle w:val="Hyperlink"/>
            <w:noProof/>
          </w:rPr>
          <w:t>Commitments</w:t>
        </w:r>
        <w:r w:rsidR="00D55D07">
          <w:rPr>
            <w:noProof/>
            <w:webHidden/>
          </w:rPr>
          <w:tab/>
        </w:r>
        <w:r w:rsidR="00BA6EAE">
          <w:rPr>
            <w:noProof/>
            <w:webHidden/>
          </w:rPr>
          <w:t>9</w:t>
        </w:r>
      </w:hyperlink>
    </w:p>
    <w:p w:rsidR="00D55D07" w:rsidRDefault="00D55D07">
      <w:pPr>
        <w:pStyle w:val="TOC3"/>
        <w:tabs>
          <w:tab w:val="left" w:pos="960"/>
          <w:tab w:val="right" w:leader="dot" w:pos="9325"/>
        </w:tabs>
        <w:rPr>
          <w:rStyle w:val="Hyperlink"/>
          <w:noProof/>
        </w:rPr>
      </w:pPr>
    </w:p>
    <w:p w:rsidR="00D55D07" w:rsidRDefault="00BF16DC">
      <w:pPr>
        <w:pStyle w:val="TOC3"/>
        <w:tabs>
          <w:tab w:val="left" w:pos="960"/>
          <w:tab w:val="right" w:leader="dot" w:pos="9325"/>
        </w:tabs>
        <w:rPr>
          <w:rFonts w:ascii="Calibri" w:hAnsi="Calibri"/>
          <w:noProof/>
          <w:sz w:val="22"/>
          <w:szCs w:val="22"/>
          <w:lang w:eastAsia="en-GB"/>
        </w:rPr>
      </w:pPr>
      <w:hyperlink w:anchor="_Toc303786406" w:history="1">
        <w:r w:rsidR="00D55D07" w:rsidRPr="00EA4001">
          <w:rPr>
            <w:rStyle w:val="Hyperlink"/>
            <w:noProof/>
          </w:rPr>
          <w:t>2.2.1</w:t>
        </w:r>
        <w:r w:rsidR="00D55D07">
          <w:rPr>
            <w:rFonts w:ascii="Calibri" w:hAnsi="Calibri"/>
            <w:noProof/>
            <w:sz w:val="22"/>
            <w:szCs w:val="22"/>
            <w:lang w:eastAsia="en-GB"/>
          </w:rPr>
          <w:tab/>
        </w:r>
        <w:r w:rsidR="00D55D07" w:rsidRPr="00EA4001">
          <w:rPr>
            <w:rStyle w:val="Hyperlink"/>
            <w:noProof/>
          </w:rPr>
          <w:t>Commitments of the WHO Secretariat</w:t>
        </w:r>
        <w:r w:rsidR="00D55D07">
          <w:rPr>
            <w:noProof/>
            <w:webHidden/>
          </w:rPr>
          <w:tab/>
        </w:r>
      </w:hyperlink>
      <w:r w:rsidR="00BA6EAE">
        <w:t>9</w:t>
      </w:r>
    </w:p>
    <w:p w:rsidR="00D55D07" w:rsidRDefault="00BF16DC">
      <w:pPr>
        <w:pStyle w:val="TOC3"/>
        <w:tabs>
          <w:tab w:val="left" w:pos="960"/>
          <w:tab w:val="right" w:leader="dot" w:pos="9325"/>
        </w:tabs>
        <w:rPr>
          <w:rFonts w:ascii="Calibri" w:hAnsi="Calibri"/>
          <w:noProof/>
          <w:sz w:val="22"/>
          <w:szCs w:val="22"/>
          <w:lang w:eastAsia="en-GB"/>
        </w:rPr>
      </w:pPr>
      <w:hyperlink w:anchor="_Toc303786407" w:history="1">
        <w:r w:rsidR="00D55D07" w:rsidRPr="00EA4001">
          <w:rPr>
            <w:rStyle w:val="Hyperlink"/>
            <w:noProof/>
          </w:rPr>
          <w:t>2.2.2</w:t>
        </w:r>
        <w:r w:rsidR="00D55D07">
          <w:rPr>
            <w:rFonts w:ascii="Calibri" w:hAnsi="Calibri"/>
            <w:noProof/>
            <w:sz w:val="22"/>
            <w:szCs w:val="22"/>
            <w:lang w:eastAsia="en-GB"/>
          </w:rPr>
          <w:tab/>
        </w:r>
        <w:r w:rsidR="005A48D2">
          <w:rPr>
            <w:rStyle w:val="Hyperlink"/>
            <w:noProof/>
          </w:rPr>
          <w:t>Commitments of the MoH</w:t>
        </w:r>
        <w:r w:rsidR="00D55D07">
          <w:rPr>
            <w:noProof/>
            <w:webHidden/>
          </w:rPr>
          <w:tab/>
        </w:r>
      </w:hyperlink>
      <w:r w:rsidR="00BA6EAE">
        <w:t>9</w:t>
      </w:r>
    </w:p>
    <w:p w:rsidR="00D55D07" w:rsidRDefault="00BF16DC">
      <w:pPr>
        <w:pStyle w:val="TOC1"/>
        <w:tabs>
          <w:tab w:val="right" w:leader="dot" w:pos="9325"/>
        </w:tabs>
        <w:rPr>
          <w:rFonts w:ascii="Calibri" w:hAnsi="Calibri" w:cs="Times New Roman"/>
          <w:b w:val="0"/>
          <w:bCs w:val="0"/>
          <w:caps w:val="0"/>
          <w:noProof/>
          <w:sz w:val="22"/>
          <w:szCs w:val="22"/>
          <w:lang w:eastAsia="en-GB"/>
        </w:rPr>
      </w:pPr>
      <w:hyperlink w:anchor="_Toc303786408" w:history="1">
        <w:r w:rsidR="00D55D07" w:rsidRPr="00EA4001">
          <w:rPr>
            <w:rStyle w:val="Hyperlink"/>
            <w:rFonts w:ascii="Times New Roman" w:hAnsi="Times New Roman"/>
            <w:noProof/>
            <w:lang w:eastAsia="en-GB"/>
          </w:rPr>
          <w:t>Annex: Priority Outcomes and Outputs</w:t>
        </w:r>
        <w:r w:rsidR="00D55D07">
          <w:rPr>
            <w:noProof/>
            <w:webHidden/>
          </w:rPr>
          <w:tab/>
        </w:r>
      </w:hyperlink>
      <w:r w:rsidR="00BA6EAE">
        <w:t>10</w:t>
      </w:r>
    </w:p>
    <w:p w:rsidR="00D55D07" w:rsidRDefault="00BF16DC">
      <w:pPr>
        <w:pStyle w:val="TOC1"/>
        <w:tabs>
          <w:tab w:val="right" w:leader="dot" w:pos="9325"/>
        </w:tabs>
        <w:rPr>
          <w:rFonts w:ascii="Calibri" w:hAnsi="Calibri" w:cs="Times New Roman"/>
          <w:b w:val="0"/>
          <w:bCs w:val="0"/>
          <w:caps w:val="0"/>
          <w:noProof/>
          <w:sz w:val="22"/>
          <w:szCs w:val="22"/>
          <w:lang w:eastAsia="en-GB"/>
        </w:rPr>
      </w:pPr>
      <w:hyperlink w:anchor="_Toc303786409" w:history="1">
        <w:r w:rsidR="00D55D07" w:rsidRPr="00EA4001">
          <w:rPr>
            <w:rStyle w:val="Hyperlink"/>
            <w:rFonts w:ascii="Times New Roman" w:hAnsi="Times New Roman"/>
            <w:noProof/>
          </w:rPr>
          <w:t>LIST OF A</w:t>
        </w:r>
        <w:r w:rsidR="00D55D07" w:rsidRPr="00EA4001">
          <w:rPr>
            <w:rStyle w:val="Hyperlink"/>
            <w:rFonts w:ascii="Times New Roman" w:hAnsi="Times New Roman"/>
            <w:noProof/>
            <w:lang w:eastAsia="en-GB"/>
          </w:rPr>
          <w:t>BBREVIATIONS</w:t>
        </w:r>
        <w:r w:rsidR="00D55D07">
          <w:rPr>
            <w:noProof/>
            <w:webHidden/>
          </w:rPr>
          <w:tab/>
        </w:r>
      </w:hyperlink>
      <w:r w:rsidR="00BA6EAE">
        <w:t>18</w:t>
      </w:r>
    </w:p>
    <w:p w:rsidR="00D55D07" w:rsidRPr="00206132" w:rsidRDefault="00BF16DC" w:rsidP="00B804DF">
      <w:pPr>
        <w:pStyle w:val="TOC1"/>
        <w:tabs>
          <w:tab w:val="right" w:leader="dot" w:pos="9325"/>
        </w:tabs>
        <w:rPr>
          <w:sz w:val="28"/>
          <w:szCs w:val="28"/>
        </w:rPr>
        <w:sectPr w:rsidR="00D55D07" w:rsidRPr="00206132" w:rsidSect="00AC7F0D">
          <w:footerReference w:type="default" r:id="rId14"/>
          <w:footerReference w:type="first" r:id="rId15"/>
          <w:type w:val="nextColumn"/>
          <w:pgSz w:w="11909" w:h="16834" w:code="9"/>
          <w:pgMar w:top="1134" w:right="1134" w:bottom="1134" w:left="1440" w:header="720" w:footer="720" w:gutter="0"/>
          <w:pgNumType w:start="1"/>
          <w:cols w:space="720"/>
          <w:titlePg/>
        </w:sectPr>
      </w:pPr>
      <w:r w:rsidRPr="00154E2E">
        <w:rPr>
          <w:rFonts w:ascii="Times New Roman" w:hAnsi="Times New Roman" w:cs="Times New Roman"/>
          <w:b w:val="0"/>
          <w:bCs w:val="0"/>
          <w:caps w:val="0"/>
        </w:rPr>
        <w:fldChar w:fldCharType="end"/>
      </w:r>
    </w:p>
    <w:p w:rsidR="00D55D07" w:rsidRPr="008D2B76" w:rsidRDefault="00D55D07" w:rsidP="008D2B76">
      <w:pPr>
        <w:pStyle w:val="Heading1"/>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FF"/>
          <w:lang w:eastAsia="en-GB"/>
        </w:rPr>
      </w:pPr>
      <w:bookmarkStart w:id="0" w:name="_Toc111434525"/>
      <w:bookmarkStart w:id="1" w:name="_Toc303786400"/>
      <w:bookmarkStart w:id="2" w:name="_Toc531154085"/>
      <w:bookmarkStart w:id="3" w:name="_Toc531426975"/>
      <w:bookmarkStart w:id="4" w:name="_Toc49659208"/>
      <w:bookmarkStart w:id="5" w:name="_Toc101084187"/>
      <w:bookmarkStart w:id="6" w:name="_Toc105576782"/>
      <w:r w:rsidRPr="008D2B76">
        <w:rPr>
          <w:rFonts w:ascii="Times New Roman" w:hAnsi="Times New Roman" w:cs="Times New Roman"/>
          <w:color w:val="0000FF"/>
          <w:lang w:eastAsia="en-GB"/>
        </w:rPr>
        <w:lastRenderedPageBreak/>
        <w:t>Introduction</w:t>
      </w:r>
      <w:bookmarkEnd w:id="0"/>
      <w:bookmarkEnd w:id="1"/>
    </w:p>
    <w:p w:rsidR="00D55D07" w:rsidRPr="00A43273" w:rsidRDefault="00D55D07" w:rsidP="00DE4964">
      <w:pPr>
        <w:keepNext/>
        <w:autoSpaceDE w:val="0"/>
        <w:autoSpaceDN w:val="0"/>
        <w:adjustRightInd w:val="0"/>
        <w:outlineLvl w:val="1"/>
        <w:rPr>
          <w:rFonts w:cs="Arial"/>
          <w:b/>
          <w:bCs/>
          <w:color w:val="0000FF"/>
          <w:lang w:eastAsia="en-GB"/>
        </w:rPr>
      </w:pPr>
      <w:r>
        <w:rPr>
          <w:rFonts w:cs="Arial"/>
          <w:b/>
          <w:bCs/>
          <w:sz w:val="22"/>
          <w:szCs w:val="22"/>
          <w:lang w:eastAsia="en-GB"/>
        </w:rPr>
        <w:t xml:space="preserve"> </w:t>
      </w:r>
    </w:p>
    <w:p w:rsidR="00D55D07" w:rsidRPr="007D3B81" w:rsidRDefault="00D55D07" w:rsidP="007D3B81">
      <w:pPr>
        <w:pStyle w:val="BodyText3"/>
        <w:rPr>
          <w:sz w:val="24"/>
          <w:szCs w:val="24"/>
        </w:rPr>
      </w:pPr>
      <w:r w:rsidRPr="007D3B81">
        <w:rPr>
          <w:sz w:val="24"/>
          <w:szCs w:val="24"/>
          <w:lang w:val="en-US"/>
        </w:rPr>
        <w:t xml:space="preserve">In </w:t>
      </w:r>
      <w:smartTag w:uri="urn:schemas-microsoft-com:office:smarttags" w:element="country-region">
        <w:smartTag w:uri="urn:schemas-microsoft-com:office:smarttags" w:element="place">
          <w:r w:rsidRPr="007D3B81">
            <w:rPr>
              <w:sz w:val="24"/>
              <w:szCs w:val="24"/>
              <w:lang w:val="en-US"/>
            </w:rPr>
            <w:t>Latvia</w:t>
          </w:r>
        </w:smartTag>
      </w:smartTag>
      <w:r w:rsidRPr="007D3B81">
        <w:rPr>
          <w:sz w:val="24"/>
          <w:szCs w:val="24"/>
          <w:lang w:val="en-US"/>
        </w:rPr>
        <w:t xml:space="preserve"> </w:t>
      </w:r>
      <w:r w:rsidRPr="007D3B81">
        <w:rPr>
          <w:sz w:val="24"/>
          <w:szCs w:val="24"/>
        </w:rPr>
        <w:t xml:space="preserve">circulatory (heart) diseases have continued to be the main cause of death.  In the last decade, mortality from diseases of the circulatory system is on the increase among men and constant in females, diverging substantially from overall European trends. </w:t>
      </w:r>
      <w:r w:rsidRPr="007D3B81">
        <w:rPr>
          <w:sz w:val="24"/>
          <w:szCs w:val="24"/>
          <w:lang w:val="en-US" w:eastAsia="lv-LV"/>
        </w:rPr>
        <w:t xml:space="preserve">The large gap in mortality – especially premature mortality – between </w:t>
      </w:r>
      <w:smartTag w:uri="urn:schemas-microsoft-com:office:smarttags" w:element="country-region">
        <w:smartTag w:uri="urn:schemas-microsoft-com:office:smarttags" w:element="place">
          <w:r w:rsidRPr="007D3B81">
            <w:rPr>
              <w:sz w:val="24"/>
              <w:szCs w:val="24"/>
              <w:lang w:val="en-US" w:eastAsia="lv-LV"/>
            </w:rPr>
            <w:t>Latvia</w:t>
          </w:r>
        </w:smartTag>
      </w:smartTag>
      <w:r w:rsidRPr="007D3B81">
        <w:rPr>
          <w:sz w:val="24"/>
          <w:szCs w:val="24"/>
          <w:lang w:val="en-US" w:eastAsia="lv-LV"/>
        </w:rPr>
        <w:t xml:space="preserve"> and the EU15 has been persistent for years. Mostly it is attributable to handful of causes, namely the high probability that Latvians face of dying from heart attack, stroke or external causes. This is a major </w:t>
      </w:r>
      <w:r>
        <w:rPr>
          <w:sz w:val="24"/>
          <w:szCs w:val="24"/>
          <w:lang w:val="en-US" w:eastAsia="lv-LV"/>
        </w:rPr>
        <w:t xml:space="preserve">health </w:t>
      </w:r>
      <w:r w:rsidRPr="007D3B81">
        <w:rPr>
          <w:sz w:val="24"/>
          <w:szCs w:val="24"/>
          <w:lang w:val="en-US" w:eastAsia="lv-LV"/>
        </w:rPr>
        <w:t xml:space="preserve">problem for men in </w:t>
      </w:r>
      <w:smartTag w:uri="urn:schemas-microsoft-com:office:smarttags" w:element="country-region">
        <w:smartTag w:uri="urn:schemas-microsoft-com:office:smarttags" w:element="place">
          <w:r w:rsidRPr="007D3B81">
            <w:rPr>
              <w:sz w:val="24"/>
              <w:szCs w:val="24"/>
              <w:lang w:val="en-US" w:eastAsia="lv-LV"/>
            </w:rPr>
            <w:t>Latvia</w:t>
          </w:r>
        </w:smartTag>
      </w:smartTag>
      <w:r w:rsidRPr="007D3B81">
        <w:rPr>
          <w:sz w:val="24"/>
          <w:szCs w:val="24"/>
          <w:lang w:val="en-US" w:eastAsia="lv-LV"/>
        </w:rPr>
        <w:t xml:space="preserve"> and also the better numbers for women are still multiple times worse than the numbers in the EU15.</w:t>
      </w:r>
    </w:p>
    <w:p w:rsidR="00D55D07" w:rsidRPr="007D3B81" w:rsidRDefault="00D55D07" w:rsidP="007D3B81">
      <w:pPr>
        <w:pStyle w:val="BodyText2"/>
        <w:spacing w:before="100" w:beforeAutospacing="1" w:after="100" w:afterAutospacing="1" w:line="240" w:lineRule="auto"/>
        <w:ind w:right="-245"/>
        <w:jc w:val="both"/>
        <w:rPr>
          <w:lang w:val="en-US"/>
        </w:rPr>
      </w:pPr>
      <w:r w:rsidRPr="007D3B81">
        <w:rPr>
          <w:i/>
          <w:lang w:val="en-US"/>
        </w:rPr>
        <w:t xml:space="preserve">The main challenge of disease burden </w:t>
      </w:r>
      <w:r w:rsidRPr="007D3B81">
        <w:rPr>
          <w:lang w:val="en-US"/>
        </w:rPr>
        <w:t xml:space="preserve">is premature mortality caused by external causes and lifestyle-related risk factors. Similar to other industrialized countries, the main causes of mortality are the diseases of the circulatory system, cancer and external causes of death.   The lifestyle risk factors causing the disease burden are alcohol consumption, use of tobacco, low physical activity and low intake of fruits and vegetables. A growing challenge is the increasing prevalence of obesity. In the past decade, a new challenge of tackling communicable diseases such as HIV/AIDS and multidrug-resistant tuberculosis has emerged. </w:t>
      </w:r>
      <w:smartTag w:uri="urn:schemas-microsoft-com:office:smarttags" w:element="country-region">
        <w:smartTag w:uri="urn:schemas-microsoft-com:office:smarttags" w:element="place">
          <w:r w:rsidRPr="007D3B81">
            <w:rPr>
              <w:lang w:val="en-US"/>
            </w:rPr>
            <w:t>Latvia</w:t>
          </w:r>
        </w:smartTag>
      </w:smartTag>
      <w:r w:rsidRPr="007D3B81">
        <w:rPr>
          <w:lang w:val="en-US"/>
        </w:rPr>
        <w:t xml:space="preserve"> has kept other communicable diseases under control with broad vaccination programms implemented with high coverage. </w:t>
      </w:r>
    </w:p>
    <w:p w:rsidR="00D55D07" w:rsidRPr="007D3B81" w:rsidRDefault="00D55D07" w:rsidP="007D3B81">
      <w:pPr>
        <w:autoSpaceDE w:val="0"/>
        <w:autoSpaceDN w:val="0"/>
        <w:adjustRightInd w:val="0"/>
        <w:spacing w:before="100" w:beforeAutospacing="1" w:after="100" w:afterAutospacing="1"/>
        <w:jc w:val="both"/>
        <w:rPr>
          <w:lang w:val="en-US"/>
        </w:rPr>
      </w:pPr>
      <w:r w:rsidRPr="007D3B81">
        <w:rPr>
          <w:lang w:val="en-US"/>
        </w:rPr>
        <w:t xml:space="preserve">The infant mortality rate has decreased in recent years but still remains comparatively high. </w:t>
      </w:r>
      <w:r w:rsidRPr="007D3B81">
        <w:t xml:space="preserve">A positive tendency can be observed with a slight increase in the total number of healthy children. The number of infants being breastfed at 6 months of age is increasing since 2000 reaching 48.9% in 2008 and the rate is still growing. </w:t>
      </w:r>
    </w:p>
    <w:p w:rsidR="00D55D07" w:rsidRPr="007D3B81" w:rsidRDefault="00D55D07" w:rsidP="007D3B81">
      <w:pPr>
        <w:pStyle w:val="BodyText2"/>
        <w:spacing w:before="100" w:beforeAutospacing="1" w:after="100" w:afterAutospacing="1" w:line="240" w:lineRule="auto"/>
        <w:ind w:right="-245"/>
        <w:jc w:val="both"/>
      </w:pPr>
      <w:r w:rsidRPr="007D3B81">
        <w:t xml:space="preserve">Serious economic downfall has been the main characteristic of </w:t>
      </w:r>
      <w:smartTag w:uri="urn:schemas-microsoft-com:office:smarttags" w:element="country-region">
        <w:smartTag w:uri="urn:schemas-microsoft-com:office:smarttags" w:element="place">
          <w:r w:rsidRPr="007D3B81">
            <w:t>Latvia</w:t>
          </w:r>
        </w:smartTag>
      </w:smartTag>
      <w:r w:rsidRPr="007D3B81">
        <w:t xml:space="preserve"> in recent years starting from 2008, </w:t>
      </w:r>
      <w:r>
        <w:t xml:space="preserve">after a number of years of rapid economic growths.  Economic downfall in </w:t>
      </w:r>
      <w:smartTag w:uri="urn:schemas-microsoft-com:office:smarttags" w:element="country-region">
        <w:smartTag w:uri="urn:schemas-microsoft-com:office:smarttags" w:element="place">
          <w:r>
            <w:t>Latvia</w:t>
          </w:r>
        </w:smartTag>
      </w:smartTag>
      <w:r>
        <w:t xml:space="preserve"> was </w:t>
      </w:r>
      <w:r w:rsidRPr="007D3B81">
        <w:t xml:space="preserve">marked by high inflation, the halt of crediting and real estate market, decrease of production, increase of unemployment rate. The health sector was </w:t>
      </w:r>
      <w:r w:rsidRPr="007D3B81">
        <w:rPr>
          <w:i/>
        </w:rPr>
        <w:t>hit</w:t>
      </w:r>
      <w:r w:rsidRPr="007D3B81">
        <w:t xml:space="preserve"> along with other sectors, leading to cuts of employment, streamlining the governance of health sector and reductions in infrastructure. </w:t>
      </w:r>
    </w:p>
    <w:p w:rsidR="00D55D07" w:rsidRPr="007D3B81" w:rsidRDefault="00D55D07" w:rsidP="007D3B81">
      <w:pPr>
        <w:autoSpaceDE w:val="0"/>
        <w:autoSpaceDN w:val="0"/>
        <w:adjustRightInd w:val="0"/>
        <w:spacing w:before="100" w:beforeAutospacing="1" w:after="100" w:afterAutospacing="1"/>
        <w:jc w:val="both"/>
        <w:rPr>
          <w:lang w:val="en-US"/>
        </w:rPr>
      </w:pPr>
      <w:r w:rsidRPr="007D3B81">
        <w:rPr>
          <w:lang w:val="en-US"/>
        </w:rPr>
        <w:t xml:space="preserve">Over the last decade, and particularly in recent years, the health sector reforms have taken place </w:t>
      </w:r>
      <w:r>
        <w:rPr>
          <w:lang w:val="en-US"/>
        </w:rPr>
        <w:t xml:space="preserve">in </w:t>
      </w:r>
      <w:smartTag w:uri="urn:schemas-microsoft-com:office:smarttags" w:element="country-region">
        <w:smartTag w:uri="urn:schemas-microsoft-com:office:smarttags" w:element="place">
          <w:r>
            <w:rPr>
              <w:lang w:val="en-US"/>
            </w:rPr>
            <w:t>Latvia</w:t>
          </w:r>
        </w:smartTag>
      </w:smartTag>
      <w:r>
        <w:rPr>
          <w:lang w:val="en-US"/>
        </w:rPr>
        <w:t xml:space="preserve"> </w:t>
      </w:r>
      <w:r w:rsidRPr="007D3B81">
        <w:rPr>
          <w:lang w:val="en-US"/>
        </w:rPr>
        <w:t>and have been aimed at strengthening the primary health care, making improvements in efficiency of hospitals, rationalizing use of medicines, creating of united emergency care and protecting</w:t>
      </w:r>
      <w:r>
        <w:rPr>
          <w:lang w:val="en-US"/>
        </w:rPr>
        <w:t xml:space="preserve"> poor. </w:t>
      </w:r>
      <w:r w:rsidRPr="007D3B81">
        <w:rPr>
          <w:lang w:eastAsia="en-GB"/>
        </w:rPr>
        <w:t xml:space="preserve">A number of strategic documents have been developed and implemented over the last decade. </w:t>
      </w:r>
      <w:r>
        <w:rPr>
          <w:lang w:eastAsia="en-GB"/>
        </w:rPr>
        <w:t>A new Public Health Strategy 20</w:t>
      </w:r>
      <w:r w:rsidRPr="007D3B81">
        <w:rPr>
          <w:lang w:eastAsia="en-GB"/>
        </w:rPr>
        <w:t xml:space="preserve">11-2017 with </w:t>
      </w:r>
      <w:r w:rsidRPr="007D3B81">
        <w:rPr>
          <w:i/>
          <w:lang w:eastAsia="en-GB"/>
        </w:rPr>
        <w:t>health in all policies</w:t>
      </w:r>
      <w:r w:rsidRPr="007D3B81">
        <w:rPr>
          <w:lang w:eastAsia="en-GB"/>
        </w:rPr>
        <w:t xml:space="preserve"> approach was launched by Government in 2011. Although </w:t>
      </w:r>
      <w:r>
        <w:rPr>
          <w:lang w:eastAsia="en-GB"/>
        </w:rPr>
        <w:t>a number of strategic decisions have been undertaken</w:t>
      </w:r>
      <w:r w:rsidRPr="007D3B81">
        <w:rPr>
          <w:lang w:val="en-US"/>
        </w:rPr>
        <w:t xml:space="preserve">, various challenges remained in improving the health system and public health services further. Namely the necessity to improve the </w:t>
      </w:r>
      <w:r>
        <w:rPr>
          <w:lang w:val="en-US"/>
        </w:rPr>
        <w:t>stewardship r</w:t>
      </w:r>
      <w:r w:rsidRPr="007D3B81">
        <w:rPr>
          <w:lang w:val="en-US"/>
        </w:rPr>
        <w:t xml:space="preserve">ole within the health sector; ensuring continuity of care and chronic disease management and improving inter-sectoral links between health care, public health and social care; addressing the quality of care; limiting out-of-pocket payments and managing the cost increase of services; ensuring financial sustainability in terms of demographic changes and other cost drivers in health care; addressing the questions related to human resources for health and balancing the competences within the system to respond to current practices; responding to environmental and public health threats.  </w:t>
      </w:r>
    </w:p>
    <w:p w:rsidR="00D55D07" w:rsidRPr="001F4464" w:rsidRDefault="00D55D07" w:rsidP="001F4464">
      <w:pPr>
        <w:autoSpaceDE w:val="0"/>
        <w:autoSpaceDN w:val="0"/>
        <w:adjustRightInd w:val="0"/>
        <w:jc w:val="both"/>
        <w:rPr>
          <w:lang w:val="en-US"/>
        </w:rPr>
      </w:pPr>
    </w:p>
    <w:p w:rsidR="00D55D07" w:rsidRPr="00DA28E3" w:rsidRDefault="00D55D07" w:rsidP="00DA28E3">
      <w:pPr>
        <w:autoSpaceDE w:val="0"/>
        <w:autoSpaceDN w:val="0"/>
        <w:adjustRightInd w:val="0"/>
        <w:jc w:val="both"/>
      </w:pPr>
      <w:bookmarkStart w:id="7" w:name="_Toc111434526"/>
      <w:r w:rsidRPr="008D6703">
        <w:t xml:space="preserve">This document constitutes the Biennial Collaborative Agreement (BCA) between </w:t>
      </w:r>
      <w:r w:rsidR="00F97616" w:rsidRPr="00DA28E3">
        <w:t xml:space="preserve">the Ministry of Health </w:t>
      </w:r>
      <w:r w:rsidR="00F97616" w:rsidRPr="00DA28E3">
        <w:rPr>
          <w:lang w:val="en-US"/>
        </w:rPr>
        <w:t xml:space="preserve">of the </w:t>
      </w:r>
      <w:smartTag w:uri="urn:schemas-microsoft-com:office:smarttags" w:element="country-region">
        <w:smartTag w:uri="urn:schemas-microsoft-com:office:smarttags" w:element="PlaceType">
          <w:smartTag w:uri="urn:schemas-microsoft-com:office:smarttags" w:element="PlaceType">
            <w:smartTag w:uri="urn:schemas-microsoft-com:office:smarttags" w:element="place">
              <w:r w:rsidR="00F97616" w:rsidRPr="00DA28E3">
                <w:rPr>
                  <w:lang w:val="en-US"/>
                </w:rPr>
                <w:t>Republic</w:t>
              </w:r>
            </w:smartTag>
          </w:smartTag>
          <w:r w:rsidR="00F97616" w:rsidRPr="00DA28E3">
            <w:rPr>
              <w:lang w:val="en-US"/>
            </w:rPr>
            <w:t xml:space="preserve"> of </w:t>
          </w:r>
          <w:smartTag w:uri="urn:schemas-microsoft-com:office:smarttags" w:element="country-region">
            <w:smartTag w:uri="urn:schemas-microsoft-com:office:smarttags" w:element="PlaceName">
              <w:r w:rsidR="00F97616" w:rsidRPr="00DA28E3">
                <w:rPr>
                  <w:lang w:val="en-US"/>
                </w:rPr>
                <w:t>Latvia</w:t>
              </w:r>
            </w:smartTag>
          </w:smartTag>
        </w:smartTag>
      </w:smartTag>
      <w:r w:rsidR="00F97616" w:rsidRPr="00DA28E3">
        <w:t xml:space="preserve"> on behalf of its government and </w:t>
      </w:r>
      <w:r w:rsidRPr="008D6703">
        <w:t xml:space="preserve">the World </w:t>
      </w:r>
      <w:r w:rsidRPr="00DA28E3">
        <w:t xml:space="preserve">Health Organization Regional Office for Europe for the biennium 2012–2013. </w:t>
      </w:r>
      <w:r w:rsidR="00F97616">
        <w:t>The BCA is done in duplicate in English language. The BCA comes into force on the date of the last signature.</w:t>
      </w:r>
    </w:p>
    <w:p w:rsidR="00D55D07" w:rsidRPr="00DA28E3" w:rsidRDefault="00D55D07" w:rsidP="00DA28E3">
      <w:pPr>
        <w:autoSpaceDE w:val="0"/>
        <w:autoSpaceDN w:val="0"/>
        <w:adjustRightInd w:val="0"/>
        <w:jc w:val="both"/>
      </w:pPr>
    </w:p>
    <w:p w:rsidR="00D55D07" w:rsidRPr="008D6703" w:rsidRDefault="00D55D07" w:rsidP="00DA28E3">
      <w:pPr>
        <w:autoSpaceDE w:val="0"/>
        <w:autoSpaceDN w:val="0"/>
        <w:adjustRightInd w:val="0"/>
        <w:jc w:val="both"/>
      </w:pPr>
      <w:r w:rsidRPr="00DA28E3">
        <w:t xml:space="preserve">This 2012–2013 BCA is part of a provisional Medium-term framework for collaboration between the WHO Regional Office for Europe and the Ministry of Health </w:t>
      </w:r>
      <w:r w:rsidRPr="00DA28E3">
        <w:rPr>
          <w:lang w:val="en-US"/>
        </w:rPr>
        <w:t xml:space="preserve">of the </w:t>
      </w:r>
      <w:smartTag w:uri="urn:schemas-microsoft-com:office:smarttags" w:element="country-region">
        <w:smartTag w:uri="urn:schemas-microsoft-com:office:smarttags" w:element="PlaceType">
          <w:smartTag w:uri="urn:schemas-microsoft-com:office:smarttags" w:element="PlaceType">
            <w:smartTag w:uri="urn:schemas-microsoft-com:office:smarttags" w:element="place">
              <w:r w:rsidRPr="00DA28E3">
                <w:rPr>
                  <w:lang w:val="en-US"/>
                </w:rPr>
                <w:t>Republic</w:t>
              </w:r>
            </w:smartTag>
          </w:smartTag>
          <w:r w:rsidRPr="00DA28E3">
            <w:rPr>
              <w:lang w:val="en-US"/>
            </w:rPr>
            <w:t xml:space="preserve"> of</w:t>
          </w:r>
          <w:r>
            <w:rPr>
              <w:lang w:val="en-US"/>
            </w:rPr>
            <w:t xml:space="preserve"> </w:t>
          </w:r>
          <w:smartTag w:uri="urn:schemas-microsoft-com:office:smarttags" w:element="country-region">
            <w:smartTag w:uri="urn:schemas-microsoft-com:office:smarttags" w:element="PlaceName">
              <w:r>
                <w:rPr>
                  <w:lang w:val="en-US"/>
                </w:rPr>
                <w:t>Latvia</w:t>
              </w:r>
            </w:smartTag>
          </w:smartTag>
        </w:smartTag>
      </w:smartTag>
      <w:r w:rsidRPr="008D6703">
        <w:t xml:space="preserve"> for the six-year period 2008–2013, which corresponds to the period covered by the WHO Medium-term strategic plan (MTSP 2008–2013). The </w:t>
      </w:r>
      <w:r w:rsidRPr="008D6703">
        <w:rPr>
          <w:iCs/>
          <w:lang w:eastAsia="en-GB"/>
        </w:rPr>
        <w:t xml:space="preserve">document reflects the new vision of the WHO Regional Office for Europe as approved by the sixtieth session of the </w:t>
      </w:r>
      <w:smartTag w:uri="urn:schemas-microsoft-com:office:smarttags" w:element="country-region">
        <w:r w:rsidRPr="008D6703">
          <w:rPr>
            <w:iCs/>
            <w:lang w:eastAsia="en-GB"/>
          </w:rPr>
          <w:t>Regional Committee</w:t>
        </w:r>
      </w:smartTag>
      <w:r w:rsidRPr="008D6703">
        <w:rPr>
          <w:iCs/>
          <w:lang w:eastAsia="en-GB"/>
        </w:rPr>
        <w:t xml:space="preserve"> for Europe – Better Health for Europe, as well as the concepts, principles and values underpinning the development of the WHO Regional Office for Europe’s new Country Strategy and the </w:t>
      </w:r>
      <w:r w:rsidRPr="008D6703">
        <w:t>European Policy for Health – Health 2020.</w:t>
      </w:r>
      <w:r w:rsidRPr="008D6703">
        <w:rPr>
          <w:color w:val="333333"/>
        </w:rPr>
        <w:t xml:space="preserve"> </w:t>
      </w:r>
    </w:p>
    <w:p w:rsidR="00D55D07" w:rsidRPr="008D6703" w:rsidRDefault="00D55D07" w:rsidP="00DA28E3">
      <w:pPr>
        <w:autoSpaceDE w:val="0"/>
        <w:autoSpaceDN w:val="0"/>
        <w:adjustRightInd w:val="0"/>
        <w:jc w:val="both"/>
      </w:pPr>
    </w:p>
    <w:p w:rsidR="00D55D07" w:rsidRDefault="00D55D07" w:rsidP="00DA28E3">
      <w:pPr>
        <w:autoSpaceDE w:val="0"/>
        <w:autoSpaceDN w:val="0"/>
        <w:adjustRightInd w:val="0"/>
        <w:jc w:val="both"/>
      </w:pPr>
      <w:r w:rsidRPr="008D6703">
        <w:t xml:space="preserve">Achieving the objectives of the BCA is the responsibility of both </w:t>
      </w:r>
      <w:r w:rsidR="00F97616" w:rsidRPr="00DA28E3">
        <w:t xml:space="preserve">the Ministry of Health </w:t>
      </w:r>
      <w:r w:rsidR="00F97616" w:rsidRPr="00DA28E3">
        <w:rPr>
          <w:lang w:val="en-US"/>
        </w:rPr>
        <w:t xml:space="preserve">of the </w:t>
      </w:r>
      <w:smartTag w:uri="urn:schemas-microsoft-com:office:smarttags" w:element="PlaceType">
        <w:smartTag w:uri="urn:schemas-microsoft-com:office:smarttags" w:element="place">
          <w:r w:rsidR="00F97616" w:rsidRPr="00DA28E3">
            <w:rPr>
              <w:lang w:val="en-US"/>
            </w:rPr>
            <w:t>Republic</w:t>
          </w:r>
        </w:smartTag>
      </w:smartTag>
      <w:r w:rsidR="00F97616" w:rsidRPr="00DA28E3">
        <w:rPr>
          <w:lang w:val="en-US"/>
        </w:rPr>
        <w:t xml:space="preserve"> of Latvia</w:t>
      </w:r>
      <w:r w:rsidR="00F97616" w:rsidRPr="008D6703">
        <w:t xml:space="preserve"> </w:t>
      </w:r>
      <w:r w:rsidR="00F97616">
        <w:t xml:space="preserve">and </w:t>
      </w:r>
      <w:r w:rsidRPr="008D6703">
        <w:t>the WHO</w:t>
      </w:r>
      <w:r w:rsidR="00F97616">
        <w:t>.</w:t>
      </w:r>
    </w:p>
    <w:p w:rsidR="00F97616" w:rsidRPr="008D6703" w:rsidRDefault="00F97616" w:rsidP="00DA28E3">
      <w:pPr>
        <w:autoSpaceDE w:val="0"/>
        <w:autoSpaceDN w:val="0"/>
        <w:adjustRightInd w:val="0"/>
        <w:jc w:val="both"/>
      </w:pPr>
    </w:p>
    <w:p w:rsidR="00D55D07" w:rsidRPr="008D6703" w:rsidRDefault="00D55D07" w:rsidP="00DA28E3">
      <w:pPr>
        <w:autoSpaceDE w:val="0"/>
        <w:autoSpaceDN w:val="0"/>
        <w:adjustRightInd w:val="0"/>
        <w:jc w:val="both"/>
      </w:pPr>
      <w:r w:rsidRPr="008D6703">
        <w:t>This document represents a practical framework for collaboration which has been elaborated through successive consultations between national health authorities and the WHO Regional Office for Europe Secretariat.</w:t>
      </w:r>
    </w:p>
    <w:p w:rsidR="00D55D07" w:rsidRPr="008D6703" w:rsidRDefault="00D55D07" w:rsidP="00DA28E3">
      <w:pPr>
        <w:autoSpaceDE w:val="0"/>
        <w:autoSpaceDN w:val="0"/>
        <w:adjustRightInd w:val="0"/>
        <w:jc w:val="both"/>
      </w:pPr>
    </w:p>
    <w:p w:rsidR="00D55D07" w:rsidRPr="008D6703" w:rsidRDefault="00D55D07" w:rsidP="00DA28E3">
      <w:pPr>
        <w:pStyle w:val="CommentText"/>
        <w:jc w:val="both"/>
        <w:rPr>
          <w:sz w:val="24"/>
          <w:szCs w:val="24"/>
        </w:rPr>
      </w:pPr>
      <w:r w:rsidRPr="008D6703">
        <w:rPr>
          <w:sz w:val="24"/>
          <w:szCs w:val="24"/>
        </w:rPr>
        <w:t>The agreed medium-term priorities for collaboration 2008</w:t>
      </w:r>
      <w:r w:rsidRPr="008D6703">
        <w:t>–</w:t>
      </w:r>
      <w:r w:rsidRPr="008D6703">
        <w:rPr>
          <w:sz w:val="24"/>
          <w:szCs w:val="24"/>
        </w:rPr>
        <w:t xml:space="preserve">2013, specified in Part 1 of the document, were taken as the starting point for the process leading to the specific priority outcomes for collaboration. </w:t>
      </w:r>
      <w:r w:rsidRPr="0045515C">
        <w:rPr>
          <w:b/>
          <w:sz w:val="24"/>
          <w:szCs w:val="24"/>
        </w:rPr>
        <w:t xml:space="preserve">In 2010, the sixtieth session of the Regional Committee approved new strategic priorities of work, which reflect the main issues faced by most Member States in the WHO European Region and which are addressed through the development of the new European Policy for Health – Health 2020. Among these key priorities, the following are highlighted: </w:t>
      </w:r>
      <w:r w:rsidRPr="0045515C">
        <w:rPr>
          <w:b/>
          <w:i/>
          <w:sz w:val="24"/>
          <w:szCs w:val="24"/>
        </w:rPr>
        <w:t>strengthening health systems</w:t>
      </w:r>
      <w:r w:rsidRPr="0045515C">
        <w:rPr>
          <w:b/>
          <w:sz w:val="24"/>
          <w:szCs w:val="24"/>
        </w:rPr>
        <w:t xml:space="preserve">, particularly primary health care; </w:t>
      </w:r>
      <w:r w:rsidRPr="0045515C">
        <w:rPr>
          <w:b/>
          <w:i/>
          <w:sz w:val="24"/>
          <w:szCs w:val="24"/>
        </w:rPr>
        <w:t>rejuvenating public health</w:t>
      </w:r>
      <w:r w:rsidRPr="0045515C">
        <w:rPr>
          <w:b/>
          <w:sz w:val="24"/>
          <w:szCs w:val="24"/>
        </w:rPr>
        <w:t xml:space="preserve">, including improved surveillance, disease prevention and health promotion; </w:t>
      </w:r>
      <w:r w:rsidRPr="0045515C">
        <w:rPr>
          <w:b/>
          <w:i/>
          <w:sz w:val="24"/>
          <w:szCs w:val="24"/>
        </w:rPr>
        <w:t>tackling behavioural health determinants</w:t>
      </w:r>
      <w:r w:rsidRPr="0045515C">
        <w:rPr>
          <w:b/>
          <w:sz w:val="24"/>
          <w:szCs w:val="24"/>
        </w:rPr>
        <w:t xml:space="preserve"> and risk factors; </w:t>
      </w:r>
      <w:r w:rsidRPr="0045515C">
        <w:rPr>
          <w:b/>
          <w:i/>
          <w:sz w:val="24"/>
          <w:szCs w:val="24"/>
        </w:rPr>
        <w:t>controlling noncommunicable diseases</w:t>
      </w:r>
      <w:r w:rsidRPr="0045515C">
        <w:rPr>
          <w:b/>
          <w:sz w:val="24"/>
          <w:szCs w:val="24"/>
        </w:rPr>
        <w:t xml:space="preserve"> such as heart disease, cancer and diabetes; </w:t>
      </w:r>
      <w:r w:rsidRPr="0045515C">
        <w:rPr>
          <w:b/>
          <w:i/>
          <w:sz w:val="24"/>
          <w:szCs w:val="24"/>
        </w:rPr>
        <w:t>addressing communicable disease incidence</w:t>
      </w:r>
      <w:r w:rsidRPr="0045515C">
        <w:rPr>
          <w:b/>
          <w:sz w:val="24"/>
          <w:szCs w:val="24"/>
        </w:rPr>
        <w:t xml:space="preserve">, with particular reference to poliomyelitis, HIV/Aids, MDR-TB, measles and malaria; implementing international health regulations; </w:t>
      </w:r>
      <w:r w:rsidRPr="0045515C">
        <w:rPr>
          <w:b/>
          <w:i/>
          <w:sz w:val="24"/>
          <w:szCs w:val="24"/>
        </w:rPr>
        <w:t>ensuring emergency preparedness; supporting progress in Environment and Health</w:t>
      </w:r>
      <w:r w:rsidRPr="0045515C">
        <w:rPr>
          <w:b/>
          <w:sz w:val="24"/>
          <w:szCs w:val="24"/>
        </w:rPr>
        <w:t xml:space="preserve">; and </w:t>
      </w:r>
      <w:r w:rsidRPr="0045515C">
        <w:rPr>
          <w:b/>
          <w:i/>
          <w:sz w:val="24"/>
          <w:szCs w:val="24"/>
        </w:rPr>
        <w:t>fostering the harmonization of health information systems</w:t>
      </w:r>
      <w:r w:rsidRPr="0045515C">
        <w:rPr>
          <w:b/>
          <w:sz w:val="24"/>
          <w:szCs w:val="24"/>
        </w:rPr>
        <w:t xml:space="preserve"> and knowledge sharing throughout the region.</w:t>
      </w:r>
      <w:r w:rsidRPr="008D6703">
        <w:rPr>
          <w:sz w:val="24"/>
          <w:szCs w:val="24"/>
        </w:rPr>
        <w:t xml:space="preserve"> The priorities and outcomes detailed in this agreement are based on those key priority areas. The outcomes are based on analyses of the public health situation of the Region and input from national health au</w:t>
      </w:r>
      <w:r>
        <w:rPr>
          <w:sz w:val="24"/>
          <w:szCs w:val="24"/>
        </w:rPr>
        <w:t>thorities, while they also take</w:t>
      </w:r>
      <w:r w:rsidRPr="008D6703">
        <w:rPr>
          <w:sz w:val="24"/>
          <w:szCs w:val="24"/>
        </w:rPr>
        <w:t xml:space="preserve"> into account WHO global priorities (World Health Assembly and Regional Committee resolutions), policy directions and country priorities and reflect the WHO strategic assessment. </w:t>
      </w:r>
    </w:p>
    <w:p w:rsidR="00D55D07" w:rsidRPr="008D6703" w:rsidRDefault="00D55D07" w:rsidP="00DA28E3">
      <w:pPr>
        <w:autoSpaceDE w:val="0"/>
        <w:autoSpaceDN w:val="0"/>
        <w:adjustRightInd w:val="0"/>
        <w:jc w:val="both"/>
      </w:pPr>
    </w:p>
    <w:p w:rsidR="00D55D07" w:rsidRPr="008D6703" w:rsidRDefault="00D55D07" w:rsidP="00DA28E3">
      <w:pPr>
        <w:autoSpaceDE w:val="0"/>
        <w:autoSpaceDN w:val="0"/>
        <w:adjustRightInd w:val="0"/>
        <w:jc w:val="both"/>
      </w:pPr>
      <w:r w:rsidRPr="008D6703">
        <w:rPr>
          <w:b/>
        </w:rPr>
        <w:t>Outcomes</w:t>
      </w:r>
      <w:r w:rsidRPr="008D6703">
        <w:t xml:space="preserve"> represent uptake by Member States. Their achievements are the joint responsibility of the individual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8D6703">
                <w:t>Member</w:t>
              </w:r>
            </w:smartTag>
          </w:smartTag>
          <w:r w:rsidRPr="008D6703">
            <w:t xml:space="preserve"> </w:t>
          </w:r>
          <w:smartTag w:uri="urn:schemas-microsoft-com:office:smarttags" w:element="country-region">
            <w:smartTag w:uri="urn:schemas-microsoft-com:office:smarttags" w:element="PlaceType">
              <w:r w:rsidRPr="008D6703">
                <w:t>State</w:t>
              </w:r>
            </w:smartTag>
          </w:smartTag>
        </w:smartTag>
      </w:smartTag>
      <w:r w:rsidRPr="008D6703">
        <w:t xml:space="preserve"> and the Secretariat. For each outcome (i.e. expected result), a number of </w:t>
      </w:r>
      <w:r w:rsidRPr="008D6703">
        <w:rPr>
          <w:b/>
        </w:rPr>
        <w:t>outputs</w:t>
      </w:r>
      <w:r w:rsidRPr="008D6703">
        <w:t xml:space="preserve"> (products and services) are defined to enable and facilitate uptake by Member States. The delivery of these outputs is the responsibility of the Secretariat.</w:t>
      </w:r>
    </w:p>
    <w:p w:rsidR="00D55D07" w:rsidRPr="008D6703" w:rsidRDefault="00D55D07" w:rsidP="00DA28E3">
      <w:pPr>
        <w:autoSpaceDE w:val="0"/>
        <w:autoSpaceDN w:val="0"/>
        <w:adjustRightInd w:val="0"/>
        <w:jc w:val="both"/>
      </w:pPr>
    </w:p>
    <w:p w:rsidR="00D55D07" w:rsidRPr="008D6703" w:rsidRDefault="00D55D07" w:rsidP="00DA28E3">
      <w:pPr>
        <w:autoSpaceDE w:val="0"/>
        <w:autoSpaceDN w:val="0"/>
        <w:adjustRightInd w:val="0"/>
        <w:jc w:val="both"/>
      </w:pPr>
      <w:r w:rsidRPr="008D6703">
        <w:t>The document is structured as follows:</w:t>
      </w:r>
    </w:p>
    <w:p w:rsidR="00D55D07" w:rsidRPr="008D6703" w:rsidRDefault="00D55D07" w:rsidP="00DA28E3">
      <w:pPr>
        <w:jc w:val="both"/>
        <w:rPr>
          <w:lang w:eastAsia="en-GB"/>
        </w:rPr>
      </w:pPr>
    </w:p>
    <w:p w:rsidR="00D55D07" w:rsidRPr="008D6703" w:rsidRDefault="00D55D07" w:rsidP="00DA28E3">
      <w:pPr>
        <w:numPr>
          <w:ilvl w:val="0"/>
          <w:numId w:val="13"/>
        </w:numPr>
        <w:autoSpaceDE w:val="0"/>
        <w:autoSpaceDN w:val="0"/>
        <w:adjustRightInd w:val="0"/>
        <w:jc w:val="both"/>
        <w:rPr>
          <w:iCs/>
          <w:lang w:eastAsia="en-GB"/>
        </w:rPr>
      </w:pPr>
      <w:r w:rsidRPr="008D6703">
        <w:rPr>
          <w:iCs/>
          <w:lang w:eastAsia="en-GB"/>
        </w:rPr>
        <w:t xml:space="preserve">Part 1 includes health impact aimed for through the agreed medium-term priorities and objectives </w:t>
      </w:r>
      <w:r w:rsidRPr="008D6703">
        <w:rPr>
          <w:i/>
          <w:iCs/>
          <w:lang w:eastAsia="en-GB"/>
        </w:rPr>
        <w:t>for collaboration</w:t>
      </w:r>
      <w:r w:rsidRPr="008D6703">
        <w:rPr>
          <w:iCs/>
          <w:lang w:eastAsia="en-GB"/>
        </w:rPr>
        <w:t xml:space="preserve"> for the period 2008–2013, to be the focus of the joint efforts of the individual government and WHO Secretariat. </w:t>
      </w:r>
      <w:r>
        <w:rPr>
          <w:iCs/>
          <w:lang w:eastAsia="en-GB"/>
        </w:rPr>
        <w:t>It also describes the specific priorities to be achieved during 2012 – 2013.</w:t>
      </w:r>
    </w:p>
    <w:p w:rsidR="00D55D07" w:rsidRPr="008D6703" w:rsidRDefault="00D55D07" w:rsidP="00DA28E3">
      <w:pPr>
        <w:autoSpaceDE w:val="0"/>
        <w:autoSpaceDN w:val="0"/>
        <w:adjustRightInd w:val="0"/>
        <w:jc w:val="both"/>
        <w:rPr>
          <w:iCs/>
          <w:lang w:eastAsia="en-GB"/>
        </w:rPr>
      </w:pPr>
    </w:p>
    <w:p w:rsidR="00D55D07" w:rsidRPr="00DD4830" w:rsidRDefault="00D55D07" w:rsidP="00DA28E3">
      <w:pPr>
        <w:numPr>
          <w:ilvl w:val="0"/>
          <w:numId w:val="13"/>
        </w:numPr>
        <w:autoSpaceDE w:val="0"/>
        <w:autoSpaceDN w:val="0"/>
        <w:adjustRightInd w:val="0"/>
        <w:jc w:val="both"/>
        <w:rPr>
          <w:iCs/>
          <w:lang w:eastAsia="en-GB"/>
        </w:rPr>
      </w:pPr>
      <w:r w:rsidRPr="00DD4830">
        <w:rPr>
          <w:iCs/>
          <w:lang w:eastAsia="en-GB"/>
        </w:rPr>
        <w:t xml:space="preserve">Part 2 includes sections on the budget for the BCA, its financing and the mutual commitments by the WHO Secretariat and individual government. </w:t>
      </w:r>
    </w:p>
    <w:p w:rsidR="00D55D07" w:rsidRPr="008D6703" w:rsidRDefault="00D55D07" w:rsidP="00DA28E3">
      <w:pPr>
        <w:pStyle w:val="ListParagraph"/>
        <w:rPr>
          <w:iCs/>
          <w:lang w:eastAsia="en-GB"/>
        </w:rPr>
      </w:pPr>
    </w:p>
    <w:p w:rsidR="00D55D07" w:rsidRPr="00DA28E3" w:rsidRDefault="00D55D07" w:rsidP="00DA28E3">
      <w:pPr>
        <w:autoSpaceDE w:val="0"/>
        <w:autoSpaceDN w:val="0"/>
        <w:adjustRightInd w:val="0"/>
        <w:ind w:left="360"/>
        <w:jc w:val="both"/>
        <w:rPr>
          <w:iCs/>
          <w:lang w:eastAsia="en-GB"/>
        </w:rPr>
      </w:pPr>
      <w:r w:rsidRPr="00DA28E3">
        <w:rPr>
          <w:iCs/>
          <w:lang w:eastAsia="en-GB"/>
        </w:rPr>
        <w:t>An Annex to this BCA includes a summary of priority outcomes as well as outputs and mode of delivery. Three modes are envisioned:</w:t>
      </w:r>
    </w:p>
    <w:p w:rsidR="00D55D07" w:rsidRPr="008D6703" w:rsidRDefault="00D55D07" w:rsidP="00DA28E3">
      <w:pPr>
        <w:autoSpaceDE w:val="0"/>
        <w:autoSpaceDN w:val="0"/>
        <w:adjustRightInd w:val="0"/>
        <w:jc w:val="both"/>
        <w:rPr>
          <w:iCs/>
          <w:lang w:eastAsia="en-GB"/>
        </w:rPr>
      </w:pPr>
    </w:p>
    <w:p w:rsidR="00D55D07" w:rsidRPr="008D6703" w:rsidRDefault="00D55D07" w:rsidP="00DA28E3">
      <w:pPr>
        <w:numPr>
          <w:ilvl w:val="1"/>
          <w:numId w:val="13"/>
        </w:numPr>
        <w:autoSpaceDE w:val="0"/>
        <w:autoSpaceDN w:val="0"/>
        <w:adjustRightInd w:val="0"/>
        <w:jc w:val="both"/>
        <w:rPr>
          <w:iCs/>
          <w:lang w:eastAsia="en-GB"/>
        </w:rPr>
      </w:pPr>
      <w:r>
        <w:rPr>
          <w:iCs/>
          <w:lang w:eastAsia="en-GB"/>
        </w:rPr>
        <w:t>T</w:t>
      </w:r>
      <w:r w:rsidRPr="008D6703">
        <w:rPr>
          <w:iCs/>
          <w:lang w:eastAsia="en-GB"/>
        </w:rPr>
        <w:t xml:space="preserve">he </w:t>
      </w:r>
      <w:r w:rsidRPr="008D6703">
        <w:rPr>
          <w:b/>
          <w:bCs/>
          <w:iCs/>
          <w:lang w:eastAsia="en-GB"/>
        </w:rPr>
        <w:t>intercountry mode</w:t>
      </w:r>
      <w:r w:rsidRPr="008D6703">
        <w:rPr>
          <w:iCs/>
          <w:lang w:eastAsia="en-GB"/>
        </w:rPr>
        <w:t xml:space="preserve">, </w:t>
      </w:r>
      <w:r>
        <w:rPr>
          <w:iCs/>
          <w:lang w:eastAsia="en-GB"/>
        </w:rPr>
        <w:t>which</w:t>
      </w:r>
      <w:r w:rsidRPr="008D6703">
        <w:rPr>
          <w:iCs/>
          <w:lang w:eastAsia="en-GB"/>
        </w:rPr>
        <w:t xml:space="preserve"> address</w:t>
      </w:r>
      <w:r>
        <w:rPr>
          <w:iCs/>
          <w:lang w:eastAsia="en-GB"/>
        </w:rPr>
        <w:t>es</w:t>
      </w:r>
      <w:r w:rsidRPr="008D6703">
        <w:rPr>
          <w:iCs/>
          <w:lang w:eastAsia="en-GB"/>
        </w:rPr>
        <w:t xml:space="preserve"> the common needs of countries through region-wide approaches. It is expected that an increasing part of the work will be delivered in this way. </w:t>
      </w:r>
    </w:p>
    <w:p w:rsidR="00D55D07" w:rsidRPr="008D6703" w:rsidRDefault="00D55D07" w:rsidP="00DA28E3">
      <w:pPr>
        <w:numPr>
          <w:ilvl w:val="1"/>
          <w:numId w:val="13"/>
        </w:numPr>
        <w:autoSpaceDE w:val="0"/>
        <w:autoSpaceDN w:val="0"/>
        <w:adjustRightInd w:val="0"/>
        <w:jc w:val="both"/>
        <w:rPr>
          <w:iCs/>
          <w:lang w:eastAsia="en-GB"/>
        </w:rPr>
      </w:pPr>
      <w:r>
        <w:rPr>
          <w:iCs/>
          <w:lang w:eastAsia="en-GB"/>
        </w:rPr>
        <w:t>T</w:t>
      </w:r>
      <w:r w:rsidRPr="008D6703">
        <w:rPr>
          <w:iCs/>
          <w:lang w:eastAsia="en-GB"/>
        </w:rPr>
        <w:t xml:space="preserve">he </w:t>
      </w:r>
      <w:r>
        <w:rPr>
          <w:b/>
          <w:bCs/>
          <w:iCs/>
          <w:lang w:eastAsia="en-GB"/>
        </w:rPr>
        <w:t>multi</w:t>
      </w:r>
      <w:r w:rsidRPr="008D6703">
        <w:rPr>
          <w:b/>
          <w:bCs/>
          <w:iCs/>
          <w:lang w:eastAsia="en-GB"/>
        </w:rPr>
        <w:t xml:space="preserve">country mode </w:t>
      </w:r>
      <w:r w:rsidRPr="008D6703">
        <w:rPr>
          <w:bCs/>
          <w:iCs/>
          <w:lang w:eastAsia="en-GB"/>
        </w:rPr>
        <w:t>is used when</w:t>
      </w:r>
      <w:r w:rsidRPr="008D6703">
        <w:rPr>
          <w:b/>
          <w:bCs/>
          <w:iCs/>
          <w:lang w:eastAsia="en-GB"/>
        </w:rPr>
        <w:t xml:space="preserve"> </w:t>
      </w:r>
      <w:r w:rsidRPr="008D6703">
        <w:rPr>
          <w:iCs/>
          <w:lang w:eastAsia="en-GB"/>
        </w:rPr>
        <w:t xml:space="preserve">an </w:t>
      </w:r>
      <w:r>
        <w:rPr>
          <w:iCs/>
          <w:lang w:eastAsia="en-GB"/>
        </w:rPr>
        <w:t>o</w:t>
      </w:r>
      <w:r w:rsidRPr="008D6703">
        <w:rPr>
          <w:iCs/>
          <w:lang w:eastAsia="en-GB"/>
        </w:rPr>
        <w:t xml:space="preserve">utput within an </w:t>
      </w:r>
      <w:r>
        <w:rPr>
          <w:iCs/>
          <w:lang w:eastAsia="en-GB"/>
        </w:rPr>
        <w:t>o</w:t>
      </w:r>
      <w:r w:rsidRPr="008D6703">
        <w:rPr>
          <w:iCs/>
          <w:lang w:eastAsia="en-GB"/>
        </w:rPr>
        <w:t xml:space="preserve">utcome is relevant to a limited number of countries. The resources that exist within the group will be deployed optimally. </w:t>
      </w:r>
    </w:p>
    <w:p w:rsidR="00D55D07" w:rsidRDefault="00D55D07" w:rsidP="00DA28E3">
      <w:pPr>
        <w:numPr>
          <w:ilvl w:val="1"/>
          <w:numId w:val="13"/>
        </w:numPr>
        <w:autoSpaceDE w:val="0"/>
        <w:autoSpaceDN w:val="0"/>
        <w:adjustRightInd w:val="0"/>
        <w:jc w:val="both"/>
        <w:rPr>
          <w:iCs/>
          <w:lang w:eastAsia="en-GB"/>
        </w:rPr>
      </w:pPr>
      <w:r>
        <w:rPr>
          <w:iCs/>
          <w:lang w:eastAsia="en-GB"/>
        </w:rPr>
        <w:t>T</w:t>
      </w:r>
      <w:r w:rsidRPr="008D6703">
        <w:rPr>
          <w:iCs/>
          <w:lang w:eastAsia="en-GB"/>
        </w:rPr>
        <w:t xml:space="preserve">he </w:t>
      </w:r>
      <w:r w:rsidRPr="008D6703">
        <w:rPr>
          <w:b/>
          <w:bCs/>
          <w:iCs/>
          <w:lang w:eastAsia="en-GB"/>
        </w:rPr>
        <w:t xml:space="preserve">country-specific mode </w:t>
      </w:r>
      <w:r w:rsidRPr="008D6703">
        <w:rPr>
          <w:iCs/>
          <w:lang w:eastAsia="en-GB"/>
        </w:rPr>
        <w:t xml:space="preserve">of operation is used for </w:t>
      </w:r>
      <w:r>
        <w:rPr>
          <w:iCs/>
          <w:lang w:eastAsia="en-GB"/>
        </w:rPr>
        <w:t>o</w:t>
      </w:r>
      <w:r w:rsidRPr="008D6703">
        <w:rPr>
          <w:iCs/>
          <w:lang w:eastAsia="en-GB"/>
        </w:rPr>
        <w:t>utputs that are highly specific to the needs and circumstances of individual countries. It will continue to be important and the chosen mode of delivery in many cases.</w:t>
      </w:r>
      <w:r>
        <w:rPr>
          <w:iCs/>
          <w:lang w:eastAsia="en-GB"/>
        </w:rPr>
        <w:t xml:space="preserve"> </w:t>
      </w:r>
    </w:p>
    <w:p w:rsidR="00D55D07" w:rsidRDefault="00D55D07" w:rsidP="00DA28E3">
      <w:pPr>
        <w:autoSpaceDE w:val="0"/>
        <w:autoSpaceDN w:val="0"/>
        <w:adjustRightInd w:val="0"/>
        <w:jc w:val="both"/>
        <w:rPr>
          <w:iCs/>
          <w:lang w:eastAsia="en-GB"/>
        </w:rPr>
      </w:pPr>
    </w:p>
    <w:p w:rsidR="00D55D07" w:rsidRPr="008D6703" w:rsidRDefault="00D55D07" w:rsidP="00DA28E3">
      <w:pPr>
        <w:autoSpaceDE w:val="0"/>
        <w:autoSpaceDN w:val="0"/>
        <w:adjustRightInd w:val="0"/>
        <w:jc w:val="both"/>
        <w:rPr>
          <w:iCs/>
          <w:lang w:eastAsia="en-GB"/>
        </w:rPr>
      </w:pPr>
    </w:p>
    <w:p w:rsidR="00D55D07" w:rsidRPr="00D31924" w:rsidRDefault="00D55D07" w:rsidP="00DA28E3">
      <w:pPr>
        <w:autoSpaceDE w:val="0"/>
        <w:autoSpaceDN w:val="0"/>
        <w:adjustRightInd w:val="0"/>
        <w:jc w:val="both"/>
        <w:rPr>
          <w:iCs/>
          <w:lang w:val="en-US" w:eastAsia="en-GB"/>
        </w:rPr>
      </w:pPr>
      <w:r w:rsidRPr="008D6703">
        <w:rPr>
          <w:iCs/>
          <w:lang w:eastAsia="en-GB"/>
        </w:rPr>
        <w:br w:type="page"/>
      </w:r>
    </w:p>
    <w:p w:rsidR="00D55D07" w:rsidRPr="00D52707" w:rsidRDefault="00D55D07" w:rsidP="002C32DE">
      <w:pPr>
        <w:pStyle w:val="Heading1"/>
        <w:pBdr>
          <w:top w:val="single" w:sz="4" w:space="1" w:color="auto"/>
          <w:left w:val="single" w:sz="4" w:space="4" w:color="auto"/>
          <w:bottom w:val="single" w:sz="4" w:space="1" w:color="auto"/>
          <w:right w:val="single" w:sz="4" w:space="4" w:color="auto"/>
        </w:pBdr>
        <w:spacing w:before="0" w:after="0"/>
        <w:jc w:val="center"/>
        <w:rPr>
          <w:rFonts w:ascii="Times New Roman" w:hAnsi="Times New Roman"/>
          <w:bCs w:val="0"/>
          <w:color w:val="0000FF"/>
          <w:lang w:eastAsia="en-GB"/>
        </w:rPr>
      </w:pPr>
      <w:bookmarkStart w:id="8" w:name="_Toc303786401"/>
      <w:r w:rsidRPr="00D52707">
        <w:rPr>
          <w:rFonts w:ascii="Times New Roman" w:hAnsi="Times New Roman"/>
          <w:bCs w:val="0"/>
          <w:color w:val="0000FF"/>
          <w:lang w:eastAsia="en-GB"/>
        </w:rPr>
        <w:lastRenderedPageBreak/>
        <w:t>Terms of Collaboration</w:t>
      </w:r>
      <w:bookmarkEnd w:id="8"/>
    </w:p>
    <w:p w:rsidR="00D55D07" w:rsidRDefault="00D55D07" w:rsidP="004D0AE9">
      <w:pPr>
        <w:autoSpaceDE w:val="0"/>
        <w:autoSpaceDN w:val="0"/>
        <w:adjustRightInd w:val="0"/>
        <w:jc w:val="both"/>
        <w:rPr>
          <w:b/>
          <w:lang w:eastAsia="en-GB"/>
        </w:rPr>
      </w:pPr>
    </w:p>
    <w:p w:rsidR="00D55D07" w:rsidRPr="008D6703" w:rsidRDefault="00D55D07" w:rsidP="00DA28E3">
      <w:pPr>
        <w:autoSpaceDE w:val="0"/>
        <w:autoSpaceDN w:val="0"/>
        <w:adjustRightInd w:val="0"/>
        <w:jc w:val="both"/>
        <w:rPr>
          <w:lang w:eastAsia="en-GB"/>
        </w:rPr>
      </w:pPr>
      <w:r w:rsidRPr="008D6703">
        <w:rPr>
          <w:lang w:eastAsia="en-GB"/>
        </w:rPr>
        <w:t xml:space="preserve">The </w:t>
      </w:r>
      <w:r w:rsidRPr="008D6703">
        <w:rPr>
          <w:i/>
          <w:lang w:eastAsia="en-GB"/>
        </w:rPr>
        <w:t xml:space="preserve">Medium-term priorities (part 1) </w:t>
      </w:r>
      <w:r w:rsidRPr="008D6703">
        <w:rPr>
          <w:lang w:eastAsia="en-GB"/>
        </w:rPr>
        <w:t>provide a provisional framework for collaboration for 2008–2013. The medium-term priorities may be revised every two years by mutual agreement, where prevailing circumstances indicate a need for change.</w:t>
      </w:r>
    </w:p>
    <w:p w:rsidR="00D55D07" w:rsidRPr="008D6703" w:rsidRDefault="00D55D07" w:rsidP="00DA28E3">
      <w:pPr>
        <w:tabs>
          <w:tab w:val="left" w:pos="477"/>
        </w:tabs>
        <w:autoSpaceDE w:val="0"/>
        <w:autoSpaceDN w:val="0"/>
        <w:adjustRightInd w:val="0"/>
        <w:jc w:val="both"/>
        <w:rPr>
          <w:i/>
          <w:lang w:eastAsia="en-GB"/>
        </w:rPr>
      </w:pPr>
    </w:p>
    <w:p w:rsidR="00D55D07" w:rsidRPr="008D6703" w:rsidRDefault="00D55D07" w:rsidP="00DA28E3">
      <w:pPr>
        <w:autoSpaceDE w:val="0"/>
        <w:autoSpaceDN w:val="0"/>
        <w:adjustRightInd w:val="0"/>
        <w:jc w:val="both"/>
        <w:rPr>
          <w:lang w:eastAsia="en-GB"/>
        </w:rPr>
      </w:pPr>
      <w:r w:rsidRPr="00DA28E3">
        <w:rPr>
          <w:lang w:eastAsia="en-GB"/>
        </w:rPr>
        <w:t>The biennial priority outcomes and outputs for 2012–2013, presented in the Annex, may be</w:t>
      </w:r>
      <w:r w:rsidRPr="008D6703">
        <w:rPr>
          <w:lang w:eastAsia="en-GB"/>
        </w:rPr>
        <w:t xml:space="preserve"> amended by mutual agreement in writing between the WHO Regional Office for Europe and the individual country as a result of, for instance, changes in the country</w:t>
      </w:r>
      <w:r>
        <w:rPr>
          <w:lang w:eastAsia="en-GB"/>
        </w:rPr>
        <w:t>’</w:t>
      </w:r>
      <w:r w:rsidRPr="008D6703">
        <w:rPr>
          <w:lang w:eastAsia="en-GB"/>
        </w:rPr>
        <w:t>s health situation, changes in the country capacity to implement the agreed activities, specific needs emerging during the biennium, or changes in the Regional Office</w:t>
      </w:r>
      <w:r>
        <w:rPr>
          <w:lang w:eastAsia="en-GB"/>
        </w:rPr>
        <w:t>’</w:t>
      </w:r>
      <w:r w:rsidRPr="008D6703">
        <w:rPr>
          <w:lang w:eastAsia="en-GB"/>
        </w:rPr>
        <w:t xml:space="preserve">s capacity to provide the agreed outputs, or in light of changes in funding. Either party may initiate amendments. </w:t>
      </w:r>
    </w:p>
    <w:p w:rsidR="00D55D07" w:rsidRPr="008D6703" w:rsidRDefault="00D55D07" w:rsidP="00DA28E3">
      <w:pPr>
        <w:autoSpaceDE w:val="0"/>
        <w:autoSpaceDN w:val="0"/>
        <w:adjustRightInd w:val="0"/>
        <w:jc w:val="both"/>
        <w:rPr>
          <w:lang w:eastAsia="en-GB"/>
        </w:rPr>
      </w:pPr>
    </w:p>
    <w:p w:rsidR="00D55D07" w:rsidRPr="008D6703" w:rsidRDefault="00D55D07" w:rsidP="00DA28E3">
      <w:pPr>
        <w:autoSpaceDE w:val="0"/>
        <w:autoSpaceDN w:val="0"/>
        <w:adjustRightInd w:val="0"/>
        <w:jc w:val="both"/>
        <w:rPr>
          <w:lang w:eastAsia="en-GB"/>
        </w:rPr>
      </w:pPr>
      <w:r w:rsidRPr="008D6703">
        <w:rPr>
          <w:lang w:eastAsia="en-GB"/>
        </w:rPr>
        <w:t xml:space="preserve">After the Biennial Collaborative Agreement is signed, the </w:t>
      </w:r>
      <w:r>
        <w:rPr>
          <w:lang w:eastAsia="en-GB"/>
        </w:rPr>
        <w:t>Ministry of Health of the Republic of Latvia</w:t>
      </w:r>
      <w:r w:rsidRPr="008D6703">
        <w:rPr>
          <w:lang w:eastAsia="en-GB"/>
        </w:rPr>
        <w:t xml:space="preserve"> will identify/confirm responsible national focal points for each of the priority outcomes as well as appoint an overall national counterpart to liaise with all national focal points on a regular basis. The national counterpart will be responsible for the overall implementation of the BCA on the part of the ministry, while the Head of the WHO Country Office (HWCO) will be responsible on behalf of WHO. The BCA </w:t>
      </w:r>
      <w:r w:rsidRPr="008D6703">
        <w:rPr>
          <w:bCs/>
          <w:i/>
          <w:iCs/>
          <w:lang w:eastAsia="en-GB"/>
        </w:rPr>
        <w:t>workplan</w:t>
      </w:r>
      <w:r w:rsidRPr="008D6703">
        <w:rPr>
          <w:bCs/>
          <w:iCs/>
          <w:lang w:eastAsia="en-GB"/>
        </w:rPr>
        <w:t>,</w:t>
      </w:r>
      <w:r w:rsidRPr="008D6703">
        <w:rPr>
          <w:lang w:eastAsia="en-GB"/>
        </w:rPr>
        <w:t xml:space="preserve"> including planned outputs and implementation schedule, will be agreed accordingly. Implementation will start at the beginning of the biennium 2012–2013. The Regional Office will provide the highest possible level of technical assistance to the country and shall be facilitated and supported by the country office or other modalities present in the country. Overall coordination and management of the country workplan is the responsibility of the HWCO.</w:t>
      </w:r>
    </w:p>
    <w:p w:rsidR="00D55D07" w:rsidRPr="008D6703" w:rsidRDefault="00D55D07" w:rsidP="00DA28E3">
      <w:pPr>
        <w:autoSpaceDE w:val="0"/>
        <w:autoSpaceDN w:val="0"/>
        <w:adjustRightInd w:val="0"/>
        <w:jc w:val="both"/>
        <w:rPr>
          <w:lang w:eastAsia="en-GB"/>
        </w:rPr>
      </w:pPr>
    </w:p>
    <w:p w:rsidR="00D55D07" w:rsidRPr="008D6703" w:rsidRDefault="00D55D07" w:rsidP="00DA28E3">
      <w:pPr>
        <w:autoSpaceDE w:val="0"/>
        <w:autoSpaceDN w:val="0"/>
        <w:adjustRightInd w:val="0"/>
        <w:jc w:val="both"/>
        <w:rPr>
          <w:lang w:eastAsia="en-GB"/>
        </w:rPr>
      </w:pPr>
      <w:r w:rsidRPr="008D6703">
        <w:rPr>
          <w:lang w:eastAsia="en-GB"/>
        </w:rPr>
        <w:t xml:space="preserve">WHO budget allocation for the biennium indicates the estimated costs of providing the planned outputs predominantly at country level, including the cost of staff in countries required to implement the country workplan. The funding will come from both WHO corporate resources and any other resources available through WHO. These funds should not be used to subsidize or fill financing gaps in the health sector, as a supplement to salaries or for the purchase of supplies. Purchases of supplies and donations within crisis response operations or as part of demonstration projects will continue to be funded through additional mechanisms in line with WHO rules and regulations. </w:t>
      </w:r>
    </w:p>
    <w:p w:rsidR="00D55D07" w:rsidRPr="008D6703" w:rsidRDefault="00D55D07" w:rsidP="00DA28E3">
      <w:pPr>
        <w:autoSpaceDE w:val="0"/>
        <w:autoSpaceDN w:val="0"/>
        <w:adjustRightInd w:val="0"/>
        <w:jc w:val="both"/>
        <w:rPr>
          <w:lang w:eastAsia="en-GB"/>
        </w:rPr>
      </w:pPr>
    </w:p>
    <w:p w:rsidR="00D55D07" w:rsidRPr="008D6703" w:rsidRDefault="00D55D07" w:rsidP="00DA28E3">
      <w:pPr>
        <w:autoSpaceDE w:val="0"/>
        <w:autoSpaceDN w:val="0"/>
        <w:adjustRightInd w:val="0"/>
        <w:jc w:val="both"/>
      </w:pPr>
      <w:r w:rsidRPr="008D6703">
        <w:rPr>
          <w:lang w:eastAsia="en-GB"/>
        </w:rPr>
        <w:t xml:space="preserve">The value of WHO technical and management staff based in the Regional Office, Geographically Dispersed Offices (GDOs) and of the input of the Country Office for delivering planned outputs is not reflected in the indicated budget, and hence the figures greatly understate the real value of the support to be provided to the country. </w:t>
      </w:r>
      <w:r w:rsidRPr="008D6703">
        <w:t xml:space="preserve">The funds included in this Agreement are the </w:t>
      </w:r>
      <w:r>
        <w:t>WHO`s</w:t>
      </w:r>
      <w:r w:rsidRPr="008D6703">
        <w:t xml:space="preserve"> funds allocated for Regional Office cooperation within the country workplan</w:t>
      </w:r>
      <w:r w:rsidRPr="008D6703">
        <w:rPr>
          <w:lang w:eastAsia="en-GB"/>
        </w:rPr>
        <w:t xml:space="preserve">. </w:t>
      </w:r>
    </w:p>
    <w:p w:rsidR="00D55D07" w:rsidRPr="008D6703" w:rsidRDefault="00D55D07" w:rsidP="00DA28E3">
      <w:pPr>
        <w:autoSpaceDE w:val="0"/>
        <w:autoSpaceDN w:val="0"/>
        <w:adjustRightInd w:val="0"/>
        <w:jc w:val="both"/>
        <w:rPr>
          <w:i/>
          <w:lang w:eastAsia="en-GB"/>
        </w:rPr>
      </w:pPr>
    </w:p>
    <w:p w:rsidR="00D55D07" w:rsidRPr="008D6703" w:rsidRDefault="00D55D07" w:rsidP="00DA28E3">
      <w:pPr>
        <w:jc w:val="both"/>
        <w:rPr>
          <w:lang w:eastAsia="en-GB"/>
        </w:rPr>
      </w:pPr>
      <w:r w:rsidRPr="008D6703">
        <w:rPr>
          <w:lang w:eastAsia="en-GB"/>
        </w:rPr>
        <w:t xml:space="preserve">Thus, the value of WHO contribution goes beyond the indicated monetary figures in this document, as it includes technical assistance and other inputs from HQ, RO, GDOs and unfunded inputs from COs. </w:t>
      </w:r>
    </w:p>
    <w:p w:rsidR="00D55D07" w:rsidRPr="008D6703" w:rsidRDefault="00D55D07" w:rsidP="00DA28E3">
      <w:pPr>
        <w:rPr>
          <w:lang w:eastAsia="en-GB"/>
        </w:rPr>
      </w:pPr>
    </w:p>
    <w:p w:rsidR="00D55D07" w:rsidRPr="008D6703" w:rsidRDefault="00D55D07" w:rsidP="00DA28E3">
      <w:r w:rsidRPr="008D6703">
        <w:lastRenderedPageBreak/>
        <w:t>The corporate resources (Assessed contributions, CVCA</w:t>
      </w:r>
      <w:r w:rsidRPr="008D6703">
        <w:rPr>
          <w:rStyle w:val="FootnoteReference"/>
        </w:rPr>
        <w:footnoteReference w:id="1"/>
      </w:r>
      <w:r w:rsidRPr="008D6703">
        <w:t xml:space="preserve">, and </w:t>
      </w:r>
      <w:r>
        <w:t>WHO Regional Office for Europe</w:t>
      </w:r>
      <w:r w:rsidRPr="008D6703">
        <w:t xml:space="preserve"> Flexible</w:t>
      </w:r>
      <w:r w:rsidRPr="008D6703">
        <w:rPr>
          <w:rStyle w:val="FootnoteReference"/>
        </w:rPr>
        <w:footnoteReference w:id="2"/>
      </w:r>
      <w:r w:rsidRPr="008D6703">
        <w:t xml:space="preserve"> resources) will predominantly be used to ensure full achievement of the regional Key Priority Outcomes (KPO) as described in the document </w:t>
      </w:r>
      <w:r>
        <w:t>“</w:t>
      </w:r>
      <w:r w:rsidRPr="008D6703">
        <w:rPr>
          <w:i/>
        </w:rPr>
        <w:t>The Programme budget as a strategic tool for accountability</w:t>
      </w:r>
      <w:r>
        <w:t>”</w:t>
      </w:r>
      <w:r w:rsidRPr="008D6703">
        <w:t xml:space="preserve"> (RC61/Inf.Doc/10).</w:t>
      </w:r>
    </w:p>
    <w:p w:rsidR="00D55D07" w:rsidRPr="008D6703" w:rsidRDefault="00D55D07" w:rsidP="00DA28E3">
      <w:pPr>
        <w:autoSpaceDE w:val="0"/>
        <w:autoSpaceDN w:val="0"/>
        <w:adjustRightInd w:val="0"/>
        <w:jc w:val="both"/>
        <w:rPr>
          <w:lang w:eastAsia="en-GB"/>
        </w:rPr>
      </w:pPr>
    </w:p>
    <w:p w:rsidR="00D55D07" w:rsidRPr="008D6703" w:rsidRDefault="00D55D07" w:rsidP="00DA28E3">
      <w:pPr>
        <w:autoSpaceDE w:val="0"/>
        <w:autoSpaceDN w:val="0"/>
        <w:adjustRightInd w:val="0"/>
        <w:jc w:val="both"/>
        <w:rPr>
          <w:lang w:eastAsia="en-GB"/>
        </w:rPr>
      </w:pPr>
      <w:r w:rsidRPr="008D6703">
        <w:rPr>
          <w:lang w:eastAsia="en-GB"/>
        </w:rPr>
        <w:t xml:space="preserve">The value of </w:t>
      </w:r>
      <w:r>
        <w:rPr>
          <w:lang w:eastAsia="en-GB"/>
        </w:rPr>
        <w:t>Ministry of Health</w:t>
      </w:r>
      <w:r w:rsidRPr="008D6703">
        <w:rPr>
          <w:lang w:eastAsia="en-GB"/>
        </w:rPr>
        <w:t xml:space="preserve"> input – other than what might be channelled through the WHO Secretariat – is not estimated in the BCA.</w:t>
      </w:r>
    </w:p>
    <w:p w:rsidR="00D55D07" w:rsidRPr="008D6703" w:rsidRDefault="00D55D07" w:rsidP="00DA28E3">
      <w:pPr>
        <w:autoSpaceDE w:val="0"/>
        <w:autoSpaceDN w:val="0"/>
        <w:adjustRightInd w:val="0"/>
        <w:jc w:val="both"/>
        <w:rPr>
          <w:lang w:eastAsia="en-GB"/>
        </w:rPr>
      </w:pPr>
    </w:p>
    <w:p w:rsidR="00D55D07" w:rsidRPr="008D6703" w:rsidRDefault="00D55D07" w:rsidP="00DA28E3">
      <w:pPr>
        <w:autoSpaceDE w:val="0"/>
        <w:autoSpaceDN w:val="0"/>
        <w:adjustRightInd w:val="0"/>
        <w:jc w:val="both"/>
        <w:rPr>
          <w:lang w:eastAsia="en-GB"/>
        </w:rPr>
      </w:pPr>
      <w:r w:rsidRPr="008D6703">
        <w:rPr>
          <w:lang w:eastAsia="en-GB"/>
        </w:rPr>
        <w:t xml:space="preserve">It should also be noted that this Biennial Collaborative Agreement is open to further development and contributions from other sources in order to supplement existing shared objectives or to introduce activities that have not been included at this stage. </w:t>
      </w:r>
    </w:p>
    <w:p w:rsidR="00D55D07" w:rsidRPr="008D6703" w:rsidRDefault="00D55D07" w:rsidP="00DA28E3">
      <w:pPr>
        <w:autoSpaceDE w:val="0"/>
        <w:autoSpaceDN w:val="0"/>
        <w:adjustRightInd w:val="0"/>
        <w:jc w:val="both"/>
        <w:rPr>
          <w:highlight w:val="yellow"/>
          <w:lang w:eastAsia="en-GB"/>
        </w:rPr>
      </w:pPr>
    </w:p>
    <w:p w:rsidR="00D55D07" w:rsidRPr="008D6703" w:rsidRDefault="00D55D07" w:rsidP="00DA28E3">
      <w:pPr>
        <w:autoSpaceDE w:val="0"/>
        <w:autoSpaceDN w:val="0"/>
        <w:adjustRightInd w:val="0"/>
        <w:jc w:val="both"/>
        <w:rPr>
          <w:lang w:eastAsia="en-GB"/>
        </w:rPr>
      </w:pPr>
      <w:r w:rsidRPr="008D6703">
        <w:rPr>
          <w:lang w:eastAsia="en-GB"/>
        </w:rPr>
        <w:t xml:space="preserve">In particular, the </w:t>
      </w:r>
      <w:r w:rsidRPr="008D6703">
        <w:t xml:space="preserve">WHO Regional Office for Europe </w:t>
      </w:r>
      <w:r w:rsidRPr="008D6703">
        <w:rPr>
          <w:lang w:eastAsia="en-GB"/>
        </w:rPr>
        <w:t xml:space="preserve">will facilitate coordination with WHO headquarters in order to maximize the effectiveness of country interventions in the spirit of the </w:t>
      </w:r>
      <w:r>
        <w:rPr>
          <w:lang w:eastAsia="en-GB"/>
        </w:rPr>
        <w:t>“</w:t>
      </w:r>
      <w:r w:rsidRPr="008D6703">
        <w:rPr>
          <w:lang w:eastAsia="en-GB"/>
        </w:rPr>
        <w:t>One WHO</w:t>
      </w:r>
      <w:r>
        <w:rPr>
          <w:lang w:eastAsia="en-GB"/>
        </w:rPr>
        <w:t>”</w:t>
      </w:r>
      <w:r w:rsidRPr="008D6703">
        <w:rPr>
          <w:lang w:eastAsia="en-GB"/>
        </w:rPr>
        <w:t xml:space="preserve"> principle.</w:t>
      </w:r>
    </w:p>
    <w:p w:rsidR="00D55D07" w:rsidRDefault="00D55D07" w:rsidP="00DA28E3">
      <w:pPr>
        <w:rPr>
          <w:sz w:val="22"/>
          <w:szCs w:val="22"/>
          <w:lang w:eastAsia="en-GB"/>
        </w:rPr>
      </w:pPr>
      <w:r>
        <w:rPr>
          <w:sz w:val="22"/>
          <w:szCs w:val="22"/>
          <w:lang w:eastAsia="en-GB"/>
        </w:rPr>
        <w:br w:type="page"/>
      </w:r>
    </w:p>
    <w:p w:rsidR="00D55D07" w:rsidRPr="008D2B76" w:rsidRDefault="00D55D07" w:rsidP="008D2B76">
      <w:pPr>
        <w:pStyle w:val="Heading1"/>
        <w:pBdr>
          <w:top w:val="single" w:sz="4" w:space="1" w:color="auto"/>
          <w:left w:val="single" w:sz="4" w:space="4" w:color="auto"/>
          <w:bottom w:val="single" w:sz="4" w:space="1" w:color="auto"/>
          <w:right w:val="single" w:sz="4" w:space="4" w:color="auto"/>
        </w:pBdr>
        <w:jc w:val="center"/>
        <w:rPr>
          <w:rFonts w:ascii="Times New Roman" w:hAnsi="Times New Roman"/>
          <w:color w:val="0000FF"/>
        </w:rPr>
      </w:pPr>
      <w:bookmarkStart w:id="9" w:name="_Toc303786402"/>
      <w:r w:rsidRPr="008D2B76">
        <w:rPr>
          <w:rFonts w:ascii="Times New Roman" w:hAnsi="Times New Roman"/>
          <w:color w:val="0000FF"/>
          <w:lang w:eastAsia="en-GB"/>
        </w:rPr>
        <w:lastRenderedPageBreak/>
        <w:t xml:space="preserve">PART 1. </w:t>
      </w:r>
      <w:bookmarkEnd w:id="2"/>
      <w:bookmarkEnd w:id="3"/>
      <w:bookmarkEnd w:id="4"/>
      <w:bookmarkEnd w:id="5"/>
      <w:bookmarkEnd w:id="6"/>
      <w:bookmarkEnd w:id="7"/>
      <w:r>
        <w:rPr>
          <w:rFonts w:ascii="Times New Roman" w:hAnsi="Times New Roman"/>
          <w:color w:val="0000FF"/>
          <w:lang w:eastAsia="en-GB"/>
        </w:rPr>
        <w:t>Medium-Term priorities for collaboration for 2008</w:t>
      </w:r>
      <w:r w:rsidRPr="008D2B76">
        <w:rPr>
          <w:rFonts w:ascii="Times New Roman" w:hAnsi="Times New Roman"/>
          <w:color w:val="0000FF"/>
          <w:lang w:eastAsia="en-GB"/>
        </w:rPr>
        <w:t>-2013</w:t>
      </w:r>
      <w:r>
        <w:rPr>
          <w:rFonts w:ascii="Times New Roman" w:hAnsi="Times New Roman"/>
          <w:color w:val="0000FF"/>
          <w:lang w:eastAsia="en-GB"/>
        </w:rPr>
        <w:t xml:space="preserve"> </w:t>
      </w:r>
      <w:r w:rsidRPr="00DA28E3">
        <w:rPr>
          <w:rFonts w:ascii="Times New Roman" w:hAnsi="Times New Roman"/>
          <w:color w:val="0000FF"/>
          <w:lang w:eastAsia="en-GB"/>
        </w:rPr>
        <w:t>and priorities for 2012-2013</w:t>
      </w:r>
      <w:bookmarkEnd w:id="9"/>
    </w:p>
    <w:p w:rsidR="00D55D07" w:rsidRDefault="00D55D07" w:rsidP="009213B2">
      <w:pPr>
        <w:tabs>
          <w:tab w:val="left" w:pos="567"/>
          <w:tab w:val="left" w:pos="4820"/>
        </w:tabs>
        <w:ind w:right="5"/>
        <w:jc w:val="both"/>
        <w:rPr>
          <w:rFonts w:ascii="TimesNewRoman" w:hAnsi="TimesNewRoman" w:cs="TimesNewRoman"/>
          <w:lang w:eastAsia="de-DE"/>
        </w:rPr>
      </w:pPr>
    </w:p>
    <w:p w:rsidR="00D55D07" w:rsidRDefault="00D55D07" w:rsidP="00C83B93">
      <w:pPr>
        <w:tabs>
          <w:tab w:val="left" w:pos="567"/>
          <w:tab w:val="left" w:pos="4820"/>
        </w:tabs>
        <w:ind w:right="5"/>
        <w:jc w:val="both"/>
      </w:pPr>
      <w:r w:rsidRPr="00980F10">
        <w:t xml:space="preserve">The following priorities for collaboration </w:t>
      </w:r>
      <w:r w:rsidRPr="004D0AE9">
        <w:rPr>
          <w:lang w:eastAsia="en-GB"/>
        </w:rPr>
        <w:t>for 2008–2013</w:t>
      </w:r>
      <w:r>
        <w:rPr>
          <w:lang w:eastAsia="en-GB"/>
        </w:rPr>
        <w:t xml:space="preserve"> </w:t>
      </w:r>
      <w:r>
        <w:t>were</w:t>
      </w:r>
      <w:r w:rsidRPr="00980F10">
        <w:t xml:space="preserve"> selected in response to public health concerns and ongoing national efforts to improve the performance of the health system.</w:t>
      </w:r>
    </w:p>
    <w:p w:rsidR="00D55D07" w:rsidRDefault="00D55D07" w:rsidP="009213B2">
      <w:pPr>
        <w:tabs>
          <w:tab w:val="left" w:pos="567"/>
          <w:tab w:val="left" w:pos="4820"/>
        </w:tabs>
        <w:ind w:right="5"/>
        <w:jc w:val="both"/>
      </w:pPr>
    </w:p>
    <w:p w:rsidR="00D55D07" w:rsidRPr="00521453" w:rsidRDefault="00D55D07" w:rsidP="009E6FFD">
      <w:pPr>
        <w:spacing w:after="120"/>
        <w:ind w:right="113"/>
        <w:jc w:val="both"/>
        <w:rPr>
          <w:b/>
          <w:iCs/>
          <w:smallCaps/>
        </w:rPr>
      </w:pPr>
      <w:r w:rsidRPr="00521453">
        <w:rPr>
          <w:b/>
          <w:iCs/>
          <w:smallCaps/>
        </w:rPr>
        <w:t>P</w:t>
      </w:r>
      <w:r w:rsidRPr="00521453">
        <w:rPr>
          <w:b/>
          <w:iCs/>
        </w:rPr>
        <w:t xml:space="preserve">riority </w:t>
      </w:r>
      <w:r w:rsidRPr="00521453">
        <w:rPr>
          <w:b/>
          <w:iCs/>
          <w:smallCaps/>
        </w:rPr>
        <w:t xml:space="preserve">1: </w:t>
      </w:r>
      <w:r w:rsidRPr="00521453">
        <w:rPr>
          <w:b/>
        </w:rPr>
        <w:t>Health promotion with emphasis on control of tobacco, alcohol and drugs; cancer prevention; mental health; promoting healthy nutrition policies and addressing physical inactivity, unhealthy diets and unsafe sex.</w:t>
      </w:r>
      <w:r w:rsidRPr="00521453">
        <w:rPr>
          <w:b/>
          <w:iCs/>
          <w:smallCaps/>
        </w:rPr>
        <w:t xml:space="preserve"> </w:t>
      </w:r>
    </w:p>
    <w:p w:rsidR="00D55D07" w:rsidRPr="00521453" w:rsidRDefault="00D55D07" w:rsidP="009E6FFD">
      <w:pPr>
        <w:numPr>
          <w:ilvl w:val="0"/>
          <w:numId w:val="1"/>
        </w:numPr>
        <w:tabs>
          <w:tab w:val="num" w:pos="1080"/>
        </w:tabs>
        <w:jc w:val="both"/>
        <w:rPr>
          <w:i/>
        </w:rPr>
      </w:pPr>
      <w:r w:rsidRPr="00521453">
        <w:rPr>
          <w:i/>
        </w:rPr>
        <w:t>Objective 1:</w:t>
      </w:r>
      <w:r w:rsidRPr="00521453">
        <w:t xml:space="preserve"> To develop and strengthen the national policy and capacity in addressing risk factors, including policies on preventing unsafe sex and implementing a national programme on cancer prevention</w:t>
      </w:r>
    </w:p>
    <w:p w:rsidR="00D55D07" w:rsidRPr="00521453" w:rsidRDefault="00D55D07" w:rsidP="009E6FFD">
      <w:pPr>
        <w:pStyle w:val="BodyText"/>
        <w:numPr>
          <w:ilvl w:val="0"/>
          <w:numId w:val="1"/>
        </w:numPr>
        <w:spacing w:after="40"/>
        <w:jc w:val="both"/>
      </w:pPr>
      <w:r w:rsidRPr="00521453">
        <w:rPr>
          <w:i/>
        </w:rPr>
        <w:t>Objective 2:</w:t>
      </w:r>
      <w:r w:rsidRPr="00521453">
        <w:t xml:space="preserve"> To strengthen surveillance of risk factors </w:t>
      </w:r>
    </w:p>
    <w:p w:rsidR="00D55D07" w:rsidRPr="00521453" w:rsidRDefault="00D55D07" w:rsidP="009E6FFD">
      <w:pPr>
        <w:pStyle w:val="BodyText"/>
        <w:numPr>
          <w:ilvl w:val="0"/>
          <w:numId w:val="1"/>
        </w:numPr>
        <w:spacing w:after="40"/>
        <w:jc w:val="both"/>
      </w:pPr>
      <w:r w:rsidRPr="00521453">
        <w:rPr>
          <w:i/>
        </w:rPr>
        <w:t>Objective 3:</w:t>
      </w:r>
      <w:r w:rsidRPr="00521453">
        <w:t xml:space="preserve"> To implement the national alcohol programme</w:t>
      </w:r>
    </w:p>
    <w:p w:rsidR="00D55D07" w:rsidRPr="00521453" w:rsidRDefault="00D55D07" w:rsidP="009E6FFD">
      <w:pPr>
        <w:pStyle w:val="BodyText"/>
        <w:numPr>
          <w:ilvl w:val="0"/>
          <w:numId w:val="1"/>
        </w:numPr>
        <w:spacing w:after="40"/>
        <w:jc w:val="both"/>
      </w:pPr>
      <w:r w:rsidRPr="00521453">
        <w:rPr>
          <w:i/>
        </w:rPr>
        <w:t xml:space="preserve">Objective 4: </w:t>
      </w:r>
      <w:r w:rsidRPr="00521453">
        <w:t xml:space="preserve">To promote healthy nutrition policies </w:t>
      </w:r>
    </w:p>
    <w:p w:rsidR="00D55D07" w:rsidRPr="00521453" w:rsidRDefault="00D55D07" w:rsidP="009E6FFD">
      <w:pPr>
        <w:pStyle w:val="BodyText"/>
        <w:numPr>
          <w:ilvl w:val="0"/>
          <w:numId w:val="1"/>
        </w:numPr>
        <w:spacing w:after="40"/>
        <w:jc w:val="both"/>
      </w:pPr>
      <w:r w:rsidRPr="00521453">
        <w:rPr>
          <w:i/>
        </w:rPr>
        <w:t>Objective 5:</w:t>
      </w:r>
      <w:r w:rsidRPr="00521453">
        <w:t xml:space="preserve"> To strengthen capacity in addressing mental health problems</w:t>
      </w:r>
    </w:p>
    <w:p w:rsidR="00D55D07" w:rsidRPr="00521453" w:rsidRDefault="00D55D07" w:rsidP="009E6FFD">
      <w:pPr>
        <w:jc w:val="both"/>
        <w:rPr>
          <w:b/>
          <w:smallCaps/>
        </w:rPr>
      </w:pPr>
    </w:p>
    <w:p w:rsidR="00D55D07" w:rsidRPr="00521453" w:rsidRDefault="00D55D07" w:rsidP="009E6FFD">
      <w:pPr>
        <w:tabs>
          <w:tab w:val="left" w:pos="567"/>
          <w:tab w:val="left" w:pos="4820"/>
        </w:tabs>
        <w:ind w:right="5"/>
        <w:jc w:val="both"/>
        <w:rPr>
          <w:b/>
          <w:smallCaps/>
        </w:rPr>
      </w:pPr>
      <w:r w:rsidRPr="00521453">
        <w:rPr>
          <w:b/>
          <w:iCs/>
          <w:smallCaps/>
        </w:rPr>
        <w:t>P</w:t>
      </w:r>
      <w:r w:rsidRPr="00521453">
        <w:rPr>
          <w:b/>
          <w:iCs/>
        </w:rPr>
        <w:t xml:space="preserve">riority </w:t>
      </w:r>
      <w:r>
        <w:rPr>
          <w:b/>
          <w:smallCaps/>
        </w:rPr>
        <w:t>2</w:t>
      </w:r>
      <w:r w:rsidRPr="00521453">
        <w:rPr>
          <w:b/>
          <w:smallCaps/>
        </w:rPr>
        <w:t xml:space="preserve">:  </w:t>
      </w:r>
      <w:r w:rsidRPr="00521453">
        <w:rPr>
          <w:b/>
        </w:rPr>
        <w:t xml:space="preserve">Health system strengthening, especially with regard to public health services, primary health care, health financing, human resources for health and responsiveness to address domestic violence. </w:t>
      </w:r>
    </w:p>
    <w:p w:rsidR="00D55D07" w:rsidRPr="00521453" w:rsidRDefault="00D55D07" w:rsidP="009E6FFD">
      <w:pPr>
        <w:tabs>
          <w:tab w:val="num" w:pos="1080"/>
        </w:tabs>
        <w:ind w:left="360"/>
        <w:jc w:val="both"/>
        <w:rPr>
          <w:i/>
        </w:rPr>
      </w:pPr>
    </w:p>
    <w:p w:rsidR="00D55D07" w:rsidRPr="00521453" w:rsidRDefault="00D55D07" w:rsidP="009E6FFD">
      <w:pPr>
        <w:numPr>
          <w:ilvl w:val="0"/>
          <w:numId w:val="1"/>
        </w:numPr>
        <w:tabs>
          <w:tab w:val="num" w:pos="1080"/>
        </w:tabs>
        <w:jc w:val="both"/>
        <w:rPr>
          <w:i/>
        </w:rPr>
      </w:pPr>
      <w:r w:rsidRPr="00521453">
        <w:rPr>
          <w:i/>
        </w:rPr>
        <w:t>Objective 1:</w:t>
      </w:r>
      <w:r w:rsidRPr="00521453">
        <w:t xml:space="preserve"> To strengthen comprehensive public health services</w:t>
      </w:r>
    </w:p>
    <w:p w:rsidR="00D55D07" w:rsidRPr="00521453" w:rsidRDefault="00D55D07" w:rsidP="009E6FFD">
      <w:pPr>
        <w:pStyle w:val="BodyText"/>
        <w:numPr>
          <w:ilvl w:val="0"/>
          <w:numId w:val="1"/>
        </w:numPr>
        <w:spacing w:after="40"/>
        <w:jc w:val="both"/>
      </w:pPr>
      <w:r w:rsidRPr="00521453">
        <w:rPr>
          <w:i/>
        </w:rPr>
        <w:t xml:space="preserve">Objective 2: </w:t>
      </w:r>
      <w:r w:rsidRPr="00521453">
        <w:t xml:space="preserve">To improve the performance of the health financing arrangements </w:t>
      </w:r>
    </w:p>
    <w:p w:rsidR="00D55D07" w:rsidRPr="00521453" w:rsidRDefault="00D55D07" w:rsidP="009E6FFD">
      <w:pPr>
        <w:pStyle w:val="BodyText"/>
        <w:numPr>
          <w:ilvl w:val="0"/>
          <w:numId w:val="1"/>
        </w:numPr>
        <w:spacing w:after="40"/>
        <w:jc w:val="both"/>
      </w:pPr>
      <w:r w:rsidRPr="00521453">
        <w:rPr>
          <w:i/>
        </w:rPr>
        <w:t>Objective 3:</w:t>
      </w:r>
      <w:r w:rsidRPr="00521453">
        <w:t xml:space="preserve"> To analyse and strengthen emergency health services</w:t>
      </w:r>
    </w:p>
    <w:p w:rsidR="00D55D07" w:rsidRPr="00521453" w:rsidRDefault="00D55D07" w:rsidP="009E6FFD">
      <w:pPr>
        <w:pStyle w:val="BodyText"/>
        <w:numPr>
          <w:ilvl w:val="0"/>
          <w:numId w:val="1"/>
        </w:numPr>
        <w:spacing w:after="40"/>
        <w:jc w:val="both"/>
      </w:pPr>
      <w:r w:rsidRPr="00521453">
        <w:rPr>
          <w:i/>
        </w:rPr>
        <w:t xml:space="preserve">Objective 4: </w:t>
      </w:r>
      <w:r w:rsidRPr="00521453">
        <w:t xml:space="preserve"> To advance the capacity building of the health workforce</w:t>
      </w:r>
    </w:p>
    <w:p w:rsidR="00D55D07" w:rsidRPr="00521453" w:rsidRDefault="00D55D07" w:rsidP="009E6FFD">
      <w:pPr>
        <w:pStyle w:val="BodyText"/>
        <w:numPr>
          <w:ilvl w:val="0"/>
          <w:numId w:val="1"/>
        </w:numPr>
        <w:spacing w:after="40"/>
        <w:jc w:val="both"/>
      </w:pPr>
      <w:r w:rsidRPr="00521453">
        <w:rPr>
          <w:i/>
        </w:rPr>
        <w:t xml:space="preserve">Objective 5: </w:t>
      </w:r>
      <w:r w:rsidRPr="00521453">
        <w:t>To develop quality indicators in primary health care</w:t>
      </w:r>
    </w:p>
    <w:p w:rsidR="00D55D07" w:rsidRPr="00521453" w:rsidRDefault="00D55D07" w:rsidP="009E6FFD">
      <w:pPr>
        <w:pStyle w:val="BodyText"/>
        <w:numPr>
          <w:ilvl w:val="0"/>
          <w:numId w:val="1"/>
        </w:numPr>
        <w:spacing w:after="40"/>
        <w:jc w:val="both"/>
      </w:pPr>
      <w:r w:rsidRPr="00521453">
        <w:rPr>
          <w:i/>
        </w:rPr>
        <w:t xml:space="preserve">Objective 6: </w:t>
      </w:r>
      <w:r w:rsidRPr="00521453">
        <w:t>To improve health systems responsiveness to address domestic violence</w:t>
      </w:r>
      <w:r w:rsidRPr="00521453">
        <w:rPr>
          <w:i/>
        </w:rPr>
        <w:t xml:space="preserve">  </w:t>
      </w:r>
      <w:r w:rsidRPr="00521453">
        <w:t xml:space="preserve"> </w:t>
      </w:r>
    </w:p>
    <w:p w:rsidR="00D55D07" w:rsidRDefault="00D55D07" w:rsidP="00C83B93">
      <w:pPr>
        <w:tabs>
          <w:tab w:val="left" w:pos="567"/>
          <w:tab w:val="left" w:pos="4820"/>
        </w:tabs>
        <w:ind w:right="5"/>
        <w:jc w:val="both"/>
      </w:pPr>
      <w:r>
        <w:rPr>
          <w:b/>
          <w:iCs/>
          <w:smallCaps/>
          <w:sz w:val="28"/>
          <w:szCs w:val="28"/>
        </w:rPr>
        <w:t xml:space="preserve"> </w:t>
      </w:r>
    </w:p>
    <w:p w:rsidR="00D55D07" w:rsidRPr="008D6703" w:rsidRDefault="00D55D07" w:rsidP="00DA28E3">
      <w:pPr>
        <w:tabs>
          <w:tab w:val="left" w:pos="567"/>
          <w:tab w:val="left" w:pos="4820"/>
        </w:tabs>
        <w:ind w:right="5"/>
        <w:jc w:val="both"/>
      </w:pPr>
      <w:r w:rsidRPr="008D6703">
        <w:t xml:space="preserve">The </w:t>
      </w:r>
      <w:r>
        <w:t xml:space="preserve">above </w:t>
      </w:r>
      <w:r w:rsidRPr="008D6703">
        <w:t xml:space="preserve">agreed Medium-term priorities for collaboration 2008–2013 were taken as a starting point, while </w:t>
      </w:r>
      <w:r w:rsidRPr="008D6703">
        <w:rPr>
          <w:iCs/>
          <w:lang w:eastAsia="en-GB"/>
        </w:rPr>
        <w:t>the new vision of the WHO Regional Office for Europe as approved by the sixtieth session of the Regional Committee for Europe – Better Health for Europe, as well as the concepts, principles and values underpinning the development of the Regional Office</w:t>
      </w:r>
      <w:r>
        <w:rPr>
          <w:iCs/>
          <w:lang w:eastAsia="en-GB"/>
        </w:rPr>
        <w:t>’</w:t>
      </w:r>
      <w:r w:rsidRPr="008D6703">
        <w:rPr>
          <w:iCs/>
          <w:lang w:eastAsia="en-GB"/>
        </w:rPr>
        <w:t xml:space="preserve">s new Country Strategy and the </w:t>
      </w:r>
      <w:r w:rsidRPr="008D6703">
        <w:t>European Policy for Health – Health 2020 were</w:t>
      </w:r>
      <w:r w:rsidRPr="008D6703">
        <w:rPr>
          <w:rFonts w:ascii="TimesNewRoman" w:hAnsi="TimesNewRoman" w:cs="TimesNewRoman"/>
          <w:lang w:eastAsia="de-DE"/>
        </w:rPr>
        <w:t xml:space="preserve"> </w:t>
      </w:r>
      <w:r w:rsidRPr="008D6703">
        <w:t>taken into account</w:t>
      </w:r>
      <w:r w:rsidRPr="008D6703">
        <w:rPr>
          <w:iCs/>
          <w:lang w:eastAsia="en-GB"/>
        </w:rPr>
        <w:t xml:space="preserve">. </w:t>
      </w:r>
      <w:r w:rsidRPr="008D6703">
        <w:rPr>
          <w:rFonts w:ascii="TimesNewRoman" w:hAnsi="TimesNewRoman" w:cs="TimesNewRoman"/>
          <w:lang w:eastAsia="de-DE"/>
        </w:rPr>
        <w:t xml:space="preserve">The aim of the Biennial Collaborative Agreement (BCA) is to impact health, i.e., </w:t>
      </w:r>
      <w:r w:rsidRPr="008D6703">
        <w:rPr>
          <w:rFonts w:ascii="TimesNewRoman" w:hAnsi="TimesNewRoman" w:cs="TimesNewRoman"/>
          <w:i/>
          <w:lang w:eastAsia="de-DE"/>
        </w:rPr>
        <w:t>to raise the level of health and reduce the inequity in the distribution of health within the population</w:t>
      </w:r>
      <w:r w:rsidRPr="008D6703">
        <w:rPr>
          <w:rFonts w:ascii="TimesNewRoman" w:hAnsi="TimesNewRoman" w:cs="TimesNewRoman"/>
          <w:lang w:eastAsia="de-DE"/>
        </w:rPr>
        <w:t>.</w:t>
      </w:r>
    </w:p>
    <w:p w:rsidR="00D55D07" w:rsidRPr="008D6703" w:rsidRDefault="00D55D07" w:rsidP="00DA28E3">
      <w:pPr>
        <w:autoSpaceDE w:val="0"/>
        <w:autoSpaceDN w:val="0"/>
        <w:adjustRightInd w:val="0"/>
        <w:jc w:val="both"/>
        <w:rPr>
          <w:rFonts w:ascii="TimesNewRoman" w:hAnsi="TimesNewRoman" w:cs="TimesNewRoman"/>
          <w:lang w:eastAsia="de-DE"/>
        </w:rPr>
      </w:pPr>
    </w:p>
    <w:p w:rsidR="00D55D07" w:rsidRPr="008D6703" w:rsidRDefault="00D55D07" w:rsidP="00DA28E3">
      <w:pPr>
        <w:autoSpaceDE w:val="0"/>
        <w:autoSpaceDN w:val="0"/>
        <w:adjustRightInd w:val="0"/>
        <w:jc w:val="both"/>
        <w:rPr>
          <w:rFonts w:ascii="TimesNewRoman" w:hAnsi="TimesNewRoman" w:cs="TimesNewRoman"/>
          <w:lang w:eastAsia="de-DE"/>
        </w:rPr>
      </w:pPr>
      <w:r w:rsidRPr="008D6703">
        <w:rPr>
          <w:rFonts w:ascii="TimesNewRoman" w:hAnsi="TimesNewRoman" w:cs="TimesNewRoman"/>
          <w:lang w:eastAsia="de-DE"/>
        </w:rPr>
        <w:t xml:space="preserve">The agreed medium-term priorities facilitate the strategic orientation of collaboration and serve as a basis for focusing collaboration on a select number of priority outcomes (uptake by Member States) deemed feasible to achieve and essential to improving the health situation and where WHO can make a unique contribution. </w:t>
      </w:r>
    </w:p>
    <w:p w:rsidR="00D55D07" w:rsidRPr="008D6703" w:rsidRDefault="00D55D07" w:rsidP="00DA28E3">
      <w:pPr>
        <w:autoSpaceDE w:val="0"/>
        <w:autoSpaceDN w:val="0"/>
        <w:adjustRightInd w:val="0"/>
        <w:jc w:val="both"/>
        <w:rPr>
          <w:rFonts w:ascii="TimesNewRoman" w:hAnsi="TimesNewRoman" w:cs="TimesNewRoman"/>
          <w:lang w:eastAsia="de-DE"/>
        </w:rPr>
      </w:pPr>
    </w:p>
    <w:p w:rsidR="00D55D07" w:rsidRDefault="00D55D07" w:rsidP="000538FB">
      <w:r>
        <w:t>The 2012-2013 Priorities are as follow:</w:t>
      </w:r>
    </w:p>
    <w:p w:rsidR="00D55D07" w:rsidRDefault="00D55D07" w:rsidP="000538FB">
      <w:pPr>
        <w:pStyle w:val="ListParagraph"/>
        <w:ind w:left="0"/>
      </w:pPr>
    </w:p>
    <w:p w:rsidR="00D55D07" w:rsidRPr="00F61A27" w:rsidRDefault="00D55D07" w:rsidP="00AB4CA9">
      <w:bookmarkStart w:id="10" w:name="OLE_LINK2"/>
      <w:r>
        <w:t xml:space="preserve">PRIORITY 1: </w:t>
      </w:r>
      <w:r w:rsidRPr="003B0D18">
        <w:rPr>
          <w:b/>
        </w:rPr>
        <w:t xml:space="preserve">European Health </w:t>
      </w:r>
      <w:r>
        <w:rPr>
          <w:b/>
        </w:rPr>
        <w:t>P</w:t>
      </w:r>
      <w:r w:rsidRPr="003B0D18">
        <w:rPr>
          <w:b/>
        </w:rPr>
        <w:t>olicy – Health 2020</w:t>
      </w:r>
      <w:r w:rsidRPr="00F61A27">
        <w:t xml:space="preserve"> </w:t>
      </w:r>
    </w:p>
    <w:p w:rsidR="00D55D07" w:rsidRPr="00F61A27" w:rsidRDefault="00D55D07" w:rsidP="00AB4CA9">
      <w:pPr>
        <w:pStyle w:val="ListParagraph"/>
      </w:pPr>
      <w:r w:rsidRPr="00F61A27">
        <w:t>S</w:t>
      </w:r>
      <w:r>
        <w:t>ocial determinants of health</w:t>
      </w:r>
      <w:r w:rsidRPr="00F61A27">
        <w:t>/H</w:t>
      </w:r>
      <w:r>
        <w:t>ealth indicators</w:t>
      </w:r>
    </w:p>
    <w:p w:rsidR="00D55D07" w:rsidRPr="00F61A27" w:rsidRDefault="00D55D07" w:rsidP="00AB4CA9">
      <w:pPr>
        <w:pStyle w:val="ListParagraph"/>
      </w:pPr>
      <w:r w:rsidRPr="00F61A27">
        <w:t>N</w:t>
      </w:r>
      <w:r>
        <w:t xml:space="preserve">ational </w:t>
      </w:r>
      <w:r w:rsidRPr="00F61A27">
        <w:t>H</w:t>
      </w:r>
      <w:r>
        <w:t xml:space="preserve">ealth </w:t>
      </w:r>
      <w:r w:rsidRPr="00F61A27">
        <w:t>P</w:t>
      </w:r>
      <w:r>
        <w:t xml:space="preserve">olicies, </w:t>
      </w:r>
      <w:r w:rsidRPr="00F61A27">
        <w:t>S</w:t>
      </w:r>
      <w:r>
        <w:t>trategies and action plans</w:t>
      </w:r>
    </w:p>
    <w:p w:rsidR="00D55D07" w:rsidRPr="00F61A27" w:rsidRDefault="00D55D07" w:rsidP="00AB4CA9">
      <w:pPr>
        <w:pStyle w:val="ListParagraph"/>
      </w:pPr>
    </w:p>
    <w:p w:rsidR="00D55D07" w:rsidRPr="00521453" w:rsidRDefault="00D55D07" w:rsidP="00521453">
      <w:pPr>
        <w:pStyle w:val="ListParagraph"/>
        <w:ind w:left="0"/>
        <w:rPr>
          <w:b/>
        </w:rPr>
      </w:pPr>
      <w:r>
        <w:t xml:space="preserve"> </w:t>
      </w:r>
      <w:r w:rsidRPr="00FA54EE">
        <w:t>PRIORITY</w:t>
      </w:r>
      <w:r>
        <w:t xml:space="preserve"> 2 </w:t>
      </w:r>
      <w:r w:rsidRPr="00FA54EE">
        <w:t xml:space="preserve">: </w:t>
      </w:r>
      <w:r w:rsidRPr="00521453">
        <w:rPr>
          <w:b/>
        </w:rPr>
        <w:t>Health Systems strengthening and Public Health</w:t>
      </w:r>
    </w:p>
    <w:p w:rsidR="00D55D07" w:rsidRPr="00521453" w:rsidRDefault="00D55D07" w:rsidP="00AB4CA9">
      <w:pPr>
        <w:pStyle w:val="ListParagraph"/>
      </w:pPr>
      <w:r w:rsidRPr="00521453">
        <w:t>Health Finance</w:t>
      </w:r>
    </w:p>
    <w:p w:rsidR="00D55D07" w:rsidRPr="00F61A27" w:rsidRDefault="00D55D07" w:rsidP="00AB4CA9">
      <w:pPr>
        <w:pStyle w:val="ListParagraph"/>
      </w:pPr>
      <w:r w:rsidRPr="00F61A27">
        <w:t>Public Health</w:t>
      </w:r>
      <w:r>
        <w:t xml:space="preserve">, </w:t>
      </w:r>
      <w:r w:rsidRPr="00F61A27">
        <w:t>P</w:t>
      </w:r>
      <w:r>
        <w:t>rimary health care, Hospitals</w:t>
      </w:r>
    </w:p>
    <w:p w:rsidR="00D55D07" w:rsidRDefault="00D55D07" w:rsidP="00F61A27"/>
    <w:p w:rsidR="00D55D07" w:rsidRPr="00290D92" w:rsidRDefault="00D55D07" w:rsidP="00F61A27">
      <w:pPr>
        <w:rPr>
          <w:b/>
        </w:rPr>
      </w:pPr>
      <w:r>
        <w:t xml:space="preserve">PRIORITY 3: </w:t>
      </w:r>
      <w:r w:rsidRPr="00290D92">
        <w:rPr>
          <w:b/>
        </w:rPr>
        <w:t>Non-Communicable Diseases, Health Promotion and Healthy Lifestyles</w:t>
      </w:r>
    </w:p>
    <w:bookmarkEnd w:id="10"/>
    <w:p w:rsidR="00D55D07" w:rsidRPr="00F61A27" w:rsidRDefault="00D55D07" w:rsidP="00290D92">
      <w:r w:rsidRPr="00504323">
        <w:t>Reducing morbidity, disability and premature mortality owing to chronic</w:t>
      </w:r>
      <w:r w:rsidRPr="00F61A27">
        <w:t xml:space="preserve"> non-communicable diseases, mental disorders, as well as the promotion of healthy lifestyles.</w:t>
      </w:r>
    </w:p>
    <w:p w:rsidR="00D55D07" w:rsidRDefault="00D55D07" w:rsidP="00F61A27"/>
    <w:p w:rsidR="00D55D07" w:rsidRPr="00290D92" w:rsidRDefault="00D55D07" w:rsidP="00715FEF">
      <w:pPr>
        <w:pStyle w:val="ListParagraph"/>
        <w:ind w:left="0"/>
        <w:rPr>
          <w:b/>
        </w:rPr>
      </w:pPr>
      <w:r>
        <w:t xml:space="preserve">PRIORITY 4: </w:t>
      </w:r>
      <w:r w:rsidRPr="00290D92">
        <w:rPr>
          <w:b/>
        </w:rPr>
        <w:t>Communicable Diseases, Health Security and Environment</w:t>
      </w:r>
    </w:p>
    <w:p w:rsidR="00D55D07" w:rsidRPr="00F61A27" w:rsidRDefault="00D55D07" w:rsidP="00290D92">
      <w:r w:rsidRPr="00504323">
        <w:t xml:space="preserve">Reducing the burden of communicable diseases, including their social and economic consequences, </w:t>
      </w:r>
      <w:r>
        <w:t xml:space="preserve"> </w:t>
      </w:r>
      <w:r w:rsidRPr="00504323">
        <w:t>including HIV/AIDS</w:t>
      </w:r>
      <w:r>
        <w:t xml:space="preserve"> </w:t>
      </w:r>
      <w:r w:rsidRPr="00504323">
        <w:t>and tuberculosis.</w:t>
      </w:r>
    </w:p>
    <w:p w:rsidR="00D55D07" w:rsidRPr="00504323" w:rsidRDefault="00D55D07" w:rsidP="00F61A27">
      <w:r>
        <w:t xml:space="preserve"> </w:t>
      </w:r>
    </w:p>
    <w:p w:rsidR="00D55D07" w:rsidRDefault="00D55D07" w:rsidP="00FA54EE">
      <w:pPr>
        <w:pStyle w:val="PlainText"/>
        <w:jc w:val="both"/>
        <w:rPr>
          <w:rFonts w:ascii="Times New Roman" w:hAnsi="Times New Roman" w:cs="Times New Roman"/>
          <w:sz w:val="24"/>
          <w:szCs w:val="24"/>
          <w:lang w:val="en-GB"/>
        </w:rPr>
      </w:pPr>
      <w:r w:rsidRPr="00FA54EE">
        <w:rPr>
          <w:rFonts w:ascii="Times New Roman" w:hAnsi="Times New Roman" w:cs="Times New Roman"/>
          <w:sz w:val="24"/>
          <w:szCs w:val="24"/>
          <w:lang w:val="en-GB"/>
        </w:rPr>
        <w:t>PRIORITY</w:t>
      </w:r>
      <w:r>
        <w:rPr>
          <w:rFonts w:ascii="Times New Roman" w:hAnsi="Times New Roman" w:cs="Times New Roman"/>
          <w:sz w:val="24"/>
          <w:szCs w:val="24"/>
          <w:lang w:val="en-GB"/>
        </w:rPr>
        <w:t>5</w:t>
      </w:r>
      <w:r w:rsidRPr="00FA54EE">
        <w:rPr>
          <w:rFonts w:ascii="Times New Roman" w:hAnsi="Times New Roman" w:cs="Times New Roman"/>
          <w:sz w:val="24"/>
          <w:szCs w:val="24"/>
          <w:lang w:val="en-GB"/>
        </w:rPr>
        <w:t xml:space="preserve">: </w:t>
      </w:r>
      <w:r w:rsidRPr="00290D92">
        <w:rPr>
          <w:rFonts w:ascii="Times New Roman" w:hAnsi="Times New Roman" w:cs="Times New Roman"/>
          <w:b/>
          <w:sz w:val="24"/>
          <w:szCs w:val="24"/>
          <w:lang w:val="en-GB"/>
        </w:rPr>
        <w:t>Health Information, Evidence, Research and Innovation</w:t>
      </w:r>
      <w:r>
        <w:rPr>
          <w:rFonts w:ascii="Times New Roman" w:hAnsi="Times New Roman" w:cs="Times New Roman"/>
          <w:sz w:val="24"/>
          <w:szCs w:val="24"/>
          <w:lang w:val="en-GB"/>
        </w:rPr>
        <w:t xml:space="preserve"> </w:t>
      </w:r>
    </w:p>
    <w:p w:rsidR="00D55D07" w:rsidRPr="00F61A27" w:rsidRDefault="00D55D07" w:rsidP="00290D92">
      <w:pPr>
        <w:pStyle w:val="ListParagraph"/>
      </w:pPr>
      <w:r>
        <w:t>Analysis of Health information</w:t>
      </w:r>
    </w:p>
    <w:p w:rsidR="00D55D07" w:rsidRPr="00F61A27" w:rsidRDefault="00D55D07" w:rsidP="00290D92">
      <w:pPr>
        <w:pStyle w:val="ListParagraph"/>
      </w:pPr>
      <w:r>
        <w:t>Reliable and comparable Health information data</w:t>
      </w:r>
    </w:p>
    <w:p w:rsidR="00D55D07" w:rsidRDefault="00D55D07" w:rsidP="00715FEF">
      <w:pPr>
        <w:pStyle w:val="ListParagraph"/>
        <w:ind w:left="0"/>
        <w:rPr>
          <w:highlight w:val="red"/>
        </w:rPr>
      </w:pPr>
    </w:p>
    <w:p w:rsidR="00D55D07" w:rsidRDefault="00D55D07" w:rsidP="00596205">
      <w:pPr>
        <w:autoSpaceDE w:val="0"/>
        <w:autoSpaceDN w:val="0"/>
        <w:adjustRightInd w:val="0"/>
        <w:jc w:val="center"/>
        <w:rPr>
          <w:rFonts w:ascii="TimesNewRoman" w:hAnsi="TimesNewRoman" w:cs="TimesNewRoman"/>
          <w:lang w:eastAsia="de-DE"/>
        </w:rPr>
      </w:pPr>
      <w:r>
        <w:rPr>
          <w:rFonts w:ascii="TimesNewRoman" w:hAnsi="TimesNewRoman" w:cs="TimesNewRoman"/>
          <w:highlight w:val="red"/>
          <w:lang w:eastAsia="de-DE"/>
        </w:rPr>
        <w:br w:type="page"/>
      </w:r>
    </w:p>
    <w:p w:rsidR="00D55D07" w:rsidRPr="00B0343D" w:rsidRDefault="00D55D07" w:rsidP="000D4B9C">
      <w:pPr>
        <w:pStyle w:val="Heading1"/>
        <w:pBdr>
          <w:top w:val="single" w:sz="4" w:space="1" w:color="auto"/>
          <w:left w:val="single" w:sz="4" w:space="4" w:color="auto"/>
          <w:bottom w:val="single" w:sz="4" w:space="0" w:color="auto"/>
          <w:right w:val="single" w:sz="4" w:space="4" w:color="auto"/>
        </w:pBdr>
        <w:rPr>
          <w:rFonts w:ascii="Times New Roman" w:hAnsi="Times New Roman"/>
          <w:color w:val="0000FF"/>
          <w:lang w:eastAsia="en-GB"/>
        </w:rPr>
      </w:pPr>
      <w:bookmarkStart w:id="11" w:name="_Toc303786403"/>
      <w:r w:rsidRPr="00B0343D">
        <w:rPr>
          <w:rFonts w:ascii="Times New Roman" w:hAnsi="Times New Roman"/>
          <w:color w:val="0000FF"/>
          <w:lang w:eastAsia="en-GB"/>
        </w:rPr>
        <w:lastRenderedPageBreak/>
        <w:t>PART 2. Budget and Commitments for 2012–2013</w:t>
      </w:r>
      <w:bookmarkEnd w:id="11"/>
    </w:p>
    <w:p w:rsidR="00D55D07" w:rsidRPr="00B0343D" w:rsidRDefault="00D55D07" w:rsidP="00C95B9D">
      <w:pPr>
        <w:pStyle w:val="Heading2"/>
        <w:numPr>
          <w:ilvl w:val="1"/>
          <w:numId w:val="32"/>
        </w:numPr>
        <w:rPr>
          <w:color w:val="0066FF"/>
        </w:rPr>
      </w:pPr>
      <w:bookmarkStart w:id="12" w:name="_Toc113887653"/>
      <w:bookmarkStart w:id="13" w:name="_Toc303786404"/>
      <w:r w:rsidRPr="00B0343D">
        <w:rPr>
          <w:color w:val="0066FF"/>
        </w:rPr>
        <w:t>Budget</w:t>
      </w:r>
      <w:bookmarkEnd w:id="12"/>
      <w:r w:rsidRPr="00B0343D">
        <w:rPr>
          <w:color w:val="0066FF"/>
        </w:rPr>
        <w:t xml:space="preserve"> and Financing</w:t>
      </w:r>
      <w:bookmarkEnd w:id="13"/>
    </w:p>
    <w:p w:rsidR="00D55D07" w:rsidRPr="00B0343D" w:rsidRDefault="00D55D07" w:rsidP="00206132"/>
    <w:p w:rsidR="00D55D07" w:rsidRPr="00B0343D" w:rsidRDefault="00D55D07" w:rsidP="00DA28E3">
      <w:pPr>
        <w:rPr>
          <w:u w:val="single"/>
        </w:rPr>
      </w:pPr>
      <w:bookmarkStart w:id="14" w:name="_Toc111434528"/>
      <w:bookmarkStart w:id="15" w:name="_Toc111435295"/>
      <w:bookmarkStart w:id="16" w:name="_Toc113887655"/>
      <w:r w:rsidRPr="00B0343D">
        <w:t>The total budget of the within-country workplan amounts to US$ 474</w:t>
      </w:r>
      <w:r>
        <w:t xml:space="preserve"> </w:t>
      </w:r>
      <w:r w:rsidRPr="00B0343D">
        <w:t>000*.</w:t>
      </w:r>
    </w:p>
    <w:p w:rsidR="00D55D07" w:rsidRPr="00B0343D" w:rsidRDefault="00D55D07" w:rsidP="00DA28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6"/>
        <w:gridCol w:w="1833"/>
        <w:gridCol w:w="1829"/>
      </w:tblGrid>
      <w:tr w:rsidR="00D55D07" w:rsidRPr="00B0343D" w:rsidTr="00DA28E3">
        <w:trPr>
          <w:trHeight w:val="713"/>
        </w:trPr>
        <w:tc>
          <w:tcPr>
            <w:tcW w:w="5637" w:type="dxa"/>
          </w:tcPr>
          <w:p w:rsidR="00D55D07" w:rsidRPr="00B0343D" w:rsidRDefault="00D55D07" w:rsidP="00DA28E3">
            <w:pPr>
              <w:jc w:val="center"/>
              <w:rPr>
                <w:b/>
              </w:rPr>
            </w:pPr>
          </w:p>
        </w:tc>
        <w:tc>
          <w:tcPr>
            <w:tcW w:w="1834" w:type="dxa"/>
          </w:tcPr>
          <w:p w:rsidR="00D55D07" w:rsidRPr="00B0343D" w:rsidRDefault="00D55D07" w:rsidP="00DA28E3">
            <w:pPr>
              <w:jc w:val="center"/>
              <w:rPr>
                <w:b/>
              </w:rPr>
            </w:pPr>
            <w:r w:rsidRPr="00B0343D">
              <w:rPr>
                <w:b/>
              </w:rPr>
              <w:t>Financing</w:t>
            </w:r>
          </w:p>
          <w:p w:rsidR="00D55D07" w:rsidRPr="00B0343D" w:rsidRDefault="00D55D07" w:rsidP="00DA28E3">
            <w:pPr>
              <w:jc w:val="center"/>
              <w:rPr>
                <w:b/>
                <w:sz w:val="20"/>
                <w:szCs w:val="20"/>
              </w:rPr>
            </w:pPr>
            <w:r w:rsidRPr="00B0343D">
              <w:rPr>
                <w:b/>
                <w:sz w:val="20"/>
                <w:szCs w:val="20"/>
              </w:rPr>
              <w:t>(US$ Thousands)</w:t>
            </w:r>
          </w:p>
        </w:tc>
        <w:tc>
          <w:tcPr>
            <w:tcW w:w="1830" w:type="dxa"/>
          </w:tcPr>
          <w:p w:rsidR="00D55D07" w:rsidRPr="00B0343D" w:rsidRDefault="00D55D07" w:rsidP="00DA28E3">
            <w:pPr>
              <w:jc w:val="center"/>
              <w:rPr>
                <w:b/>
              </w:rPr>
            </w:pPr>
            <w:r w:rsidRPr="00B0343D">
              <w:rPr>
                <w:b/>
              </w:rPr>
              <w:t>Budget</w:t>
            </w:r>
          </w:p>
          <w:p w:rsidR="00D55D07" w:rsidRPr="00B0343D" w:rsidRDefault="00D55D07" w:rsidP="00DA28E3">
            <w:pPr>
              <w:jc w:val="center"/>
              <w:rPr>
                <w:b/>
              </w:rPr>
            </w:pPr>
            <w:r w:rsidRPr="00B0343D">
              <w:rPr>
                <w:b/>
                <w:sz w:val="20"/>
                <w:szCs w:val="20"/>
              </w:rPr>
              <w:t>(US$ Thousands)</w:t>
            </w:r>
          </w:p>
        </w:tc>
      </w:tr>
      <w:tr w:rsidR="00D55D07" w:rsidRPr="00B0343D" w:rsidTr="00DA28E3">
        <w:tc>
          <w:tcPr>
            <w:tcW w:w="5637" w:type="dxa"/>
          </w:tcPr>
          <w:p w:rsidR="00D55D07" w:rsidRPr="00B0343D" w:rsidRDefault="00D55D07" w:rsidP="00DA28E3">
            <w:pPr>
              <w:pStyle w:val="ListParagraph"/>
              <w:ind w:left="284"/>
            </w:pPr>
          </w:p>
          <w:p w:rsidR="00D55D07" w:rsidRPr="00B0343D" w:rsidRDefault="00D55D07" w:rsidP="00DA28E3">
            <w:pPr>
              <w:pStyle w:val="ListParagraph"/>
              <w:numPr>
                <w:ilvl w:val="0"/>
                <w:numId w:val="35"/>
              </w:numPr>
              <w:ind w:left="284" w:hanging="284"/>
            </w:pPr>
            <w:r w:rsidRPr="00B0343D">
              <w:t>Corporate funds (AC, CVCA, and WHO Regional Office for Europe Flexible)</w:t>
            </w:r>
          </w:p>
          <w:p w:rsidR="00D55D07" w:rsidRPr="00B0343D" w:rsidRDefault="00D55D07" w:rsidP="00DA28E3">
            <w:pPr>
              <w:pStyle w:val="ListParagraph"/>
              <w:numPr>
                <w:ilvl w:val="0"/>
                <w:numId w:val="35"/>
              </w:numPr>
              <w:ind w:left="284" w:hanging="284"/>
            </w:pPr>
            <w:r w:rsidRPr="00B0343D">
              <w:t>Projected VCS (Known with great certainty)**</w:t>
            </w:r>
          </w:p>
          <w:p w:rsidR="00D55D07" w:rsidRPr="00B0343D" w:rsidRDefault="00D55D07" w:rsidP="00DA28E3">
            <w:pPr>
              <w:pStyle w:val="ListParagraph"/>
              <w:numPr>
                <w:ilvl w:val="0"/>
                <w:numId w:val="35"/>
              </w:numPr>
              <w:ind w:left="284" w:hanging="284"/>
            </w:pPr>
            <w:r w:rsidRPr="00B0343D">
              <w:t>Additional VCS to be mobilized</w:t>
            </w:r>
          </w:p>
          <w:p w:rsidR="00D55D07" w:rsidRPr="00B0343D" w:rsidRDefault="00D55D07" w:rsidP="00DA28E3">
            <w:pPr>
              <w:pStyle w:val="ListParagraph"/>
              <w:ind w:left="284"/>
            </w:pPr>
          </w:p>
        </w:tc>
        <w:tc>
          <w:tcPr>
            <w:tcW w:w="1834" w:type="dxa"/>
          </w:tcPr>
          <w:p w:rsidR="00D55D07" w:rsidRPr="00B0343D" w:rsidRDefault="00D55D07" w:rsidP="00DA28E3">
            <w:pPr>
              <w:jc w:val="right"/>
            </w:pPr>
          </w:p>
          <w:p w:rsidR="00D55D07" w:rsidRPr="00B0343D" w:rsidRDefault="00D55D07" w:rsidP="00DA28E3">
            <w:pPr>
              <w:jc w:val="right"/>
            </w:pPr>
            <w:r w:rsidRPr="00B0343D">
              <w:t>70</w:t>
            </w:r>
          </w:p>
          <w:p w:rsidR="00D55D07" w:rsidRPr="00B0343D" w:rsidRDefault="00D55D07" w:rsidP="00DA28E3">
            <w:pPr>
              <w:jc w:val="right"/>
            </w:pPr>
          </w:p>
          <w:p w:rsidR="00D55D07" w:rsidRPr="00B0343D" w:rsidRDefault="00D55D07" w:rsidP="00DA28E3">
            <w:pPr>
              <w:jc w:val="right"/>
            </w:pPr>
            <w:r w:rsidRPr="00B0343D">
              <w:t>72</w:t>
            </w:r>
          </w:p>
          <w:p w:rsidR="00D55D07" w:rsidRPr="00B0343D" w:rsidRDefault="00D55D07" w:rsidP="00DA28E3">
            <w:pPr>
              <w:jc w:val="right"/>
            </w:pPr>
          </w:p>
        </w:tc>
        <w:tc>
          <w:tcPr>
            <w:tcW w:w="1830" w:type="dxa"/>
          </w:tcPr>
          <w:p w:rsidR="00D55D07" w:rsidRPr="00B0343D" w:rsidRDefault="00D55D07" w:rsidP="00DA28E3">
            <w:pPr>
              <w:jc w:val="right"/>
            </w:pPr>
          </w:p>
          <w:p w:rsidR="00D55D07" w:rsidRPr="00B0343D" w:rsidRDefault="00D55D07" w:rsidP="00DA28E3">
            <w:pPr>
              <w:jc w:val="right"/>
            </w:pPr>
            <w:r w:rsidRPr="00B0343D">
              <w:t>70</w:t>
            </w:r>
          </w:p>
          <w:p w:rsidR="00D55D07" w:rsidRPr="00B0343D" w:rsidRDefault="00D55D07" w:rsidP="00DA28E3">
            <w:pPr>
              <w:jc w:val="right"/>
            </w:pPr>
          </w:p>
          <w:p w:rsidR="00D55D07" w:rsidRPr="00B0343D" w:rsidRDefault="00D55D07" w:rsidP="00DA28E3">
            <w:pPr>
              <w:jc w:val="right"/>
            </w:pPr>
            <w:r w:rsidRPr="00B0343D">
              <w:t>72</w:t>
            </w:r>
          </w:p>
          <w:p w:rsidR="00D55D07" w:rsidRPr="00B0343D" w:rsidRDefault="00D55D07" w:rsidP="00B0343D">
            <w:pPr>
              <w:jc w:val="right"/>
            </w:pPr>
            <w:r w:rsidRPr="00B0343D">
              <w:t>332</w:t>
            </w:r>
          </w:p>
        </w:tc>
      </w:tr>
      <w:tr w:rsidR="00D55D07" w:rsidRPr="00B0343D" w:rsidTr="00DA28E3">
        <w:tc>
          <w:tcPr>
            <w:tcW w:w="5637" w:type="dxa"/>
          </w:tcPr>
          <w:p w:rsidR="00D55D07" w:rsidRPr="00B0343D" w:rsidRDefault="00D55D07" w:rsidP="00DA28E3">
            <w:pPr>
              <w:rPr>
                <w:b/>
              </w:rPr>
            </w:pPr>
            <w:r w:rsidRPr="00B0343D">
              <w:rPr>
                <w:b/>
              </w:rPr>
              <w:t>TOTAL</w:t>
            </w:r>
          </w:p>
        </w:tc>
        <w:tc>
          <w:tcPr>
            <w:tcW w:w="1834" w:type="dxa"/>
          </w:tcPr>
          <w:p w:rsidR="00D55D07" w:rsidRPr="00B0343D" w:rsidRDefault="00D55D07" w:rsidP="00DA28E3">
            <w:pPr>
              <w:jc w:val="right"/>
              <w:rPr>
                <w:b/>
              </w:rPr>
            </w:pPr>
            <w:r w:rsidRPr="00B0343D">
              <w:rPr>
                <w:b/>
              </w:rPr>
              <w:t>142</w:t>
            </w:r>
          </w:p>
        </w:tc>
        <w:tc>
          <w:tcPr>
            <w:tcW w:w="1830" w:type="dxa"/>
          </w:tcPr>
          <w:p w:rsidR="00D55D07" w:rsidRPr="00B0343D" w:rsidRDefault="00D55D07" w:rsidP="00B0343D">
            <w:pPr>
              <w:jc w:val="right"/>
              <w:rPr>
                <w:b/>
              </w:rPr>
            </w:pPr>
            <w:r w:rsidRPr="00B0343D">
              <w:rPr>
                <w:b/>
              </w:rPr>
              <w:t>474</w:t>
            </w:r>
          </w:p>
        </w:tc>
      </w:tr>
    </w:tbl>
    <w:p w:rsidR="00D55D07" w:rsidRPr="00B0343D" w:rsidRDefault="00D55D07" w:rsidP="00DA28E3">
      <w:pPr>
        <w:pStyle w:val="ListParagraph"/>
        <w:ind w:left="0"/>
        <w:rPr>
          <w:i/>
          <w:sz w:val="20"/>
          <w:szCs w:val="20"/>
        </w:rPr>
      </w:pPr>
      <w:r w:rsidRPr="00B0343D">
        <w:rPr>
          <w:i/>
          <w:sz w:val="20"/>
          <w:szCs w:val="20"/>
        </w:rPr>
        <w:t>*The total budget is subject to adjustments on the basis of the planned “mode of delivery”</w:t>
      </w:r>
    </w:p>
    <w:p w:rsidR="00D55D07" w:rsidRPr="00B0343D" w:rsidRDefault="00D55D07" w:rsidP="00DA28E3">
      <w:pPr>
        <w:pStyle w:val="ListParagraph"/>
        <w:ind w:left="0"/>
        <w:rPr>
          <w:i/>
          <w:sz w:val="20"/>
          <w:szCs w:val="20"/>
        </w:rPr>
      </w:pPr>
      <w:r w:rsidRPr="00B0343D">
        <w:rPr>
          <w:i/>
          <w:sz w:val="20"/>
          <w:szCs w:val="20"/>
        </w:rPr>
        <w:t xml:space="preserve">** Projected VCS funds are subject to adjustments on the basis of actual availability. </w:t>
      </w:r>
    </w:p>
    <w:p w:rsidR="00D55D07" w:rsidRPr="00B0343D" w:rsidRDefault="00D55D07" w:rsidP="00DA28E3"/>
    <w:p w:rsidR="00D55D07" w:rsidRPr="00B0343D" w:rsidRDefault="00D55D07" w:rsidP="00DA28E3">
      <w:pPr>
        <w:jc w:val="both"/>
      </w:pPr>
      <w:r w:rsidRPr="00B0343D">
        <w:rPr>
          <w:lang w:eastAsia="en-GB"/>
        </w:rPr>
        <w:t>The value of WHO contribution thus goes beyond the indicated monetary figures in this document, as it includes technical assistance and other inputs from HQ, RO, GDOs and also COs. The WHO Secretariat will, as part of its annual and biennial Programme budget implementation report to the Regional Committee, include an estimate of how the actual costs of the intercountry programme are distributed across different levels (regions and countries), as well as for the latter across individual countries.</w:t>
      </w:r>
    </w:p>
    <w:p w:rsidR="00D55D07" w:rsidRPr="00B0343D" w:rsidRDefault="00D55D07" w:rsidP="00DA28E3"/>
    <w:p w:rsidR="00D55D07" w:rsidRPr="00B0343D" w:rsidRDefault="00D55D07" w:rsidP="00DA28E3">
      <w:pPr>
        <w:pStyle w:val="Heading2"/>
        <w:numPr>
          <w:ilvl w:val="1"/>
          <w:numId w:val="32"/>
        </w:numPr>
        <w:rPr>
          <w:color w:val="0066FF"/>
        </w:rPr>
      </w:pPr>
      <w:bookmarkStart w:id="17" w:name="_Toc303237001"/>
      <w:bookmarkStart w:id="18" w:name="_Toc303786405"/>
      <w:r w:rsidRPr="00B0343D">
        <w:rPr>
          <w:color w:val="0066FF"/>
        </w:rPr>
        <w:t>Commitments</w:t>
      </w:r>
      <w:bookmarkEnd w:id="17"/>
      <w:bookmarkEnd w:id="18"/>
      <w:r w:rsidRPr="00B0343D">
        <w:rPr>
          <w:color w:val="0066FF"/>
        </w:rPr>
        <w:t xml:space="preserve"> </w:t>
      </w:r>
      <w:bookmarkStart w:id="19" w:name="_Toc111434529"/>
      <w:bookmarkStart w:id="20" w:name="_Toc111435296"/>
      <w:bookmarkStart w:id="21" w:name="_Toc113887656"/>
      <w:bookmarkEnd w:id="14"/>
      <w:bookmarkEnd w:id="15"/>
      <w:bookmarkEnd w:id="16"/>
    </w:p>
    <w:p w:rsidR="00D55D07" w:rsidRPr="00B0343D" w:rsidRDefault="00D55D07" w:rsidP="00DA28E3"/>
    <w:p w:rsidR="00D55D07" w:rsidRPr="00B0343D" w:rsidRDefault="00D55D07" w:rsidP="00DA28E3">
      <w:r w:rsidRPr="00B0343D">
        <w:t xml:space="preserve">The  </w:t>
      </w:r>
      <w:r>
        <w:t>Ministry of Health of the Republic of Latvia</w:t>
      </w:r>
      <w:r w:rsidRPr="00B0343D">
        <w:t xml:space="preserve"> and the WHO</w:t>
      </w:r>
      <w:r>
        <w:t>/EURO</w:t>
      </w:r>
      <w:r w:rsidRPr="00B0343D">
        <w:t xml:space="preserve"> Secretariat jointly commit to work together to mobilize the additional funds required to achieve the Outcomes defined in this agreement.</w:t>
      </w:r>
    </w:p>
    <w:p w:rsidR="00D55D07" w:rsidRPr="00B0343D" w:rsidRDefault="00D55D07" w:rsidP="00DA28E3"/>
    <w:p w:rsidR="00D55D07" w:rsidRPr="00B0343D" w:rsidRDefault="00D55D07" w:rsidP="00DA28E3">
      <w:pPr>
        <w:pStyle w:val="Heading3"/>
      </w:pPr>
      <w:bookmarkStart w:id="22" w:name="_Toc303237002"/>
      <w:bookmarkStart w:id="23" w:name="_Toc303786406"/>
      <w:r w:rsidRPr="00B0343D">
        <w:t>2.2.1</w:t>
      </w:r>
      <w:r w:rsidRPr="00B0343D">
        <w:tab/>
        <w:t>Commitments of the WHO</w:t>
      </w:r>
      <w:bookmarkEnd w:id="19"/>
      <w:bookmarkEnd w:id="20"/>
      <w:bookmarkEnd w:id="21"/>
      <w:r w:rsidRPr="00B0343D">
        <w:t xml:space="preserve"> Secretariat</w:t>
      </w:r>
      <w:bookmarkEnd w:id="22"/>
      <w:bookmarkEnd w:id="23"/>
    </w:p>
    <w:p w:rsidR="00D55D07" w:rsidRPr="00B0343D" w:rsidRDefault="00D55D07" w:rsidP="00DA28E3">
      <w:pPr>
        <w:pStyle w:val="indent7"/>
        <w:tabs>
          <w:tab w:val="left" w:pos="567"/>
        </w:tabs>
        <w:spacing w:line="240" w:lineRule="auto"/>
        <w:ind w:right="-1"/>
        <w:rPr>
          <w:rFonts w:ascii="Times New Roman" w:hAnsi="Times New Roman"/>
          <w:szCs w:val="24"/>
          <w:lang w:val="en-GB"/>
        </w:rPr>
      </w:pPr>
    </w:p>
    <w:p w:rsidR="00D55D07" w:rsidRPr="00B0343D" w:rsidRDefault="00D55D07" w:rsidP="00DA28E3">
      <w:pPr>
        <w:jc w:val="both"/>
      </w:pPr>
      <w:r w:rsidRPr="00B0343D">
        <w:t>WHO agrees to provide, subject to the availability of funds and its rules and regulations, the outputs defined in the Annex. Separate agreements will be concluded for any local cost subsidy or direct financial cooperation inputs at the time of execution.</w:t>
      </w:r>
    </w:p>
    <w:p w:rsidR="00D55D07" w:rsidRPr="00B0343D" w:rsidRDefault="00D55D07" w:rsidP="00DA28E3">
      <w:pPr>
        <w:jc w:val="both"/>
      </w:pPr>
    </w:p>
    <w:p w:rsidR="00D55D07" w:rsidRPr="00B0343D" w:rsidRDefault="00D55D07" w:rsidP="00DA28E3">
      <w:pPr>
        <w:pStyle w:val="Heading3"/>
      </w:pPr>
      <w:bookmarkStart w:id="24" w:name="_Toc111434530"/>
      <w:bookmarkStart w:id="25" w:name="_Toc111435297"/>
      <w:bookmarkStart w:id="26" w:name="_Toc113887657"/>
      <w:bookmarkStart w:id="27" w:name="_Toc303237003"/>
      <w:bookmarkStart w:id="28" w:name="_Toc303786407"/>
      <w:r w:rsidRPr="00B0343D">
        <w:t>2.2.2</w:t>
      </w:r>
      <w:r w:rsidRPr="00B0343D">
        <w:tab/>
        <w:t xml:space="preserve">Commitments of the </w:t>
      </w:r>
      <w:r>
        <w:t>Ministry of Health of the Republic of Latvia</w:t>
      </w:r>
      <w:bookmarkEnd w:id="24"/>
      <w:bookmarkEnd w:id="25"/>
      <w:bookmarkEnd w:id="26"/>
      <w:bookmarkEnd w:id="27"/>
      <w:bookmarkEnd w:id="28"/>
    </w:p>
    <w:p w:rsidR="00D55D07" w:rsidRPr="00B0343D" w:rsidRDefault="00D55D07" w:rsidP="00DA28E3">
      <w:pPr>
        <w:pStyle w:val="MTPbodytext"/>
        <w:rPr>
          <w:szCs w:val="24"/>
        </w:rPr>
      </w:pPr>
    </w:p>
    <w:p w:rsidR="00D55D07" w:rsidRPr="008D6703" w:rsidRDefault="00D55D07" w:rsidP="00DA28E3">
      <w:pPr>
        <w:pStyle w:val="Header"/>
        <w:tabs>
          <w:tab w:val="clear" w:pos="4320"/>
          <w:tab w:val="clear" w:pos="8640"/>
        </w:tabs>
        <w:jc w:val="both"/>
      </w:pPr>
      <w:r w:rsidRPr="00B0343D">
        <w:t xml:space="preserve">The </w:t>
      </w:r>
      <w:r>
        <w:t>Ministry of Health</w:t>
      </w:r>
      <w:r w:rsidRPr="00B0343D">
        <w:t xml:space="preserve"> shall engage in the policy and strategy formulation and implementation processes required and provide available personnel, materials, supplies, equipment and local expenses necessary for the </w:t>
      </w:r>
      <w:r w:rsidRPr="00B0343D">
        <w:rPr>
          <w:b/>
        </w:rPr>
        <w:t>uptake of the priority outcomes identified in the Annex</w:t>
      </w:r>
      <w:r w:rsidRPr="00B0343D">
        <w:t>.</w:t>
      </w:r>
      <w:r w:rsidRPr="008D6703">
        <w:t xml:space="preserve"> </w:t>
      </w:r>
    </w:p>
    <w:p w:rsidR="00D55D07" w:rsidRPr="008D6703" w:rsidRDefault="00D55D07" w:rsidP="00DA28E3">
      <w:pPr>
        <w:pStyle w:val="Header"/>
        <w:tabs>
          <w:tab w:val="clear" w:pos="4320"/>
          <w:tab w:val="clear" w:pos="8640"/>
        </w:tabs>
        <w:jc w:val="both"/>
      </w:pPr>
    </w:p>
    <w:p w:rsidR="00D55D07" w:rsidRPr="00B0343D" w:rsidRDefault="00D55D07" w:rsidP="00B0343D">
      <w:pPr>
        <w:pStyle w:val="Heading1"/>
        <w:jc w:val="center"/>
        <w:rPr>
          <w:rFonts w:ascii="Times New Roman" w:hAnsi="Times New Roman"/>
          <w:color w:val="0000FF"/>
          <w:lang w:eastAsia="en-GB"/>
        </w:rPr>
      </w:pPr>
      <w:r>
        <w:br w:type="page"/>
      </w:r>
      <w:bookmarkStart w:id="29" w:name="_Toc303237004"/>
      <w:bookmarkStart w:id="30" w:name="_Toc303786408"/>
      <w:r w:rsidRPr="00B0343D">
        <w:rPr>
          <w:rFonts w:ascii="Times New Roman" w:hAnsi="Times New Roman"/>
          <w:color w:val="0000FF"/>
          <w:lang w:eastAsia="en-GB"/>
        </w:rPr>
        <w:lastRenderedPageBreak/>
        <w:t>Annex: Priority Outcomes and Outputs</w:t>
      </w:r>
      <w:bookmarkEnd w:id="29"/>
      <w:bookmarkEnd w:id="30"/>
    </w:p>
    <w:p w:rsidR="00D55D07" w:rsidRPr="00B0343D" w:rsidRDefault="00D55D07" w:rsidP="00B0343D">
      <w:pPr>
        <w:pStyle w:val="Header"/>
        <w:tabs>
          <w:tab w:val="clear" w:pos="4320"/>
          <w:tab w:val="clear" w:pos="8640"/>
        </w:tabs>
      </w:pPr>
    </w:p>
    <w:p w:rsidR="00D55D07" w:rsidRPr="008D6703" w:rsidRDefault="00D55D07" w:rsidP="00B0343D">
      <w:pPr>
        <w:autoSpaceDE w:val="0"/>
        <w:autoSpaceDN w:val="0"/>
        <w:adjustRightInd w:val="0"/>
        <w:jc w:val="both"/>
        <w:rPr>
          <w:lang w:eastAsia="en-GB"/>
        </w:rPr>
      </w:pPr>
      <w:r w:rsidRPr="00B0343D">
        <w:rPr>
          <w:lang w:eastAsia="en-GB"/>
        </w:rPr>
        <w:t>This Annex is subject to further amendments as stipulated in the Terms of Collaboration of the BCA.</w:t>
      </w:r>
    </w:p>
    <w:p w:rsidR="00D55D07" w:rsidRDefault="00D55D07" w:rsidP="002F3107">
      <w:pPr>
        <w:jc w:val="both"/>
        <w:rPr>
          <w:b/>
          <w:color w:val="000000"/>
          <w:sz w:val="26"/>
          <w:szCs w:val="26"/>
        </w:rPr>
      </w:pPr>
    </w:p>
    <w:p w:rsidR="00D55D07" w:rsidRDefault="00D55D07" w:rsidP="00342D53">
      <w:pPr>
        <w:pStyle w:val="ListParagraph"/>
        <w:ind w:left="0"/>
        <w:rPr>
          <w:b/>
          <w:i/>
          <w:iCs/>
        </w:rPr>
      </w:pPr>
      <w:r>
        <w:rPr>
          <w:b/>
        </w:rPr>
        <w:t xml:space="preserve">PRIORITY 1: </w:t>
      </w:r>
      <w:r w:rsidRPr="00342D53">
        <w:rPr>
          <w:b/>
        </w:rPr>
        <w:t xml:space="preserve">European Health Policy – </w:t>
      </w:r>
      <w:r w:rsidRPr="00342D53">
        <w:rPr>
          <w:b/>
          <w:i/>
          <w:iCs/>
        </w:rPr>
        <w:t>Health 2020</w:t>
      </w:r>
    </w:p>
    <w:p w:rsidR="00D55D07" w:rsidRDefault="00D55D07" w:rsidP="00342D53">
      <w:pPr>
        <w:pStyle w:val="ListParagraph"/>
        <w:ind w:left="0"/>
        <w:rPr>
          <w:b/>
          <w:iCs/>
        </w:rPr>
      </w:pPr>
    </w:p>
    <w:tbl>
      <w:tblPr>
        <w:tblW w:w="9141" w:type="dxa"/>
        <w:tblInd w:w="93" w:type="dxa"/>
        <w:tblLook w:val="0000"/>
      </w:tblPr>
      <w:tblGrid>
        <w:gridCol w:w="595"/>
        <w:gridCol w:w="2829"/>
        <w:gridCol w:w="3191"/>
        <w:gridCol w:w="872"/>
        <w:gridCol w:w="827"/>
        <w:gridCol w:w="827"/>
      </w:tblGrid>
      <w:tr w:rsidR="00D55D07" w:rsidTr="00A5334E">
        <w:trPr>
          <w:trHeight w:val="420"/>
        </w:trPr>
        <w:tc>
          <w:tcPr>
            <w:tcW w:w="595" w:type="dxa"/>
            <w:vMerge w:val="restart"/>
            <w:tcBorders>
              <w:top w:val="single" w:sz="4" w:space="0" w:color="auto"/>
              <w:left w:val="single" w:sz="4" w:space="0" w:color="auto"/>
              <w:bottom w:val="double" w:sz="6" w:space="0" w:color="000000"/>
              <w:right w:val="single" w:sz="4" w:space="0" w:color="auto"/>
            </w:tcBorders>
            <w:vAlign w:val="center"/>
          </w:tcPr>
          <w:p w:rsidR="00D55D07" w:rsidRDefault="00D55D07">
            <w:pPr>
              <w:jc w:val="center"/>
              <w:rPr>
                <w:b/>
                <w:bCs/>
              </w:rPr>
            </w:pPr>
            <w:r>
              <w:rPr>
                <w:b/>
                <w:bCs/>
                <w:sz w:val="22"/>
                <w:szCs w:val="22"/>
              </w:rPr>
              <w:t>SO</w:t>
            </w:r>
          </w:p>
        </w:tc>
        <w:tc>
          <w:tcPr>
            <w:tcW w:w="2829" w:type="dxa"/>
            <w:vMerge w:val="restart"/>
            <w:tcBorders>
              <w:top w:val="single" w:sz="4" w:space="0" w:color="auto"/>
              <w:left w:val="single" w:sz="4" w:space="0" w:color="auto"/>
              <w:bottom w:val="double" w:sz="6" w:space="0" w:color="000000"/>
              <w:right w:val="single" w:sz="4" w:space="0" w:color="auto"/>
            </w:tcBorders>
            <w:vAlign w:val="center"/>
          </w:tcPr>
          <w:p w:rsidR="00D55D07" w:rsidRDefault="00D55D07">
            <w:pPr>
              <w:jc w:val="center"/>
              <w:rPr>
                <w:b/>
                <w:bCs/>
              </w:rPr>
            </w:pPr>
            <w:r>
              <w:rPr>
                <w:b/>
                <w:bCs/>
                <w:sz w:val="22"/>
                <w:szCs w:val="22"/>
              </w:rPr>
              <w:t>Outcomes</w:t>
            </w:r>
          </w:p>
        </w:tc>
        <w:tc>
          <w:tcPr>
            <w:tcW w:w="3191" w:type="dxa"/>
            <w:vMerge w:val="restart"/>
            <w:tcBorders>
              <w:top w:val="single" w:sz="4" w:space="0" w:color="auto"/>
              <w:left w:val="nil"/>
              <w:bottom w:val="double" w:sz="6" w:space="0" w:color="000000"/>
              <w:right w:val="nil"/>
            </w:tcBorders>
            <w:vAlign w:val="center"/>
          </w:tcPr>
          <w:p w:rsidR="00D55D07" w:rsidRDefault="00D55D07">
            <w:pPr>
              <w:jc w:val="center"/>
              <w:rPr>
                <w:b/>
                <w:bCs/>
              </w:rPr>
            </w:pPr>
            <w:r>
              <w:rPr>
                <w:b/>
                <w:bCs/>
                <w:sz w:val="22"/>
                <w:szCs w:val="22"/>
              </w:rPr>
              <w:t xml:space="preserve">Outputs </w:t>
            </w:r>
          </w:p>
        </w:tc>
        <w:tc>
          <w:tcPr>
            <w:tcW w:w="2526" w:type="dxa"/>
            <w:gridSpan w:val="3"/>
            <w:tcBorders>
              <w:top w:val="single" w:sz="4" w:space="0" w:color="auto"/>
              <w:left w:val="single" w:sz="4" w:space="0" w:color="auto"/>
              <w:bottom w:val="single" w:sz="4" w:space="0" w:color="auto"/>
              <w:right w:val="single" w:sz="4" w:space="0" w:color="000000"/>
            </w:tcBorders>
            <w:noWrap/>
            <w:vAlign w:val="center"/>
          </w:tcPr>
          <w:p w:rsidR="00D55D07" w:rsidRDefault="00D55D07" w:rsidP="004D34A6">
            <w:pPr>
              <w:jc w:val="center"/>
              <w:rPr>
                <w:b/>
                <w:bCs/>
              </w:rPr>
            </w:pPr>
            <w:r>
              <w:rPr>
                <w:b/>
                <w:bCs/>
                <w:sz w:val="22"/>
                <w:szCs w:val="22"/>
              </w:rPr>
              <w:t>Mode of delivery</w:t>
            </w:r>
          </w:p>
        </w:tc>
      </w:tr>
      <w:tr w:rsidR="00D55D07" w:rsidTr="00605283">
        <w:trPr>
          <w:trHeight w:val="886"/>
        </w:trPr>
        <w:tc>
          <w:tcPr>
            <w:tcW w:w="595" w:type="dxa"/>
            <w:vMerge/>
            <w:tcBorders>
              <w:top w:val="single" w:sz="4" w:space="0" w:color="auto"/>
              <w:left w:val="single" w:sz="4" w:space="0" w:color="auto"/>
              <w:bottom w:val="double" w:sz="4" w:space="0" w:color="auto"/>
              <w:right w:val="single" w:sz="4" w:space="0" w:color="auto"/>
            </w:tcBorders>
            <w:vAlign w:val="center"/>
          </w:tcPr>
          <w:p w:rsidR="00D55D07" w:rsidRDefault="00D55D07">
            <w:pPr>
              <w:rPr>
                <w:b/>
                <w:bCs/>
              </w:rPr>
            </w:pPr>
          </w:p>
        </w:tc>
        <w:tc>
          <w:tcPr>
            <w:tcW w:w="2829" w:type="dxa"/>
            <w:vMerge/>
            <w:tcBorders>
              <w:top w:val="single" w:sz="4" w:space="0" w:color="auto"/>
              <w:left w:val="single" w:sz="4" w:space="0" w:color="auto"/>
              <w:bottom w:val="double" w:sz="4" w:space="0" w:color="auto"/>
              <w:right w:val="single" w:sz="4" w:space="0" w:color="auto"/>
            </w:tcBorders>
            <w:vAlign w:val="center"/>
          </w:tcPr>
          <w:p w:rsidR="00D55D07" w:rsidRDefault="00D55D07">
            <w:pPr>
              <w:rPr>
                <w:b/>
                <w:bCs/>
              </w:rPr>
            </w:pPr>
          </w:p>
        </w:tc>
        <w:tc>
          <w:tcPr>
            <w:tcW w:w="3191" w:type="dxa"/>
            <w:vMerge/>
            <w:tcBorders>
              <w:top w:val="single" w:sz="4" w:space="0" w:color="auto"/>
              <w:left w:val="nil"/>
              <w:bottom w:val="double" w:sz="6" w:space="0" w:color="000000"/>
              <w:right w:val="nil"/>
            </w:tcBorders>
            <w:vAlign w:val="center"/>
          </w:tcPr>
          <w:p w:rsidR="00D55D07" w:rsidRDefault="00D55D07">
            <w:pPr>
              <w:rPr>
                <w:b/>
                <w:bCs/>
              </w:rPr>
            </w:pPr>
          </w:p>
        </w:tc>
        <w:tc>
          <w:tcPr>
            <w:tcW w:w="872" w:type="dxa"/>
            <w:tcBorders>
              <w:top w:val="nil"/>
              <w:left w:val="single" w:sz="4" w:space="0" w:color="auto"/>
              <w:bottom w:val="nil"/>
              <w:right w:val="single" w:sz="4" w:space="0" w:color="auto"/>
            </w:tcBorders>
            <w:vAlign w:val="center"/>
          </w:tcPr>
          <w:p w:rsidR="00D55D07" w:rsidRDefault="00D55D07">
            <w:pPr>
              <w:jc w:val="center"/>
              <w:rPr>
                <w:sz w:val="20"/>
                <w:szCs w:val="20"/>
              </w:rPr>
            </w:pPr>
            <w:r>
              <w:rPr>
                <w:sz w:val="20"/>
                <w:szCs w:val="20"/>
              </w:rPr>
              <w:t xml:space="preserve">Country specific </w:t>
            </w:r>
            <w:r w:rsidRPr="00A5334E">
              <w:rPr>
                <w:b/>
                <w:sz w:val="20"/>
                <w:szCs w:val="20"/>
              </w:rPr>
              <w:t>(CS)</w:t>
            </w:r>
          </w:p>
        </w:tc>
        <w:tc>
          <w:tcPr>
            <w:tcW w:w="827" w:type="dxa"/>
            <w:tcBorders>
              <w:top w:val="nil"/>
              <w:left w:val="nil"/>
              <w:bottom w:val="double" w:sz="6" w:space="0" w:color="auto"/>
              <w:right w:val="single" w:sz="4" w:space="0" w:color="000000"/>
            </w:tcBorders>
            <w:vAlign w:val="center"/>
          </w:tcPr>
          <w:p w:rsidR="00D55D07" w:rsidRDefault="00D55D07">
            <w:pPr>
              <w:jc w:val="center"/>
              <w:rPr>
                <w:sz w:val="20"/>
                <w:szCs w:val="20"/>
              </w:rPr>
            </w:pPr>
            <w:r>
              <w:rPr>
                <w:sz w:val="20"/>
                <w:szCs w:val="20"/>
              </w:rPr>
              <w:t xml:space="preserve">Multi country </w:t>
            </w:r>
            <w:r w:rsidRPr="00A5334E">
              <w:rPr>
                <w:b/>
                <w:sz w:val="20"/>
                <w:szCs w:val="20"/>
              </w:rPr>
              <w:t>(MC)</w:t>
            </w:r>
          </w:p>
        </w:tc>
        <w:tc>
          <w:tcPr>
            <w:tcW w:w="827" w:type="dxa"/>
            <w:tcBorders>
              <w:top w:val="nil"/>
              <w:left w:val="nil"/>
              <w:bottom w:val="double" w:sz="6" w:space="0" w:color="auto"/>
              <w:right w:val="single" w:sz="4" w:space="0" w:color="000000"/>
            </w:tcBorders>
            <w:vAlign w:val="center"/>
          </w:tcPr>
          <w:p w:rsidR="00D55D07" w:rsidRDefault="00D55D07">
            <w:pPr>
              <w:jc w:val="center"/>
              <w:rPr>
                <w:sz w:val="20"/>
                <w:szCs w:val="20"/>
              </w:rPr>
            </w:pPr>
            <w:r>
              <w:rPr>
                <w:sz w:val="20"/>
                <w:szCs w:val="20"/>
              </w:rPr>
              <w:t xml:space="preserve">Inter country </w:t>
            </w:r>
            <w:r w:rsidRPr="00A5334E">
              <w:rPr>
                <w:b/>
                <w:sz w:val="20"/>
                <w:szCs w:val="20"/>
              </w:rPr>
              <w:t>(IC)</w:t>
            </w:r>
          </w:p>
        </w:tc>
      </w:tr>
      <w:tr w:rsidR="00D55D07" w:rsidRPr="00B0343D" w:rsidTr="00605283">
        <w:trPr>
          <w:trHeight w:val="510"/>
        </w:trPr>
        <w:tc>
          <w:tcPr>
            <w:tcW w:w="595" w:type="dxa"/>
            <w:vMerge w:val="restart"/>
            <w:tcBorders>
              <w:top w:val="double" w:sz="4" w:space="0" w:color="auto"/>
              <w:left w:val="single" w:sz="4" w:space="0" w:color="auto"/>
              <w:right w:val="single" w:sz="4" w:space="0" w:color="auto"/>
            </w:tcBorders>
          </w:tcPr>
          <w:p w:rsidR="00D55D07" w:rsidRPr="00B0343D" w:rsidRDefault="00D55D07" w:rsidP="002C32DE">
            <w:pPr>
              <w:spacing w:before="120" w:after="120"/>
              <w:jc w:val="center"/>
            </w:pPr>
            <w:r w:rsidRPr="00B0343D">
              <w:t>7</w:t>
            </w:r>
          </w:p>
        </w:tc>
        <w:tc>
          <w:tcPr>
            <w:tcW w:w="2829" w:type="dxa"/>
            <w:vMerge w:val="restart"/>
            <w:tcBorders>
              <w:top w:val="double" w:sz="4" w:space="0" w:color="auto"/>
              <w:left w:val="single" w:sz="4" w:space="0" w:color="auto"/>
              <w:right w:val="single" w:sz="4" w:space="0" w:color="auto"/>
            </w:tcBorders>
          </w:tcPr>
          <w:p w:rsidR="00D55D07" w:rsidRPr="00B0343D" w:rsidRDefault="00D55D07" w:rsidP="00623201">
            <w:pPr>
              <w:rPr>
                <w:color w:val="000000"/>
              </w:rPr>
            </w:pPr>
            <w:r w:rsidRPr="00B0343D">
              <w:rPr>
                <w:color w:val="000000"/>
                <w:sz w:val="22"/>
                <w:szCs w:val="22"/>
              </w:rPr>
              <w:t xml:space="preserve">(CNT 1010) (ex 40)(R00) LVA to develop national and sub-national policies for health and wellbeing based on/or aligned with the H2020 policy framework and develop capacity to implement whole of government and inter-sectoral processes and mechanisms for H2020. </w:t>
            </w:r>
          </w:p>
          <w:p w:rsidR="00D55D07" w:rsidRPr="00B0343D" w:rsidRDefault="00D55D07" w:rsidP="002C32DE">
            <w:pPr>
              <w:spacing w:before="120" w:after="120"/>
            </w:pPr>
            <w:r w:rsidRPr="00B0343D">
              <w:rPr>
                <w:sz w:val="22"/>
                <w:szCs w:val="22"/>
              </w:rPr>
              <w:t xml:space="preserve">  </w:t>
            </w:r>
          </w:p>
          <w:p w:rsidR="00D55D07" w:rsidRPr="00B0343D" w:rsidRDefault="00D55D07" w:rsidP="002C32DE">
            <w:pPr>
              <w:spacing w:before="120" w:after="120"/>
            </w:pPr>
            <w:r>
              <w:rPr>
                <w:rFonts w:ascii="Calibri" w:hAnsi="Calibri"/>
                <w:color w:val="000000"/>
                <w:sz w:val="22"/>
                <w:szCs w:val="22"/>
              </w:rPr>
              <w:t xml:space="preserve"> </w:t>
            </w:r>
          </w:p>
        </w:tc>
        <w:tc>
          <w:tcPr>
            <w:tcW w:w="3191" w:type="dxa"/>
            <w:tcBorders>
              <w:top w:val="nil"/>
              <w:left w:val="nil"/>
              <w:bottom w:val="single" w:sz="4" w:space="0" w:color="000000"/>
              <w:right w:val="single" w:sz="4" w:space="0" w:color="000000"/>
            </w:tcBorders>
          </w:tcPr>
          <w:p w:rsidR="00D55D07" w:rsidRPr="00B0343D" w:rsidRDefault="00D55D07" w:rsidP="00623201">
            <w:pPr>
              <w:jc w:val="both"/>
              <w:rPr>
                <w:color w:val="000000"/>
              </w:rPr>
            </w:pPr>
            <w:r w:rsidRPr="00B0343D">
              <w:rPr>
                <w:color w:val="000000"/>
                <w:sz w:val="22"/>
                <w:szCs w:val="22"/>
              </w:rPr>
              <w:t xml:space="preserve">1) Strengthened capacity of the Ministry of Health in order to design and lead multisectoral approach and reduce social and health determinants and inequities through Health in All policies; </w:t>
            </w:r>
          </w:p>
          <w:p w:rsidR="00D55D07" w:rsidRPr="00B0343D" w:rsidRDefault="00D55D07" w:rsidP="002C32DE">
            <w:pPr>
              <w:spacing w:before="120" w:after="120"/>
              <w:jc w:val="both"/>
              <w:rPr>
                <w:highlight w:val="red"/>
              </w:rPr>
            </w:pPr>
          </w:p>
        </w:tc>
        <w:tc>
          <w:tcPr>
            <w:tcW w:w="872" w:type="dxa"/>
            <w:tcBorders>
              <w:top w:val="double" w:sz="6" w:space="0" w:color="auto"/>
              <w:left w:val="nil"/>
              <w:bottom w:val="single" w:sz="4" w:space="0" w:color="000000"/>
              <w:right w:val="single" w:sz="4" w:space="0" w:color="000000"/>
            </w:tcBorders>
          </w:tcPr>
          <w:p w:rsidR="00D55D07" w:rsidRPr="00B0343D" w:rsidRDefault="00D55D07" w:rsidP="002C32DE">
            <w:pPr>
              <w:spacing w:before="120" w:after="120"/>
              <w:jc w:val="center"/>
              <w:rPr>
                <w:highlight w:val="red"/>
              </w:rPr>
            </w:pPr>
            <w:r w:rsidRPr="00B0343D">
              <w:t>X</w:t>
            </w:r>
          </w:p>
        </w:tc>
        <w:tc>
          <w:tcPr>
            <w:tcW w:w="827" w:type="dxa"/>
            <w:tcBorders>
              <w:top w:val="nil"/>
              <w:left w:val="nil"/>
              <w:bottom w:val="single" w:sz="4" w:space="0" w:color="000000"/>
              <w:right w:val="single" w:sz="4" w:space="0" w:color="000000"/>
            </w:tcBorders>
          </w:tcPr>
          <w:p w:rsidR="00D55D07" w:rsidRPr="00B0343D" w:rsidRDefault="00D55D07" w:rsidP="002C32DE">
            <w:pPr>
              <w:spacing w:before="120" w:after="120"/>
              <w:jc w:val="center"/>
              <w:rPr>
                <w:highlight w:val="red"/>
              </w:rPr>
            </w:pPr>
          </w:p>
        </w:tc>
        <w:tc>
          <w:tcPr>
            <w:tcW w:w="827" w:type="dxa"/>
            <w:tcBorders>
              <w:top w:val="nil"/>
              <w:left w:val="nil"/>
              <w:bottom w:val="single" w:sz="4" w:space="0" w:color="000000"/>
              <w:right w:val="single" w:sz="4" w:space="0" w:color="000000"/>
            </w:tcBorders>
          </w:tcPr>
          <w:p w:rsidR="00D55D07" w:rsidRPr="00B0343D" w:rsidRDefault="00D55D07" w:rsidP="002C32DE">
            <w:pPr>
              <w:spacing w:before="120" w:after="120"/>
              <w:jc w:val="center"/>
              <w:rPr>
                <w:highlight w:val="red"/>
              </w:rPr>
            </w:pPr>
          </w:p>
        </w:tc>
      </w:tr>
      <w:tr w:rsidR="00D55D07" w:rsidRPr="00B0343D" w:rsidTr="00B0343D">
        <w:trPr>
          <w:trHeight w:val="543"/>
        </w:trPr>
        <w:tc>
          <w:tcPr>
            <w:tcW w:w="595" w:type="dxa"/>
            <w:vMerge/>
            <w:tcBorders>
              <w:left w:val="single" w:sz="4" w:space="0" w:color="auto"/>
              <w:bottom w:val="single" w:sz="4" w:space="0" w:color="auto"/>
              <w:right w:val="single" w:sz="4" w:space="0" w:color="auto"/>
            </w:tcBorders>
            <w:vAlign w:val="center"/>
          </w:tcPr>
          <w:p w:rsidR="00D55D07" w:rsidRPr="00B0343D" w:rsidRDefault="00D55D07" w:rsidP="002C32DE">
            <w:pPr>
              <w:spacing w:before="120" w:after="120"/>
            </w:pPr>
          </w:p>
        </w:tc>
        <w:tc>
          <w:tcPr>
            <w:tcW w:w="2829" w:type="dxa"/>
            <w:vMerge/>
            <w:tcBorders>
              <w:left w:val="single" w:sz="4" w:space="0" w:color="auto"/>
              <w:bottom w:val="single" w:sz="4" w:space="0" w:color="auto"/>
              <w:right w:val="single" w:sz="4" w:space="0" w:color="auto"/>
            </w:tcBorders>
            <w:vAlign w:val="center"/>
          </w:tcPr>
          <w:p w:rsidR="00D55D07" w:rsidRPr="00B0343D" w:rsidRDefault="00D55D07" w:rsidP="002C32DE">
            <w:pPr>
              <w:spacing w:before="120" w:after="120"/>
            </w:pPr>
          </w:p>
        </w:tc>
        <w:tc>
          <w:tcPr>
            <w:tcW w:w="3191" w:type="dxa"/>
            <w:tcBorders>
              <w:top w:val="nil"/>
              <w:left w:val="nil"/>
              <w:bottom w:val="single" w:sz="4" w:space="0" w:color="000000"/>
              <w:right w:val="single" w:sz="4" w:space="0" w:color="000000"/>
            </w:tcBorders>
          </w:tcPr>
          <w:p w:rsidR="00D55D07" w:rsidRPr="00B0343D" w:rsidRDefault="00D55D07" w:rsidP="002C32DE">
            <w:pPr>
              <w:spacing w:before="120" w:after="120"/>
              <w:jc w:val="both"/>
              <w:rPr>
                <w:highlight w:val="red"/>
              </w:rPr>
            </w:pPr>
            <w:r w:rsidRPr="00B0343D">
              <w:rPr>
                <w:color w:val="000000"/>
                <w:sz w:val="22"/>
                <w:szCs w:val="22"/>
              </w:rPr>
              <w:t>2) Continue support to the implementation of the PH Strategy of Latvia</w:t>
            </w:r>
          </w:p>
        </w:tc>
        <w:tc>
          <w:tcPr>
            <w:tcW w:w="872" w:type="dxa"/>
            <w:tcBorders>
              <w:top w:val="nil"/>
              <w:left w:val="nil"/>
              <w:bottom w:val="single" w:sz="4" w:space="0" w:color="000000"/>
              <w:right w:val="single" w:sz="4" w:space="0" w:color="000000"/>
            </w:tcBorders>
          </w:tcPr>
          <w:p w:rsidR="00D55D07" w:rsidRPr="00B0343D" w:rsidRDefault="00D55D07" w:rsidP="002C32DE">
            <w:pPr>
              <w:spacing w:before="120" w:after="120"/>
              <w:jc w:val="center"/>
              <w:rPr>
                <w:highlight w:val="red"/>
              </w:rPr>
            </w:pPr>
            <w:r w:rsidRPr="00B0343D">
              <w:t>X</w:t>
            </w:r>
          </w:p>
        </w:tc>
        <w:tc>
          <w:tcPr>
            <w:tcW w:w="827" w:type="dxa"/>
            <w:tcBorders>
              <w:top w:val="nil"/>
              <w:left w:val="nil"/>
              <w:bottom w:val="single" w:sz="4" w:space="0" w:color="000000"/>
              <w:right w:val="single" w:sz="4" w:space="0" w:color="000000"/>
            </w:tcBorders>
          </w:tcPr>
          <w:p w:rsidR="00D55D07" w:rsidRPr="00B0343D" w:rsidRDefault="00D55D07" w:rsidP="002C32DE">
            <w:pPr>
              <w:spacing w:before="120" w:after="120"/>
              <w:jc w:val="center"/>
              <w:rPr>
                <w:highlight w:val="red"/>
              </w:rPr>
            </w:pPr>
            <w:r w:rsidRPr="00B0343D">
              <w:rPr>
                <w:highlight w:val="red"/>
              </w:rPr>
              <w:t xml:space="preserve"> </w:t>
            </w:r>
          </w:p>
        </w:tc>
        <w:tc>
          <w:tcPr>
            <w:tcW w:w="827" w:type="dxa"/>
            <w:tcBorders>
              <w:top w:val="nil"/>
              <w:left w:val="nil"/>
              <w:bottom w:val="single" w:sz="4" w:space="0" w:color="000000"/>
              <w:right w:val="single" w:sz="4" w:space="0" w:color="000000"/>
            </w:tcBorders>
          </w:tcPr>
          <w:p w:rsidR="00D55D07" w:rsidRPr="00B0343D" w:rsidRDefault="00D55D07" w:rsidP="002C32DE">
            <w:pPr>
              <w:spacing w:before="120" w:after="120"/>
              <w:jc w:val="center"/>
              <w:rPr>
                <w:highlight w:val="red"/>
              </w:rPr>
            </w:pPr>
          </w:p>
        </w:tc>
      </w:tr>
      <w:tr w:rsidR="00D55D07" w:rsidRPr="00B0343D" w:rsidTr="00B0343D">
        <w:trPr>
          <w:trHeight w:val="651"/>
        </w:trPr>
        <w:tc>
          <w:tcPr>
            <w:tcW w:w="595" w:type="dxa"/>
            <w:tcBorders>
              <w:top w:val="single" w:sz="4" w:space="0" w:color="auto"/>
              <w:left w:val="single" w:sz="4" w:space="0" w:color="auto"/>
              <w:bottom w:val="single" w:sz="4" w:space="0" w:color="auto"/>
              <w:right w:val="single" w:sz="4" w:space="0" w:color="auto"/>
            </w:tcBorders>
            <w:noWrap/>
          </w:tcPr>
          <w:p w:rsidR="00D55D07" w:rsidRPr="00B0343D" w:rsidRDefault="00D55D07" w:rsidP="002C32DE">
            <w:pPr>
              <w:spacing w:before="120" w:after="120"/>
            </w:pPr>
            <w:r w:rsidRPr="00B0343D">
              <w:rPr>
                <w:sz w:val="22"/>
                <w:szCs w:val="22"/>
              </w:rPr>
              <w:t> 7</w:t>
            </w:r>
          </w:p>
        </w:tc>
        <w:tc>
          <w:tcPr>
            <w:tcW w:w="2829" w:type="dxa"/>
            <w:tcBorders>
              <w:top w:val="single" w:sz="4" w:space="0" w:color="auto"/>
              <w:left w:val="nil"/>
              <w:bottom w:val="single" w:sz="4" w:space="0" w:color="auto"/>
              <w:right w:val="single" w:sz="4" w:space="0" w:color="auto"/>
            </w:tcBorders>
          </w:tcPr>
          <w:p w:rsidR="00D55D07" w:rsidRPr="00B0343D" w:rsidRDefault="00D55D07" w:rsidP="00623201">
            <w:pPr>
              <w:spacing w:before="120" w:after="120"/>
              <w:rPr>
                <w:color w:val="000000"/>
              </w:rPr>
            </w:pPr>
            <w:r w:rsidRPr="00B0343D">
              <w:rPr>
                <w:sz w:val="22"/>
                <w:szCs w:val="22"/>
              </w:rPr>
              <w:t> </w:t>
            </w:r>
            <w:r w:rsidRPr="00B0343D">
              <w:rPr>
                <w:color w:val="000000"/>
                <w:sz w:val="22"/>
                <w:szCs w:val="22"/>
              </w:rPr>
              <w:t>(043)(RO2)Improved capacity and uptake for governance for action on the social determinants of health and health inequities within the Health 2020 Policy Framework and consistent to WHA 62.14</w:t>
            </w:r>
          </w:p>
          <w:p w:rsidR="00D55D07" w:rsidRDefault="00D55D07" w:rsidP="006B28E8">
            <w:pPr>
              <w:rPr>
                <w:rFonts w:ascii="Calibri" w:hAnsi="Calibri"/>
                <w:color w:val="000000"/>
              </w:rPr>
            </w:pPr>
            <w:r>
              <w:rPr>
                <w:rFonts w:ascii="Calibri" w:hAnsi="Calibri"/>
                <w:color w:val="000000"/>
                <w:sz w:val="22"/>
                <w:szCs w:val="22"/>
              </w:rPr>
              <w:t xml:space="preserve"> </w:t>
            </w:r>
          </w:p>
          <w:p w:rsidR="00D55D07" w:rsidRPr="00B0343D" w:rsidRDefault="00D55D07" w:rsidP="002C32DE">
            <w:pPr>
              <w:spacing w:before="120" w:after="120"/>
            </w:pPr>
          </w:p>
        </w:tc>
        <w:tc>
          <w:tcPr>
            <w:tcW w:w="3191" w:type="dxa"/>
            <w:tcBorders>
              <w:top w:val="single" w:sz="4" w:space="0" w:color="auto"/>
              <w:left w:val="nil"/>
              <w:bottom w:val="single" w:sz="4" w:space="0" w:color="auto"/>
              <w:right w:val="single" w:sz="4" w:space="0" w:color="000000"/>
            </w:tcBorders>
          </w:tcPr>
          <w:p w:rsidR="00D55D07" w:rsidRPr="00B0343D" w:rsidRDefault="00D55D07" w:rsidP="00623201">
            <w:pPr>
              <w:spacing w:before="120" w:after="120"/>
              <w:jc w:val="both"/>
              <w:rPr>
                <w:color w:val="000000"/>
              </w:rPr>
            </w:pPr>
            <w:r w:rsidRPr="00B0343D">
              <w:rPr>
                <w:color w:val="000000"/>
                <w:sz w:val="22"/>
                <w:szCs w:val="22"/>
              </w:rPr>
              <w:t>1) Capacity Building Program to strengthen know how and skills to implement whole of government and society approaches to SDH/ Equity, including exchange of promising practices and innovations in policy formulation, investment, delivery and accountability for health equity</w:t>
            </w:r>
          </w:p>
          <w:p w:rsidR="00D55D07" w:rsidRPr="00B0343D" w:rsidRDefault="00D55D07" w:rsidP="002C32DE">
            <w:pPr>
              <w:spacing w:before="120" w:after="120"/>
              <w:jc w:val="both"/>
              <w:rPr>
                <w:highlight w:val="red"/>
              </w:rPr>
            </w:pPr>
          </w:p>
        </w:tc>
        <w:tc>
          <w:tcPr>
            <w:tcW w:w="872" w:type="dxa"/>
            <w:tcBorders>
              <w:top w:val="single" w:sz="4" w:space="0" w:color="auto"/>
              <w:left w:val="nil"/>
              <w:bottom w:val="single" w:sz="4" w:space="0" w:color="auto"/>
              <w:right w:val="single" w:sz="4" w:space="0" w:color="000000"/>
            </w:tcBorders>
          </w:tcPr>
          <w:p w:rsidR="00D55D07" w:rsidRPr="00B0343D" w:rsidRDefault="00D55D07" w:rsidP="002C32DE">
            <w:pPr>
              <w:spacing w:before="120" w:after="120"/>
              <w:jc w:val="center"/>
            </w:pPr>
            <w:r w:rsidRPr="00B0343D">
              <w:t>X</w:t>
            </w:r>
          </w:p>
        </w:tc>
        <w:tc>
          <w:tcPr>
            <w:tcW w:w="827" w:type="dxa"/>
            <w:tcBorders>
              <w:top w:val="single" w:sz="4" w:space="0" w:color="auto"/>
              <w:left w:val="nil"/>
              <w:bottom w:val="single" w:sz="4" w:space="0" w:color="auto"/>
              <w:right w:val="single" w:sz="4" w:space="0" w:color="000000"/>
            </w:tcBorders>
          </w:tcPr>
          <w:p w:rsidR="00D55D07" w:rsidRPr="00B0343D" w:rsidRDefault="00D55D07" w:rsidP="002C32DE">
            <w:pPr>
              <w:spacing w:before="120" w:after="120"/>
              <w:jc w:val="center"/>
            </w:pPr>
            <w:r w:rsidRPr="00B0343D">
              <w:rPr>
                <w:sz w:val="22"/>
                <w:szCs w:val="22"/>
              </w:rPr>
              <w:t> </w:t>
            </w:r>
          </w:p>
        </w:tc>
        <w:tc>
          <w:tcPr>
            <w:tcW w:w="827" w:type="dxa"/>
            <w:tcBorders>
              <w:top w:val="single" w:sz="4" w:space="0" w:color="auto"/>
              <w:left w:val="nil"/>
              <w:bottom w:val="single" w:sz="4" w:space="0" w:color="auto"/>
              <w:right w:val="single" w:sz="4" w:space="0" w:color="auto"/>
            </w:tcBorders>
          </w:tcPr>
          <w:p w:rsidR="00D55D07" w:rsidRPr="00B0343D" w:rsidRDefault="00D55D07" w:rsidP="002C32DE">
            <w:pPr>
              <w:spacing w:before="120" w:after="120"/>
              <w:jc w:val="center"/>
            </w:pPr>
            <w:r w:rsidRPr="00B0343D">
              <w:rPr>
                <w:sz w:val="22"/>
                <w:szCs w:val="22"/>
              </w:rPr>
              <w:t> </w:t>
            </w:r>
          </w:p>
        </w:tc>
      </w:tr>
    </w:tbl>
    <w:p w:rsidR="00D55D07" w:rsidRPr="00B0343D" w:rsidRDefault="00D55D07" w:rsidP="003005F4">
      <w:pPr>
        <w:pStyle w:val="ListParagraph"/>
        <w:ind w:left="0"/>
        <w:rPr>
          <w:b/>
          <w:iCs/>
        </w:rPr>
      </w:pPr>
    </w:p>
    <w:p w:rsidR="00D55D07" w:rsidRPr="00B0343D" w:rsidRDefault="00D55D07" w:rsidP="003005F4">
      <w:pPr>
        <w:pStyle w:val="ListParagraph"/>
        <w:ind w:left="0"/>
        <w:rPr>
          <w:b/>
        </w:rPr>
      </w:pPr>
      <w:r>
        <w:rPr>
          <w:b/>
        </w:rPr>
        <w:br w:type="page"/>
      </w:r>
    </w:p>
    <w:p w:rsidR="00D55D07" w:rsidRPr="00B0343D" w:rsidRDefault="00D55D07" w:rsidP="003005F4">
      <w:pPr>
        <w:rPr>
          <w:b/>
        </w:rPr>
      </w:pPr>
      <w:r w:rsidRPr="00B0343D">
        <w:rPr>
          <w:b/>
        </w:rPr>
        <w:lastRenderedPageBreak/>
        <w:t>PRIORITY</w:t>
      </w:r>
      <w:r>
        <w:rPr>
          <w:b/>
        </w:rPr>
        <w:t xml:space="preserve"> 2</w:t>
      </w:r>
      <w:r w:rsidRPr="00B0343D">
        <w:rPr>
          <w:b/>
        </w:rPr>
        <w:t>: Health Systems strengthening and Public Health</w:t>
      </w:r>
    </w:p>
    <w:p w:rsidR="00D55D07" w:rsidRPr="00B0343D" w:rsidRDefault="00D55D07" w:rsidP="00342D53">
      <w:pPr>
        <w:rPr>
          <w:b/>
        </w:rPr>
      </w:pPr>
    </w:p>
    <w:tbl>
      <w:tblPr>
        <w:tblW w:w="9141" w:type="dxa"/>
        <w:tblInd w:w="93" w:type="dxa"/>
        <w:tblLook w:val="0000"/>
      </w:tblPr>
      <w:tblGrid>
        <w:gridCol w:w="534"/>
        <w:gridCol w:w="2855"/>
        <w:gridCol w:w="3226"/>
        <w:gridCol w:w="872"/>
        <w:gridCol w:w="827"/>
        <w:gridCol w:w="827"/>
      </w:tblGrid>
      <w:tr w:rsidR="00D55D07" w:rsidRPr="00B0343D" w:rsidTr="003005F4">
        <w:trPr>
          <w:trHeight w:val="420"/>
        </w:trPr>
        <w:tc>
          <w:tcPr>
            <w:tcW w:w="534" w:type="dxa"/>
            <w:vMerge w:val="restart"/>
            <w:tcBorders>
              <w:top w:val="single" w:sz="4" w:space="0" w:color="auto"/>
              <w:left w:val="single" w:sz="4" w:space="0" w:color="auto"/>
              <w:bottom w:val="double" w:sz="6" w:space="0" w:color="000000"/>
              <w:right w:val="single" w:sz="4" w:space="0" w:color="auto"/>
            </w:tcBorders>
            <w:vAlign w:val="center"/>
          </w:tcPr>
          <w:p w:rsidR="00D55D07" w:rsidRPr="00B0343D" w:rsidRDefault="00D55D07" w:rsidP="00F90497">
            <w:pPr>
              <w:jc w:val="center"/>
              <w:rPr>
                <w:b/>
                <w:bCs/>
              </w:rPr>
            </w:pPr>
            <w:r w:rsidRPr="00B0343D">
              <w:rPr>
                <w:b/>
                <w:bCs/>
                <w:sz w:val="22"/>
                <w:szCs w:val="22"/>
              </w:rPr>
              <w:t>SO</w:t>
            </w:r>
          </w:p>
        </w:tc>
        <w:tc>
          <w:tcPr>
            <w:tcW w:w="2855" w:type="dxa"/>
            <w:vMerge w:val="restart"/>
            <w:tcBorders>
              <w:top w:val="single" w:sz="4" w:space="0" w:color="auto"/>
              <w:left w:val="single" w:sz="4" w:space="0" w:color="auto"/>
              <w:bottom w:val="double" w:sz="6" w:space="0" w:color="000000"/>
              <w:right w:val="single" w:sz="4" w:space="0" w:color="auto"/>
            </w:tcBorders>
            <w:vAlign w:val="center"/>
          </w:tcPr>
          <w:p w:rsidR="00D55D07" w:rsidRPr="00B0343D" w:rsidRDefault="00D55D07" w:rsidP="00F90497">
            <w:pPr>
              <w:jc w:val="center"/>
              <w:rPr>
                <w:b/>
                <w:bCs/>
              </w:rPr>
            </w:pPr>
            <w:r w:rsidRPr="00B0343D">
              <w:rPr>
                <w:b/>
                <w:bCs/>
                <w:sz w:val="22"/>
                <w:szCs w:val="22"/>
              </w:rPr>
              <w:t>Outcomes</w:t>
            </w:r>
          </w:p>
        </w:tc>
        <w:tc>
          <w:tcPr>
            <w:tcW w:w="3226" w:type="dxa"/>
            <w:vMerge w:val="restart"/>
            <w:tcBorders>
              <w:top w:val="single" w:sz="4" w:space="0" w:color="auto"/>
              <w:left w:val="nil"/>
              <w:bottom w:val="double" w:sz="6" w:space="0" w:color="000000"/>
              <w:right w:val="nil"/>
            </w:tcBorders>
            <w:vAlign w:val="center"/>
          </w:tcPr>
          <w:p w:rsidR="00D55D07" w:rsidRPr="00B0343D" w:rsidRDefault="00D55D07" w:rsidP="00F90497">
            <w:pPr>
              <w:jc w:val="center"/>
              <w:rPr>
                <w:b/>
                <w:bCs/>
              </w:rPr>
            </w:pPr>
            <w:r w:rsidRPr="00B0343D">
              <w:rPr>
                <w:b/>
                <w:bCs/>
                <w:sz w:val="22"/>
                <w:szCs w:val="22"/>
              </w:rPr>
              <w:t xml:space="preserve">Outputs </w:t>
            </w:r>
          </w:p>
        </w:tc>
        <w:tc>
          <w:tcPr>
            <w:tcW w:w="2526" w:type="dxa"/>
            <w:gridSpan w:val="3"/>
            <w:tcBorders>
              <w:top w:val="single" w:sz="4" w:space="0" w:color="auto"/>
              <w:left w:val="single" w:sz="4" w:space="0" w:color="auto"/>
              <w:bottom w:val="single" w:sz="4" w:space="0" w:color="auto"/>
              <w:right w:val="single" w:sz="4" w:space="0" w:color="000000"/>
            </w:tcBorders>
            <w:noWrap/>
            <w:vAlign w:val="center"/>
          </w:tcPr>
          <w:p w:rsidR="00D55D07" w:rsidRPr="00B0343D" w:rsidRDefault="00D55D07" w:rsidP="004D34A6">
            <w:pPr>
              <w:jc w:val="center"/>
              <w:rPr>
                <w:b/>
                <w:bCs/>
              </w:rPr>
            </w:pPr>
            <w:r w:rsidRPr="00B0343D">
              <w:rPr>
                <w:b/>
                <w:bCs/>
                <w:sz w:val="22"/>
                <w:szCs w:val="22"/>
              </w:rPr>
              <w:t>Mode of delivery</w:t>
            </w:r>
          </w:p>
        </w:tc>
      </w:tr>
      <w:tr w:rsidR="00D55D07" w:rsidRPr="00B0343D" w:rsidTr="00EF1950">
        <w:trPr>
          <w:trHeight w:val="931"/>
        </w:trPr>
        <w:tc>
          <w:tcPr>
            <w:tcW w:w="534" w:type="dxa"/>
            <w:vMerge/>
            <w:tcBorders>
              <w:top w:val="single" w:sz="4" w:space="0" w:color="auto"/>
              <w:left w:val="single" w:sz="4" w:space="0" w:color="auto"/>
              <w:bottom w:val="double" w:sz="4" w:space="0" w:color="auto"/>
              <w:right w:val="single" w:sz="4" w:space="0" w:color="auto"/>
            </w:tcBorders>
            <w:vAlign w:val="center"/>
          </w:tcPr>
          <w:p w:rsidR="00D55D07" w:rsidRPr="00B0343D" w:rsidRDefault="00D55D07" w:rsidP="00F90497">
            <w:pPr>
              <w:rPr>
                <w:b/>
                <w:bCs/>
              </w:rPr>
            </w:pPr>
          </w:p>
        </w:tc>
        <w:tc>
          <w:tcPr>
            <w:tcW w:w="2855" w:type="dxa"/>
            <w:vMerge/>
            <w:tcBorders>
              <w:top w:val="single" w:sz="4" w:space="0" w:color="auto"/>
              <w:left w:val="single" w:sz="4" w:space="0" w:color="auto"/>
              <w:bottom w:val="double" w:sz="4" w:space="0" w:color="auto"/>
              <w:right w:val="single" w:sz="4" w:space="0" w:color="auto"/>
            </w:tcBorders>
            <w:vAlign w:val="center"/>
          </w:tcPr>
          <w:p w:rsidR="00D55D07" w:rsidRPr="00B0343D" w:rsidRDefault="00D55D07" w:rsidP="00F90497">
            <w:pPr>
              <w:rPr>
                <w:b/>
                <w:bCs/>
              </w:rPr>
            </w:pPr>
          </w:p>
        </w:tc>
        <w:tc>
          <w:tcPr>
            <w:tcW w:w="3226" w:type="dxa"/>
            <w:vMerge/>
            <w:tcBorders>
              <w:top w:val="single" w:sz="4" w:space="0" w:color="auto"/>
              <w:left w:val="nil"/>
              <w:bottom w:val="double" w:sz="6" w:space="0" w:color="000000"/>
              <w:right w:val="nil"/>
            </w:tcBorders>
            <w:vAlign w:val="center"/>
          </w:tcPr>
          <w:p w:rsidR="00D55D07" w:rsidRPr="00B0343D" w:rsidRDefault="00D55D07" w:rsidP="00F90497">
            <w:pPr>
              <w:rPr>
                <w:b/>
                <w:bCs/>
              </w:rPr>
            </w:pPr>
          </w:p>
        </w:tc>
        <w:tc>
          <w:tcPr>
            <w:tcW w:w="872" w:type="dxa"/>
            <w:tcBorders>
              <w:top w:val="nil"/>
              <w:left w:val="single" w:sz="4" w:space="0" w:color="auto"/>
              <w:bottom w:val="nil"/>
              <w:right w:val="single" w:sz="4" w:space="0" w:color="auto"/>
            </w:tcBorders>
            <w:vAlign w:val="center"/>
          </w:tcPr>
          <w:p w:rsidR="00D55D07" w:rsidRPr="00B0343D" w:rsidRDefault="00D55D07" w:rsidP="00F90497">
            <w:pPr>
              <w:jc w:val="center"/>
              <w:rPr>
                <w:sz w:val="20"/>
                <w:szCs w:val="20"/>
              </w:rPr>
            </w:pPr>
            <w:r w:rsidRPr="00B0343D">
              <w:rPr>
                <w:sz w:val="20"/>
                <w:szCs w:val="20"/>
              </w:rPr>
              <w:t xml:space="preserve">Country specific </w:t>
            </w:r>
            <w:r w:rsidRPr="00B0343D">
              <w:rPr>
                <w:b/>
                <w:sz w:val="20"/>
                <w:szCs w:val="20"/>
              </w:rPr>
              <w:t>(CS)</w:t>
            </w:r>
          </w:p>
        </w:tc>
        <w:tc>
          <w:tcPr>
            <w:tcW w:w="827" w:type="dxa"/>
            <w:tcBorders>
              <w:top w:val="nil"/>
              <w:left w:val="nil"/>
              <w:bottom w:val="double" w:sz="6" w:space="0" w:color="auto"/>
              <w:right w:val="single" w:sz="4" w:space="0" w:color="000000"/>
            </w:tcBorders>
            <w:vAlign w:val="center"/>
          </w:tcPr>
          <w:p w:rsidR="00D55D07" w:rsidRPr="00B0343D" w:rsidRDefault="00D55D07" w:rsidP="00F90497">
            <w:pPr>
              <w:jc w:val="center"/>
              <w:rPr>
                <w:sz w:val="20"/>
                <w:szCs w:val="20"/>
              </w:rPr>
            </w:pPr>
            <w:r w:rsidRPr="00B0343D">
              <w:rPr>
                <w:sz w:val="20"/>
                <w:szCs w:val="20"/>
              </w:rPr>
              <w:t xml:space="preserve">Multi country </w:t>
            </w:r>
            <w:r w:rsidRPr="00B0343D">
              <w:rPr>
                <w:b/>
                <w:sz w:val="20"/>
                <w:szCs w:val="20"/>
              </w:rPr>
              <w:t>(MC)</w:t>
            </w:r>
          </w:p>
        </w:tc>
        <w:tc>
          <w:tcPr>
            <w:tcW w:w="827" w:type="dxa"/>
            <w:tcBorders>
              <w:top w:val="nil"/>
              <w:left w:val="nil"/>
              <w:bottom w:val="double" w:sz="6" w:space="0" w:color="auto"/>
              <w:right w:val="single" w:sz="4" w:space="0" w:color="000000"/>
            </w:tcBorders>
            <w:vAlign w:val="center"/>
          </w:tcPr>
          <w:p w:rsidR="00D55D07" w:rsidRPr="00B0343D" w:rsidRDefault="00D55D07" w:rsidP="00F90497">
            <w:pPr>
              <w:jc w:val="center"/>
              <w:rPr>
                <w:sz w:val="20"/>
                <w:szCs w:val="20"/>
              </w:rPr>
            </w:pPr>
            <w:r w:rsidRPr="00B0343D">
              <w:rPr>
                <w:sz w:val="20"/>
                <w:szCs w:val="20"/>
              </w:rPr>
              <w:t xml:space="preserve">Inter country </w:t>
            </w:r>
            <w:r w:rsidRPr="00B0343D">
              <w:rPr>
                <w:b/>
                <w:sz w:val="20"/>
                <w:szCs w:val="20"/>
              </w:rPr>
              <w:t>(IC)</w:t>
            </w:r>
          </w:p>
        </w:tc>
      </w:tr>
      <w:tr w:rsidR="00D55D07" w:rsidRPr="00B0343D" w:rsidTr="00EF1950">
        <w:trPr>
          <w:trHeight w:val="556"/>
        </w:trPr>
        <w:tc>
          <w:tcPr>
            <w:tcW w:w="534" w:type="dxa"/>
            <w:vMerge w:val="restart"/>
            <w:tcBorders>
              <w:top w:val="double" w:sz="4" w:space="0" w:color="auto"/>
              <w:left w:val="single" w:sz="4" w:space="0" w:color="auto"/>
              <w:bottom w:val="single" w:sz="4" w:space="0" w:color="auto"/>
              <w:right w:val="single" w:sz="4" w:space="0" w:color="auto"/>
            </w:tcBorders>
          </w:tcPr>
          <w:p w:rsidR="00D55D07" w:rsidRPr="00B0343D" w:rsidRDefault="00D55D07" w:rsidP="002C32DE">
            <w:pPr>
              <w:spacing w:before="120" w:after="120"/>
              <w:jc w:val="center"/>
              <w:rPr>
                <w:highlight w:val="red"/>
              </w:rPr>
            </w:pPr>
            <w:r w:rsidRPr="00B0343D">
              <w:rPr>
                <w:sz w:val="22"/>
                <w:szCs w:val="22"/>
              </w:rPr>
              <w:t>11</w:t>
            </w:r>
          </w:p>
        </w:tc>
        <w:tc>
          <w:tcPr>
            <w:tcW w:w="2855" w:type="dxa"/>
            <w:vMerge w:val="restart"/>
            <w:tcBorders>
              <w:top w:val="double" w:sz="4" w:space="0" w:color="auto"/>
              <w:left w:val="single" w:sz="4" w:space="0" w:color="auto"/>
              <w:bottom w:val="single" w:sz="4" w:space="0" w:color="auto"/>
              <w:right w:val="single" w:sz="4" w:space="0" w:color="auto"/>
            </w:tcBorders>
          </w:tcPr>
          <w:p w:rsidR="00D55D07" w:rsidRDefault="00D55D07" w:rsidP="00B0343D">
            <w:pPr>
              <w:rPr>
                <w:color w:val="000000"/>
              </w:rPr>
            </w:pPr>
            <w:r w:rsidRPr="00B0343D">
              <w:rPr>
                <w:color w:val="000000"/>
                <w:sz w:val="22"/>
                <w:szCs w:val="22"/>
              </w:rPr>
              <w:t>(103</w:t>
            </w:r>
            <w:r>
              <w:rPr>
                <w:color w:val="000000"/>
                <w:sz w:val="22"/>
                <w:szCs w:val="22"/>
              </w:rPr>
              <w:t xml:space="preserve">) </w:t>
            </w:r>
          </w:p>
          <w:p w:rsidR="00D55D07" w:rsidRPr="000F491A" w:rsidRDefault="00D55D07" w:rsidP="005B1238">
            <w:pPr>
              <w:rPr>
                <w:color w:val="000000"/>
              </w:rPr>
            </w:pPr>
            <w:r w:rsidRPr="000F491A">
              <w:rPr>
                <w:color w:val="000000"/>
                <w:sz w:val="22"/>
                <w:szCs w:val="22"/>
              </w:rPr>
              <w:t xml:space="preserve">Member states have improved capacity and developed policies for the rational use of medical products (medicines, vaccines, blood products) and technologies </w:t>
            </w:r>
          </w:p>
          <w:p w:rsidR="00D55D07" w:rsidRPr="00B0343D" w:rsidRDefault="00D55D07" w:rsidP="00B0343D">
            <w:pPr>
              <w:rPr>
                <w:color w:val="000000"/>
              </w:rPr>
            </w:pPr>
          </w:p>
        </w:tc>
        <w:tc>
          <w:tcPr>
            <w:tcW w:w="3226" w:type="dxa"/>
            <w:tcBorders>
              <w:top w:val="nil"/>
              <w:left w:val="nil"/>
              <w:bottom w:val="single" w:sz="4" w:space="0" w:color="000000"/>
              <w:right w:val="single" w:sz="4" w:space="0" w:color="000000"/>
            </w:tcBorders>
          </w:tcPr>
          <w:p w:rsidR="00D55D07" w:rsidRPr="00B0343D" w:rsidRDefault="00D55D07" w:rsidP="002C32DE">
            <w:pPr>
              <w:spacing w:before="120" w:after="120"/>
              <w:jc w:val="both"/>
              <w:rPr>
                <w:highlight w:val="red"/>
              </w:rPr>
            </w:pPr>
            <w:r w:rsidRPr="00B0343D">
              <w:rPr>
                <w:color w:val="000000"/>
                <w:sz w:val="22"/>
                <w:szCs w:val="22"/>
              </w:rPr>
              <w:t xml:space="preserve">1) Support for national programme on rational selection (using HTA) and prescribing of medicines; </w:t>
            </w:r>
          </w:p>
        </w:tc>
        <w:tc>
          <w:tcPr>
            <w:tcW w:w="872" w:type="dxa"/>
            <w:tcBorders>
              <w:top w:val="double" w:sz="6" w:space="0" w:color="auto"/>
              <w:left w:val="nil"/>
              <w:bottom w:val="single" w:sz="4" w:space="0" w:color="000000"/>
              <w:right w:val="single" w:sz="4" w:space="0" w:color="000000"/>
            </w:tcBorders>
          </w:tcPr>
          <w:p w:rsidR="00D55D07" w:rsidRPr="00B0343D" w:rsidRDefault="00D55D07" w:rsidP="002C32DE">
            <w:pPr>
              <w:spacing w:before="120" w:after="120"/>
              <w:jc w:val="center"/>
            </w:pPr>
          </w:p>
        </w:tc>
        <w:tc>
          <w:tcPr>
            <w:tcW w:w="827" w:type="dxa"/>
            <w:tcBorders>
              <w:top w:val="nil"/>
              <w:left w:val="nil"/>
              <w:bottom w:val="single" w:sz="4" w:space="0" w:color="000000"/>
              <w:right w:val="single" w:sz="4" w:space="0" w:color="000000"/>
            </w:tcBorders>
          </w:tcPr>
          <w:p w:rsidR="00D55D07" w:rsidRPr="00B0343D" w:rsidRDefault="00D55D07" w:rsidP="002C32DE">
            <w:pPr>
              <w:spacing w:before="120" w:after="120"/>
              <w:jc w:val="center"/>
            </w:pPr>
          </w:p>
        </w:tc>
        <w:tc>
          <w:tcPr>
            <w:tcW w:w="827" w:type="dxa"/>
            <w:tcBorders>
              <w:top w:val="nil"/>
              <w:left w:val="nil"/>
              <w:bottom w:val="single" w:sz="4" w:space="0" w:color="000000"/>
              <w:right w:val="single" w:sz="4" w:space="0" w:color="000000"/>
            </w:tcBorders>
          </w:tcPr>
          <w:p w:rsidR="00D55D07" w:rsidRPr="00B0343D" w:rsidRDefault="00D55D07" w:rsidP="002C32DE">
            <w:pPr>
              <w:spacing w:before="120" w:after="120"/>
              <w:jc w:val="center"/>
            </w:pPr>
            <w:r w:rsidRPr="00B0343D">
              <w:t>X</w:t>
            </w:r>
          </w:p>
        </w:tc>
      </w:tr>
      <w:tr w:rsidR="00D55D07" w:rsidRPr="00B0343D" w:rsidTr="00EF1950">
        <w:trPr>
          <w:trHeight w:val="551"/>
        </w:trPr>
        <w:tc>
          <w:tcPr>
            <w:tcW w:w="534" w:type="dxa"/>
            <w:vMerge/>
            <w:tcBorders>
              <w:top w:val="double" w:sz="4" w:space="0" w:color="auto"/>
              <w:left w:val="single" w:sz="4" w:space="0" w:color="auto"/>
              <w:bottom w:val="single" w:sz="4" w:space="0" w:color="auto"/>
              <w:right w:val="single" w:sz="4" w:space="0" w:color="auto"/>
            </w:tcBorders>
            <w:vAlign w:val="center"/>
          </w:tcPr>
          <w:p w:rsidR="00D55D07" w:rsidRPr="00B0343D" w:rsidRDefault="00D55D07" w:rsidP="002C32DE">
            <w:pPr>
              <w:spacing w:before="120" w:after="120"/>
              <w:rPr>
                <w:highlight w:val="red"/>
              </w:rPr>
            </w:pPr>
          </w:p>
        </w:tc>
        <w:tc>
          <w:tcPr>
            <w:tcW w:w="2855" w:type="dxa"/>
            <w:vMerge/>
            <w:tcBorders>
              <w:top w:val="single" w:sz="4" w:space="0" w:color="000000"/>
              <w:left w:val="single" w:sz="4" w:space="0" w:color="auto"/>
              <w:bottom w:val="single" w:sz="4" w:space="0" w:color="auto"/>
              <w:right w:val="single" w:sz="4" w:space="0" w:color="auto"/>
            </w:tcBorders>
            <w:vAlign w:val="center"/>
          </w:tcPr>
          <w:p w:rsidR="00D55D07" w:rsidRPr="00B0343D" w:rsidRDefault="00D55D07" w:rsidP="002C32DE">
            <w:pPr>
              <w:spacing w:before="120" w:after="120"/>
              <w:rPr>
                <w:highlight w:val="red"/>
              </w:rPr>
            </w:pPr>
          </w:p>
        </w:tc>
        <w:tc>
          <w:tcPr>
            <w:tcW w:w="3226" w:type="dxa"/>
            <w:tcBorders>
              <w:top w:val="nil"/>
              <w:left w:val="nil"/>
              <w:bottom w:val="single" w:sz="4" w:space="0" w:color="000000"/>
              <w:right w:val="single" w:sz="4" w:space="0" w:color="000000"/>
            </w:tcBorders>
          </w:tcPr>
          <w:p w:rsidR="00D55D07" w:rsidRPr="00B0343D" w:rsidRDefault="00D55D07" w:rsidP="00B63948">
            <w:pPr>
              <w:jc w:val="both"/>
              <w:rPr>
                <w:color w:val="000000"/>
              </w:rPr>
            </w:pPr>
            <w:r w:rsidRPr="00B0343D">
              <w:rPr>
                <w:color w:val="000000"/>
                <w:sz w:val="22"/>
                <w:szCs w:val="22"/>
              </w:rPr>
              <w:t>2) Baltic policy dialogues and capacity building on medicines policies</w:t>
            </w:r>
          </w:p>
          <w:p w:rsidR="00D55D07" w:rsidRPr="00B0343D" w:rsidRDefault="00D55D07" w:rsidP="002C32DE">
            <w:pPr>
              <w:spacing w:before="120" w:after="120"/>
              <w:jc w:val="both"/>
              <w:rPr>
                <w:highlight w:val="red"/>
              </w:rPr>
            </w:pPr>
          </w:p>
        </w:tc>
        <w:tc>
          <w:tcPr>
            <w:tcW w:w="872" w:type="dxa"/>
            <w:tcBorders>
              <w:top w:val="nil"/>
              <w:left w:val="nil"/>
              <w:bottom w:val="single" w:sz="4" w:space="0" w:color="000000"/>
              <w:right w:val="single" w:sz="4" w:space="0" w:color="000000"/>
            </w:tcBorders>
          </w:tcPr>
          <w:p w:rsidR="00D55D07" w:rsidRPr="00B0343D" w:rsidRDefault="00D55D07" w:rsidP="002C32DE">
            <w:pPr>
              <w:spacing w:before="120" w:after="120"/>
              <w:jc w:val="center"/>
            </w:pPr>
          </w:p>
        </w:tc>
        <w:tc>
          <w:tcPr>
            <w:tcW w:w="827" w:type="dxa"/>
            <w:tcBorders>
              <w:top w:val="nil"/>
              <w:left w:val="nil"/>
              <w:bottom w:val="single" w:sz="4" w:space="0" w:color="000000"/>
              <w:right w:val="single" w:sz="4" w:space="0" w:color="000000"/>
            </w:tcBorders>
          </w:tcPr>
          <w:p w:rsidR="00D55D07" w:rsidRPr="00B0343D" w:rsidRDefault="00D55D07" w:rsidP="002C32DE">
            <w:pPr>
              <w:spacing w:before="120" w:after="120"/>
              <w:jc w:val="center"/>
            </w:pPr>
            <w:r w:rsidRPr="00B0343D">
              <w:t>X</w:t>
            </w:r>
          </w:p>
        </w:tc>
        <w:tc>
          <w:tcPr>
            <w:tcW w:w="827" w:type="dxa"/>
            <w:tcBorders>
              <w:top w:val="nil"/>
              <w:left w:val="nil"/>
              <w:bottom w:val="single" w:sz="4" w:space="0" w:color="000000"/>
              <w:right w:val="single" w:sz="4" w:space="0" w:color="000000"/>
            </w:tcBorders>
          </w:tcPr>
          <w:p w:rsidR="00D55D07" w:rsidRPr="00B0343D" w:rsidRDefault="00D55D07" w:rsidP="002C32DE">
            <w:pPr>
              <w:spacing w:before="120" w:after="120"/>
              <w:jc w:val="center"/>
            </w:pPr>
          </w:p>
        </w:tc>
      </w:tr>
      <w:tr w:rsidR="00D55D07" w:rsidRPr="00B0343D" w:rsidTr="00B0343D">
        <w:trPr>
          <w:trHeight w:val="930"/>
        </w:trPr>
        <w:tc>
          <w:tcPr>
            <w:tcW w:w="534" w:type="dxa"/>
            <w:vMerge w:val="restart"/>
            <w:tcBorders>
              <w:top w:val="single" w:sz="4" w:space="0" w:color="auto"/>
              <w:left w:val="single" w:sz="4" w:space="0" w:color="auto"/>
              <w:right w:val="single" w:sz="4" w:space="0" w:color="auto"/>
            </w:tcBorders>
          </w:tcPr>
          <w:p w:rsidR="00D55D07" w:rsidRPr="00B0343D" w:rsidRDefault="00D55D07" w:rsidP="00596205">
            <w:pPr>
              <w:spacing w:before="120" w:after="120"/>
              <w:rPr>
                <w:highlight w:val="red"/>
              </w:rPr>
            </w:pPr>
            <w:r w:rsidRPr="00B0343D">
              <w:rPr>
                <w:sz w:val="22"/>
                <w:szCs w:val="22"/>
              </w:rPr>
              <w:t>10</w:t>
            </w:r>
          </w:p>
          <w:p w:rsidR="00D55D07" w:rsidRPr="00B0343D" w:rsidRDefault="00D55D07" w:rsidP="00596205">
            <w:pPr>
              <w:spacing w:before="120" w:after="120"/>
              <w:rPr>
                <w:highlight w:val="red"/>
              </w:rPr>
            </w:pPr>
            <w:r w:rsidRPr="00B0343D">
              <w:rPr>
                <w:sz w:val="22"/>
                <w:szCs w:val="22"/>
                <w:highlight w:val="red"/>
              </w:rPr>
              <w:t xml:space="preserve"> </w:t>
            </w:r>
          </w:p>
        </w:tc>
        <w:tc>
          <w:tcPr>
            <w:tcW w:w="2855" w:type="dxa"/>
            <w:vMerge w:val="restart"/>
            <w:tcBorders>
              <w:top w:val="single" w:sz="4" w:space="0" w:color="auto"/>
              <w:left w:val="single" w:sz="4" w:space="0" w:color="auto"/>
              <w:right w:val="single" w:sz="4" w:space="0" w:color="auto"/>
            </w:tcBorders>
          </w:tcPr>
          <w:p w:rsidR="00D55D07" w:rsidRDefault="00D55D07" w:rsidP="00B0343D">
            <w:pPr>
              <w:rPr>
                <w:color w:val="000000"/>
              </w:rPr>
            </w:pPr>
            <w:r w:rsidRPr="00B0343D">
              <w:rPr>
                <w:color w:val="000000"/>
                <w:sz w:val="22"/>
                <w:szCs w:val="22"/>
              </w:rPr>
              <w:t>(CNT 983)(R00) Health financing policies implemented in Member States to make progress towards, or sustain existing achievements of, universal health coverage, with attention to minimizing the negative effects of the financial crisis on the health sector and ensuring that financing and service delivery arrangements for priority personal and public health services are well aligned.</w:t>
            </w:r>
          </w:p>
          <w:p w:rsidR="00D55D07" w:rsidRPr="00B0343D" w:rsidRDefault="00D55D07" w:rsidP="00B0343D">
            <w:pPr>
              <w:rPr>
                <w:color w:val="000000"/>
              </w:rPr>
            </w:pPr>
          </w:p>
        </w:tc>
        <w:tc>
          <w:tcPr>
            <w:tcW w:w="3226" w:type="dxa"/>
            <w:tcBorders>
              <w:top w:val="single" w:sz="4" w:space="0" w:color="auto"/>
              <w:left w:val="single" w:sz="4" w:space="0" w:color="auto"/>
              <w:bottom w:val="single" w:sz="4" w:space="0" w:color="auto"/>
              <w:right w:val="single" w:sz="4" w:space="0" w:color="auto"/>
            </w:tcBorders>
          </w:tcPr>
          <w:p w:rsidR="00D55D07" w:rsidRPr="00B0343D" w:rsidRDefault="00D55D07" w:rsidP="00A62B7B">
            <w:pPr>
              <w:rPr>
                <w:color w:val="000000"/>
              </w:rPr>
            </w:pPr>
            <w:r w:rsidRPr="00B0343D">
              <w:rPr>
                <w:color w:val="000000"/>
                <w:sz w:val="22"/>
                <w:szCs w:val="22"/>
              </w:rPr>
              <w:t xml:space="preserve">1) Report and recommendations on the sustainability of the health financing system in Latvia in the context of the ongoing reforms and the economic crisis </w:t>
            </w:r>
          </w:p>
          <w:p w:rsidR="00D55D07" w:rsidRPr="00B0343D" w:rsidRDefault="00D55D07" w:rsidP="00A62B7B">
            <w:pPr>
              <w:spacing w:before="120" w:after="120"/>
              <w:rPr>
                <w:highlight w:val="red"/>
              </w:rPr>
            </w:pPr>
          </w:p>
        </w:tc>
        <w:tc>
          <w:tcPr>
            <w:tcW w:w="872"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r w:rsidRPr="00B0343D">
              <w:t>X</w:t>
            </w: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r>
      <w:tr w:rsidR="00D55D07" w:rsidRPr="00B0343D" w:rsidTr="00B0343D">
        <w:trPr>
          <w:trHeight w:val="930"/>
        </w:trPr>
        <w:tc>
          <w:tcPr>
            <w:tcW w:w="534" w:type="dxa"/>
            <w:vMerge/>
            <w:tcBorders>
              <w:left w:val="single" w:sz="4" w:space="0" w:color="auto"/>
              <w:right w:val="single" w:sz="4" w:space="0" w:color="auto"/>
            </w:tcBorders>
          </w:tcPr>
          <w:p w:rsidR="00D55D07" w:rsidRPr="00B0343D" w:rsidRDefault="00D55D07" w:rsidP="00596205">
            <w:pPr>
              <w:spacing w:before="120" w:after="120"/>
              <w:rPr>
                <w:highlight w:val="red"/>
              </w:rPr>
            </w:pPr>
          </w:p>
        </w:tc>
        <w:tc>
          <w:tcPr>
            <w:tcW w:w="2855" w:type="dxa"/>
            <w:vMerge/>
            <w:tcBorders>
              <w:left w:val="single" w:sz="4" w:space="0" w:color="auto"/>
              <w:right w:val="single" w:sz="4" w:space="0" w:color="auto"/>
            </w:tcBorders>
          </w:tcPr>
          <w:p w:rsidR="00D55D07" w:rsidRPr="00B0343D" w:rsidRDefault="00D55D07" w:rsidP="00596205">
            <w:pPr>
              <w:spacing w:before="120" w:after="120"/>
              <w:rPr>
                <w:highlight w:val="red"/>
              </w:rPr>
            </w:pPr>
          </w:p>
        </w:tc>
        <w:tc>
          <w:tcPr>
            <w:tcW w:w="3226" w:type="dxa"/>
            <w:tcBorders>
              <w:top w:val="single" w:sz="4" w:space="0" w:color="auto"/>
              <w:left w:val="single" w:sz="4" w:space="0" w:color="auto"/>
              <w:bottom w:val="single" w:sz="4" w:space="0" w:color="auto"/>
              <w:right w:val="single" w:sz="4" w:space="0" w:color="auto"/>
            </w:tcBorders>
          </w:tcPr>
          <w:p w:rsidR="00D55D07" w:rsidRPr="00B0343D" w:rsidRDefault="00D55D07" w:rsidP="00A62B7B">
            <w:pPr>
              <w:rPr>
                <w:color w:val="000000"/>
              </w:rPr>
            </w:pPr>
            <w:r w:rsidRPr="00B0343D">
              <w:rPr>
                <w:color w:val="000000"/>
                <w:sz w:val="22"/>
                <w:szCs w:val="22"/>
              </w:rPr>
              <w:t>2) Continued technical advise on Hospital sector reforms in context of economic crises</w:t>
            </w:r>
          </w:p>
        </w:tc>
        <w:tc>
          <w:tcPr>
            <w:tcW w:w="872"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r w:rsidRPr="00B0343D">
              <w:t>X</w:t>
            </w: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r>
      <w:tr w:rsidR="00D55D07" w:rsidRPr="00B0343D" w:rsidTr="00B0343D">
        <w:trPr>
          <w:trHeight w:val="930"/>
        </w:trPr>
        <w:tc>
          <w:tcPr>
            <w:tcW w:w="534" w:type="dxa"/>
            <w:vMerge/>
            <w:tcBorders>
              <w:left w:val="single" w:sz="4" w:space="0" w:color="auto"/>
              <w:bottom w:val="single" w:sz="4" w:space="0" w:color="auto"/>
              <w:right w:val="single" w:sz="4" w:space="0" w:color="auto"/>
            </w:tcBorders>
          </w:tcPr>
          <w:p w:rsidR="00D55D07" w:rsidRPr="00B0343D" w:rsidRDefault="00D55D07" w:rsidP="00596205">
            <w:pPr>
              <w:spacing w:before="120" w:after="120"/>
              <w:rPr>
                <w:highlight w:val="red"/>
              </w:rPr>
            </w:pPr>
          </w:p>
        </w:tc>
        <w:tc>
          <w:tcPr>
            <w:tcW w:w="2855" w:type="dxa"/>
            <w:vMerge/>
            <w:tcBorders>
              <w:left w:val="single" w:sz="4" w:space="0" w:color="auto"/>
              <w:bottom w:val="single" w:sz="4" w:space="0" w:color="auto"/>
              <w:right w:val="single" w:sz="4" w:space="0" w:color="auto"/>
            </w:tcBorders>
          </w:tcPr>
          <w:p w:rsidR="00D55D07" w:rsidRPr="00B0343D" w:rsidRDefault="00D55D07" w:rsidP="00596205">
            <w:pPr>
              <w:spacing w:before="120" w:after="120"/>
              <w:rPr>
                <w:highlight w:val="red"/>
              </w:rPr>
            </w:pPr>
          </w:p>
        </w:tc>
        <w:tc>
          <w:tcPr>
            <w:tcW w:w="3226" w:type="dxa"/>
            <w:tcBorders>
              <w:top w:val="single" w:sz="4" w:space="0" w:color="auto"/>
              <w:left w:val="single" w:sz="4" w:space="0" w:color="auto"/>
              <w:bottom w:val="single" w:sz="4" w:space="0" w:color="auto"/>
              <w:right w:val="single" w:sz="4" w:space="0" w:color="auto"/>
            </w:tcBorders>
          </w:tcPr>
          <w:p w:rsidR="00D55D07" w:rsidRPr="00B0343D" w:rsidRDefault="00D55D07" w:rsidP="00A62B7B">
            <w:pPr>
              <w:rPr>
                <w:color w:val="000000"/>
              </w:rPr>
            </w:pPr>
            <w:r w:rsidRPr="00B0343D">
              <w:rPr>
                <w:color w:val="000000"/>
                <w:sz w:val="22"/>
                <w:szCs w:val="22"/>
              </w:rPr>
              <w:t>3) Baltic Policy dialogue 2012 jointly with OBS on health financing, hospitals/contracting issues</w:t>
            </w:r>
          </w:p>
        </w:tc>
        <w:tc>
          <w:tcPr>
            <w:tcW w:w="872"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r w:rsidRPr="00B0343D">
              <w:t>X</w:t>
            </w: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r>
      <w:tr w:rsidR="00D55D07" w:rsidRPr="00B0343D" w:rsidTr="00B0343D">
        <w:trPr>
          <w:trHeight w:val="930"/>
        </w:trPr>
        <w:tc>
          <w:tcPr>
            <w:tcW w:w="534" w:type="dxa"/>
            <w:vMerge w:val="restart"/>
            <w:tcBorders>
              <w:top w:val="single" w:sz="4" w:space="0" w:color="auto"/>
              <w:left w:val="single" w:sz="4" w:space="0" w:color="auto"/>
              <w:right w:val="single" w:sz="4" w:space="0" w:color="auto"/>
            </w:tcBorders>
          </w:tcPr>
          <w:p w:rsidR="00D55D07" w:rsidRPr="00B0343D" w:rsidRDefault="00D55D07" w:rsidP="00596205">
            <w:pPr>
              <w:spacing w:before="120" w:after="120"/>
              <w:rPr>
                <w:highlight w:val="red"/>
              </w:rPr>
            </w:pPr>
            <w:r w:rsidRPr="00B0343D">
              <w:rPr>
                <w:sz w:val="22"/>
                <w:szCs w:val="22"/>
              </w:rPr>
              <w:t>10</w:t>
            </w:r>
          </w:p>
        </w:tc>
        <w:tc>
          <w:tcPr>
            <w:tcW w:w="2855" w:type="dxa"/>
            <w:vMerge w:val="restart"/>
            <w:tcBorders>
              <w:top w:val="single" w:sz="4" w:space="0" w:color="auto"/>
              <w:left w:val="single" w:sz="4" w:space="0" w:color="auto"/>
              <w:right w:val="single" w:sz="4" w:space="0" w:color="auto"/>
            </w:tcBorders>
          </w:tcPr>
          <w:p w:rsidR="00D55D07" w:rsidRDefault="00D55D07" w:rsidP="00A62B7B">
            <w:pPr>
              <w:rPr>
                <w:color w:val="000000"/>
              </w:rPr>
            </w:pPr>
            <w:r w:rsidRPr="00B0343D">
              <w:rPr>
                <w:color w:val="000000"/>
                <w:sz w:val="22"/>
                <w:szCs w:val="22"/>
              </w:rPr>
              <w:t>(987) Member States equipped with and use evidence on their own health system, the health system of other countries and ongoing evidence updates to support decision making, and reform processes</w:t>
            </w:r>
          </w:p>
          <w:p w:rsidR="00D55D07" w:rsidRDefault="00D55D07" w:rsidP="00F3331E">
            <w:pPr>
              <w:rPr>
                <w:rFonts w:ascii="Calibri" w:hAnsi="Calibri"/>
                <w:color w:val="000000"/>
              </w:rPr>
            </w:pPr>
            <w:r>
              <w:rPr>
                <w:rFonts w:ascii="Calibri" w:hAnsi="Calibri"/>
                <w:color w:val="000000"/>
                <w:sz w:val="22"/>
                <w:szCs w:val="22"/>
              </w:rPr>
              <w:t xml:space="preserve"> </w:t>
            </w:r>
          </w:p>
          <w:p w:rsidR="00D55D07" w:rsidRPr="00B0343D" w:rsidRDefault="00D55D07" w:rsidP="00A62B7B">
            <w:pPr>
              <w:rPr>
                <w:color w:val="000000"/>
              </w:rPr>
            </w:pPr>
          </w:p>
          <w:p w:rsidR="00D55D07" w:rsidRPr="00B0343D" w:rsidRDefault="00D55D07" w:rsidP="00A62B7B">
            <w:pPr>
              <w:rPr>
                <w:color w:val="000000"/>
              </w:rPr>
            </w:pPr>
          </w:p>
        </w:tc>
        <w:tc>
          <w:tcPr>
            <w:tcW w:w="3226" w:type="dxa"/>
            <w:tcBorders>
              <w:top w:val="single" w:sz="4" w:space="0" w:color="auto"/>
              <w:left w:val="single" w:sz="4" w:space="0" w:color="auto"/>
              <w:bottom w:val="single" w:sz="4" w:space="0" w:color="auto"/>
              <w:right w:val="single" w:sz="4" w:space="0" w:color="auto"/>
            </w:tcBorders>
          </w:tcPr>
          <w:p w:rsidR="00D55D07" w:rsidRPr="00B0343D" w:rsidRDefault="00D55D07" w:rsidP="00A62B7B">
            <w:pPr>
              <w:rPr>
                <w:color w:val="000000"/>
              </w:rPr>
            </w:pPr>
            <w:r w:rsidRPr="00B0343D">
              <w:rPr>
                <w:color w:val="000000"/>
                <w:sz w:val="22"/>
                <w:szCs w:val="22"/>
              </w:rPr>
              <w:t xml:space="preserve">1) HIT update for Latvia; </w:t>
            </w:r>
          </w:p>
          <w:p w:rsidR="00D55D07" w:rsidRPr="00B0343D" w:rsidRDefault="00D55D07" w:rsidP="00A62B7B">
            <w:pPr>
              <w:rPr>
                <w:color w:val="000000"/>
              </w:rPr>
            </w:pPr>
          </w:p>
        </w:tc>
        <w:tc>
          <w:tcPr>
            <w:tcW w:w="872"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r w:rsidRPr="00B0343D">
              <w:t>X</w:t>
            </w: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r>
      <w:tr w:rsidR="00D55D07" w:rsidRPr="00B0343D" w:rsidTr="00B0343D">
        <w:trPr>
          <w:trHeight w:val="930"/>
        </w:trPr>
        <w:tc>
          <w:tcPr>
            <w:tcW w:w="534" w:type="dxa"/>
            <w:vMerge/>
            <w:tcBorders>
              <w:left w:val="single" w:sz="4" w:space="0" w:color="auto"/>
              <w:bottom w:val="single" w:sz="4" w:space="0" w:color="auto"/>
              <w:right w:val="single" w:sz="4" w:space="0" w:color="auto"/>
            </w:tcBorders>
          </w:tcPr>
          <w:p w:rsidR="00D55D07" w:rsidRPr="00B0343D" w:rsidRDefault="00D55D07" w:rsidP="00596205">
            <w:pPr>
              <w:spacing w:before="120" w:after="120"/>
              <w:rPr>
                <w:highlight w:val="red"/>
              </w:rPr>
            </w:pPr>
          </w:p>
        </w:tc>
        <w:tc>
          <w:tcPr>
            <w:tcW w:w="2855" w:type="dxa"/>
            <w:vMerge/>
            <w:tcBorders>
              <w:left w:val="single" w:sz="4" w:space="0" w:color="auto"/>
              <w:bottom w:val="single" w:sz="4" w:space="0" w:color="auto"/>
              <w:right w:val="single" w:sz="4" w:space="0" w:color="auto"/>
            </w:tcBorders>
          </w:tcPr>
          <w:p w:rsidR="00D55D07" w:rsidRPr="00B0343D" w:rsidRDefault="00D55D07" w:rsidP="00A62B7B">
            <w:pPr>
              <w:rPr>
                <w:color w:val="000000"/>
              </w:rPr>
            </w:pPr>
          </w:p>
        </w:tc>
        <w:tc>
          <w:tcPr>
            <w:tcW w:w="3226" w:type="dxa"/>
            <w:tcBorders>
              <w:top w:val="single" w:sz="4" w:space="0" w:color="auto"/>
              <w:left w:val="single" w:sz="4" w:space="0" w:color="auto"/>
              <w:bottom w:val="single" w:sz="4" w:space="0" w:color="auto"/>
              <w:right w:val="single" w:sz="4" w:space="0" w:color="auto"/>
            </w:tcBorders>
          </w:tcPr>
          <w:p w:rsidR="00D55D07" w:rsidRPr="00B0343D" w:rsidRDefault="00D55D07" w:rsidP="00A62B7B">
            <w:pPr>
              <w:rPr>
                <w:color w:val="000000"/>
              </w:rPr>
            </w:pPr>
            <w:r w:rsidRPr="00B0343D">
              <w:rPr>
                <w:color w:val="000000"/>
                <w:sz w:val="22"/>
                <w:szCs w:val="22"/>
              </w:rPr>
              <w:t>2) HIT launch to be linked to policy dialogue on key reform theme</w:t>
            </w:r>
          </w:p>
        </w:tc>
        <w:tc>
          <w:tcPr>
            <w:tcW w:w="872"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r w:rsidRPr="00B0343D">
              <w:t>X</w:t>
            </w: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r w:rsidRPr="00B0343D">
              <w:t>X</w:t>
            </w: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r>
      <w:tr w:rsidR="00D55D07" w:rsidRPr="00B0343D" w:rsidTr="00B0343D">
        <w:trPr>
          <w:trHeight w:val="930"/>
        </w:trPr>
        <w:tc>
          <w:tcPr>
            <w:tcW w:w="534" w:type="dxa"/>
            <w:vMerge w:val="restart"/>
            <w:tcBorders>
              <w:top w:val="single" w:sz="4" w:space="0" w:color="auto"/>
              <w:left w:val="single" w:sz="4" w:space="0" w:color="auto"/>
              <w:right w:val="single" w:sz="4" w:space="0" w:color="auto"/>
            </w:tcBorders>
          </w:tcPr>
          <w:p w:rsidR="00D55D07" w:rsidRPr="00B0343D" w:rsidRDefault="00D55D07" w:rsidP="00596205">
            <w:pPr>
              <w:spacing w:before="120" w:after="120"/>
              <w:rPr>
                <w:highlight w:val="red"/>
              </w:rPr>
            </w:pPr>
            <w:r w:rsidRPr="00B0343D">
              <w:rPr>
                <w:sz w:val="22"/>
                <w:szCs w:val="22"/>
              </w:rPr>
              <w:t>10</w:t>
            </w:r>
          </w:p>
        </w:tc>
        <w:tc>
          <w:tcPr>
            <w:tcW w:w="2855" w:type="dxa"/>
            <w:vMerge w:val="restart"/>
            <w:tcBorders>
              <w:top w:val="single" w:sz="4" w:space="0" w:color="auto"/>
              <w:left w:val="single" w:sz="4" w:space="0" w:color="auto"/>
              <w:right w:val="single" w:sz="4" w:space="0" w:color="auto"/>
            </w:tcBorders>
          </w:tcPr>
          <w:p w:rsidR="00D55D07" w:rsidRPr="00B0343D" w:rsidRDefault="00D55D07" w:rsidP="00A46562">
            <w:pPr>
              <w:rPr>
                <w:color w:val="000000"/>
              </w:rPr>
            </w:pPr>
            <w:r w:rsidRPr="00B0343D">
              <w:rPr>
                <w:color w:val="000000"/>
                <w:sz w:val="22"/>
                <w:szCs w:val="22"/>
              </w:rPr>
              <w:t xml:space="preserve">(1145) MS will mobilise and use inputs from accross disciplines and international boundaries and the principles of knowledge brokering to </w:t>
            </w:r>
            <w:r w:rsidRPr="00B0343D">
              <w:rPr>
                <w:color w:val="000000"/>
                <w:sz w:val="22"/>
                <w:szCs w:val="22"/>
              </w:rPr>
              <w:lastRenderedPageBreak/>
              <w:t>bring evidence to bear on policy decisions and on the assessment and evaluation of the impact of reforms.</w:t>
            </w:r>
          </w:p>
          <w:p w:rsidR="00D55D07" w:rsidRDefault="00D55D07" w:rsidP="00F3331E">
            <w:pPr>
              <w:rPr>
                <w:rFonts w:ascii="Calibri" w:hAnsi="Calibri"/>
                <w:color w:val="000000"/>
              </w:rPr>
            </w:pPr>
            <w:r>
              <w:rPr>
                <w:rFonts w:ascii="Calibri" w:hAnsi="Calibri"/>
                <w:color w:val="000000"/>
                <w:sz w:val="22"/>
                <w:szCs w:val="22"/>
              </w:rPr>
              <w:t xml:space="preserve"> </w:t>
            </w:r>
          </w:p>
          <w:p w:rsidR="00D55D07" w:rsidRPr="00B0343D" w:rsidRDefault="00D55D07" w:rsidP="00A62B7B">
            <w:pPr>
              <w:rPr>
                <w:color w:val="000000"/>
              </w:rPr>
            </w:pPr>
          </w:p>
        </w:tc>
        <w:tc>
          <w:tcPr>
            <w:tcW w:w="3226" w:type="dxa"/>
            <w:tcBorders>
              <w:top w:val="single" w:sz="4" w:space="0" w:color="auto"/>
              <w:left w:val="single" w:sz="4" w:space="0" w:color="auto"/>
              <w:bottom w:val="single" w:sz="4" w:space="0" w:color="auto"/>
              <w:right w:val="single" w:sz="4" w:space="0" w:color="auto"/>
            </w:tcBorders>
          </w:tcPr>
          <w:p w:rsidR="00D55D07" w:rsidRPr="00B0343D" w:rsidRDefault="00D55D07" w:rsidP="00A62B7B">
            <w:pPr>
              <w:rPr>
                <w:color w:val="000000"/>
              </w:rPr>
            </w:pPr>
            <w:r w:rsidRPr="00B0343D">
              <w:rPr>
                <w:color w:val="000000"/>
                <w:sz w:val="22"/>
                <w:szCs w:val="22"/>
              </w:rPr>
              <w:lastRenderedPageBreak/>
              <w:t xml:space="preserve">1) Baltic Policy Dialogue 2012 hosting of dialogue (possibly linked to financing as at outcome 983); </w:t>
            </w:r>
          </w:p>
          <w:p w:rsidR="00D55D07" w:rsidRPr="00B0343D" w:rsidRDefault="00D55D07" w:rsidP="00A62B7B">
            <w:pPr>
              <w:rPr>
                <w:color w:val="000000"/>
              </w:rPr>
            </w:pPr>
          </w:p>
        </w:tc>
        <w:tc>
          <w:tcPr>
            <w:tcW w:w="872"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r w:rsidRPr="00B0343D">
              <w:t>X</w:t>
            </w: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r>
      <w:tr w:rsidR="00D55D07" w:rsidRPr="00B0343D" w:rsidTr="00B0343D">
        <w:trPr>
          <w:trHeight w:val="930"/>
        </w:trPr>
        <w:tc>
          <w:tcPr>
            <w:tcW w:w="534" w:type="dxa"/>
            <w:vMerge/>
            <w:tcBorders>
              <w:left w:val="single" w:sz="4" w:space="0" w:color="auto"/>
              <w:bottom w:val="single" w:sz="4" w:space="0" w:color="auto"/>
              <w:right w:val="single" w:sz="4" w:space="0" w:color="auto"/>
            </w:tcBorders>
          </w:tcPr>
          <w:p w:rsidR="00D55D07" w:rsidRPr="00B0343D" w:rsidRDefault="00D55D07" w:rsidP="00596205">
            <w:pPr>
              <w:spacing w:before="120" w:after="120"/>
              <w:rPr>
                <w:highlight w:val="red"/>
              </w:rPr>
            </w:pPr>
          </w:p>
        </w:tc>
        <w:tc>
          <w:tcPr>
            <w:tcW w:w="2855" w:type="dxa"/>
            <w:vMerge/>
            <w:tcBorders>
              <w:left w:val="single" w:sz="4" w:space="0" w:color="auto"/>
              <w:bottom w:val="single" w:sz="4" w:space="0" w:color="auto"/>
              <w:right w:val="single" w:sz="4" w:space="0" w:color="auto"/>
            </w:tcBorders>
          </w:tcPr>
          <w:p w:rsidR="00D55D07" w:rsidRPr="00B0343D" w:rsidRDefault="00D55D07" w:rsidP="00A46562">
            <w:pPr>
              <w:rPr>
                <w:color w:val="000000"/>
              </w:rPr>
            </w:pPr>
          </w:p>
        </w:tc>
        <w:tc>
          <w:tcPr>
            <w:tcW w:w="3226" w:type="dxa"/>
            <w:tcBorders>
              <w:top w:val="single" w:sz="4" w:space="0" w:color="auto"/>
              <w:left w:val="single" w:sz="4" w:space="0" w:color="auto"/>
              <w:bottom w:val="single" w:sz="4" w:space="0" w:color="auto"/>
              <w:right w:val="single" w:sz="4" w:space="0" w:color="auto"/>
            </w:tcBorders>
          </w:tcPr>
          <w:p w:rsidR="00D55D07" w:rsidRPr="00B0343D" w:rsidRDefault="00D55D07" w:rsidP="00A62B7B">
            <w:pPr>
              <w:rPr>
                <w:color w:val="000000"/>
              </w:rPr>
            </w:pPr>
            <w:r w:rsidRPr="00B0343D">
              <w:rPr>
                <w:color w:val="000000"/>
                <w:sz w:val="22"/>
                <w:szCs w:val="22"/>
              </w:rPr>
              <w:t>2) Baltic Policy Dialogue 2013 in Estonia - participation of ministerial delegation;</w:t>
            </w:r>
          </w:p>
        </w:tc>
        <w:tc>
          <w:tcPr>
            <w:tcW w:w="872"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r w:rsidRPr="00B0343D">
              <w:t>X</w:t>
            </w:r>
          </w:p>
        </w:tc>
        <w:tc>
          <w:tcPr>
            <w:tcW w:w="827" w:type="dxa"/>
            <w:tcBorders>
              <w:top w:val="single" w:sz="4" w:space="0" w:color="auto"/>
              <w:left w:val="single" w:sz="4" w:space="0" w:color="auto"/>
              <w:bottom w:val="single" w:sz="4" w:space="0" w:color="auto"/>
              <w:right w:val="single" w:sz="4" w:space="0" w:color="auto"/>
            </w:tcBorders>
          </w:tcPr>
          <w:p w:rsidR="00D55D07" w:rsidRPr="00B0343D" w:rsidRDefault="00D55D07" w:rsidP="00596205">
            <w:pPr>
              <w:spacing w:before="120" w:after="120"/>
            </w:pPr>
          </w:p>
        </w:tc>
      </w:tr>
    </w:tbl>
    <w:p w:rsidR="00D55D07" w:rsidRDefault="00D55D07" w:rsidP="00342D53">
      <w:pPr>
        <w:rPr>
          <w:b/>
        </w:rPr>
      </w:pPr>
    </w:p>
    <w:p w:rsidR="00D55D07" w:rsidRPr="00B0343D" w:rsidRDefault="00D55D07" w:rsidP="00342D53">
      <w:pPr>
        <w:rPr>
          <w:b/>
        </w:rPr>
      </w:pPr>
      <w:r w:rsidRPr="00B0343D">
        <w:rPr>
          <w:b/>
        </w:rPr>
        <w:t>PRIORITY</w:t>
      </w:r>
      <w:r>
        <w:rPr>
          <w:b/>
        </w:rPr>
        <w:t xml:space="preserve"> 3</w:t>
      </w:r>
      <w:r w:rsidRPr="00B0343D">
        <w:rPr>
          <w:b/>
        </w:rPr>
        <w:t>: Non-Communicable Diseases, Health Promotion and Healthy Lifestyles</w:t>
      </w:r>
    </w:p>
    <w:p w:rsidR="00D55D07" w:rsidRPr="00B0343D" w:rsidRDefault="00D55D07" w:rsidP="00342D53">
      <w:pPr>
        <w:rPr>
          <w:b/>
        </w:rPr>
      </w:pPr>
    </w:p>
    <w:tbl>
      <w:tblPr>
        <w:tblW w:w="91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2865"/>
        <w:gridCol w:w="3240"/>
        <w:gridCol w:w="872"/>
        <w:gridCol w:w="827"/>
        <w:gridCol w:w="827"/>
      </w:tblGrid>
      <w:tr w:rsidR="00D55D07" w:rsidRPr="00B0343D" w:rsidTr="003E19A7">
        <w:trPr>
          <w:trHeight w:val="420"/>
        </w:trPr>
        <w:tc>
          <w:tcPr>
            <w:tcW w:w="510" w:type="dxa"/>
            <w:vMerge w:val="restart"/>
            <w:vAlign w:val="center"/>
          </w:tcPr>
          <w:p w:rsidR="00D55D07" w:rsidRPr="00B0343D" w:rsidRDefault="00D55D07" w:rsidP="00F90497">
            <w:pPr>
              <w:jc w:val="center"/>
              <w:rPr>
                <w:b/>
                <w:bCs/>
              </w:rPr>
            </w:pPr>
            <w:r w:rsidRPr="00B0343D">
              <w:rPr>
                <w:b/>
                <w:bCs/>
                <w:sz w:val="22"/>
                <w:szCs w:val="22"/>
              </w:rPr>
              <w:t>SO</w:t>
            </w:r>
          </w:p>
        </w:tc>
        <w:tc>
          <w:tcPr>
            <w:tcW w:w="2865" w:type="dxa"/>
            <w:vMerge w:val="restart"/>
            <w:vAlign w:val="center"/>
          </w:tcPr>
          <w:p w:rsidR="00D55D07" w:rsidRPr="00B0343D" w:rsidRDefault="00D55D07" w:rsidP="00F90497">
            <w:pPr>
              <w:jc w:val="center"/>
              <w:rPr>
                <w:b/>
                <w:bCs/>
              </w:rPr>
            </w:pPr>
            <w:r w:rsidRPr="00B0343D">
              <w:rPr>
                <w:b/>
                <w:bCs/>
                <w:sz w:val="22"/>
                <w:szCs w:val="22"/>
              </w:rPr>
              <w:t>Outcomes</w:t>
            </w:r>
          </w:p>
        </w:tc>
        <w:tc>
          <w:tcPr>
            <w:tcW w:w="3240" w:type="dxa"/>
            <w:vMerge w:val="restart"/>
            <w:vAlign w:val="center"/>
          </w:tcPr>
          <w:p w:rsidR="00D55D07" w:rsidRPr="00B0343D" w:rsidRDefault="00D55D07" w:rsidP="00F90497">
            <w:pPr>
              <w:jc w:val="center"/>
              <w:rPr>
                <w:b/>
                <w:bCs/>
              </w:rPr>
            </w:pPr>
            <w:r w:rsidRPr="00B0343D">
              <w:rPr>
                <w:b/>
                <w:bCs/>
                <w:sz w:val="22"/>
                <w:szCs w:val="22"/>
              </w:rPr>
              <w:t xml:space="preserve">Outputs </w:t>
            </w:r>
          </w:p>
        </w:tc>
        <w:tc>
          <w:tcPr>
            <w:tcW w:w="2526" w:type="dxa"/>
            <w:gridSpan w:val="3"/>
            <w:noWrap/>
            <w:vAlign w:val="center"/>
          </w:tcPr>
          <w:p w:rsidR="00D55D07" w:rsidRPr="00B0343D" w:rsidRDefault="00D55D07" w:rsidP="004D34A6">
            <w:pPr>
              <w:jc w:val="center"/>
              <w:rPr>
                <w:b/>
                <w:bCs/>
              </w:rPr>
            </w:pPr>
            <w:r w:rsidRPr="00B0343D">
              <w:rPr>
                <w:b/>
                <w:bCs/>
                <w:sz w:val="22"/>
                <w:szCs w:val="22"/>
              </w:rPr>
              <w:t>Mode of delivery</w:t>
            </w:r>
          </w:p>
        </w:tc>
      </w:tr>
      <w:tr w:rsidR="00D55D07" w:rsidRPr="00B0343D" w:rsidTr="003E19A7">
        <w:trPr>
          <w:trHeight w:val="1111"/>
        </w:trPr>
        <w:tc>
          <w:tcPr>
            <w:tcW w:w="510" w:type="dxa"/>
            <w:vMerge/>
            <w:vAlign w:val="center"/>
          </w:tcPr>
          <w:p w:rsidR="00D55D07" w:rsidRPr="00B0343D" w:rsidRDefault="00D55D07" w:rsidP="00F90497">
            <w:pPr>
              <w:rPr>
                <w:b/>
                <w:bCs/>
              </w:rPr>
            </w:pPr>
          </w:p>
        </w:tc>
        <w:tc>
          <w:tcPr>
            <w:tcW w:w="2865" w:type="dxa"/>
            <w:vMerge/>
            <w:vAlign w:val="center"/>
          </w:tcPr>
          <w:p w:rsidR="00D55D07" w:rsidRPr="00B0343D" w:rsidRDefault="00D55D07" w:rsidP="00F90497">
            <w:pPr>
              <w:rPr>
                <w:b/>
                <w:bCs/>
              </w:rPr>
            </w:pPr>
          </w:p>
        </w:tc>
        <w:tc>
          <w:tcPr>
            <w:tcW w:w="3240" w:type="dxa"/>
            <w:vMerge/>
            <w:vAlign w:val="center"/>
          </w:tcPr>
          <w:p w:rsidR="00D55D07" w:rsidRPr="00B0343D" w:rsidRDefault="00D55D07" w:rsidP="00F90497">
            <w:pPr>
              <w:rPr>
                <w:b/>
                <w:bCs/>
              </w:rPr>
            </w:pPr>
          </w:p>
        </w:tc>
        <w:tc>
          <w:tcPr>
            <w:tcW w:w="872" w:type="dxa"/>
            <w:vAlign w:val="center"/>
          </w:tcPr>
          <w:p w:rsidR="00D55D07" w:rsidRPr="00B0343D" w:rsidRDefault="00D55D07" w:rsidP="00F90497">
            <w:pPr>
              <w:jc w:val="center"/>
              <w:rPr>
                <w:sz w:val="20"/>
                <w:szCs w:val="20"/>
              </w:rPr>
            </w:pPr>
            <w:r w:rsidRPr="00B0343D">
              <w:rPr>
                <w:sz w:val="20"/>
                <w:szCs w:val="20"/>
              </w:rPr>
              <w:t xml:space="preserve">Country specific </w:t>
            </w:r>
            <w:r w:rsidRPr="00B0343D">
              <w:rPr>
                <w:b/>
                <w:sz w:val="20"/>
                <w:szCs w:val="20"/>
              </w:rPr>
              <w:t>(CS)</w:t>
            </w:r>
          </w:p>
        </w:tc>
        <w:tc>
          <w:tcPr>
            <w:tcW w:w="827" w:type="dxa"/>
            <w:vAlign w:val="center"/>
          </w:tcPr>
          <w:p w:rsidR="00D55D07" w:rsidRPr="00B0343D" w:rsidRDefault="00D55D07" w:rsidP="00F90497">
            <w:pPr>
              <w:jc w:val="center"/>
              <w:rPr>
                <w:sz w:val="20"/>
                <w:szCs w:val="20"/>
              </w:rPr>
            </w:pPr>
            <w:r w:rsidRPr="00B0343D">
              <w:rPr>
                <w:sz w:val="20"/>
                <w:szCs w:val="20"/>
              </w:rPr>
              <w:t xml:space="preserve">Multi country </w:t>
            </w:r>
            <w:r w:rsidRPr="00B0343D">
              <w:rPr>
                <w:b/>
                <w:sz w:val="20"/>
                <w:szCs w:val="20"/>
              </w:rPr>
              <w:t>(MC)</w:t>
            </w:r>
          </w:p>
        </w:tc>
        <w:tc>
          <w:tcPr>
            <w:tcW w:w="827" w:type="dxa"/>
            <w:vAlign w:val="center"/>
          </w:tcPr>
          <w:p w:rsidR="00D55D07" w:rsidRPr="00B0343D" w:rsidRDefault="00D55D07" w:rsidP="00F90497">
            <w:pPr>
              <w:jc w:val="center"/>
              <w:rPr>
                <w:sz w:val="20"/>
                <w:szCs w:val="20"/>
              </w:rPr>
            </w:pPr>
            <w:r w:rsidRPr="00B0343D">
              <w:rPr>
                <w:sz w:val="20"/>
                <w:szCs w:val="20"/>
              </w:rPr>
              <w:t xml:space="preserve">Inter country </w:t>
            </w:r>
            <w:r w:rsidRPr="00B0343D">
              <w:rPr>
                <w:b/>
                <w:sz w:val="20"/>
                <w:szCs w:val="20"/>
              </w:rPr>
              <w:t>(IC)</w:t>
            </w:r>
          </w:p>
        </w:tc>
      </w:tr>
      <w:tr w:rsidR="00D55D07" w:rsidRPr="00B0343D" w:rsidTr="003E19A7">
        <w:trPr>
          <w:trHeight w:val="810"/>
        </w:trPr>
        <w:tc>
          <w:tcPr>
            <w:tcW w:w="510" w:type="dxa"/>
            <w:vMerge w:val="restart"/>
          </w:tcPr>
          <w:p w:rsidR="00D55D07" w:rsidRPr="00B0343D" w:rsidRDefault="00D55D07" w:rsidP="00F90497">
            <w:pPr>
              <w:spacing w:before="120" w:after="120"/>
              <w:jc w:val="center"/>
              <w:rPr>
                <w:highlight w:val="red"/>
              </w:rPr>
            </w:pPr>
            <w:r w:rsidRPr="00B0343D">
              <w:rPr>
                <w:sz w:val="22"/>
                <w:szCs w:val="22"/>
              </w:rPr>
              <w:t>3</w:t>
            </w:r>
          </w:p>
        </w:tc>
        <w:tc>
          <w:tcPr>
            <w:tcW w:w="2865" w:type="dxa"/>
            <w:vMerge w:val="restart"/>
          </w:tcPr>
          <w:p w:rsidR="00D55D07" w:rsidRPr="00A40F33" w:rsidRDefault="00D55D07" w:rsidP="00F90497">
            <w:pPr>
              <w:spacing w:before="120" w:after="120"/>
            </w:pPr>
          </w:p>
          <w:p w:rsidR="00D55D07" w:rsidRPr="002C3313" w:rsidRDefault="00D55D07" w:rsidP="00C9428D">
            <w:r w:rsidRPr="002C3313">
              <w:rPr>
                <w:sz w:val="22"/>
                <w:szCs w:val="22"/>
              </w:rPr>
              <w:t>Member States develop and implement national cancer control programmes with an emphasis on the early detection of breast, cervical and colorectal cancers developed</w:t>
            </w:r>
          </w:p>
          <w:p w:rsidR="00D55D07" w:rsidRPr="002C3313" w:rsidRDefault="00D55D07" w:rsidP="007E0EF3">
            <w:r w:rsidRPr="002C3313">
              <w:rPr>
                <w:sz w:val="22"/>
                <w:szCs w:val="22"/>
              </w:rPr>
              <w:t xml:space="preserve"> </w:t>
            </w:r>
          </w:p>
          <w:p w:rsidR="00D55D07" w:rsidRPr="00B0343D" w:rsidRDefault="00D55D07" w:rsidP="00F90497">
            <w:pPr>
              <w:spacing w:before="120" w:after="120"/>
              <w:rPr>
                <w:highlight w:val="red"/>
              </w:rPr>
            </w:pPr>
          </w:p>
        </w:tc>
        <w:tc>
          <w:tcPr>
            <w:tcW w:w="3240" w:type="dxa"/>
          </w:tcPr>
          <w:p w:rsidR="00D55D07" w:rsidRPr="00B0343D" w:rsidRDefault="00D55D07" w:rsidP="00B0343D">
            <w:pPr>
              <w:jc w:val="both"/>
              <w:rPr>
                <w:color w:val="000000"/>
              </w:rPr>
            </w:pPr>
            <w:r w:rsidRPr="00B0343D">
              <w:rPr>
                <w:color w:val="000000"/>
                <w:sz w:val="22"/>
                <w:szCs w:val="22"/>
              </w:rPr>
              <w:t xml:space="preserve">1)System of early detection of cervical cancer evaluated;  </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r>
      <w:tr w:rsidR="00D55D07" w:rsidRPr="00B0343D" w:rsidTr="003E19A7">
        <w:trPr>
          <w:trHeight w:val="870"/>
        </w:trPr>
        <w:tc>
          <w:tcPr>
            <w:tcW w:w="510" w:type="dxa"/>
            <w:vMerge/>
            <w:vAlign w:val="center"/>
          </w:tcPr>
          <w:p w:rsidR="00D55D07" w:rsidRPr="00B0343D" w:rsidRDefault="00D55D07" w:rsidP="00F90497">
            <w:pPr>
              <w:spacing w:before="120" w:after="120"/>
              <w:rPr>
                <w:highlight w:val="red"/>
              </w:rPr>
            </w:pPr>
          </w:p>
        </w:tc>
        <w:tc>
          <w:tcPr>
            <w:tcW w:w="2865" w:type="dxa"/>
            <w:vMerge/>
            <w:vAlign w:val="center"/>
          </w:tcPr>
          <w:p w:rsidR="00D55D07" w:rsidRPr="00B0343D" w:rsidRDefault="00D55D07" w:rsidP="00F90497">
            <w:pPr>
              <w:spacing w:before="120" w:after="120"/>
              <w:rPr>
                <w:highlight w:val="red"/>
              </w:rPr>
            </w:pPr>
          </w:p>
        </w:tc>
        <w:tc>
          <w:tcPr>
            <w:tcW w:w="3240" w:type="dxa"/>
          </w:tcPr>
          <w:p w:rsidR="00D55D07" w:rsidRPr="00B0343D" w:rsidRDefault="00D55D07" w:rsidP="00F90497">
            <w:pPr>
              <w:spacing w:before="120" w:after="120"/>
              <w:jc w:val="both"/>
              <w:rPr>
                <w:highlight w:val="red"/>
              </w:rPr>
            </w:pPr>
            <w:r w:rsidRPr="00B0343D">
              <w:rPr>
                <w:color w:val="000000"/>
                <w:sz w:val="22"/>
                <w:szCs w:val="22"/>
              </w:rPr>
              <w:t>2) Consensus on early detection of breast, cervical and colorectal cancers developed;</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r>
      <w:tr w:rsidR="00D55D07" w:rsidRPr="00B0343D" w:rsidTr="003E19A7">
        <w:trPr>
          <w:trHeight w:val="1020"/>
        </w:trPr>
        <w:tc>
          <w:tcPr>
            <w:tcW w:w="510" w:type="dxa"/>
            <w:vMerge/>
            <w:vAlign w:val="center"/>
          </w:tcPr>
          <w:p w:rsidR="00D55D07" w:rsidRPr="00B0343D" w:rsidRDefault="00D55D07" w:rsidP="00F90497">
            <w:pPr>
              <w:spacing w:before="120" w:after="120"/>
              <w:rPr>
                <w:highlight w:val="red"/>
              </w:rPr>
            </w:pPr>
          </w:p>
        </w:tc>
        <w:tc>
          <w:tcPr>
            <w:tcW w:w="2865" w:type="dxa"/>
            <w:vMerge/>
            <w:vAlign w:val="center"/>
          </w:tcPr>
          <w:p w:rsidR="00D55D07" w:rsidRPr="00B0343D" w:rsidRDefault="00D55D07" w:rsidP="00F90497">
            <w:pPr>
              <w:spacing w:before="120" w:after="120"/>
              <w:rPr>
                <w:highlight w:val="red"/>
              </w:rPr>
            </w:pPr>
          </w:p>
        </w:tc>
        <w:tc>
          <w:tcPr>
            <w:tcW w:w="3240" w:type="dxa"/>
          </w:tcPr>
          <w:p w:rsidR="00D55D07" w:rsidRPr="00B0343D" w:rsidRDefault="00D55D07" w:rsidP="00F90497">
            <w:pPr>
              <w:spacing w:before="120" w:after="120"/>
              <w:jc w:val="both"/>
              <w:rPr>
                <w:highlight w:val="red"/>
              </w:rPr>
            </w:pPr>
            <w:r w:rsidRPr="00B0343D">
              <w:rPr>
                <w:color w:val="000000"/>
                <w:sz w:val="22"/>
                <w:szCs w:val="22"/>
              </w:rPr>
              <w:t xml:space="preserve">3) Action research projects (including health systems components) initiated in pioneer countries (including Latvia) on the above, with a view to documenting effects of intervention;  </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r>
      <w:tr w:rsidR="00D55D07" w:rsidRPr="00B0343D" w:rsidTr="003E19A7">
        <w:trPr>
          <w:trHeight w:val="930"/>
        </w:trPr>
        <w:tc>
          <w:tcPr>
            <w:tcW w:w="510" w:type="dxa"/>
            <w:vMerge w:val="restart"/>
          </w:tcPr>
          <w:p w:rsidR="00D55D07" w:rsidRPr="00B0343D" w:rsidRDefault="00D55D07" w:rsidP="004D34A6">
            <w:pPr>
              <w:spacing w:before="120" w:after="120"/>
              <w:rPr>
                <w:highlight w:val="red"/>
              </w:rPr>
            </w:pPr>
            <w:r w:rsidRPr="00B0343D">
              <w:rPr>
                <w:sz w:val="22"/>
                <w:szCs w:val="22"/>
              </w:rPr>
              <w:t>3</w:t>
            </w:r>
          </w:p>
          <w:p w:rsidR="00D55D07" w:rsidRPr="00B0343D" w:rsidRDefault="00D55D07" w:rsidP="004D34A6">
            <w:pPr>
              <w:spacing w:before="120" w:after="120"/>
              <w:rPr>
                <w:highlight w:val="red"/>
              </w:rPr>
            </w:pPr>
            <w:r w:rsidRPr="00B0343D">
              <w:rPr>
                <w:sz w:val="22"/>
                <w:szCs w:val="22"/>
                <w:highlight w:val="red"/>
              </w:rPr>
              <w:t xml:space="preserve"> </w:t>
            </w:r>
          </w:p>
          <w:p w:rsidR="00D55D07" w:rsidRPr="00B0343D" w:rsidRDefault="00D55D07" w:rsidP="004D34A6">
            <w:pPr>
              <w:spacing w:before="120" w:after="120"/>
              <w:rPr>
                <w:highlight w:val="red"/>
              </w:rPr>
            </w:pPr>
            <w:r w:rsidRPr="00B0343D">
              <w:rPr>
                <w:sz w:val="22"/>
                <w:szCs w:val="22"/>
                <w:highlight w:val="red"/>
              </w:rPr>
              <w:t xml:space="preserve"> </w:t>
            </w:r>
          </w:p>
        </w:tc>
        <w:tc>
          <w:tcPr>
            <w:tcW w:w="2865" w:type="dxa"/>
            <w:vMerge w:val="restart"/>
          </w:tcPr>
          <w:p w:rsidR="00D55D07" w:rsidRPr="000F491A" w:rsidRDefault="00D55D07" w:rsidP="00C9428D">
            <w:pPr>
              <w:rPr>
                <w:color w:val="000000"/>
              </w:rPr>
            </w:pPr>
            <w:r w:rsidRPr="00B0343D">
              <w:rPr>
                <w:color w:val="000000"/>
                <w:sz w:val="22"/>
                <w:szCs w:val="22"/>
              </w:rPr>
              <w:t xml:space="preserve">(CNT 23a)MS adoption of a priority list of evidence based actions for prevention and control of NCDs consistent with the European NCD Action Plan. These actions include integrating surveillance systems, using fiscal measures, </w:t>
            </w:r>
            <w:r w:rsidRPr="000F491A">
              <w:rPr>
                <w:color w:val="000000"/>
                <w:sz w:val="22"/>
                <w:szCs w:val="22"/>
              </w:rPr>
              <w:t>product reformulation and control of marketing to promote healthier consumption, promoting wellness in workplace, managing cardiometabolic risk, and stepwise approaches to cancer control.</w:t>
            </w:r>
          </w:p>
          <w:p w:rsidR="00D55D07" w:rsidRPr="000F491A" w:rsidRDefault="00D55D07" w:rsidP="004D34A6">
            <w:pPr>
              <w:spacing w:before="120" w:after="120"/>
              <w:rPr>
                <w:highlight w:val="red"/>
              </w:rPr>
            </w:pPr>
            <w:r w:rsidRPr="000F491A">
              <w:rPr>
                <w:color w:val="000000"/>
                <w:sz w:val="22"/>
                <w:szCs w:val="22"/>
              </w:rPr>
              <w:t xml:space="preserve"> </w:t>
            </w:r>
          </w:p>
          <w:p w:rsidR="00D55D07" w:rsidRPr="00B0343D" w:rsidRDefault="00D55D07" w:rsidP="004D34A6">
            <w:pPr>
              <w:spacing w:before="120" w:after="120"/>
              <w:rPr>
                <w:highlight w:val="red"/>
              </w:rPr>
            </w:pPr>
            <w:r w:rsidRPr="00B0343D">
              <w:rPr>
                <w:sz w:val="22"/>
                <w:szCs w:val="22"/>
                <w:highlight w:val="red"/>
              </w:rPr>
              <w:t xml:space="preserve"> </w:t>
            </w:r>
          </w:p>
          <w:p w:rsidR="00D55D07" w:rsidRPr="00B0343D" w:rsidRDefault="00D55D07" w:rsidP="004D34A6">
            <w:pPr>
              <w:spacing w:before="120" w:after="120"/>
              <w:rPr>
                <w:highlight w:val="red"/>
              </w:rPr>
            </w:pPr>
            <w:r>
              <w:rPr>
                <w:rFonts w:ascii="Calibri" w:hAnsi="Calibri"/>
                <w:color w:val="000000"/>
                <w:sz w:val="22"/>
                <w:szCs w:val="22"/>
              </w:rPr>
              <w:t xml:space="preserve"> </w:t>
            </w:r>
          </w:p>
          <w:p w:rsidR="00D55D07" w:rsidRDefault="00D55D07" w:rsidP="00C9428D">
            <w:pPr>
              <w:rPr>
                <w:rFonts w:ascii="Calibri" w:hAnsi="Calibri"/>
                <w:color w:val="000000"/>
              </w:rPr>
            </w:pPr>
            <w:r>
              <w:rPr>
                <w:rFonts w:ascii="Calibri" w:hAnsi="Calibri"/>
                <w:color w:val="000000"/>
                <w:sz w:val="22"/>
                <w:szCs w:val="22"/>
              </w:rPr>
              <w:lastRenderedPageBreak/>
              <w:t xml:space="preserve">   </w:t>
            </w:r>
          </w:p>
          <w:p w:rsidR="00D55D07" w:rsidRPr="00B0343D" w:rsidRDefault="00D55D07" w:rsidP="004D34A6">
            <w:pPr>
              <w:spacing w:before="120" w:after="120"/>
              <w:rPr>
                <w:highlight w:val="red"/>
              </w:rPr>
            </w:pPr>
          </w:p>
          <w:p w:rsidR="00D55D07" w:rsidRPr="00B0343D" w:rsidRDefault="00D55D07" w:rsidP="004D34A6">
            <w:pPr>
              <w:spacing w:before="120" w:after="120"/>
              <w:rPr>
                <w:highlight w:val="red"/>
              </w:rPr>
            </w:pPr>
            <w:r w:rsidRPr="00B0343D">
              <w:rPr>
                <w:sz w:val="22"/>
                <w:szCs w:val="22"/>
                <w:highlight w:val="red"/>
              </w:rPr>
              <w:t xml:space="preserve"> </w:t>
            </w:r>
          </w:p>
        </w:tc>
        <w:tc>
          <w:tcPr>
            <w:tcW w:w="3240" w:type="dxa"/>
          </w:tcPr>
          <w:p w:rsidR="00D55D07" w:rsidRPr="00B0343D" w:rsidRDefault="00D55D07" w:rsidP="004D34A6">
            <w:pPr>
              <w:spacing w:before="120" w:after="120"/>
              <w:rPr>
                <w:highlight w:val="red"/>
              </w:rPr>
            </w:pPr>
            <w:r w:rsidRPr="00B0343D">
              <w:rPr>
                <w:sz w:val="22"/>
                <w:szCs w:val="22"/>
              </w:rPr>
              <w:lastRenderedPageBreak/>
              <w:t>1) two meetings organised of a board inter-sectoral c</w:t>
            </w:r>
            <w:r w:rsidR="00203703">
              <w:rPr>
                <w:sz w:val="22"/>
                <w:szCs w:val="22"/>
              </w:rPr>
              <w:t xml:space="preserve">oalition of NCD stakeholders;  </w:t>
            </w:r>
            <w:r w:rsidRPr="00B0343D">
              <w:rPr>
                <w:sz w:val="22"/>
                <w:szCs w:val="22"/>
              </w:rPr>
              <w:t xml:space="preserve"> </w:t>
            </w:r>
          </w:p>
        </w:tc>
        <w:tc>
          <w:tcPr>
            <w:tcW w:w="872"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r w:rsidRPr="00B0343D">
              <w:t>X</w:t>
            </w:r>
          </w:p>
        </w:tc>
      </w:tr>
      <w:tr w:rsidR="00D55D07" w:rsidRPr="00B0343D" w:rsidTr="003E19A7">
        <w:trPr>
          <w:trHeight w:val="930"/>
        </w:trPr>
        <w:tc>
          <w:tcPr>
            <w:tcW w:w="510" w:type="dxa"/>
            <w:vMerge/>
          </w:tcPr>
          <w:p w:rsidR="00D55D07" w:rsidRPr="00B0343D" w:rsidRDefault="00D55D07" w:rsidP="004D34A6">
            <w:pPr>
              <w:spacing w:before="120" w:after="120"/>
              <w:rPr>
                <w:highlight w:val="red"/>
              </w:rPr>
            </w:pPr>
          </w:p>
        </w:tc>
        <w:tc>
          <w:tcPr>
            <w:tcW w:w="2865" w:type="dxa"/>
            <w:vMerge/>
          </w:tcPr>
          <w:p w:rsidR="00D55D07" w:rsidRPr="00B0343D" w:rsidRDefault="00D55D07" w:rsidP="004D34A6">
            <w:pPr>
              <w:spacing w:before="120" w:after="120"/>
              <w:rPr>
                <w:highlight w:val="red"/>
              </w:rPr>
            </w:pPr>
          </w:p>
        </w:tc>
        <w:tc>
          <w:tcPr>
            <w:tcW w:w="3240" w:type="dxa"/>
          </w:tcPr>
          <w:p w:rsidR="00D55D07" w:rsidRPr="00B0343D" w:rsidRDefault="00D55D07" w:rsidP="004D34A6">
            <w:pPr>
              <w:spacing w:before="120" w:after="120"/>
              <w:rPr>
                <w:highlight w:val="red"/>
              </w:rPr>
            </w:pPr>
            <w:r w:rsidRPr="00B0343D">
              <w:rPr>
                <w:sz w:val="22"/>
                <w:szCs w:val="22"/>
              </w:rPr>
              <w:t>2) Latvia participates in EURO organised meetings/workshops on NCDs, including on  cervical cancer</w:t>
            </w:r>
          </w:p>
        </w:tc>
        <w:tc>
          <w:tcPr>
            <w:tcW w:w="872"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r w:rsidRPr="00B0343D">
              <w:t>X</w:t>
            </w:r>
          </w:p>
        </w:tc>
      </w:tr>
      <w:tr w:rsidR="00D55D07" w:rsidRPr="00B0343D" w:rsidTr="003E19A7">
        <w:trPr>
          <w:trHeight w:val="930"/>
        </w:trPr>
        <w:tc>
          <w:tcPr>
            <w:tcW w:w="510" w:type="dxa"/>
            <w:vMerge/>
          </w:tcPr>
          <w:p w:rsidR="00D55D07" w:rsidRPr="00B0343D" w:rsidRDefault="00D55D07" w:rsidP="004D34A6">
            <w:pPr>
              <w:spacing w:before="120" w:after="120"/>
              <w:rPr>
                <w:highlight w:val="red"/>
              </w:rPr>
            </w:pPr>
          </w:p>
        </w:tc>
        <w:tc>
          <w:tcPr>
            <w:tcW w:w="2865" w:type="dxa"/>
            <w:vMerge/>
          </w:tcPr>
          <w:p w:rsidR="00D55D07" w:rsidRPr="00B0343D" w:rsidRDefault="00D55D07" w:rsidP="004D34A6">
            <w:pPr>
              <w:spacing w:before="120" w:after="120"/>
              <w:rPr>
                <w:highlight w:val="red"/>
              </w:rPr>
            </w:pPr>
          </w:p>
        </w:tc>
        <w:tc>
          <w:tcPr>
            <w:tcW w:w="3240" w:type="dxa"/>
          </w:tcPr>
          <w:p w:rsidR="00D55D07" w:rsidRDefault="00D55D07" w:rsidP="004D34A6">
            <w:pPr>
              <w:spacing w:before="120" w:after="120"/>
            </w:pPr>
            <w:r>
              <w:rPr>
                <w:sz w:val="22"/>
                <w:szCs w:val="22"/>
              </w:rPr>
              <w:t xml:space="preserve"> </w:t>
            </w:r>
          </w:p>
          <w:p w:rsidR="00D55D07" w:rsidRDefault="00D55D07" w:rsidP="004D34A6">
            <w:pPr>
              <w:spacing w:before="120" w:after="120"/>
            </w:pPr>
            <w:r>
              <w:rPr>
                <w:sz w:val="22"/>
                <w:szCs w:val="22"/>
              </w:rPr>
              <w:t xml:space="preserve"> </w:t>
            </w:r>
          </w:p>
          <w:p w:rsidR="00D55D07" w:rsidRPr="00C9428D" w:rsidRDefault="00D55D07" w:rsidP="004D34A6">
            <w:pPr>
              <w:spacing w:before="120" w:after="120"/>
              <w:rPr>
                <w:highlight w:val="red"/>
              </w:rPr>
            </w:pPr>
            <w:r>
              <w:rPr>
                <w:sz w:val="22"/>
                <w:szCs w:val="22"/>
              </w:rPr>
              <w:t xml:space="preserve"> </w:t>
            </w:r>
          </w:p>
        </w:tc>
        <w:tc>
          <w:tcPr>
            <w:tcW w:w="872"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r>
      <w:tr w:rsidR="00D55D07" w:rsidRPr="00B0343D" w:rsidTr="003E19A7">
        <w:trPr>
          <w:trHeight w:val="930"/>
        </w:trPr>
        <w:tc>
          <w:tcPr>
            <w:tcW w:w="510" w:type="dxa"/>
          </w:tcPr>
          <w:p w:rsidR="00D55D07" w:rsidRPr="00B0343D" w:rsidRDefault="00D55D07" w:rsidP="004D34A6">
            <w:pPr>
              <w:spacing w:before="120" w:after="120"/>
            </w:pPr>
            <w:r w:rsidRPr="00B0343D">
              <w:rPr>
                <w:sz w:val="22"/>
                <w:szCs w:val="22"/>
              </w:rPr>
              <w:lastRenderedPageBreak/>
              <w:t>4</w:t>
            </w:r>
          </w:p>
        </w:tc>
        <w:tc>
          <w:tcPr>
            <w:tcW w:w="2865" w:type="dxa"/>
          </w:tcPr>
          <w:p w:rsidR="00D55D07" w:rsidRPr="000F491A" w:rsidRDefault="00D55D07" w:rsidP="00C9428D">
            <w:pPr>
              <w:rPr>
                <w:color w:val="000000"/>
              </w:rPr>
            </w:pPr>
            <w:r w:rsidRPr="00B0343D">
              <w:rPr>
                <w:sz w:val="22"/>
                <w:szCs w:val="22"/>
              </w:rPr>
              <w:t xml:space="preserve">(024) </w:t>
            </w:r>
            <w:r w:rsidRPr="002C3313">
              <w:rPr>
                <w:sz w:val="22"/>
                <w:szCs w:val="22"/>
              </w:rPr>
              <w:t>Member</w:t>
            </w:r>
            <w:r w:rsidRPr="002C3313">
              <w:rPr>
                <w:color w:val="FF0000"/>
                <w:sz w:val="22"/>
                <w:szCs w:val="22"/>
              </w:rPr>
              <w:t xml:space="preserve"> </w:t>
            </w:r>
            <w:r w:rsidRPr="000F491A">
              <w:rPr>
                <w:color w:val="000000"/>
                <w:sz w:val="22"/>
                <w:szCs w:val="22"/>
              </w:rPr>
              <w:t>States competent in developing, implementing and monitoring adolescent health programmes using a whole-of-society perspective</w:t>
            </w:r>
          </w:p>
          <w:p w:rsidR="00D55D07" w:rsidRPr="00C9428D" w:rsidRDefault="00D55D07" w:rsidP="004D34A6">
            <w:pPr>
              <w:spacing w:before="120" w:after="120"/>
            </w:pPr>
            <w:r>
              <w:rPr>
                <w:sz w:val="22"/>
                <w:szCs w:val="22"/>
              </w:rPr>
              <w:t xml:space="preserve"> </w:t>
            </w:r>
          </w:p>
          <w:p w:rsidR="00D55D07" w:rsidRPr="00B0343D" w:rsidRDefault="00D55D07" w:rsidP="004D34A6">
            <w:pPr>
              <w:spacing w:before="120" w:after="120"/>
              <w:rPr>
                <w:highlight w:val="red"/>
              </w:rPr>
            </w:pPr>
          </w:p>
        </w:tc>
        <w:tc>
          <w:tcPr>
            <w:tcW w:w="3240" w:type="dxa"/>
          </w:tcPr>
          <w:p w:rsidR="00D55D07" w:rsidRPr="00B0343D" w:rsidRDefault="00D55D07" w:rsidP="004D34A6">
            <w:pPr>
              <w:spacing w:before="120" w:after="120"/>
            </w:pPr>
            <w:r w:rsidRPr="00B0343D">
              <w:rPr>
                <w:sz w:val="22"/>
                <w:szCs w:val="22"/>
              </w:rPr>
              <w:t>1)Continued support to the Health Behaviour in School-aged Children survey international coordination</w:t>
            </w:r>
          </w:p>
        </w:tc>
        <w:tc>
          <w:tcPr>
            <w:tcW w:w="872" w:type="dxa"/>
          </w:tcPr>
          <w:p w:rsidR="00D55D07" w:rsidRPr="00B0343D" w:rsidRDefault="00D55D07" w:rsidP="004D34A6">
            <w:pPr>
              <w:spacing w:before="120" w:after="120"/>
            </w:pPr>
            <w:r w:rsidRPr="00B0343D">
              <w:t>X</w:t>
            </w: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r w:rsidRPr="00B0343D">
              <w:t>X</w:t>
            </w:r>
          </w:p>
        </w:tc>
      </w:tr>
      <w:tr w:rsidR="00D55D07" w:rsidRPr="00B0343D" w:rsidTr="003E19A7">
        <w:trPr>
          <w:trHeight w:val="930"/>
        </w:trPr>
        <w:tc>
          <w:tcPr>
            <w:tcW w:w="510" w:type="dxa"/>
            <w:vMerge w:val="restart"/>
          </w:tcPr>
          <w:p w:rsidR="00D55D07" w:rsidRPr="00B0343D" w:rsidRDefault="00D55D07" w:rsidP="004D34A6">
            <w:pPr>
              <w:spacing w:before="120" w:after="120"/>
              <w:rPr>
                <w:highlight w:val="red"/>
              </w:rPr>
            </w:pPr>
            <w:r w:rsidRPr="00B0343D">
              <w:rPr>
                <w:sz w:val="22"/>
                <w:szCs w:val="22"/>
              </w:rPr>
              <w:t>6</w:t>
            </w:r>
          </w:p>
        </w:tc>
        <w:tc>
          <w:tcPr>
            <w:tcW w:w="2865" w:type="dxa"/>
            <w:vMerge w:val="restart"/>
          </w:tcPr>
          <w:p w:rsidR="00D55D07" w:rsidRPr="00B0343D" w:rsidRDefault="00D55D07" w:rsidP="003C40FD">
            <w:pPr>
              <w:rPr>
                <w:color w:val="000000"/>
              </w:rPr>
            </w:pPr>
            <w:r w:rsidRPr="00B0343D">
              <w:rPr>
                <w:color w:val="000000"/>
                <w:sz w:val="22"/>
                <w:szCs w:val="22"/>
              </w:rPr>
              <w:t>(CNT 1009) Obesity prevention and control Action Plans, including health and physical activity developed and implemented in MS based on the European Charter to Counteract Obesity Principles</w:t>
            </w:r>
          </w:p>
          <w:p w:rsidR="00D55D07" w:rsidRPr="00B0343D" w:rsidRDefault="00D55D07" w:rsidP="004D34A6">
            <w:pPr>
              <w:spacing w:before="120" w:after="120"/>
            </w:pPr>
          </w:p>
        </w:tc>
        <w:tc>
          <w:tcPr>
            <w:tcW w:w="3240" w:type="dxa"/>
          </w:tcPr>
          <w:p w:rsidR="00D55D07" w:rsidRPr="00B0343D" w:rsidRDefault="00D55D07" w:rsidP="004D34A6">
            <w:pPr>
              <w:spacing w:before="120" w:after="120"/>
            </w:pPr>
            <w:r w:rsidRPr="00B0343D">
              <w:rPr>
                <w:sz w:val="22"/>
                <w:szCs w:val="22"/>
              </w:rPr>
              <w:t xml:space="preserve">1) National Food and Nutrition Plan revised; </w:t>
            </w:r>
          </w:p>
        </w:tc>
        <w:tc>
          <w:tcPr>
            <w:tcW w:w="872" w:type="dxa"/>
          </w:tcPr>
          <w:p w:rsidR="00D55D07" w:rsidRPr="00B0343D" w:rsidRDefault="00D55D07" w:rsidP="004D34A6">
            <w:pPr>
              <w:spacing w:before="120" w:after="120"/>
            </w:pPr>
            <w:r w:rsidRPr="00B0343D">
              <w:t>X</w:t>
            </w: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r>
      <w:tr w:rsidR="00D55D07" w:rsidRPr="00B0343D" w:rsidTr="003E19A7">
        <w:trPr>
          <w:trHeight w:val="930"/>
        </w:trPr>
        <w:tc>
          <w:tcPr>
            <w:tcW w:w="510" w:type="dxa"/>
            <w:vMerge/>
          </w:tcPr>
          <w:p w:rsidR="00D55D07" w:rsidRPr="00B0343D" w:rsidRDefault="00D55D07" w:rsidP="004D34A6">
            <w:pPr>
              <w:spacing w:before="120" w:after="120"/>
              <w:rPr>
                <w:highlight w:val="red"/>
              </w:rPr>
            </w:pPr>
          </w:p>
        </w:tc>
        <w:tc>
          <w:tcPr>
            <w:tcW w:w="2865" w:type="dxa"/>
            <w:vMerge/>
          </w:tcPr>
          <w:p w:rsidR="00D55D07" w:rsidRPr="00B0343D" w:rsidRDefault="00D55D07" w:rsidP="003C40FD">
            <w:pPr>
              <w:rPr>
                <w:color w:val="000000"/>
              </w:rPr>
            </w:pPr>
          </w:p>
        </w:tc>
        <w:tc>
          <w:tcPr>
            <w:tcW w:w="3240" w:type="dxa"/>
          </w:tcPr>
          <w:p w:rsidR="00D55D07" w:rsidRPr="00B0343D" w:rsidRDefault="00D55D07" w:rsidP="004D34A6">
            <w:pPr>
              <w:spacing w:before="120" w:after="120"/>
            </w:pPr>
            <w:r w:rsidRPr="00B0343D">
              <w:rPr>
                <w:sz w:val="22"/>
                <w:szCs w:val="22"/>
              </w:rPr>
              <w:t>2) Salt reduction strategy adopted and approved</w:t>
            </w:r>
          </w:p>
        </w:tc>
        <w:tc>
          <w:tcPr>
            <w:tcW w:w="872" w:type="dxa"/>
          </w:tcPr>
          <w:p w:rsidR="00D55D07" w:rsidRPr="00B0343D" w:rsidRDefault="00D55D07" w:rsidP="004D34A6">
            <w:pPr>
              <w:spacing w:before="120" w:after="120"/>
            </w:pPr>
            <w:r w:rsidRPr="00B0343D">
              <w:t>X</w:t>
            </w: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r>
      <w:tr w:rsidR="00D55D07" w:rsidRPr="00B0343D" w:rsidTr="003E19A7">
        <w:trPr>
          <w:trHeight w:val="930"/>
        </w:trPr>
        <w:tc>
          <w:tcPr>
            <w:tcW w:w="510" w:type="dxa"/>
            <w:vMerge/>
          </w:tcPr>
          <w:p w:rsidR="00D55D07" w:rsidRPr="00B0343D" w:rsidRDefault="00D55D07" w:rsidP="004D34A6">
            <w:pPr>
              <w:spacing w:before="120" w:after="120"/>
              <w:rPr>
                <w:highlight w:val="red"/>
              </w:rPr>
            </w:pPr>
          </w:p>
        </w:tc>
        <w:tc>
          <w:tcPr>
            <w:tcW w:w="2865" w:type="dxa"/>
            <w:vMerge/>
          </w:tcPr>
          <w:p w:rsidR="00D55D07" w:rsidRPr="00B0343D" w:rsidRDefault="00D55D07" w:rsidP="003C40FD">
            <w:pPr>
              <w:rPr>
                <w:color w:val="000000"/>
              </w:rPr>
            </w:pPr>
          </w:p>
        </w:tc>
        <w:tc>
          <w:tcPr>
            <w:tcW w:w="3240" w:type="dxa"/>
          </w:tcPr>
          <w:p w:rsidR="00D55D07" w:rsidRDefault="00D55D07" w:rsidP="00B304B6">
            <w:pPr>
              <w:autoSpaceDE w:val="0"/>
              <w:autoSpaceDN w:val="0"/>
              <w:adjustRightInd w:val="0"/>
              <w:rPr>
                <w:rFonts w:ascii="Tahoma" w:hAnsi="Tahoma" w:cs="Tahoma"/>
                <w:color w:val="0000FF"/>
                <w:sz w:val="20"/>
                <w:szCs w:val="20"/>
                <w:lang w:val="en-US" w:eastAsia="lv-LV"/>
              </w:rPr>
            </w:pPr>
            <w:r w:rsidRPr="00B0343D">
              <w:rPr>
                <w:sz w:val="22"/>
                <w:szCs w:val="22"/>
              </w:rPr>
              <w:t xml:space="preserve">3) Marketing of food </w:t>
            </w:r>
            <w:r w:rsidR="00B8653C" w:rsidRPr="00046161">
              <w:rPr>
                <w:sz w:val="22"/>
                <w:szCs w:val="22"/>
              </w:rPr>
              <w:t xml:space="preserve">HFSS </w:t>
            </w:r>
            <w:r w:rsidRPr="00046161">
              <w:rPr>
                <w:sz w:val="22"/>
                <w:szCs w:val="22"/>
              </w:rPr>
              <w:t>(foods high in fat, sugar or salt)</w:t>
            </w:r>
          </w:p>
          <w:p w:rsidR="00D55D07" w:rsidRPr="00B0343D" w:rsidRDefault="00D55D07" w:rsidP="004D34A6">
            <w:pPr>
              <w:spacing w:before="120" w:after="120"/>
            </w:pPr>
            <w:r>
              <w:rPr>
                <w:sz w:val="22"/>
                <w:szCs w:val="22"/>
              </w:rPr>
              <w:t xml:space="preserve"> </w:t>
            </w:r>
            <w:r w:rsidRPr="00B0343D">
              <w:rPr>
                <w:sz w:val="22"/>
                <w:szCs w:val="22"/>
              </w:rPr>
              <w:t>to children policy adopted.</w:t>
            </w:r>
          </w:p>
        </w:tc>
        <w:tc>
          <w:tcPr>
            <w:tcW w:w="872" w:type="dxa"/>
          </w:tcPr>
          <w:p w:rsidR="00D55D07" w:rsidRPr="00B0343D" w:rsidRDefault="00D55D07" w:rsidP="004D34A6">
            <w:pPr>
              <w:spacing w:before="120" w:after="120"/>
            </w:pPr>
            <w:r w:rsidRPr="00B0343D">
              <w:t>X</w:t>
            </w: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r>
      <w:tr w:rsidR="00D55D07" w:rsidRPr="00B0343D" w:rsidTr="003E19A7">
        <w:trPr>
          <w:trHeight w:val="930"/>
        </w:trPr>
        <w:tc>
          <w:tcPr>
            <w:tcW w:w="510" w:type="dxa"/>
            <w:vMerge w:val="restart"/>
          </w:tcPr>
          <w:p w:rsidR="00D55D07" w:rsidRPr="00B0343D" w:rsidRDefault="00D55D07" w:rsidP="004D34A6">
            <w:pPr>
              <w:spacing w:before="120" w:after="120"/>
              <w:rPr>
                <w:highlight w:val="red"/>
              </w:rPr>
            </w:pPr>
            <w:r w:rsidRPr="00B0343D">
              <w:rPr>
                <w:sz w:val="22"/>
                <w:szCs w:val="22"/>
              </w:rPr>
              <w:t>6</w:t>
            </w:r>
          </w:p>
        </w:tc>
        <w:tc>
          <w:tcPr>
            <w:tcW w:w="2865" w:type="dxa"/>
            <w:vMerge w:val="restart"/>
          </w:tcPr>
          <w:p w:rsidR="00D55D07" w:rsidRDefault="00D55D07" w:rsidP="003C40FD">
            <w:pPr>
              <w:rPr>
                <w:color w:val="000000"/>
              </w:rPr>
            </w:pPr>
            <w:r w:rsidRPr="00B0343D">
              <w:rPr>
                <w:color w:val="000000"/>
                <w:sz w:val="22"/>
                <w:szCs w:val="22"/>
              </w:rPr>
              <w:t>(39r)</w:t>
            </w:r>
          </w:p>
          <w:p w:rsidR="00D55D07" w:rsidRPr="000F491A" w:rsidRDefault="00D55D07" w:rsidP="007E0EF3">
            <w:pPr>
              <w:rPr>
                <w:color w:val="000000"/>
              </w:rPr>
            </w:pPr>
            <w:r w:rsidRPr="000F491A">
              <w:rPr>
                <w:color w:val="000000"/>
                <w:sz w:val="22"/>
                <w:szCs w:val="22"/>
              </w:rPr>
              <w:t>Member States have established or strengthened National surveillance systems of tobacco consumption and exposure to tobacco smoke built on sustainability, standardization and comparability across countries and use data for policy making in line with the WHO FCTC</w:t>
            </w:r>
          </w:p>
          <w:p w:rsidR="00D55D07" w:rsidRPr="00B0343D" w:rsidRDefault="00D55D07" w:rsidP="003C40FD">
            <w:pPr>
              <w:rPr>
                <w:color w:val="000000"/>
              </w:rPr>
            </w:pPr>
          </w:p>
        </w:tc>
        <w:tc>
          <w:tcPr>
            <w:tcW w:w="3240" w:type="dxa"/>
          </w:tcPr>
          <w:p w:rsidR="00D55D07" w:rsidRPr="00B0343D" w:rsidRDefault="00D55D07" w:rsidP="004D34A6">
            <w:pPr>
              <w:spacing w:before="120" w:after="120"/>
            </w:pPr>
            <w:r w:rsidRPr="00B0343D">
              <w:rPr>
                <w:sz w:val="22"/>
                <w:szCs w:val="22"/>
              </w:rPr>
              <w:t xml:space="preserve">1) Capacity building and technical assistance to implement youth surveys in countries </w:t>
            </w:r>
          </w:p>
        </w:tc>
        <w:tc>
          <w:tcPr>
            <w:tcW w:w="872" w:type="dxa"/>
          </w:tcPr>
          <w:p w:rsidR="00D55D07" w:rsidRPr="00B0343D" w:rsidRDefault="00D55D07" w:rsidP="004D34A6">
            <w:pPr>
              <w:spacing w:before="120" w:after="120"/>
            </w:pPr>
            <w:r w:rsidRPr="00B0343D">
              <w:t>X</w:t>
            </w: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r>
      <w:tr w:rsidR="00D55D07" w:rsidRPr="00B0343D" w:rsidTr="003E19A7">
        <w:trPr>
          <w:trHeight w:val="930"/>
        </w:trPr>
        <w:tc>
          <w:tcPr>
            <w:tcW w:w="510" w:type="dxa"/>
            <w:vMerge/>
          </w:tcPr>
          <w:p w:rsidR="00D55D07" w:rsidRPr="00B0343D" w:rsidRDefault="00D55D07" w:rsidP="004D34A6">
            <w:pPr>
              <w:spacing w:before="120" w:after="120"/>
              <w:rPr>
                <w:highlight w:val="red"/>
              </w:rPr>
            </w:pPr>
          </w:p>
        </w:tc>
        <w:tc>
          <w:tcPr>
            <w:tcW w:w="2865" w:type="dxa"/>
            <w:vMerge/>
          </w:tcPr>
          <w:p w:rsidR="00D55D07" w:rsidRPr="00B0343D" w:rsidRDefault="00D55D07" w:rsidP="003C40FD">
            <w:pPr>
              <w:rPr>
                <w:color w:val="000000"/>
              </w:rPr>
            </w:pPr>
          </w:p>
        </w:tc>
        <w:tc>
          <w:tcPr>
            <w:tcW w:w="3240" w:type="dxa"/>
          </w:tcPr>
          <w:p w:rsidR="00D55D07" w:rsidRPr="00B0343D" w:rsidRDefault="00D55D07" w:rsidP="004D34A6">
            <w:pPr>
              <w:spacing w:before="120" w:after="120"/>
            </w:pPr>
            <w:r w:rsidRPr="00B0343D">
              <w:rPr>
                <w:sz w:val="22"/>
                <w:szCs w:val="22"/>
              </w:rPr>
              <w:t>2) Capacity building and technical assistance to use survey data for sound and evidence based policy making in line with WHO FCTC and its guidelines</w:t>
            </w:r>
          </w:p>
        </w:tc>
        <w:tc>
          <w:tcPr>
            <w:tcW w:w="872" w:type="dxa"/>
          </w:tcPr>
          <w:p w:rsidR="00D55D07" w:rsidRPr="00B0343D" w:rsidRDefault="00D55D07" w:rsidP="004D34A6">
            <w:pPr>
              <w:spacing w:before="120" w:after="120"/>
            </w:pPr>
            <w:r w:rsidRPr="00B0343D">
              <w:t>X</w:t>
            </w: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r>
      <w:tr w:rsidR="00D55D07" w:rsidRPr="00B0343D" w:rsidTr="003E19A7">
        <w:trPr>
          <w:trHeight w:val="930"/>
        </w:trPr>
        <w:tc>
          <w:tcPr>
            <w:tcW w:w="510" w:type="dxa"/>
          </w:tcPr>
          <w:p w:rsidR="00D55D07" w:rsidRPr="00B0343D" w:rsidRDefault="00D55D07" w:rsidP="004D34A6">
            <w:pPr>
              <w:spacing w:before="120" w:after="120"/>
              <w:rPr>
                <w:highlight w:val="red"/>
              </w:rPr>
            </w:pPr>
            <w:r w:rsidRPr="00B0343D">
              <w:rPr>
                <w:sz w:val="22"/>
                <w:szCs w:val="22"/>
              </w:rPr>
              <w:t>6</w:t>
            </w:r>
          </w:p>
        </w:tc>
        <w:tc>
          <w:tcPr>
            <w:tcW w:w="2865" w:type="dxa"/>
          </w:tcPr>
          <w:p w:rsidR="00D55D07" w:rsidRPr="000F491A" w:rsidRDefault="00D55D07" w:rsidP="003C40FD">
            <w:pPr>
              <w:rPr>
                <w:color w:val="000000"/>
              </w:rPr>
            </w:pPr>
            <w:r w:rsidRPr="000F491A">
              <w:rPr>
                <w:color w:val="000000"/>
                <w:sz w:val="22"/>
                <w:szCs w:val="22"/>
              </w:rPr>
              <w:t xml:space="preserve">(39i)  </w:t>
            </w:r>
          </w:p>
          <w:p w:rsidR="00D55D07" w:rsidRPr="000F491A" w:rsidRDefault="00D55D07" w:rsidP="007E0EF3">
            <w:pPr>
              <w:rPr>
                <w:color w:val="000000"/>
              </w:rPr>
            </w:pPr>
            <w:r w:rsidRPr="000F491A">
              <w:rPr>
                <w:color w:val="000000"/>
                <w:sz w:val="22"/>
                <w:szCs w:val="22"/>
              </w:rPr>
              <w:t>Member States have implemented comprehensive health interventions within their prison system.</w:t>
            </w:r>
          </w:p>
          <w:p w:rsidR="00D55D07" w:rsidRPr="000F491A" w:rsidRDefault="00D55D07" w:rsidP="003C40FD">
            <w:pPr>
              <w:rPr>
                <w:color w:val="000000"/>
              </w:rPr>
            </w:pPr>
          </w:p>
          <w:p w:rsidR="00D55D07" w:rsidRPr="000F491A" w:rsidRDefault="00D55D07" w:rsidP="003C40FD">
            <w:pPr>
              <w:rPr>
                <w:color w:val="000000"/>
              </w:rPr>
            </w:pPr>
          </w:p>
        </w:tc>
        <w:tc>
          <w:tcPr>
            <w:tcW w:w="3240" w:type="dxa"/>
          </w:tcPr>
          <w:p w:rsidR="00D55D07" w:rsidRPr="00B0343D" w:rsidRDefault="00D55D07" w:rsidP="004D34A6">
            <w:pPr>
              <w:spacing w:before="120" w:after="120"/>
            </w:pPr>
            <w:r w:rsidRPr="00B0343D">
              <w:rPr>
                <w:sz w:val="22"/>
                <w:szCs w:val="22"/>
              </w:rPr>
              <w:t>1) to provide technical support to MoH (report with recommendations; strengthening of inter-sectorial approaches, especially links with MoJ; stakeholders meeting)for integration of the prisons health system into public health system</w:t>
            </w:r>
          </w:p>
        </w:tc>
        <w:tc>
          <w:tcPr>
            <w:tcW w:w="872" w:type="dxa"/>
          </w:tcPr>
          <w:p w:rsidR="00D55D07" w:rsidRPr="00B0343D" w:rsidRDefault="00D55D07" w:rsidP="004D34A6">
            <w:pPr>
              <w:spacing w:before="120" w:after="120"/>
            </w:pPr>
            <w:r w:rsidRPr="00B0343D">
              <w:t>X</w:t>
            </w: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r>
      <w:tr w:rsidR="00D55D07" w:rsidRPr="00B0343D" w:rsidTr="003E19A7">
        <w:trPr>
          <w:trHeight w:val="930"/>
        </w:trPr>
        <w:tc>
          <w:tcPr>
            <w:tcW w:w="510" w:type="dxa"/>
            <w:vMerge w:val="restart"/>
          </w:tcPr>
          <w:p w:rsidR="00D55D07" w:rsidRPr="00B0343D" w:rsidRDefault="00D55D07" w:rsidP="004D34A6">
            <w:pPr>
              <w:spacing w:before="120" w:after="120"/>
              <w:rPr>
                <w:highlight w:val="red"/>
              </w:rPr>
            </w:pPr>
            <w:r w:rsidRPr="00B0343D">
              <w:rPr>
                <w:sz w:val="22"/>
                <w:szCs w:val="22"/>
              </w:rPr>
              <w:t>6</w:t>
            </w:r>
          </w:p>
        </w:tc>
        <w:tc>
          <w:tcPr>
            <w:tcW w:w="2865" w:type="dxa"/>
            <w:vMerge w:val="restart"/>
          </w:tcPr>
          <w:p w:rsidR="00D55D07" w:rsidRPr="000F491A" w:rsidRDefault="00D55D07" w:rsidP="003C40FD">
            <w:pPr>
              <w:rPr>
                <w:color w:val="000000"/>
              </w:rPr>
            </w:pPr>
            <w:r w:rsidRPr="000F491A">
              <w:rPr>
                <w:color w:val="000000"/>
                <w:sz w:val="22"/>
                <w:szCs w:val="22"/>
              </w:rPr>
              <w:t xml:space="preserve">CNT 1008)  </w:t>
            </w:r>
          </w:p>
          <w:p w:rsidR="00D55D07" w:rsidRPr="000F491A" w:rsidRDefault="00D55D07" w:rsidP="007E0EF3">
            <w:pPr>
              <w:rPr>
                <w:color w:val="000000"/>
              </w:rPr>
            </w:pPr>
            <w:r w:rsidRPr="000F491A">
              <w:rPr>
                <w:color w:val="000000"/>
                <w:sz w:val="22"/>
                <w:szCs w:val="22"/>
              </w:rPr>
              <w:t xml:space="preserve">Member States have strengthened their national programmes to reduce the harmful use of alcohol in line </w:t>
            </w:r>
            <w:r w:rsidRPr="000F491A">
              <w:rPr>
                <w:color w:val="000000"/>
                <w:sz w:val="22"/>
                <w:szCs w:val="22"/>
              </w:rPr>
              <w:lastRenderedPageBreak/>
              <w:t xml:space="preserve">with European Alcohol Action Plan 2012-2020 </w:t>
            </w:r>
          </w:p>
          <w:p w:rsidR="00D55D07" w:rsidRPr="000F491A" w:rsidRDefault="00D55D07" w:rsidP="003C40FD">
            <w:pPr>
              <w:rPr>
                <w:color w:val="000000"/>
              </w:rPr>
            </w:pPr>
          </w:p>
        </w:tc>
        <w:tc>
          <w:tcPr>
            <w:tcW w:w="3240" w:type="dxa"/>
          </w:tcPr>
          <w:p w:rsidR="00D55D07" w:rsidRPr="00B0343D" w:rsidRDefault="00D55D07" w:rsidP="004D34A6">
            <w:pPr>
              <w:spacing w:before="120" w:after="120"/>
            </w:pPr>
            <w:r w:rsidRPr="00B0343D">
              <w:rPr>
                <w:sz w:val="22"/>
                <w:szCs w:val="22"/>
              </w:rPr>
              <w:lastRenderedPageBreak/>
              <w:t xml:space="preserve">1) Collect data on alcohol consumption, harm and responses for use in the European Information System for Alcohol and Health and participate in </w:t>
            </w:r>
            <w:r w:rsidRPr="00B0343D">
              <w:rPr>
                <w:sz w:val="22"/>
                <w:szCs w:val="22"/>
              </w:rPr>
              <w:lastRenderedPageBreak/>
              <w:t xml:space="preserve">yearly meetings. Provide data for the European Information System for Alcohol and Health. </w:t>
            </w:r>
          </w:p>
        </w:tc>
        <w:tc>
          <w:tcPr>
            <w:tcW w:w="872" w:type="dxa"/>
          </w:tcPr>
          <w:p w:rsidR="00D55D07" w:rsidRPr="00B0343D" w:rsidRDefault="00D55D07" w:rsidP="004D34A6">
            <w:pPr>
              <w:spacing w:before="120" w:after="120"/>
            </w:pPr>
            <w:r w:rsidRPr="00B0343D">
              <w:lastRenderedPageBreak/>
              <w:t>X</w:t>
            </w: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r>
      <w:tr w:rsidR="00D55D07" w:rsidRPr="00B0343D" w:rsidTr="003E19A7">
        <w:trPr>
          <w:trHeight w:val="930"/>
        </w:trPr>
        <w:tc>
          <w:tcPr>
            <w:tcW w:w="510" w:type="dxa"/>
            <w:vMerge/>
          </w:tcPr>
          <w:p w:rsidR="00D55D07" w:rsidRPr="00B0343D" w:rsidRDefault="00D55D07" w:rsidP="004D34A6">
            <w:pPr>
              <w:spacing w:before="120" w:after="120"/>
              <w:rPr>
                <w:highlight w:val="red"/>
              </w:rPr>
            </w:pPr>
          </w:p>
        </w:tc>
        <w:tc>
          <w:tcPr>
            <w:tcW w:w="2865" w:type="dxa"/>
            <w:vMerge/>
          </w:tcPr>
          <w:p w:rsidR="00D55D07" w:rsidRPr="00B0343D" w:rsidRDefault="00D55D07" w:rsidP="003C40FD">
            <w:pPr>
              <w:rPr>
                <w:color w:val="000000"/>
              </w:rPr>
            </w:pPr>
          </w:p>
        </w:tc>
        <w:tc>
          <w:tcPr>
            <w:tcW w:w="3240" w:type="dxa"/>
          </w:tcPr>
          <w:p w:rsidR="00D55D07" w:rsidRPr="00B0343D" w:rsidRDefault="00D55D07" w:rsidP="004D34A6">
            <w:pPr>
              <w:spacing w:before="120" w:after="120"/>
            </w:pPr>
            <w:r w:rsidRPr="00B0343D">
              <w:rPr>
                <w:sz w:val="22"/>
                <w:szCs w:val="22"/>
              </w:rPr>
              <w:t>2) Assessment of alcohol consumption, related harm and policy responses</w:t>
            </w:r>
          </w:p>
        </w:tc>
        <w:tc>
          <w:tcPr>
            <w:tcW w:w="872" w:type="dxa"/>
          </w:tcPr>
          <w:p w:rsidR="00D55D07" w:rsidRPr="00B0343D" w:rsidRDefault="00D55D07" w:rsidP="004D34A6">
            <w:pPr>
              <w:spacing w:before="120" w:after="120"/>
            </w:pPr>
            <w:r w:rsidRPr="00B0343D">
              <w:t>X</w:t>
            </w: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p>
        </w:tc>
      </w:tr>
      <w:tr w:rsidR="00D55D07" w:rsidRPr="00B0343D" w:rsidTr="003E19A7">
        <w:trPr>
          <w:trHeight w:val="930"/>
        </w:trPr>
        <w:tc>
          <w:tcPr>
            <w:tcW w:w="510" w:type="dxa"/>
            <w:vMerge/>
          </w:tcPr>
          <w:p w:rsidR="00D55D07" w:rsidRPr="00B0343D" w:rsidRDefault="00D55D07" w:rsidP="004D34A6">
            <w:pPr>
              <w:spacing w:before="120" w:after="120"/>
              <w:rPr>
                <w:highlight w:val="red"/>
              </w:rPr>
            </w:pPr>
          </w:p>
        </w:tc>
        <w:tc>
          <w:tcPr>
            <w:tcW w:w="2865" w:type="dxa"/>
            <w:vMerge/>
          </w:tcPr>
          <w:p w:rsidR="00D55D07" w:rsidRPr="00B0343D" w:rsidRDefault="00D55D07" w:rsidP="003C40FD">
            <w:pPr>
              <w:rPr>
                <w:color w:val="000000"/>
              </w:rPr>
            </w:pPr>
          </w:p>
        </w:tc>
        <w:tc>
          <w:tcPr>
            <w:tcW w:w="3240" w:type="dxa"/>
          </w:tcPr>
          <w:p w:rsidR="00D55D07" w:rsidRPr="00B0343D" w:rsidRDefault="00D55D07" w:rsidP="004D34A6">
            <w:pPr>
              <w:spacing w:before="120" w:after="120"/>
            </w:pPr>
            <w:r w:rsidRPr="00B0343D">
              <w:rPr>
                <w:sz w:val="22"/>
                <w:szCs w:val="22"/>
              </w:rPr>
              <w:t>3) Guidance on development of national alcohol action plan by using the European Action Plan to reduce the harmful use of alcohol</w:t>
            </w:r>
          </w:p>
        </w:tc>
        <w:tc>
          <w:tcPr>
            <w:tcW w:w="872" w:type="dxa"/>
          </w:tcPr>
          <w:p w:rsidR="00D55D07" w:rsidRPr="00B0343D" w:rsidRDefault="00D55D07" w:rsidP="004D34A6">
            <w:pPr>
              <w:spacing w:before="120" w:after="120"/>
            </w:pPr>
            <w:r w:rsidRPr="00B0343D">
              <w:t>X</w:t>
            </w: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r w:rsidRPr="00B0343D">
              <w:t>X</w:t>
            </w:r>
          </w:p>
        </w:tc>
      </w:tr>
      <w:tr w:rsidR="00D55D07" w:rsidRPr="00B0343D" w:rsidTr="003E19A7">
        <w:trPr>
          <w:trHeight w:val="930"/>
        </w:trPr>
        <w:tc>
          <w:tcPr>
            <w:tcW w:w="510" w:type="dxa"/>
            <w:vMerge/>
          </w:tcPr>
          <w:p w:rsidR="00D55D07" w:rsidRPr="00B0343D" w:rsidRDefault="00D55D07" w:rsidP="004D34A6">
            <w:pPr>
              <w:spacing w:before="120" w:after="120"/>
              <w:rPr>
                <w:highlight w:val="red"/>
              </w:rPr>
            </w:pPr>
          </w:p>
        </w:tc>
        <w:tc>
          <w:tcPr>
            <w:tcW w:w="2865" w:type="dxa"/>
            <w:vMerge/>
          </w:tcPr>
          <w:p w:rsidR="00D55D07" w:rsidRPr="00B0343D" w:rsidRDefault="00D55D07" w:rsidP="003C40FD">
            <w:pPr>
              <w:rPr>
                <w:color w:val="000000"/>
              </w:rPr>
            </w:pPr>
          </w:p>
        </w:tc>
        <w:tc>
          <w:tcPr>
            <w:tcW w:w="3240" w:type="dxa"/>
          </w:tcPr>
          <w:p w:rsidR="00D55D07" w:rsidRPr="00B0343D" w:rsidRDefault="00D55D07" w:rsidP="004D34A6">
            <w:pPr>
              <w:spacing w:before="120" w:after="120"/>
            </w:pPr>
            <w:r w:rsidRPr="00B0343D">
              <w:rPr>
                <w:sz w:val="22"/>
                <w:szCs w:val="22"/>
              </w:rPr>
              <w:t>4) Exchange of best practice on alcohol prevention and participate in meeting for national counterparts for alcohol policy.</w:t>
            </w:r>
          </w:p>
        </w:tc>
        <w:tc>
          <w:tcPr>
            <w:tcW w:w="872" w:type="dxa"/>
          </w:tcPr>
          <w:p w:rsidR="00D55D07" w:rsidRPr="00B0343D" w:rsidRDefault="00D55D07" w:rsidP="004D34A6">
            <w:pPr>
              <w:spacing w:before="120" w:after="120"/>
            </w:pPr>
            <w:r w:rsidRPr="00B0343D">
              <w:t>X</w:t>
            </w:r>
          </w:p>
        </w:tc>
        <w:tc>
          <w:tcPr>
            <w:tcW w:w="827" w:type="dxa"/>
          </w:tcPr>
          <w:p w:rsidR="00D55D07" w:rsidRPr="00B0343D" w:rsidRDefault="00D55D07" w:rsidP="004D34A6">
            <w:pPr>
              <w:spacing w:before="120" w:after="120"/>
            </w:pPr>
          </w:p>
        </w:tc>
        <w:tc>
          <w:tcPr>
            <w:tcW w:w="827" w:type="dxa"/>
          </w:tcPr>
          <w:p w:rsidR="00D55D07" w:rsidRPr="00B0343D" w:rsidRDefault="00D55D07" w:rsidP="004D34A6">
            <w:pPr>
              <w:spacing w:before="120" w:after="120"/>
            </w:pPr>
            <w:r w:rsidRPr="00B0343D">
              <w:t>X</w:t>
            </w:r>
          </w:p>
        </w:tc>
      </w:tr>
      <w:tr w:rsidR="00D55D07" w:rsidRPr="00B0343D" w:rsidTr="003E19A7">
        <w:trPr>
          <w:trHeight w:val="930"/>
        </w:trPr>
        <w:tc>
          <w:tcPr>
            <w:tcW w:w="510" w:type="dxa"/>
          </w:tcPr>
          <w:p w:rsidR="00D55D07" w:rsidRPr="00B0343D" w:rsidRDefault="00D55D07" w:rsidP="004D34A6">
            <w:pPr>
              <w:spacing w:before="120" w:after="120"/>
              <w:rPr>
                <w:highlight w:val="red"/>
              </w:rPr>
            </w:pPr>
            <w:r w:rsidRPr="002C3313">
              <w:t>6</w:t>
            </w:r>
          </w:p>
        </w:tc>
        <w:tc>
          <w:tcPr>
            <w:tcW w:w="2865" w:type="dxa"/>
          </w:tcPr>
          <w:p w:rsidR="00D55D07" w:rsidRPr="000F491A" w:rsidRDefault="00D55D07" w:rsidP="00290E31">
            <w:pPr>
              <w:rPr>
                <w:color w:val="000000"/>
              </w:rPr>
            </w:pPr>
            <w:r w:rsidRPr="000F491A">
              <w:rPr>
                <w:color w:val="000000"/>
                <w:sz w:val="22"/>
                <w:szCs w:val="22"/>
              </w:rPr>
              <w:t>Multisectoral health and wellbeing strategies and plans developed and capacity for health promotion and health equity strengthened at the local level in Member States in line with Health 2020 principles and approaches. Completion of Phase V of the Healthy Cities Programme.</w:t>
            </w:r>
          </w:p>
          <w:p w:rsidR="00D55D07" w:rsidRPr="00B0343D" w:rsidRDefault="00D55D07" w:rsidP="003C40FD">
            <w:pPr>
              <w:rPr>
                <w:color w:val="000000"/>
              </w:rPr>
            </w:pPr>
          </w:p>
        </w:tc>
        <w:tc>
          <w:tcPr>
            <w:tcW w:w="3240" w:type="dxa"/>
          </w:tcPr>
          <w:p w:rsidR="00D55D07" w:rsidRDefault="00D55D07" w:rsidP="004D34A6">
            <w:pPr>
              <w:spacing w:before="120" w:after="120"/>
            </w:pPr>
            <w:r w:rsidRPr="00290E31">
              <w:rPr>
                <w:sz w:val="22"/>
                <w:szCs w:val="22"/>
              </w:rPr>
              <w:t xml:space="preserve">1) Development of guidance and tools on local/urban health leadership, health literacy, equity, healthy ageing and healthy urban planning; </w:t>
            </w:r>
          </w:p>
          <w:p w:rsidR="00D55D07" w:rsidRDefault="00D55D07" w:rsidP="004D34A6">
            <w:pPr>
              <w:spacing w:before="120" w:after="120"/>
            </w:pPr>
            <w:r w:rsidRPr="00290E31">
              <w:rPr>
                <w:sz w:val="22"/>
                <w:szCs w:val="22"/>
              </w:rPr>
              <w:t>2)Ensuring local governments input in the development of Health 2020;</w:t>
            </w:r>
          </w:p>
          <w:p w:rsidR="00D55D07" w:rsidRDefault="00D55D07" w:rsidP="004D34A6">
            <w:pPr>
              <w:spacing w:before="120" w:after="120"/>
            </w:pPr>
            <w:r w:rsidRPr="00290E31">
              <w:rPr>
                <w:sz w:val="22"/>
                <w:szCs w:val="22"/>
              </w:rPr>
              <w:t xml:space="preserve">3) Strategic management and leadership of WHO healthy cities networks and organizing annual Healthy cities conference; </w:t>
            </w:r>
          </w:p>
          <w:p w:rsidR="00D55D07" w:rsidRDefault="00D55D07" w:rsidP="004D34A6">
            <w:pPr>
              <w:spacing w:before="120" w:after="120"/>
            </w:pPr>
            <w:r w:rsidRPr="00290E31">
              <w:rPr>
                <w:sz w:val="22"/>
                <w:szCs w:val="22"/>
              </w:rPr>
              <w:t xml:space="preserve">4) Expanding healthy cities in countries of the Region that are not currently involved members of the network; </w:t>
            </w:r>
          </w:p>
          <w:p w:rsidR="00D55D07" w:rsidRPr="00290E31" w:rsidRDefault="00D55D07" w:rsidP="004D34A6">
            <w:pPr>
              <w:spacing w:before="120" w:after="120"/>
            </w:pPr>
            <w:r>
              <w:rPr>
                <w:sz w:val="22"/>
                <w:szCs w:val="22"/>
              </w:rPr>
              <w:t xml:space="preserve"> 5</w:t>
            </w:r>
            <w:r w:rsidRPr="00290E31">
              <w:rPr>
                <w:sz w:val="22"/>
                <w:szCs w:val="22"/>
              </w:rPr>
              <w:t>) Participation and support of 2012 WHD European and global activities</w:t>
            </w:r>
          </w:p>
        </w:tc>
        <w:tc>
          <w:tcPr>
            <w:tcW w:w="872" w:type="dxa"/>
          </w:tcPr>
          <w:p w:rsidR="00D55D07" w:rsidRDefault="00D55D07" w:rsidP="004D34A6">
            <w:pPr>
              <w:spacing w:before="120" w:after="120"/>
            </w:pPr>
            <w:r>
              <w:t>X</w:t>
            </w:r>
          </w:p>
          <w:p w:rsidR="00D55D07" w:rsidRDefault="00D55D07" w:rsidP="00A40F33"/>
          <w:p w:rsidR="00D55D07" w:rsidRPr="00A40F33" w:rsidRDefault="00D55D07" w:rsidP="00A40F33"/>
          <w:p w:rsidR="00D55D07" w:rsidRPr="00A40F33" w:rsidRDefault="00D55D07" w:rsidP="00A40F33"/>
          <w:p w:rsidR="00D55D07" w:rsidRPr="00A40F33" w:rsidRDefault="00D55D07" w:rsidP="00A40F33"/>
          <w:p w:rsidR="00D55D07" w:rsidRPr="00A40F33" w:rsidRDefault="00D55D07" w:rsidP="00A40F33"/>
          <w:p w:rsidR="00D55D07" w:rsidRPr="00A40F33" w:rsidRDefault="00D55D07" w:rsidP="00A40F33"/>
          <w:p w:rsidR="00D55D07" w:rsidRPr="00A40F33" w:rsidRDefault="00D55D07" w:rsidP="00A40F33"/>
          <w:p w:rsidR="00D55D07" w:rsidRPr="00A40F33" w:rsidRDefault="00D55D07" w:rsidP="00A40F33"/>
          <w:p w:rsidR="00D55D07" w:rsidRPr="00A40F33" w:rsidRDefault="00D55D07" w:rsidP="00A40F33"/>
          <w:p w:rsidR="00D55D07" w:rsidRPr="00A40F33" w:rsidRDefault="00D55D07" w:rsidP="00A40F33"/>
          <w:p w:rsidR="00D55D07" w:rsidRPr="00A40F33" w:rsidRDefault="00D55D07" w:rsidP="00A40F33"/>
          <w:p w:rsidR="00D55D07" w:rsidRDefault="00D55D07" w:rsidP="00A40F33">
            <w:r>
              <w:t>X</w:t>
            </w:r>
          </w:p>
          <w:p w:rsidR="00D55D07" w:rsidRPr="00A40F33" w:rsidRDefault="00D55D07" w:rsidP="00A40F33"/>
          <w:p w:rsidR="00D55D07" w:rsidRPr="00A40F33" w:rsidRDefault="00D55D07" w:rsidP="00A40F33"/>
          <w:p w:rsidR="00D55D07" w:rsidRPr="00A40F33" w:rsidRDefault="00D55D07" w:rsidP="00A40F33"/>
          <w:p w:rsidR="00D55D07" w:rsidRPr="00A40F33" w:rsidRDefault="00D55D07" w:rsidP="00A40F33"/>
          <w:p w:rsidR="00D55D07" w:rsidRDefault="00D55D07" w:rsidP="00290E31">
            <w:r>
              <w:t>X</w:t>
            </w:r>
          </w:p>
          <w:p w:rsidR="00D55D07" w:rsidRPr="00290E31" w:rsidRDefault="00D55D07" w:rsidP="00290E31"/>
          <w:p w:rsidR="00D55D07" w:rsidRDefault="00D55D07" w:rsidP="00290E31"/>
          <w:p w:rsidR="00D55D07" w:rsidRDefault="00D55D07" w:rsidP="00A40F33"/>
        </w:tc>
        <w:tc>
          <w:tcPr>
            <w:tcW w:w="827" w:type="dxa"/>
          </w:tcPr>
          <w:p w:rsidR="00D55D07" w:rsidRDefault="00D55D07" w:rsidP="004D34A6">
            <w:pPr>
              <w:spacing w:before="120" w:after="120"/>
            </w:pPr>
            <w:r>
              <w:t>X</w:t>
            </w:r>
          </w:p>
          <w:p w:rsidR="00D55D07" w:rsidRDefault="00D55D07" w:rsidP="004D34A6">
            <w:pPr>
              <w:spacing w:before="120" w:after="120"/>
            </w:pPr>
          </w:p>
          <w:p w:rsidR="00D55D07" w:rsidRDefault="00D55D07" w:rsidP="004D34A6">
            <w:pPr>
              <w:spacing w:before="120" w:after="120"/>
            </w:pPr>
          </w:p>
          <w:p w:rsidR="00D55D07" w:rsidRDefault="00D55D07" w:rsidP="004D34A6">
            <w:pPr>
              <w:spacing w:before="120" w:after="120"/>
            </w:pPr>
          </w:p>
          <w:p w:rsidR="00D55D07" w:rsidRDefault="00D55D07" w:rsidP="004D34A6">
            <w:pPr>
              <w:spacing w:before="120" w:after="120"/>
            </w:pPr>
            <w:r>
              <w:t>X</w:t>
            </w:r>
          </w:p>
          <w:p w:rsidR="00D55D07" w:rsidRDefault="00D55D07" w:rsidP="004D34A6">
            <w:pPr>
              <w:spacing w:before="120" w:after="120"/>
            </w:pPr>
          </w:p>
          <w:p w:rsidR="00D55D07" w:rsidRDefault="00D55D07" w:rsidP="004D34A6">
            <w:pPr>
              <w:spacing w:before="120" w:after="120"/>
            </w:pPr>
            <w:r>
              <w:t>X</w:t>
            </w:r>
          </w:p>
          <w:p w:rsidR="00D55D07" w:rsidRDefault="00D55D07" w:rsidP="004D34A6">
            <w:pPr>
              <w:spacing w:before="120" w:after="120"/>
            </w:pPr>
          </w:p>
          <w:p w:rsidR="00D55D07" w:rsidRDefault="00D55D07" w:rsidP="004D34A6">
            <w:pPr>
              <w:spacing w:before="120" w:after="120"/>
            </w:pPr>
          </w:p>
          <w:p w:rsidR="00D55D07" w:rsidRPr="00B0343D" w:rsidRDefault="00D55D07" w:rsidP="004D34A6">
            <w:pPr>
              <w:spacing w:before="120" w:after="120"/>
            </w:pPr>
            <w:r>
              <w:t>X</w:t>
            </w:r>
          </w:p>
        </w:tc>
        <w:tc>
          <w:tcPr>
            <w:tcW w:w="827" w:type="dxa"/>
          </w:tcPr>
          <w:p w:rsidR="00D55D07" w:rsidRPr="00B0343D" w:rsidRDefault="00D55D07" w:rsidP="004D34A6">
            <w:pPr>
              <w:spacing w:before="120" w:after="120"/>
            </w:pPr>
          </w:p>
        </w:tc>
      </w:tr>
    </w:tbl>
    <w:p w:rsidR="00D55D07" w:rsidRPr="00B0343D" w:rsidRDefault="00D55D07" w:rsidP="00342D53">
      <w:pPr>
        <w:rPr>
          <w:b/>
        </w:rPr>
      </w:pPr>
    </w:p>
    <w:p w:rsidR="00D55D07" w:rsidRPr="00B0343D" w:rsidRDefault="00D55D07" w:rsidP="00342D53">
      <w:pPr>
        <w:rPr>
          <w:b/>
        </w:rPr>
      </w:pPr>
      <w:r>
        <w:rPr>
          <w:b/>
        </w:rPr>
        <w:br w:type="page"/>
      </w:r>
    </w:p>
    <w:p w:rsidR="00D55D07" w:rsidRPr="00B0343D" w:rsidRDefault="00D55D07" w:rsidP="00342D53">
      <w:pPr>
        <w:pStyle w:val="ListParagraph"/>
        <w:ind w:left="0"/>
        <w:rPr>
          <w:b/>
        </w:rPr>
      </w:pPr>
      <w:r w:rsidRPr="00B0343D">
        <w:rPr>
          <w:b/>
        </w:rPr>
        <w:lastRenderedPageBreak/>
        <w:t>PRIORITY</w:t>
      </w:r>
      <w:r>
        <w:rPr>
          <w:b/>
        </w:rPr>
        <w:t xml:space="preserve"> 4</w:t>
      </w:r>
      <w:r w:rsidRPr="00B0343D">
        <w:rPr>
          <w:b/>
        </w:rPr>
        <w:t>: Communicable Diseases, Health Security and Environment</w:t>
      </w:r>
    </w:p>
    <w:p w:rsidR="00D55D07" w:rsidRPr="00B0343D" w:rsidRDefault="00D55D07" w:rsidP="00342D53">
      <w:pPr>
        <w:rPr>
          <w:b/>
        </w:rPr>
      </w:pPr>
    </w:p>
    <w:tbl>
      <w:tblPr>
        <w:tblW w:w="91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2865"/>
        <w:gridCol w:w="3240"/>
        <w:gridCol w:w="872"/>
        <w:gridCol w:w="827"/>
        <w:gridCol w:w="827"/>
      </w:tblGrid>
      <w:tr w:rsidR="00D55D07" w:rsidRPr="00B0343D" w:rsidTr="003E19A7">
        <w:trPr>
          <w:trHeight w:val="420"/>
        </w:trPr>
        <w:tc>
          <w:tcPr>
            <w:tcW w:w="510" w:type="dxa"/>
            <w:vMerge w:val="restart"/>
            <w:vAlign w:val="center"/>
          </w:tcPr>
          <w:p w:rsidR="00D55D07" w:rsidRPr="00B0343D" w:rsidRDefault="00D55D07" w:rsidP="00F90497">
            <w:pPr>
              <w:jc w:val="center"/>
              <w:rPr>
                <w:b/>
                <w:bCs/>
              </w:rPr>
            </w:pPr>
            <w:r w:rsidRPr="00B0343D">
              <w:rPr>
                <w:b/>
                <w:bCs/>
                <w:sz w:val="22"/>
                <w:szCs w:val="22"/>
              </w:rPr>
              <w:t>SO</w:t>
            </w:r>
          </w:p>
        </w:tc>
        <w:tc>
          <w:tcPr>
            <w:tcW w:w="2865" w:type="dxa"/>
            <w:vMerge w:val="restart"/>
            <w:vAlign w:val="center"/>
          </w:tcPr>
          <w:p w:rsidR="00D55D07" w:rsidRPr="00B0343D" w:rsidRDefault="00D55D07" w:rsidP="00F90497">
            <w:pPr>
              <w:jc w:val="center"/>
              <w:rPr>
                <w:b/>
                <w:bCs/>
              </w:rPr>
            </w:pPr>
            <w:r w:rsidRPr="00B0343D">
              <w:rPr>
                <w:b/>
                <w:bCs/>
                <w:sz w:val="22"/>
                <w:szCs w:val="22"/>
              </w:rPr>
              <w:t>Outcomes</w:t>
            </w:r>
          </w:p>
        </w:tc>
        <w:tc>
          <w:tcPr>
            <w:tcW w:w="3240" w:type="dxa"/>
            <w:vMerge w:val="restart"/>
            <w:vAlign w:val="center"/>
          </w:tcPr>
          <w:p w:rsidR="00D55D07" w:rsidRPr="00B0343D" w:rsidRDefault="00D55D07" w:rsidP="00F90497">
            <w:pPr>
              <w:jc w:val="center"/>
              <w:rPr>
                <w:b/>
                <w:bCs/>
              </w:rPr>
            </w:pPr>
            <w:r w:rsidRPr="00B0343D">
              <w:rPr>
                <w:b/>
                <w:bCs/>
                <w:sz w:val="22"/>
                <w:szCs w:val="22"/>
              </w:rPr>
              <w:t xml:space="preserve">Outputs </w:t>
            </w:r>
          </w:p>
        </w:tc>
        <w:tc>
          <w:tcPr>
            <w:tcW w:w="2526" w:type="dxa"/>
            <w:gridSpan w:val="3"/>
            <w:noWrap/>
            <w:vAlign w:val="center"/>
          </w:tcPr>
          <w:p w:rsidR="00D55D07" w:rsidRPr="00B0343D" w:rsidRDefault="00D55D07" w:rsidP="004D34A6">
            <w:pPr>
              <w:jc w:val="center"/>
              <w:rPr>
                <w:b/>
                <w:bCs/>
              </w:rPr>
            </w:pPr>
            <w:r w:rsidRPr="00B0343D">
              <w:rPr>
                <w:b/>
                <w:bCs/>
                <w:sz w:val="22"/>
                <w:szCs w:val="22"/>
              </w:rPr>
              <w:t>Mode of delivery</w:t>
            </w:r>
          </w:p>
        </w:tc>
      </w:tr>
      <w:tr w:rsidR="00D55D07" w:rsidRPr="00B0343D" w:rsidTr="003E19A7">
        <w:trPr>
          <w:trHeight w:val="998"/>
        </w:trPr>
        <w:tc>
          <w:tcPr>
            <w:tcW w:w="510" w:type="dxa"/>
            <w:vMerge/>
          </w:tcPr>
          <w:p w:rsidR="00D55D07" w:rsidRPr="00B0343D" w:rsidRDefault="00D55D07" w:rsidP="00F90497">
            <w:pPr>
              <w:rPr>
                <w:b/>
                <w:bCs/>
              </w:rPr>
            </w:pPr>
          </w:p>
        </w:tc>
        <w:tc>
          <w:tcPr>
            <w:tcW w:w="2865" w:type="dxa"/>
            <w:vMerge/>
          </w:tcPr>
          <w:p w:rsidR="00D55D07" w:rsidRPr="00B0343D" w:rsidRDefault="00D55D07" w:rsidP="00F90497">
            <w:pPr>
              <w:rPr>
                <w:b/>
                <w:bCs/>
              </w:rPr>
            </w:pPr>
          </w:p>
        </w:tc>
        <w:tc>
          <w:tcPr>
            <w:tcW w:w="3240" w:type="dxa"/>
            <w:vMerge/>
          </w:tcPr>
          <w:p w:rsidR="00D55D07" w:rsidRPr="00B0343D" w:rsidRDefault="00D55D07" w:rsidP="00F90497">
            <w:pPr>
              <w:rPr>
                <w:b/>
                <w:bCs/>
              </w:rPr>
            </w:pPr>
          </w:p>
        </w:tc>
        <w:tc>
          <w:tcPr>
            <w:tcW w:w="872" w:type="dxa"/>
          </w:tcPr>
          <w:p w:rsidR="00D55D07" w:rsidRPr="00B0343D" w:rsidRDefault="00D55D07" w:rsidP="00F90497">
            <w:pPr>
              <w:jc w:val="center"/>
              <w:rPr>
                <w:sz w:val="20"/>
                <w:szCs w:val="20"/>
              </w:rPr>
            </w:pPr>
            <w:r w:rsidRPr="00B0343D">
              <w:rPr>
                <w:sz w:val="20"/>
                <w:szCs w:val="20"/>
              </w:rPr>
              <w:t xml:space="preserve">Country specific </w:t>
            </w:r>
            <w:r w:rsidRPr="00B0343D">
              <w:rPr>
                <w:b/>
                <w:sz w:val="20"/>
                <w:szCs w:val="20"/>
              </w:rPr>
              <w:t>(CS)</w:t>
            </w:r>
          </w:p>
        </w:tc>
        <w:tc>
          <w:tcPr>
            <w:tcW w:w="827" w:type="dxa"/>
          </w:tcPr>
          <w:p w:rsidR="00D55D07" w:rsidRPr="00B0343D" w:rsidRDefault="00D55D07" w:rsidP="00F90497">
            <w:pPr>
              <w:jc w:val="center"/>
              <w:rPr>
                <w:sz w:val="20"/>
                <w:szCs w:val="20"/>
              </w:rPr>
            </w:pPr>
            <w:r w:rsidRPr="00B0343D">
              <w:rPr>
                <w:sz w:val="20"/>
                <w:szCs w:val="20"/>
              </w:rPr>
              <w:t xml:space="preserve">Multi country </w:t>
            </w:r>
            <w:r w:rsidRPr="00B0343D">
              <w:rPr>
                <w:b/>
                <w:sz w:val="20"/>
                <w:szCs w:val="20"/>
              </w:rPr>
              <w:t>(MC)</w:t>
            </w:r>
          </w:p>
        </w:tc>
        <w:tc>
          <w:tcPr>
            <w:tcW w:w="827" w:type="dxa"/>
          </w:tcPr>
          <w:p w:rsidR="00D55D07" w:rsidRPr="00B0343D" w:rsidRDefault="00D55D07" w:rsidP="00F90497">
            <w:pPr>
              <w:jc w:val="center"/>
              <w:rPr>
                <w:sz w:val="20"/>
                <w:szCs w:val="20"/>
              </w:rPr>
            </w:pPr>
            <w:r w:rsidRPr="00B0343D">
              <w:rPr>
                <w:sz w:val="20"/>
                <w:szCs w:val="20"/>
              </w:rPr>
              <w:t xml:space="preserve">Inter country </w:t>
            </w:r>
            <w:r w:rsidRPr="00B0343D">
              <w:rPr>
                <w:b/>
                <w:sz w:val="20"/>
                <w:szCs w:val="20"/>
              </w:rPr>
              <w:t>(IC)</w:t>
            </w:r>
          </w:p>
        </w:tc>
      </w:tr>
      <w:tr w:rsidR="00D55D07" w:rsidRPr="00B0343D" w:rsidTr="003E19A7">
        <w:trPr>
          <w:trHeight w:val="810"/>
        </w:trPr>
        <w:tc>
          <w:tcPr>
            <w:tcW w:w="510" w:type="dxa"/>
            <w:vMerge w:val="restart"/>
          </w:tcPr>
          <w:p w:rsidR="00D55D07" w:rsidRPr="00B0343D" w:rsidRDefault="00D55D07" w:rsidP="00F90497">
            <w:pPr>
              <w:spacing w:before="120" w:after="120"/>
              <w:jc w:val="center"/>
              <w:rPr>
                <w:highlight w:val="red"/>
              </w:rPr>
            </w:pPr>
            <w:r w:rsidRPr="00B0343D">
              <w:rPr>
                <w:sz w:val="22"/>
                <w:szCs w:val="22"/>
              </w:rPr>
              <w:t>1</w:t>
            </w:r>
          </w:p>
        </w:tc>
        <w:tc>
          <w:tcPr>
            <w:tcW w:w="2865" w:type="dxa"/>
            <w:vMerge w:val="restart"/>
          </w:tcPr>
          <w:p w:rsidR="00D55D07" w:rsidRPr="00B0343D" w:rsidRDefault="00D55D07" w:rsidP="00F90497">
            <w:pPr>
              <w:spacing w:before="120" w:after="120"/>
              <w:rPr>
                <w:highlight w:val="red"/>
              </w:rPr>
            </w:pPr>
            <w:r w:rsidRPr="00B0343D">
              <w:rPr>
                <w:sz w:val="22"/>
                <w:szCs w:val="22"/>
              </w:rPr>
              <w:t>(001)(R00) Member States able to strengthen immunization systems in the context of health systems strengthening in order to maximize equitable access of all people to vaccines of assured quality, including new or underutilized immunization products and technologies, and to integrate other essential family and child health interventions with immunization.</w:t>
            </w:r>
            <w:r w:rsidRPr="00B0343D">
              <w:rPr>
                <w:sz w:val="22"/>
                <w:szCs w:val="22"/>
                <w:highlight w:val="red"/>
              </w:rPr>
              <w:t xml:space="preserve">  </w:t>
            </w:r>
          </w:p>
        </w:tc>
        <w:tc>
          <w:tcPr>
            <w:tcW w:w="3240" w:type="dxa"/>
          </w:tcPr>
          <w:p w:rsidR="00D55D07" w:rsidRPr="00B0343D" w:rsidRDefault="00D55D07" w:rsidP="00F90497">
            <w:pPr>
              <w:spacing w:before="120" w:after="120"/>
              <w:jc w:val="both"/>
              <w:rPr>
                <w:highlight w:val="red"/>
              </w:rPr>
            </w:pPr>
            <w:r w:rsidRPr="00B0343D">
              <w:rPr>
                <w:sz w:val="22"/>
                <w:szCs w:val="22"/>
              </w:rPr>
              <w:t xml:space="preserve">1)improved coverage with routine vaccination; </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r>
      <w:tr w:rsidR="00D55D07" w:rsidRPr="00B0343D" w:rsidTr="003E19A7">
        <w:trPr>
          <w:trHeight w:val="87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F90497">
            <w:pPr>
              <w:spacing w:before="120" w:after="120"/>
              <w:rPr>
                <w:highlight w:val="red"/>
              </w:rPr>
            </w:pPr>
          </w:p>
        </w:tc>
        <w:tc>
          <w:tcPr>
            <w:tcW w:w="3240" w:type="dxa"/>
          </w:tcPr>
          <w:p w:rsidR="00D55D07" w:rsidRPr="00B0343D" w:rsidRDefault="00D55D07" w:rsidP="00F90497">
            <w:pPr>
              <w:spacing w:before="120" w:after="120"/>
              <w:jc w:val="both"/>
              <w:rPr>
                <w:highlight w:val="red"/>
              </w:rPr>
            </w:pPr>
            <w:r w:rsidRPr="00B0343D">
              <w:rPr>
                <w:sz w:val="22"/>
                <w:szCs w:val="22"/>
              </w:rPr>
              <w:t>2) sustainability (decision making, financial, multi-year) with regards to introduction of new vaccines;</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r>
      <w:tr w:rsidR="00D55D07" w:rsidRPr="00B0343D" w:rsidTr="003E19A7">
        <w:trPr>
          <w:trHeight w:val="102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F90497">
            <w:pPr>
              <w:spacing w:before="120" w:after="120"/>
              <w:rPr>
                <w:highlight w:val="red"/>
              </w:rPr>
            </w:pPr>
          </w:p>
        </w:tc>
        <w:tc>
          <w:tcPr>
            <w:tcW w:w="3240" w:type="dxa"/>
          </w:tcPr>
          <w:p w:rsidR="00D55D07" w:rsidRPr="00B0343D" w:rsidRDefault="00D55D07" w:rsidP="00F90497">
            <w:pPr>
              <w:spacing w:before="120" w:after="120"/>
              <w:jc w:val="both"/>
              <w:rPr>
                <w:highlight w:val="red"/>
              </w:rPr>
            </w:pPr>
            <w:r w:rsidRPr="00B0343D">
              <w:rPr>
                <w:sz w:val="22"/>
                <w:szCs w:val="22"/>
              </w:rPr>
              <w:t>3)</w:t>
            </w:r>
            <w:r>
              <w:rPr>
                <w:sz w:val="22"/>
                <w:szCs w:val="22"/>
              </w:rPr>
              <w:t xml:space="preserve"> </w:t>
            </w:r>
            <w:r w:rsidRPr="00B0343D">
              <w:rPr>
                <w:sz w:val="22"/>
                <w:szCs w:val="22"/>
              </w:rPr>
              <w:t xml:space="preserve">pulled procurement of </w:t>
            </w:r>
            <w:r w:rsidR="00B8653C" w:rsidRPr="00046161">
              <w:rPr>
                <w:sz w:val="22"/>
                <w:szCs w:val="22"/>
              </w:rPr>
              <w:t>N</w:t>
            </w:r>
            <w:r w:rsidRPr="00046161">
              <w:rPr>
                <w:sz w:val="22"/>
                <w:szCs w:val="22"/>
              </w:rPr>
              <w:t xml:space="preserve">ational Immunisation </w:t>
            </w:r>
            <w:r w:rsidR="00B8653C" w:rsidRPr="00046161">
              <w:rPr>
                <w:sz w:val="22"/>
                <w:szCs w:val="22"/>
              </w:rPr>
              <w:t>P</w:t>
            </w:r>
            <w:r w:rsidRPr="00046161">
              <w:rPr>
                <w:sz w:val="22"/>
                <w:szCs w:val="22"/>
              </w:rPr>
              <w:t>rogramme</w:t>
            </w:r>
            <w:r>
              <w:rPr>
                <w:color w:val="FF0000"/>
                <w:sz w:val="22"/>
                <w:szCs w:val="22"/>
              </w:rPr>
              <w:t xml:space="preserve"> </w:t>
            </w:r>
            <w:r w:rsidR="00B8653C" w:rsidRPr="00B8653C">
              <w:rPr>
                <w:color w:val="FF0000"/>
                <w:sz w:val="22"/>
                <w:szCs w:val="22"/>
              </w:rPr>
              <w:t xml:space="preserve"> </w:t>
            </w:r>
            <w:r w:rsidRPr="00B0343D">
              <w:rPr>
                <w:sz w:val="22"/>
                <w:szCs w:val="22"/>
              </w:rPr>
              <w:t>vaccines</w:t>
            </w:r>
          </w:p>
        </w:tc>
        <w:tc>
          <w:tcPr>
            <w:tcW w:w="872"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rsidRPr="00B0343D">
              <w:t>X</w:t>
            </w:r>
          </w:p>
        </w:tc>
      </w:tr>
      <w:tr w:rsidR="00D55D07" w:rsidRPr="00B0343D" w:rsidTr="003E19A7">
        <w:trPr>
          <w:trHeight w:val="930"/>
        </w:trPr>
        <w:tc>
          <w:tcPr>
            <w:tcW w:w="510" w:type="dxa"/>
            <w:vMerge w:val="restart"/>
          </w:tcPr>
          <w:p w:rsidR="00D55D07" w:rsidRPr="00B0343D" w:rsidRDefault="00D55D07" w:rsidP="00F90497">
            <w:pPr>
              <w:spacing w:before="120" w:after="120"/>
              <w:rPr>
                <w:highlight w:val="red"/>
              </w:rPr>
            </w:pPr>
            <w:r w:rsidRPr="00B0343D">
              <w:t>1</w:t>
            </w:r>
            <w:r w:rsidRPr="00B0343D">
              <w:rPr>
                <w:highlight w:val="red"/>
              </w:rPr>
              <w:t xml:space="preserve"> </w:t>
            </w:r>
          </w:p>
        </w:tc>
        <w:tc>
          <w:tcPr>
            <w:tcW w:w="2865" w:type="dxa"/>
            <w:vMerge w:val="restart"/>
          </w:tcPr>
          <w:p w:rsidR="00D55D07" w:rsidRPr="00B0343D" w:rsidRDefault="00D55D07" w:rsidP="00F90497">
            <w:pPr>
              <w:spacing w:before="120" w:after="120"/>
              <w:rPr>
                <w:highlight w:val="red"/>
              </w:rPr>
            </w:pPr>
            <w:r w:rsidRPr="00B0343D">
              <w:t>(CNT 1001) In support to national and regional health security, Member States have developed multisectoral policies and plans to implement the IHR, including strengthening their core public health capacities for disease surveillance and response as well as preparedness for epidemic and pandemic-prone diseases such as influenza.</w:t>
            </w:r>
          </w:p>
        </w:tc>
        <w:tc>
          <w:tcPr>
            <w:tcW w:w="3240" w:type="dxa"/>
          </w:tcPr>
          <w:p w:rsidR="00D55D07" w:rsidRPr="00B0343D" w:rsidRDefault="00D55D07" w:rsidP="00F90497">
            <w:pPr>
              <w:spacing w:before="120" w:after="120"/>
              <w:jc w:val="both"/>
              <w:rPr>
                <w:highlight w:val="red"/>
              </w:rPr>
            </w:pPr>
            <w:r w:rsidRPr="00B0343D">
              <w:rPr>
                <w:sz w:val="22"/>
                <w:szCs w:val="22"/>
              </w:rPr>
              <w:t xml:space="preserve">1) technical support to implementation of IHR in Latvia through strengthened inter-sectoral collaboration  </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r>
      <w:tr w:rsidR="00D55D07" w:rsidRPr="00B0343D" w:rsidTr="003E19A7">
        <w:trPr>
          <w:trHeight w:val="93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F90497">
            <w:pPr>
              <w:spacing w:before="120" w:after="120"/>
            </w:pPr>
          </w:p>
        </w:tc>
        <w:tc>
          <w:tcPr>
            <w:tcW w:w="3240" w:type="dxa"/>
          </w:tcPr>
          <w:p w:rsidR="00D55D07" w:rsidRPr="00B0343D" w:rsidRDefault="00D55D07" w:rsidP="00F90497">
            <w:pPr>
              <w:spacing w:before="120" w:after="120"/>
              <w:jc w:val="both"/>
            </w:pPr>
            <w:r w:rsidRPr="00B0343D">
              <w:rPr>
                <w:sz w:val="22"/>
                <w:szCs w:val="22"/>
              </w:rPr>
              <w:t xml:space="preserve">2) participation of Latvia in regional meetings/workshops/capacity building activities  </w:t>
            </w:r>
          </w:p>
        </w:tc>
        <w:tc>
          <w:tcPr>
            <w:tcW w:w="872"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rsidRPr="00B0343D">
              <w:t>X</w:t>
            </w:r>
          </w:p>
        </w:tc>
      </w:tr>
      <w:tr w:rsidR="00D55D07" w:rsidRPr="00B0343D" w:rsidTr="003E19A7">
        <w:trPr>
          <w:trHeight w:val="930"/>
        </w:trPr>
        <w:tc>
          <w:tcPr>
            <w:tcW w:w="510" w:type="dxa"/>
            <w:vMerge w:val="restart"/>
          </w:tcPr>
          <w:p w:rsidR="00D55D07" w:rsidRPr="00B0343D" w:rsidRDefault="00D55D07" w:rsidP="00F90497">
            <w:pPr>
              <w:spacing w:before="120" w:after="120"/>
              <w:rPr>
                <w:highlight w:val="red"/>
              </w:rPr>
            </w:pPr>
            <w:r w:rsidRPr="00B0343D">
              <w:t>1</w:t>
            </w:r>
          </w:p>
        </w:tc>
        <w:tc>
          <w:tcPr>
            <w:tcW w:w="2865" w:type="dxa"/>
            <w:vMerge w:val="restart"/>
          </w:tcPr>
          <w:p w:rsidR="00D55D07" w:rsidRPr="00B0343D" w:rsidRDefault="00D55D07" w:rsidP="00F90497">
            <w:pPr>
              <w:spacing w:before="120" w:after="120"/>
            </w:pPr>
            <w:r w:rsidRPr="00B0343D">
              <w:t>(004)(R00) Member States' equipped to carry out communicable diseases surveillance and response, including laboratory, as part of a comprehensive surveillance and health information system.</w:t>
            </w:r>
          </w:p>
        </w:tc>
        <w:tc>
          <w:tcPr>
            <w:tcW w:w="3240" w:type="dxa"/>
          </w:tcPr>
          <w:p w:rsidR="00D55D07" w:rsidRPr="00B0343D" w:rsidRDefault="00D55D07" w:rsidP="00F90497">
            <w:pPr>
              <w:spacing w:before="120" w:after="120"/>
              <w:jc w:val="both"/>
            </w:pPr>
            <w:r w:rsidRPr="00B0343D">
              <w:rPr>
                <w:sz w:val="22"/>
                <w:szCs w:val="22"/>
              </w:rPr>
              <w:t>1)</w:t>
            </w:r>
            <w:r>
              <w:rPr>
                <w:sz w:val="22"/>
                <w:szCs w:val="22"/>
              </w:rPr>
              <w:t xml:space="preserve"> </w:t>
            </w:r>
            <w:r w:rsidRPr="00B0343D">
              <w:rPr>
                <w:sz w:val="22"/>
                <w:szCs w:val="22"/>
              </w:rPr>
              <w:t>Surveillance policies developed, data management systems strengthened</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rsidRPr="00B0343D">
              <w:t>X</w:t>
            </w:r>
          </w:p>
        </w:tc>
      </w:tr>
      <w:tr w:rsidR="00D55D07" w:rsidRPr="00B0343D" w:rsidTr="003E19A7">
        <w:trPr>
          <w:trHeight w:val="93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F90497">
            <w:pPr>
              <w:spacing w:before="120" w:after="120"/>
            </w:pPr>
          </w:p>
        </w:tc>
        <w:tc>
          <w:tcPr>
            <w:tcW w:w="3240" w:type="dxa"/>
          </w:tcPr>
          <w:p w:rsidR="00D55D07" w:rsidRPr="00B0343D" w:rsidRDefault="00D55D07" w:rsidP="00F90497">
            <w:pPr>
              <w:spacing w:before="120" w:after="120"/>
              <w:jc w:val="both"/>
            </w:pPr>
            <w:r w:rsidRPr="00B0343D">
              <w:rPr>
                <w:sz w:val="22"/>
                <w:szCs w:val="22"/>
              </w:rPr>
              <w:t>2) Technical assistance to Latvia to develop lab capacity and policy support for conf. of targeted diseases.</w:t>
            </w:r>
          </w:p>
        </w:tc>
        <w:tc>
          <w:tcPr>
            <w:tcW w:w="872" w:type="dxa"/>
          </w:tcPr>
          <w:p w:rsidR="00D55D07" w:rsidRPr="00B0343D" w:rsidRDefault="00D55D07" w:rsidP="00F90497">
            <w:pPr>
              <w:spacing w:before="120" w:after="120"/>
              <w:jc w:val="center"/>
            </w:pPr>
            <w:r>
              <w:t xml:space="preserve"> </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rsidRPr="00B0343D">
              <w:t>X</w:t>
            </w:r>
          </w:p>
        </w:tc>
      </w:tr>
      <w:tr w:rsidR="00D55D07" w:rsidRPr="00B0343D" w:rsidTr="003E19A7">
        <w:trPr>
          <w:trHeight w:val="93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F90497">
            <w:pPr>
              <w:spacing w:before="120" w:after="120"/>
            </w:pPr>
          </w:p>
        </w:tc>
        <w:tc>
          <w:tcPr>
            <w:tcW w:w="3240" w:type="dxa"/>
          </w:tcPr>
          <w:p w:rsidR="00D55D07" w:rsidRPr="00B0343D" w:rsidRDefault="00D55D07" w:rsidP="00F90497">
            <w:pPr>
              <w:spacing w:before="120" w:after="120"/>
              <w:jc w:val="both"/>
            </w:pPr>
            <w:r w:rsidRPr="00B0343D">
              <w:rPr>
                <w:sz w:val="22"/>
                <w:szCs w:val="22"/>
              </w:rPr>
              <w:t xml:space="preserve">3) Standard tools for data management and support for transition to case-based survey </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r>
      <w:tr w:rsidR="00D55D07" w:rsidRPr="00B0343D" w:rsidTr="003E19A7">
        <w:trPr>
          <w:trHeight w:val="718"/>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F90497">
            <w:pPr>
              <w:spacing w:before="120" w:after="120"/>
            </w:pPr>
          </w:p>
        </w:tc>
        <w:tc>
          <w:tcPr>
            <w:tcW w:w="3240" w:type="dxa"/>
          </w:tcPr>
          <w:p w:rsidR="00D55D07" w:rsidRPr="00B0343D" w:rsidRDefault="00D55D07" w:rsidP="00F90497">
            <w:pPr>
              <w:spacing w:before="120" w:after="120"/>
              <w:jc w:val="both"/>
            </w:pPr>
            <w:r w:rsidRPr="00B0343D">
              <w:rPr>
                <w:sz w:val="22"/>
                <w:szCs w:val="22"/>
              </w:rPr>
              <w:t xml:space="preserve">4) Updated regularly guidance on flu surveillance  </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r>
      <w:tr w:rsidR="00D55D07" w:rsidRPr="00B0343D" w:rsidTr="003E19A7">
        <w:trPr>
          <w:trHeight w:val="93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F90497">
            <w:pPr>
              <w:spacing w:before="120" w:after="120"/>
            </w:pPr>
          </w:p>
        </w:tc>
        <w:tc>
          <w:tcPr>
            <w:tcW w:w="3240" w:type="dxa"/>
          </w:tcPr>
          <w:p w:rsidR="00D55D07" w:rsidRPr="00B0343D" w:rsidRDefault="00D55D07" w:rsidP="00F90497">
            <w:pPr>
              <w:spacing w:before="120" w:after="120"/>
              <w:jc w:val="both"/>
            </w:pPr>
            <w:r w:rsidRPr="00B0343D">
              <w:rPr>
                <w:sz w:val="22"/>
                <w:szCs w:val="22"/>
              </w:rPr>
              <w:t xml:space="preserve">5) Technical assistance to Latvia to strengthen ILI and SARI surveillance   </w:t>
            </w:r>
          </w:p>
        </w:tc>
        <w:tc>
          <w:tcPr>
            <w:tcW w:w="872" w:type="dxa"/>
          </w:tcPr>
          <w:p w:rsidR="00D55D07" w:rsidRPr="00B0343D" w:rsidRDefault="00D55D07" w:rsidP="00F90497">
            <w:pPr>
              <w:spacing w:before="120" w:after="120"/>
              <w:jc w:val="center"/>
            </w:pPr>
            <w:r>
              <w:t xml:space="preserve"> </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t>X</w:t>
            </w:r>
          </w:p>
        </w:tc>
      </w:tr>
      <w:tr w:rsidR="00D55D07" w:rsidRPr="00B0343D" w:rsidTr="003E19A7">
        <w:trPr>
          <w:trHeight w:val="739"/>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F90497">
            <w:pPr>
              <w:spacing w:before="120" w:after="120"/>
            </w:pPr>
          </w:p>
        </w:tc>
        <w:tc>
          <w:tcPr>
            <w:tcW w:w="3240" w:type="dxa"/>
          </w:tcPr>
          <w:p w:rsidR="00D55D07" w:rsidRPr="00B0343D" w:rsidRDefault="00D55D07" w:rsidP="00F90497">
            <w:pPr>
              <w:spacing w:before="120" w:after="120"/>
              <w:jc w:val="both"/>
            </w:pPr>
            <w:r w:rsidRPr="00B0343D">
              <w:rPr>
                <w:sz w:val="22"/>
                <w:szCs w:val="22"/>
              </w:rPr>
              <w:t>6) Support for surveillance of other communicable  diseases</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rsidRPr="00B0343D">
              <w:t>X</w:t>
            </w:r>
          </w:p>
        </w:tc>
      </w:tr>
      <w:tr w:rsidR="00D55D07" w:rsidRPr="00B0343D" w:rsidTr="003E19A7">
        <w:trPr>
          <w:trHeight w:val="930"/>
        </w:trPr>
        <w:tc>
          <w:tcPr>
            <w:tcW w:w="510" w:type="dxa"/>
            <w:vMerge w:val="restart"/>
          </w:tcPr>
          <w:p w:rsidR="00D55D07" w:rsidRPr="00B0343D" w:rsidRDefault="00D55D07" w:rsidP="008B443E">
            <w:pPr>
              <w:spacing w:before="120" w:after="120"/>
              <w:rPr>
                <w:highlight w:val="red"/>
              </w:rPr>
            </w:pPr>
            <w:r w:rsidRPr="00B0343D">
              <w:t>2</w:t>
            </w:r>
          </w:p>
          <w:p w:rsidR="00D55D07" w:rsidRPr="00B0343D" w:rsidRDefault="00D55D07" w:rsidP="008B443E">
            <w:pPr>
              <w:spacing w:before="120" w:after="120"/>
              <w:rPr>
                <w:highlight w:val="red"/>
              </w:rPr>
            </w:pPr>
          </w:p>
          <w:p w:rsidR="00D55D07" w:rsidRPr="00B0343D" w:rsidRDefault="00D55D07" w:rsidP="008B443E">
            <w:pPr>
              <w:spacing w:before="120" w:after="120"/>
              <w:rPr>
                <w:highlight w:val="red"/>
              </w:rPr>
            </w:pPr>
          </w:p>
        </w:tc>
        <w:tc>
          <w:tcPr>
            <w:tcW w:w="2865" w:type="dxa"/>
            <w:vMerge w:val="restart"/>
          </w:tcPr>
          <w:p w:rsidR="00D55D07" w:rsidRPr="00B0343D" w:rsidRDefault="00D55D07" w:rsidP="008B443E">
            <w:pPr>
              <w:rPr>
                <w:color w:val="000000"/>
              </w:rPr>
            </w:pPr>
            <w:r w:rsidRPr="00B0343D">
              <w:rPr>
                <w:color w:val="000000"/>
                <w:sz w:val="22"/>
                <w:szCs w:val="22"/>
              </w:rPr>
              <w:t>(011)(R00) Member States build strong and sustainable systems in which HIV, STIs viral hepatitis and other essential services are available, accessible and affordable</w:t>
            </w:r>
          </w:p>
          <w:p w:rsidR="00D55D07" w:rsidRPr="00B0343D" w:rsidRDefault="00D55D07" w:rsidP="008B443E">
            <w:pPr>
              <w:spacing w:before="120" w:after="120"/>
            </w:pPr>
          </w:p>
        </w:tc>
        <w:tc>
          <w:tcPr>
            <w:tcW w:w="3240" w:type="dxa"/>
          </w:tcPr>
          <w:p w:rsidR="00D55D07" w:rsidRPr="00B0343D" w:rsidRDefault="00D55D07" w:rsidP="00F90497">
            <w:pPr>
              <w:spacing w:before="120" w:after="120"/>
              <w:jc w:val="both"/>
            </w:pPr>
            <w:r w:rsidRPr="00B0343D">
              <w:rPr>
                <w:sz w:val="22"/>
                <w:szCs w:val="22"/>
              </w:rPr>
              <w:t xml:space="preserve">1) Strengthen Latvia to collect, collate, analyse and use strategic information </w:t>
            </w:r>
          </w:p>
        </w:tc>
        <w:tc>
          <w:tcPr>
            <w:tcW w:w="872"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rsidRPr="00B0343D">
              <w:t>X</w:t>
            </w:r>
          </w:p>
        </w:tc>
      </w:tr>
      <w:tr w:rsidR="00D55D07" w:rsidRPr="00B0343D" w:rsidTr="003E19A7">
        <w:trPr>
          <w:trHeight w:val="93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253454">
            <w:pPr>
              <w:rPr>
                <w:color w:val="000000"/>
              </w:rPr>
            </w:pPr>
          </w:p>
        </w:tc>
        <w:tc>
          <w:tcPr>
            <w:tcW w:w="3240" w:type="dxa"/>
          </w:tcPr>
          <w:p w:rsidR="00D55D07" w:rsidRPr="00B0343D" w:rsidRDefault="00D55D07" w:rsidP="00F90497">
            <w:pPr>
              <w:spacing w:before="120" w:after="120"/>
              <w:jc w:val="both"/>
            </w:pPr>
            <w:r w:rsidRPr="00B0343D">
              <w:rPr>
                <w:sz w:val="22"/>
                <w:szCs w:val="22"/>
              </w:rPr>
              <w:t xml:space="preserve">2) Assist Latvia to develop, adapt, integrate and link client centred service delivery models for key populations (UNAIDS Treatment 2.0) </w:t>
            </w:r>
          </w:p>
        </w:tc>
        <w:tc>
          <w:tcPr>
            <w:tcW w:w="872" w:type="dxa"/>
          </w:tcPr>
          <w:p w:rsidR="00D55D07" w:rsidRPr="00B0343D" w:rsidRDefault="00D55D07" w:rsidP="00F90497">
            <w:pPr>
              <w:spacing w:before="120" w:after="120"/>
              <w:jc w:val="center"/>
            </w:pPr>
            <w:r w:rsidRPr="00B0343D">
              <w:t xml:space="preserve"> </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rsidRPr="00B0343D">
              <w:t>X</w:t>
            </w:r>
          </w:p>
        </w:tc>
      </w:tr>
      <w:tr w:rsidR="00D55D07" w:rsidRPr="00B0343D" w:rsidTr="003E19A7">
        <w:trPr>
          <w:trHeight w:val="93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253454">
            <w:pPr>
              <w:rPr>
                <w:color w:val="000000"/>
              </w:rPr>
            </w:pPr>
          </w:p>
        </w:tc>
        <w:tc>
          <w:tcPr>
            <w:tcW w:w="3240" w:type="dxa"/>
          </w:tcPr>
          <w:p w:rsidR="00D55D07" w:rsidRPr="00B0343D" w:rsidRDefault="00D55D07" w:rsidP="00F90497">
            <w:pPr>
              <w:spacing w:before="120" w:after="120"/>
              <w:jc w:val="both"/>
            </w:pPr>
            <w:r w:rsidRPr="00B0343D">
              <w:rPr>
                <w:sz w:val="22"/>
                <w:szCs w:val="22"/>
              </w:rPr>
              <w:t xml:space="preserve">3) Assist Latvia to ensure uninterrupted supply of medicines, diagnostics and other commodities </w:t>
            </w:r>
          </w:p>
        </w:tc>
        <w:tc>
          <w:tcPr>
            <w:tcW w:w="872" w:type="dxa"/>
          </w:tcPr>
          <w:p w:rsidR="00D55D07" w:rsidRPr="00B0343D" w:rsidRDefault="00D55D07" w:rsidP="00F90497">
            <w:pPr>
              <w:spacing w:before="120" w:after="120"/>
              <w:jc w:val="center"/>
            </w:pPr>
            <w:r w:rsidRPr="00B0343D">
              <w:t xml:space="preserve"> </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rsidRPr="00B0343D">
              <w:t>X</w:t>
            </w:r>
          </w:p>
        </w:tc>
      </w:tr>
      <w:tr w:rsidR="00D55D07" w:rsidRPr="00B0343D" w:rsidTr="003E19A7">
        <w:trPr>
          <w:trHeight w:val="93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253454">
            <w:pPr>
              <w:rPr>
                <w:color w:val="000000"/>
              </w:rPr>
            </w:pPr>
          </w:p>
        </w:tc>
        <w:tc>
          <w:tcPr>
            <w:tcW w:w="3240" w:type="dxa"/>
          </w:tcPr>
          <w:p w:rsidR="00D55D07" w:rsidRPr="00B0343D" w:rsidRDefault="00D55D07" w:rsidP="00F90497">
            <w:pPr>
              <w:spacing w:before="120" w:after="120"/>
              <w:jc w:val="both"/>
            </w:pPr>
            <w:r w:rsidRPr="00B0343D">
              <w:rPr>
                <w:sz w:val="22"/>
                <w:szCs w:val="22"/>
              </w:rPr>
              <w:t xml:space="preserve">4) Develop practical quality improvement tools for HIV prevention. Assist Latvia to monitor and improve the quality of services; </w:t>
            </w:r>
          </w:p>
        </w:tc>
        <w:tc>
          <w:tcPr>
            <w:tcW w:w="872" w:type="dxa"/>
          </w:tcPr>
          <w:p w:rsidR="00D55D07" w:rsidRPr="00B0343D" w:rsidRDefault="00D55D07" w:rsidP="00F90497">
            <w:pPr>
              <w:spacing w:before="120" w:after="120"/>
              <w:jc w:val="center"/>
            </w:pPr>
            <w:r w:rsidRPr="00B0343D">
              <w:t xml:space="preserve"> </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rsidRPr="00B0343D">
              <w:t>X</w:t>
            </w:r>
          </w:p>
        </w:tc>
      </w:tr>
      <w:tr w:rsidR="00D55D07" w:rsidRPr="00B0343D" w:rsidTr="003E19A7">
        <w:trPr>
          <w:trHeight w:val="93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253454">
            <w:pPr>
              <w:rPr>
                <w:color w:val="000000"/>
              </w:rPr>
            </w:pPr>
          </w:p>
        </w:tc>
        <w:tc>
          <w:tcPr>
            <w:tcW w:w="3240" w:type="dxa"/>
          </w:tcPr>
          <w:p w:rsidR="00D55D07" w:rsidRPr="00B0343D" w:rsidRDefault="00D55D07" w:rsidP="00F90497">
            <w:pPr>
              <w:spacing w:before="120" w:after="120"/>
              <w:jc w:val="both"/>
            </w:pPr>
            <w:r w:rsidRPr="00B0343D">
              <w:rPr>
                <w:sz w:val="22"/>
                <w:szCs w:val="22"/>
              </w:rPr>
              <w:t xml:space="preserve">5) continued support for implementation of </w:t>
            </w:r>
            <w:r>
              <w:rPr>
                <w:sz w:val="22"/>
                <w:szCs w:val="22"/>
              </w:rPr>
              <w:t>WHO/</w:t>
            </w:r>
            <w:r w:rsidRPr="00B0343D">
              <w:rPr>
                <w:sz w:val="22"/>
                <w:szCs w:val="22"/>
              </w:rPr>
              <w:t>EURO mission's recommendations</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r>
      <w:tr w:rsidR="00D55D07" w:rsidRPr="00B0343D" w:rsidTr="003E19A7">
        <w:trPr>
          <w:trHeight w:val="930"/>
        </w:trPr>
        <w:tc>
          <w:tcPr>
            <w:tcW w:w="510" w:type="dxa"/>
            <w:vMerge w:val="restart"/>
          </w:tcPr>
          <w:p w:rsidR="00D55D07" w:rsidRPr="00B0343D" w:rsidRDefault="00D55D07" w:rsidP="00F90497">
            <w:pPr>
              <w:spacing w:before="120" w:after="120"/>
              <w:rPr>
                <w:highlight w:val="red"/>
              </w:rPr>
            </w:pPr>
            <w:r w:rsidRPr="00B0343D">
              <w:t>2</w:t>
            </w:r>
          </w:p>
        </w:tc>
        <w:tc>
          <w:tcPr>
            <w:tcW w:w="2865" w:type="dxa"/>
            <w:vMerge w:val="restart"/>
          </w:tcPr>
          <w:p w:rsidR="00D55D07" w:rsidRPr="00B0343D" w:rsidRDefault="00D55D07" w:rsidP="00F90497">
            <w:pPr>
              <w:spacing w:before="120" w:after="120"/>
            </w:pPr>
            <w:r w:rsidRPr="00B0343D">
              <w:t>(CNT 1005) MS adopt policies and strategies for prevention and control of MDR-TB through strengthened health systems and public health approaches.</w:t>
            </w:r>
          </w:p>
        </w:tc>
        <w:tc>
          <w:tcPr>
            <w:tcW w:w="3240" w:type="dxa"/>
          </w:tcPr>
          <w:p w:rsidR="00D55D07" w:rsidRPr="00B0343D" w:rsidRDefault="00D55D07" w:rsidP="00F90497">
            <w:pPr>
              <w:spacing w:before="120" w:after="120"/>
              <w:jc w:val="both"/>
            </w:pPr>
            <w:r w:rsidRPr="00B0343D">
              <w:rPr>
                <w:sz w:val="22"/>
                <w:szCs w:val="22"/>
              </w:rPr>
              <w:t xml:space="preserve">1) National MXDR-TB Response Plan updated and endorsed in line with the Regional MXDR-TB Action Plan; </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r>
      <w:tr w:rsidR="00D55D07" w:rsidRPr="00B0343D" w:rsidTr="003E19A7">
        <w:trPr>
          <w:trHeight w:val="93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F90497">
            <w:pPr>
              <w:spacing w:before="120" w:after="120"/>
            </w:pPr>
          </w:p>
        </w:tc>
        <w:tc>
          <w:tcPr>
            <w:tcW w:w="3240" w:type="dxa"/>
          </w:tcPr>
          <w:p w:rsidR="00D55D07" w:rsidRPr="00B0343D" w:rsidRDefault="00D55D07" w:rsidP="00F90497">
            <w:pPr>
              <w:spacing w:before="120" w:after="120"/>
              <w:jc w:val="both"/>
            </w:pPr>
            <w:r w:rsidRPr="00B0343D">
              <w:rPr>
                <w:sz w:val="22"/>
                <w:szCs w:val="22"/>
              </w:rPr>
              <w:t>2) technical assistance to Latvia to scale up STOP TB Strategy and MXDR-TB response</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r>
      <w:tr w:rsidR="00D55D07" w:rsidRPr="00B0343D" w:rsidTr="003E19A7">
        <w:trPr>
          <w:trHeight w:val="930"/>
        </w:trPr>
        <w:tc>
          <w:tcPr>
            <w:tcW w:w="510" w:type="dxa"/>
            <w:vMerge w:val="restart"/>
          </w:tcPr>
          <w:p w:rsidR="00D55D07" w:rsidRPr="00B0343D" w:rsidRDefault="00D55D07" w:rsidP="00F90497">
            <w:pPr>
              <w:spacing w:before="120" w:after="120"/>
              <w:rPr>
                <w:highlight w:val="red"/>
              </w:rPr>
            </w:pPr>
            <w:r w:rsidRPr="00B0343D">
              <w:t>8</w:t>
            </w:r>
          </w:p>
        </w:tc>
        <w:tc>
          <w:tcPr>
            <w:tcW w:w="2865" w:type="dxa"/>
            <w:vMerge w:val="restart"/>
          </w:tcPr>
          <w:p w:rsidR="00D55D07" w:rsidRPr="000F491A" w:rsidRDefault="00D55D07" w:rsidP="006B28E8">
            <w:pPr>
              <w:rPr>
                <w:color w:val="000000"/>
              </w:rPr>
            </w:pPr>
            <w:r w:rsidRPr="000F491A">
              <w:t xml:space="preserve">(062)  </w:t>
            </w:r>
            <w:r w:rsidRPr="000F491A">
              <w:rPr>
                <w:color w:val="000000"/>
                <w:sz w:val="22"/>
                <w:szCs w:val="22"/>
              </w:rPr>
              <w:t xml:space="preserve">Intersectoral approaches  addressing environmental determinants of health implemented in Member States ( e.g. in transport, built environment, </w:t>
            </w:r>
            <w:r w:rsidRPr="000F491A">
              <w:rPr>
                <w:color w:val="000000"/>
                <w:sz w:val="22"/>
                <w:szCs w:val="22"/>
              </w:rPr>
              <w:lastRenderedPageBreak/>
              <w:t>workplaces)</w:t>
            </w:r>
          </w:p>
          <w:p w:rsidR="00D55D07" w:rsidRPr="000F491A" w:rsidRDefault="00D55D07" w:rsidP="00F90497">
            <w:pPr>
              <w:spacing w:before="120" w:after="120"/>
            </w:pPr>
          </w:p>
        </w:tc>
        <w:tc>
          <w:tcPr>
            <w:tcW w:w="3240" w:type="dxa"/>
          </w:tcPr>
          <w:p w:rsidR="00D55D07" w:rsidRPr="00B0343D" w:rsidRDefault="00D55D07" w:rsidP="00F90497">
            <w:pPr>
              <w:spacing w:before="120" w:after="120"/>
              <w:jc w:val="both"/>
            </w:pPr>
            <w:r w:rsidRPr="00B0343D">
              <w:rPr>
                <w:sz w:val="22"/>
                <w:szCs w:val="22"/>
              </w:rPr>
              <w:lastRenderedPageBreak/>
              <w:t xml:space="preserve">1) Capacity building and cross-sectoral training on </w:t>
            </w:r>
            <w:r w:rsidRPr="003A62C7">
              <w:rPr>
                <w:sz w:val="22"/>
                <w:szCs w:val="22"/>
              </w:rPr>
              <w:t>HIA</w:t>
            </w:r>
            <w:r w:rsidR="00A3254F">
              <w:rPr>
                <w:sz w:val="22"/>
                <w:szCs w:val="22"/>
              </w:rPr>
              <w:t xml:space="preserve"> (Health Impact Assesment)</w:t>
            </w:r>
            <w:r w:rsidR="00B8653C" w:rsidRPr="00B8653C">
              <w:rPr>
                <w:color w:val="FF0000"/>
                <w:sz w:val="22"/>
                <w:szCs w:val="22"/>
              </w:rPr>
              <w:t xml:space="preserve"> </w:t>
            </w:r>
            <w:r w:rsidRPr="00B0343D">
              <w:rPr>
                <w:sz w:val="22"/>
                <w:szCs w:val="22"/>
              </w:rPr>
              <w:t>methods and tools;</w:t>
            </w:r>
          </w:p>
          <w:p w:rsidR="00D55D07" w:rsidRPr="00B0343D" w:rsidRDefault="00D55D07" w:rsidP="00F90497">
            <w:pPr>
              <w:spacing w:before="120" w:after="120"/>
              <w:jc w:val="both"/>
            </w:pP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rsidRPr="00B0343D">
              <w:t>X</w:t>
            </w:r>
          </w:p>
        </w:tc>
      </w:tr>
      <w:tr w:rsidR="00D55D07" w:rsidRPr="00B0343D" w:rsidTr="003E19A7">
        <w:trPr>
          <w:trHeight w:val="93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F90497">
            <w:pPr>
              <w:spacing w:before="120" w:after="120"/>
            </w:pPr>
          </w:p>
        </w:tc>
        <w:tc>
          <w:tcPr>
            <w:tcW w:w="3240" w:type="dxa"/>
          </w:tcPr>
          <w:p w:rsidR="00D55D07" w:rsidRPr="00B0343D" w:rsidRDefault="00D55D07" w:rsidP="00F90497">
            <w:pPr>
              <w:spacing w:before="120" w:after="120"/>
              <w:jc w:val="both"/>
            </w:pPr>
            <w:r w:rsidRPr="00B0343D">
              <w:rPr>
                <w:sz w:val="22"/>
                <w:szCs w:val="22"/>
              </w:rPr>
              <w:t xml:space="preserve">2) technical support provided to analyse of environmental health data; </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r w:rsidRPr="00B0343D">
              <w:t>X</w:t>
            </w:r>
          </w:p>
        </w:tc>
      </w:tr>
      <w:tr w:rsidR="00D55D07" w:rsidRPr="00B0343D" w:rsidTr="003E19A7">
        <w:trPr>
          <w:trHeight w:val="930"/>
        </w:trPr>
        <w:tc>
          <w:tcPr>
            <w:tcW w:w="510" w:type="dxa"/>
            <w:vMerge/>
          </w:tcPr>
          <w:p w:rsidR="00D55D07" w:rsidRPr="00B0343D" w:rsidRDefault="00D55D07" w:rsidP="00F90497">
            <w:pPr>
              <w:spacing w:before="120" w:after="120"/>
              <w:rPr>
                <w:highlight w:val="red"/>
              </w:rPr>
            </w:pPr>
          </w:p>
        </w:tc>
        <w:tc>
          <w:tcPr>
            <w:tcW w:w="2865" w:type="dxa"/>
            <w:vMerge/>
          </w:tcPr>
          <w:p w:rsidR="00D55D07" w:rsidRPr="00B0343D" w:rsidRDefault="00D55D07" w:rsidP="00F90497">
            <w:pPr>
              <w:spacing w:before="120" w:after="120"/>
            </w:pPr>
          </w:p>
        </w:tc>
        <w:tc>
          <w:tcPr>
            <w:tcW w:w="3240" w:type="dxa"/>
          </w:tcPr>
          <w:p w:rsidR="00D55D07" w:rsidRPr="00B0343D" w:rsidRDefault="00D55D07" w:rsidP="00F90497">
            <w:pPr>
              <w:spacing w:before="120" w:after="120"/>
              <w:jc w:val="both"/>
            </w:pPr>
            <w:r w:rsidRPr="00B0343D">
              <w:rPr>
                <w:sz w:val="22"/>
                <w:szCs w:val="22"/>
              </w:rPr>
              <w:t>3) completion and monitoring of use of guidance on HIA implementation at national level</w:t>
            </w:r>
          </w:p>
        </w:tc>
        <w:tc>
          <w:tcPr>
            <w:tcW w:w="872"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r w:rsidRPr="00B0343D">
              <w:t>X</w:t>
            </w:r>
          </w:p>
        </w:tc>
        <w:tc>
          <w:tcPr>
            <w:tcW w:w="827" w:type="dxa"/>
          </w:tcPr>
          <w:p w:rsidR="00D55D07" w:rsidRPr="00B0343D" w:rsidRDefault="00D55D07" w:rsidP="00F90497">
            <w:pPr>
              <w:spacing w:before="120" w:after="120"/>
              <w:jc w:val="center"/>
            </w:pPr>
            <w:r w:rsidRPr="00B0343D">
              <w:t xml:space="preserve"> </w:t>
            </w:r>
          </w:p>
        </w:tc>
      </w:tr>
    </w:tbl>
    <w:p w:rsidR="00D55D07" w:rsidRPr="00B0343D" w:rsidRDefault="00D55D07" w:rsidP="00342D53">
      <w:pPr>
        <w:rPr>
          <w:b/>
        </w:rPr>
      </w:pPr>
    </w:p>
    <w:p w:rsidR="00D55D07" w:rsidRPr="00B0343D" w:rsidRDefault="00D55D07" w:rsidP="00342D53">
      <w:pPr>
        <w:pStyle w:val="ListParagraph"/>
        <w:ind w:left="0"/>
        <w:rPr>
          <w:b/>
        </w:rPr>
      </w:pPr>
      <w:r w:rsidRPr="00B0343D">
        <w:rPr>
          <w:b/>
        </w:rPr>
        <w:t>PRIORITY</w:t>
      </w:r>
      <w:r>
        <w:rPr>
          <w:b/>
        </w:rPr>
        <w:t xml:space="preserve"> 5</w:t>
      </w:r>
      <w:r w:rsidRPr="00B0343D">
        <w:rPr>
          <w:b/>
        </w:rPr>
        <w:t>: Health Information, Evidence, Research and Innovation</w:t>
      </w:r>
    </w:p>
    <w:p w:rsidR="00D55D07" w:rsidRPr="00B0343D" w:rsidRDefault="00D55D07" w:rsidP="002C32DE">
      <w:pPr>
        <w:pStyle w:val="ListParagraph"/>
        <w:ind w:left="0"/>
      </w:pPr>
    </w:p>
    <w:tbl>
      <w:tblPr>
        <w:tblW w:w="91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2855"/>
        <w:gridCol w:w="3226"/>
        <w:gridCol w:w="872"/>
        <w:gridCol w:w="827"/>
        <w:gridCol w:w="827"/>
      </w:tblGrid>
      <w:tr w:rsidR="00D55D07" w:rsidRPr="00B0343D" w:rsidTr="002A5ECF">
        <w:trPr>
          <w:trHeight w:val="420"/>
        </w:trPr>
        <w:tc>
          <w:tcPr>
            <w:tcW w:w="534" w:type="dxa"/>
            <w:vMerge w:val="restart"/>
            <w:vAlign w:val="center"/>
          </w:tcPr>
          <w:p w:rsidR="00D55D07" w:rsidRPr="00B0343D" w:rsidRDefault="00D55D07" w:rsidP="00F90497">
            <w:pPr>
              <w:jc w:val="center"/>
              <w:rPr>
                <w:b/>
                <w:bCs/>
              </w:rPr>
            </w:pPr>
            <w:r w:rsidRPr="00B0343D">
              <w:rPr>
                <w:b/>
                <w:bCs/>
                <w:sz w:val="22"/>
                <w:szCs w:val="22"/>
              </w:rPr>
              <w:t>SO</w:t>
            </w:r>
          </w:p>
        </w:tc>
        <w:tc>
          <w:tcPr>
            <w:tcW w:w="2855" w:type="dxa"/>
            <w:vMerge w:val="restart"/>
            <w:vAlign w:val="center"/>
          </w:tcPr>
          <w:p w:rsidR="00D55D07" w:rsidRPr="00B0343D" w:rsidRDefault="00D55D07" w:rsidP="00F90497">
            <w:pPr>
              <w:jc w:val="center"/>
              <w:rPr>
                <w:b/>
                <w:bCs/>
              </w:rPr>
            </w:pPr>
            <w:r w:rsidRPr="00B0343D">
              <w:rPr>
                <w:b/>
                <w:bCs/>
                <w:sz w:val="22"/>
                <w:szCs w:val="22"/>
              </w:rPr>
              <w:t>Outcomes</w:t>
            </w:r>
          </w:p>
        </w:tc>
        <w:tc>
          <w:tcPr>
            <w:tcW w:w="3226" w:type="dxa"/>
            <w:vMerge w:val="restart"/>
            <w:vAlign w:val="center"/>
          </w:tcPr>
          <w:p w:rsidR="00D55D07" w:rsidRPr="00B0343D" w:rsidRDefault="00D55D07" w:rsidP="00F90497">
            <w:pPr>
              <w:jc w:val="center"/>
              <w:rPr>
                <w:b/>
                <w:bCs/>
              </w:rPr>
            </w:pPr>
            <w:r w:rsidRPr="00B0343D">
              <w:rPr>
                <w:b/>
                <w:bCs/>
                <w:sz w:val="22"/>
                <w:szCs w:val="22"/>
              </w:rPr>
              <w:t xml:space="preserve">Outputs </w:t>
            </w:r>
          </w:p>
        </w:tc>
        <w:tc>
          <w:tcPr>
            <w:tcW w:w="2526" w:type="dxa"/>
            <w:gridSpan w:val="3"/>
            <w:noWrap/>
            <w:vAlign w:val="center"/>
          </w:tcPr>
          <w:p w:rsidR="00D55D07" w:rsidRPr="00B0343D" w:rsidRDefault="00D55D07" w:rsidP="004D34A6">
            <w:pPr>
              <w:jc w:val="center"/>
              <w:rPr>
                <w:b/>
                <w:bCs/>
              </w:rPr>
            </w:pPr>
            <w:r w:rsidRPr="00B0343D">
              <w:rPr>
                <w:b/>
                <w:bCs/>
                <w:sz w:val="22"/>
                <w:szCs w:val="22"/>
              </w:rPr>
              <w:t>Mode of delivery</w:t>
            </w:r>
          </w:p>
        </w:tc>
      </w:tr>
      <w:tr w:rsidR="00D55D07" w:rsidRPr="00B0343D" w:rsidTr="008B443E">
        <w:trPr>
          <w:trHeight w:val="1290"/>
        </w:trPr>
        <w:tc>
          <w:tcPr>
            <w:tcW w:w="534" w:type="dxa"/>
            <w:vMerge/>
            <w:vAlign w:val="center"/>
          </w:tcPr>
          <w:p w:rsidR="00D55D07" w:rsidRPr="00B0343D" w:rsidRDefault="00D55D07" w:rsidP="00F90497">
            <w:pPr>
              <w:rPr>
                <w:b/>
                <w:bCs/>
              </w:rPr>
            </w:pPr>
          </w:p>
        </w:tc>
        <w:tc>
          <w:tcPr>
            <w:tcW w:w="2855" w:type="dxa"/>
            <w:vMerge/>
            <w:vAlign w:val="center"/>
          </w:tcPr>
          <w:p w:rsidR="00D55D07" w:rsidRPr="00B0343D" w:rsidRDefault="00D55D07" w:rsidP="00F90497">
            <w:pPr>
              <w:rPr>
                <w:b/>
                <w:bCs/>
              </w:rPr>
            </w:pPr>
          </w:p>
        </w:tc>
        <w:tc>
          <w:tcPr>
            <w:tcW w:w="3226" w:type="dxa"/>
            <w:vMerge/>
            <w:vAlign w:val="center"/>
          </w:tcPr>
          <w:p w:rsidR="00D55D07" w:rsidRPr="00B0343D" w:rsidRDefault="00D55D07" w:rsidP="00F90497">
            <w:pPr>
              <w:rPr>
                <w:b/>
                <w:bCs/>
              </w:rPr>
            </w:pPr>
          </w:p>
        </w:tc>
        <w:tc>
          <w:tcPr>
            <w:tcW w:w="872" w:type="dxa"/>
            <w:vAlign w:val="center"/>
          </w:tcPr>
          <w:p w:rsidR="00D55D07" w:rsidRPr="00B0343D" w:rsidRDefault="00D55D07" w:rsidP="00F90497">
            <w:pPr>
              <w:jc w:val="center"/>
              <w:rPr>
                <w:sz w:val="20"/>
                <w:szCs w:val="20"/>
              </w:rPr>
            </w:pPr>
            <w:r w:rsidRPr="00B0343D">
              <w:rPr>
                <w:sz w:val="20"/>
                <w:szCs w:val="20"/>
              </w:rPr>
              <w:t xml:space="preserve">Country specific </w:t>
            </w:r>
            <w:r w:rsidRPr="00B0343D">
              <w:rPr>
                <w:b/>
                <w:sz w:val="20"/>
                <w:szCs w:val="20"/>
              </w:rPr>
              <w:t>(CS)</w:t>
            </w:r>
          </w:p>
        </w:tc>
        <w:tc>
          <w:tcPr>
            <w:tcW w:w="827" w:type="dxa"/>
            <w:vAlign w:val="center"/>
          </w:tcPr>
          <w:p w:rsidR="00D55D07" w:rsidRPr="00B0343D" w:rsidRDefault="00D55D07" w:rsidP="00F90497">
            <w:pPr>
              <w:jc w:val="center"/>
              <w:rPr>
                <w:sz w:val="20"/>
                <w:szCs w:val="20"/>
              </w:rPr>
            </w:pPr>
            <w:r w:rsidRPr="00B0343D">
              <w:rPr>
                <w:sz w:val="20"/>
                <w:szCs w:val="20"/>
              </w:rPr>
              <w:t xml:space="preserve">Multi country </w:t>
            </w:r>
            <w:r w:rsidRPr="00B0343D">
              <w:rPr>
                <w:b/>
                <w:sz w:val="20"/>
                <w:szCs w:val="20"/>
              </w:rPr>
              <w:t>(MC)</w:t>
            </w:r>
          </w:p>
        </w:tc>
        <w:tc>
          <w:tcPr>
            <w:tcW w:w="827" w:type="dxa"/>
            <w:vAlign w:val="center"/>
          </w:tcPr>
          <w:p w:rsidR="00D55D07" w:rsidRPr="00B0343D" w:rsidRDefault="00D55D07" w:rsidP="00F90497">
            <w:pPr>
              <w:jc w:val="center"/>
              <w:rPr>
                <w:sz w:val="20"/>
                <w:szCs w:val="20"/>
              </w:rPr>
            </w:pPr>
            <w:r w:rsidRPr="00B0343D">
              <w:rPr>
                <w:sz w:val="20"/>
                <w:szCs w:val="20"/>
              </w:rPr>
              <w:t xml:space="preserve">Inter country </w:t>
            </w:r>
            <w:r w:rsidRPr="00B0343D">
              <w:rPr>
                <w:b/>
                <w:sz w:val="20"/>
                <w:szCs w:val="20"/>
              </w:rPr>
              <w:t>(IC)</w:t>
            </w:r>
          </w:p>
        </w:tc>
      </w:tr>
      <w:tr w:rsidR="00D55D07" w:rsidRPr="00B0343D" w:rsidTr="008B443E">
        <w:trPr>
          <w:trHeight w:val="930"/>
        </w:trPr>
        <w:tc>
          <w:tcPr>
            <w:tcW w:w="534" w:type="dxa"/>
            <w:vAlign w:val="center"/>
          </w:tcPr>
          <w:p w:rsidR="00D55D07" w:rsidRPr="00B0343D" w:rsidRDefault="00D55D07" w:rsidP="00D15D4A">
            <w:pPr>
              <w:rPr>
                <w:highlight w:val="red"/>
              </w:rPr>
            </w:pPr>
          </w:p>
          <w:p w:rsidR="00D55D07" w:rsidRPr="00B0343D" w:rsidRDefault="00D55D07" w:rsidP="00D15D4A">
            <w:pPr>
              <w:rPr>
                <w:highlight w:val="red"/>
              </w:rPr>
            </w:pPr>
            <w:r w:rsidRPr="00B0343D">
              <w:t>10</w:t>
            </w:r>
          </w:p>
        </w:tc>
        <w:tc>
          <w:tcPr>
            <w:tcW w:w="2855" w:type="dxa"/>
            <w:vAlign w:val="center"/>
          </w:tcPr>
          <w:p w:rsidR="00D55D07" w:rsidRPr="00B0343D" w:rsidRDefault="00D55D07" w:rsidP="00144CCE">
            <w:pPr>
              <w:rPr>
                <w:color w:val="000000"/>
              </w:rPr>
            </w:pPr>
            <w:r w:rsidRPr="00B0343D">
              <w:rPr>
                <w:color w:val="000000"/>
                <w:sz w:val="22"/>
                <w:szCs w:val="22"/>
              </w:rPr>
              <w:t xml:space="preserve">(096) </w:t>
            </w:r>
            <w:r>
              <w:rPr>
                <w:color w:val="000000"/>
                <w:sz w:val="22"/>
                <w:szCs w:val="22"/>
              </w:rPr>
              <w:t xml:space="preserve"> </w:t>
            </w:r>
          </w:p>
          <w:p w:rsidR="00D55D07" w:rsidRPr="000F491A" w:rsidRDefault="00D55D07" w:rsidP="00F3331E">
            <w:r w:rsidRPr="000F491A">
              <w:rPr>
                <w:sz w:val="22"/>
                <w:szCs w:val="22"/>
              </w:rPr>
              <w:t>Member States utilize the information and analytical products provided by EURO to Member States for planning, monitoring and evaluation of health situation and inequalities at country level</w:t>
            </w:r>
          </w:p>
          <w:p w:rsidR="00D55D07" w:rsidRPr="000F491A" w:rsidRDefault="00D55D07" w:rsidP="00144CCE">
            <w:pPr>
              <w:rPr>
                <w:color w:val="000000"/>
              </w:rPr>
            </w:pPr>
          </w:p>
          <w:p w:rsidR="00D55D07" w:rsidRPr="00B0343D" w:rsidRDefault="00D55D07" w:rsidP="00144CCE">
            <w:pPr>
              <w:rPr>
                <w:highlight w:val="red"/>
              </w:rPr>
            </w:pPr>
          </w:p>
        </w:tc>
        <w:tc>
          <w:tcPr>
            <w:tcW w:w="3226" w:type="dxa"/>
          </w:tcPr>
          <w:p w:rsidR="00D55D07" w:rsidRPr="00B0343D" w:rsidRDefault="00D55D07" w:rsidP="00525F3A">
            <w:pPr>
              <w:rPr>
                <w:color w:val="000000"/>
              </w:rPr>
            </w:pPr>
            <w:r w:rsidRPr="00B0343D">
              <w:rPr>
                <w:color w:val="000000"/>
                <w:sz w:val="22"/>
                <w:szCs w:val="22"/>
              </w:rPr>
              <w:t>1) Enhanced analytical outputs for different reports and other dissemination and communication products based on HFA DB. Available national core health data sets allowing analysis of health needs and inequalities to inform decision makers.</w:t>
            </w:r>
          </w:p>
          <w:p w:rsidR="00D55D07" w:rsidRPr="00B0343D" w:rsidRDefault="00D55D07" w:rsidP="00F3331E">
            <w:pPr>
              <w:rPr>
                <w:color w:val="000000"/>
              </w:rPr>
            </w:pPr>
            <w:r w:rsidRPr="002C3313">
              <w:rPr>
                <w:sz w:val="22"/>
                <w:szCs w:val="22"/>
              </w:rPr>
              <w:t>2</w:t>
            </w:r>
            <w:r w:rsidRPr="002C3313">
              <w:rPr>
                <w:color w:val="000000"/>
                <w:sz w:val="22"/>
                <w:szCs w:val="22"/>
              </w:rPr>
              <w:t>)</w:t>
            </w:r>
            <w:r w:rsidRPr="00B0343D">
              <w:rPr>
                <w:color w:val="000000"/>
                <w:sz w:val="22"/>
                <w:szCs w:val="22"/>
              </w:rPr>
              <w:t xml:space="preserve"> ICD-10 web based training delivered. Application of tools for improving the collection and quality of vital and other health statistics</w:t>
            </w:r>
          </w:p>
          <w:p w:rsidR="00D55D07" w:rsidRPr="00B0343D" w:rsidRDefault="00D55D07" w:rsidP="00F90497">
            <w:pPr>
              <w:spacing w:before="120" w:after="120"/>
              <w:jc w:val="both"/>
              <w:rPr>
                <w:highlight w:val="red"/>
              </w:rPr>
            </w:pPr>
          </w:p>
        </w:tc>
        <w:tc>
          <w:tcPr>
            <w:tcW w:w="872" w:type="dxa"/>
          </w:tcPr>
          <w:p w:rsidR="00D55D07" w:rsidRDefault="00D55D07" w:rsidP="00F90497">
            <w:pPr>
              <w:spacing w:before="120" w:after="120"/>
              <w:jc w:val="center"/>
            </w:pPr>
            <w:r w:rsidRPr="00B0343D">
              <w:t>X</w:t>
            </w:r>
          </w:p>
          <w:p w:rsidR="00D55D07" w:rsidRDefault="00D55D07" w:rsidP="00F90497">
            <w:pPr>
              <w:spacing w:before="120" w:after="120"/>
              <w:jc w:val="center"/>
            </w:pPr>
          </w:p>
          <w:p w:rsidR="00D55D07" w:rsidRDefault="00D55D07" w:rsidP="00F90497">
            <w:pPr>
              <w:spacing w:before="120" w:after="120"/>
              <w:jc w:val="center"/>
            </w:pPr>
          </w:p>
          <w:p w:rsidR="00D55D07" w:rsidRDefault="00D55D07" w:rsidP="00F90497">
            <w:pPr>
              <w:spacing w:before="120" w:after="120"/>
              <w:jc w:val="center"/>
            </w:pPr>
          </w:p>
          <w:p w:rsidR="00D55D07" w:rsidRDefault="00D55D07" w:rsidP="00F90497">
            <w:pPr>
              <w:spacing w:before="120" w:after="120"/>
              <w:jc w:val="center"/>
            </w:pPr>
          </w:p>
          <w:p w:rsidR="00D55D07" w:rsidRDefault="00D55D07" w:rsidP="00F90497">
            <w:pPr>
              <w:spacing w:before="120" w:after="120"/>
              <w:jc w:val="center"/>
            </w:pPr>
          </w:p>
          <w:p w:rsidR="00D55D07" w:rsidRPr="00B0343D" w:rsidRDefault="00D55D07" w:rsidP="00F90497">
            <w:pPr>
              <w:spacing w:before="120" w:after="120"/>
              <w:jc w:val="center"/>
            </w:pPr>
            <w:r>
              <w:t>X</w:t>
            </w:r>
          </w:p>
        </w:tc>
        <w:tc>
          <w:tcPr>
            <w:tcW w:w="827" w:type="dxa"/>
          </w:tcPr>
          <w:p w:rsidR="00D55D07" w:rsidRPr="00B0343D" w:rsidRDefault="00D55D07" w:rsidP="00F90497">
            <w:pPr>
              <w:spacing w:before="120" w:after="120"/>
              <w:jc w:val="center"/>
            </w:pPr>
          </w:p>
        </w:tc>
        <w:tc>
          <w:tcPr>
            <w:tcW w:w="827" w:type="dxa"/>
          </w:tcPr>
          <w:p w:rsidR="00D55D07" w:rsidRPr="00B0343D" w:rsidRDefault="00D55D07" w:rsidP="00F90497">
            <w:pPr>
              <w:spacing w:before="120" w:after="120"/>
              <w:jc w:val="center"/>
            </w:pPr>
          </w:p>
        </w:tc>
      </w:tr>
    </w:tbl>
    <w:p w:rsidR="00D55D07" w:rsidRPr="00B0343D" w:rsidRDefault="00D55D07" w:rsidP="002C32DE">
      <w:pPr>
        <w:pStyle w:val="ListParagraph"/>
        <w:ind w:left="0"/>
      </w:pPr>
    </w:p>
    <w:p w:rsidR="00D55D07" w:rsidRPr="00B0343D" w:rsidRDefault="00D55D07" w:rsidP="002F3107">
      <w:pPr>
        <w:jc w:val="both"/>
        <w:rPr>
          <w:b/>
          <w:color w:val="000000"/>
          <w:sz w:val="26"/>
          <w:szCs w:val="26"/>
        </w:rPr>
      </w:pPr>
      <w:r w:rsidRPr="00B0343D">
        <w:rPr>
          <w:b/>
          <w:color w:val="000000"/>
          <w:sz w:val="26"/>
          <w:szCs w:val="26"/>
        </w:rPr>
        <w:br w:type="page"/>
      </w:r>
    </w:p>
    <w:p w:rsidR="00D55D07" w:rsidRPr="00B0343D" w:rsidRDefault="00D55D07" w:rsidP="00E457AD">
      <w:pPr>
        <w:pStyle w:val="Heading1"/>
        <w:jc w:val="center"/>
        <w:rPr>
          <w:rFonts w:ascii="Times New Roman" w:hAnsi="Times New Roman" w:cs="Times New Roman"/>
          <w:color w:val="0066FF"/>
          <w:lang w:eastAsia="en-GB"/>
        </w:rPr>
      </w:pPr>
      <w:bookmarkStart w:id="31" w:name="_Toc303786409"/>
      <w:r w:rsidRPr="00B0343D">
        <w:rPr>
          <w:rFonts w:ascii="Times New Roman" w:hAnsi="Times New Roman" w:cs="Times New Roman"/>
          <w:color w:val="0066FF"/>
        </w:rPr>
        <w:lastRenderedPageBreak/>
        <w:t>LIST OF A</w:t>
      </w:r>
      <w:r w:rsidRPr="00B0343D">
        <w:rPr>
          <w:rFonts w:ascii="Times New Roman" w:hAnsi="Times New Roman" w:cs="Times New Roman"/>
          <w:color w:val="0066FF"/>
          <w:lang w:eastAsia="en-GB"/>
        </w:rPr>
        <w:t>BBREVIATIONS</w:t>
      </w:r>
      <w:bookmarkEnd w:id="31"/>
    </w:p>
    <w:p w:rsidR="00D55D07" w:rsidRPr="00B0343D" w:rsidRDefault="00D55D07" w:rsidP="00246C0B">
      <w:pPr>
        <w:rPr>
          <w:lang w:eastAsia="en-GB"/>
        </w:rPr>
      </w:pPr>
    </w:p>
    <w:tbl>
      <w:tblPr>
        <w:tblW w:w="8174" w:type="dxa"/>
        <w:tblInd w:w="94" w:type="dxa"/>
        <w:tblLook w:val="0000"/>
      </w:tblPr>
      <w:tblGrid>
        <w:gridCol w:w="8174"/>
      </w:tblGrid>
      <w:tr w:rsidR="00D55D07" w:rsidRPr="00B0343D" w:rsidTr="00716FBA">
        <w:trPr>
          <w:trHeight w:val="278"/>
        </w:trPr>
        <w:tc>
          <w:tcPr>
            <w:tcW w:w="8174" w:type="dxa"/>
            <w:tcBorders>
              <w:top w:val="nil"/>
              <w:left w:val="nil"/>
              <w:bottom w:val="nil"/>
              <w:right w:val="nil"/>
            </w:tcBorders>
            <w:noWrap/>
            <w:vAlign w:val="bottom"/>
          </w:tcPr>
          <w:p w:rsidR="00D55D07" w:rsidRPr="00B0343D" w:rsidRDefault="00D55D07" w:rsidP="00716FBA">
            <w:pPr>
              <w:spacing w:before="120" w:after="60"/>
              <w:rPr>
                <w:b/>
                <w:color w:val="000000"/>
              </w:rPr>
            </w:pPr>
            <w:r w:rsidRPr="00B0343D">
              <w:rPr>
                <w:b/>
                <w:color w:val="000000"/>
              </w:rPr>
              <w:t>General abbreviations</w:t>
            </w:r>
          </w:p>
        </w:tc>
      </w:tr>
      <w:tr w:rsidR="00D55D07" w:rsidRPr="00B0343D" w:rsidTr="00716FBA">
        <w:trPr>
          <w:trHeight w:val="295"/>
        </w:trPr>
        <w:tc>
          <w:tcPr>
            <w:tcW w:w="8174" w:type="dxa"/>
            <w:tcBorders>
              <w:top w:val="nil"/>
              <w:left w:val="nil"/>
              <w:bottom w:val="nil"/>
              <w:right w:val="nil"/>
            </w:tcBorders>
            <w:noWrap/>
            <w:vAlign w:val="bottom"/>
          </w:tcPr>
          <w:p w:rsidR="00D55D07" w:rsidRPr="00B0343D" w:rsidRDefault="00D55D07" w:rsidP="002073BD">
            <w:pPr>
              <w:rPr>
                <w:color w:val="000000"/>
              </w:rPr>
            </w:pPr>
            <w:r w:rsidRPr="00B0343D">
              <w:rPr>
                <w:color w:val="000000"/>
              </w:rPr>
              <w:t>AC – Assessed contributions</w:t>
            </w:r>
          </w:p>
          <w:p w:rsidR="00D55D07" w:rsidRPr="00B0343D" w:rsidRDefault="00D55D07" w:rsidP="002073BD">
            <w:pPr>
              <w:rPr>
                <w:color w:val="000000"/>
              </w:rPr>
            </w:pPr>
            <w:r w:rsidRPr="00B0343D">
              <w:rPr>
                <w:color w:val="000000"/>
              </w:rPr>
              <w:t xml:space="preserve">BCA – Biennial Collaborative Agreement </w:t>
            </w:r>
          </w:p>
          <w:p w:rsidR="00D55D07" w:rsidRPr="00B0343D" w:rsidRDefault="00D55D07" w:rsidP="002073BD">
            <w:pPr>
              <w:rPr>
                <w:color w:val="000000"/>
              </w:rPr>
            </w:pPr>
            <w:r w:rsidRPr="00B0343D">
              <w:rPr>
                <w:color w:val="000000"/>
              </w:rPr>
              <w:t>CVCA – Core Voluntary Contributions Account</w:t>
            </w:r>
          </w:p>
          <w:p w:rsidR="00D55D07" w:rsidRPr="00B0343D" w:rsidRDefault="00D55D07" w:rsidP="002073BD">
            <w:pPr>
              <w:rPr>
                <w:color w:val="000000"/>
              </w:rPr>
            </w:pPr>
            <w:r w:rsidRPr="00B0343D">
              <w:rPr>
                <w:color w:val="000000"/>
              </w:rPr>
              <w:t>HWCO – Head of the WHO Country Office</w:t>
            </w:r>
          </w:p>
        </w:tc>
      </w:tr>
      <w:tr w:rsidR="00D55D07" w:rsidRPr="00B0343D" w:rsidTr="00716FBA">
        <w:trPr>
          <w:trHeight w:val="295"/>
        </w:trPr>
        <w:tc>
          <w:tcPr>
            <w:tcW w:w="8174" w:type="dxa"/>
            <w:tcBorders>
              <w:top w:val="nil"/>
              <w:left w:val="nil"/>
              <w:bottom w:val="nil"/>
              <w:right w:val="nil"/>
            </w:tcBorders>
            <w:noWrap/>
            <w:vAlign w:val="bottom"/>
          </w:tcPr>
          <w:p w:rsidR="00D55D07" w:rsidRPr="00B0343D" w:rsidRDefault="00D55D07" w:rsidP="00716FBA">
            <w:pPr>
              <w:rPr>
                <w:color w:val="000000"/>
              </w:rPr>
            </w:pPr>
            <w:r w:rsidRPr="00B0343D">
              <w:rPr>
                <w:color w:val="000000"/>
              </w:rPr>
              <w:t>HQ – World Health Organization headquarters</w:t>
            </w:r>
          </w:p>
          <w:p w:rsidR="00D55D07" w:rsidRPr="00B0343D" w:rsidRDefault="00D55D07" w:rsidP="00716FBA">
            <w:pPr>
              <w:rPr>
                <w:color w:val="000000"/>
              </w:rPr>
            </w:pPr>
            <w:r w:rsidRPr="00B0343D">
              <w:rPr>
                <w:color w:val="000000"/>
              </w:rPr>
              <w:t>KPO – Key Priority Outcome</w:t>
            </w:r>
          </w:p>
          <w:p w:rsidR="00D55D07" w:rsidRPr="00B0343D" w:rsidRDefault="00D55D07" w:rsidP="00716FBA">
            <w:pPr>
              <w:rPr>
                <w:color w:val="000000"/>
              </w:rPr>
            </w:pPr>
            <w:r w:rsidRPr="00B0343D">
              <w:rPr>
                <w:color w:val="000000"/>
              </w:rPr>
              <w:t>MTSP – WHO Medium Term Strategic Plan</w:t>
            </w:r>
          </w:p>
          <w:p w:rsidR="00D55D07" w:rsidRPr="00B0343D" w:rsidRDefault="00D55D07" w:rsidP="00716FBA">
            <w:pPr>
              <w:rPr>
                <w:color w:val="000000"/>
              </w:rPr>
            </w:pPr>
            <w:r w:rsidRPr="00B0343D">
              <w:rPr>
                <w:color w:val="000000"/>
              </w:rPr>
              <w:t>ODA – Official Development Assistance</w:t>
            </w:r>
          </w:p>
          <w:p w:rsidR="00D55D07" w:rsidRPr="00B0343D" w:rsidRDefault="00D55D07" w:rsidP="00716FBA">
            <w:pPr>
              <w:rPr>
                <w:color w:val="000000"/>
              </w:rPr>
            </w:pPr>
            <w:r w:rsidRPr="00B0343D">
              <w:rPr>
                <w:color w:val="000000"/>
              </w:rPr>
              <w:t>OPO – Other Priority Outcome</w:t>
            </w:r>
          </w:p>
          <w:p w:rsidR="00D55D07" w:rsidRPr="00B0343D" w:rsidRDefault="00D55D07" w:rsidP="00716FBA">
            <w:pPr>
              <w:rPr>
                <w:color w:val="000000"/>
              </w:rPr>
            </w:pPr>
            <w:r w:rsidRPr="00B0343D">
              <w:rPr>
                <w:color w:val="000000"/>
              </w:rPr>
              <w:t>SO – Strategic objective</w:t>
            </w:r>
          </w:p>
          <w:p w:rsidR="00D55D07" w:rsidRDefault="00D55D07" w:rsidP="00716FBA">
            <w:pPr>
              <w:rPr>
                <w:color w:val="000000"/>
              </w:rPr>
            </w:pPr>
            <w:r w:rsidRPr="00B0343D">
              <w:rPr>
                <w:color w:val="000000"/>
              </w:rPr>
              <w:t>VCS – Specified Voluntary Contributions</w:t>
            </w:r>
          </w:p>
          <w:p w:rsidR="00D55D07" w:rsidRDefault="00D55D07" w:rsidP="008B443E">
            <w:pPr>
              <w:rPr>
                <w:color w:val="000000"/>
              </w:rPr>
            </w:pPr>
            <w:r>
              <w:rPr>
                <w:color w:val="000000"/>
              </w:rPr>
              <w:t>RO – Regional Office</w:t>
            </w:r>
          </w:p>
          <w:p w:rsidR="00D55D07" w:rsidRDefault="00D55D07" w:rsidP="008B443E">
            <w:pPr>
              <w:rPr>
                <w:color w:val="000000"/>
              </w:rPr>
            </w:pPr>
            <w:r>
              <w:rPr>
                <w:color w:val="000000"/>
              </w:rPr>
              <w:t>GDO – Geographically Dispersed Office</w:t>
            </w:r>
          </w:p>
          <w:p w:rsidR="00D55D07" w:rsidRPr="00B0343D" w:rsidRDefault="00D55D07" w:rsidP="008B443E">
            <w:pPr>
              <w:rPr>
                <w:color w:val="000000"/>
              </w:rPr>
            </w:pPr>
            <w:r>
              <w:rPr>
                <w:color w:val="000000"/>
              </w:rPr>
              <w:t>CO – Country Office</w:t>
            </w:r>
          </w:p>
        </w:tc>
      </w:tr>
    </w:tbl>
    <w:p w:rsidR="00D55D07" w:rsidRPr="00B0343D" w:rsidRDefault="00D55D07" w:rsidP="00363CBB"/>
    <w:tbl>
      <w:tblPr>
        <w:tblW w:w="8174" w:type="dxa"/>
        <w:tblInd w:w="94" w:type="dxa"/>
        <w:tblLook w:val="0000"/>
      </w:tblPr>
      <w:tblGrid>
        <w:gridCol w:w="8174"/>
      </w:tblGrid>
      <w:tr w:rsidR="00D55D07" w:rsidRPr="00B0343D" w:rsidTr="00716FBA">
        <w:trPr>
          <w:trHeight w:val="277"/>
        </w:trPr>
        <w:tc>
          <w:tcPr>
            <w:tcW w:w="8174" w:type="dxa"/>
            <w:tcBorders>
              <w:top w:val="nil"/>
              <w:left w:val="nil"/>
              <w:bottom w:val="nil"/>
              <w:right w:val="nil"/>
            </w:tcBorders>
            <w:noWrap/>
            <w:vAlign w:val="bottom"/>
          </w:tcPr>
          <w:p w:rsidR="00D55D07" w:rsidRPr="00B0343D" w:rsidRDefault="00D55D07" w:rsidP="00716FBA">
            <w:pPr>
              <w:spacing w:after="60"/>
              <w:rPr>
                <w:color w:val="000000"/>
              </w:rPr>
            </w:pPr>
            <w:r w:rsidRPr="00B0343D">
              <w:rPr>
                <w:b/>
                <w:color w:val="000000"/>
                <w:lang w:eastAsia="en-GB"/>
              </w:rPr>
              <w:t>Technical abbreviations</w:t>
            </w:r>
          </w:p>
        </w:tc>
      </w:tr>
      <w:tr w:rsidR="00D55D07" w:rsidRPr="00B0343D" w:rsidTr="00716FBA">
        <w:trPr>
          <w:trHeight w:val="364"/>
        </w:trPr>
        <w:tc>
          <w:tcPr>
            <w:tcW w:w="8174" w:type="dxa"/>
            <w:tcBorders>
              <w:top w:val="nil"/>
              <w:left w:val="nil"/>
              <w:bottom w:val="nil"/>
              <w:right w:val="nil"/>
            </w:tcBorders>
            <w:noWrap/>
            <w:vAlign w:val="bottom"/>
          </w:tcPr>
          <w:p w:rsidR="00D55D07" w:rsidRPr="00B0343D" w:rsidRDefault="00D55D07" w:rsidP="00716FBA">
            <w:pPr>
              <w:spacing w:before="80"/>
            </w:pPr>
            <w:r w:rsidRPr="00B0343D">
              <w:t xml:space="preserve">MDG – Millennium Development Goals </w:t>
            </w:r>
          </w:p>
        </w:tc>
      </w:tr>
      <w:tr w:rsidR="00D55D07" w:rsidRPr="00B0343D" w:rsidTr="00716FBA">
        <w:trPr>
          <w:trHeight w:val="365"/>
        </w:trPr>
        <w:tc>
          <w:tcPr>
            <w:tcW w:w="8174" w:type="dxa"/>
            <w:tcBorders>
              <w:top w:val="nil"/>
              <w:left w:val="nil"/>
              <w:bottom w:val="nil"/>
              <w:right w:val="nil"/>
            </w:tcBorders>
            <w:noWrap/>
            <w:vAlign w:val="bottom"/>
          </w:tcPr>
          <w:p w:rsidR="00D55D07" w:rsidRPr="00B0343D" w:rsidRDefault="00D55D07" w:rsidP="00716FBA">
            <w:pPr>
              <w:rPr>
                <w:color w:val="000000"/>
              </w:rPr>
            </w:pPr>
            <w:r w:rsidRPr="00B0343D">
              <w:rPr>
                <w:color w:val="000000"/>
              </w:rPr>
              <w:t>PHC – Primary Health Care</w:t>
            </w:r>
          </w:p>
        </w:tc>
      </w:tr>
      <w:tr w:rsidR="00D55D07" w:rsidRPr="00B0343D" w:rsidTr="00716FBA">
        <w:trPr>
          <w:trHeight w:val="365"/>
        </w:trPr>
        <w:tc>
          <w:tcPr>
            <w:tcW w:w="8174" w:type="dxa"/>
            <w:tcBorders>
              <w:top w:val="nil"/>
              <w:left w:val="nil"/>
              <w:bottom w:val="nil"/>
              <w:right w:val="nil"/>
            </w:tcBorders>
            <w:noWrap/>
            <w:vAlign w:val="bottom"/>
          </w:tcPr>
          <w:p w:rsidR="00D55D07" w:rsidRPr="00B0343D" w:rsidRDefault="00D55D07" w:rsidP="003871D9">
            <w:pPr>
              <w:rPr>
                <w:color w:val="000000"/>
              </w:rPr>
            </w:pPr>
            <w:r w:rsidRPr="00B0343D">
              <w:rPr>
                <w:color w:val="000000"/>
              </w:rPr>
              <w:t>SDH</w:t>
            </w:r>
            <w:r w:rsidRPr="00B0343D">
              <w:rPr>
                <w:iCs/>
              </w:rPr>
              <w:t xml:space="preserve">/HI </w:t>
            </w:r>
            <w:r w:rsidRPr="00B0343D">
              <w:softHyphen/>
            </w:r>
            <w:r w:rsidRPr="00B0343D">
              <w:rPr>
                <w:color w:val="000000"/>
              </w:rPr>
              <w:t>–</w:t>
            </w:r>
            <w:r w:rsidRPr="00B0343D">
              <w:softHyphen/>
            </w:r>
            <w:r w:rsidRPr="00B0343D">
              <w:rPr>
                <w:iCs/>
              </w:rPr>
              <w:t xml:space="preserve"> Social determinants of health and inequities</w:t>
            </w:r>
          </w:p>
        </w:tc>
      </w:tr>
      <w:tr w:rsidR="00D55D07" w:rsidRPr="00B0343D" w:rsidTr="00716FBA">
        <w:trPr>
          <w:trHeight w:val="365"/>
        </w:trPr>
        <w:tc>
          <w:tcPr>
            <w:tcW w:w="8174" w:type="dxa"/>
            <w:tcBorders>
              <w:top w:val="nil"/>
              <w:left w:val="nil"/>
              <w:bottom w:val="nil"/>
              <w:right w:val="nil"/>
            </w:tcBorders>
            <w:noWrap/>
            <w:vAlign w:val="bottom"/>
          </w:tcPr>
          <w:p w:rsidR="00D55D07" w:rsidRPr="00B0343D" w:rsidRDefault="00D55D07" w:rsidP="00646BB1">
            <w:pPr>
              <w:rPr>
                <w:color w:val="000000"/>
              </w:rPr>
            </w:pPr>
            <w:r w:rsidRPr="00B0343D">
              <w:rPr>
                <w:color w:val="000000"/>
              </w:rPr>
              <w:t>NHPS</w:t>
            </w:r>
            <w:r w:rsidRPr="00B0343D">
              <w:rPr>
                <w:iCs/>
              </w:rPr>
              <w:t xml:space="preserve">&amp;P </w:t>
            </w:r>
            <w:r w:rsidRPr="00B0343D">
              <w:softHyphen/>
            </w:r>
            <w:r w:rsidRPr="00B0343D">
              <w:rPr>
                <w:color w:val="000000"/>
              </w:rPr>
              <w:t>–</w:t>
            </w:r>
            <w:r w:rsidRPr="00B0343D">
              <w:rPr>
                <w:iCs/>
              </w:rPr>
              <w:t xml:space="preserve"> National health policies, strategies and plans</w:t>
            </w:r>
          </w:p>
        </w:tc>
      </w:tr>
      <w:tr w:rsidR="00D55D07" w:rsidRPr="00B0343D" w:rsidTr="00716FBA">
        <w:trPr>
          <w:trHeight w:val="365"/>
        </w:trPr>
        <w:tc>
          <w:tcPr>
            <w:tcW w:w="8174" w:type="dxa"/>
            <w:tcBorders>
              <w:top w:val="nil"/>
              <w:left w:val="nil"/>
              <w:bottom w:val="nil"/>
              <w:right w:val="nil"/>
            </w:tcBorders>
            <w:noWrap/>
            <w:vAlign w:val="bottom"/>
          </w:tcPr>
          <w:p w:rsidR="00D55D07" w:rsidRPr="00B0343D" w:rsidRDefault="00D55D07" w:rsidP="00D44435">
            <w:pPr>
              <w:rPr>
                <w:color w:val="000000"/>
              </w:rPr>
            </w:pPr>
            <w:r w:rsidRPr="00B0343D">
              <w:rPr>
                <w:color w:val="000000"/>
              </w:rPr>
              <w:t xml:space="preserve">WHO </w:t>
            </w:r>
            <w:r w:rsidRPr="00B0343D">
              <w:t xml:space="preserve">FCTC </w:t>
            </w:r>
            <w:r w:rsidRPr="00B0343D">
              <w:softHyphen/>
            </w:r>
            <w:r w:rsidRPr="00B0343D">
              <w:rPr>
                <w:color w:val="000000"/>
              </w:rPr>
              <w:t>–</w:t>
            </w:r>
            <w:r w:rsidRPr="00B0343D">
              <w:t xml:space="preserve"> WHO Framework Convention on tobacco control</w:t>
            </w:r>
          </w:p>
        </w:tc>
      </w:tr>
      <w:tr w:rsidR="00D55D07" w:rsidRPr="00B0343D" w:rsidTr="00716FBA">
        <w:trPr>
          <w:trHeight w:val="365"/>
        </w:trPr>
        <w:tc>
          <w:tcPr>
            <w:tcW w:w="8174" w:type="dxa"/>
            <w:tcBorders>
              <w:top w:val="nil"/>
              <w:left w:val="nil"/>
              <w:bottom w:val="nil"/>
              <w:right w:val="nil"/>
            </w:tcBorders>
            <w:noWrap/>
            <w:vAlign w:val="bottom"/>
          </w:tcPr>
          <w:p w:rsidR="00D55D07" w:rsidRPr="00B0343D" w:rsidRDefault="00D55D07" w:rsidP="00716FBA">
            <w:pPr>
              <w:rPr>
                <w:color w:val="000000"/>
              </w:rPr>
            </w:pPr>
            <w:r w:rsidRPr="00B0343D">
              <w:t xml:space="preserve">MPOWER </w:t>
            </w:r>
            <w:r w:rsidRPr="00B0343D">
              <w:softHyphen/>
              <w:t xml:space="preserve"> </w:t>
            </w:r>
            <w:r w:rsidRPr="00B0343D">
              <w:rPr>
                <w:color w:val="000000"/>
              </w:rPr>
              <w:t xml:space="preserve">– </w:t>
            </w:r>
            <w:r w:rsidRPr="00B0343D">
              <w:t>A Policy package to reverse the tobacco epidemic (Monitor, Protect, Offer, Warn, Enforce, Raise)</w:t>
            </w:r>
          </w:p>
        </w:tc>
      </w:tr>
      <w:tr w:rsidR="00D55D07" w:rsidRPr="00B0343D" w:rsidTr="00716FBA">
        <w:trPr>
          <w:trHeight w:val="365"/>
        </w:trPr>
        <w:tc>
          <w:tcPr>
            <w:tcW w:w="8174" w:type="dxa"/>
            <w:tcBorders>
              <w:top w:val="nil"/>
              <w:left w:val="nil"/>
              <w:bottom w:val="nil"/>
              <w:right w:val="nil"/>
            </w:tcBorders>
            <w:noWrap/>
            <w:vAlign w:val="bottom"/>
          </w:tcPr>
          <w:p w:rsidR="00D55D07" w:rsidRPr="00B0343D" w:rsidRDefault="00D55D07" w:rsidP="00716FBA">
            <w:r w:rsidRPr="00B0343D">
              <w:rPr>
                <w:color w:val="000000"/>
              </w:rPr>
              <w:t xml:space="preserve">NCD </w:t>
            </w:r>
            <w:r w:rsidRPr="00B0343D">
              <w:softHyphen/>
            </w:r>
            <w:r w:rsidRPr="00B0343D">
              <w:rPr>
                <w:color w:val="000000"/>
              </w:rPr>
              <w:t>–</w:t>
            </w:r>
            <w:r w:rsidRPr="00B0343D">
              <w:t xml:space="preserve"> Non-communicable diseases</w:t>
            </w:r>
          </w:p>
        </w:tc>
      </w:tr>
      <w:tr w:rsidR="00D55D07" w:rsidRPr="00B0343D" w:rsidTr="00716FBA">
        <w:trPr>
          <w:trHeight w:val="365"/>
        </w:trPr>
        <w:tc>
          <w:tcPr>
            <w:tcW w:w="8174" w:type="dxa"/>
            <w:tcBorders>
              <w:top w:val="nil"/>
              <w:left w:val="nil"/>
              <w:bottom w:val="nil"/>
              <w:right w:val="nil"/>
            </w:tcBorders>
            <w:noWrap/>
            <w:vAlign w:val="bottom"/>
          </w:tcPr>
          <w:p w:rsidR="00D55D07" w:rsidRPr="00B0343D" w:rsidRDefault="00D55D07" w:rsidP="00716FBA">
            <w:pPr>
              <w:rPr>
                <w:color w:val="000000"/>
              </w:rPr>
            </w:pPr>
            <w:r w:rsidRPr="00B0343D">
              <w:t xml:space="preserve">IHR </w:t>
            </w:r>
            <w:r w:rsidRPr="00B0343D">
              <w:softHyphen/>
            </w:r>
            <w:r w:rsidRPr="00B0343D">
              <w:rPr>
                <w:color w:val="000000"/>
              </w:rPr>
              <w:t>–</w:t>
            </w:r>
            <w:r w:rsidRPr="00B0343D">
              <w:t xml:space="preserve"> International Health regulations</w:t>
            </w:r>
          </w:p>
        </w:tc>
      </w:tr>
      <w:tr w:rsidR="00D55D07" w:rsidRPr="00B0343D" w:rsidTr="00716FBA">
        <w:trPr>
          <w:trHeight w:val="365"/>
        </w:trPr>
        <w:tc>
          <w:tcPr>
            <w:tcW w:w="8174" w:type="dxa"/>
            <w:tcBorders>
              <w:top w:val="nil"/>
              <w:left w:val="nil"/>
              <w:bottom w:val="nil"/>
              <w:right w:val="nil"/>
            </w:tcBorders>
            <w:noWrap/>
            <w:vAlign w:val="bottom"/>
          </w:tcPr>
          <w:p w:rsidR="00D55D07" w:rsidRPr="00B0343D" w:rsidRDefault="00D55D07" w:rsidP="00646BB1">
            <w:r w:rsidRPr="00B0343D">
              <w:t xml:space="preserve">NFPs </w:t>
            </w:r>
            <w:r w:rsidRPr="00B0343D">
              <w:softHyphen/>
            </w:r>
            <w:r w:rsidRPr="00B0343D">
              <w:rPr>
                <w:color w:val="000000"/>
              </w:rPr>
              <w:t>–</w:t>
            </w:r>
            <w:r w:rsidRPr="00B0343D">
              <w:t xml:space="preserve"> National focal points</w:t>
            </w:r>
          </w:p>
        </w:tc>
      </w:tr>
      <w:tr w:rsidR="00D55D07" w:rsidRPr="00B0343D" w:rsidTr="00716FBA">
        <w:trPr>
          <w:trHeight w:val="365"/>
        </w:trPr>
        <w:tc>
          <w:tcPr>
            <w:tcW w:w="8174" w:type="dxa"/>
            <w:tcBorders>
              <w:top w:val="nil"/>
              <w:left w:val="nil"/>
              <w:bottom w:val="nil"/>
              <w:right w:val="nil"/>
            </w:tcBorders>
            <w:noWrap/>
            <w:vAlign w:val="bottom"/>
          </w:tcPr>
          <w:p w:rsidR="00D55D07" w:rsidRPr="00B0343D" w:rsidRDefault="00D55D07" w:rsidP="00CF4381">
            <w:r w:rsidRPr="00B0343D">
              <w:rPr>
                <w:color w:val="000000"/>
              </w:rPr>
              <w:t xml:space="preserve">M/XDR-TB </w:t>
            </w:r>
            <w:r w:rsidRPr="00B0343D">
              <w:softHyphen/>
            </w:r>
            <w:r w:rsidRPr="00B0343D">
              <w:rPr>
                <w:color w:val="000000"/>
              </w:rPr>
              <w:t>–</w:t>
            </w:r>
            <w:r w:rsidRPr="00B0343D">
              <w:t xml:space="preserve"> Multidrug and extensively drug resistant TB</w:t>
            </w:r>
          </w:p>
        </w:tc>
      </w:tr>
      <w:tr w:rsidR="00D55D07" w:rsidRPr="00B0343D" w:rsidTr="00716FBA">
        <w:trPr>
          <w:trHeight w:val="365"/>
        </w:trPr>
        <w:tc>
          <w:tcPr>
            <w:tcW w:w="8174" w:type="dxa"/>
            <w:tcBorders>
              <w:top w:val="nil"/>
              <w:left w:val="nil"/>
              <w:bottom w:val="nil"/>
              <w:right w:val="nil"/>
            </w:tcBorders>
            <w:noWrap/>
            <w:vAlign w:val="bottom"/>
          </w:tcPr>
          <w:p w:rsidR="00D55D07" w:rsidRPr="00B0343D" w:rsidRDefault="00D55D07" w:rsidP="00716FBA">
            <w:pPr>
              <w:rPr>
                <w:color w:val="000000"/>
              </w:rPr>
            </w:pPr>
            <w:r w:rsidRPr="00B0343D">
              <w:rPr>
                <w:bCs/>
                <w:color w:val="000000"/>
              </w:rPr>
              <w:t xml:space="preserve">CBOs </w:t>
            </w:r>
            <w:r w:rsidRPr="00B0343D">
              <w:softHyphen/>
            </w:r>
            <w:r w:rsidRPr="00B0343D">
              <w:rPr>
                <w:color w:val="000000"/>
              </w:rPr>
              <w:t>–</w:t>
            </w:r>
            <w:r w:rsidRPr="00B0343D">
              <w:t xml:space="preserve"> Community based organisations</w:t>
            </w:r>
          </w:p>
        </w:tc>
      </w:tr>
      <w:tr w:rsidR="00D55D07" w:rsidRPr="00B0343D" w:rsidTr="00716FBA">
        <w:trPr>
          <w:trHeight w:val="365"/>
        </w:trPr>
        <w:tc>
          <w:tcPr>
            <w:tcW w:w="8174" w:type="dxa"/>
            <w:tcBorders>
              <w:top w:val="nil"/>
              <w:left w:val="nil"/>
              <w:bottom w:val="nil"/>
              <w:right w:val="nil"/>
            </w:tcBorders>
            <w:noWrap/>
            <w:vAlign w:val="bottom"/>
          </w:tcPr>
          <w:p w:rsidR="00D55D07" w:rsidRPr="00B0343D" w:rsidRDefault="00D55D07" w:rsidP="00716FBA">
            <w:pPr>
              <w:rPr>
                <w:color w:val="000000"/>
              </w:rPr>
            </w:pPr>
            <w:r w:rsidRPr="00B0343D">
              <w:rPr>
                <w:color w:val="000000"/>
              </w:rPr>
              <w:t xml:space="preserve">HiT </w:t>
            </w:r>
            <w:r w:rsidRPr="00B0343D">
              <w:softHyphen/>
            </w:r>
            <w:r w:rsidRPr="00B0343D">
              <w:rPr>
                <w:color w:val="000000"/>
              </w:rPr>
              <w:t>–</w:t>
            </w:r>
            <w:r w:rsidRPr="00B0343D">
              <w:t xml:space="preserve"> Health in transition</w:t>
            </w:r>
          </w:p>
        </w:tc>
      </w:tr>
      <w:tr w:rsidR="00A3254F" w:rsidRPr="00B0343D" w:rsidTr="00716FBA">
        <w:trPr>
          <w:trHeight w:val="365"/>
        </w:trPr>
        <w:tc>
          <w:tcPr>
            <w:tcW w:w="8174" w:type="dxa"/>
            <w:tcBorders>
              <w:top w:val="nil"/>
              <w:left w:val="nil"/>
              <w:bottom w:val="nil"/>
              <w:right w:val="nil"/>
            </w:tcBorders>
            <w:noWrap/>
            <w:vAlign w:val="bottom"/>
          </w:tcPr>
          <w:p w:rsidR="00A3254F" w:rsidRPr="00B0343D" w:rsidRDefault="00A3254F" w:rsidP="00716FBA">
            <w:pPr>
              <w:rPr>
                <w:color w:val="000000"/>
              </w:rPr>
            </w:pPr>
            <w:r>
              <w:rPr>
                <w:color w:val="000000"/>
              </w:rPr>
              <w:t xml:space="preserve">HIA – Health impact assesment </w:t>
            </w:r>
          </w:p>
        </w:tc>
      </w:tr>
    </w:tbl>
    <w:p w:rsidR="00D55D07" w:rsidRDefault="00D55D07" w:rsidP="00246C0B">
      <w:pPr>
        <w:rPr>
          <w:lang w:eastAsia="en-GB"/>
        </w:rPr>
      </w:pPr>
    </w:p>
    <w:p w:rsidR="00A17805" w:rsidRDefault="00A17805" w:rsidP="00246C0B">
      <w:pPr>
        <w:rPr>
          <w:lang w:eastAsia="en-GB"/>
        </w:rPr>
      </w:pPr>
    </w:p>
    <w:p w:rsidR="003E19A7" w:rsidRDefault="003E19A7" w:rsidP="00246C0B">
      <w:pPr>
        <w:rPr>
          <w:lang w:eastAsia="en-GB"/>
        </w:rPr>
      </w:pPr>
    </w:p>
    <w:p w:rsidR="003E19A7" w:rsidRDefault="003E19A7" w:rsidP="00246C0B">
      <w:pPr>
        <w:rPr>
          <w:lang w:eastAsia="en-GB"/>
        </w:rPr>
      </w:pPr>
      <w:r>
        <w:rPr>
          <w:lang w:eastAsia="en-GB"/>
        </w:rPr>
        <w:t>Veselības ministre</w:t>
      </w:r>
      <w:r>
        <w:rPr>
          <w:lang w:eastAsia="en-GB"/>
        </w:rPr>
        <w:tab/>
      </w:r>
      <w:r>
        <w:rPr>
          <w:lang w:eastAsia="en-GB"/>
        </w:rPr>
        <w:tab/>
      </w:r>
      <w:r>
        <w:rPr>
          <w:lang w:eastAsia="en-GB"/>
        </w:rPr>
        <w:tab/>
      </w:r>
      <w:r>
        <w:rPr>
          <w:lang w:eastAsia="en-GB"/>
        </w:rPr>
        <w:tab/>
        <w:t>I.Circene</w:t>
      </w:r>
    </w:p>
    <w:p w:rsidR="003E19A7" w:rsidRDefault="003E19A7" w:rsidP="00246C0B">
      <w:pPr>
        <w:rPr>
          <w:lang w:eastAsia="en-GB"/>
        </w:rPr>
      </w:pPr>
    </w:p>
    <w:p w:rsidR="003E19A7" w:rsidRDefault="003E19A7" w:rsidP="00246C0B">
      <w:pPr>
        <w:rPr>
          <w:lang w:eastAsia="en-GB"/>
        </w:rPr>
      </w:pPr>
    </w:p>
    <w:p w:rsidR="00A17805" w:rsidRDefault="00A17805" w:rsidP="00246C0B">
      <w:pPr>
        <w:rPr>
          <w:lang w:eastAsia="en-GB"/>
        </w:rPr>
      </w:pPr>
    </w:p>
    <w:p w:rsidR="00A17805" w:rsidRPr="005C0207" w:rsidRDefault="003E19A7" w:rsidP="00A17805">
      <w:pPr>
        <w:rPr>
          <w:sz w:val="20"/>
          <w:szCs w:val="20"/>
        </w:rPr>
      </w:pPr>
      <w:r>
        <w:rPr>
          <w:sz w:val="20"/>
          <w:szCs w:val="20"/>
        </w:rPr>
        <w:t>04.01.12</w:t>
      </w:r>
      <w:r w:rsidR="0040515D">
        <w:rPr>
          <w:sz w:val="20"/>
          <w:szCs w:val="20"/>
        </w:rPr>
        <w:t xml:space="preserve"> </w:t>
      </w:r>
      <w:r w:rsidR="0040515D">
        <w:rPr>
          <w:sz w:val="20"/>
          <w:szCs w:val="20"/>
        </w:rPr>
        <w:tab/>
      </w:r>
      <w:r w:rsidR="00BD3628">
        <w:rPr>
          <w:sz w:val="20"/>
          <w:szCs w:val="20"/>
        </w:rPr>
        <w:t>15:16</w:t>
      </w:r>
    </w:p>
    <w:p w:rsidR="00A17805" w:rsidRPr="005C0207" w:rsidRDefault="003E19A7" w:rsidP="00A17805">
      <w:pPr>
        <w:rPr>
          <w:sz w:val="20"/>
          <w:szCs w:val="20"/>
        </w:rPr>
      </w:pPr>
      <w:r>
        <w:rPr>
          <w:sz w:val="20"/>
          <w:szCs w:val="20"/>
        </w:rPr>
        <w:t xml:space="preserve">4 </w:t>
      </w:r>
      <w:r w:rsidR="00BD3628">
        <w:rPr>
          <w:sz w:val="20"/>
          <w:szCs w:val="20"/>
        </w:rPr>
        <w:t>703</w:t>
      </w:r>
    </w:p>
    <w:p w:rsidR="00A17805" w:rsidRPr="005C0207" w:rsidRDefault="00AD0285" w:rsidP="00A17805">
      <w:pPr>
        <w:rPr>
          <w:sz w:val="20"/>
          <w:szCs w:val="20"/>
        </w:rPr>
      </w:pPr>
      <w:r>
        <w:rPr>
          <w:sz w:val="20"/>
          <w:szCs w:val="20"/>
        </w:rPr>
        <w:t>L.Pauliņš</w:t>
      </w:r>
    </w:p>
    <w:p w:rsidR="00A17805" w:rsidRPr="00B0343D" w:rsidRDefault="00AD0285" w:rsidP="00246C0B">
      <w:pPr>
        <w:rPr>
          <w:lang w:eastAsia="en-GB"/>
        </w:rPr>
      </w:pPr>
      <w:r>
        <w:rPr>
          <w:sz w:val="20"/>
          <w:szCs w:val="20"/>
        </w:rPr>
        <w:t>67876024</w:t>
      </w:r>
      <w:r w:rsidR="00A17805" w:rsidRPr="005C0207">
        <w:rPr>
          <w:sz w:val="20"/>
          <w:szCs w:val="20"/>
        </w:rPr>
        <w:t xml:space="preserve">, </w:t>
      </w:r>
      <w:r>
        <w:rPr>
          <w:sz w:val="20"/>
          <w:szCs w:val="20"/>
        </w:rPr>
        <w:t>ludis.paulins</w:t>
      </w:r>
      <w:r w:rsidR="00A17805" w:rsidRPr="005C0207">
        <w:rPr>
          <w:sz w:val="20"/>
          <w:szCs w:val="20"/>
        </w:rPr>
        <w:t>@vm.gov.lv</w:t>
      </w:r>
    </w:p>
    <w:sectPr w:rsidR="00A17805" w:rsidRPr="00B0343D" w:rsidSect="00D23F6F">
      <w:footerReference w:type="default" r:id="rId16"/>
      <w:type w:val="nextColumn"/>
      <w:pgSz w:w="11907" w:h="16840" w:code="9"/>
      <w:pgMar w:top="1134" w:right="1417" w:bottom="720" w:left="1418"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16" w:rsidRDefault="00F97616">
      <w:r>
        <w:separator/>
      </w:r>
    </w:p>
  </w:endnote>
  <w:endnote w:type="continuationSeparator" w:id="0">
    <w:p w:rsidR="00F97616" w:rsidRDefault="00F97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Times">
    <w:panose1 w:val="02020603050405020304"/>
    <w:charset w:val="BA"/>
    <w:family w:val="roman"/>
    <w:pitch w:val="variable"/>
    <w:sig w:usb0="E0002AEF" w:usb1="C0007841"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16" w:rsidRDefault="00BF16DC" w:rsidP="00AC7F0D">
    <w:pPr>
      <w:pStyle w:val="Footer"/>
      <w:framePr w:wrap="around" w:vAnchor="text" w:hAnchor="margin" w:xAlign="right" w:y="1"/>
      <w:rPr>
        <w:rStyle w:val="PageNumber"/>
      </w:rPr>
    </w:pPr>
    <w:r>
      <w:rPr>
        <w:rStyle w:val="PageNumber"/>
      </w:rPr>
      <w:fldChar w:fldCharType="begin"/>
    </w:r>
    <w:r w:rsidR="00F97616">
      <w:rPr>
        <w:rStyle w:val="PageNumber"/>
      </w:rPr>
      <w:instrText xml:space="preserve">PAGE  </w:instrText>
    </w:r>
    <w:r>
      <w:rPr>
        <w:rStyle w:val="PageNumber"/>
      </w:rPr>
      <w:fldChar w:fldCharType="end"/>
    </w:r>
  </w:p>
  <w:p w:rsidR="00F97616" w:rsidRDefault="00F976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16" w:rsidRDefault="00BF16DC" w:rsidP="00951B64">
    <w:pPr>
      <w:pStyle w:val="Footer"/>
      <w:framePr w:wrap="around" w:vAnchor="text" w:hAnchor="margin" w:xAlign="center" w:y="1"/>
      <w:rPr>
        <w:rStyle w:val="PageNumber"/>
      </w:rPr>
    </w:pPr>
    <w:r>
      <w:rPr>
        <w:rStyle w:val="PageNumber"/>
      </w:rPr>
      <w:fldChar w:fldCharType="begin"/>
    </w:r>
    <w:r w:rsidR="00F97616">
      <w:rPr>
        <w:rStyle w:val="PageNumber"/>
      </w:rPr>
      <w:instrText xml:space="preserve">PAGE  </w:instrText>
    </w:r>
    <w:r>
      <w:rPr>
        <w:rStyle w:val="PageNumber"/>
      </w:rPr>
      <w:fldChar w:fldCharType="separate"/>
    </w:r>
    <w:r w:rsidR="00F97616">
      <w:rPr>
        <w:rStyle w:val="PageNumber"/>
        <w:noProof/>
      </w:rPr>
      <w:t>2</w:t>
    </w:r>
    <w:r>
      <w:rPr>
        <w:rStyle w:val="PageNumber"/>
      </w:rPr>
      <w:fldChar w:fldCharType="end"/>
    </w:r>
  </w:p>
  <w:p w:rsidR="00F97616" w:rsidRDefault="00F97616">
    <w:pPr>
      <w:pStyle w:val="Footer"/>
      <w:tabs>
        <w:tab w:val="clear" w:pos="8640"/>
      </w:tabs>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16" w:rsidRPr="00A17805" w:rsidRDefault="00F97616" w:rsidP="00E03997">
    <w:pPr>
      <w:tabs>
        <w:tab w:val="left" w:pos="567"/>
      </w:tabs>
      <w:ind w:right="-1"/>
      <w:jc w:val="both"/>
      <w:rPr>
        <w:sz w:val="20"/>
        <w:szCs w:val="20"/>
      </w:rPr>
    </w:pPr>
    <w:r>
      <w:rPr>
        <w:sz w:val="20"/>
        <w:szCs w:val="20"/>
      </w:rPr>
      <w:t>VMSs_</w:t>
    </w:r>
    <w:r w:rsidR="003E19A7">
      <w:rPr>
        <w:sz w:val="20"/>
        <w:szCs w:val="20"/>
      </w:rPr>
      <w:t>040112</w:t>
    </w:r>
    <w:r w:rsidR="001E7290">
      <w:rPr>
        <w:sz w:val="20"/>
        <w:szCs w:val="20"/>
      </w:rPr>
      <w:t>_EN</w:t>
    </w:r>
    <w:r w:rsidRPr="0043161A">
      <w:rPr>
        <w:sz w:val="20"/>
        <w:szCs w:val="20"/>
      </w:rPr>
      <w:t xml:space="preserve">; </w:t>
    </w:r>
    <w:r w:rsidRPr="00A17805">
      <w:rPr>
        <w:sz w:val="20"/>
        <w:szCs w:val="20"/>
      </w:rPr>
      <w:t>Biennial Collaborative Agreement (BCA)</w:t>
    </w:r>
    <w:r>
      <w:rPr>
        <w:sz w:val="20"/>
        <w:szCs w:val="20"/>
      </w:rPr>
      <w:t xml:space="preserve"> </w:t>
    </w:r>
    <w:r w:rsidRPr="00A17805">
      <w:rPr>
        <w:sz w:val="20"/>
        <w:szCs w:val="20"/>
      </w:rPr>
      <w:t xml:space="preserve">between </w:t>
    </w:r>
    <w:r>
      <w:rPr>
        <w:sz w:val="20"/>
        <w:szCs w:val="20"/>
      </w:rPr>
      <w:t xml:space="preserve"> </w:t>
    </w:r>
    <w:r w:rsidRPr="00A17805">
      <w:rPr>
        <w:sz w:val="20"/>
        <w:szCs w:val="20"/>
      </w:rPr>
      <w:t>the Ministry of Health of the Republic of Latvia and</w:t>
    </w:r>
    <w:r>
      <w:rPr>
        <w:sz w:val="20"/>
        <w:szCs w:val="20"/>
      </w:rPr>
      <w:t xml:space="preserve"> the Regional Office for Europe </w:t>
    </w:r>
    <w:r w:rsidRPr="00A17805">
      <w:rPr>
        <w:sz w:val="20"/>
        <w:szCs w:val="20"/>
      </w:rPr>
      <w:t>of the World Health Organization</w:t>
    </w:r>
    <w:r>
      <w:rPr>
        <w:sz w:val="20"/>
        <w:szCs w:val="20"/>
      </w:rPr>
      <w:t xml:space="preserve"> </w:t>
    </w:r>
    <w:r w:rsidRPr="00A17805">
      <w:rPr>
        <w:sz w:val="20"/>
        <w:szCs w:val="20"/>
      </w:rPr>
      <w:t>2012/2013</w:t>
    </w:r>
  </w:p>
  <w:p w:rsidR="00F97616" w:rsidRDefault="00F97616">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16" w:rsidRDefault="00BF16DC">
    <w:pPr>
      <w:pStyle w:val="Footer"/>
      <w:framePr w:wrap="around" w:vAnchor="text" w:hAnchor="margin" w:xAlign="center" w:y="1"/>
      <w:rPr>
        <w:rStyle w:val="PageNumber"/>
      </w:rPr>
    </w:pPr>
    <w:r>
      <w:rPr>
        <w:rStyle w:val="PageNumber"/>
      </w:rPr>
      <w:fldChar w:fldCharType="begin"/>
    </w:r>
    <w:r w:rsidR="00F97616">
      <w:rPr>
        <w:rStyle w:val="PageNumber"/>
      </w:rPr>
      <w:instrText xml:space="preserve">PAGE  </w:instrText>
    </w:r>
    <w:r>
      <w:rPr>
        <w:rStyle w:val="PageNumber"/>
      </w:rPr>
      <w:fldChar w:fldCharType="separate"/>
    </w:r>
    <w:r w:rsidR="00F97616">
      <w:rPr>
        <w:rStyle w:val="PageNumber"/>
        <w:noProof/>
      </w:rPr>
      <w:t>6</w:t>
    </w:r>
    <w:r>
      <w:rPr>
        <w:rStyle w:val="PageNumber"/>
      </w:rPr>
      <w:fldChar w:fldCharType="end"/>
    </w:r>
  </w:p>
  <w:p w:rsidR="00F97616" w:rsidRDefault="00F97616">
    <w:pPr>
      <w:pStyle w:val="Footer"/>
      <w:tabs>
        <w:tab w:val="clear" w:pos="8640"/>
      </w:tabs>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25170"/>
      <w:docPartObj>
        <w:docPartGallery w:val="Page Numbers (Bottom of Page)"/>
        <w:docPartUnique/>
      </w:docPartObj>
    </w:sdtPr>
    <w:sdtContent>
      <w:p w:rsidR="00AD0285" w:rsidRDefault="00BF16DC">
        <w:pPr>
          <w:pStyle w:val="Footer"/>
          <w:jc w:val="right"/>
        </w:pPr>
        <w:fldSimple w:instr=" PAGE   \* MERGEFORMAT ">
          <w:r w:rsidR="00BD3628">
            <w:rPr>
              <w:noProof/>
            </w:rPr>
            <w:t>2</w:t>
          </w:r>
        </w:fldSimple>
      </w:p>
    </w:sdtContent>
  </w:sdt>
  <w:p w:rsidR="00AD0285" w:rsidRPr="00A17805" w:rsidRDefault="00AD0285" w:rsidP="00AD0285">
    <w:pPr>
      <w:tabs>
        <w:tab w:val="left" w:pos="567"/>
      </w:tabs>
      <w:ind w:right="-1"/>
      <w:jc w:val="both"/>
      <w:rPr>
        <w:sz w:val="20"/>
        <w:szCs w:val="20"/>
      </w:rPr>
    </w:pPr>
    <w:r>
      <w:rPr>
        <w:sz w:val="20"/>
        <w:szCs w:val="20"/>
      </w:rPr>
      <w:t>VMSs_</w:t>
    </w:r>
    <w:r w:rsidR="001E7290">
      <w:rPr>
        <w:sz w:val="20"/>
        <w:szCs w:val="20"/>
      </w:rPr>
      <w:t>2</w:t>
    </w:r>
    <w:r w:rsidR="00F72E0A">
      <w:rPr>
        <w:sz w:val="20"/>
        <w:szCs w:val="20"/>
      </w:rPr>
      <w:t>1</w:t>
    </w:r>
    <w:r w:rsidR="001E7290">
      <w:rPr>
        <w:sz w:val="20"/>
        <w:szCs w:val="20"/>
      </w:rPr>
      <w:t>1211_EN</w:t>
    </w:r>
    <w:r w:rsidRPr="0043161A">
      <w:rPr>
        <w:sz w:val="20"/>
        <w:szCs w:val="20"/>
      </w:rPr>
      <w:t xml:space="preserve">; </w:t>
    </w:r>
    <w:r w:rsidRPr="00A17805">
      <w:rPr>
        <w:sz w:val="20"/>
        <w:szCs w:val="20"/>
      </w:rPr>
      <w:t>Biennial Collaborative Agreement (BCA)</w:t>
    </w:r>
    <w:r>
      <w:rPr>
        <w:sz w:val="20"/>
        <w:szCs w:val="20"/>
      </w:rPr>
      <w:t xml:space="preserve"> </w:t>
    </w:r>
    <w:r w:rsidRPr="00A17805">
      <w:rPr>
        <w:sz w:val="20"/>
        <w:szCs w:val="20"/>
      </w:rPr>
      <w:t xml:space="preserve">between </w:t>
    </w:r>
    <w:r>
      <w:rPr>
        <w:sz w:val="20"/>
        <w:szCs w:val="20"/>
      </w:rPr>
      <w:t xml:space="preserve"> </w:t>
    </w:r>
    <w:r w:rsidRPr="00A17805">
      <w:rPr>
        <w:sz w:val="20"/>
        <w:szCs w:val="20"/>
      </w:rPr>
      <w:t>the Ministry of Health of the Republic of Latvia and</w:t>
    </w:r>
    <w:r>
      <w:rPr>
        <w:sz w:val="20"/>
        <w:szCs w:val="20"/>
      </w:rPr>
      <w:t xml:space="preserve"> the Regional Office for Europe </w:t>
    </w:r>
    <w:r w:rsidRPr="00A17805">
      <w:rPr>
        <w:sz w:val="20"/>
        <w:szCs w:val="20"/>
      </w:rPr>
      <w:t>of the World Health Organization</w:t>
    </w:r>
    <w:r>
      <w:rPr>
        <w:sz w:val="20"/>
        <w:szCs w:val="20"/>
      </w:rPr>
      <w:t xml:space="preserve"> </w:t>
    </w:r>
    <w:r w:rsidRPr="00A17805">
      <w:rPr>
        <w:sz w:val="20"/>
        <w:szCs w:val="20"/>
      </w:rPr>
      <w:t>2012/2013</w:t>
    </w:r>
  </w:p>
  <w:p w:rsidR="00F97616" w:rsidRDefault="00F97616" w:rsidP="00AD0285">
    <w:pPr>
      <w:tabs>
        <w:tab w:val="left" w:pos="567"/>
      </w:tabs>
      <w:ind w:right="-1"/>
      <w:jc w:val="both"/>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16" w:rsidRDefault="00BF16DC" w:rsidP="00AC7F0D">
    <w:pPr>
      <w:pStyle w:val="Footer"/>
      <w:framePr w:wrap="around" w:vAnchor="text" w:hAnchor="margin" w:xAlign="right" w:y="1"/>
      <w:rPr>
        <w:rStyle w:val="PageNumber"/>
      </w:rPr>
    </w:pPr>
    <w:r>
      <w:rPr>
        <w:rStyle w:val="PageNumber"/>
      </w:rPr>
      <w:fldChar w:fldCharType="begin"/>
    </w:r>
    <w:r w:rsidR="00F97616">
      <w:rPr>
        <w:rStyle w:val="PageNumber"/>
      </w:rPr>
      <w:instrText xml:space="preserve"> PAGE </w:instrText>
    </w:r>
    <w:r>
      <w:rPr>
        <w:rStyle w:val="PageNumber"/>
      </w:rPr>
      <w:fldChar w:fldCharType="separate"/>
    </w:r>
    <w:r w:rsidR="00BD3628">
      <w:rPr>
        <w:rStyle w:val="PageNumber"/>
        <w:noProof/>
      </w:rPr>
      <w:t>18</w:t>
    </w:r>
    <w:r>
      <w:rPr>
        <w:rStyle w:val="PageNumber"/>
      </w:rPr>
      <w:fldChar w:fldCharType="end"/>
    </w:r>
  </w:p>
  <w:p w:rsidR="00F97616" w:rsidRDefault="00F97616" w:rsidP="00A17805">
    <w:pPr>
      <w:tabs>
        <w:tab w:val="left" w:pos="567"/>
      </w:tabs>
      <w:ind w:right="-1"/>
      <w:jc w:val="both"/>
      <w:rPr>
        <w:sz w:val="20"/>
        <w:szCs w:val="20"/>
      </w:rPr>
    </w:pPr>
  </w:p>
  <w:p w:rsidR="00F97616" w:rsidRDefault="00F97616" w:rsidP="00A17805">
    <w:pPr>
      <w:tabs>
        <w:tab w:val="left" w:pos="567"/>
      </w:tabs>
      <w:ind w:right="-1"/>
      <w:jc w:val="both"/>
      <w:rPr>
        <w:sz w:val="20"/>
        <w:szCs w:val="20"/>
      </w:rPr>
    </w:pPr>
  </w:p>
  <w:p w:rsidR="00F97616" w:rsidRPr="00A17805" w:rsidRDefault="00F97616" w:rsidP="00A17805">
    <w:pPr>
      <w:tabs>
        <w:tab w:val="left" w:pos="567"/>
      </w:tabs>
      <w:ind w:right="-1"/>
      <w:jc w:val="both"/>
      <w:rPr>
        <w:sz w:val="20"/>
        <w:szCs w:val="20"/>
      </w:rPr>
    </w:pPr>
    <w:r>
      <w:rPr>
        <w:sz w:val="20"/>
        <w:szCs w:val="20"/>
      </w:rPr>
      <w:t>VMSs_</w:t>
    </w:r>
    <w:r w:rsidR="003E19A7">
      <w:rPr>
        <w:sz w:val="20"/>
        <w:szCs w:val="20"/>
      </w:rPr>
      <w:t>040112</w:t>
    </w:r>
    <w:r w:rsidR="001E7290">
      <w:rPr>
        <w:sz w:val="20"/>
        <w:szCs w:val="20"/>
      </w:rPr>
      <w:t>_EN</w:t>
    </w:r>
    <w:r w:rsidRPr="0043161A">
      <w:rPr>
        <w:sz w:val="20"/>
        <w:szCs w:val="20"/>
      </w:rPr>
      <w:t xml:space="preserve">; </w:t>
    </w:r>
    <w:bookmarkStart w:id="32" w:name="OLE_LINK10"/>
    <w:bookmarkStart w:id="33" w:name="OLE_LINK11"/>
    <w:r w:rsidRPr="00A17805">
      <w:rPr>
        <w:sz w:val="20"/>
        <w:szCs w:val="20"/>
      </w:rPr>
      <w:t>Biennial Collaborative Agreement (BCA)</w:t>
    </w:r>
    <w:r>
      <w:rPr>
        <w:sz w:val="20"/>
        <w:szCs w:val="20"/>
      </w:rPr>
      <w:t xml:space="preserve"> </w:t>
    </w:r>
    <w:r w:rsidRPr="00A17805">
      <w:rPr>
        <w:sz w:val="20"/>
        <w:szCs w:val="20"/>
      </w:rPr>
      <w:t xml:space="preserve">between </w:t>
    </w:r>
    <w:r>
      <w:rPr>
        <w:sz w:val="20"/>
        <w:szCs w:val="20"/>
      </w:rPr>
      <w:t xml:space="preserve"> </w:t>
    </w:r>
    <w:r w:rsidRPr="00A17805">
      <w:rPr>
        <w:sz w:val="20"/>
        <w:szCs w:val="20"/>
      </w:rPr>
      <w:t>the Ministry of Health of the Republic of Latvia and</w:t>
    </w:r>
    <w:r>
      <w:rPr>
        <w:sz w:val="20"/>
        <w:szCs w:val="20"/>
      </w:rPr>
      <w:t xml:space="preserve"> the Regional Office for Europe </w:t>
    </w:r>
    <w:r w:rsidRPr="00A17805">
      <w:rPr>
        <w:sz w:val="20"/>
        <w:szCs w:val="20"/>
      </w:rPr>
      <w:t>of the World Health Organization</w:t>
    </w:r>
    <w:r>
      <w:rPr>
        <w:sz w:val="20"/>
        <w:szCs w:val="20"/>
      </w:rPr>
      <w:t xml:space="preserve"> </w:t>
    </w:r>
    <w:r w:rsidRPr="00A17805">
      <w:rPr>
        <w:sz w:val="20"/>
        <w:szCs w:val="20"/>
      </w:rPr>
      <w:t>2012/2013</w:t>
    </w:r>
    <w:bookmarkEnd w:id="32"/>
    <w:bookmarkEnd w:id="33"/>
  </w:p>
  <w:p w:rsidR="00F97616" w:rsidRPr="00A17805" w:rsidRDefault="00F97616" w:rsidP="00A17805">
    <w:pPr>
      <w:tabs>
        <w:tab w:val="left" w:pos="567"/>
      </w:tabs>
      <w:ind w:right="-1"/>
      <w:jc w:val="both"/>
      <w:rPr>
        <w:sz w:val="20"/>
        <w:szCs w:val="20"/>
      </w:rPr>
    </w:pPr>
  </w:p>
  <w:p w:rsidR="00F97616" w:rsidRDefault="00F976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16" w:rsidRDefault="00F97616">
      <w:r>
        <w:separator/>
      </w:r>
    </w:p>
  </w:footnote>
  <w:footnote w:type="continuationSeparator" w:id="0">
    <w:p w:rsidR="00F97616" w:rsidRDefault="00F97616">
      <w:r>
        <w:continuationSeparator/>
      </w:r>
    </w:p>
  </w:footnote>
  <w:footnote w:id="1">
    <w:p w:rsidR="00F97616" w:rsidRDefault="00F97616" w:rsidP="00DA28E3">
      <w:pPr>
        <w:pStyle w:val="FootnoteText"/>
      </w:pPr>
      <w:r>
        <w:rPr>
          <w:rStyle w:val="FootnoteReference"/>
        </w:rPr>
        <w:footnoteRef/>
      </w:r>
      <w:r>
        <w:t xml:space="preserve"> CVCA (Core Voluntary Contributions Account) = Official Development Assistance (ODA) funds provided flexibly and globally to WHO by donors for funding activities in support of ODA-eligible countries</w:t>
      </w:r>
    </w:p>
  </w:footnote>
  <w:footnote w:id="2">
    <w:p w:rsidR="00F97616" w:rsidRDefault="00F97616" w:rsidP="00DA28E3">
      <w:pPr>
        <w:pStyle w:val="FootnoteText"/>
      </w:pPr>
      <w:r>
        <w:rPr>
          <w:rStyle w:val="FootnoteReference"/>
        </w:rPr>
        <w:footnoteRef/>
      </w:r>
      <w:r>
        <w:t xml:space="preserve"> WHO Regional Office for Europe Flexible funds are voluntary funds provided flexibly at the level of the WHO Regional Office for Europe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16" w:rsidRDefault="00BF16DC">
    <w:pPr>
      <w:pStyle w:val="Header"/>
      <w:framePr w:wrap="around" w:vAnchor="text" w:hAnchor="margin" w:xAlign="right" w:y="1"/>
      <w:rPr>
        <w:rStyle w:val="PageNumber"/>
      </w:rPr>
    </w:pPr>
    <w:r>
      <w:rPr>
        <w:rStyle w:val="PageNumber"/>
      </w:rPr>
      <w:fldChar w:fldCharType="begin"/>
    </w:r>
    <w:r w:rsidR="00F97616">
      <w:rPr>
        <w:rStyle w:val="PageNumber"/>
      </w:rPr>
      <w:instrText xml:space="preserve">PAGE  </w:instrText>
    </w:r>
    <w:r>
      <w:rPr>
        <w:rStyle w:val="PageNumber"/>
      </w:rPr>
      <w:fldChar w:fldCharType="end"/>
    </w:r>
  </w:p>
  <w:p w:rsidR="00F97616" w:rsidRDefault="00F9761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16" w:rsidRDefault="00F97616">
    <w:pPr>
      <w:pStyle w:val="Header"/>
      <w:ind w:right="-1"/>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6DD"/>
    <w:multiLevelType w:val="hybridMultilevel"/>
    <w:tmpl w:val="ACB663AC"/>
    <w:lvl w:ilvl="0" w:tplc="F8102CAA">
      <w:start w:val="1"/>
      <w:numFmt w:val="lowerLetter"/>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7714CD"/>
    <w:multiLevelType w:val="hybridMultilevel"/>
    <w:tmpl w:val="3620FBE0"/>
    <w:lvl w:ilvl="0" w:tplc="0809001B">
      <w:start w:val="1"/>
      <w:numFmt w:val="lowerLetter"/>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694F9E"/>
    <w:multiLevelType w:val="hybridMultilevel"/>
    <w:tmpl w:val="61708A96"/>
    <w:lvl w:ilvl="0" w:tplc="F8102CAA">
      <w:start w:val="1"/>
      <w:numFmt w:val="lowerLetter"/>
      <w:lvlText w:val="%1."/>
      <w:lvlJc w:val="right"/>
      <w:pPr>
        <w:tabs>
          <w:tab w:val="num" w:pos="180"/>
        </w:tabs>
        <w:ind w:left="180" w:hanging="180"/>
      </w:pPr>
      <w:rPr>
        <w:rFonts w:cs="Times New Roman" w:hint="default"/>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3">
    <w:nsid w:val="17A1215D"/>
    <w:multiLevelType w:val="hybridMultilevel"/>
    <w:tmpl w:val="5542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91AF3"/>
    <w:multiLevelType w:val="multilevel"/>
    <w:tmpl w:val="0648595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nsid w:val="19FE6714"/>
    <w:multiLevelType w:val="hybridMultilevel"/>
    <w:tmpl w:val="90767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939B9"/>
    <w:multiLevelType w:val="hybridMultilevel"/>
    <w:tmpl w:val="72221F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391D01"/>
    <w:multiLevelType w:val="hybridMultilevel"/>
    <w:tmpl w:val="D28E2DB6"/>
    <w:lvl w:ilvl="0" w:tplc="0D20F0FC">
      <w:start w:val="1"/>
      <w:numFmt w:val="bullet"/>
      <w:lvlText w:val="•"/>
      <w:lvlJc w:val="left"/>
      <w:pPr>
        <w:tabs>
          <w:tab w:val="num" w:pos="720"/>
        </w:tabs>
        <w:ind w:left="720" w:hanging="360"/>
      </w:pPr>
      <w:rPr>
        <w:rFonts w:ascii="Times New Roman" w:hAnsi="Times New Roman" w:hint="default"/>
      </w:rPr>
    </w:lvl>
    <w:lvl w:ilvl="1" w:tplc="96909526" w:tentative="1">
      <w:start w:val="1"/>
      <w:numFmt w:val="bullet"/>
      <w:lvlText w:val="•"/>
      <w:lvlJc w:val="left"/>
      <w:pPr>
        <w:tabs>
          <w:tab w:val="num" w:pos="1440"/>
        </w:tabs>
        <w:ind w:left="1440" w:hanging="360"/>
      </w:pPr>
      <w:rPr>
        <w:rFonts w:ascii="Times New Roman" w:hAnsi="Times New Roman" w:hint="default"/>
      </w:rPr>
    </w:lvl>
    <w:lvl w:ilvl="2" w:tplc="4538FA76" w:tentative="1">
      <w:start w:val="1"/>
      <w:numFmt w:val="bullet"/>
      <w:lvlText w:val="•"/>
      <w:lvlJc w:val="left"/>
      <w:pPr>
        <w:tabs>
          <w:tab w:val="num" w:pos="2160"/>
        </w:tabs>
        <w:ind w:left="2160" w:hanging="360"/>
      </w:pPr>
      <w:rPr>
        <w:rFonts w:ascii="Times New Roman" w:hAnsi="Times New Roman" w:hint="default"/>
      </w:rPr>
    </w:lvl>
    <w:lvl w:ilvl="3" w:tplc="18E4614C" w:tentative="1">
      <w:start w:val="1"/>
      <w:numFmt w:val="bullet"/>
      <w:lvlText w:val="•"/>
      <w:lvlJc w:val="left"/>
      <w:pPr>
        <w:tabs>
          <w:tab w:val="num" w:pos="2880"/>
        </w:tabs>
        <w:ind w:left="2880" w:hanging="360"/>
      </w:pPr>
      <w:rPr>
        <w:rFonts w:ascii="Times New Roman" w:hAnsi="Times New Roman" w:hint="default"/>
      </w:rPr>
    </w:lvl>
    <w:lvl w:ilvl="4" w:tplc="356CD36A" w:tentative="1">
      <w:start w:val="1"/>
      <w:numFmt w:val="bullet"/>
      <w:lvlText w:val="•"/>
      <w:lvlJc w:val="left"/>
      <w:pPr>
        <w:tabs>
          <w:tab w:val="num" w:pos="3600"/>
        </w:tabs>
        <w:ind w:left="3600" w:hanging="360"/>
      </w:pPr>
      <w:rPr>
        <w:rFonts w:ascii="Times New Roman" w:hAnsi="Times New Roman" w:hint="default"/>
      </w:rPr>
    </w:lvl>
    <w:lvl w:ilvl="5" w:tplc="0AFCCF5E" w:tentative="1">
      <w:start w:val="1"/>
      <w:numFmt w:val="bullet"/>
      <w:lvlText w:val="•"/>
      <w:lvlJc w:val="left"/>
      <w:pPr>
        <w:tabs>
          <w:tab w:val="num" w:pos="4320"/>
        </w:tabs>
        <w:ind w:left="4320" w:hanging="360"/>
      </w:pPr>
      <w:rPr>
        <w:rFonts w:ascii="Times New Roman" w:hAnsi="Times New Roman" w:hint="default"/>
      </w:rPr>
    </w:lvl>
    <w:lvl w:ilvl="6" w:tplc="EC4CCE34" w:tentative="1">
      <w:start w:val="1"/>
      <w:numFmt w:val="bullet"/>
      <w:lvlText w:val="•"/>
      <w:lvlJc w:val="left"/>
      <w:pPr>
        <w:tabs>
          <w:tab w:val="num" w:pos="5040"/>
        </w:tabs>
        <w:ind w:left="5040" w:hanging="360"/>
      </w:pPr>
      <w:rPr>
        <w:rFonts w:ascii="Times New Roman" w:hAnsi="Times New Roman" w:hint="default"/>
      </w:rPr>
    </w:lvl>
    <w:lvl w:ilvl="7" w:tplc="508EE248" w:tentative="1">
      <w:start w:val="1"/>
      <w:numFmt w:val="bullet"/>
      <w:lvlText w:val="•"/>
      <w:lvlJc w:val="left"/>
      <w:pPr>
        <w:tabs>
          <w:tab w:val="num" w:pos="5760"/>
        </w:tabs>
        <w:ind w:left="5760" w:hanging="360"/>
      </w:pPr>
      <w:rPr>
        <w:rFonts w:ascii="Times New Roman" w:hAnsi="Times New Roman" w:hint="default"/>
      </w:rPr>
    </w:lvl>
    <w:lvl w:ilvl="8" w:tplc="64E079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AD7F54"/>
    <w:multiLevelType w:val="multilevel"/>
    <w:tmpl w:val="1018BAB8"/>
    <w:lvl w:ilvl="0">
      <w:start w:val="1"/>
      <w:numFmt w:val="lowerLetter"/>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7180FB2"/>
    <w:multiLevelType w:val="hybridMultilevel"/>
    <w:tmpl w:val="B16E75B8"/>
    <w:lvl w:ilvl="0" w:tplc="8E362C10">
      <w:start w:val="1"/>
      <w:numFmt w:val="lowerLetter"/>
      <w:lvlText w:val="%1."/>
      <w:lvlJc w:val="right"/>
      <w:pPr>
        <w:tabs>
          <w:tab w:val="num" w:pos="540"/>
        </w:tabs>
        <w:ind w:left="540" w:hanging="18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2BE10D68"/>
    <w:multiLevelType w:val="hybridMultilevel"/>
    <w:tmpl w:val="1FB4A1B2"/>
    <w:lvl w:ilvl="0" w:tplc="2E8AB94E">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7878D2"/>
    <w:multiLevelType w:val="hybridMultilevel"/>
    <w:tmpl w:val="BA341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B92B94"/>
    <w:multiLevelType w:val="hybridMultilevel"/>
    <w:tmpl w:val="F8880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0508C6"/>
    <w:multiLevelType w:val="hybridMultilevel"/>
    <w:tmpl w:val="36665F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55043D"/>
    <w:multiLevelType w:val="hybridMultilevel"/>
    <w:tmpl w:val="A9FA8D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B97E94"/>
    <w:multiLevelType w:val="hybridMultilevel"/>
    <w:tmpl w:val="7326F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E73C10"/>
    <w:multiLevelType w:val="multilevel"/>
    <w:tmpl w:val="15F6FE9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360816EC"/>
    <w:multiLevelType w:val="hybridMultilevel"/>
    <w:tmpl w:val="1018BAB8"/>
    <w:lvl w:ilvl="0" w:tplc="F8102CAA">
      <w:start w:val="1"/>
      <w:numFmt w:val="lowerLetter"/>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7A906EC"/>
    <w:multiLevelType w:val="hybridMultilevel"/>
    <w:tmpl w:val="5478E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970453"/>
    <w:multiLevelType w:val="hybridMultilevel"/>
    <w:tmpl w:val="5FE65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6527D2"/>
    <w:multiLevelType w:val="hybridMultilevel"/>
    <w:tmpl w:val="DA42A060"/>
    <w:lvl w:ilvl="0" w:tplc="F1889F5A">
      <w:numFmt w:val="none"/>
      <w:lvlText w:val=""/>
      <w:lvlJc w:val="left"/>
      <w:pPr>
        <w:tabs>
          <w:tab w:val="num" w:pos="360"/>
        </w:tabs>
      </w:pPr>
      <w:rPr>
        <w:rFonts w:cs="Times New Roman"/>
      </w:rPr>
    </w:lvl>
    <w:lvl w:ilvl="1" w:tplc="F2041140" w:tentative="1">
      <w:start w:val="1"/>
      <w:numFmt w:val="lowerLetter"/>
      <w:lvlText w:val="%2."/>
      <w:lvlJc w:val="left"/>
      <w:pPr>
        <w:ind w:left="1440" w:hanging="360"/>
      </w:pPr>
      <w:rPr>
        <w:rFonts w:cs="Times New Roman"/>
      </w:rPr>
    </w:lvl>
    <w:lvl w:ilvl="2" w:tplc="127C73B0" w:tentative="1">
      <w:start w:val="1"/>
      <w:numFmt w:val="lowerRoman"/>
      <w:lvlText w:val="%3."/>
      <w:lvlJc w:val="right"/>
      <w:pPr>
        <w:ind w:left="2160" w:hanging="180"/>
      </w:pPr>
      <w:rPr>
        <w:rFonts w:cs="Times New Roman"/>
      </w:rPr>
    </w:lvl>
    <w:lvl w:ilvl="3" w:tplc="9C6C7C72" w:tentative="1">
      <w:start w:val="1"/>
      <w:numFmt w:val="decimal"/>
      <w:lvlText w:val="%4."/>
      <w:lvlJc w:val="left"/>
      <w:pPr>
        <w:ind w:left="2880" w:hanging="360"/>
      </w:pPr>
      <w:rPr>
        <w:rFonts w:cs="Times New Roman"/>
      </w:rPr>
    </w:lvl>
    <w:lvl w:ilvl="4" w:tplc="C700FA9E" w:tentative="1">
      <w:start w:val="1"/>
      <w:numFmt w:val="lowerLetter"/>
      <w:lvlText w:val="%5."/>
      <w:lvlJc w:val="left"/>
      <w:pPr>
        <w:ind w:left="3600" w:hanging="360"/>
      </w:pPr>
      <w:rPr>
        <w:rFonts w:cs="Times New Roman"/>
      </w:rPr>
    </w:lvl>
    <w:lvl w:ilvl="5" w:tplc="4942DB20" w:tentative="1">
      <w:start w:val="1"/>
      <w:numFmt w:val="lowerRoman"/>
      <w:lvlText w:val="%6."/>
      <w:lvlJc w:val="right"/>
      <w:pPr>
        <w:ind w:left="4320" w:hanging="180"/>
      </w:pPr>
      <w:rPr>
        <w:rFonts w:cs="Times New Roman"/>
      </w:rPr>
    </w:lvl>
    <w:lvl w:ilvl="6" w:tplc="F19A5832" w:tentative="1">
      <w:start w:val="1"/>
      <w:numFmt w:val="decimal"/>
      <w:lvlText w:val="%7."/>
      <w:lvlJc w:val="left"/>
      <w:pPr>
        <w:ind w:left="5040" w:hanging="360"/>
      </w:pPr>
      <w:rPr>
        <w:rFonts w:cs="Times New Roman"/>
      </w:rPr>
    </w:lvl>
    <w:lvl w:ilvl="7" w:tplc="0B704DD8" w:tentative="1">
      <w:start w:val="1"/>
      <w:numFmt w:val="lowerLetter"/>
      <w:lvlText w:val="%8."/>
      <w:lvlJc w:val="left"/>
      <w:pPr>
        <w:ind w:left="5760" w:hanging="360"/>
      </w:pPr>
      <w:rPr>
        <w:rFonts w:cs="Times New Roman"/>
      </w:rPr>
    </w:lvl>
    <w:lvl w:ilvl="8" w:tplc="EC7606F0" w:tentative="1">
      <w:start w:val="1"/>
      <w:numFmt w:val="lowerRoman"/>
      <w:lvlText w:val="%9."/>
      <w:lvlJc w:val="right"/>
      <w:pPr>
        <w:ind w:left="6480" w:hanging="180"/>
      </w:pPr>
      <w:rPr>
        <w:rFonts w:cs="Times New Roman"/>
      </w:rPr>
    </w:lvl>
  </w:abstractNum>
  <w:abstractNum w:abstractNumId="21">
    <w:nsid w:val="3DF40262"/>
    <w:multiLevelType w:val="hybridMultilevel"/>
    <w:tmpl w:val="773E23D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1B27E9A"/>
    <w:multiLevelType w:val="hybridMultilevel"/>
    <w:tmpl w:val="EB246110"/>
    <w:lvl w:ilvl="0" w:tplc="06C04038">
      <w:start w:val="1"/>
      <w:numFmt w:val="decimal"/>
      <w:lvlText w:val="%1."/>
      <w:lvlJc w:val="left"/>
      <w:pPr>
        <w:tabs>
          <w:tab w:val="num" w:pos="720"/>
        </w:tabs>
        <w:ind w:left="720" w:hanging="360"/>
      </w:pPr>
      <w:rPr>
        <w:rFonts w:cs="Times New Roman" w:hint="default"/>
        <w:i/>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3">
    <w:nsid w:val="43EB3F76"/>
    <w:multiLevelType w:val="hybridMultilevel"/>
    <w:tmpl w:val="C2748FC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4472D9A"/>
    <w:multiLevelType w:val="multilevel"/>
    <w:tmpl w:val="56788B54"/>
    <w:lvl w:ilvl="0">
      <w:start w:val="1"/>
      <w:numFmt w:val="lowerLetter"/>
      <w:lvlText w:val="%1."/>
      <w:lvlJc w:val="right"/>
      <w:pPr>
        <w:tabs>
          <w:tab w:val="num" w:pos="180"/>
        </w:tabs>
        <w:ind w:left="180" w:hanging="18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4522720E"/>
    <w:multiLevelType w:val="hybridMultilevel"/>
    <w:tmpl w:val="4AD89D84"/>
    <w:lvl w:ilvl="0" w:tplc="A6F205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D7965E0"/>
    <w:multiLevelType w:val="hybridMultilevel"/>
    <w:tmpl w:val="264ED8CC"/>
    <w:lvl w:ilvl="0" w:tplc="CA9C66F4">
      <w:start w:val="1"/>
      <w:numFmt w:val="bullet"/>
      <w:lvlText w:val=""/>
      <w:lvlJc w:val="left"/>
      <w:pPr>
        <w:tabs>
          <w:tab w:val="num" w:pos="765"/>
        </w:tabs>
        <w:ind w:left="765" w:hanging="34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FF5415F"/>
    <w:multiLevelType w:val="hybridMultilevel"/>
    <w:tmpl w:val="667E6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400688"/>
    <w:multiLevelType w:val="hybridMultilevel"/>
    <w:tmpl w:val="66C86804"/>
    <w:lvl w:ilvl="0" w:tplc="0809001B">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29">
    <w:nsid w:val="5D95598C"/>
    <w:multiLevelType w:val="hybridMultilevel"/>
    <w:tmpl w:val="5636D0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DD62F96"/>
    <w:multiLevelType w:val="hybridMultilevel"/>
    <w:tmpl w:val="29AE7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E966F3"/>
    <w:multiLevelType w:val="hybridMultilevel"/>
    <w:tmpl w:val="4AC4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FC48DC"/>
    <w:multiLevelType w:val="hybridMultilevel"/>
    <w:tmpl w:val="5B985D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4555929"/>
    <w:multiLevelType w:val="hybridMultilevel"/>
    <w:tmpl w:val="7130A64A"/>
    <w:lvl w:ilvl="0" w:tplc="71D2ED4A">
      <w:start w:val="1"/>
      <w:numFmt w:val="decimal"/>
      <w:lvlText w:val="%1."/>
      <w:lvlJc w:val="left"/>
      <w:pPr>
        <w:tabs>
          <w:tab w:val="num" w:pos="360"/>
        </w:tabs>
        <w:ind w:left="360" w:hanging="360"/>
      </w:pPr>
      <w:rPr>
        <w:rFonts w:cs="Times New Roman"/>
      </w:rPr>
    </w:lvl>
    <w:lvl w:ilvl="1" w:tplc="08090019">
      <w:start w:val="1"/>
      <w:numFmt w:val="bullet"/>
      <w:lvlText w:val=""/>
      <w:lvlJc w:val="left"/>
      <w:pPr>
        <w:tabs>
          <w:tab w:val="num" w:pos="1080"/>
        </w:tabs>
        <w:ind w:left="1080" w:hanging="360"/>
      </w:pPr>
      <w:rPr>
        <w:rFonts w:ascii="Wingdings" w:hAnsi="Wingdings" w:hint="default"/>
      </w:rPr>
    </w:lvl>
    <w:lvl w:ilvl="2" w:tplc="0809001B">
      <w:start w:val="1"/>
      <w:numFmt w:val="lowerLetter"/>
      <w:lvlText w:val="%3."/>
      <w:lvlJc w:val="left"/>
      <w:pPr>
        <w:tabs>
          <w:tab w:val="num" w:pos="1980"/>
        </w:tabs>
        <w:ind w:left="198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66C013A4"/>
    <w:multiLevelType w:val="hybridMultilevel"/>
    <w:tmpl w:val="A290D96C"/>
    <w:lvl w:ilvl="0" w:tplc="0809000F">
      <w:start w:val="1"/>
      <w:numFmt w:val="decimal"/>
      <w:lvlText w:val="%1."/>
      <w:lvlJc w:val="left"/>
      <w:pPr>
        <w:tabs>
          <w:tab w:val="num" w:pos="360"/>
        </w:tabs>
        <w:ind w:left="360" w:hanging="360"/>
      </w:pPr>
      <w:rPr>
        <w:rFonts w:cs="Times New Roman" w:hint="default"/>
      </w:rPr>
    </w:lvl>
    <w:lvl w:ilvl="1" w:tplc="04090005" w:tentative="1">
      <w:start w:val="1"/>
      <w:numFmt w:val="lowerLetter"/>
      <w:lvlText w:val="%2."/>
      <w:lvlJc w:val="left"/>
      <w:pPr>
        <w:tabs>
          <w:tab w:val="num" w:pos="1440"/>
        </w:tabs>
        <w:ind w:left="1440" w:hanging="360"/>
      </w:pPr>
      <w:rPr>
        <w:rFonts w:cs="Times New Roman"/>
      </w:rPr>
    </w:lvl>
    <w:lvl w:ilvl="2" w:tplc="3A86B1EA"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76273CA"/>
    <w:multiLevelType w:val="hybridMultilevel"/>
    <w:tmpl w:val="AB16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0213DA"/>
    <w:multiLevelType w:val="hybridMultilevel"/>
    <w:tmpl w:val="0D168A4A"/>
    <w:lvl w:ilvl="0" w:tplc="0809000F">
      <w:start w:val="1"/>
      <w:numFmt w:val="decimal"/>
      <w:lvlText w:val="%1."/>
      <w:lvlJc w:val="left"/>
      <w:pPr>
        <w:tabs>
          <w:tab w:val="num" w:pos="720"/>
        </w:tabs>
        <w:ind w:left="720" w:hanging="360"/>
      </w:pPr>
      <w:rPr>
        <w:rFonts w:cs="Times New Roman"/>
      </w:rPr>
    </w:lvl>
    <w:lvl w:ilvl="1" w:tplc="7AB0130C">
      <w:start w:val="1"/>
      <w:numFmt w:val="bullet"/>
      <w:lvlText w:val="-"/>
      <w:lvlJc w:val="left"/>
      <w:pPr>
        <w:tabs>
          <w:tab w:val="num" w:pos="1440"/>
        </w:tabs>
        <w:ind w:left="1440" w:hanging="360"/>
      </w:pPr>
      <w:rPr>
        <w:rFonts w:ascii="Times New Roman" w:eastAsia="Times New Roman" w:hAnsi="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C665302"/>
    <w:multiLevelType w:val="hybridMultilevel"/>
    <w:tmpl w:val="9654C38E"/>
    <w:lvl w:ilvl="0" w:tplc="8144783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9B285B"/>
    <w:multiLevelType w:val="hybridMultilevel"/>
    <w:tmpl w:val="33A22E76"/>
    <w:lvl w:ilvl="0" w:tplc="8E362C10">
      <w:start w:val="1"/>
      <w:numFmt w:val="bullet"/>
      <w:lvlText w:val=""/>
      <w:lvlJc w:val="left"/>
      <w:pPr>
        <w:tabs>
          <w:tab w:val="num" w:pos="720"/>
        </w:tabs>
        <w:ind w:left="720" w:hanging="360"/>
      </w:pPr>
      <w:rPr>
        <w:rFonts w:ascii="Wingdings" w:hAnsi="Wingdings" w:hint="default"/>
      </w:rPr>
    </w:lvl>
    <w:lvl w:ilvl="1" w:tplc="04060019">
      <w:start w:val="1"/>
      <w:numFmt w:val="bullet"/>
      <w:lvlText w:val=""/>
      <w:lvlJc w:val="left"/>
      <w:pPr>
        <w:tabs>
          <w:tab w:val="num" w:pos="1440"/>
        </w:tabs>
        <w:ind w:left="1440" w:hanging="360"/>
      </w:pPr>
      <w:rPr>
        <w:rFonts w:ascii="Symbol" w:hAnsi="Symbol"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39">
    <w:nsid w:val="6F66756B"/>
    <w:multiLevelType w:val="multilevel"/>
    <w:tmpl w:val="A85A3090"/>
    <w:lvl w:ilvl="0">
      <w:start w:val="2"/>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0">
    <w:nsid w:val="73316180"/>
    <w:multiLevelType w:val="hybridMultilevel"/>
    <w:tmpl w:val="56788B54"/>
    <w:lvl w:ilvl="0" w:tplc="F8102CAA">
      <w:start w:val="1"/>
      <w:numFmt w:val="lowerLetter"/>
      <w:lvlText w:val="%1."/>
      <w:lvlJc w:val="right"/>
      <w:pPr>
        <w:tabs>
          <w:tab w:val="num" w:pos="180"/>
        </w:tabs>
        <w:ind w:left="180" w:hanging="180"/>
      </w:pPr>
      <w:rPr>
        <w:rFonts w:cs="Times New Roman" w:hint="default"/>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41">
    <w:nsid w:val="78813DAB"/>
    <w:multiLevelType w:val="hybridMultilevel"/>
    <w:tmpl w:val="1024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6444F0"/>
    <w:multiLevelType w:val="multilevel"/>
    <w:tmpl w:val="7130A64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7EB54A85"/>
    <w:multiLevelType w:val="hybridMultilevel"/>
    <w:tmpl w:val="C2A4B8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8"/>
  </w:num>
  <w:num w:numId="2">
    <w:abstractNumId w:val="33"/>
  </w:num>
  <w:num w:numId="3">
    <w:abstractNumId w:val="22"/>
  </w:num>
  <w:num w:numId="4">
    <w:abstractNumId w:val="34"/>
  </w:num>
  <w:num w:numId="5">
    <w:abstractNumId w:val="9"/>
  </w:num>
  <w:num w:numId="6">
    <w:abstractNumId w:val="40"/>
  </w:num>
  <w:num w:numId="7">
    <w:abstractNumId w:val="2"/>
  </w:num>
  <w:num w:numId="8">
    <w:abstractNumId w:val="1"/>
  </w:num>
  <w:num w:numId="9">
    <w:abstractNumId w:val="28"/>
  </w:num>
  <w:num w:numId="10">
    <w:abstractNumId w:val="6"/>
  </w:num>
  <w:num w:numId="11">
    <w:abstractNumId w:val="42"/>
  </w:num>
  <w:num w:numId="12">
    <w:abstractNumId w:val="37"/>
  </w:num>
  <w:num w:numId="13">
    <w:abstractNumId w:val="36"/>
  </w:num>
  <w:num w:numId="14">
    <w:abstractNumId w:val="26"/>
  </w:num>
  <w:num w:numId="15">
    <w:abstractNumId w:val="10"/>
  </w:num>
  <w:num w:numId="16">
    <w:abstractNumId w:val="16"/>
  </w:num>
  <w:num w:numId="17">
    <w:abstractNumId w:val="24"/>
  </w:num>
  <w:num w:numId="18">
    <w:abstractNumId w:val="17"/>
  </w:num>
  <w:num w:numId="19">
    <w:abstractNumId w:val="8"/>
  </w:num>
  <w:num w:numId="20">
    <w:abstractNumId w:val="0"/>
  </w:num>
  <w:num w:numId="21">
    <w:abstractNumId w:val="18"/>
  </w:num>
  <w:num w:numId="22">
    <w:abstractNumId w:val="27"/>
  </w:num>
  <w:num w:numId="23">
    <w:abstractNumId w:val="20"/>
  </w:num>
  <w:num w:numId="24">
    <w:abstractNumId w:val="41"/>
  </w:num>
  <w:num w:numId="25">
    <w:abstractNumId w:val="43"/>
  </w:num>
  <w:num w:numId="26">
    <w:abstractNumId w:val="4"/>
  </w:num>
  <w:num w:numId="27">
    <w:abstractNumId w:val="29"/>
  </w:num>
  <w:num w:numId="28">
    <w:abstractNumId w:val="25"/>
  </w:num>
  <w:num w:numId="29">
    <w:abstractNumId w:val="12"/>
  </w:num>
  <w:num w:numId="30">
    <w:abstractNumId w:val="15"/>
  </w:num>
  <w:num w:numId="31">
    <w:abstractNumId w:val="32"/>
  </w:num>
  <w:num w:numId="32">
    <w:abstractNumId w:val="39"/>
  </w:num>
  <w:num w:numId="33">
    <w:abstractNumId w:val="14"/>
  </w:num>
  <w:num w:numId="34">
    <w:abstractNumId w:val="7"/>
  </w:num>
  <w:num w:numId="35">
    <w:abstractNumId w:val="35"/>
  </w:num>
  <w:num w:numId="36">
    <w:abstractNumId w:val="5"/>
  </w:num>
  <w:num w:numId="37">
    <w:abstractNumId w:val="30"/>
  </w:num>
  <w:num w:numId="38">
    <w:abstractNumId w:val="11"/>
  </w:num>
  <w:num w:numId="39">
    <w:abstractNumId w:val="19"/>
  </w:num>
  <w:num w:numId="40">
    <w:abstractNumId w:val="31"/>
  </w:num>
  <w:num w:numId="41">
    <w:abstractNumId w:val="3"/>
  </w:num>
  <w:num w:numId="42">
    <w:abstractNumId w:val="23"/>
  </w:num>
  <w:num w:numId="43">
    <w:abstractNumId w:val="21"/>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formatting="1" w:enforcement="0"/>
  <w:defaultTabStop w:val="130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E4964"/>
    <w:rsid w:val="000040C1"/>
    <w:rsid w:val="00005F43"/>
    <w:rsid w:val="00006BF9"/>
    <w:rsid w:val="00016A1C"/>
    <w:rsid w:val="00020A96"/>
    <w:rsid w:val="00025D59"/>
    <w:rsid w:val="000271CF"/>
    <w:rsid w:val="00031656"/>
    <w:rsid w:val="0003403E"/>
    <w:rsid w:val="00034858"/>
    <w:rsid w:val="00037145"/>
    <w:rsid w:val="000371B0"/>
    <w:rsid w:val="000441F9"/>
    <w:rsid w:val="00046161"/>
    <w:rsid w:val="00047680"/>
    <w:rsid w:val="0005134B"/>
    <w:rsid w:val="000538FB"/>
    <w:rsid w:val="0005515F"/>
    <w:rsid w:val="00055E94"/>
    <w:rsid w:val="00056560"/>
    <w:rsid w:val="000565DA"/>
    <w:rsid w:val="00056B50"/>
    <w:rsid w:val="0006055D"/>
    <w:rsid w:val="00062DD6"/>
    <w:rsid w:val="00063AFE"/>
    <w:rsid w:val="00064C86"/>
    <w:rsid w:val="000721C4"/>
    <w:rsid w:val="00072800"/>
    <w:rsid w:val="000740A0"/>
    <w:rsid w:val="00074B00"/>
    <w:rsid w:val="00074EEE"/>
    <w:rsid w:val="00077D3B"/>
    <w:rsid w:val="00081A16"/>
    <w:rsid w:val="000851B1"/>
    <w:rsid w:val="00086169"/>
    <w:rsid w:val="000877AE"/>
    <w:rsid w:val="00094DF4"/>
    <w:rsid w:val="00095FCF"/>
    <w:rsid w:val="000974C2"/>
    <w:rsid w:val="000A1DDD"/>
    <w:rsid w:val="000A43CF"/>
    <w:rsid w:val="000A46C4"/>
    <w:rsid w:val="000A6EF6"/>
    <w:rsid w:val="000A77D7"/>
    <w:rsid w:val="000B2229"/>
    <w:rsid w:val="000B38DF"/>
    <w:rsid w:val="000C2CCF"/>
    <w:rsid w:val="000C584F"/>
    <w:rsid w:val="000C691E"/>
    <w:rsid w:val="000C6E85"/>
    <w:rsid w:val="000D0B24"/>
    <w:rsid w:val="000D403C"/>
    <w:rsid w:val="000D47F0"/>
    <w:rsid w:val="000D4B9C"/>
    <w:rsid w:val="000D4D3E"/>
    <w:rsid w:val="000E1F52"/>
    <w:rsid w:val="000E4143"/>
    <w:rsid w:val="000E74B5"/>
    <w:rsid w:val="000F04B9"/>
    <w:rsid w:val="000F0CA6"/>
    <w:rsid w:val="000F124E"/>
    <w:rsid w:val="000F491A"/>
    <w:rsid w:val="000F6960"/>
    <w:rsid w:val="001006FF"/>
    <w:rsid w:val="001008F2"/>
    <w:rsid w:val="00100A33"/>
    <w:rsid w:val="0010762B"/>
    <w:rsid w:val="0011648E"/>
    <w:rsid w:val="001207AC"/>
    <w:rsid w:val="00121FAA"/>
    <w:rsid w:val="00130876"/>
    <w:rsid w:val="001311FC"/>
    <w:rsid w:val="00133279"/>
    <w:rsid w:val="00133FC1"/>
    <w:rsid w:val="00144CCE"/>
    <w:rsid w:val="00150A8C"/>
    <w:rsid w:val="00151D89"/>
    <w:rsid w:val="00153E7D"/>
    <w:rsid w:val="00154E2E"/>
    <w:rsid w:val="0015539E"/>
    <w:rsid w:val="001561F0"/>
    <w:rsid w:val="001660E1"/>
    <w:rsid w:val="00167088"/>
    <w:rsid w:val="001712D9"/>
    <w:rsid w:val="00171DA8"/>
    <w:rsid w:val="001728D6"/>
    <w:rsid w:val="00177FDD"/>
    <w:rsid w:val="0018158E"/>
    <w:rsid w:val="00187086"/>
    <w:rsid w:val="00187CD0"/>
    <w:rsid w:val="001952A9"/>
    <w:rsid w:val="001954EC"/>
    <w:rsid w:val="001B11EE"/>
    <w:rsid w:val="001B3ADF"/>
    <w:rsid w:val="001C1CEF"/>
    <w:rsid w:val="001C1FD2"/>
    <w:rsid w:val="001C2450"/>
    <w:rsid w:val="001C37DA"/>
    <w:rsid w:val="001C58EB"/>
    <w:rsid w:val="001C701B"/>
    <w:rsid w:val="001C74E7"/>
    <w:rsid w:val="001C7CF9"/>
    <w:rsid w:val="001D1430"/>
    <w:rsid w:val="001D1480"/>
    <w:rsid w:val="001D28E7"/>
    <w:rsid w:val="001D299D"/>
    <w:rsid w:val="001D3993"/>
    <w:rsid w:val="001D45CC"/>
    <w:rsid w:val="001D74CA"/>
    <w:rsid w:val="001E4916"/>
    <w:rsid w:val="001E7290"/>
    <w:rsid w:val="001E75AE"/>
    <w:rsid w:val="001F0A13"/>
    <w:rsid w:val="001F1C3D"/>
    <w:rsid w:val="001F3709"/>
    <w:rsid w:val="001F4464"/>
    <w:rsid w:val="001F73E3"/>
    <w:rsid w:val="001F7B89"/>
    <w:rsid w:val="002009FB"/>
    <w:rsid w:val="00203703"/>
    <w:rsid w:val="00206132"/>
    <w:rsid w:val="002073BD"/>
    <w:rsid w:val="00212958"/>
    <w:rsid w:val="00216B74"/>
    <w:rsid w:val="002201AA"/>
    <w:rsid w:val="00224C2D"/>
    <w:rsid w:val="00225EF1"/>
    <w:rsid w:val="00226875"/>
    <w:rsid w:val="002322FF"/>
    <w:rsid w:val="0023263F"/>
    <w:rsid w:val="00232D9C"/>
    <w:rsid w:val="002332F6"/>
    <w:rsid w:val="00235D63"/>
    <w:rsid w:val="00236B7E"/>
    <w:rsid w:val="00241BB4"/>
    <w:rsid w:val="00242DE3"/>
    <w:rsid w:val="00243B30"/>
    <w:rsid w:val="00243F2E"/>
    <w:rsid w:val="002451FE"/>
    <w:rsid w:val="00246C0B"/>
    <w:rsid w:val="00253008"/>
    <w:rsid w:val="00253454"/>
    <w:rsid w:val="00256D32"/>
    <w:rsid w:val="00263D2D"/>
    <w:rsid w:val="00267DB9"/>
    <w:rsid w:val="00271EC9"/>
    <w:rsid w:val="00272FB6"/>
    <w:rsid w:val="00274EDD"/>
    <w:rsid w:val="00275E28"/>
    <w:rsid w:val="00275E4E"/>
    <w:rsid w:val="002762C6"/>
    <w:rsid w:val="00277B93"/>
    <w:rsid w:val="00281DC5"/>
    <w:rsid w:val="00282E8B"/>
    <w:rsid w:val="002841DC"/>
    <w:rsid w:val="002906DF"/>
    <w:rsid w:val="00290D92"/>
    <w:rsid w:val="00290E31"/>
    <w:rsid w:val="00292219"/>
    <w:rsid w:val="00297999"/>
    <w:rsid w:val="002A07AF"/>
    <w:rsid w:val="002A0F05"/>
    <w:rsid w:val="002A442F"/>
    <w:rsid w:val="002A4C1A"/>
    <w:rsid w:val="002A5ECF"/>
    <w:rsid w:val="002A646B"/>
    <w:rsid w:val="002A780A"/>
    <w:rsid w:val="002B0FBC"/>
    <w:rsid w:val="002B326F"/>
    <w:rsid w:val="002B3A17"/>
    <w:rsid w:val="002B6B74"/>
    <w:rsid w:val="002B7153"/>
    <w:rsid w:val="002C32DE"/>
    <w:rsid w:val="002C3313"/>
    <w:rsid w:val="002C7E2D"/>
    <w:rsid w:val="002D2129"/>
    <w:rsid w:val="002D2E9D"/>
    <w:rsid w:val="002D3848"/>
    <w:rsid w:val="002D67C4"/>
    <w:rsid w:val="002E574D"/>
    <w:rsid w:val="002F3107"/>
    <w:rsid w:val="002F4764"/>
    <w:rsid w:val="002F7A58"/>
    <w:rsid w:val="0030056F"/>
    <w:rsid w:val="003005F4"/>
    <w:rsid w:val="003020CA"/>
    <w:rsid w:val="00302CC1"/>
    <w:rsid w:val="00310D7A"/>
    <w:rsid w:val="00311068"/>
    <w:rsid w:val="003124E0"/>
    <w:rsid w:val="00314C6B"/>
    <w:rsid w:val="00316653"/>
    <w:rsid w:val="00316E4C"/>
    <w:rsid w:val="00317F22"/>
    <w:rsid w:val="00322682"/>
    <w:rsid w:val="003364D7"/>
    <w:rsid w:val="00340537"/>
    <w:rsid w:val="00342D53"/>
    <w:rsid w:val="00343AA2"/>
    <w:rsid w:val="00353771"/>
    <w:rsid w:val="0035474F"/>
    <w:rsid w:val="00355A93"/>
    <w:rsid w:val="00360DF9"/>
    <w:rsid w:val="00363CBB"/>
    <w:rsid w:val="00366163"/>
    <w:rsid w:val="00366692"/>
    <w:rsid w:val="00373846"/>
    <w:rsid w:val="00375AA9"/>
    <w:rsid w:val="00376768"/>
    <w:rsid w:val="00384293"/>
    <w:rsid w:val="003846DC"/>
    <w:rsid w:val="003871D9"/>
    <w:rsid w:val="00390777"/>
    <w:rsid w:val="003913E1"/>
    <w:rsid w:val="00391ED1"/>
    <w:rsid w:val="00392EA5"/>
    <w:rsid w:val="0039393F"/>
    <w:rsid w:val="003A2087"/>
    <w:rsid w:val="003A3F93"/>
    <w:rsid w:val="003A57D8"/>
    <w:rsid w:val="003A5892"/>
    <w:rsid w:val="003A62C7"/>
    <w:rsid w:val="003A6A34"/>
    <w:rsid w:val="003A6B86"/>
    <w:rsid w:val="003B0D18"/>
    <w:rsid w:val="003B0E9F"/>
    <w:rsid w:val="003B2958"/>
    <w:rsid w:val="003B3A29"/>
    <w:rsid w:val="003B6767"/>
    <w:rsid w:val="003C0F9B"/>
    <w:rsid w:val="003C29B8"/>
    <w:rsid w:val="003C40FD"/>
    <w:rsid w:val="003C5C53"/>
    <w:rsid w:val="003C67F2"/>
    <w:rsid w:val="003C6EEF"/>
    <w:rsid w:val="003D226D"/>
    <w:rsid w:val="003D4EF8"/>
    <w:rsid w:val="003D5F92"/>
    <w:rsid w:val="003D777B"/>
    <w:rsid w:val="003D7BFF"/>
    <w:rsid w:val="003E19A7"/>
    <w:rsid w:val="003E57CE"/>
    <w:rsid w:val="003F4477"/>
    <w:rsid w:val="003F57E3"/>
    <w:rsid w:val="003F6A19"/>
    <w:rsid w:val="004018DD"/>
    <w:rsid w:val="0040515D"/>
    <w:rsid w:val="00414FF0"/>
    <w:rsid w:val="00416399"/>
    <w:rsid w:val="00416755"/>
    <w:rsid w:val="00417337"/>
    <w:rsid w:val="00417ED3"/>
    <w:rsid w:val="00420B5D"/>
    <w:rsid w:val="0042198A"/>
    <w:rsid w:val="00426A73"/>
    <w:rsid w:val="00427A21"/>
    <w:rsid w:val="00430292"/>
    <w:rsid w:val="00432E01"/>
    <w:rsid w:val="00440298"/>
    <w:rsid w:val="004434D0"/>
    <w:rsid w:val="004435A3"/>
    <w:rsid w:val="00450CEA"/>
    <w:rsid w:val="00451BFD"/>
    <w:rsid w:val="0045515C"/>
    <w:rsid w:val="00456623"/>
    <w:rsid w:val="00457AA3"/>
    <w:rsid w:val="0046102D"/>
    <w:rsid w:val="00461ADD"/>
    <w:rsid w:val="0046355C"/>
    <w:rsid w:val="00463B4B"/>
    <w:rsid w:val="00466032"/>
    <w:rsid w:val="0046659B"/>
    <w:rsid w:val="00467DA4"/>
    <w:rsid w:val="0047131C"/>
    <w:rsid w:val="004718C7"/>
    <w:rsid w:val="0047236A"/>
    <w:rsid w:val="00472C1C"/>
    <w:rsid w:val="004732BF"/>
    <w:rsid w:val="00481927"/>
    <w:rsid w:val="00483812"/>
    <w:rsid w:val="004841C1"/>
    <w:rsid w:val="00484271"/>
    <w:rsid w:val="0049391B"/>
    <w:rsid w:val="00494179"/>
    <w:rsid w:val="00495832"/>
    <w:rsid w:val="004A0F8F"/>
    <w:rsid w:val="004A19EE"/>
    <w:rsid w:val="004A5F50"/>
    <w:rsid w:val="004B4A91"/>
    <w:rsid w:val="004B59A0"/>
    <w:rsid w:val="004B5CA3"/>
    <w:rsid w:val="004B6791"/>
    <w:rsid w:val="004C51D8"/>
    <w:rsid w:val="004D0AE9"/>
    <w:rsid w:val="004D2ED7"/>
    <w:rsid w:val="004D34A6"/>
    <w:rsid w:val="004D3CFC"/>
    <w:rsid w:val="004D4D53"/>
    <w:rsid w:val="004D526B"/>
    <w:rsid w:val="004D754B"/>
    <w:rsid w:val="004E290A"/>
    <w:rsid w:val="004E3754"/>
    <w:rsid w:val="004E594D"/>
    <w:rsid w:val="004F0DE5"/>
    <w:rsid w:val="004F2B76"/>
    <w:rsid w:val="004F72B5"/>
    <w:rsid w:val="0050150F"/>
    <w:rsid w:val="00502E7D"/>
    <w:rsid w:val="00503297"/>
    <w:rsid w:val="00503C22"/>
    <w:rsid w:val="00504323"/>
    <w:rsid w:val="00507C48"/>
    <w:rsid w:val="00510C5D"/>
    <w:rsid w:val="00512444"/>
    <w:rsid w:val="00512ECC"/>
    <w:rsid w:val="00515B69"/>
    <w:rsid w:val="005171FC"/>
    <w:rsid w:val="00517E1A"/>
    <w:rsid w:val="00521453"/>
    <w:rsid w:val="00523A48"/>
    <w:rsid w:val="00525A39"/>
    <w:rsid w:val="00525F3A"/>
    <w:rsid w:val="0053203B"/>
    <w:rsid w:val="00533B21"/>
    <w:rsid w:val="00533B2F"/>
    <w:rsid w:val="00537BCC"/>
    <w:rsid w:val="005404F6"/>
    <w:rsid w:val="00544D4F"/>
    <w:rsid w:val="0054642E"/>
    <w:rsid w:val="00552C40"/>
    <w:rsid w:val="005534F0"/>
    <w:rsid w:val="005546DF"/>
    <w:rsid w:val="00555913"/>
    <w:rsid w:val="005627E4"/>
    <w:rsid w:val="00564993"/>
    <w:rsid w:val="005754A3"/>
    <w:rsid w:val="005804EE"/>
    <w:rsid w:val="00584876"/>
    <w:rsid w:val="00586823"/>
    <w:rsid w:val="00591997"/>
    <w:rsid w:val="005951F7"/>
    <w:rsid w:val="00596205"/>
    <w:rsid w:val="00596BBE"/>
    <w:rsid w:val="00597369"/>
    <w:rsid w:val="005A10EE"/>
    <w:rsid w:val="005A1AD7"/>
    <w:rsid w:val="005A48D2"/>
    <w:rsid w:val="005A4C1B"/>
    <w:rsid w:val="005A57F2"/>
    <w:rsid w:val="005B1238"/>
    <w:rsid w:val="005B14EC"/>
    <w:rsid w:val="005B298E"/>
    <w:rsid w:val="005B39F6"/>
    <w:rsid w:val="005B4B72"/>
    <w:rsid w:val="005B581B"/>
    <w:rsid w:val="005B5D04"/>
    <w:rsid w:val="005B6C9B"/>
    <w:rsid w:val="005B6E60"/>
    <w:rsid w:val="005C075D"/>
    <w:rsid w:val="005C15BB"/>
    <w:rsid w:val="005C44FF"/>
    <w:rsid w:val="005C6862"/>
    <w:rsid w:val="005D03BE"/>
    <w:rsid w:val="005D0E50"/>
    <w:rsid w:val="005D25DE"/>
    <w:rsid w:val="005D3347"/>
    <w:rsid w:val="005D7D83"/>
    <w:rsid w:val="005D7FEC"/>
    <w:rsid w:val="005E3825"/>
    <w:rsid w:val="005E38D1"/>
    <w:rsid w:val="005F0F1E"/>
    <w:rsid w:val="005F23C4"/>
    <w:rsid w:val="005F2508"/>
    <w:rsid w:val="005F63FE"/>
    <w:rsid w:val="005F7B2B"/>
    <w:rsid w:val="0060353C"/>
    <w:rsid w:val="00604108"/>
    <w:rsid w:val="006045EE"/>
    <w:rsid w:val="00605283"/>
    <w:rsid w:val="006068FB"/>
    <w:rsid w:val="0061318A"/>
    <w:rsid w:val="00613E17"/>
    <w:rsid w:val="006203DD"/>
    <w:rsid w:val="006226F8"/>
    <w:rsid w:val="00622E4D"/>
    <w:rsid w:val="00623201"/>
    <w:rsid w:val="00630302"/>
    <w:rsid w:val="00631514"/>
    <w:rsid w:val="00632C21"/>
    <w:rsid w:val="006361B1"/>
    <w:rsid w:val="006363CC"/>
    <w:rsid w:val="00637544"/>
    <w:rsid w:val="00641FDD"/>
    <w:rsid w:val="00645640"/>
    <w:rsid w:val="00646BB1"/>
    <w:rsid w:val="00653CA2"/>
    <w:rsid w:val="006548F3"/>
    <w:rsid w:val="00657051"/>
    <w:rsid w:val="006602C0"/>
    <w:rsid w:val="006605EA"/>
    <w:rsid w:val="00665F03"/>
    <w:rsid w:val="00671A28"/>
    <w:rsid w:val="00676361"/>
    <w:rsid w:val="006864CD"/>
    <w:rsid w:val="00691F9C"/>
    <w:rsid w:val="006933F8"/>
    <w:rsid w:val="00693CB3"/>
    <w:rsid w:val="006951F7"/>
    <w:rsid w:val="00695E79"/>
    <w:rsid w:val="006A12AE"/>
    <w:rsid w:val="006B21C5"/>
    <w:rsid w:val="006B28E8"/>
    <w:rsid w:val="006B446C"/>
    <w:rsid w:val="006C1C1B"/>
    <w:rsid w:val="006C27CA"/>
    <w:rsid w:val="006C2FAF"/>
    <w:rsid w:val="006C3E8C"/>
    <w:rsid w:val="006D0DC6"/>
    <w:rsid w:val="006D42EB"/>
    <w:rsid w:val="006D7D59"/>
    <w:rsid w:val="006D7FDA"/>
    <w:rsid w:val="006E1FA7"/>
    <w:rsid w:val="006E39E9"/>
    <w:rsid w:val="006E4964"/>
    <w:rsid w:val="006E54D7"/>
    <w:rsid w:val="006E5E56"/>
    <w:rsid w:val="006E6099"/>
    <w:rsid w:val="006E69B3"/>
    <w:rsid w:val="006F0715"/>
    <w:rsid w:val="006F29F7"/>
    <w:rsid w:val="006F6A5B"/>
    <w:rsid w:val="006F7048"/>
    <w:rsid w:val="006F77B9"/>
    <w:rsid w:val="006F7DEF"/>
    <w:rsid w:val="0070250C"/>
    <w:rsid w:val="00704239"/>
    <w:rsid w:val="00704521"/>
    <w:rsid w:val="00704EA7"/>
    <w:rsid w:val="0070515D"/>
    <w:rsid w:val="007053B9"/>
    <w:rsid w:val="00706A42"/>
    <w:rsid w:val="007139C6"/>
    <w:rsid w:val="00714F3B"/>
    <w:rsid w:val="00715FEF"/>
    <w:rsid w:val="00716FBA"/>
    <w:rsid w:val="00720DC2"/>
    <w:rsid w:val="00722F3C"/>
    <w:rsid w:val="00723ED6"/>
    <w:rsid w:val="00727A30"/>
    <w:rsid w:val="00737EE2"/>
    <w:rsid w:val="0074076D"/>
    <w:rsid w:val="00743241"/>
    <w:rsid w:val="007444F2"/>
    <w:rsid w:val="007452CD"/>
    <w:rsid w:val="00745C00"/>
    <w:rsid w:val="00746449"/>
    <w:rsid w:val="00752483"/>
    <w:rsid w:val="00754E1A"/>
    <w:rsid w:val="007568B8"/>
    <w:rsid w:val="00756C5B"/>
    <w:rsid w:val="00764516"/>
    <w:rsid w:val="007651B3"/>
    <w:rsid w:val="007828C7"/>
    <w:rsid w:val="00785DB9"/>
    <w:rsid w:val="00792657"/>
    <w:rsid w:val="00792684"/>
    <w:rsid w:val="007A50B4"/>
    <w:rsid w:val="007A6FC8"/>
    <w:rsid w:val="007B27C5"/>
    <w:rsid w:val="007B319A"/>
    <w:rsid w:val="007B3A5D"/>
    <w:rsid w:val="007C0657"/>
    <w:rsid w:val="007C0F1D"/>
    <w:rsid w:val="007C13BB"/>
    <w:rsid w:val="007C1982"/>
    <w:rsid w:val="007D00FA"/>
    <w:rsid w:val="007D2414"/>
    <w:rsid w:val="007D3B81"/>
    <w:rsid w:val="007D58B3"/>
    <w:rsid w:val="007D6701"/>
    <w:rsid w:val="007D6EDC"/>
    <w:rsid w:val="007E018A"/>
    <w:rsid w:val="007E0EF3"/>
    <w:rsid w:val="007E1E9B"/>
    <w:rsid w:val="007E7633"/>
    <w:rsid w:val="007F1446"/>
    <w:rsid w:val="007F43D0"/>
    <w:rsid w:val="007F6B5D"/>
    <w:rsid w:val="008014E2"/>
    <w:rsid w:val="008026F5"/>
    <w:rsid w:val="00802A48"/>
    <w:rsid w:val="00802FB2"/>
    <w:rsid w:val="00804CD0"/>
    <w:rsid w:val="00807AD3"/>
    <w:rsid w:val="00810F17"/>
    <w:rsid w:val="008121A0"/>
    <w:rsid w:val="0081407F"/>
    <w:rsid w:val="00815426"/>
    <w:rsid w:val="00815F96"/>
    <w:rsid w:val="00822D09"/>
    <w:rsid w:val="00837406"/>
    <w:rsid w:val="008377B8"/>
    <w:rsid w:val="00840371"/>
    <w:rsid w:val="008416AB"/>
    <w:rsid w:val="00841D3D"/>
    <w:rsid w:val="008476D9"/>
    <w:rsid w:val="008522EE"/>
    <w:rsid w:val="00854149"/>
    <w:rsid w:val="0085632E"/>
    <w:rsid w:val="0085653B"/>
    <w:rsid w:val="00857862"/>
    <w:rsid w:val="008646B9"/>
    <w:rsid w:val="00865826"/>
    <w:rsid w:val="00867239"/>
    <w:rsid w:val="00867B01"/>
    <w:rsid w:val="00876A44"/>
    <w:rsid w:val="00876C87"/>
    <w:rsid w:val="00883162"/>
    <w:rsid w:val="0088670D"/>
    <w:rsid w:val="00890AA2"/>
    <w:rsid w:val="008943D9"/>
    <w:rsid w:val="00896176"/>
    <w:rsid w:val="00896436"/>
    <w:rsid w:val="00896D5A"/>
    <w:rsid w:val="008A2FE7"/>
    <w:rsid w:val="008A5246"/>
    <w:rsid w:val="008A61A9"/>
    <w:rsid w:val="008A7445"/>
    <w:rsid w:val="008B24FE"/>
    <w:rsid w:val="008B443E"/>
    <w:rsid w:val="008B6A82"/>
    <w:rsid w:val="008C2A99"/>
    <w:rsid w:val="008C4B02"/>
    <w:rsid w:val="008C6248"/>
    <w:rsid w:val="008D2B76"/>
    <w:rsid w:val="008D4F31"/>
    <w:rsid w:val="008D6488"/>
    <w:rsid w:val="008D6703"/>
    <w:rsid w:val="008D7F8D"/>
    <w:rsid w:val="008E1503"/>
    <w:rsid w:val="008E3C25"/>
    <w:rsid w:val="008E4501"/>
    <w:rsid w:val="008E5D2C"/>
    <w:rsid w:val="008E6617"/>
    <w:rsid w:val="008E6823"/>
    <w:rsid w:val="008E712E"/>
    <w:rsid w:val="008E7501"/>
    <w:rsid w:val="008F3DBB"/>
    <w:rsid w:val="008F70F4"/>
    <w:rsid w:val="008F71F0"/>
    <w:rsid w:val="008F77A4"/>
    <w:rsid w:val="00900A87"/>
    <w:rsid w:val="00901B27"/>
    <w:rsid w:val="009033B4"/>
    <w:rsid w:val="00904BE6"/>
    <w:rsid w:val="009059B9"/>
    <w:rsid w:val="009130EF"/>
    <w:rsid w:val="00914BE6"/>
    <w:rsid w:val="00916776"/>
    <w:rsid w:val="00920450"/>
    <w:rsid w:val="00920559"/>
    <w:rsid w:val="009208ED"/>
    <w:rsid w:val="009213B2"/>
    <w:rsid w:val="00926F1A"/>
    <w:rsid w:val="00927DA7"/>
    <w:rsid w:val="00931B76"/>
    <w:rsid w:val="00932A27"/>
    <w:rsid w:val="0093603F"/>
    <w:rsid w:val="00941E41"/>
    <w:rsid w:val="00942DCC"/>
    <w:rsid w:val="00944EB5"/>
    <w:rsid w:val="00950814"/>
    <w:rsid w:val="00950873"/>
    <w:rsid w:val="00951B64"/>
    <w:rsid w:val="00953BC3"/>
    <w:rsid w:val="00955527"/>
    <w:rsid w:val="00956644"/>
    <w:rsid w:val="00957A3F"/>
    <w:rsid w:val="00963B34"/>
    <w:rsid w:val="00963C52"/>
    <w:rsid w:val="0096451C"/>
    <w:rsid w:val="00965C1F"/>
    <w:rsid w:val="00967996"/>
    <w:rsid w:val="00970994"/>
    <w:rsid w:val="009740C2"/>
    <w:rsid w:val="00976067"/>
    <w:rsid w:val="00976D83"/>
    <w:rsid w:val="00980F10"/>
    <w:rsid w:val="0098247C"/>
    <w:rsid w:val="009860BD"/>
    <w:rsid w:val="00987AB3"/>
    <w:rsid w:val="0099125E"/>
    <w:rsid w:val="00994AEC"/>
    <w:rsid w:val="00995637"/>
    <w:rsid w:val="009A0139"/>
    <w:rsid w:val="009B3994"/>
    <w:rsid w:val="009B3C5F"/>
    <w:rsid w:val="009B735D"/>
    <w:rsid w:val="009C500C"/>
    <w:rsid w:val="009E3C40"/>
    <w:rsid w:val="009E6FFD"/>
    <w:rsid w:val="009F1115"/>
    <w:rsid w:val="009F1E77"/>
    <w:rsid w:val="009F30B9"/>
    <w:rsid w:val="009F410B"/>
    <w:rsid w:val="009F427B"/>
    <w:rsid w:val="009F58F5"/>
    <w:rsid w:val="00A002E7"/>
    <w:rsid w:val="00A026C8"/>
    <w:rsid w:val="00A02DC9"/>
    <w:rsid w:val="00A05360"/>
    <w:rsid w:val="00A17805"/>
    <w:rsid w:val="00A178D3"/>
    <w:rsid w:val="00A257E1"/>
    <w:rsid w:val="00A26526"/>
    <w:rsid w:val="00A317D4"/>
    <w:rsid w:val="00A3193C"/>
    <w:rsid w:val="00A3254F"/>
    <w:rsid w:val="00A3551C"/>
    <w:rsid w:val="00A40F33"/>
    <w:rsid w:val="00A43273"/>
    <w:rsid w:val="00A44A8B"/>
    <w:rsid w:val="00A46562"/>
    <w:rsid w:val="00A5334E"/>
    <w:rsid w:val="00A62B7B"/>
    <w:rsid w:val="00A62CD6"/>
    <w:rsid w:val="00A63478"/>
    <w:rsid w:val="00A700E1"/>
    <w:rsid w:val="00A70201"/>
    <w:rsid w:val="00A80060"/>
    <w:rsid w:val="00A85036"/>
    <w:rsid w:val="00A85D9C"/>
    <w:rsid w:val="00A87532"/>
    <w:rsid w:val="00A938F6"/>
    <w:rsid w:val="00A93F24"/>
    <w:rsid w:val="00AA0929"/>
    <w:rsid w:val="00AA1FB3"/>
    <w:rsid w:val="00AA34D4"/>
    <w:rsid w:val="00AA37D9"/>
    <w:rsid w:val="00AB2AD6"/>
    <w:rsid w:val="00AB4CA9"/>
    <w:rsid w:val="00AB574F"/>
    <w:rsid w:val="00AC0F46"/>
    <w:rsid w:val="00AC3122"/>
    <w:rsid w:val="00AC52DE"/>
    <w:rsid w:val="00AC7F0D"/>
    <w:rsid w:val="00AD0285"/>
    <w:rsid w:val="00AD0433"/>
    <w:rsid w:val="00AD04E7"/>
    <w:rsid w:val="00AD1B8D"/>
    <w:rsid w:val="00AD2331"/>
    <w:rsid w:val="00AD2C10"/>
    <w:rsid w:val="00AD3996"/>
    <w:rsid w:val="00AD3D57"/>
    <w:rsid w:val="00AD4BC3"/>
    <w:rsid w:val="00AE1325"/>
    <w:rsid w:val="00AE1697"/>
    <w:rsid w:val="00AE26A3"/>
    <w:rsid w:val="00AE7894"/>
    <w:rsid w:val="00AF14E8"/>
    <w:rsid w:val="00AF5E42"/>
    <w:rsid w:val="00AF61EB"/>
    <w:rsid w:val="00AF67BC"/>
    <w:rsid w:val="00AF6920"/>
    <w:rsid w:val="00B0343D"/>
    <w:rsid w:val="00B054BF"/>
    <w:rsid w:val="00B0580C"/>
    <w:rsid w:val="00B20AB6"/>
    <w:rsid w:val="00B225B7"/>
    <w:rsid w:val="00B273F5"/>
    <w:rsid w:val="00B27E30"/>
    <w:rsid w:val="00B304B6"/>
    <w:rsid w:val="00B319BE"/>
    <w:rsid w:val="00B34FD0"/>
    <w:rsid w:val="00B3582B"/>
    <w:rsid w:val="00B40C94"/>
    <w:rsid w:val="00B43167"/>
    <w:rsid w:val="00B43270"/>
    <w:rsid w:val="00B43FA8"/>
    <w:rsid w:val="00B45F57"/>
    <w:rsid w:val="00B52101"/>
    <w:rsid w:val="00B54CFA"/>
    <w:rsid w:val="00B57BC4"/>
    <w:rsid w:val="00B6291B"/>
    <w:rsid w:val="00B63948"/>
    <w:rsid w:val="00B64D8E"/>
    <w:rsid w:val="00B70BAA"/>
    <w:rsid w:val="00B75ECC"/>
    <w:rsid w:val="00B773A6"/>
    <w:rsid w:val="00B80129"/>
    <w:rsid w:val="00B804DF"/>
    <w:rsid w:val="00B83F53"/>
    <w:rsid w:val="00B83FF9"/>
    <w:rsid w:val="00B84B36"/>
    <w:rsid w:val="00B8653C"/>
    <w:rsid w:val="00B91596"/>
    <w:rsid w:val="00B934CF"/>
    <w:rsid w:val="00B969EB"/>
    <w:rsid w:val="00BA1D38"/>
    <w:rsid w:val="00BA1F03"/>
    <w:rsid w:val="00BA30B4"/>
    <w:rsid w:val="00BA4A8F"/>
    <w:rsid w:val="00BA4E78"/>
    <w:rsid w:val="00BA4F86"/>
    <w:rsid w:val="00BA5394"/>
    <w:rsid w:val="00BA6EAE"/>
    <w:rsid w:val="00BB11DD"/>
    <w:rsid w:val="00BB1869"/>
    <w:rsid w:val="00BB1A27"/>
    <w:rsid w:val="00BB207A"/>
    <w:rsid w:val="00BB3740"/>
    <w:rsid w:val="00BB66FA"/>
    <w:rsid w:val="00BC1409"/>
    <w:rsid w:val="00BC218C"/>
    <w:rsid w:val="00BC2602"/>
    <w:rsid w:val="00BC2778"/>
    <w:rsid w:val="00BC3281"/>
    <w:rsid w:val="00BC3948"/>
    <w:rsid w:val="00BC3C15"/>
    <w:rsid w:val="00BC47E3"/>
    <w:rsid w:val="00BD011E"/>
    <w:rsid w:val="00BD0417"/>
    <w:rsid w:val="00BD242D"/>
    <w:rsid w:val="00BD3628"/>
    <w:rsid w:val="00BD3AE9"/>
    <w:rsid w:val="00BD40F1"/>
    <w:rsid w:val="00BD4A53"/>
    <w:rsid w:val="00BE1D9B"/>
    <w:rsid w:val="00BE3DA5"/>
    <w:rsid w:val="00BE7C33"/>
    <w:rsid w:val="00BE7E7E"/>
    <w:rsid w:val="00BF16DC"/>
    <w:rsid w:val="00BF5B52"/>
    <w:rsid w:val="00BF6016"/>
    <w:rsid w:val="00C02F5E"/>
    <w:rsid w:val="00C039A3"/>
    <w:rsid w:val="00C05502"/>
    <w:rsid w:val="00C05E80"/>
    <w:rsid w:val="00C10569"/>
    <w:rsid w:val="00C11E78"/>
    <w:rsid w:val="00C1303D"/>
    <w:rsid w:val="00C13534"/>
    <w:rsid w:val="00C15B5A"/>
    <w:rsid w:val="00C15D32"/>
    <w:rsid w:val="00C222BE"/>
    <w:rsid w:val="00C22EB3"/>
    <w:rsid w:val="00C24DF1"/>
    <w:rsid w:val="00C269F5"/>
    <w:rsid w:val="00C31D07"/>
    <w:rsid w:val="00C3266E"/>
    <w:rsid w:val="00C37688"/>
    <w:rsid w:val="00C40B2F"/>
    <w:rsid w:val="00C422F1"/>
    <w:rsid w:val="00C42BEC"/>
    <w:rsid w:val="00C467BF"/>
    <w:rsid w:val="00C51B2C"/>
    <w:rsid w:val="00C522F5"/>
    <w:rsid w:val="00C525BE"/>
    <w:rsid w:val="00C55838"/>
    <w:rsid w:val="00C55936"/>
    <w:rsid w:val="00C57101"/>
    <w:rsid w:val="00C60959"/>
    <w:rsid w:val="00C66E4E"/>
    <w:rsid w:val="00C6715C"/>
    <w:rsid w:val="00C726F6"/>
    <w:rsid w:val="00C758B0"/>
    <w:rsid w:val="00C81AC8"/>
    <w:rsid w:val="00C83B93"/>
    <w:rsid w:val="00C86348"/>
    <w:rsid w:val="00C909F1"/>
    <w:rsid w:val="00C90BC4"/>
    <w:rsid w:val="00C9174A"/>
    <w:rsid w:val="00C9428D"/>
    <w:rsid w:val="00C94C5C"/>
    <w:rsid w:val="00C95B9D"/>
    <w:rsid w:val="00CA2497"/>
    <w:rsid w:val="00CA4B88"/>
    <w:rsid w:val="00CB0C42"/>
    <w:rsid w:val="00CB106F"/>
    <w:rsid w:val="00CB296F"/>
    <w:rsid w:val="00CC331C"/>
    <w:rsid w:val="00CD1E2D"/>
    <w:rsid w:val="00CD2B93"/>
    <w:rsid w:val="00CD3F43"/>
    <w:rsid w:val="00CD630B"/>
    <w:rsid w:val="00CD6487"/>
    <w:rsid w:val="00CE246E"/>
    <w:rsid w:val="00CE261E"/>
    <w:rsid w:val="00CE30D8"/>
    <w:rsid w:val="00CE3934"/>
    <w:rsid w:val="00CE7941"/>
    <w:rsid w:val="00CF1466"/>
    <w:rsid w:val="00CF232A"/>
    <w:rsid w:val="00CF4381"/>
    <w:rsid w:val="00D001E0"/>
    <w:rsid w:val="00D03D60"/>
    <w:rsid w:val="00D04F7E"/>
    <w:rsid w:val="00D063D9"/>
    <w:rsid w:val="00D1222A"/>
    <w:rsid w:val="00D12C58"/>
    <w:rsid w:val="00D14ECA"/>
    <w:rsid w:val="00D15D4A"/>
    <w:rsid w:val="00D16D5A"/>
    <w:rsid w:val="00D200AB"/>
    <w:rsid w:val="00D21583"/>
    <w:rsid w:val="00D23F6F"/>
    <w:rsid w:val="00D27798"/>
    <w:rsid w:val="00D279EB"/>
    <w:rsid w:val="00D303A9"/>
    <w:rsid w:val="00D30841"/>
    <w:rsid w:val="00D31924"/>
    <w:rsid w:val="00D31E4D"/>
    <w:rsid w:val="00D32C6D"/>
    <w:rsid w:val="00D36771"/>
    <w:rsid w:val="00D44435"/>
    <w:rsid w:val="00D44538"/>
    <w:rsid w:val="00D44B9D"/>
    <w:rsid w:val="00D458F7"/>
    <w:rsid w:val="00D461E6"/>
    <w:rsid w:val="00D505C4"/>
    <w:rsid w:val="00D516A3"/>
    <w:rsid w:val="00D52707"/>
    <w:rsid w:val="00D53DBA"/>
    <w:rsid w:val="00D55B14"/>
    <w:rsid w:val="00D55D07"/>
    <w:rsid w:val="00D61B64"/>
    <w:rsid w:val="00D61DBA"/>
    <w:rsid w:val="00D65F1F"/>
    <w:rsid w:val="00D66599"/>
    <w:rsid w:val="00D7284B"/>
    <w:rsid w:val="00D72A30"/>
    <w:rsid w:val="00D72F66"/>
    <w:rsid w:val="00D761D6"/>
    <w:rsid w:val="00D76B3C"/>
    <w:rsid w:val="00D77124"/>
    <w:rsid w:val="00D771E1"/>
    <w:rsid w:val="00D81DA8"/>
    <w:rsid w:val="00D83B96"/>
    <w:rsid w:val="00D85A4D"/>
    <w:rsid w:val="00D85AED"/>
    <w:rsid w:val="00D85C30"/>
    <w:rsid w:val="00D87437"/>
    <w:rsid w:val="00D9021E"/>
    <w:rsid w:val="00D91A0C"/>
    <w:rsid w:val="00D94D5B"/>
    <w:rsid w:val="00D96EC8"/>
    <w:rsid w:val="00D97802"/>
    <w:rsid w:val="00DA16CB"/>
    <w:rsid w:val="00DA1E48"/>
    <w:rsid w:val="00DA28E3"/>
    <w:rsid w:val="00DA33E0"/>
    <w:rsid w:val="00DA33E2"/>
    <w:rsid w:val="00DA533C"/>
    <w:rsid w:val="00DA7D37"/>
    <w:rsid w:val="00DB5D15"/>
    <w:rsid w:val="00DC06DF"/>
    <w:rsid w:val="00DC0D52"/>
    <w:rsid w:val="00DC15C6"/>
    <w:rsid w:val="00DC439F"/>
    <w:rsid w:val="00DC4F1A"/>
    <w:rsid w:val="00DC5294"/>
    <w:rsid w:val="00DC587A"/>
    <w:rsid w:val="00DD1439"/>
    <w:rsid w:val="00DD4830"/>
    <w:rsid w:val="00DE0C9E"/>
    <w:rsid w:val="00DE2C04"/>
    <w:rsid w:val="00DE4223"/>
    <w:rsid w:val="00DE47C5"/>
    <w:rsid w:val="00DE4964"/>
    <w:rsid w:val="00DE6D96"/>
    <w:rsid w:val="00DE7E78"/>
    <w:rsid w:val="00DF13FB"/>
    <w:rsid w:val="00DF2A9C"/>
    <w:rsid w:val="00DF70A5"/>
    <w:rsid w:val="00E0017F"/>
    <w:rsid w:val="00E02319"/>
    <w:rsid w:val="00E03997"/>
    <w:rsid w:val="00E050CA"/>
    <w:rsid w:val="00E060CE"/>
    <w:rsid w:val="00E1454D"/>
    <w:rsid w:val="00E16517"/>
    <w:rsid w:val="00E20D0D"/>
    <w:rsid w:val="00E21148"/>
    <w:rsid w:val="00E21D45"/>
    <w:rsid w:val="00E31A51"/>
    <w:rsid w:val="00E32CD6"/>
    <w:rsid w:val="00E332EA"/>
    <w:rsid w:val="00E40446"/>
    <w:rsid w:val="00E40554"/>
    <w:rsid w:val="00E43AFD"/>
    <w:rsid w:val="00E43BCC"/>
    <w:rsid w:val="00E43F35"/>
    <w:rsid w:val="00E457AD"/>
    <w:rsid w:val="00E46FED"/>
    <w:rsid w:val="00E55AE8"/>
    <w:rsid w:val="00E56B7E"/>
    <w:rsid w:val="00E5748C"/>
    <w:rsid w:val="00E635C8"/>
    <w:rsid w:val="00E7083E"/>
    <w:rsid w:val="00E757C9"/>
    <w:rsid w:val="00E82B00"/>
    <w:rsid w:val="00E834C8"/>
    <w:rsid w:val="00E83C69"/>
    <w:rsid w:val="00E83F38"/>
    <w:rsid w:val="00E861CF"/>
    <w:rsid w:val="00E870B5"/>
    <w:rsid w:val="00E9176A"/>
    <w:rsid w:val="00EA4001"/>
    <w:rsid w:val="00EC483F"/>
    <w:rsid w:val="00EC4C79"/>
    <w:rsid w:val="00EC4E9C"/>
    <w:rsid w:val="00EC4FD2"/>
    <w:rsid w:val="00EC7F4F"/>
    <w:rsid w:val="00ED0AD0"/>
    <w:rsid w:val="00ED4A02"/>
    <w:rsid w:val="00ED638C"/>
    <w:rsid w:val="00EE427E"/>
    <w:rsid w:val="00EE789F"/>
    <w:rsid w:val="00EF1950"/>
    <w:rsid w:val="00EF6687"/>
    <w:rsid w:val="00EF759D"/>
    <w:rsid w:val="00EF77A4"/>
    <w:rsid w:val="00EF7A90"/>
    <w:rsid w:val="00F0352F"/>
    <w:rsid w:val="00F05158"/>
    <w:rsid w:val="00F06E74"/>
    <w:rsid w:val="00F11612"/>
    <w:rsid w:val="00F11E13"/>
    <w:rsid w:val="00F132FE"/>
    <w:rsid w:val="00F144B5"/>
    <w:rsid w:val="00F160ED"/>
    <w:rsid w:val="00F20259"/>
    <w:rsid w:val="00F247BA"/>
    <w:rsid w:val="00F2511C"/>
    <w:rsid w:val="00F25777"/>
    <w:rsid w:val="00F275AC"/>
    <w:rsid w:val="00F3015A"/>
    <w:rsid w:val="00F31C2E"/>
    <w:rsid w:val="00F31E36"/>
    <w:rsid w:val="00F32FEB"/>
    <w:rsid w:val="00F3331E"/>
    <w:rsid w:val="00F34302"/>
    <w:rsid w:val="00F34A40"/>
    <w:rsid w:val="00F36075"/>
    <w:rsid w:val="00F4159C"/>
    <w:rsid w:val="00F41615"/>
    <w:rsid w:val="00F41EB7"/>
    <w:rsid w:val="00F42F8B"/>
    <w:rsid w:val="00F4476E"/>
    <w:rsid w:val="00F44E82"/>
    <w:rsid w:val="00F45412"/>
    <w:rsid w:val="00F4594D"/>
    <w:rsid w:val="00F5129B"/>
    <w:rsid w:val="00F51621"/>
    <w:rsid w:val="00F519F5"/>
    <w:rsid w:val="00F61100"/>
    <w:rsid w:val="00F61A27"/>
    <w:rsid w:val="00F65715"/>
    <w:rsid w:val="00F65FE4"/>
    <w:rsid w:val="00F70E18"/>
    <w:rsid w:val="00F714D2"/>
    <w:rsid w:val="00F72715"/>
    <w:rsid w:val="00F72E0A"/>
    <w:rsid w:val="00F75278"/>
    <w:rsid w:val="00F801FB"/>
    <w:rsid w:val="00F82A0C"/>
    <w:rsid w:val="00F83A30"/>
    <w:rsid w:val="00F86597"/>
    <w:rsid w:val="00F872E9"/>
    <w:rsid w:val="00F90497"/>
    <w:rsid w:val="00F90B0D"/>
    <w:rsid w:val="00F95616"/>
    <w:rsid w:val="00F95872"/>
    <w:rsid w:val="00F963C7"/>
    <w:rsid w:val="00F97616"/>
    <w:rsid w:val="00FA3771"/>
    <w:rsid w:val="00FA4C3E"/>
    <w:rsid w:val="00FA54EE"/>
    <w:rsid w:val="00FA5501"/>
    <w:rsid w:val="00FB0F98"/>
    <w:rsid w:val="00FB1561"/>
    <w:rsid w:val="00FB1DD1"/>
    <w:rsid w:val="00FB2E37"/>
    <w:rsid w:val="00FC0A8D"/>
    <w:rsid w:val="00FC1A04"/>
    <w:rsid w:val="00FC4839"/>
    <w:rsid w:val="00FC62FE"/>
    <w:rsid w:val="00FD19AC"/>
    <w:rsid w:val="00FD3E70"/>
    <w:rsid w:val="00FE13F7"/>
    <w:rsid w:val="00FE6DCE"/>
    <w:rsid w:val="00FF2BA5"/>
    <w:rsid w:val="00FF6C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8D"/>
    <w:rPr>
      <w:sz w:val="24"/>
      <w:szCs w:val="24"/>
      <w:lang w:val="en-GB" w:eastAsia="es-ES"/>
    </w:rPr>
  </w:style>
  <w:style w:type="paragraph" w:styleId="Heading1">
    <w:name w:val="heading 1"/>
    <w:basedOn w:val="Normal"/>
    <w:next w:val="Normal"/>
    <w:link w:val="Heading1Char"/>
    <w:uiPriority w:val="99"/>
    <w:qFormat/>
    <w:rsid w:val="008D2B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B6C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E4964"/>
    <w:pPr>
      <w:keepNext/>
      <w:spacing w:before="240" w:after="60"/>
      <w:outlineLvl w:val="2"/>
    </w:pPr>
    <w:rPr>
      <w:rFonts w:ascii="Arial" w:hAnsi="Arial" w:cs="Arial"/>
      <w:b/>
      <w:bCs/>
      <w:i/>
      <w:color w:val="008000"/>
      <w:szCs w:val="26"/>
    </w:rPr>
  </w:style>
  <w:style w:type="paragraph" w:styleId="Heading6">
    <w:name w:val="heading 6"/>
    <w:basedOn w:val="Normal"/>
    <w:next w:val="Normal"/>
    <w:link w:val="Heading6Char"/>
    <w:uiPriority w:val="99"/>
    <w:qFormat/>
    <w:rsid w:val="00DE4964"/>
    <w:pPr>
      <w:keepNext/>
      <w:outlineLvl w:val="5"/>
    </w:pPr>
    <w:rPr>
      <w:rFonts w:ascii="Arial" w:hAnsi="Arial" w:cs="Arial"/>
      <w:i/>
      <w:iCs/>
      <w:color w:val="000000"/>
      <w:u w:val="single"/>
      <w:lang w:eastAsia="en-US"/>
    </w:rPr>
  </w:style>
  <w:style w:type="paragraph" w:styleId="Heading7">
    <w:name w:val="heading 7"/>
    <w:basedOn w:val="Normal"/>
    <w:next w:val="Normal"/>
    <w:link w:val="Heading7Char"/>
    <w:uiPriority w:val="99"/>
    <w:qFormat/>
    <w:rsid w:val="00DE4964"/>
    <w:pPr>
      <w:keepNext/>
      <w:ind w:left="425"/>
      <w:outlineLvl w:val="6"/>
    </w:pPr>
    <w:rPr>
      <w:rFonts w:ascii="Arial" w:hAnsi="Arial" w:cs="Arial"/>
      <w:b/>
      <w:bCs/>
      <w:i/>
      <w:iCs/>
      <w:color w:val="000000"/>
      <w:sz w:val="20"/>
      <w:lang w:eastAsia="en-US"/>
    </w:rPr>
  </w:style>
  <w:style w:type="paragraph" w:styleId="Heading9">
    <w:name w:val="heading 9"/>
    <w:basedOn w:val="Normal"/>
    <w:next w:val="Normal"/>
    <w:link w:val="Heading9Char"/>
    <w:uiPriority w:val="99"/>
    <w:qFormat/>
    <w:rsid w:val="00DE4964"/>
    <w:pPr>
      <w:keepNext/>
      <w:ind w:left="360"/>
      <w:jc w:val="center"/>
      <w:outlineLvl w:val="8"/>
    </w:pPr>
    <w:rPr>
      <w:rFonts w:ascii="Arial" w:hAnsi="Arial"/>
      <w:b/>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47BA"/>
    <w:rPr>
      <w:rFonts w:ascii="Cambria" w:hAnsi="Cambria" w:cs="Times New Roman"/>
      <w:b/>
      <w:bCs/>
      <w:kern w:val="32"/>
      <w:sz w:val="32"/>
      <w:szCs w:val="32"/>
      <w:lang w:eastAsia="es-ES"/>
    </w:rPr>
  </w:style>
  <w:style w:type="character" w:customStyle="1" w:styleId="Heading2Char">
    <w:name w:val="Heading 2 Char"/>
    <w:basedOn w:val="DefaultParagraphFont"/>
    <w:link w:val="Heading2"/>
    <w:uiPriority w:val="99"/>
    <w:semiHidden/>
    <w:locked/>
    <w:rsid w:val="00F247BA"/>
    <w:rPr>
      <w:rFonts w:ascii="Cambria" w:hAnsi="Cambria" w:cs="Times New Roman"/>
      <w:b/>
      <w:bCs/>
      <w:i/>
      <w:iCs/>
      <w:sz w:val="28"/>
      <w:szCs w:val="28"/>
      <w:lang w:eastAsia="es-ES"/>
    </w:rPr>
  </w:style>
  <w:style w:type="character" w:customStyle="1" w:styleId="Heading3Char">
    <w:name w:val="Heading 3 Char"/>
    <w:basedOn w:val="DefaultParagraphFont"/>
    <w:link w:val="Heading3"/>
    <w:uiPriority w:val="99"/>
    <w:semiHidden/>
    <w:locked/>
    <w:rsid w:val="00F247BA"/>
    <w:rPr>
      <w:rFonts w:ascii="Cambria" w:hAnsi="Cambria" w:cs="Times New Roman"/>
      <w:b/>
      <w:bCs/>
      <w:sz w:val="26"/>
      <w:szCs w:val="26"/>
      <w:lang w:eastAsia="es-ES"/>
    </w:rPr>
  </w:style>
  <w:style w:type="character" w:customStyle="1" w:styleId="Heading6Char">
    <w:name w:val="Heading 6 Char"/>
    <w:basedOn w:val="DefaultParagraphFont"/>
    <w:link w:val="Heading6"/>
    <w:uiPriority w:val="99"/>
    <w:semiHidden/>
    <w:locked/>
    <w:rsid w:val="00F247BA"/>
    <w:rPr>
      <w:rFonts w:ascii="Calibri" w:hAnsi="Calibri" w:cs="Times New Roman"/>
      <w:b/>
      <w:bCs/>
      <w:lang w:eastAsia="es-ES"/>
    </w:rPr>
  </w:style>
  <w:style w:type="character" w:customStyle="1" w:styleId="Heading7Char">
    <w:name w:val="Heading 7 Char"/>
    <w:basedOn w:val="DefaultParagraphFont"/>
    <w:link w:val="Heading7"/>
    <w:uiPriority w:val="99"/>
    <w:semiHidden/>
    <w:locked/>
    <w:rsid w:val="00F247BA"/>
    <w:rPr>
      <w:rFonts w:ascii="Calibri" w:hAnsi="Calibri" w:cs="Times New Roman"/>
      <w:sz w:val="24"/>
      <w:szCs w:val="24"/>
      <w:lang w:eastAsia="es-ES"/>
    </w:rPr>
  </w:style>
  <w:style w:type="character" w:customStyle="1" w:styleId="Heading9Char">
    <w:name w:val="Heading 9 Char"/>
    <w:basedOn w:val="DefaultParagraphFont"/>
    <w:link w:val="Heading9"/>
    <w:uiPriority w:val="99"/>
    <w:semiHidden/>
    <w:locked/>
    <w:rsid w:val="00F247BA"/>
    <w:rPr>
      <w:rFonts w:ascii="Cambria" w:hAnsi="Cambria" w:cs="Times New Roman"/>
      <w:lang w:eastAsia="es-ES"/>
    </w:rPr>
  </w:style>
  <w:style w:type="paragraph" w:styleId="BalloonText">
    <w:name w:val="Balloon Text"/>
    <w:basedOn w:val="Normal"/>
    <w:link w:val="BalloonTextChar"/>
    <w:uiPriority w:val="99"/>
    <w:semiHidden/>
    <w:rsid w:val="00427A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7BA"/>
    <w:rPr>
      <w:rFonts w:cs="Times New Roman"/>
      <w:sz w:val="2"/>
      <w:lang w:eastAsia="es-ES"/>
    </w:rPr>
  </w:style>
  <w:style w:type="paragraph" w:styleId="Header">
    <w:name w:val="header"/>
    <w:basedOn w:val="Normal"/>
    <w:link w:val="HeaderChar"/>
    <w:uiPriority w:val="99"/>
    <w:rsid w:val="00DE4964"/>
    <w:pPr>
      <w:tabs>
        <w:tab w:val="center" w:pos="4320"/>
        <w:tab w:val="right" w:pos="8640"/>
      </w:tabs>
    </w:pPr>
  </w:style>
  <w:style w:type="character" w:customStyle="1" w:styleId="HeaderChar">
    <w:name w:val="Header Char"/>
    <w:basedOn w:val="DefaultParagraphFont"/>
    <w:link w:val="Header"/>
    <w:uiPriority w:val="99"/>
    <w:semiHidden/>
    <w:locked/>
    <w:rsid w:val="00F247BA"/>
    <w:rPr>
      <w:rFonts w:cs="Times New Roman"/>
      <w:sz w:val="24"/>
      <w:szCs w:val="24"/>
      <w:lang w:eastAsia="es-ES"/>
    </w:rPr>
  </w:style>
  <w:style w:type="paragraph" w:styleId="Footer">
    <w:name w:val="footer"/>
    <w:basedOn w:val="Normal"/>
    <w:link w:val="FooterChar"/>
    <w:uiPriority w:val="99"/>
    <w:rsid w:val="00DE4964"/>
    <w:pPr>
      <w:tabs>
        <w:tab w:val="center" w:pos="4320"/>
        <w:tab w:val="right" w:pos="8640"/>
      </w:tabs>
    </w:pPr>
  </w:style>
  <w:style w:type="character" w:customStyle="1" w:styleId="FooterChar">
    <w:name w:val="Footer Char"/>
    <w:basedOn w:val="DefaultParagraphFont"/>
    <w:link w:val="Footer"/>
    <w:uiPriority w:val="99"/>
    <w:locked/>
    <w:rsid w:val="00246C0B"/>
    <w:rPr>
      <w:rFonts w:cs="Times New Roman"/>
      <w:sz w:val="24"/>
      <w:szCs w:val="24"/>
      <w:lang w:eastAsia="es-ES"/>
    </w:rPr>
  </w:style>
  <w:style w:type="paragraph" w:styleId="Title">
    <w:name w:val="Title"/>
    <w:basedOn w:val="Normal"/>
    <w:link w:val="TitleChar"/>
    <w:uiPriority w:val="99"/>
    <w:qFormat/>
    <w:rsid w:val="00DE4964"/>
    <w:pPr>
      <w:jc w:val="center"/>
    </w:pPr>
    <w:rPr>
      <w:b/>
      <w:sz w:val="28"/>
      <w:szCs w:val="20"/>
      <w:lang w:eastAsia="en-US"/>
    </w:rPr>
  </w:style>
  <w:style w:type="character" w:customStyle="1" w:styleId="TitleChar">
    <w:name w:val="Title Char"/>
    <w:basedOn w:val="DefaultParagraphFont"/>
    <w:link w:val="Title"/>
    <w:uiPriority w:val="99"/>
    <w:locked/>
    <w:rsid w:val="00F247BA"/>
    <w:rPr>
      <w:rFonts w:ascii="Cambria" w:hAnsi="Cambria" w:cs="Times New Roman"/>
      <w:b/>
      <w:bCs/>
      <w:kern w:val="28"/>
      <w:sz w:val="32"/>
      <w:szCs w:val="32"/>
      <w:lang w:eastAsia="es-ES"/>
    </w:rPr>
  </w:style>
  <w:style w:type="character" w:styleId="Hyperlink">
    <w:name w:val="Hyperlink"/>
    <w:basedOn w:val="DefaultParagraphFont"/>
    <w:uiPriority w:val="99"/>
    <w:rsid w:val="00DE4964"/>
    <w:rPr>
      <w:rFonts w:cs="Times New Roman"/>
      <w:color w:val="0000FF"/>
      <w:u w:val="single"/>
    </w:rPr>
  </w:style>
  <w:style w:type="paragraph" w:styleId="TOC2">
    <w:name w:val="toc 2"/>
    <w:basedOn w:val="Normal"/>
    <w:next w:val="Normal"/>
    <w:autoRedefine/>
    <w:uiPriority w:val="99"/>
    <w:rsid w:val="00206132"/>
    <w:pPr>
      <w:spacing w:before="240"/>
    </w:pPr>
    <w:rPr>
      <w:b/>
      <w:bCs/>
      <w:sz w:val="20"/>
      <w:szCs w:val="20"/>
    </w:rPr>
  </w:style>
  <w:style w:type="paragraph" w:styleId="TOC3">
    <w:name w:val="toc 3"/>
    <w:basedOn w:val="Normal"/>
    <w:next w:val="Normal"/>
    <w:autoRedefine/>
    <w:uiPriority w:val="99"/>
    <w:rsid w:val="00206132"/>
    <w:pPr>
      <w:ind w:left="240"/>
    </w:pPr>
    <w:rPr>
      <w:sz w:val="20"/>
      <w:szCs w:val="20"/>
    </w:rPr>
  </w:style>
  <w:style w:type="paragraph" w:customStyle="1" w:styleId="MTPbodytext">
    <w:name w:val="MTP body text"/>
    <w:basedOn w:val="Normal"/>
    <w:uiPriority w:val="99"/>
    <w:rsid w:val="00DE4964"/>
    <w:pPr>
      <w:tabs>
        <w:tab w:val="left" w:pos="567"/>
      </w:tabs>
      <w:jc w:val="both"/>
    </w:pPr>
    <w:rPr>
      <w:szCs w:val="20"/>
      <w:lang w:eastAsia="en-US"/>
    </w:rPr>
  </w:style>
  <w:style w:type="paragraph" w:customStyle="1" w:styleId="indent7">
    <w:name w:val="indent 7"/>
    <w:basedOn w:val="Normal"/>
    <w:uiPriority w:val="99"/>
    <w:rsid w:val="00DE4964"/>
    <w:pPr>
      <w:tabs>
        <w:tab w:val="left" w:pos="5616"/>
        <w:tab w:val="decimal" w:pos="6663"/>
      </w:tabs>
      <w:spacing w:line="240" w:lineRule="atLeast"/>
      <w:ind w:left="720" w:right="-57" w:hanging="720"/>
      <w:jc w:val="both"/>
    </w:pPr>
    <w:rPr>
      <w:rFonts w:ascii="Times" w:hAnsi="Times"/>
      <w:szCs w:val="20"/>
      <w:lang w:val="en-US" w:eastAsia="en-US"/>
    </w:rPr>
  </w:style>
  <w:style w:type="character" w:styleId="PageNumber">
    <w:name w:val="page number"/>
    <w:basedOn w:val="DefaultParagraphFont"/>
    <w:uiPriority w:val="99"/>
    <w:rsid w:val="00DE4964"/>
    <w:rPr>
      <w:rFonts w:cs="Times New Roman"/>
    </w:rPr>
  </w:style>
  <w:style w:type="paragraph" w:styleId="BodyText">
    <w:name w:val="Body Text"/>
    <w:basedOn w:val="Normal"/>
    <w:link w:val="BodyTextChar"/>
    <w:uiPriority w:val="99"/>
    <w:rsid w:val="00DE4964"/>
    <w:pPr>
      <w:spacing w:after="120"/>
    </w:pPr>
    <w:rPr>
      <w:lang w:eastAsia="en-US"/>
    </w:rPr>
  </w:style>
  <w:style w:type="character" w:customStyle="1" w:styleId="BodyTextChar">
    <w:name w:val="Body Text Char"/>
    <w:basedOn w:val="DefaultParagraphFont"/>
    <w:link w:val="BodyText"/>
    <w:uiPriority w:val="99"/>
    <w:locked/>
    <w:rsid w:val="00BC3281"/>
    <w:rPr>
      <w:rFonts w:cs="Times New Roman"/>
      <w:sz w:val="24"/>
      <w:szCs w:val="24"/>
      <w:lang w:eastAsia="en-US"/>
    </w:rPr>
  </w:style>
  <w:style w:type="paragraph" w:customStyle="1" w:styleId="TableText">
    <w:name w:val="Table Text"/>
    <w:basedOn w:val="Normal"/>
    <w:uiPriority w:val="99"/>
    <w:rsid w:val="00DE4964"/>
    <w:pPr>
      <w:spacing w:before="60"/>
    </w:pPr>
    <w:rPr>
      <w:rFonts w:ascii="Arial" w:hAnsi="Arial"/>
      <w:spacing w:val="-5"/>
      <w:sz w:val="16"/>
      <w:szCs w:val="20"/>
      <w:lang w:val="en-US" w:eastAsia="en-US"/>
    </w:rPr>
  </w:style>
  <w:style w:type="table" w:styleId="TableGrid">
    <w:name w:val="Table Grid"/>
    <w:basedOn w:val="TableNormal"/>
    <w:uiPriority w:val="99"/>
    <w:semiHidden/>
    <w:rsid w:val="002326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5B6C9B"/>
    <w:pPr>
      <w:spacing w:before="360"/>
    </w:pPr>
    <w:rPr>
      <w:rFonts w:ascii="Arial" w:hAnsi="Arial" w:cs="Arial"/>
      <w:b/>
      <w:bCs/>
      <w:caps/>
    </w:rPr>
  </w:style>
  <w:style w:type="character" w:styleId="Strong">
    <w:name w:val="Strong"/>
    <w:basedOn w:val="DefaultParagraphFont"/>
    <w:uiPriority w:val="99"/>
    <w:qFormat/>
    <w:rsid w:val="00005F43"/>
    <w:rPr>
      <w:rFonts w:cs="Times New Roman"/>
      <w:b/>
      <w:bCs/>
    </w:rPr>
  </w:style>
  <w:style w:type="character" w:styleId="CommentReference">
    <w:name w:val="annotation reference"/>
    <w:basedOn w:val="DefaultParagraphFont"/>
    <w:uiPriority w:val="99"/>
    <w:semiHidden/>
    <w:rsid w:val="004D526B"/>
    <w:rPr>
      <w:rFonts w:cs="Times New Roman"/>
      <w:sz w:val="16"/>
      <w:szCs w:val="16"/>
    </w:rPr>
  </w:style>
  <w:style w:type="paragraph" w:styleId="CommentText">
    <w:name w:val="annotation text"/>
    <w:basedOn w:val="Normal"/>
    <w:link w:val="CommentTextChar"/>
    <w:uiPriority w:val="99"/>
    <w:semiHidden/>
    <w:rsid w:val="004D526B"/>
    <w:rPr>
      <w:sz w:val="20"/>
      <w:szCs w:val="20"/>
    </w:rPr>
  </w:style>
  <w:style w:type="character" w:customStyle="1" w:styleId="CommentTextChar">
    <w:name w:val="Comment Text Char"/>
    <w:basedOn w:val="DefaultParagraphFont"/>
    <w:link w:val="CommentText"/>
    <w:uiPriority w:val="99"/>
    <w:semiHidden/>
    <w:locked/>
    <w:rsid w:val="00F247BA"/>
    <w:rPr>
      <w:rFonts w:cs="Times New Roman"/>
      <w:sz w:val="20"/>
      <w:szCs w:val="20"/>
      <w:lang w:eastAsia="es-ES"/>
    </w:rPr>
  </w:style>
  <w:style w:type="paragraph" w:styleId="CommentSubject">
    <w:name w:val="annotation subject"/>
    <w:basedOn w:val="CommentText"/>
    <w:next w:val="CommentText"/>
    <w:link w:val="CommentSubjectChar"/>
    <w:uiPriority w:val="99"/>
    <w:semiHidden/>
    <w:rsid w:val="004D526B"/>
    <w:rPr>
      <w:b/>
      <w:bCs/>
    </w:rPr>
  </w:style>
  <w:style w:type="character" w:customStyle="1" w:styleId="CommentSubjectChar">
    <w:name w:val="Comment Subject Char"/>
    <w:basedOn w:val="CommentTextChar"/>
    <w:link w:val="CommentSubject"/>
    <w:uiPriority w:val="99"/>
    <w:semiHidden/>
    <w:locked/>
    <w:rsid w:val="00F247BA"/>
    <w:rPr>
      <w:b/>
      <w:bCs/>
    </w:rPr>
  </w:style>
  <w:style w:type="paragraph" w:styleId="TOC4">
    <w:name w:val="toc 4"/>
    <w:basedOn w:val="Normal"/>
    <w:next w:val="Normal"/>
    <w:autoRedefine/>
    <w:uiPriority w:val="99"/>
    <w:semiHidden/>
    <w:rsid w:val="00722F3C"/>
    <w:pPr>
      <w:ind w:left="480"/>
    </w:pPr>
    <w:rPr>
      <w:sz w:val="20"/>
      <w:szCs w:val="20"/>
    </w:rPr>
  </w:style>
  <w:style w:type="paragraph" w:styleId="TOC5">
    <w:name w:val="toc 5"/>
    <w:basedOn w:val="Normal"/>
    <w:next w:val="Normal"/>
    <w:autoRedefine/>
    <w:uiPriority w:val="99"/>
    <w:semiHidden/>
    <w:rsid w:val="00722F3C"/>
    <w:pPr>
      <w:ind w:left="720"/>
    </w:pPr>
    <w:rPr>
      <w:sz w:val="20"/>
      <w:szCs w:val="20"/>
    </w:rPr>
  </w:style>
  <w:style w:type="paragraph" w:styleId="TOC6">
    <w:name w:val="toc 6"/>
    <w:basedOn w:val="Normal"/>
    <w:next w:val="Normal"/>
    <w:autoRedefine/>
    <w:uiPriority w:val="99"/>
    <w:semiHidden/>
    <w:rsid w:val="00722F3C"/>
    <w:pPr>
      <w:ind w:left="960"/>
    </w:pPr>
    <w:rPr>
      <w:sz w:val="20"/>
      <w:szCs w:val="20"/>
    </w:rPr>
  </w:style>
  <w:style w:type="paragraph" w:styleId="TOC7">
    <w:name w:val="toc 7"/>
    <w:basedOn w:val="Normal"/>
    <w:next w:val="Normal"/>
    <w:autoRedefine/>
    <w:uiPriority w:val="99"/>
    <w:semiHidden/>
    <w:rsid w:val="00722F3C"/>
    <w:pPr>
      <w:ind w:left="1200"/>
    </w:pPr>
    <w:rPr>
      <w:sz w:val="20"/>
      <w:szCs w:val="20"/>
    </w:rPr>
  </w:style>
  <w:style w:type="paragraph" w:styleId="TOC8">
    <w:name w:val="toc 8"/>
    <w:basedOn w:val="Normal"/>
    <w:next w:val="Normal"/>
    <w:autoRedefine/>
    <w:uiPriority w:val="99"/>
    <w:semiHidden/>
    <w:rsid w:val="00722F3C"/>
    <w:pPr>
      <w:ind w:left="1440"/>
    </w:pPr>
    <w:rPr>
      <w:sz w:val="20"/>
      <w:szCs w:val="20"/>
    </w:rPr>
  </w:style>
  <w:style w:type="paragraph" w:styleId="TOC9">
    <w:name w:val="toc 9"/>
    <w:basedOn w:val="Normal"/>
    <w:next w:val="Normal"/>
    <w:autoRedefine/>
    <w:uiPriority w:val="99"/>
    <w:semiHidden/>
    <w:rsid w:val="00722F3C"/>
    <w:pPr>
      <w:ind w:left="1680"/>
    </w:pPr>
    <w:rPr>
      <w:sz w:val="20"/>
      <w:szCs w:val="20"/>
    </w:rPr>
  </w:style>
  <w:style w:type="paragraph" w:styleId="DocumentMap">
    <w:name w:val="Document Map"/>
    <w:basedOn w:val="Normal"/>
    <w:link w:val="DocumentMapChar"/>
    <w:uiPriority w:val="99"/>
    <w:semiHidden/>
    <w:rsid w:val="00A8006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247BA"/>
    <w:rPr>
      <w:rFonts w:cs="Times New Roman"/>
      <w:sz w:val="2"/>
      <w:lang w:eastAsia="es-ES"/>
    </w:rPr>
  </w:style>
  <w:style w:type="paragraph" w:styleId="ListParagraph">
    <w:name w:val="List Paragraph"/>
    <w:basedOn w:val="Normal"/>
    <w:uiPriority w:val="99"/>
    <w:qFormat/>
    <w:rsid w:val="001311FC"/>
    <w:pPr>
      <w:ind w:left="720"/>
      <w:contextualSpacing/>
    </w:pPr>
  </w:style>
  <w:style w:type="paragraph" w:styleId="FootnoteText">
    <w:name w:val="footnote text"/>
    <w:basedOn w:val="Normal"/>
    <w:link w:val="FootnoteTextChar"/>
    <w:uiPriority w:val="99"/>
    <w:semiHidden/>
    <w:rsid w:val="00187CD0"/>
    <w:rPr>
      <w:sz w:val="20"/>
      <w:szCs w:val="20"/>
    </w:rPr>
  </w:style>
  <w:style w:type="character" w:customStyle="1" w:styleId="FootnoteTextChar">
    <w:name w:val="Footnote Text Char"/>
    <w:basedOn w:val="DefaultParagraphFont"/>
    <w:link w:val="FootnoteText"/>
    <w:uiPriority w:val="99"/>
    <w:semiHidden/>
    <w:locked/>
    <w:rsid w:val="00187CD0"/>
    <w:rPr>
      <w:rFonts w:cs="Times New Roman"/>
      <w:lang w:eastAsia="es-ES"/>
    </w:rPr>
  </w:style>
  <w:style w:type="character" w:styleId="FootnoteReference">
    <w:name w:val="footnote reference"/>
    <w:basedOn w:val="DefaultParagraphFont"/>
    <w:uiPriority w:val="99"/>
    <w:semiHidden/>
    <w:rsid w:val="00187CD0"/>
    <w:rPr>
      <w:rFonts w:cs="Times New Roman"/>
      <w:vertAlign w:val="superscript"/>
    </w:rPr>
  </w:style>
  <w:style w:type="paragraph" w:styleId="PlainText">
    <w:name w:val="Plain Text"/>
    <w:basedOn w:val="Normal"/>
    <w:link w:val="PlainTextChar1"/>
    <w:uiPriority w:val="99"/>
    <w:locked/>
    <w:rsid w:val="00FA54EE"/>
    <w:pPr>
      <w:widowControl w:val="0"/>
      <w:autoSpaceDE w:val="0"/>
      <w:autoSpaceDN w:val="0"/>
      <w:adjustRightInd w:val="0"/>
    </w:pPr>
    <w:rPr>
      <w:rFonts w:ascii="Courier New" w:hAnsi="Courier New" w:cs="Courier New"/>
      <w:sz w:val="22"/>
      <w:szCs w:val="22"/>
      <w:lang w:val="ru-RU" w:eastAsia="en-US"/>
    </w:rPr>
  </w:style>
  <w:style w:type="character" w:customStyle="1" w:styleId="PlainTextChar">
    <w:name w:val="Plain Text Char"/>
    <w:basedOn w:val="DefaultParagraphFont"/>
    <w:link w:val="PlainText"/>
    <w:uiPriority w:val="99"/>
    <w:semiHidden/>
    <w:locked/>
    <w:rsid w:val="000D4D3E"/>
    <w:rPr>
      <w:rFonts w:ascii="Courier New" w:hAnsi="Courier New" w:cs="Courier New"/>
      <w:sz w:val="20"/>
      <w:szCs w:val="20"/>
      <w:lang w:eastAsia="es-ES"/>
    </w:rPr>
  </w:style>
  <w:style w:type="character" w:customStyle="1" w:styleId="PlainTextChar1">
    <w:name w:val="Plain Text Char1"/>
    <w:basedOn w:val="DefaultParagraphFont"/>
    <w:link w:val="PlainText"/>
    <w:uiPriority w:val="99"/>
    <w:locked/>
    <w:rsid w:val="00FA54EE"/>
    <w:rPr>
      <w:rFonts w:ascii="Courier New" w:hAnsi="Courier New" w:cs="Courier New"/>
      <w:sz w:val="22"/>
      <w:szCs w:val="22"/>
      <w:lang w:val="ru-RU" w:eastAsia="en-US" w:bidi="ar-SA"/>
    </w:rPr>
  </w:style>
  <w:style w:type="paragraph" w:styleId="BodyText2">
    <w:name w:val="Body Text 2"/>
    <w:basedOn w:val="Normal"/>
    <w:link w:val="BodyText2Char"/>
    <w:uiPriority w:val="99"/>
    <w:locked/>
    <w:rsid w:val="000D0B24"/>
    <w:pPr>
      <w:spacing w:after="120" w:line="480" w:lineRule="auto"/>
    </w:pPr>
  </w:style>
  <w:style w:type="character" w:customStyle="1" w:styleId="BodyText2Char">
    <w:name w:val="Body Text 2 Char"/>
    <w:basedOn w:val="DefaultParagraphFont"/>
    <w:link w:val="BodyText2"/>
    <w:uiPriority w:val="99"/>
    <w:semiHidden/>
    <w:locked/>
    <w:rsid w:val="002A646B"/>
    <w:rPr>
      <w:rFonts w:cs="Times New Roman"/>
      <w:sz w:val="24"/>
      <w:szCs w:val="24"/>
      <w:lang w:val="en-GB" w:eastAsia="es-ES"/>
    </w:rPr>
  </w:style>
  <w:style w:type="paragraph" w:styleId="BodyText3">
    <w:name w:val="Body Text 3"/>
    <w:basedOn w:val="Normal"/>
    <w:link w:val="BodyText3Char"/>
    <w:uiPriority w:val="99"/>
    <w:locked/>
    <w:rsid w:val="000D0B24"/>
    <w:pPr>
      <w:spacing w:after="120"/>
    </w:pPr>
    <w:rPr>
      <w:sz w:val="16"/>
      <w:szCs w:val="16"/>
    </w:rPr>
  </w:style>
  <w:style w:type="character" w:customStyle="1" w:styleId="BodyText3Char">
    <w:name w:val="Body Text 3 Char"/>
    <w:basedOn w:val="DefaultParagraphFont"/>
    <w:link w:val="BodyText3"/>
    <w:uiPriority w:val="99"/>
    <w:semiHidden/>
    <w:locked/>
    <w:rsid w:val="002A646B"/>
    <w:rPr>
      <w:rFonts w:cs="Times New Roman"/>
      <w:sz w:val="16"/>
      <w:szCs w:val="16"/>
      <w:lang w:val="en-GB" w:eastAsia="es-ES"/>
    </w:rPr>
  </w:style>
</w:styles>
</file>

<file path=word/webSettings.xml><?xml version="1.0" encoding="utf-8"?>
<w:webSettings xmlns:r="http://schemas.openxmlformats.org/officeDocument/2006/relationships" xmlns:w="http://schemas.openxmlformats.org/wordprocessingml/2006/main">
  <w:divs>
    <w:div w:id="954756784">
      <w:marLeft w:val="0"/>
      <w:marRight w:val="0"/>
      <w:marTop w:val="0"/>
      <w:marBottom w:val="0"/>
      <w:divBdr>
        <w:top w:val="none" w:sz="0" w:space="0" w:color="auto"/>
        <w:left w:val="none" w:sz="0" w:space="0" w:color="auto"/>
        <w:bottom w:val="none" w:sz="0" w:space="0" w:color="auto"/>
        <w:right w:val="none" w:sz="0" w:space="0" w:color="auto"/>
      </w:divBdr>
    </w:div>
    <w:div w:id="954756785">
      <w:marLeft w:val="0"/>
      <w:marRight w:val="0"/>
      <w:marTop w:val="0"/>
      <w:marBottom w:val="0"/>
      <w:divBdr>
        <w:top w:val="none" w:sz="0" w:space="0" w:color="auto"/>
        <w:left w:val="none" w:sz="0" w:space="0" w:color="auto"/>
        <w:bottom w:val="none" w:sz="0" w:space="0" w:color="auto"/>
        <w:right w:val="none" w:sz="0" w:space="0" w:color="auto"/>
      </w:divBdr>
    </w:div>
    <w:div w:id="954756786">
      <w:marLeft w:val="0"/>
      <w:marRight w:val="0"/>
      <w:marTop w:val="0"/>
      <w:marBottom w:val="0"/>
      <w:divBdr>
        <w:top w:val="none" w:sz="0" w:space="0" w:color="auto"/>
        <w:left w:val="none" w:sz="0" w:space="0" w:color="auto"/>
        <w:bottom w:val="none" w:sz="0" w:space="0" w:color="auto"/>
        <w:right w:val="none" w:sz="0" w:space="0" w:color="auto"/>
      </w:divBdr>
    </w:div>
    <w:div w:id="954756787">
      <w:marLeft w:val="0"/>
      <w:marRight w:val="0"/>
      <w:marTop w:val="0"/>
      <w:marBottom w:val="0"/>
      <w:divBdr>
        <w:top w:val="none" w:sz="0" w:space="0" w:color="auto"/>
        <w:left w:val="none" w:sz="0" w:space="0" w:color="auto"/>
        <w:bottom w:val="none" w:sz="0" w:space="0" w:color="auto"/>
        <w:right w:val="none" w:sz="0" w:space="0" w:color="auto"/>
      </w:divBdr>
    </w:div>
    <w:div w:id="954756789">
      <w:marLeft w:val="0"/>
      <w:marRight w:val="0"/>
      <w:marTop w:val="0"/>
      <w:marBottom w:val="0"/>
      <w:divBdr>
        <w:top w:val="none" w:sz="0" w:space="0" w:color="auto"/>
        <w:left w:val="none" w:sz="0" w:space="0" w:color="auto"/>
        <w:bottom w:val="none" w:sz="0" w:space="0" w:color="auto"/>
        <w:right w:val="none" w:sz="0" w:space="0" w:color="auto"/>
      </w:divBdr>
      <w:divsChild>
        <w:div w:id="954756788">
          <w:marLeft w:val="0"/>
          <w:marRight w:val="0"/>
          <w:marTop w:val="0"/>
          <w:marBottom w:val="0"/>
          <w:divBdr>
            <w:top w:val="none" w:sz="0" w:space="0" w:color="auto"/>
            <w:left w:val="none" w:sz="0" w:space="0" w:color="auto"/>
            <w:bottom w:val="none" w:sz="0" w:space="0" w:color="auto"/>
            <w:right w:val="none" w:sz="0" w:space="0" w:color="auto"/>
          </w:divBdr>
        </w:div>
      </w:divsChild>
    </w:div>
    <w:div w:id="954756794">
      <w:marLeft w:val="0"/>
      <w:marRight w:val="0"/>
      <w:marTop w:val="0"/>
      <w:marBottom w:val="0"/>
      <w:divBdr>
        <w:top w:val="none" w:sz="0" w:space="0" w:color="auto"/>
        <w:left w:val="none" w:sz="0" w:space="0" w:color="auto"/>
        <w:bottom w:val="none" w:sz="0" w:space="0" w:color="auto"/>
        <w:right w:val="none" w:sz="0" w:space="0" w:color="auto"/>
      </w:divBdr>
      <w:divsChild>
        <w:div w:id="954756793">
          <w:marLeft w:val="0"/>
          <w:marRight w:val="0"/>
          <w:marTop w:val="0"/>
          <w:marBottom w:val="0"/>
          <w:divBdr>
            <w:top w:val="none" w:sz="0" w:space="0" w:color="auto"/>
            <w:left w:val="none" w:sz="0" w:space="0" w:color="auto"/>
            <w:bottom w:val="none" w:sz="0" w:space="0" w:color="auto"/>
            <w:right w:val="none" w:sz="0" w:space="0" w:color="auto"/>
          </w:divBdr>
          <w:divsChild>
            <w:div w:id="954756790">
              <w:marLeft w:val="0"/>
              <w:marRight w:val="0"/>
              <w:marTop w:val="0"/>
              <w:marBottom w:val="0"/>
              <w:divBdr>
                <w:top w:val="none" w:sz="0" w:space="0" w:color="auto"/>
                <w:left w:val="none" w:sz="0" w:space="0" w:color="auto"/>
                <w:bottom w:val="none" w:sz="0" w:space="0" w:color="auto"/>
                <w:right w:val="none" w:sz="0" w:space="0" w:color="auto"/>
              </w:divBdr>
            </w:div>
            <w:div w:id="954756791">
              <w:marLeft w:val="0"/>
              <w:marRight w:val="0"/>
              <w:marTop w:val="0"/>
              <w:marBottom w:val="0"/>
              <w:divBdr>
                <w:top w:val="none" w:sz="0" w:space="0" w:color="auto"/>
                <w:left w:val="none" w:sz="0" w:space="0" w:color="auto"/>
                <w:bottom w:val="none" w:sz="0" w:space="0" w:color="auto"/>
                <w:right w:val="none" w:sz="0" w:space="0" w:color="auto"/>
              </w:divBdr>
            </w:div>
            <w:div w:id="9547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6795">
      <w:marLeft w:val="0"/>
      <w:marRight w:val="0"/>
      <w:marTop w:val="0"/>
      <w:marBottom w:val="0"/>
      <w:divBdr>
        <w:top w:val="none" w:sz="0" w:space="0" w:color="auto"/>
        <w:left w:val="none" w:sz="0" w:space="0" w:color="auto"/>
        <w:bottom w:val="none" w:sz="0" w:space="0" w:color="auto"/>
        <w:right w:val="none" w:sz="0" w:space="0" w:color="auto"/>
      </w:divBdr>
    </w:div>
    <w:div w:id="954756796">
      <w:marLeft w:val="0"/>
      <w:marRight w:val="0"/>
      <w:marTop w:val="0"/>
      <w:marBottom w:val="0"/>
      <w:divBdr>
        <w:top w:val="none" w:sz="0" w:space="0" w:color="auto"/>
        <w:left w:val="none" w:sz="0" w:space="0" w:color="auto"/>
        <w:bottom w:val="none" w:sz="0" w:space="0" w:color="auto"/>
        <w:right w:val="none" w:sz="0" w:space="0" w:color="auto"/>
      </w:divBdr>
    </w:div>
    <w:div w:id="954756797">
      <w:marLeft w:val="0"/>
      <w:marRight w:val="0"/>
      <w:marTop w:val="0"/>
      <w:marBottom w:val="0"/>
      <w:divBdr>
        <w:top w:val="none" w:sz="0" w:space="0" w:color="auto"/>
        <w:left w:val="none" w:sz="0" w:space="0" w:color="auto"/>
        <w:bottom w:val="none" w:sz="0" w:space="0" w:color="auto"/>
        <w:right w:val="none" w:sz="0" w:space="0" w:color="auto"/>
      </w:divBdr>
    </w:div>
    <w:div w:id="954756798">
      <w:marLeft w:val="0"/>
      <w:marRight w:val="0"/>
      <w:marTop w:val="0"/>
      <w:marBottom w:val="0"/>
      <w:divBdr>
        <w:top w:val="none" w:sz="0" w:space="0" w:color="auto"/>
        <w:left w:val="none" w:sz="0" w:space="0" w:color="auto"/>
        <w:bottom w:val="none" w:sz="0" w:space="0" w:color="auto"/>
        <w:right w:val="none" w:sz="0" w:space="0" w:color="auto"/>
      </w:divBdr>
    </w:div>
    <w:div w:id="954756799">
      <w:marLeft w:val="0"/>
      <w:marRight w:val="0"/>
      <w:marTop w:val="0"/>
      <w:marBottom w:val="0"/>
      <w:divBdr>
        <w:top w:val="none" w:sz="0" w:space="0" w:color="auto"/>
        <w:left w:val="none" w:sz="0" w:space="0" w:color="auto"/>
        <w:bottom w:val="none" w:sz="0" w:space="0" w:color="auto"/>
        <w:right w:val="none" w:sz="0" w:space="0" w:color="auto"/>
      </w:divBdr>
    </w:div>
    <w:div w:id="954756800">
      <w:marLeft w:val="0"/>
      <w:marRight w:val="0"/>
      <w:marTop w:val="0"/>
      <w:marBottom w:val="0"/>
      <w:divBdr>
        <w:top w:val="none" w:sz="0" w:space="0" w:color="auto"/>
        <w:left w:val="none" w:sz="0" w:space="0" w:color="auto"/>
        <w:bottom w:val="none" w:sz="0" w:space="0" w:color="auto"/>
        <w:right w:val="none" w:sz="0" w:space="0" w:color="auto"/>
      </w:divBdr>
    </w:div>
    <w:div w:id="954756801">
      <w:marLeft w:val="0"/>
      <w:marRight w:val="0"/>
      <w:marTop w:val="0"/>
      <w:marBottom w:val="0"/>
      <w:divBdr>
        <w:top w:val="none" w:sz="0" w:space="0" w:color="auto"/>
        <w:left w:val="none" w:sz="0" w:space="0" w:color="auto"/>
        <w:bottom w:val="none" w:sz="0" w:space="0" w:color="auto"/>
        <w:right w:val="none" w:sz="0" w:space="0" w:color="auto"/>
      </w:divBdr>
    </w:div>
    <w:div w:id="954756802">
      <w:marLeft w:val="0"/>
      <w:marRight w:val="0"/>
      <w:marTop w:val="0"/>
      <w:marBottom w:val="0"/>
      <w:divBdr>
        <w:top w:val="none" w:sz="0" w:space="0" w:color="auto"/>
        <w:left w:val="none" w:sz="0" w:space="0" w:color="auto"/>
        <w:bottom w:val="none" w:sz="0" w:space="0" w:color="auto"/>
        <w:right w:val="none" w:sz="0" w:space="0" w:color="auto"/>
      </w:divBdr>
    </w:div>
    <w:div w:id="954756803">
      <w:marLeft w:val="0"/>
      <w:marRight w:val="0"/>
      <w:marTop w:val="0"/>
      <w:marBottom w:val="0"/>
      <w:divBdr>
        <w:top w:val="none" w:sz="0" w:space="0" w:color="auto"/>
        <w:left w:val="none" w:sz="0" w:space="0" w:color="auto"/>
        <w:bottom w:val="none" w:sz="0" w:space="0" w:color="auto"/>
        <w:right w:val="none" w:sz="0" w:space="0" w:color="auto"/>
      </w:divBdr>
    </w:div>
    <w:div w:id="954756804">
      <w:marLeft w:val="0"/>
      <w:marRight w:val="0"/>
      <w:marTop w:val="0"/>
      <w:marBottom w:val="0"/>
      <w:divBdr>
        <w:top w:val="none" w:sz="0" w:space="0" w:color="auto"/>
        <w:left w:val="none" w:sz="0" w:space="0" w:color="auto"/>
        <w:bottom w:val="none" w:sz="0" w:space="0" w:color="auto"/>
        <w:right w:val="none" w:sz="0" w:space="0" w:color="auto"/>
      </w:divBdr>
    </w:div>
    <w:div w:id="954756805">
      <w:marLeft w:val="0"/>
      <w:marRight w:val="0"/>
      <w:marTop w:val="0"/>
      <w:marBottom w:val="0"/>
      <w:divBdr>
        <w:top w:val="none" w:sz="0" w:space="0" w:color="auto"/>
        <w:left w:val="none" w:sz="0" w:space="0" w:color="auto"/>
        <w:bottom w:val="none" w:sz="0" w:space="0" w:color="auto"/>
        <w:right w:val="none" w:sz="0" w:space="0" w:color="auto"/>
      </w:divBdr>
    </w:div>
    <w:div w:id="954756806">
      <w:marLeft w:val="0"/>
      <w:marRight w:val="0"/>
      <w:marTop w:val="0"/>
      <w:marBottom w:val="0"/>
      <w:divBdr>
        <w:top w:val="none" w:sz="0" w:space="0" w:color="auto"/>
        <w:left w:val="none" w:sz="0" w:space="0" w:color="auto"/>
        <w:bottom w:val="none" w:sz="0" w:space="0" w:color="auto"/>
        <w:right w:val="none" w:sz="0" w:space="0" w:color="auto"/>
      </w:divBdr>
    </w:div>
    <w:div w:id="954756807">
      <w:marLeft w:val="0"/>
      <w:marRight w:val="0"/>
      <w:marTop w:val="0"/>
      <w:marBottom w:val="0"/>
      <w:divBdr>
        <w:top w:val="none" w:sz="0" w:space="0" w:color="auto"/>
        <w:left w:val="none" w:sz="0" w:space="0" w:color="auto"/>
        <w:bottom w:val="none" w:sz="0" w:space="0" w:color="auto"/>
        <w:right w:val="none" w:sz="0" w:space="0" w:color="auto"/>
      </w:divBdr>
    </w:div>
    <w:div w:id="954756808">
      <w:marLeft w:val="0"/>
      <w:marRight w:val="0"/>
      <w:marTop w:val="0"/>
      <w:marBottom w:val="0"/>
      <w:divBdr>
        <w:top w:val="none" w:sz="0" w:space="0" w:color="auto"/>
        <w:left w:val="none" w:sz="0" w:space="0" w:color="auto"/>
        <w:bottom w:val="none" w:sz="0" w:space="0" w:color="auto"/>
        <w:right w:val="none" w:sz="0" w:space="0" w:color="auto"/>
      </w:divBdr>
    </w:div>
    <w:div w:id="954756809">
      <w:marLeft w:val="0"/>
      <w:marRight w:val="0"/>
      <w:marTop w:val="0"/>
      <w:marBottom w:val="0"/>
      <w:divBdr>
        <w:top w:val="none" w:sz="0" w:space="0" w:color="auto"/>
        <w:left w:val="none" w:sz="0" w:space="0" w:color="auto"/>
        <w:bottom w:val="none" w:sz="0" w:space="0" w:color="auto"/>
        <w:right w:val="none" w:sz="0" w:space="0" w:color="auto"/>
      </w:divBdr>
    </w:div>
    <w:div w:id="954756810">
      <w:marLeft w:val="0"/>
      <w:marRight w:val="0"/>
      <w:marTop w:val="0"/>
      <w:marBottom w:val="0"/>
      <w:divBdr>
        <w:top w:val="none" w:sz="0" w:space="0" w:color="auto"/>
        <w:left w:val="none" w:sz="0" w:space="0" w:color="auto"/>
        <w:bottom w:val="none" w:sz="0" w:space="0" w:color="auto"/>
        <w:right w:val="none" w:sz="0" w:space="0" w:color="auto"/>
      </w:divBdr>
    </w:div>
    <w:div w:id="954756811">
      <w:marLeft w:val="0"/>
      <w:marRight w:val="0"/>
      <w:marTop w:val="0"/>
      <w:marBottom w:val="0"/>
      <w:divBdr>
        <w:top w:val="none" w:sz="0" w:space="0" w:color="auto"/>
        <w:left w:val="none" w:sz="0" w:space="0" w:color="auto"/>
        <w:bottom w:val="none" w:sz="0" w:space="0" w:color="auto"/>
        <w:right w:val="none" w:sz="0" w:space="0" w:color="auto"/>
      </w:divBdr>
    </w:div>
    <w:div w:id="954756812">
      <w:marLeft w:val="0"/>
      <w:marRight w:val="0"/>
      <w:marTop w:val="0"/>
      <w:marBottom w:val="0"/>
      <w:divBdr>
        <w:top w:val="none" w:sz="0" w:space="0" w:color="auto"/>
        <w:left w:val="none" w:sz="0" w:space="0" w:color="auto"/>
        <w:bottom w:val="none" w:sz="0" w:space="0" w:color="auto"/>
        <w:right w:val="none" w:sz="0" w:space="0" w:color="auto"/>
      </w:divBdr>
    </w:div>
    <w:div w:id="954756813">
      <w:marLeft w:val="0"/>
      <w:marRight w:val="0"/>
      <w:marTop w:val="0"/>
      <w:marBottom w:val="0"/>
      <w:divBdr>
        <w:top w:val="none" w:sz="0" w:space="0" w:color="auto"/>
        <w:left w:val="none" w:sz="0" w:space="0" w:color="auto"/>
        <w:bottom w:val="none" w:sz="0" w:space="0" w:color="auto"/>
        <w:right w:val="none" w:sz="0" w:space="0" w:color="auto"/>
      </w:divBdr>
    </w:div>
    <w:div w:id="954756814">
      <w:marLeft w:val="0"/>
      <w:marRight w:val="0"/>
      <w:marTop w:val="0"/>
      <w:marBottom w:val="0"/>
      <w:divBdr>
        <w:top w:val="none" w:sz="0" w:space="0" w:color="auto"/>
        <w:left w:val="none" w:sz="0" w:space="0" w:color="auto"/>
        <w:bottom w:val="none" w:sz="0" w:space="0" w:color="auto"/>
        <w:right w:val="none" w:sz="0" w:space="0" w:color="auto"/>
      </w:divBdr>
    </w:div>
    <w:div w:id="954756815">
      <w:marLeft w:val="0"/>
      <w:marRight w:val="0"/>
      <w:marTop w:val="0"/>
      <w:marBottom w:val="0"/>
      <w:divBdr>
        <w:top w:val="none" w:sz="0" w:space="0" w:color="auto"/>
        <w:left w:val="none" w:sz="0" w:space="0" w:color="auto"/>
        <w:bottom w:val="none" w:sz="0" w:space="0" w:color="auto"/>
        <w:right w:val="none" w:sz="0" w:space="0" w:color="auto"/>
      </w:divBdr>
    </w:div>
    <w:div w:id="954756816">
      <w:marLeft w:val="0"/>
      <w:marRight w:val="0"/>
      <w:marTop w:val="0"/>
      <w:marBottom w:val="0"/>
      <w:divBdr>
        <w:top w:val="none" w:sz="0" w:space="0" w:color="auto"/>
        <w:left w:val="none" w:sz="0" w:space="0" w:color="auto"/>
        <w:bottom w:val="none" w:sz="0" w:space="0" w:color="auto"/>
        <w:right w:val="none" w:sz="0" w:space="0" w:color="auto"/>
      </w:divBdr>
    </w:div>
    <w:div w:id="954756817">
      <w:marLeft w:val="0"/>
      <w:marRight w:val="0"/>
      <w:marTop w:val="0"/>
      <w:marBottom w:val="0"/>
      <w:divBdr>
        <w:top w:val="none" w:sz="0" w:space="0" w:color="auto"/>
        <w:left w:val="none" w:sz="0" w:space="0" w:color="auto"/>
        <w:bottom w:val="none" w:sz="0" w:space="0" w:color="auto"/>
        <w:right w:val="none" w:sz="0" w:space="0" w:color="auto"/>
      </w:divBdr>
    </w:div>
    <w:div w:id="954756818">
      <w:marLeft w:val="0"/>
      <w:marRight w:val="0"/>
      <w:marTop w:val="0"/>
      <w:marBottom w:val="0"/>
      <w:divBdr>
        <w:top w:val="none" w:sz="0" w:space="0" w:color="auto"/>
        <w:left w:val="none" w:sz="0" w:space="0" w:color="auto"/>
        <w:bottom w:val="none" w:sz="0" w:space="0" w:color="auto"/>
        <w:right w:val="none" w:sz="0" w:space="0" w:color="auto"/>
      </w:divBdr>
    </w:div>
    <w:div w:id="954756819">
      <w:marLeft w:val="0"/>
      <w:marRight w:val="0"/>
      <w:marTop w:val="0"/>
      <w:marBottom w:val="0"/>
      <w:divBdr>
        <w:top w:val="none" w:sz="0" w:space="0" w:color="auto"/>
        <w:left w:val="none" w:sz="0" w:space="0" w:color="auto"/>
        <w:bottom w:val="none" w:sz="0" w:space="0" w:color="auto"/>
        <w:right w:val="none" w:sz="0" w:space="0" w:color="auto"/>
      </w:divBdr>
    </w:div>
    <w:div w:id="954756820">
      <w:marLeft w:val="0"/>
      <w:marRight w:val="0"/>
      <w:marTop w:val="0"/>
      <w:marBottom w:val="0"/>
      <w:divBdr>
        <w:top w:val="none" w:sz="0" w:space="0" w:color="auto"/>
        <w:left w:val="none" w:sz="0" w:space="0" w:color="auto"/>
        <w:bottom w:val="none" w:sz="0" w:space="0" w:color="auto"/>
        <w:right w:val="none" w:sz="0" w:space="0" w:color="auto"/>
      </w:divBdr>
    </w:div>
    <w:div w:id="954756821">
      <w:marLeft w:val="0"/>
      <w:marRight w:val="0"/>
      <w:marTop w:val="0"/>
      <w:marBottom w:val="0"/>
      <w:divBdr>
        <w:top w:val="none" w:sz="0" w:space="0" w:color="auto"/>
        <w:left w:val="none" w:sz="0" w:space="0" w:color="auto"/>
        <w:bottom w:val="none" w:sz="0" w:space="0" w:color="auto"/>
        <w:right w:val="none" w:sz="0" w:space="0" w:color="auto"/>
      </w:divBdr>
    </w:div>
    <w:div w:id="954756822">
      <w:marLeft w:val="0"/>
      <w:marRight w:val="0"/>
      <w:marTop w:val="0"/>
      <w:marBottom w:val="0"/>
      <w:divBdr>
        <w:top w:val="none" w:sz="0" w:space="0" w:color="auto"/>
        <w:left w:val="none" w:sz="0" w:space="0" w:color="auto"/>
        <w:bottom w:val="none" w:sz="0" w:space="0" w:color="auto"/>
        <w:right w:val="none" w:sz="0" w:space="0" w:color="auto"/>
      </w:divBdr>
    </w:div>
    <w:div w:id="954756823">
      <w:marLeft w:val="0"/>
      <w:marRight w:val="0"/>
      <w:marTop w:val="0"/>
      <w:marBottom w:val="0"/>
      <w:divBdr>
        <w:top w:val="none" w:sz="0" w:space="0" w:color="auto"/>
        <w:left w:val="none" w:sz="0" w:space="0" w:color="auto"/>
        <w:bottom w:val="none" w:sz="0" w:space="0" w:color="auto"/>
        <w:right w:val="none" w:sz="0" w:space="0" w:color="auto"/>
      </w:divBdr>
    </w:div>
    <w:div w:id="954756824">
      <w:marLeft w:val="0"/>
      <w:marRight w:val="0"/>
      <w:marTop w:val="0"/>
      <w:marBottom w:val="0"/>
      <w:divBdr>
        <w:top w:val="none" w:sz="0" w:space="0" w:color="auto"/>
        <w:left w:val="none" w:sz="0" w:space="0" w:color="auto"/>
        <w:bottom w:val="none" w:sz="0" w:space="0" w:color="auto"/>
        <w:right w:val="none" w:sz="0" w:space="0" w:color="auto"/>
      </w:divBdr>
    </w:div>
    <w:div w:id="954756825">
      <w:marLeft w:val="0"/>
      <w:marRight w:val="0"/>
      <w:marTop w:val="0"/>
      <w:marBottom w:val="0"/>
      <w:divBdr>
        <w:top w:val="none" w:sz="0" w:space="0" w:color="auto"/>
        <w:left w:val="none" w:sz="0" w:space="0" w:color="auto"/>
        <w:bottom w:val="none" w:sz="0" w:space="0" w:color="auto"/>
        <w:right w:val="none" w:sz="0" w:space="0" w:color="auto"/>
      </w:divBdr>
    </w:div>
    <w:div w:id="954756826">
      <w:marLeft w:val="0"/>
      <w:marRight w:val="0"/>
      <w:marTop w:val="0"/>
      <w:marBottom w:val="0"/>
      <w:divBdr>
        <w:top w:val="none" w:sz="0" w:space="0" w:color="auto"/>
        <w:left w:val="none" w:sz="0" w:space="0" w:color="auto"/>
        <w:bottom w:val="none" w:sz="0" w:space="0" w:color="auto"/>
        <w:right w:val="none" w:sz="0" w:space="0" w:color="auto"/>
      </w:divBdr>
    </w:div>
    <w:div w:id="954756827">
      <w:marLeft w:val="0"/>
      <w:marRight w:val="0"/>
      <w:marTop w:val="0"/>
      <w:marBottom w:val="0"/>
      <w:divBdr>
        <w:top w:val="none" w:sz="0" w:space="0" w:color="auto"/>
        <w:left w:val="none" w:sz="0" w:space="0" w:color="auto"/>
        <w:bottom w:val="none" w:sz="0" w:space="0" w:color="auto"/>
        <w:right w:val="none" w:sz="0" w:space="0" w:color="auto"/>
      </w:divBdr>
    </w:div>
    <w:div w:id="954756828">
      <w:marLeft w:val="0"/>
      <w:marRight w:val="0"/>
      <w:marTop w:val="0"/>
      <w:marBottom w:val="0"/>
      <w:divBdr>
        <w:top w:val="none" w:sz="0" w:space="0" w:color="auto"/>
        <w:left w:val="none" w:sz="0" w:space="0" w:color="auto"/>
        <w:bottom w:val="none" w:sz="0" w:space="0" w:color="auto"/>
        <w:right w:val="none" w:sz="0" w:space="0" w:color="auto"/>
      </w:divBdr>
    </w:div>
    <w:div w:id="954756829">
      <w:marLeft w:val="0"/>
      <w:marRight w:val="0"/>
      <w:marTop w:val="0"/>
      <w:marBottom w:val="0"/>
      <w:divBdr>
        <w:top w:val="none" w:sz="0" w:space="0" w:color="auto"/>
        <w:left w:val="none" w:sz="0" w:space="0" w:color="auto"/>
        <w:bottom w:val="none" w:sz="0" w:space="0" w:color="auto"/>
        <w:right w:val="none" w:sz="0" w:space="0" w:color="auto"/>
      </w:divBdr>
    </w:div>
    <w:div w:id="954756830">
      <w:marLeft w:val="0"/>
      <w:marRight w:val="0"/>
      <w:marTop w:val="0"/>
      <w:marBottom w:val="0"/>
      <w:divBdr>
        <w:top w:val="none" w:sz="0" w:space="0" w:color="auto"/>
        <w:left w:val="none" w:sz="0" w:space="0" w:color="auto"/>
        <w:bottom w:val="none" w:sz="0" w:space="0" w:color="auto"/>
        <w:right w:val="none" w:sz="0" w:space="0" w:color="auto"/>
      </w:divBdr>
    </w:div>
    <w:div w:id="954756831">
      <w:marLeft w:val="0"/>
      <w:marRight w:val="0"/>
      <w:marTop w:val="0"/>
      <w:marBottom w:val="0"/>
      <w:divBdr>
        <w:top w:val="none" w:sz="0" w:space="0" w:color="auto"/>
        <w:left w:val="none" w:sz="0" w:space="0" w:color="auto"/>
        <w:bottom w:val="none" w:sz="0" w:space="0" w:color="auto"/>
        <w:right w:val="none" w:sz="0" w:space="0" w:color="auto"/>
      </w:divBdr>
    </w:div>
    <w:div w:id="954756832">
      <w:marLeft w:val="0"/>
      <w:marRight w:val="0"/>
      <w:marTop w:val="0"/>
      <w:marBottom w:val="0"/>
      <w:divBdr>
        <w:top w:val="none" w:sz="0" w:space="0" w:color="auto"/>
        <w:left w:val="none" w:sz="0" w:space="0" w:color="auto"/>
        <w:bottom w:val="none" w:sz="0" w:space="0" w:color="auto"/>
        <w:right w:val="none" w:sz="0" w:space="0" w:color="auto"/>
      </w:divBdr>
    </w:div>
    <w:div w:id="954756833">
      <w:marLeft w:val="0"/>
      <w:marRight w:val="0"/>
      <w:marTop w:val="0"/>
      <w:marBottom w:val="0"/>
      <w:divBdr>
        <w:top w:val="none" w:sz="0" w:space="0" w:color="auto"/>
        <w:left w:val="none" w:sz="0" w:space="0" w:color="auto"/>
        <w:bottom w:val="none" w:sz="0" w:space="0" w:color="auto"/>
        <w:right w:val="none" w:sz="0" w:space="0" w:color="auto"/>
      </w:divBdr>
    </w:div>
    <w:div w:id="954756834">
      <w:marLeft w:val="0"/>
      <w:marRight w:val="0"/>
      <w:marTop w:val="0"/>
      <w:marBottom w:val="0"/>
      <w:divBdr>
        <w:top w:val="none" w:sz="0" w:space="0" w:color="auto"/>
        <w:left w:val="none" w:sz="0" w:space="0" w:color="auto"/>
        <w:bottom w:val="none" w:sz="0" w:space="0" w:color="auto"/>
        <w:right w:val="none" w:sz="0" w:space="0" w:color="auto"/>
      </w:divBdr>
    </w:div>
    <w:div w:id="954756835">
      <w:marLeft w:val="0"/>
      <w:marRight w:val="0"/>
      <w:marTop w:val="0"/>
      <w:marBottom w:val="0"/>
      <w:divBdr>
        <w:top w:val="none" w:sz="0" w:space="0" w:color="auto"/>
        <w:left w:val="none" w:sz="0" w:space="0" w:color="auto"/>
        <w:bottom w:val="none" w:sz="0" w:space="0" w:color="auto"/>
        <w:right w:val="none" w:sz="0" w:space="0" w:color="auto"/>
      </w:divBdr>
    </w:div>
    <w:div w:id="954756836">
      <w:marLeft w:val="0"/>
      <w:marRight w:val="0"/>
      <w:marTop w:val="0"/>
      <w:marBottom w:val="0"/>
      <w:divBdr>
        <w:top w:val="none" w:sz="0" w:space="0" w:color="auto"/>
        <w:left w:val="none" w:sz="0" w:space="0" w:color="auto"/>
        <w:bottom w:val="none" w:sz="0" w:space="0" w:color="auto"/>
        <w:right w:val="none" w:sz="0" w:space="0" w:color="auto"/>
      </w:divBdr>
    </w:div>
    <w:div w:id="954756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6A5BC-1F95-453C-AF1F-6CE67127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4810</Words>
  <Characters>27373</Characters>
  <Application>Microsoft Office Word</Application>
  <DocSecurity>0</DocSecurity>
  <Lines>1303</Lines>
  <Paragraphs>440</Paragraphs>
  <ScaleCrop>false</ScaleCrop>
  <HeadingPairs>
    <vt:vector size="2" baseType="variant">
      <vt:variant>
        <vt:lpstr>Title</vt:lpstr>
      </vt:variant>
      <vt:variant>
        <vt:i4>1</vt:i4>
      </vt:variant>
    </vt:vector>
  </HeadingPairs>
  <TitlesOfParts>
    <vt:vector size="1" baseType="lpstr">
      <vt:lpstr>Biennial Collaborative Agreement (BCA) between  the Ministry of Health of the Republic of Latvia and the Regional Office for Europe of the World Health Organization 2012/2013</vt:lpstr>
    </vt:vector>
  </TitlesOfParts>
  <Company>Veselības ministrija</Company>
  <LinksUpToDate>false</LinksUpToDate>
  <CharactersWithSpaces>31743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Biennial Collaborative Agreement (BCA) between  the Ministry of Health of the Republic of Latvia and the Regional Office for Europe of the World Health Organization 2012/2013</dc:title>
  <dc:subject>Līgums</dc:subject>
  <dc:creator>Ludis Pauliņš</dc:creator>
  <dc:description>ludis.paulins@vm.gov.lv
67876024</dc:description>
  <cp:lastModifiedBy>VM</cp:lastModifiedBy>
  <cp:revision>10</cp:revision>
  <cp:lastPrinted>2011-08-10T13:44:00Z</cp:lastPrinted>
  <dcterms:created xsi:type="dcterms:W3CDTF">2011-12-20T08:17:00Z</dcterms:created>
  <dcterms:modified xsi:type="dcterms:W3CDTF">2012-01-04T13:16:00Z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