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6B" w:rsidRDefault="00994D6B" w:rsidP="00994D6B">
      <w:pPr>
        <w:spacing w:after="0"/>
        <w:jc w:val="center"/>
        <w:rPr>
          <w:rFonts w:ascii="Times New Roman" w:hAnsi="Times New Roman" w:cs="Times New Roman"/>
          <w:b/>
          <w:sz w:val="28"/>
          <w:szCs w:val="28"/>
        </w:rPr>
      </w:pPr>
      <w:bookmarkStart w:id="0" w:name="OLE_LINK1"/>
      <w:bookmarkStart w:id="1" w:name="OLE_LINK2"/>
      <w:bookmarkStart w:id="2" w:name="OLE_LINK3"/>
      <w:bookmarkStart w:id="3" w:name="OLE_LINK4"/>
      <w:bookmarkStart w:id="4" w:name="OLE_LINK5"/>
      <w:r>
        <w:rPr>
          <w:rFonts w:ascii="Times New Roman" w:hAnsi="Times New Roman" w:cs="Times New Roman"/>
          <w:b/>
          <w:sz w:val="28"/>
          <w:szCs w:val="28"/>
        </w:rPr>
        <w:t xml:space="preserve">Informatīvais ziņojums par Eiropas Komisijas Otrās Kopienas rīcības programmas sabiedrības veselības jomā (2008. – 2013.gadam) </w:t>
      </w:r>
      <w:bookmarkEnd w:id="0"/>
      <w:bookmarkEnd w:id="1"/>
      <w:r>
        <w:rPr>
          <w:rFonts w:ascii="Times New Roman" w:hAnsi="Times New Roman" w:cs="Times New Roman"/>
          <w:b/>
          <w:sz w:val="28"/>
          <w:szCs w:val="28"/>
        </w:rPr>
        <w:t>vienoto rīcību „T</w:t>
      </w:r>
      <w:r w:rsidRPr="00640DFE">
        <w:rPr>
          <w:rFonts w:ascii="Times New Roman" w:hAnsi="Times New Roman" w:cs="Times New Roman"/>
          <w:b/>
          <w:sz w:val="28"/>
          <w:szCs w:val="28"/>
        </w:rPr>
        <w:t>raumu uzraudzīb</w:t>
      </w:r>
      <w:r>
        <w:rPr>
          <w:rFonts w:ascii="Times New Roman" w:hAnsi="Times New Roman" w:cs="Times New Roman"/>
          <w:b/>
          <w:sz w:val="28"/>
          <w:szCs w:val="28"/>
        </w:rPr>
        <w:t>a</w:t>
      </w:r>
      <w:r w:rsidRPr="00640DFE">
        <w:rPr>
          <w:rFonts w:ascii="Times New Roman" w:hAnsi="Times New Roman" w:cs="Times New Roman"/>
          <w:b/>
          <w:sz w:val="28"/>
          <w:szCs w:val="28"/>
        </w:rPr>
        <w:t xml:space="preserve"> Eiropā</w:t>
      </w:r>
      <w:r>
        <w:rPr>
          <w:rFonts w:ascii="Times New Roman" w:hAnsi="Times New Roman" w:cs="Times New Roman"/>
          <w:b/>
          <w:sz w:val="28"/>
          <w:szCs w:val="28"/>
        </w:rPr>
        <w:t>”</w:t>
      </w:r>
      <w:r w:rsidRPr="00640DFE">
        <w:rPr>
          <w:rFonts w:ascii="Times New Roman" w:hAnsi="Times New Roman" w:cs="Times New Roman"/>
          <w:b/>
          <w:sz w:val="28"/>
          <w:szCs w:val="28"/>
        </w:rPr>
        <w:t xml:space="preserve"> (JAMIE)</w:t>
      </w:r>
      <w:bookmarkEnd w:id="2"/>
      <w:bookmarkEnd w:id="3"/>
      <w:bookmarkEnd w:id="4"/>
    </w:p>
    <w:p w:rsidR="00994D6B" w:rsidRDefault="00994D6B" w:rsidP="00994D6B">
      <w:pPr>
        <w:spacing w:after="0"/>
        <w:jc w:val="center"/>
        <w:rPr>
          <w:rFonts w:ascii="Times New Roman" w:hAnsi="Times New Roman" w:cs="Times New Roman"/>
          <w:b/>
          <w:sz w:val="28"/>
          <w:szCs w:val="28"/>
        </w:rPr>
      </w:pPr>
    </w:p>
    <w:p w:rsidR="00994D6B" w:rsidRDefault="00994D6B" w:rsidP="00994D6B">
      <w:pPr>
        <w:spacing w:after="0"/>
        <w:ind w:firstLine="720"/>
        <w:jc w:val="both"/>
        <w:rPr>
          <w:rFonts w:ascii="Times New Roman" w:hAnsi="Times New Roman"/>
          <w:sz w:val="28"/>
          <w:szCs w:val="28"/>
        </w:rPr>
      </w:pPr>
      <w:r w:rsidRPr="004C0492">
        <w:rPr>
          <w:rFonts w:ascii="Times New Roman" w:hAnsi="Times New Roman"/>
          <w:sz w:val="28"/>
          <w:szCs w:val="28"/>
        </w:rPr>
        <w:t>Eiropas Komisijas Otrās Kopienas rīcības programmas sabiedrības veselības jomā (2008. – 2013.gadam) vienotās rīcības „</w:t>
      </w:r>
      <w:r w:rsidRPr="004C0492">
        <w:rPr>
          <w:rFonts w:ascii="Times New Roman" w:hAnsi="Times New Roman" w:cs="Times New Roman"/>
          <w:sz w:val="28"/>
          <w:szCs w:val="28"/>
        </w:rPr>
        <w:t>Traumu uzraudzība Eiropā</w:t>
      </w:r>
      <w:r w:rsidRPr="004C0492">
        <w:rPr>
          <w:rFonts w:ascii="Times New Roman" w:hAnsi="Times New Roman"/>
          <w:sz w:val="28"/>
          <w:szCs w:val="28"/>
        </w:rPr>
        <w:t>” (</w:t>
      </w:r>
      <w:r w:rsidRPr="004C0492">
        <w:rPr>
          <w:rFonts w:ascii="Times New Roman" w:hAnsi="Times New Roman" w:cs="Times New Roman"/>
          <w:sz w:val="28"/>
          <w:szCs w:val="28"/>
        </w:rPr>
        <w:t>JAMIE Nr.</w:t>
      </w:r>
      <w:r w:rsidRPr="004C0492">
        <w:t xml:space="preserve"> </w:t>
      </w:r>
      <w:r w:rsidRPr="004C0492">
        <w:rPr>
          <w:rFonts w:ascii="Times New Roman" w:hAnsi="Times New Roman" w:cs="Times New Roman"/>
          <w:sz w:val="28"/>
          <w:szCs w:val="28"/>
        </w:rPr>
        <w:t>20102205</w:t>
      </w:r>
      <w:r w:rsidRPr="004C0492">
        <w:rPr>
          <w:rFonts w:ascii="Times New Roman" w:hAnsi="Times New Roman"/>
          <w:sz w:val="28"/>
          <w:szCs w:val="28"/>
        </w:rPr>
        <w:t xml:space="preserve">) (turpmāk – Vienotā rīcība JAMIE) mērķis ir </w:t>
      </w:r>
      <w:r>
        <w:rPr>
          <w:rFonts w:ascii="Times New Roman" w:hAnsi="Times New Roman"/>
          <w:sz w:val="28"/>
          <w:szCs w:val="28"/>
        </w:rPr>
        <w:t>līdz 2013.gada beigām panākt vienotas traumu datu bāzes izveidi lielākajā daļā Eiropas Savienības (turpmāk – ES) dalībvalstu, kas būtu slimnīcu uzraudzībā un dotu iespēju Eiropas Komisijai un dalībvalstīm uzraudzīt traumu riskus.</w:t>
      </w:r>
    </w:p>
    <w:p w:rsidR="00994D6B" w:rsidRDefault="00994D6B" w:rsidP="00994D6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Vienotās rīcības JAMIE vadošais partneris ir Nīderlandes organizācija „Eiropas asociācija traumu profilaksei un drošības veicināšanai” (European Association for Injury Prevention and Safety Promotion – EUROSAFE). Vienotai rīcībai JAMIE ir 23 asociētie partneri, viens no kuriem ir </w:t>
      </w:r>
      <w:r w:rsidRPr="00FF432B">
        <w:rPr>
          <w:rFonts w:ascii="Times New Roman" w:hAnsi="Times New Roman" w:cs="Times New Roman"/>
          <w:sz w:val="28"/>
          <w:szCs w:val="28"/>
        </w:rPr>
        <w:t>Slimību</w:t>
      </w:r>
      <w:r>
        <w:rPr>
          <w:rFonts w:ascii="Times New Roman" w:hAnsi="Times New Roman" w:cs="Times New Roman"/>
          <w:sz w:val="28"/>
          <w:szCs w:val="28"/>
        </w:rPr>
        <w:t xml:space="preserve"> profilakses un kontroles centrs</w:t>
      </w:r>
      <w:r w:rsidRPr="00FF432B">
        <w:rPr>
          <w:rFonts w:ascii="Times New Roman" w:hAnsi="Times New Roman" w:cs="Times New Roman"/>
          <w:sz w:val="28"/>
          <w:szCs w:val="28"/>
        </w:rPr>
        <w:t xml:space="preserve"> (turpmāk – SPKC)</w:t>
      </w:r>
      <w:r w:rsidRPr="004435E6">
        <w:rPr>
          <w:rFonts w:ascii="Times New Roman" w:hAnsi="Times New Roman" w:cs="Times New Roman"/>
          <w:sz w:val="28"/>
          <w:szCs w:val="28"/>
        </w:rPr>
        <w:t>.</w:t>
      </w:r>
      <w:r>
        <w:rPr>
          <w:rFonts w:ascii="Times New Roman" w:hAnsi="Times New Roman" w:cs="Times New Roman"/>
          <w:sz w:val="28"/>
          <w:szCs w:val="28"/>
        </w:rPr>
        <w:t xml:space="preserve">  SPKC</w:t>
      </w:r>
      <w:r w:rsidRPr="00FF432B">
        <w:rPr>
          <w:rFonts w:ascii="Times New Roman" w:hAnsi="Times New Roman" w:cs="Times New Roman"/>
          <w:sz w:val="28"/>
          <w:szCs w:val="28"/>
        </w:rPr>
        <w:t xml:space="preserve"> ir Latvijā atbildīgā institūcija par </w:t>
      </w:r>
      <w:r>
        <w:rPr>
          <w:rFonts w:ascii="Times New Roman" w:hAnsi="Times New Roman" w:cs="Times New Roman"/>
          <w:sz w:val="28"/>
          <w:szCs w:val="28"/>
        </w:rPr>
        <w:t>reģistru „</w:t>
      </w:r>
      <w:r w:rsidRPr="00FF432B">
        <w:rPr>
          <w:rFonts w:ascii="Times New Roman" w:hAnsi="Times New Roman" w:cs="Times New Roman"/>
          <w:sz w:val="28"/>
          <w:szCs w:val="28"/>
        </w:rPr>
        <w:t>Ar noteiktām slimībām slimojošu pacientu reģistr</w:t>
      </w:r>
      <w:r>
        <w:rPr>
          <w:rFonts w:ascii="Times New Roman" w:hAnsi="Times New Roman" w:cs="Times New Roman"/>
          <w:sz w:val="28"/>
          <w:szCs w:val="28"/>
        </w:rPr>
        <w:t>s un reģistrs</w:t>
      </w:r>
      <w:r w:rsidRPr="00FF432B">
        <w:rPr>
          <w:rFonts w:ascii="Times New Roman" w:hAnsi="Times New Roman" w:cs="Times New Roman"/>
          <w:sz w:val="28"/>
          <w:szCs w:val="28"/>
        </w:rPr>
        <w:t xml:space="preserve"> par pacientiem, kuri guvuši traumas un ievainojumus</w:t>
      </w:r>
      <w:r>
        <w:rPr>
          <w:rFonts w:ascii="Times New Roman" w:hAnsi="Times New Roman" w:cs="Times New Roman"/>
          <w:sz w:val="28"/>
          <w:szCs w:val="28"/>
        </w:rPr>
        <w:t>”</w:t>
      </w:r>
      <w:r w:rsidRPr="00FF432B">
        <w:rPr>
          <w:rFonts w:ascii="Times New Roman" w:hAnsi="Times New Roman" w:cs="Times New Roman"/>
          <w:sz w:val="28"/>
          <w:szCs w:val="28"/>
        </w:rPr>
        <w:t xml:space="preserve"> (turpmāk tekstā – Reģistrs). Reģistrs ir E</w:t>
      </w:r>
      <w:r>
        <w:rPr>
          <w:rFonts w:ascii="Times New Roman" w:hAnsi="Times New Roman" w:cs="Times New Roman"/>
          <w:sz w:val="28"/>
          <w:szCs w:val="28"/>
        </w:rPr>
        <w:t xml:space="preserve">iropas </w:t>
      </w:r>
      <w:r w:rsidRPr="00FF432B">
        <w:rPr>
          <w:rFonts w:ascii="Times New Roman" w:hAnsi="Times New Roman" w:cs="Times New Roman"/>
          <w:sz w:val="28"/>
          <w:szCs w:val="28"/>
        </w:rPr>
        <w:t>K</w:t>
      </w:r>
      <w:r>
        <w:rPr>
          <w:rFonts w:ascii="Times New Roman" w:hAnsi="Times New Roman" w:cs="Times New Roman"/>
          <w:sz w:val="28"/>
          <w:szCs w:val="28"/>
        </w:rPr>
        <w:t>omisijas</w:t>
      </w:r>
      <w:r w:rsidRPr="00FF432B">
        <w:rPr>
          <w:rFonts w:ascii="Times New Roman" w:hAnsi="Times New Roman" w:cs="Times New Roman"/>
          <w:sz w:val="28"/>
          <w:szCs w:val="28"/>
        </w:rPr>
        <w:t xml:space="preserve"> Ievainojumu datu bāzes sastāvdaļa. </w:t>
      </w:r>
      <w:r>
        <w:rPr>
          <w:rFonts w:ascii="Times New Roman" w:hAnsi="Times New Roman" w:cs="Times New Roman"/>
          <w:sz w:val="28"/>
          <w:szCs w:val="28"/>
        </w:rPr>
        <w:t>Ievainojumu datu bāze</w:t>
      </w:r>
      <w:r w:rsidRPr="00FF432B">
        <w:rPr>
          <w:rFonts w:ascii="Times New Roman" w:hAnsi="Times New Roman" w:cs="Times New Roman"/>
          <w:sz w:val="28"/>
          <w:szCs w:val="28"/>
        </w:rPr>
        <w:t xml:space="preserve"> ir vienīgais datu avots </w:t>
      </w:r>
      <w:r>
        <w:rPr>
          <w:rFonts w:ascii="Times New Roman" w:hAnsi="Times New Roman" w:cs="Times New Roman"/>
          <w:sz w:val="28"/>
          <w:szCs w:val="28"/>
        </w:rPr>
        <w:t>ES</w:t>
      </w:r>
      <w:r w:rsidRPr="00FF432B">
        <w:rPr>
          <w:rFonts w:ascii="Times New Roman" w:hAnsi="Times New Roman" w:cs="Times New Roman"/>
          <w:sz w:val="28"/>
          <w:szCs w:val="28"/>
        </w:rPr>
        <w:t>, kas satur standartizētus, starptautiski salīdzināmus datus par traumām un ievainojumiem.</w:t>
      </w:r>
      <w:r>
        <w:rPr>
          <w:rFonts w:ascii="Times New Roman" w:hAnsi="Times New Roman" w:cs="Times New Roman"/>
          <w:sz w:val="28"/>
          <w:szCs w:val="28"/>
        </w:rPr>
        <w:t xml:space="preserve"> </w:t>
      </w:r>
    </w:p>
    <w:p w:rsidR="00994D6B" w:rsidRDefault="00994D6B" w:rsidP="00994D6B">
      <w:pPr>
        <w:spacing w:after="0"/>
        <w:ind w:firstLine="720"/>
        <w:jc w:val="both"/>
        <w:rPr>
          <w:rFonts w:ascii="Times New Roman" w:hAnsi="Times New Roman" w:cs="Times New Roman"/>
          <w:sz w:val="28"/>
          <w:szCs w:val="28"/>
        </w:rPr>
      </w:pPr>
      <w:r>
        <w:rPr>
          <w:rFonts w:ascii="Times New Roman" w:hAnsi="Times New Roman" w:cs="Times New Roman"/>
          <w:sz w:val="28"/>
          <w:szCs w:val="28"/>
        </w:rPr>
        <w:t>Vienotā rīcība JAMIE ilgs 36 mēnešus, tā tika uzsākta 2011.gada 1.aprīlī un turpināsies līdz 2014.</w:t>
      </w:r>
      <w:r w:rsidRPr="00DD6E51">
        <w:rPr>
          <w:rFonts w:ascii="Times New Roman" w:hAnsi="Times New Roman" w:cs="Times New Roman"/>
          <w:sz w:val="28"/>
          <w:szCs w:val="28"/>
        </w:rPr>
        <w:t>gada 1.aprīlim</w:t>
      </w:r>
      <w:r>
        <w:rPr>
          <w:rFonts w:ascii="Times New Roman" w:hAnsi="Times New Roman" w:cs="Times New Roman"/>
          <w:sz w:val="28"/>
          <w:szCs w:val="28"/>
        </w:rPr>
        <w:t>.</w:t>
      </w:r>
    </w:p>
    <w:p w:rsidR="00994D6B" w:rsidRDefault="00994D6B" w:rsidP="00994D6B">
      <w:pPr>
        <w:spacing w:after="0"/>
        <w:ind w:firstLine="720"/>
        <w:jc w:val="both"/>
        <w:rPr>
          <w:rFonts w:ascii="Times New Roman" w:hAnsi="Times New Roman" w:cs="Times New Roman"/>
          <w:sz w:val="28"/>
          <w:szCs w:val="28"/>
        </w:rPr>
      </w:pPr>
      <w:r>
        <w:rPr>
          <w:rFonts w:ascii="Times New Roman" w:hAnsi="Times New Roman" w:cs="Times New Roman"/>
          <w:sz w:val="28"/>
          <w:szCs w:val="28"/>
        </w:rPr>
        <w:t>Vienotās rīcības JAMIE i</w:t>
      </w:r>
      <w:r w:rsidRPr="00A3325E">
        <w:rPr>
          <w:rFonts w:ascii="Times New Roman" w:hAnsi="Times New Roman" w:cs="Times New Roman"/>
          <w:sz w:val="28"/>
          <w:szCs w:val="28"/>
        </w:rPr>
        <w:t xml:space="preserve">etvaros </w:t>
      </w:r>
      <w:r>
        <w:rPr>
          <w:rFonts w:ascii="Times New Roman" w:hAnsi="Times New Roman" w:cs="Times New Roman"/>
          <w:sz w:val="28"/>
          <w:szCs w:val="28"/>
        </w:rPr>
        <w:t>divas</w:t>
      </w:r>
      <w:r w:rsidRPr="00A3325E">
        <w:rPr>
          <w:rFonts w:ascii="Times New Roman" w:hAnsi="Times New Roman" w:cs="Times New Roman"/>
          <w:sz w:val="28"/>
          <w:szCs w:val="28"/>
        </w:rPr>
        <w:t xml:space="preserve"> reizes gadā tiek organizēti apmācību semināri, kur piedalās arī </w:t>
      </w:r>
      <w:r w:rsidRPr="00FF432B">
        <w:rPr>
          <w:rFonts w:ascii="Times New Roman" w:hAnsi="Times New Roman" w:cs="Times New Roman"/>
          <w:sz w:val="28"/>
          <w:szCs w:val="28"/>
        </w:rPr>
        <w:t>SPKC</w:t>
      </w:r>
      <w:r w:rsidRPr="00A3325E">
        <w:rPr>
          <w:rFonts w:ascii="Times New Roman" w:hAnsi="Times New Roman" w:cs="Times New Roman"/>
          <w:sz w:val="28"/>
          <w:szCs w:val="28"/>
        </w:rPr>
        <w:t xml:space="preserve"> pārstāvis. Semināru mērķi</w:t>
      </w:r>
      <w:r>
        <w:rPr>
          <w:rFonts w:ascii="Times New Roman" w:hAnsi="Times New Roman" w:cs="Times New Roman"/>
          <w:sz w:val="28"/>
          <w:szCs w:val="28"/>
        </w:rPr>
        <w:t xml:space="preserve"> ir:</w:t>
      </w:r>
    </w:p>
    <w:p w:rsidR="00994D6B" w:rsidRDefault="00994D6B" w:rsidP="00994D6B">
      <w:pPr>
        <w:pStyle w:val="ListParagraph"/>
        <w:numPr>
          <w:ilvl w:val="0"/>
          <w:numId w:val="1"/>
        </w:numPr>
        <w:spacing w:after="0"/>
        <w:ind w:left="1276" w:hanging="283"/>
        <w:jc w:val="both"/>
        <w:rPr>
          <w:rFonts w:ascii="Times New Roman" w:hAnsi="Times New Roman" w:cs="Times New Roman"/>
          <w:sz w:val="28"/>
          <w:szCs w:val="28"/>
        </w:rPr>
      </w:pPr>
      <w:r w:rsidRPr="00DC78AC">
        <w:rPr>
          <w:rFonts w:ascii="Times New Roman" w:hAnsi="Times New Roman" w:cs="Times New Roman"/>
          <w:sz w:val="28"/>
          <w:szCs w:val="28"/>
        </w:rPr>
        <w:t>metodoloģiskie un tehniskie risinājumi datu vākšanā un iev</w:t>
      </w:r>
      <w:r>
        <w:rPr>
          <w:rFonts w:ascii="Times New Roman" w:hAnsi="Times New Roman" w:cs="Times New Roman"/>
          <w:sz w:val="28"/>
          <w:szCs w:val="28"/>
        </w:rPr>
        <w:t>ainojumu rādītāju aprēķināšanā;</w:t>
      </w:r>
    </w:p>
    <w:p w:rsidR="00994D6B" w:rsidRDefault="00994D6B" w:rsidP="00994D6B">
      <w:pPr>
        <w:pStyle w:val="ListParagraph"/>
        <w:numPr>
          <w:ilvl w:val="0"/>
          <w:numId w:val="1"/>
        </w:numPr>
        <w:spacing w:after="0"/>
        <w:ind w:left="1276" w:hanging="283"/>
        <w:jc w:val="both"/>
        <w:rPr>
          <w:rFonts w:ascii="Times New Roman" w:hAnsi="Times New Roman" w:cs="Times New Roman"/>
          <w:sz w:val="28"/>
          <w:szCs w:val="28"/>
        </w:rPr>
      </w:pPr>
      <w:r w:rsidRPr="00DC78AC">
        <w:rPr>
          <w:rFonts w:ascii="Times New Roman" w:hAnsi="Times New Roman" w:cs="Times New Roman"/>
          <w:sz w:val="28"/>
          <w:szCs w:val="28"/>
        </w:rPr>
        <w:t>datu kvalitātes uzlabošana un ticamas ievainojumu u</w:t>
      </w:r>
      <w:r>
        <w:rPr>
          <w:rFonts w:ascii="Times New Roman" w:hAnsi="Times New Roman" w:cs="Times New Roman"/>
          <w:sz w:val="28"/>
          <w:szCs w:val="28"/>
        </w:rPr>
        <w:t>zraudzības sistēmas uzturēšana;</w:t>
      </w:r>
    </w:p>
    <w:p w:rsidR="00994D6B" w:rsidRDefault="00994D6B" w:rsidP="00994D6B">
      <w:pPr>
        <w:pStyle w:val="ListParagraph"/>
        <w:numPr>
          <w:ilvl w:val="0"/>
          <w:numId w:val="1"/>
        </w:numPr>
        <w:spacing w:after="0"/>
        <w:ind w:left="1276" w:hanging="283"/>
        <w:jc w:val="both"/>
        <w:rPr>
          <w:rFonts w:ascii="Times New Roman" w:hAnsi="Times New Roman" w:cs="Times New Roman"/>
          <w:sz w:val="28"/>
          <w:szCs w:val="28"/>
        </w:rPr>
      </w:pPr>
      <w:r w:rsidRPr="00DC78AC">
        <w:rPr>
          <w:rFonts w:ascii="Times New Roman" w:hAnsi="Times New Roman" w:cs="Times New Roman"/>
          <w:sz w:val="28"/>
          <w:szCs w:val="28"/>
        </w:rPr>
        <w:t>uz slimnīcas datiem balstītas ievainojumu datu vākšanas sistēmas vadīšana un sada</w:t>
      </w:r>
      <w:r>
        <w:rPr>
          <w:rFonts w:ascii="Times New Roman" w:hAnsi="Times New Roman" w:cs="Times New Roman"/>
          <w:sz w:val="28"/>
          <w:szCs w:val="28"/>
        </w:rPr>
        <w:t>rbība ar ārstniecības iestādēm;</w:t>
      </w:r>
    </w:p>
    <w:p w:rsidR="00994D6B" w:rsidRDefault="00994D6B" w:rsidP="00994D6B">
      <w:pPr>
        <w:pStyle w:val="ListParagraph"/>
        <w:numPr>
          <w:ilvl w:val="0"/>
          <w:numId w:val="1"/>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datu izmantošana ievainojumu analīzē;</w:t>
      </w:r>
    </w:p>
    <w:p w:rsidR="00994D6B" w:rsidRDefault="00994D6B" w:rsidP="00994D6B">
      <w:pPr>
        <w:pStyle w:val="ListParagraph"/>
        <w:numPr>
          <w:ilvl w:val="0"/>
          <w:numId w:val="1"/>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datu izmantošana pārskatu un ziņojumu veidošanā un svarīgāko uzdevumu noteikšanā ievainojumu mazināšanas politikas izstrādē.</w:t>
      </w:r>
    </w:p>
    <w:p w:rsidR="00994D6B" w:rsidRDefault="00994D6B" w:rsidP="00994D6B">
      <w:pPr>
        <w:spacing w:after="0"/>
        <w:ind w:firstLine="720"/>
        <w:jc w:val="both"/>
        <w:rPr>
          <w:rFonts w:ascii="Times New Roman" w:hAnsi="Times New Roman" w:cs="Times New Roman"/>
          <w:sz w:val="28"/>
          <w:szCs w:val="28"/>
        </w:rPr>
      </w:pPr>
      <w:r>
        <w:rPr>
          <w:rFonts w:ascii="Times New Roman" w:hAnsi="Times New Roman" w:cs="Times New Roman"/>
          <w:sz w:val="28"/>
          <w:szCs w:val="28"/>
        </w:rPr>
        <w:t>G</w:t>
      </w:r>
      <w:r w:rsidRPr="00A3325E">
        <w:rPr>
          <w:rFonts w:ascii="Times New Roman" w:hAnsi="Times New Roman" w:cs="Times New Roman"/>
          <w:sz w:val="28"/>
          <w:szCs w:val="28"/>
        </w:rPr>
        <w:t>alvenie ieguvumi un priekšrocības partneriem</w:t>
      </w:r>
      <w:r>
        <w:rPr>
          <w:rFonts w:ascii="Times New Roman" w:hAnsi="Times New Roman" w:cs="Times New Roman"/>
          <w:sz w:val="28"/>
          <w:szCs w:val="28"/>
        </w:rPr>
        <w:t xml:space="preserve"> (arī Latvijai) no dalības Vienotājā rīcībā JAMIE ir</w:t>
      </w:r>
      <w:r w:rsidRPr="00A3325E">
        <w:rPr>
          <w:rFonts w:ascii="Times New Roman" w:hAnsi="Times New Roman" w:cs="Times New Roman"/>
          <w:sz w:val="28"/>
          <w:szCs w:val="28"/>
        </w:rPr>
        <w:t>:</w:t>
      </w:r>
    </w:p>
    <w:p w:rsidR="00401BA9" w:rsidRDefault="00994D6B" w:rsidP="00401BA9">
      <w:pPr>
        <w:pStyle w:val="ListParagraph"/>
        <w:numPr>
          <w:ilvl w:val="0"/>
          <w:numId w:val="3"/>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u</w:t>
      </w:r>
      <w:r w:rsidRPr="00132CBD">
        <w:rPr>
          <w:rFonts w:ascii="Times New Roman" w:hAnsi="Times New Roman" w:cs="Times New Roman"/>
          <w:sz w:val="28"/>
          <w:szCs w:val="28"/>
        </w:rPr>
        <w:t>zlabots datu apjoms un datu kvalitāte reģistrā, lai tā būtu pietiekami reprezentabla un salīdzināma starptautiskā līmenī</w:t>
      </w:r>
      <w:r>
        <w:rPr>
          <w:rFonts w:ascii="Times New Roman" w:hAnsi="Times New Roman" w:cs="Times New Roman"/>
          <w:sz w:val="28"/>
          <w:szCs w:val="28"/>
        </w:rPr>
        <w:t>;</w:t>
      </w:r>
      <w:r w:rsidR="00401BA9" w:rsidRPr="00401BA9">
        <w:rPr>
          <w:rFonts w:ascii="Times New Roman" w:hAnsi="Times New Roman" w:cs="Times New Roman"/>
          <w:sz w:val="28"/>
          <w:szCs w:val="28"/>
        </w:rPr>
        <w:t xml:space="preserve"> </w:t>
      </w:r>
      <w:r w:rsidR="00401BA9">
        <w:rPr>
          <w:rFonts w:ascii="Times New Roman" w:hAnsi="Times New Roman" w:cs="Times New Roman"/>
          <w:sz w:val="28"/>
          <w:szCs w:val="28"/>
        </w:rPr>
        <w:t>d</w:t>
      </w:r>
      <w:r w:rsidR="00401BA9" w:rsidRPr="00132CBD">
        <w:rPr>
          <w:rFonts w:ascii="Times New Roman" w:hAnsi="Times New Roman" w:cs="Times New Roman"/>
          <w:sz w:val="28"/>
          <w:szCs w:val="28"/>
        </w:rPr>
        <w:t>atu uzraudzība</w:t>
      </w:r>
      <w:r w:rsidR="00401BA9">
        <w:rPr>
          <w:rFonts w:ascii="Times New Roman" w:hAnsi="Times New Roman" w:cs="Times New Roman"/>
          <w:sz w:val="28"/>
          <w:szCs w:val="28"/>
        </w:rPr>
        <w:t xml:space="preserve">, </w:t>
      </w:r>
      <w:r w:rsidR="00401BA9">
        <w:rPr>
          <w:rFonts w:ascii="Times New Roman" w:hAnsi="Times New Roman" w:cs="Times New Roman"/>
          <w:sz w:val="28"/>
          <w:szCs w:val="28"/>
        </w:rPr>
        <w:lastRenderedPageBreak/>
        <w:t>kas</w:t>
      </w:r>
      <w:r w:rsidR="00401BA9" w:rsidRPr="00132CBD">
        <w:rPr>
          <w:rFonts w:ascii="Times New Roman" w:hAnsi="Times New Roman" w:cs="Times New Roman"/>
          <w:sz w:val="28"/>
          <w:szCs w:val="28"/>
        </w:rPr>
        <w:t xml:space="preserve"> palīdz piesaistīt vairāk resursus uz pierādījumiem balstītai praksei traumatisma mazināšanā vietējā, reģionālā</w:t>
      </w:r>
      <w:r w:rsidR="00401BA9">
        <w:rPr>
          <w:rFonts w:ascii="Times New Roman" w:hAnsi="Times New Roman" w:cs="Times New Roman"/>
          <w:sz w:val="28"/>
          <w:szCs w:val="28"/>
        </w:rPr>
        <w:t>,</w:t>
      </w:r>
      <w:r w:rsidR="00401BA9" w:rsidRPr="00132CBD">
        <w:rPr>
          <w:rFonts w:ascii="Times New Roman" w:hAnsi="Times New Roman" w:cs="Times New Roman"/>
          <w:sz w:val="28"/>
          <w:szCs w:val="28"/>
        </w:rPr>
        <w:t xml:space="preserve"> nacionālā līmenī un veidot sadarbību</w:t>
      </w:r>
      <w:r w:rsidR="00401BA9">
        <w:rPr>
          <w:rFonts w:ascii="Times New Roman" w:hAnsi="Times New Roman" w:cs="Times New Roman"/>
          <w:sz w:val="28"/>
          <w:szCs w:val="28"/>
        </w:rPr>
        <w:t>, kā arī saņemt</w:t>
      </w:r>
      <w:r w:rsidR="00401BA9" w:rsidRPr="00132CBD">
        <w:rPr>
          <w:rFonts w:ascii="Times New Roman" w:hAnsi="Times New Roman" w:cs="Times New Roman"/>
          <w:sz w:val="28"/>
          <w:szCs w:val="28"/>
        </w:rPr>
        <w:t xml:space="preserve"> atbalstu no citām organizā</w:t>
      </w:r>
      <w:r w:rsidR="00401BA9">
        <w:rPr>
          <w:rFonts w:ascii="Times New Roman" w:hAnsi="Times New Roman" w:cs="Times New Roman"/>
          <w:sz w:val="28"/>
          <w:szCs w:val="28"/>
        </w:rPr>
        <w:t>cijām šajā jomā;</w:t>
      </w:r>
    </w:p>
    <w:p w:rsidR="00401BA9" w:rsidRDefault="00401BA9" w:rsidP="00401BA9">
      <w:pPr>
        <w:pStyle w:val="ListParagraph"/>
        <w:numPr>
          <w:ilvl w:val="0"/>
          <w:numId w:val="3"/>
        </w:numPr>
        <w:spacing w:after="0"/>
        <w:ind w:left="1276" w:hanging="283"/>
        <w:jc w:val="both"/>
        <w:rPr>
          <w:rFonts w:ascii="Times New Roman" w:hAnsi="Times New Roman" w:cs="Times New Roman"/>
          <w:sz w:val="28"/>
          <w:szCs w:val="28"/>
        </w:rPr>
      </w:pPr>
      <w:r w:rsidRPr="00A3325E">
        <w:rPr>
          <w:rFonts w:ascii="Times New Roman" w:hAnsi="Times New Roman" w:cs="Times New Roman"/>
          <w:sz w:val="28"/>
          <w:szCs w:val="28"/>
        </w:rPr>
        <w:t>izpratne par traumatisma izplatību noteiktos apgabalos, reģionos</w:t>
      </w:r>
      <w:r>
        <w:rPr>
          <w:rFonts w:ascii="Times New Roman" w:hAnsi="Times New Roman" w:cs="Times New Roman"/>
          <w:sz w:val="28"/>
          <w:szCs w:val="28"/>
        </w:rPr>
        <w:t>,</w:t>
      </w:r>
      <w:r w:rsidRPr="00A3325E">
        <w:rPr>
          <w:rFonts w:ascii="Times New Roman" w:hAnsi="Times New Roman" w:cs="Times New Roman"/>
          <w:sz w:val="28"/>
          <w:szCs w:val="28"/>
        </w:rPr>
        <w:t xml:space="preserve"> valstī. </w:t>
      </w:r>
      <w:r>
        <w:rPr>
          <w:rFonts w:ascii="Times New Roman" w:hAnsi="Times New Roman" w:cs="Times New Roman"/>
          <w:sz w:val="28"/>
          <w:szCs w:val="28"/>
        </w:rPr>
        <w:t>I</w:t>
      </w:r>
      <w:r w:rsidRPr="00A3325E">
        <w:rPr>
          <w:rFonts w:ascii="Times New Roman" w:hAnsi="Times New Roman" w:cs="Times New Roman"/>
          <w:sz w:val="28"/>
          <w:szCs w:val="28"/>
        </w:rPr>
        <w:t>nformācija ir noderīga veselības aprūpes politikas veidošanā un iedzīvotāju veselības uzlabošanā, izvirzot uz pierādījumiem balstītus pasākumus traumatisma mazināšanā</w:t>
      </w:r>
      <w:r>
        <w:rPr>
          <w:rFonts w:ascii="Times New Roman" w:hAnsi="Times New Roman" w:cs="Times New Roman"/>
          <w:sz w:val="28"/>
          <w:szCs w:val="28"/>
        </w:rPr>
        <w:t>;</w:t>
      </w:r>
    </w:p>
    <w:p w:rsidR="00401BA9" w:rsidRDefault="00401BA9" w:rsidP="00401BA9">
      <w:pPr>
        <w:pStyle w:val="ListParagraph"/>
        <w:numPr>
          <w:ilvl w:val="0"/>
          <w:numId w:val="3"/>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s</w:t>
      </w:r>
      <w:r w:rsidRPr="00A3325E">
        <w:rPr>
          <w:rFonts w:ascii="Times New Roman" w:hAnsi="Times New Roman" w:cs="Times New Roman"/>
          <w:sz w:val="28"/>
          <w:szCs w:val="28"/>
        </w:rPr>
        <w:t>tarptautisko standartu īstenošana</w:t>
      </w:r>
      <w:r>
        <w:rPr>
          <w:rFonts w:ascii="Times New Roman" w:hAnsi="Times New Roman" w:cs="Times New Roman"/>
          <w:sz w:val="28"/>
          <w:szCs w:val="28"/>
        </w:rPr>
        <w:t>, kas</w:t>
      </w:r>
      <w:r w:rsidRPr="00A3325E">
        <w:rPr>
          <w:rFonts w:ascii="Times New Roman" w:hAnsi="Times New Roman" w:cs="Times New Roman"/>
          <w:sz w:val="28"/>
          <w:szCs w:val="28"/>
        </w:rPr>
        <w:t xml:space="preserve"> dos ieguvumus starptautiskās statis</w:t>
      </w:r>
      <w:r>
        <w:rPr>
          <w:rFonts w:ascii="Times New Roman" w:hAnsi="Times New Roman" w:cs="Times New Roman"/>
          <w:sz w:val="28"/>
          <w:szCs w:val="28"/>
        </w:rPr>
        <w:t>tikas kvalitatīvākai veidošanai;</w:t>
      </w:r>
      <w:r w:rsidRPr="00A3325E">
        <w:rPr>
          <w:rFonts w:ascii="Times New Roman" w:hAnsi="Times New Roman" w:cs="Times New Roman"/>
          <w:sz w:val="28"/>
          <w:szCs w:val="28"/>
        </w:rPr>
        <w:t xml:space="preserve"> </w:t>
      </w:r>
      <w:r>
        <w:rPr>
          <w:rFonts w:ascii="Times New Roman" w:hAnsi="Times New Roman" w:cs="Times New Roman"/>
          <w:sz w:val="28"/>
          <w:szCs w:val="28"/>
        </w:rPr>
        <w:t>uzlabos</w:t>
      </w:r>
      <w:r w:rsidRPr="00A3325E">
        <w:rPr>
          <w:rFonts w:ascii="Times New Roman" w:hAnsi="Times New Roman" w:cs="Times New Roman"/>
          <w:sz w:val="28"/>
          <w:szCs w:val="28"/>
        </w:rPr>
        <w:t xml:space="preserve"> ne tikai datu salīdzināšanu starp valstīm, bet arī nodrošinās daudz precīzāku pasaules priekšstatu par traumatisma problēmu Eiropā kopumā. Savukārt, valstu salīdzinājumi palīdzēs, izmantojot sta</w:t>
      </w:r>
      <w:r>
        <w:rPr>
          <w:rFonts w:ascii="Times New Roman" w:hAnsi="Times New Roman" w:cs="Times New Roman"/>
          <w:sz w:val="28"/>
          <w:szCs w:val="28"/>
        </w:rPr>
        <w:t>rptautiskās aģentūras, piemēram</w:t>
      </w:r>
      <w:r w:rsidRPr="00A3325E">
        <w:rPr>
          <w:rFonts w:ascii="Times New Roman" w:hAnsi="Times New Roman" w:cs="Times New Roman"/>
          <w:sz w:val="28"/>
          <w:szCs w:val="28"/>
        </w:rPr>
        <w:t xml:space="preserve"> P</w:t>
      </w:r>
      <w:r>
        <w:rPr>
          <w:rFonts w:ascii="Times New Roman" w:hAnsi="Times New Roman" w:cs="Times New Roman"/>
          <w:sz w:val="28"/>
          <w:szCs w:val="28"/>
        </w:rPr>
        <w:t xml:space="preserve">asaules </w:t>
      </w:r>
      <w:r w:rsidRPr="00A3325E">
        <w:rPr>
          <w:rFonts w:ascii="Times New Roman" w:hAnsi="Times New Roman" w:cs="Times New Roman"/>
          <w:sz w:val="28"/>
          <w:szCs w:val="28"/>
        </w:rPr>
        <w:t>V</w:t>
      </w:r>
      <w:r>
        <w:rPr>
          <w:rFonts w:ascii="Times New Roman" w:hAnsi="Times New Roman" w:cs="Times New Roman"/>
          <w:sz w:val="28"/>
          <w:szCs w:val="28"/>
        </w:rPr>
        <w:t xml:space="preserve">eselības </w:t>
      </w:r>
      <w:r w:rsidRPr="00A3325E">
        <w:rPr>
          <w:rFonts w:ascii="Times New Roman" w:hAnsi="Times New Roman" w:cs="Times New Roman"/>
          <w:sz w:val="28"/>
          <w:szCs w:val="28"/>
        </w:rPr>
        <w:t>O</w:t>
      </w:r>
      <w:r>
        <w:rPr>
          <w:rFonts w:ascii="Times New Roman" w:hAnsi="Times New Roman" w:cs="Times New Roman"/>
          <w:sz w:val="28"/>
          <w:szCs w:val="28"/>
        </w:rPr>
        <w:t>rganizāciju</w:t>
      </w:r>
      <w:r w:rsidRPr="00A3325E">
        <w:rPr>
          <w:rFonts w:ascii="Times New Roman" w:hAnsi="Times New Roman" w:cs="Times New Roman"/>
          <w:sz w:val="28"/>
          <w:szCs w:val="28"/>
        </w:rPr>
        <w:t>, sadarboties un veikt koordinētus pasākumus traumu novēršanā</w:t>
      </w:r>
      <w:r>
        <w:rPr>
          <w:rFonts w:ascii="Times New Roman" w:hAnsi="Times New Roman" w:cs="Times New Roman"/>
          <w:sz w:val="28"/>
          <w:szCs w:val="28"/>
        </w:rPr>
        <w:t>;</w:t>
      </w:r>
    </w:p>
    <w:p w:rsidR="00401BA9" w:rsidRDefault="00401BA9" w:rsidP="00401BA9">
      <w:pPr>
        <w:pStyle w:val="ListParagraph"/>
        <w:numPr>
          <w:ilvl w:val="0"/>
          <w:numId w:val="3"/>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u</w:t>
      </w:r>
      <w:r w:rsidRPr="00A3325E">
        <w:rPr>
          <w:rFonts w:ascii="Times New Roman" w:hAnsi="Times New Roman" w:cs="Times New Roman"/>
          <w:sz w:val="28"/>
          <w:szCs w:val="28"/>
        </w:rPr>
        <w:t>zlabot</w:t>
      </w:r>
      <w:r>
        <w:rPr>
          <w:rFonts w:ascii="Times New Roman" w:hAnsi="Times New Roman" w:cs="Times New Roman"/>
          <w:sz w:val="28"/>
          <w:szCs w:val="28"/>
        </w:rPr>
        <w:t>a</w:t>
      </w:r>
      <w:r w:rsidRPr="00A3325E">
        <w:rPr>
          <w:rFonts w:ascii="Times New Roman" w:hAnsi="Times New Roman" w:cs="Times New Roman"/>
          <w:sz w:val="28"/>
          <w:szCs w:val="28"/>
        </w:rPr>
        <w:t xml:space="preserve"> datu analīzes kapacitāt</w:t>
      </w:r>
      <w:r>
        <w:rPr>
          <w:rFonts w:ascii="Times New Roman" w:hAnsi="Times New Roman" w:cs="Times New Roman"/>
          <w:sz w:val="28"/>
          <w:szCs w:val="28"/>
        </w:rPr>
        <w:t>e</w:t>
      </w:r>
      <w:r w:rsidRPr="00A3325E">
        <w:rPr>
          <w:rFonts w:ascii="Times New Roman" w:hAnsi="Times New Roman" w:cs="Times New Roman"/>
          <w:sz w:val="28"/>
          <w:szCs w:val="28"/>
        </w:rPr>
        <w:t xml:space="preserve"> un iegūt</w:t>
      </w:r>
      <w:r>
        <w:rPr>
          <w:rFonts w:ascii="Times New Roman" w:hAnsi="Times New Roman" w:cs="Times New Roman"/>
          <w:sz w:val="28"/>
          <w:szCs w:val="28"/>
        </w:rPr>
        <w:t>a</w:t>
      </w:r>
      <w:r w:rsidRPr="00A3325E">
        <w:rPr>
          <w:rFonts w:ascii="Times New Roman" w:hAnsi="Times New Roman" w:cs="Times New Roman"/>
          <w:sz w:val="28"/>
          <w:szCs w:val="28"/>
        </w:rPr>
        <w:t xml:space="preserve"> informācij</w:t>
      </w:r>
      <w:r>
        <w:rPr>
          <w:rFonts w:ascii="Times New Roman" w:hAnsi="Times New Roman" w:cs="Times New Roman"/>
          <w:sz w:val="28"/>
          <w:szCs w:val="28"/>
        </w:rPr>
        <w:t>a</w:t>
      </w:r>
      <w:r w:rsidRPr="00A3325E">
        <w:rPr>
          <w:rFonts w:ascii="Times New Roman" w:hAnsi="Times New Roman" w:cs="Times New Roman"/>
          <w:sz w:val="28"/>
          <w:szCs w:val="28"/>
        </w:rPr>
        <w:t xml:space="preserve"> par traumu un ievainojumu izmaksu ekonomisko analīzi, ar kuru palīdzību izvērtē</w:t>
      </w:r>
      <w:r>
        <w:rPr>
          <w:rFonts w:ascii="Times New Roman" w:hAnsi="Times New Roman" w:cs="Times New Roman"/>
          <w:sz w:val="28"/>
          <w:szCs w:val="28"/>
        </w:rPr>
        <w:t>t</w:t>
      </w:r>
      <w:r w:rsidRPr="00A3325E">
        <w:rPr>
          <w:rFonts w:ascii="Times New Roman" w:hAnsi="Times New Roman" w:cs="Times New Roman"/>
          <w:sz w:val="28"/>
          <w:szCs w:val="28"/>
        </w:rPr>
        <w:t xml:space="preserve"> datu uzturēšanas un dažādu profilakses pasākumu lietderīgumu no izmaksu viedokļa</w:t>
      </w:r>
      <w:r>
        <w:rPr>
          <w:rFonts w:ascii="Times New Roman" w:hAnsi="Times New Roman" w:cs="Times New Roman"/>
          <w:sz w:val="28"/>
          <w:szCs w:val="28"/>
        </w:rPr>
        <w:t>;</w:t>
      </w:r>
    </w:p>
    <w:p w:rsidR="00401BA9" w:rsidRDefault="00401BA9" w:rsidP="00401BA9">
      <w:pPr>
        <w:pStyle w:val="ListParagraph"/>
        <w:numPr>
          <w:ilvl w:val="0"/>
          <w:numId w:val="3"/>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pastipr</w:t>
      </w:r>
      <w:r w:rsidRPr="00A3325E">
        <w:rPr>
          <w:rFonts w:ascii="Times New Roman" w:hAnsi="Times New Roman" w:cs="Times New Roman"/>
          <w:sz w:val="28"/>
          <w:szCs w:val="28"/>
        </w:rPr>
        <w:t>inā</w:t>
      </w:r>
      <w:r>
        <w:rPr>
          <w:rFonts w:ascii="Times New Roman" w:hAnsi="Times New Roman" w:cs="Times New Roman"/>
          <w:sz w:val="28"/>
          <w:szCs w:val="28"/>
        </w:rPr>
        <w:t>ta</w:t>
      </w:r>
      <w:r w:rsidRPr="00A3325E">
        <w:rPr>
          <w:rFonts w:ascii="Times New Roman" w:hAnsi="Times New Roman" w:cs="Times New Roman"/>
          <w:sz w:val="28"/>
          <w:szCs w:val="28"/>
        </w:rPr>
        <w:t xml:space="preserve"> datu analīz</w:t>
      </w:r>
      <w:r>
        <w:rPr>
          <w:rFonts w:ascii="Times New Roman" w:hAnsi="Times New Roman" w:cs="Times New Roman"/>
          <w:sz w:val="28"/>
          <w:szCs w:val="28"/>
        </w:rPr>
        <w:t>e</w:t>
      </w:r>
      <w:r w:rsidRPr="00A3325E">
        <w:rPr>
          <w:rFonts w:ascii="Times New Roman" w:hAnsi="Times New Roman" w:cs="Times New Roman"/>
          <w:sz w:val="28"/>
          <w:szCs w:val="28"/>
        </w:rPr>
        <w:t xml:space="preserve"> un </w:t>
      </w:r>
      <w:r>
        <w:rPr>
          <w:rFonts w:ascii="Times New Roman" w:hAnsi="Times New Roman" w:cs="Times New Roman"/>
          <w:sz w:val="28"/>
          <w:szCs w:val="28"/>
        </w:rPr>
        <w:t xml:space="preserve">tās </w:t>
      </w:r>
      <w:r w:rsidRPr="00A3325E">
        <w:rPr>
          <w:rFonts w:ascii="Times New Roman" w:hAnsi="Times New Roman" w:cs="Times New Roman"/>
          <w:sz w:val="28"/>
          <w:szCs w:val="28"/>
        </w:rPr>
        <w:t>izmantošan</w:t>
      </w:r>
      <w:r>
        <w:rPr>
          <w:rFonts w:ascii="Times New Roman" w:hAnsi="Times New Roman" w:cs="Times New Roman"/>
          <w:sz w:val="28"/>
          <w:szCs w:val="28"/>
        </w:rPr>
        <w:t>a starp</w:t>
      </w:r>
      <w:r w:rsidRPr="00A3325E">
        <w:rPr>
          <w:rFonts w:ascii="Times New Roman" w:hAnsi="Times New Roman" w:cs="Times New Roman"/>
          <w:sz w:val="28"/>
          <w:szCs w:val="28"/>
        </w:rPr>
        <w:t xml:space="preserve"> </w:t>
      </w:r>
      <w:r>
        <w:rPr>
          <w:rFonts w:ascii="Times New Roman" w:hAnsi="Times New Roman" w:cs="Times New Roman"/>
          <w:sz w:val="28"/>
          <w:szCs w:val="28"/>
        </w:rPr>
        <w:t>veselības politikas veidotājiem</w:t>
      </w:r>
      <w:r w:rsidRPr="00A3325E">
        <w:rPr>
          <w:rFonts w:ascii="Times New Roman" w:hAnsi="Times New Roman" w:cs="Times New Roman"/>
          <w:sz w:val="28"/>
          <w:szCs w:val="28"/>
        </w:rPr>
        <w:t xml:space="preserve"> veselības aprūpes sektorā, pētniekiem, speciālistiem, nevalstiskām organizācijām u.c.</w:t>
      </w:r>
      <w:r>
        <w:rPr>
          <w:rFonts w:ascii="Times New Roman" w:hAnsi="Times New Roman" w:cs="Times New Roman"/>
          <w:sz w:val="28"/>
          <w:szCs w:val="28"/>
        </w:rPr>
        <w:t>;</w:t>
      </w:r>
    </w:p>
    <w:p w:rsidR="00401BA9" w:rsidRPr="00132CBD" w:rsidRDefault="00401BA9" w:rsidP="00401BA9">
      <w:pPr>
        <w:pStyle w:val="ListParagraph"/>
        <w:numPr>
          <w:ilvl w:val="0"/>
          <w:numId w:val="3"/>
        </w:numPr>
        <w:spacing w:after="0"/>
        <w:ind w:left="1276" w:hanging="283"/>
        <w:jc w:val="both"/>
        <w:rPr>
          <w:rFonts w:ascii="Times New Roman" w:hAnsi="Times New Roman" w:cs="Times New Roman"/>
          <w:sz w:val="28"/>
          <w:szCs w:val="28"/>
        </w:rPr>
      </w:pPr>
      <w:r w:rsidRPr="00A3325E">
        <w:rPr>
          <w:rFonts w:ascii="Times New Roman" w:hAnsi="Times New Roman" w:cs="Times New Roman"/>
          <w:sz w:val="28"/>
          <w:szCs w:val="28"/>
        </w:rPr>
        <w:t>partnerīb</w:t>
      </w:r>
      <w:r>
        <w:rPr>
          <w:rFonts w:ascii="Times New Roman" w:hAnsi="Times New Roman" w:cs="Times New Roman"/>
          <w:sz w:val="28"/>
          <w:szCs w:val="28"/>
        </w:rPr>
        <w:t>a</w:t>
      </w:r>
      <w:r w:rsidRPr="00A3325E">
        <w:rPr>
          <w:rFonts w:ascii="Times New Roman" w:hAnsi="Times New Roman" w:cs="Times New Roman"/>
          <w:sz w:val="28"/>
          <w:szCs w:val="28"/>
        </w:rPr>
        <w:t xml:space="preserve"> un sadarbīb</w:t>
      </w:r>
      <w:r>
        <w:rPr>
          <w:rFonts w:ascii="Times New Roman" w:hAnsi="Times New Roman" w:cs="Times New Roman"/>
          <w:sz w:val="28"/>
          <w:szCs w:val="28"/>
        </w:rPr>
        <w:t>a</w:t>
      </w:r>
      <w:r w:rsidRPr="00A3325E">
        <w:rPr>
          <w:rFonts w:ascii="Times New Roman" w:hAnsi="Times New Roman" w:cs="Times New Roman"/>
          <w:sz w:val="28"/>
          <w:szCs w:val="28"/>
        </w:rPr>
        <w:t xml:space="preserve"> ar </w:t>
      </w:r>
      <w:r>
        <w:rPr>
          <w:rFonts w:ascii="Times New Roman" w:hAnsi="Times New Roman" w:cs="Times New Roman"/>
          <w:sz w:val="28"/>
          <w:szCs w:val="28"/>
        </w:rPr>
        <w:t>ES</w:t>
      </w:r>
      <w:r w:rsidRPr="00A3325E">
        <w:rPr>
          <w:rFonts w:ascii="Times New Roman" w:hAnsi="Times New Roman" w:cs="Times New Roman"/>
          <w:sz w:val="28"/>
          <w:szCs w:val="28"/>
        </w:rPr>
        <w:t xml:space="preserve"> un citām starptautiskām organizācijām</w:t>
      </w:r>
      <w:r>
        <w:rPr>
          <w:rFonts w:ascii="Times New Roman" w:hAnsi="Times New Roman" w:cs="Times New Roman"/>
          <w:sz w:val="28"/>
          <w:szCs w:val="28"/>
        </w:rPr>
        <w:t xml:space="preserve"> traumu uzraudzībai un traumu risku identificēšanai.</w:t>
      </w:r>
    </w:p>
    <w:p w:rsidR="00401BA9" w:rsidRPr="00A3325E" w:rsidRDefault="00401BA9" w:rsidP="00B473A8">
      <w:pPr>
        <w:spacing w:after="0"/>
        <w:ind w:firstLine="709"/>
        <w:jc w:val="both"/>
        <w:rPr>
          <w:rFonts w:ascii="Times New Roman" w:hAnsi="Times New Roman" w:cs="Times New Roman"/>
          <w:sz w:val="28"/>
          <w:szCs w:val="28"/>
        </w:rPr>
      </w:pPr>
      <w:r>
        <w:rPr>
          <w:rFonts w:ascii="Times New Roman" w:hAnsi="Times New Roman" w:cs="Times New Roman"/>
          <w:sz w:val="28"/>
          <w:szCs w:val="28"/>
        </w:rPr>
        <w:t>Vienotās rīcības JAMIE</w:t>
      </w:r>
      <w:r w:rsidRPr="00A3325E">
        <w:rPr>
          <w:rFonts w:ascii="Times New Roman" w:hAnsi="Times New Roman" w:cs="Times New Roman"/>
          <w:sz w:val="28"/>
          <w:szCs w:val="28"/>
        </w:rPr>
        <w:t xml:space="preserve"> ietvaros </w:t>
      </w:r>
      <w:r>
        <w:rPr>
          <w:rFonts w:ascii="Times New Roman" w:hAnsi="Times New Roman" w:cs="Times New Roman"/>
          <w:sz w:val="28"/>
          <w:szCs w:val="28"/>
        </w:rPr>
        <w:t>Latvija</w:t>
      </w:r>
      <w:r w:rsidRPr="00A3325E">
        <w:rPr>
          <w:rFonts w:ascii="Times New Roman" w:hAnsi="Times New Roman" w:cs="Times New Roman"/>
          <w:sz w:val="28"/>
          <w:szCs w:val="28"/>
        </w:rPr>
        <w:t xml:space="preserve"> jau ir veikusi vairākas iestrādnes un 2012.gada pavasarī ir sagatavots un </w:t>
      </w:r>
      <w:r w:rsidRPr="00717C7E">
        <w:rPr>
          <w:rFonts w:ascii="Times New Roman" w:hAnsi="Times New Roman" w:cs="Times New Roman"/>
          <w:sz w:val="28"/>
          <w:szCs w:val="28"/>
        </w:rPr>
        <w:t>nosūtīts</w:t>
      </w:r>
      <w:r w:rsidR="00405E06" w:rsidRPr="00717C7E">
        <w:rPr>
          <w:rFonts w:ascii="Times New Roman" w:hAnsi="Times New Roman" w:cs="Times New Roman"/>
          <w:sz w:val="28"/>
          <w:szCs w:val="28"/>
        </w:rPr>
        <w:t xml:space="preserve"> vadošajam partnerim</w:t>
      </w:r>
      <w:r w:rsidRPr="00717C7E">
        <w:rPr>
          <w:rFonts w:ascii="Times New Roman" w:hAnsi="Times New Roman" w:cs="Times New Roman"/>
          <w:sz w:val="28"/>
          <w:szCs w:val="28"/>
        </w:rPr>
        <w:t xml:space="preserve"> Vienotās</w:t>
      </w:r>
      <w:r>
        <w:rPr>
          <w:rFonts w:ascii="Times New Roman" w:hAnsi="Times New Roman" w:cs="Times New Roman"/>
          <w:sz w:val="28"/>
          <w:szCs w:val="28"/>
        </w:rPr>
        <w:t xml:space="preserve"> rīcības JAMIE ieviešanas plāns. </w:t>
      </w:r>
      <w:r w:rsidRPr="00A3325E">
        <w:rPr>
          <w:rFonts w:ascii="Times New Roman" w:hAnsi="Times New Roman" w:cs="Times New Roman"/>
          <w:sz w:val="28"/>
          <w:szCs w:val="28"/>
        </w:rPr>
        <w:t xml:space="preserve">Tuvākās </w:t>
      </w:r>
      <w:r>
        <w:rPr>
          <w:rFonts w:ascii="Times New Roman" w:hAnsi="Times New Roman" w:cs="Times New Roman"/>
          <w:sz w:val="28"/>
          <w:szCs w:val="28"/>
        </w:rPr>
        <w:t xml:space="preserve">SPKC </w:t>
      </w:r>
      <w:r w:rsidRPr="00A3325E">
        <w:rPr>
          <w:rFonts w:ascii="Times New Roman" w:hAnsi="Times New Roman" w:cs="Times New Roman"/>
          <w:sz w:val="28"/>
          <w:szCs w:val="28"/>
        </w:rPr>
        <w:t>plānotās ak</w:t>
      </w:r>
      <w:r>
        <w:rPr>
          <w:rFonts w:ascii="Times New Roman" w:hAnsi="Times New Roman" w:cs="Times New Roman"/>
          <w:sz w:val="28"/>
          <w:szCs w:val="28"/>
        </w:rPr>
        <w:t xml:space="preserve">tivitātes </w:t>
      </w:r>
      <w:r w:rsidR="009E3469">
        <w:rPr>
          <w:rFonts w:ascii="Times New Roman" w:hAnsi="Times New Roman" w:cs="Times New Roman"/>
          <w:sz w:val="28"/>
          <w:szCs w:val="28"/>
        </w:rPr>
        <w:t>V</w:t>
      </w:r>
      <w:r>
        <w:rPr>
          <w:rFonts w:ascii="Times New Roman" w:hAnsi="Times New Roman" w:cs="Times New Roman"/>
          <w:sz w:val="28"/>
          <w:szCs w:val="28"/>
        </w:rPr>
        <w:t>ienotās rīcības</w:t>
      </w:r>
      <w:r w:rsidR="00A83578">
        <w:rPr>
          <w:rFonts w:ascii="Times New Roman" w:hAnsi="Times New Roman" w:cs="Times New Roman"/>
          <w:sz w:val="28"/>
          <w:szCs w:val="28"/>
        </w:rPr>
        <w:t xml:space="preserve"> JAMIE</w:t>
      </w:r>
      <w:r>
        <w:rPr>
          <w:rFonts w:ascii="Times New Roman" w:hAnsi="Times New Roman" w:cs="Times New Roman"/>
          <w:sz w:val="28"/>
          <w:szCs w:val="28"/>
        </w:rPr>
        <w:t xml:space="preserve"> ietvaros ir:</w:t>
      </w:r>
    </w:p>
    <w:p w:rsidR="00401BA9" w:rsidRPr="00C72C3F" w:rsidRDefault="00401BA9" w:rsidP="00DE088F">
      <w:pPr>
        <w:pStyle w:val="ListParagraph"/>
        <w:numPr>
          <w:ilvl w:val="0"/>
          <w:numId w:val="2"/>
        </w:numPr>
        <w:spacing w:after="0"/>
        <w:ind w:left="1276" w:hanging="283"/>
        <w:jc w:val="both"/>
        <w:rPr>
          <w:rFonts w:ascii="Times New Roman" w:hAnsi="Times New Roman" w:cs="Times New Roman"/>
          <w:sz w:val="28"/>
          <w:szCs w:val="28"/>
        </w:rPr>
      </w:pPr>
      <w:r w:rsidRPr="00C72C3F">
        <w:rPr>
          <w:rFonts w:ascii="Times New Roman" w:hAnsi="Times New Roman" w:cs="Times New Roman"/>
          <w:sz w:val="28"/>
          <w:szCs w:val="28"/>
        </w:rPr>
        <w:t xml:space="preserve">atbilstoši </w:t>
      </w:r>
      <w:r w:rsidR="009E3469">
        <w:rPr>
          <w:rFonts w:ascii="Times New Roman" w:hAnsi="Times New Roman" w:cs="Times New Roman"/>
          <w:sz w:val="28"/>
          <w:szCs w:val="28"/>
        </w:rPr>
        <w:t>V</w:t>
      </w:r>
      <w:r>
        <w:rPr>
          <w:rFonts w:ascii="Times New Roman" w:hAnsi="Times New Roman" w:cs="Times New Roman"/>
          <w:sz w:val="28"/>
          <w:szCs w:val="28"/>
        </w:rPr>
        <w:t>ienotās rīcības</w:t>
      </w:r>
      <w:r w:rsidR="00A83578">
        <w:rPr>
          <w:rFonts w:ascii="Times New Roman" w:hAnsi="Times New Roman" w:cs="Times New Roman"/>
          <w:sz w:val="28"/>
          <w:szCs w:val="28"/>
        </w:rPr>
        <w:t xml:space="preserve"> JAMIE</w:t>
      </w:r>
      <w:r w:rsidRPr="00C72C3F">
        <w:rPr>
          <w:rFonts w:ascii="Times New Roman" w:hAnsi="Times New Roman" w:cs="Times New Roman"/>
          <w:sz w:val="28"/>
          <w:szCs w:val="28"/>
        </w:rPr>
        <w:t xml:space="preserve"> prasībām sagatavot un pēc pieprasījuma nosūtīt uz vienoto Eiropas Komisijas ievainojumu datu bāzi Latvijas datus par apkopotajām traumām un ievainojumiem par 2012.gadu;</w:t>
      </w:r>
    </w:p>
    <w:p w:rsidR="00401BA9" w:rsidRPr="00A3325E" w:rsidRDefault="00401BA9" w:rsidP="00DE088F">
      <w:pPr>
        <w:pStyle w:val="ListParagraph"/>
        <w:numPr>
          <w:ilvl w:val="0"/>
          <w:numId w:val="2"/>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u</w:t>
      </w:r>
      <w:r w:rsidRPr="00A3325E">
        <w:rPr>
          <w:rFonts w:ascii="Times New Roman" w:hAnsi="Times New Roman" w:cs="Times New Roman"/>
          <w:sz w:val="28"/>
          <w:szCs w:val="28"/>
        </w:rPr>
        <w:t>z</w:t>
      </w:r>
      <w:r>
        <w:rPr>
          <w:rFonts w:ascii="Times New Roman" w:hAnsi="Times New Roman" w:cs="Times New Roman"/>
          <w:sz w:val="28"/>
          <w:szCs w:val="28"/>
        </w:rPr>
        <w:t>labot datu vākšanu slimnīcās</w:t>
      </w:r>
      <w:r w:rsidRPr="00A3325E">
        <w:rPr>
          <w:rFonts w:ascii="Times New Roman" w:hAnsi="Times New Roman" w:cs="Times New Roman"/>
          <w:sz w:val="28"/>
          <w:szCs w:val="28"/>
        </w:rPr>
        <w:t xml:space="preserve"> tā, lai dati pilnībā sakristu ar Eurostat </w:t>
      </w:r>
      <w:r>
        <w:rPr>
          <w:rFonts w:ascii="Times New Roman" w:hAnsi="Times New Roman" w:cs="Times New Roman"/>
          <w:sz w:val="28"/>
          <w:szCs w:val="28"/>
        </w:rPr>
        <w:t>(</w:t>
      </w:r>
      <w:r w:rsidRPr="00A3325E">
        <w:rPr>
          <w:rFonts w:ascii="Times New Roman" w:hAnsi="Times New Roman" w:cs="Times New Roman"/>
          <w:sz w:val="28"/>
          <w:szCs w:val="28"/>
        </w:rPr>
        <w:t>Eiropas statistikas sistēmas</w:t>
      </w:r>
      <w:r>
        <w:rPr>
          <w:rFonts w:ascii="Times New Roman" w:hAnsi="Times New Roman" w:cs="Times New Roman"/>
          <w:sz w:val="28"/>
          <w:szCs w:val="28"/>
        </w:rPr>
        <w:t>)</w:t>
      </w:r>
      <w:r w:rsidRPr="00A3325E">
        <w:rPr>
          <w:rFonts w:ascii="Times New Roman" w:hAnsi="Times New Roman" w:cs="Times New Roman"/>
          <w:sz w:val="28"/>
          <w:szCs w:val="28"/>
        </w:rPr>
        <w:t xml:space="preserve"> standartiem;</w:t>
      </w:r>
      <w:r w:rsidRPr="00401BA9">
        <w:rPr>
          <w:rFonts w:ascii="Times New Roman" w:hAnsi="Times New Roman" w:cs="Times New Roman"/>
          <w:sz w:val="28"/>
          <w:szCs w:val="28"/>
        </w:rPr>
        <w:t xml:space="preserve"> </w:t>
      </w:r>
      <w:r>
        <w:rPr>
          <w:rFonts w:ascii="Times New Roman" w:hAnsi="Times New Roman" w:cs="Times New Roman"/>
          <w:sz w:val="28"/>
          <w:szCs w:val="28"/>
        </w:rPr>
        <w:t>u</w:t>
      </w:r>
      <w:r w:rsidRPr="00A3325E">
        <w:rPr>
          <w:rFonts w:ascii="Times New Roman" w:hAnsi="Times New Roman" w:cs="Times New Roman"/>
          <w:sz w:val="28"/>
          <w:szCs w:val="28"/>
        </w:rPr>
        <w:t>zlabot datu kvalitāti un datu izmantošanu traumu un ievainojumu analīzē;</w:t>
      </w:r>
    </w:p>
    <w:p w:rsidR="00401BA9" w:rsidRPr="00A3325E" w:rsidRDefault="00401BA9" w:rsidP="00DE088F">
      <w:pPr>
        <w:pStyle w:val="ListParagraph"/>
        <w:numPr>
          <w:ilvl w:val="0"/>
          <w:numId w:val="2"/>
        </w:numPr>
        <w:spacing w:after="0"/>
        <w:ind w:left="1276" w:hanging="283"/>
        <w:jc w:val="both"/>
        <w:rPr>
          <w:rFonts w:ascii="Times New Roman" w:hAnsi="Times New Roman" w:cs="Times New Roman"/>
          <w:sz w:val="28"/>
          <w:szCs w:val="28"/>
        </w:rPr>
      </w:pPr>
      <w:r>
        <w:rPr>
          <w:rFonts w:ascii="Times New Roman" w:hAnsi="Times New Roman" w:cs="Times New Roman"/>
          <w:sz w:val="28"/>
          <w:szCs w:val="28"/>
        </w:rPr>
        <w:t>v</w:t>
      </w:r>
      <w:r w:rsidRPr="00A3325E">
        <w:rPr>
          <w:rFonts w:ascii="Times New Roman" w:hAnsi="Times New Roman" w:cs="Times New Roman"/>
          <w:sz w:val="28"/>
          <w:szCs w:val="28"/>
        </w:rPr>
        <w:t>eicināt starpsektoru un citu ieinteresēto organizāciju iesaisti traumatisma mazināšanā.</w:t>
      </w:r>
    </w:p>
    <w:p w:rsidR="00401BA9" w:rsidRDefault="00401BA9" w:rsidP="00B473A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Vienotās rīcības JAMIE vadošais partneris</w:t>
      </w:r>
      <w:r w:rsidRPr="00997C11">
        <w:rPr>
          <w:rFonts w:ascii="Times New Roman" w:hAnsi="Times New Roman" w:cs="Times New Roman"/>
          <w:sz w:val="28"/>
          <w:szCs w:val="28"/>
        </w:rPr>
        <w:t xml:space="preserve"> </w:t>
      </w:r>
      <w:r>
        <w:rPr>
          <w:rFonts w:ascii="Times New Roman" w:hAnsi="Times New Roman" w:cs="Times New Roman"/>
          <w:sz w:val="28"/>
          <w:szCs w:val="28"/>
        </w:rPr>
        <w:t>plāno</w:t>
      </w:r>
      <w:r w:rsidRPr="00997C11">
        <w:rPr>
          <w:rFonts w:ascii="Times New Roman" w:hAnsi="Times New Roman" w:cs="Times New Roman"/>
          <w:sz w:val="28"/>
          <w:szCs w:val="28"/>
        </w:rPr>
        <w:t xml:space="preserve">, ka ar 2015.gadu </w:t>
      </w:r>
      <w:r>
        <w:rPr>
          <w:rFonts w:ascii="Times New Roman" w:hAnsi="Times New Roman" w:cs="Times New Roman"/>
          <w:sz w:val="28"/>
          <w:szCs w:val="28"/>
        </w:rPr>
        <w:t>ievainojumu datu bāze</w:t>
      </w:r>
      <w:r w:rsidRPr="00997C11">
        <w:rPr>
          <w:rFonts w:ascii="Times New Roman" w:hAnsi="Times New Roman" w:cs="Times New Roman"/>
          <w:sz w:val="28"/>
          <w:szCs w:val="28"/>
        </w:rPr>
        <w:t xml:space="preserve"> varētu kļūt par </w:t>
      </w:r>
      <w:r>
        <w:rPr>
          <w:rFonts w:ascii="Times New Roman" w:hAnsi="Times New Roman" w:cs="Times New Roman"/>
          <w:sz w:val="28"/>
          <w:szCs w:val="28"/>
        </w:rPr>
        <w:t xml:space="preserve">ES reģiona </w:t>
      </w:r>
      <w:r w:rsidRPr="00997C11">
        <w:rPr>
          <w:rFonts w:ascii="Times New Roman" w:hAnsi="Times New Roman" w:cs="Times New Roman"/>
          <w:sz w:val="28"/>
          <w:szCs w:val="28"/>
        </w:rPr>
        <w:t xml:space="preserve">obligātu </w:t>
      </w:r>
      <w:r>
        <w:rPr>
          <w:rFonts w:ascii="Times New Roman" w:hAnsi="Times New Roman" w:cs="Times New Roman"/>
          <w:sz w:val="28"/>
          <w:szCs w:val="28"/>
        </w:rPr>
        <w:t>sabiedrības veselības statistikas sastāvdaļu, saskaņā ar ES</w:t>
      </w:r>
      <w:r w:rsidRPr="00997C11">
        <w:rPr>
          <w:rFonts w:ascii="Times New Roman" w:hAnsi="Times New Roman" w:cs="Times New Roman"/>
          <w:sz w:val="28"/>
          <w:szCs w:val="28"/>
        </w:rPr>
        <w:t xml:space="preserve"> Regul</w:t>
      </w:r>
      <w:r>
        <w:rPr>
          <w:rFonts w:ascii="Times New Roman" w:hAnsi="Times New Roman" w:cs="Times New Roman"/>
          <w:sz w:val="28"/>
          <w:szCs w:val="28"/>
        </w:rPr>
        <w:t xml:space="preserve">u (EK) Nr.1338/2008, (2008.gada 16.decembris) „Par Kopienas statistiku par sabiedrības veselību, veselību un drošību darbā”, tādēļ </w:t>
      </w:r>
      <w:r w:rsidRPr="00997C11">
        <w:rPr>
          <w:rFonts w:ascii="Times New Roman" w:hAnsi="Times New Roman" w:cs="Times New Roman"/>
          <w:sz w:val="28"/>
          <w:szCs w:val="28"/>
        </w:rPr>
        <w:t xml:space="preserve">būtu nepieciešams turpināt uzlabot esošo sistēmu, lai līdz 2015.gadam tā būtu </w:t>
      </w:r>
      <w:r>
        <w:rPr>
          <w:rFonts w:ascii="Times New Roman" w:hAnsi="Times New Roman" w:cs="Times New Roman"/>
          <w:sz w:val="28"/>
          <w:szCs w:val="28"/>
        </w:rPr>
        <w:t>ES prasībām atbilstoša.</w:t>
      </w:r>
    </w:p>
    <w:p w:rsidR="00401BA9" w:rsidRPr="00A3325E" w:rsidRDefault="00401BA9" w:rsidP="00401BA9">
      <w:pPr>
        <w:spacing w:after="0"/>
        <w:ind w:firstLine="720"/>
        <w:jc w:val="both"/>
        <w:rPr>
          <w:rFonts w:ascii="Times New Roman" w:hAnsi="Times New Roman" w:cs="Times New Roman"/>
          <w:sz w:val="28"/>
          <w:szCs w:val="28"/>
        </w:rPr>
      </w:pPr>
      <w:r w:rsidRPr="00A3325E">
        <w:rPr>
          <w:rFonts w:ascii="Times New Roman" w:hAnsi="Times New Roman" w:cs="Times New Roman"/>
          <w:sz w:val="28"/>
          <w:szCs w:val="28"/>
        </w:rPr>
        <w:t>Līdzšinējā</w:t>
      </w:r>
      <w:r>
        <w:rPr>
          <w:rFonts w:ascii="Times New Roman" w:hAnsi="Times New Roman" w:cs="Times New Roman"/>
          <w:sz w:val="28"/>
          <w:szCs w:val="28"/>
        </w:rPr>
        <w:t xml:space="preserve"> Latvijas</w:t>
      </w:r>
      <w:r w:rsidRPr="00A3325E">
        <w:rPr>
          <w:rFonts w:ascii="Times New Roman" w:hAnsi="Times New Roman" w:cs="Times New Roman"/>
          <w:sz w:val="28"/>
          <w:szCs w:val="28"/>
        </w:rPr>
        <w:t xml:space="preserve"> iesaist</w:t>
      </w:r>
      <w:r>
        <w:rPr>
          <w:rFonts w:ascii="Times New Roman" w:hAnsi="Times New Roman" w:cs="Times New Roman"/>
          <w:sz w:val="28"/>
          <w:szCs w:val="28"/>
        </w:rPr>
        <w:t>īšanās</w:t>
      </w:r>
      <w:r w:rsidRPr="00A3325E">
        <w:rPr>
          <w:rFonts w:ascii="Times New Roman" w:hAnsi="Times New Roman" w:cs="Times New Roman"/>
          <w:sz w:val="28"/>
          <w:szCs w:val="28"/>
        </w:rPr>
        <w:t xml:space="preserve"> </w:t>
      </w:r>
      <w:r>
        <w:rPr>
          <w:rFonts w:ascii="Times New Roman" w:hAnsi="Times New Roman" w:cs="Times New Roman"/>
          <w:sz w:val="28"/>
          <w:szCs w:val="28"/>
        </w:rPr>
        <w:t>Vienotā rīcībā JAMIE</w:t>
      </w:r>
      <w:r w:rsidRPr="00A3325E">
        <w:rPr>
          <w:rFonts w:ascii="Times New Roman" w:hAnsi="Times New Roman" w:cs="Times New Roman"/>
          <w:sz w:val="28"/>
          <w:szCs w:val="28"/>
        </w:rPr>
        <w:t xml:space="preserve"> ir bijusi veiksmīga un pamatojoties uz visu iepriekšminēto nepieciešama aktīva līdzdalība arī 2013.</w:t>
      </w:r>
      <w:r>
        <w:rPr>
          <w:rFonts w:ascii="Times New Roman" w:hAnsi="Times New Roman" w:cs="Times New Roman"/>
          <w:sz w:val="28"/>
          <w:szCs w:val="28"/>
        </w:rPr>
        <w:t xml:space="preserve"> un 2014.gadā</w:t>
      </w:r>
      <w:r w:rsidRPr="00A3325E">
        <w:rPr>
          <w:rFonts w:ascii="Times New Roman" w:hAnsi="Times New Roman" w:cs="Times New Roman"/>
          <w:sz w:val="28"/>
          <w:szCs w:val="28"/>
        </w:rPr>
        <w:t>.</w:t>
      </w:r>
    </w:p>
    <w:p w:rsidR="00401BA9" w:rsidRDefault="00401BA9" w:rsidP="00401BA9">
      <w:pPr>
        <w:spacing w:after="0"/>
        <w:ind w:firstLine="720"/>
        <w:jc w:val="both"/>
        <w:rPr>
          <w:rFonts w:ascii="Times New Roman" w:hAnsi="Times New Roman" w:cs="Times New Roman"/>
          <w:sz w:val="28"/>
          <w:szCs w:val="28"/>
        </w:rPr>
      </w:pPr>
      <w:r>
        <w:rPr>
          <w:rFonts w:ascii="Times New Roman" w:hAnsi="Times New Roman" w:cs="Times New Roman"/>
          <w:sz w:val="28"/>
          <w:szCs w:val="28"/>
        </w:rPr>
        <w:t>Vienotās rīcības JAMIE</w:t>
      </w:r>
      <w:r w:rsidRPr="00B87C6B">
        <w:rPr>
          <w:rFonts w:ascii="Times New Roman" w:hAnsi="Times New Roman" w:cs="Times New Roman"/>
          <w:sz w:val="28"/>
          <w:szCs w:val="28"/>
        </w:rPr>
        <w:t xml:space="preserve"> granta vienošanās paredz, ka kopējais finansējums laika posmā no 2011.gada līdz 2014.gadam ir </w:t>
      </w:r>
      <w:r>
        <w:rPr>
          <w:rFonts w:ascii="Times New Roman" w:hAnsi="Times New Roman" w:cs="Times New Roman"/>
          <w:sz w:val="28"/>
          <w:szCs w:val="28"/>
        </w:rPr>
        <w:t>10 100</w:t>
      </w:r>
      <w:r w:rsidRPr="00B87C6B">
        <w:rPr>
          <w:rFonts w:ascii="Times New Roman" w:hAnsi="Times New Roman" w:cs="Times New Roman"/>
          <w:sz w:val="28"/>
          <w:szCs w:val="28"/>
        </w:rPr>
        <w:t> LVL (</w:t>
      </w:r>
      <w:r>
        <w:rPr>
          <w:rFonts w:ascii="Times New Roman" w:hAnsi="Times New Roman" w:cs="Times New Roman"/>
          <w:sz w:val="28"/>
          <w:szCs w:val="28"/>
        </w:rPr>
        <w:t>14 372</w:t>
      </w:r>
      <w:r w:rsidRPr="00B87C6B">
        <w:rPr>
          <w:rFonts w:ascii="Times New Roman" w:hAnsi="Times New Roman" w:cs="Times New Roman"/>
          <w:sz w:val="28"/>
          <w:szCs w:val="28"/>
        </w:rPr>
        <w:t xml:space="preserve"> EUR), t.sk., </w:t>
      </w:r>
      <w:r>
        <w:rPr>
          <w:rFonts w:ascii="Times New Roman" w:hAnsi="Times New Roman" w:cs="Times New Roman"/>
          <w:sz w:val="28"/>
          <w:szCs w:val="28"/>
        </w:rPr>
        <w:t>5 050 </w:t>
      </w:r>
      <w:r w:rsidRPr="00B87C6B">
        <w:rPr>
          <w:rFonts w:ascii="Times New Roman" w:hAnsi="Times New Roman" w:cs="Times New Roman"/>
          <w:sz w:val="28"/>
          <w:szCs w:val="28"/>
        </w:rPr>
        <w:t xml:space="preserve">LVL Eiropas Komisijas finansējums un </w:t>
      </w:r>
      <w:r>
        <w:rPr>
          <w:rFonts w:ascii="Times New Roman" w:hAnsi="Times New Roman" w:cs="Times New Roman"/>
          <w:sz w:val="28"/>
          <w:szCs w:val="28"/>
        </w:rPr>
        <w:t>5 050</w:t>
      </w:r>
      <w:r w:rsidRPr="00B87C6B">
        <w:rPr>
          <w:rFonts w:ascii="Times New Roman" w:hAnsi="Times New Roman" w:cs="Times New Roman"/>
          <w:sz w:val="28"/>
          <w:szCs w:val="28"/>
        </w:rPr>
        <w:t xml:space="preserve"> LVL </w:t>
      </w:r>
      <w:r>
        <w:rPr>
          <w:rFonts w:ascii="Times New Roman" w:hAnsi="Times New Roman" w:cs="Times New Roman"/>
          <w:sz w:val="28"/>
          <w:szCs w:val="28"/>
        </w:rPr>
        <w:t>SPKC līdzfinansējums</w:t>
      </w:r>
      <w:r w:rsidRPr="00B87C6B">
        <w:rPr>
          <w:rFonts w:ascii="Times New Roman" w:hAnsi="Times New Roman" w:cs="Times New Roman"/>
          <w:sz w:val="28"/>
          <w:szCs w:val="28"/>
        </w:rPr>
        <w:t xml:space="preserve"> </w:t>
      </w:r>
      <w:r w:rsidRPr="00997C11">
        <w:rPr>
          <w:rFonts w:ascii="Times New Roman" w:hAnsi="Times New Roman" w:cs="Times New Roman"/>
          <w:sz w:val="28"/>
          <w:szCs w:val="28"/>
        </w:rPr>
        <w:t>(Nacionāl</w:t>
      </w:r>
      <w:r>
        <w:rPr>
          <w:rFonts w:ascii="Times New Roman" w:hAnsi="Times New Roman" w:cs="Times New Roman"/>
          <w:sz w:val="28"/>
          <w:szCs w:val="28"/>
        </w:rPr>
        <w:t>ā</w:t>
      </w:r>
      <w:r w:rsidRPr="00997C11">
        <w:rPr>
          <w:rFonts w:ascii="Times New Roman" w:hAnsi="Times New Roman" w:cs="Times New Roman"/>
          <w:sz w:val="28"/>
          <w:szCs w:val="28"/>
        </w:rPr>
        <w:t xml:space="preserve"> veselības dienest</w:t>
      </w:r>
      <w:r>
        <w:rPr>
          <w:rFonts w:ascii="Times New Roman" w:hAnsi="Times New Roman" w:cs="Times New Roman"/>
          <w:sz w:val="28"/>
          <w:szCs w:val="28"/>
        </w:rPr>
        <w:t>a</w:t>
      </w:r>
      <w:r w:rsidRPr="00997C11">
        <w:rPr>
          <w:rFonts w:ascii="Times New Roman" w:hAnsi="Times New Roman" w:cs="Times New Roman"/>
          <w:sz w:val="28"/>
          <w:szCs w:val="28"/>
        </w:rPr>
        <w:t xml:space="preserve"> līdz 2012.gada 1.aprīlim un pirms tam Veselības ekonomikas centr</w:t>
      </w:r>
      <w:r>
        <w:rPr>
          <w:rFonts w:ascii="Times New Roman" w:hAnsi="Times New Roman" w:cs="Times New Roman"/>
          <w:sz w:val="28"/>
          <w:szCs w:val="28"/>
        </w:rPr>
        <w:t>a</w:t>
      </w:r>
      <w:r w:rsidRPr="00997C11">
        <w:rPr>
          <w:rFonts w:ascii="Times New Roman" w:hAnsi="Times New Roman" w:cs="Times New Roman"/>
          <w:sz w:val="28"/>
          <w:szCs w:val="28"/>
        </w:rPr>
        <w:t xml:space="preserve"> līdz 2011.gada 31.oktobrim)</w:t>
      </w:r>
      <w:r w:rsidRPr="00B87C6B">
        <w:rPr>
          <w:rFonts w:ascii="Times New Roman" w:hAnsi="Times New Roman" w:cs="Times New Roman"/>
          <w:sz w:val="28"/>
          <w:szCs w:val="28"/>
        </w:rPr>
        <w:t>.</w:t>
      </w:r>
      <w:r w:rsidR="002172BE">
        <w:rPr>
          <w:rFonts w:ascii="Times New Roman" w:hAnsi="Times New Roman" w:cs="Times New Roman"/>
          <w:sz w:val="28"/>
          <w:szCs w:val="28"/>
        </w:rPr>
        <w:t xml:space="preserve"> </w:t>
      </w:r>
    </w:p>
    <w:p w:rsidR="007063EB" w:rsidRDefault="007063EB" w:rsidP="00401BA9">
      <w:pPr>
        <w:spacing w:after="0"/>
        <w:ind w:firstLine="720"/>
        <w:jc w:val="center"/>
        <w:rPr>
          <w:rFonts w:ascii="Times New Roman" w:hAnsi="Times New Roman" w:cs="Times New Roman"/>
          <w:b/>
          <w:sz w:val="28"/>
          <w:szCs w:val="28"/>
        </w:rPr>
      </w:pPr>
    </w:p>
    <w:p w:rsidR="00401BA9" w:rsidRPr="00FF681D" w:rsidRDefault="00401BA9" w:rsidP="00401BA9">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Vienotās rīcības JAMIE realizācijai plānotais finansējums</w:t>
      </w:r>
    </w:p>
    <w:tbl>
      <w:tblPr>
        <w:tblStyle w:val="TableGrid"/>
        <w:tblW w:w="0" w:type="auto"/>
        <w:tblLook w:val="04A0"/>
      </w:tblPr>
      <w:tblGrid>
        <w:gridCol w:w="2235"/>
        <w:gridCol w:w="1366"/>
        <w:gridCol w:w="1401"/>
        <w:gridCol w:w="1502"/>
        <w:gridCol w:w="1503"/>
        <w:gridCol w:w="1280"/>
      </w:tblGrid>
      <w:tr w:rsidR="00401BA9" w:rsidTr="007C64FC">
        <w:tc>
          <w:tcPr>
            <w:tcW w:w="2235" w:type="dxa"/>
          </w:tcPr>
          <w:p w:rsidR="00401BA9" w:rsidRDefault="00401BA9" w:rsidP="00B473A8">
            <w:pPr>
              <w:ind w:left="142" w:hanging="142"/>
              <w:jc w:val="center"/>
              <w:rPr>
                <w:rFonts w:ascii="Times New Roman" w:hAnsi="Times New Roman" w:cs="Times New Roman"/>
                <w:sz w:val="28"/>
                <w:szCs w:val="28"/>
              </w:rPr>
            </w:pPr>
          </w:p>
        </w:tc>
        <w:tc>
          <w:tcPr>
            <w:tcW w:w="1366" w:type="dxa"/>
          </w:tcPr>
          <w:p w:rsidR="00401BA9" w:rsidRDefault="00401BA9" w:rsidP="00B473A8">
            <w:pPr>
              <w:ind w:left="142" w:hanging="142"/>
              <w:jc w:val="center"/>
              <w:rPr>
                <w:rFonts w:ascii="Times New Roman" w:hAnsi="Times New Roman" w:cs="Times New Roman"/>
                <w:sz w:val="28"/>
                <w:szCs w:val="28"/>
              </w:rPr>
            </w:pPr>
            <w:r>
              <w:rPr>
                <w:rFonts w:ascii="Times New Roman" w:hAnsi="Times New Roman" w:cs="Times New Roman"/>
                <w:sz w:val="28"/>
                <w:szCs w:val="28"/>
              </w:rPr>
              <w:t>2011.gads</w:t>
            </w:r>
          </w:p>
        </w:tc>
        <w:tc>
          <w:tcPr>
            <w:tcW w:w="1401" w:type="dxa"/>
          </w:tcPr>
          <w:p w:rsidR="00401BA9" w:rsidRDefault="00401BA9" w:rsidP="00B473A8">
            <w:pPr>
              <w:ind w:left="142" w:hanging="142"/>
              <w:jc w:val="center"/>
              <w:rPr>
                <w:rFonts w:ascii="Times New Roman" w:hAnsi="Times New Roman" w:cs="Times New Roman"/>
                <w:sz w:val="28"/>
                <w:szCs w:val="28"/>
              </w:rPr>
            </w:pPr>
            <w:r>
              <w:rPr>
                <w:rFonts w:ascii="Times New Roman" w:hAnsi="Times New Roman" w:cs="Times New Roman"/>
                <w:sz w:val="28"/>
                <w:szCs w:val="28"/>
              </w:rPr>
              <w:t>2012.gads</w:t>
            </w:r>
          </w:p>
        </w:tc>
        <w:tc>
          <w:tcPr>
            <w:tcW w:w="1502" w:type="dxa"/>
          </w:tcPr>
          <w:p w:rsidR="00401BA9" w:rsidRDefault="00401BA9" w:rsidP="00B473A8">
            <w:pPr>
              <w:ind w:left="142" w:hanging="142"/>
              <w:jc w:val="center"/>
              <w:rPr>
                <w:rFonts w:ascii="Times New Roman" w:hAnsi="Times New Roman" w:cs="Times New Roman"/>
                <w:sz w:val="28"/>
                <w:szCs w:val="28"/>
              </w:rPr>
            </w:pPr>
            <w:r>
              <w:rPr>
                <w:rFonts w:ascii="Times New Roman" w:hAnsi="Times New Roman" w:cs="Times New Roman"/>
                <w:sz w:val="28"/>
                <w:szCs w:val="28"/>
              </w:rPr>
              <w:t>2013.gads</w:t>
            </w:r>
          </w:p>
        </w:tc>
        <w:tc>
          <w:tcPr>
            <w:tcW w:w="1503" w:type="dxa"/>
          </w:tcPr>
          <w:p w:rsidR="00401BA9" w:rsidRDefault="00401BA9" w:rsidP="00B473A8">
            <w:pPr>
              <w:ind w:left="142" w:hanging="142"/>
              <w:jc w:val="center"/>
              <w:rPr>
                <w:rFonts w:ascii="Times New Roman" w:hAnsi="Times New Roman" w:cs="Times New Roman"/>
                <w:sz w:val="28"/>
                <w:szCs w:val="28"/>
              </w:rPr>
            </w:pPr>
            <w:r>
              <w:rPr>
                <w:rFonts w:ascii="Times New Roman" w:hAnsi="Times New Roman" w:cs="Times New Roman"/>
                <w:sz w:val="28"/>
                <w:szCs w:val="28"/>
              </w:rPr>
              <w:t>2014.gads</w:t>
            </w:r>
          </w:p>
        </w:tc>
        <w:tc>
          <w:tcPr>
            <w:tcW w:w="1280" w:type="dxa"/>
          </w:tcPr>
          <w:p w:rsidR="00401BA9" w:rsidRPr="00FF681D" w:rsidRDefault="00401BA9" w:rsidP="00B473A8">
            <w:pPr>
              <w:ind w:left="142" w:hanging="142"/>
              <w:jc w:val="center"/>
              <w:rPr>
                <w:rFonts w:ascii="Times New Roman" w:hAnsi="Times New Roman" w:cs="Times New Roman"/>
                <w:b/>
                <w:sz w:val="28"/>
                <w:szCs w:val="28"/>
              </w:rPr>
            </w:pPr>
            <w:r w:rsidRPr="00FF681D">
              <w:rPr>
                <w:rFonts w:ascii="Times New Roman" w:hAnsi="Times New Roman" w:cs="Times New Roman"/>
                <w:b/>
                <w:sz w:val="28"/>
                <w:szCs w:val="28"/>
              </w:rPr>
              <w:t>KOPĀ</w:t>
            </w:r>
          </w:p>
        </w:tc>
      </w:tr>
      <w:tr w:rsidR="00401BA9" w:rsidTr="007C64FC">
        <w:tc>
          <w:tcPr>
            <w:tcW w:w="2235" w:type="dxa"/>
          </w:tcPr>
          <w:p w:rsidR="00401BA9" w:rsidRDefault="00401BA9" w:rsidP="00B473A8">
            <w:pPr>
              <w:ind w:left="142" w:hanging="142"/>
              <w:rPr>
                <w:rFonts w:ascii="Times New Roman" w:hAnsi="Times New Roman" w:cs="Times New Roman"/>
                <w:sz w:val="28"/>
                <w:szCs w:val="28"/>
              </w:rPr>
            </w:pPr>
            <w:r>
              <w:rPr>
                <w:rFonts w:ascii="Times New Roman" w:hAnsi="Times New Roman" w:cs="Times New Roman"/>
                <w:sz w:val="28"/>
                <w:szCs w:val="28"/>
              </w:rPr>
              <w:t>E</w:t>
            </w:r>
            <w:r w:rsidR="0056665B">
              <w:rPr>
                <w:rFonts w:ascii="Times New Roman" w:hAnsi="Times New Roman" w:cs="Times New Roman"/>
                <w:sz w:val="28"/>
                <w:szCs w:val="28"/>
              </w:rPr>
              <w:t xml:space="preserve">iropas </w:t>
            </w:r>
            <w:r>
              <w:rPr>
                <w:rFonts w:ascii="Times New Roman" w:hAnsi="Times New Roman" w:cs="Times New Roman"/>
                <w:sz w:val="28"/>
                <w:szCs w:val="28"/>
              </w:rPr>
              <w:t>K</w:t>
            </w:r>
            <w:r w:rsidR="0056665B">
              <w:rPr>
                <w:rFonts w:ascii="Times New Roman" w:hAnsi="Times New Roman" w:cs="Times New Roman"/>
                <w:sz w:val="28"/>
                <w:szCs w:val="28"/>
              </w:rPr>
              <w:t>omisijas</w:t>
            </w:r>
            <w:r>
              <w:rPr>
                <w:rFonts w:ascii="Times New Roman" w:hAnsi="Times New Roman" w:cs="Times New Roman"/>
                <w:sz w:val="28"/>
                <w:szCs w:val="28"/>
              </w:rPr>
              <w:t xml:space="preserve"> finansējums</w:t>
            </w:r>
          </w:p>
        </w:tc>
        <w:tc>
          <w:tcPr>
            <w:tcW w:w="1366" w:type="dxa"/>
            <w:vAlign w:val="center"/>
          </w:tcPr>
          <w:p w:rsidR="00401BA9" w:rsidRDefault="00401BA9" w:rsidP="00B473A8">
            <w:pPr>
              <w:ind w:left="142" w:hanging="142"/>
              <w:jc w:val="right"/>
              <w:rPr>
                <w:rFonts w:ascii="Times New Roman" w:hAnsi="Times New Roman" w:cs="Times New Roman"/>
                <w:sz w:val="28"/>
                <w:szCs w:val="28"/>
              </w:rPr>
            </w:pPr>
            <w:r>
              <w:rPr>
                <w:rFonts w:ascii="Times New Roman" w:hAnsi="Times New Roman" w:cs="Times New Roman"/>
                <w:sz w:val="28"/>
                <w:szCs w:val="28"/>
              </w:rPr>
              <w:t>951</w:t>
            </w:r>
          </w:p>
        </w:tc>
        <w:tc>
          <w:tcPr>
            <w:tcW w:w="1401" w:type="dxa"/>
            <w:vAlign w:val="center"/>
          </w:tcPr>
          <w:p w:rsidR="00401BA9" w:rsidRDefault="00401BA9" w:rsidP="00B473A8">
            <w:pPr>
              <w:ind w:left="142" w:hanging="142"/>
              <w:jc w:val="right"/>
              <w:rPr>
                <w:rFonts w:ascii="Times New Roman" w:hAnsi="Times New Roman" w:cs="Times New Roman"/>
                <w:sz w:val="28"/>
                <w:szCs w:val="28"/>
              </w:rPr>
            </w:pPr>
            <w:r>
              <w:rPr>
                <w:rFonts w:ascii="Times New Roman" w:hAnsi="Times New Roman" w:cs="Times New Roman"/>
                <w:sz w:val="28"/>
                <w:szCs w:val="28"/>
              </w:rPr>
              <w:t>2 163</w:t>
            </w:r>
          </w:p>
        </w:tc>
        <w:tc>
          <w:tcPr>
            <w:tcW w:w="1502" w:type="dxa"/>
            <w:vAlign w:val="center"/>
          </w:tcPr>
          <w:p w:rsidR="00401BA9" w:rsidRDefault="00401BA9" w:rsidP="00B473A8">
            <w:pPr>
              <w:ind w:left="142" w:hanging="142"/>
              <w:jc w:val="right"/>
              <w:rPr>
                <w:rFonts w:ascii="Times New Roman" w:hAnsi="Times New Roman" w:cs="Times New Roman"/>
                <w:sz w:val="28"/>
                <w:szCs w:val="28"/>
              </w:rPr>
            </w:pPr>
            <w:r>
              <w:rPr>
                <w:rFonts w:ascii="Times New Roman" w:hAnsi="Times New Roman" w:cs="Times New Roman"/>
                <w:sz w:val="28"/>
                <w:szCs w:val="28"/>
              </w:rPr>
              <w:t>1 188</w:t>
            </w:r>
          </w:p>
        </w:tc>
        <w:tc>
          <w:tcPr>
            <w:tcW w:w="1503" w:type="dxa"/>
            <w:vAlign w:val="center"/>
          </w:tcPr>
          <w:p w:rsidR="00401BA9" w:rsidRDefault="00401BA9" w:rsidP="00B473A8">
            <w:pPr>
              <w:ind w:left="142" w:hanging="142"/>
              <w:jc w:val="right"/>
              <w:rPr>
                <w:rFonts w:ascii="Times New Roman" w:hAnsi="Times New Roman" w:cs="Times New Roman"/>
                <w:sz w:val="28"/>
                <w:szCs w:val="28"/>
              </w:rPr>
            </w:pPr>
            <w:r>
              <w:rPr>
                <w:rFonts w:ascii="Times New Roman" w:hAnsi="Times New Roman" w:cs="Times New Roman"/>
                <w:sz w:val="28"/>
                <w:szCs w:val="28"/>
              </w:rPr>
              <w:t>748</w:t>
            </w:r>
          </w:p>
        </w:tc>
        <w:tc>
          <w:tcPr>
            <w:tcW w:w="1280" w:type="dxa"/>
            <w:vAlign w:val="center"/>
          </w:tcPr>
          <w:p w:rsidR="00401BA9" w:rsidRPr="00FF681D" w:rsidRDefault="00401BA9" w:rsidP="00B473A8">
            <w:pPr>
              <w:ind w:left="142" w:hanging="142"/>
              <w:jc w:val="right"/>
              <w:rPr>
                <w:rFonts w:ascii="Times New Roman" w:hAnsi="Times New Roman" w:cs="Times New Roman"/>
                <w:b/>
                <w:sz w:val="28"/>
                <w:szCs w:val="28"/>
              </w:rPr>
            </w:pPr>
            <w:r>
              <w:rPr>
                <w:rFonts w:ascii="Times New Roman" w:hAnsi="Times New Roman" w:cs="Times New Roman"/>
                <w:b/>
                <w:sz w:val="28"/>
                <w:szCs w:val="28"/>
              </w:rPr>
              <w:t>5 050</w:t>
            </w:r>
          </w:p>
        </w:tc>
      </w:tr>
      <w:tr w:rsidR="00401BA9" w:rsidRPr="005E4729" w:rsidTr="007C64FC">
        <w:tc>
          <w:tcPr>
            <w:tcW w:w="2235" w:type="dxa"/>
          </w:tcPr>
          <w:p w:rsidR="00401BA9" w:rsidRPr="005E4729" w:rsidRDefault="00401BA9" w:rsidP="00B473A8">
            <w:pPr>
              <w:ind w:left="142" w:hanging="142"/>
              <w:rPr>
                <w:rFonts w:ascii="Times New Roman" w:hAnsi="Times New Roman" w:cs="Times New Roman"/>
                <w:sz w:val="28"/>
                <w:szCs w:val="28"/>
              </w:rPr>
            </w:pPr>
            <w:r w:rsidRPr="005E4729">
              <w:rPr>
                <w:rFonts w:ascii="Times New Roman" w:hAnsi="Times New Roman" w:cs="Times New Roman"/>
                <w:sz w:val="28"/>
                <w:szCs w:val="28"/>
              </w:rPr>
              <w:t>Līdzfinansējums kopā, t.sk.:</w:t>
            </w:r>
          </w:p>
        </w:tc>
        <w:tc>
          <w:tcPr>
            <w:tcW w:w="1366" w:type="dxa"/>
            <w:vAlign w:val="center"/>
          </w:tcPr>
          <w:p w:rsidR="00401BA9" w:rsidRPr="005E4729" w:rsidRDefault="00401BA9" w:rsidP="00B473A8">
            <w:pPr>
              <w:pStyle w:val="ListParagraph"/>
              <w:numPr>
                <w:ilvl w:val="0"/>
                <w:numId w:val="5"/>
              </w:numPr>
              <w:ind w:left="142" w:hanging="142"/>
              <w:jc w:val="right"/>
              <w:rPr>
                <w:rFonts w:ascii="Times New Roman" w:hAnsi="Times New Roman" w:cs="Times New Roman"/>
                <w:sz w:val="28"/>
                <w:szCs w:val="28"/>
              </w:rPr>
            </w:pPr>
          </w:p>
        </w:tc>
        <w:tc>
          <w:tcPr>
            <w:tcW w:w="1401" w:type="dxa"/>
            <w:vAlign w:val="center"/>
          </w:tcPr>
          <w:p w:rsidR="00401BA9" w:rsidRPr="005E4729" w:rsidRDefault="00401BA9"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1 684</w:t>
            </w:r>
          </w:p>
        </w:tc>
        <w:tc>
          <w:tcPr>
            <w:tcW w:w="1502" w:type="dxa"/>
            <w:vAlign w:val="center"/>
          </w:tcPr>
          <w:p w:rsidR="00401BA9" w:rsidRPr="005E4729" w:rsidRDefault="00401BA9"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1 684</w:t>
            </w:r>
          </w:p>
        </w:tc>
        <w:tc>
          <w:tcPr>
            <w:tcW w:w="1503" w:type="dxa"/>
            <w:vAlign w:val="center"/>
          </w:tcPr>
          <w:p w:rsidR="00401BA9" w:rsidRPr="005E4729" w:rsidRDefault="00401BA9"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1 682</w:t>
            </w:r>
          </w:p>
        </w:tc>
        <w:tc>
          <w:tcPr>
            <w:tcW w:w="1280" w:type="dxa"/>
            <w:vAlign w:val="center"/>
          </w:tcPr>
          <w:p w:rsidR="00401BA9" w:rsidRPr="005E4729" w:rsidRDefault="00401BA9" w:rsidP="00B473A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5 050</w:t>
            </w:r>
          </w:p>
        </w:tc>
      </w:tr>
      <w:tr w:rsidR="00401BA9" w:rsidRPr="005E4729" w:rsidTr="007C64FC">
        <w:tc>
          <w:tcPr>
            <w:tcW w:w="2235" w:type="dxa"/>
          </w:tcPr>
          <w:p w:rsidR="00401BA9" w:rsidRPr="005E4729" w:rsidRDefault="009908BB" w:rsidP="00B473A8">
            <w:pPr>
              <w:ind w:left="142" w:hanging="142"/>
              <w:rPr>
                <w:rFonts w:ascii="Times New Roman" w:hAnsi="Times New Roman" w:cs="Times New Roman"/>
                <w:sz w:val="28"/>
                <w:szCs w:val="28"/>
              </w:rPr>
            </w:pPr>
            <w:r w:rsidRPr="005E4729">
              <w:rPr>
                <w:rFonts w:ascii="Times New Roman" w:hAnsi="Times New Roman" w:cs="Times New Roman"/>
                <w:sz w:val="28"/>
                <w:szCs w:val="28"/>
              </w:rPr>
              <w:t xml:space="preserve">Nodrošinātā </w:t>
            </w:r>
            <w:r w:rsidR="00401BA9" w:rsidRPr="005E4729">
              <w:rPr>
                <w:rFonts w:ascii="Times New Roman" w:hAnsi="Times New Roman" w:cs="Times New Roman"/>
                <w:sz w:val="28"/>
                <w:szCs w:val="28"/>
              </w:rPr>
              <w:t>līdzfinansējuma daļa (atlīdzība)</w:t>
            </w:r>
          </w:p>
        </w:tc>
        <w:tc>
          <w:tcPr>
            <w:tcW w:w="1366" w:type="dxa"/>
            <w:vAlign w:val="center"/>
          </w:tcPr>
          <w:p w:rsidR="00401BA9" w:rsidRPr="005E4729" w:rsidRDefault="00401BA9" w:rsidP="00B473A8">
            <w:pPr>
              <w:pStyle w:val="ListParagraph"/>
              <w:numPr>
                <w:ilvl w:val="0"/>
                <w:numId w:val="4"/>
              </w:numPr>
              <w:ind w:left="142" w:hanging="142"/>
              <w:jc w:val="right"/>
              <w:rPr>
                <w:rFonts w:ascii="Times New Roman" w:hAnsi="Times New Roman" w:cs="Times New Roman"/>
                <w:sz w:val="28"/>
                <w:szCs w:val="28"/>
              </w:rPr>
            </w:pPr>
          </w:p>
        </w:tc>
        <w:tc>
          <w:tcPr>
            <w:tcW w:w="1401" w:type="dxa"/>
            <w:vAlign w:val="center"/>
          </w:tcPr>
          <w:p w:rsidR="00401BA9" w:rsidRPr="005E4729" w:rsidRDefault="00401BA9"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1 684</w:t>
            </w:r>
          </w:p>
        </w:tc>
        <w:tc>
          <w:tcPr>
            <w:tcW w:w="1502" w:type="dxa"/>
            <w:vAlign w:val="center"/>
          </w:tcPr>
          <w:p w:rsidR="00401BA9" w:rsidRPr="005E4729" w:rsidRDefault="00401BA9" w:rsidP="00F61645">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45</w:t>
            </w:r>
            <w:r w:rsidR="00F61645" w:rsidRPr="005E4729">
              <w:rPr>
                <w:rFonts w:ascii="Times New Roman" w:hAnsi="Times New Roman" w:cs="Times New Roman"/>
                <w:sz w:val="28"/>
                <w:szCs w:val="28"/>
              </w:rPr>
              <w:t>2</w:t>
            </w:r>
          </w:p>
        </w:tc>
        <w:tc>
          <w:tcPr>
            <w:tcW w:w="1503" w:type="dxa"/>
            <w:vAlign w:val="center"/>
          </w:tcPr>
          <w:p w:rsidR="00401BA9" w:rsidRPr="005E4729" w:rsidRDefault="00401BA9"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w:t>
            </w:r>
          </w:p>
        </w:tc>
        <w:tc>
          <w:tcPr>
            <w:tcW w:w="1280" w:type="dxa"/>
            <w:vAlign w:val="center"/>
          </w:tcPr>
          <w:p w:rsidR="00401BA9" w:rsidRPr="005E4729" w:rsidRDefault="00401BA9" w:rsidP="0005387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2 13</w:t>
            </w:r>
            <w:r w:rsidR="00053878" w:rsidRPr="005E4729">
              <w:rPr>
                <w:rFonts w:ascii="Times New Roman" w:hAnsi="Times New Roman" w:cs="Times New Roman"/>
                <w:b/>
                <w:sz w:val="28"/>
                <w:szCs w:val="28"/>
              </w:rPr>
              <w:t>6</w:t>
            </w:r>
          </w:p>
        </w:tc>
      </w:tr>
      <w:tr w:rsidR="009908BB" w:rsidRPr="005E4729" w:rsidTr="007C64FC">
        <w:tc>
          <w:tcPr>
            <w:tcW w:w="2235" w:type="dxa"/>
          </w:tcPr>
          <w:p w:rsidR="009908BB" w:rsidRPr="005E4729" w:rsidRDefault="009908BB" w:rsidP="009908BB">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Nodrošinātā līdzfinansējuma daļa (atalgojums)</w:t>
            </w:r>
          </w:p>
        </w:tc>
        <w:tc>
          <w:tcPr>
            <w:tcW w:w="1366" w:type="dxa"/>
            <w:vAlign w:val="center"/>
          </w:tcPr>
          <w:p w:rsidR="009908BB" w:rsidRPr="005E4729" w:rsidRDefault="009908BB"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w:t>
            </w:r>
          </w:p>
        </w:tc>
        <w:tc>
          <w:tcPr>
            <w:tcW w:w="1401" w:type="dxa"/>
            <w:vAlign w:val="center"/>
          </w:tcPr>
          <w:p w:rsidR="009908BB" w:rsidRPr="005E4729" w:rsidRDefault="00F61645"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1 357</w:t>
            </w:r>
          </w:p>
        </w:tc>
        <w:tc>
          <w:tcPr>
            <w:tcW w:w="1502" w:type="dxa"/>
            <w:vAlign w:val="center"/>
          </w:tcPr>
          <w:p w:rsidR="009908BB" w:rsidRPr="005E4729" w:rsidRDefault="003211EA" w:rsidP="00F61645">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36</w:t>
            </w:r>
            <w:r w:rsidR="00F61645" w:rsidRPr="005E4729">
              <w:rPr>
                <w:rFonts w:ascii="Times New Roman" w:hAnsi="Times New Roman" w:cs="Times New Roman"/>
                <w:sz w:val="28"/>
                <w:szCs w:val="28"/>
              </w:rPr>
              <w:t>4</w:t>
            </w:r>
          </w:p>
        </w:tc>
        <w:tc>
          <w:tcPr>
            <w:tcW w:w="1503" w:type="dxa"/>
            <w:vAlign w:val="center"/>
          </w:tcPr>
          <w:p w:rsidR="009908BB" w:rsidRPr="005E4729" w:rsidRDefault="008B57A3" w:rsidP="00B473A8">
            <w:pPr>
              <w:ind w:left="142" w:hanging="142"/>
              <w:jc w:val="right"/>
              <w:rPr>
                <w:rFonts w:ascii="Times New Roman" w:hAnsi="Times New Roman" w:cs="Times New Roman"/>
                <w:sz w:val="28"/>
                <w:szCs w:val="28"/>
              </w:rPr>
            </w:pPr>
            <w:r w:rsidRPr="005E4729">
              <w:rPr>
                <w:rFonts w:ascii="Times New Roman" w:hAnsi="Times New Roman" w:cs="Times New Roman"/>
                <w:sz w:val="28"/>
                <w:szCs w:val="28"/>
              </w:rPr>
              <w:t>-</w:t>
            </w:r>
          </w:p>
        </w:tc>
        <w:tc>
          <w:tcPr>
            <w:tcW w:w="1280" w:type="dxa"/>
            <w:vAlign w:val="center"/>
          </w:tcPr>
          <w:p w:rsidR="009908BB" w:rsidRPr="005E4729" w:rsidRDefault="00F61645" w:rsidP="00F61645">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1 721</w:t>
            </w:r>
          </w:p>
        </w:tc>
      </w:tr>
      <w:tr w:rsidR="00401BA9" w:rsidRPr="005E4729" w:rsidTr="007C64FC">
        <w:tc>
          <w:tcPr>
            <w:tcW w:w="2235" w:type="dxa"/>
          </w:tcPr>
          <w:p w:rsidR="00401BA9" w:rsidRPr="005E4729" w:rsidRDefault="00401BA9" w:rsidP="00B473A8">
            <w:pPr>
              <w:ind w:left="142" w:hanging="142"/>
              <w:rPr>
                <w:rFonts w:ascii="Times New Roman" w:hAnsi="Times New Roman" w:cs="Times New Roman"/>
                <w:i/>
                <w:sz w:val="28"/>
                <w:szCs w:val="28"/>
              </w:rPr>
            </w:pPr>
            <w:r w:rsidRPr="005E4729">
              <w:rPr>
                <w:rFonts w:ascii="Times New Roman" w:hAnsi="Times New Roman" w:cs="Times New Roman"/>
                <w:i/>
                <w:sz w:val="28"/>
                <w:szCs w:val="28"/>
              </w:rPr>
              <w:t>Papildus nepieciešamā līdzfinansējuma daļa (atlīdzība)</w:t>
            </w:r>
          </w:p>
        </w:tc>
        <w:tc>
          <w:tcPr>
            <w:tcW w:w="1366" w:type="dxa"/>
            <w:vAlign w:val="center"/>
          </w:tcPr>
          <w:p w:rsidR="00401BA9" w:rsidRPr="005E4729" w:rsidRDefault="00401BA9" w:rsidP="00B473A8">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w:t>
            </w:r>
          </w:p>
        </w:tc>
        <w:tc>
          <w:tcPr>
            <w:tcW w:w="1401" w:type="dxa"/>
            <w:vAlign w:val="center"/>
          </w:tcPr>
          <w:p w:rsidR="00401BA9" w:rsidRPr="005E4729" w:rsidRDefault="00401BA9" w:rsidP="00B473A8">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w:t>
            </w:r>
          </w:p>
        </w:tc>
        <w:tc>
          <w:tcPr>
            <w:tcW w:w="1502" w:type="dxa"/>
            <w:vAlign w:val="center"/>
          </w:tcPr>
          <w:p w:rsidR="00401BA9" w:rsidRPr="005E4729" w:rsidRDefault="00401BA9" w:rsidP="00F61645">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1 23</w:t>
            </w:r>
            <w:r w:rsidR="00F61645" w:rsidRPr="005E4729">
              <w:rPr>
                <w:rFonts w:ascii="Times New Roman" w:hAnsi="Times New Roman" w:cs="Times New Roman"/>
                <w:i/>
                <w:sz w:val="28"/>
                <w:szCs w:val="28"/>
              </w:rPr>
              <w:t>2</w:t>
            </w:r>
          </w:p>
        </w:tc>
        <w:tc>
          <w:tcPr>
            <w:tcW w:w="1503" w:type="dxa"/>
            <w:vAlign w:val="center"/>
          </w:tcPr>
          <w:p w:rsidR="00401BA9" w:rsidRPr="005E4729" w:rsidRDefault="00401BA9" w:rsidP="00B473A8">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1 682</w:t>
            </w:r>
          </w:p>
        </w:tc>
        <w:tc>
          <w:tcPr>
            <w:tcW w:w="1280" w:type="dxa"/>
            <w:vAlign w:val="center"/>
          </w:tcPr>
          <w:p w:rsidR="00401BA9" w:rsidRPr="005E4729" w:rsidRDefault="00401BA9" w:rsidP="00F61645">
            <w:pPr>
              <w:ind w:left="142" w:hanging="142"/>
              <w:jc w:val="right"/>
              <w:rPr>
                <w:rFonts w:ascii="Times New Roman" w:hAnsi="Times New Roman" w:cs="Times New Roman"/>
                <w:b/>
                <w:i/>
                <w:sz w:val="28"/>
                <w:szCs w:val="28"/>
              </w:rPr>
            </w:pPr>
            <w:r w:rsidRPr="005E4729">
              <w:rPr>
                <w:rFonts w:ascii="Times New Roman" w:hAnsi="Times New Roman" w:cs="Times New Roman"/>
                <w:b/>
                <w:i/>
                <w:sz w:val="28"/>
                <w:szCs w:val="28"/>
              </w:rPr>
              <w:t>2 91</w:t>
            </w:r>
            <w:r w:rsidR="00F61645" w:rsidRPr="005E4729">
              <w:rPr>
                <w:rFonts w:ascii="Times New Roman" w:hAnsi="Times New Roman" w:cs="Times New Roman"/>
                <w:b/>
                <w:i/>
                <w:sz w:val="28"/>
                <w:szCs w:val="28"/>
              </w:rPr>
              <w:t>4</w:t>
            </w:r>
          </w:p>
        </w:tc>
      </w:tr>
      <w:tr w:rsidR="009908BB" w:rsidRPr="005E4729" w:rsidTr="007C64FC">
        <w:tc>
          <w:tcPr>
            <w:tcW w:w="2235" w:type="dxa"/>
          </w:tcPr>
          <w:p w:rsidR="009908BB" w:rsidRPr="005E4729" w:rsidRDefault="009908BB" w:rsidP="009908BB">
            <w:pPr>
              <w:ind w:left="142" w:hanging="142"/>
              <w:jc w:val="right"/>
              <w:rPr>
                <w:rFonts w:ascii="Times New Roman" w:hAnsi="Times New Roman" w:cs="Times New Roman"/>
                <w:b/>
                <w:sz w:val="28"/>
                <w:szCs w:val="28"/>
              </w:rPr>
            </w:pPr>
            <w:r w:rsidRPr="005E4729">
              <w:rPr>
                <w:rFonts w:ascii="Times New Roman" w:hAnsi="Times New Roman" w:cs="Times New Roman"/>
                <w:i/>
                <w:sz w:val="28"/>
                <w:szCs w:val="28"/>
              </w:rPr>
              <w:t>Papildus nepieciešamā līdzfinansējuma daļa (atalgojums)</w:t>
            </w:r>
          </w:p>
        </w:tc>
        <w:tc>
          <w:tcPr>
            <w:tcW w:w="1366" w:type="dxa"/>
            <w:vAlign w:val="center"/>
          </w:tcPr>
          <w:p w:rsidR="009908BB" w:rsidRPr="005E4729" w:rsidRDefault="009908BB" w:rsidP="00B473A8">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w:t>
            </w:r>
          </w:p>
        </w:tc>
        <w:tc>
          <w:tcPr>
            <w:tcW w:w="1401" w:type="dxa"/>
            <w:vAlign w:val="center"/>
          </w:tcPr>
          <w:p w:rsidR="009908BB" w:rsidRPr="005E4729" w:rsidRDefault="008B57A3" w:rsidP="00B473A8">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w:t>
            </w:r>
          </w:p>
        </w:tc>
        <w:tc>
          <w:tcPr>
            <w:tcW w:w="1502" w:type="dxa"/>
            <w:vAlign w:val="center"/>
          </w:tcPr>
          <w:p w:rsidR="009908BB" w:rsidRPr="005E4729" w:rsidRDefault="003211EA" w:rsidP="00B473A8">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993</w:t>
            </w:r>
          </w:p>
        </w:tc>
        <w:tc>
          <w:tcPr>
            <w:tcW w:w="1503" w:type="dxa"/>
            <w:vAlign w:val="center"/>
          </w:tcPr>
          <w:p w:rsidR="009908BB" w:rsidRPr="005E4729" w:rsidRDefault="003211EA" w:rsidP="00900646">
            <w:pPr>
              <w:ind w:left="142" w:hanging="142"/>
              <w:jc w:val="right"/>
              <w:rPr>
                <w:rFonts w:ascii="Times New Roman" w:hAnsi="Times New Roman" w:cs="Times New Roman"/>
                <w:i/>
                <w:sz w:val="28"/>
                <w:szCs w:val="28"/>
              </w:rPr>
            </w:pPr>
            <w:r w:rsidRPr="005E4729">
              <w:rPr>
                <w:rFonts w:ascii="Times New Roman" w:hAnsi="Times New Roman" w:cs="Times New Roman"/>
                <w:i/>
                <w:sz w:val="28"/>
                <w:szCs w:val="28"/>
              </w:rPr>
              <w:t>1 3</w:t>
            </w:r>
            <w:r w:rsidR="00900646">
              <w:rPr>
                <w:rFonts w:ascii="Times New Roman" w:hAnsi="Times New Roman" w:cs="Times New Roman"/>
                <w:i/>
                <w:sz w:val="28"/>
                <w:szCs w:val="28"/>
              </w:rPr>
              <w:t>61</w:t>
            </w:r>
          </w:p>
        </w:tc>
        <w:tc>
          <w:tcPr>
            <w:tcW w:w="1280" w:type="dxa"/>
            <w:vAlign w:val="center"/>
          </w:tcPr>
          <w:p w:rsidR="009908BB" w:rsidRPr="005E4729" w:rsidRDefault="003211EA" w:rsidP="00900646">
            <w:pPr>
              <w:ind w:left="142" w:hanging="142"/>
              <w:jc w:val="right"/>
              <w:rPr>
                <w:rFonts w:ascii="Times New Roman" w:hAnsi="Times New Roman" w:cs="Times New Roman"/>
                <w:b/>
                <w:i/>
                <w:sz w:val="28"/>
                <w:szCs w:val="28"/>
              </w:rPr>
            </w:pPr>
            <w:r w:rsidRPr="005E4729">
              <w:rPr>
                <w:rFonts w:ascii="Times New Roman" w:hAnsi="Times New Roman" w:cs="Times New Roman"/>
                <w:b/>
                <w:i/>
                <w:sz w:val="28"/>
                <w:szCs w:val="28"/>
              </w:rPr>
              <w:t>2 3</w:t>
            </w:r>
            <w:r w:rsidR="00900646">
              <w:rPr>
                <w:rFonts w:ascii="Times New Roman" w:hAnsi="Times New Roman" w:cs="Times New Roman"/>
                <w:b/>
                <w:i/>
                <w:sz w:val="28"/>
                <w:szCs w:val="28"/>
              </w:rPr>
              <w:t>54</w:t>
            </w:r>
          </w:p>
        </w:tc>
      </w:tr>
      <w:tr w:rsidR="00401BA9" w:rsidRPr="005E4729" w:rsidTr="007C64FC">
        <w:tc>
          <w:tcPr>
            <w:tcW w:w="2235" w:type="dxa"/>
          </w:tcPr>
          <w:p w:rsidR="00401BA9" w:rsidRPr="005E4729" w:rsidRDefault="00401BA9" w:rsidP="00B473A8">
            <w:pPr>
              <w:ind w:left="142" w:hanging="142"/>
              <w:rPr>
                <w:rFonts w:ascii="Times New Roman" w:hAnsi="Times New Roman" w:cs="Times New Roman"/>
                <w:b/>
                <w:sz w:val="28"/>
                <w:szCs w:val="28"/>
              </w:rPr>
            </w:pPr>
            <w:r w:rsidRPr="005E4729">
              <w:rPr>
                <w:rFonts w:ascii="Times New Roman" w:hAnsi="Times New Roman" w:cs="Times New Roman"/>
                <w:b/>
                <w:sz w:val="28"/>
                <w:szCs w:val="28"/>
              </w:rPr>
              <w:t>KOPĀ</w:t>
            </w:r>
          </w:p>
        </w:tc>
        <w:tc>
          <w:tcPr>
            <w:tcW w:w="1366" w:type="dxa"/>
            <w:vAlign w:val="center"/>
          </w:tcPr>
          <w:p w:rsidR="00401BA9" w:rsidRPr="005E4729" w:rsidRDefault="00401BA9" w:rsidP="00B473A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951</w:t>
            </w:r>
          </w:p>
        </w:tc>
        <w:tc>
          <w:tcPr>
            <w:tcW w:w="1401" w:type="dxa"/>
            <w:vAlign w:val="center"/>
          </w:tcPr>
          <w:p w:rsidR="00401BA9" w:rsidRPr="005E4729" w:rsidRDefault="00401BA9" w:rsidP="00B473A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3 847</w:t>
            </w:r>
          </w:p>
        </w:tc>
        <w:tc>
          <w:tcPr>
            <w:tcW w:w="1502" w:type="dxa"/>
            <w:vAlign w:val="center"/>
          </w:tcPr>
          <w:p w:rsidR="00401BA9" w:rsidRPr="005E4729" w:rsidRDefault="00401BA9" w:rsidP="00B473A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2 872</w:t>
            </w:r>
          </w:p>
        </w:tc>
        <w:tc>
          <w:tcPr>
            <w:tcW w:w="1503" w:type="dxa"/>
            <w:vAlign w:val="center"/>
          </w:tcPr>
          <w:p w:rsidR="00401BA9" w:rsidRPr="005E4729" w:rsidRDefault="00401BA9" w:rsidP="00B473A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2 430</w:t>
            </w:r>
          </w:p>
        </w:tc>
        <w:tc>
          <w:tcPr>
            <w:tcW w:w="1280" w:type="dxa"/>
            <w:vAlign w:val="center"/>
          </w:tcPr>
          <w:p w:rsidR="00401BA9" w:rsidRPr="005E4729" w:rsidRDefault="00401BA9" w:rsidP="00B473A8">
            <w:pPr>
              <w:ind w:left="142" w:hanging="142"/>
              <w:jc w:val="right"/>
              <w:rPr>
                <w:rFonts w:ascii="Times New Roman" w:hAnsi="Times New Roman" w:cs="Times New Roman"/>
                <w:b/>
                <w:sz w:val="28"/>
                <w:szCs w:val="28"/>
              </w:rPr>
            </w:pPr>
            <w:r w:rsidRPr="005E4729">
              <w:rPr>
                <w:rFonts w:ascii="Times New Roman" w:hAnsi="Times New Roman" w:cs="Times New Roman"/>
                <w:b/>
                <w:sz w:val="28"/>
                <w:szCs w:val="28"/>
              </w:rPr>
              <w:t>10 100</w:t>
            </w:r>
          </w:p>
        </w:tc>
      </w:tr>
    </w:tbl>
    <w:p w:rsidR="00401BA9" w:rsidRPr="005E4729" w:rsidRDefault="00401BA9" w:rsidP="00401BA9">
      <w:pPr>
        <w:spacing w:after="0"/>
        <w:jc w:val="both"/>
        <w:rPr>
          <w:rFonts w:ascii="Times New Roman" w:hAnsi="Times New Roman" w:cs="Times New Roman"/>
          <w:sz w:val="28"/>
          <w:szCs w:val="28"/>
        </w:rPr>
      </w:pPr>
    </w:p>
    <w:p w:rsidR="007E490B" w:rsidRDefault="007E490B" w:rsidP="007E490B">
      <w:pPr>
        <w:spacing w:after="0"/>
        <w:ind w:firstLine="720"/>
        <w:jc w:val="both"/>
        <w:rPr>
          <w:rFonts w:ascii="Times New Roman" w:hAnsi="Times New Roman" w:cs="Times New Roman"/>
          <w:sz w:val="28"/>
          <w:szCs w:val="28"/>
        </w:rPr>
      </w:pPr>
      <w:r w:rsidRPr="007E490B">
        <w:rPr>
          <w:rFonts w:ascii="Times New Roman" w:hAnsi="Times New Roman" w:cs="Times New Roman"/>
          <w:sz w:val="28"/>
          <w:szCs w:val="28"/>
        </w:rPr>
        <w:lastRenderedPageBreak/>
        <w:t>Vienotās rīcības JAMIE darbība ir plānota no 2011.gada 1.aprīļa līdz 2014.gada 1.aprīlim.</w:t>
      </w:r>
      <w:r>
        <w:rPr>
          <w:rFonts w:ascii="Times New Roman" w:hAnsi="Times New Roman" w:cs="Times New Roman"/>
          <w:sz w:val="28"/>
          <w:szCs w:val="28"/>
        </w:rPr>
        <w:t xml:space="preserve"> </w:t>
      </w:r>
      <w:r w:rsidRPr="007E490B">
        <w:rPr>
          <w:rFonts w:ascii="Times New Roman" w:hAnsi="Times New Roman" w:cs="Times New Roman"/>
          <w:sz w:val="28"/>
          <w:szCs w:val="28"/>
        </w:rPr>
        <w:t>Saskaņā ar Vienotās rīcības JAMIE granta vienošanos  Eiropas Komisija līdzfinansēs Vienoto rīcību JAMIE līdz 2014.gada 1.aprīlim un tas nav pretrunā ar  Eiropas Komisijas Otrās Kopienas rīcības programmas sabiedrības veselības jomā (2008. – 2013.gadam) finanšu periodu.</w:t>
      </w:r>
    </w:p>
    <w:p w:rsidR="0070532E" w:rsidRDefault="0070532E" w:rsidP="007E490B">
      <w:pPr>
        <w:spacing w:after="0"/>
        <w:ind w:firstLine="720"/>
        <w:jc w:val="both"/>
        <w:rPr>
          <w:rFonts w:ascii="Times New Roman" w:hAnsi="Times New Roman" w:cs="Times New Roman"/>
          <w:sz w:val="28"/>
          <w:szCs w:val="28"/>
        </w:rPr>
      </w:pPr>
      <w:r w:rsidRPr="00213D2E">
        <w:rPr>
          <w:rFonts w:ascii="Times New Roman" w:hAnsi="Times New Roman" w:cs="Times New Roman"/>
          <w:sz w:val="28"/>
          <w:szCs w:val="28"/>
        </w:rPr>
        <w:t xml:space="preserve">Eiropas Komisijas piešķirtais finansējums dalībai Vienotajā rīcībā </w:t>
      </w:r>
      <w:r>
        <w:rPr>
          <w:rFonts w:ascii="Times New Roman" w:hAnsi="Times New Roman" w:cs="Times New Roman"/>
          <w:sz w:val="28"/>
          <w:szCs w:val="28"/>
        </w:rPr>
        <w:t>JAMIE</w:t>
      </w:r>
      <w:r w:rsidRPr="00213D2E">
        <w:rPr>
          <w:rFonts w:ascii="Times New Roman" w:hAnsi="Times New Roman" w:cs="Times New Roman"/>
          <w:sz w:val="28"/>
          <w:szCs w:val="28"/>
        </w:rPr>
        <w:t xml:space="preserve"> plānots Veselības ministrijas apakšprogrammā 70.07.00 „Citu Eiropas Kopienas projektu īstenošana</w:t>
      </w:r>
      <w:r w:rsidRPr="00400699">
        <w:rPr>
          <w:rFonts w:ascii="Times New Roman" w:hAnsi="Times New Roman" w:cs="Times New Roman"/>
          <w:sz w:val="28"/>
          <w:szCs w:val="28"/>
        </w:rPr>
        <w:t xml:space="preserve">”, kurā tiks iekļauti arī papildus valsts budžeta līdzekļi līdzfinansējuma daļas nodrošināšanai 2013. un 2014.gadā. Vienotās rīcības </w:t>
      </w:r>
      <w:r>
        <w:rPr>
          <w:rFonts w:ascii="Times New Roman" w:hAnsi="Times New Roman" w:cs="Times New Roman"/>
          <w:sz w:val="28"/>
          <w:szCs w:val="28"/>
        </w:rPr>
        <w:t>JAMIE</w:t>
      </w:r>
      <w:r w:rsidRPr="00400699">
        <w:rPr>
          <w:rFonts w:ascii="Times New Roman" w:hAnsi="Times New Roman" w:cs="Times New Roman"/>
          <w:sz w:val="28"/>
          <w:szCs w:val="28"/>
        </w:rPr>
        <w:t xml:space="preserve"> realizācijā iesaistīto darbinieku atlīdzības daļa, kas tika nodrošināta kā līdzfinansējums, līdz 2012.gada 31.martam tika nodrošināta no programmas 45.00.00 „Ārstniecības finansējuma nodrošināšana”, no 2012.gada 1.aprīļa līdz 31.decembrim – no apakšprogrammas 39.01.00 „Infekcijas slimību specifiskā diagnostika, ārstēšana un  profilakse”, bet 2013.gadā tika nodrošināta no apakšprogrammas 46.03.00 „Slimību profilakses nodrošināšana”.</w:t>
      </w:r>
      <w:r w:rsidR="00C77AF3">
        <w:rPr>
          <w:rFonts w:ascii="Times New Roman" w:hAnsi="Times New Roman" w:cs="Times New Roman"/>
          <w:sz w:val="28"/>
          <w:szCs w:val="28"/>
        </w:rPr>
        <w:t xml:space="preserve"> </w:t>
      </w:r>
      <w:r w:rsidR="00C77AF3" w:rsidRPr="00C77AF3">
        <w:rPr>
          <w:rFonts w:ascii="Times New Roman" w:hAnsi="Times New Roman" w:cs="Times New Roman"/>
          <w:sz w:val="28"/>
          <w:szCs w:val="28"/>
        </w:rPr>
        <w:t>Veselības ministrija atbilstoši normatīvajos aktos noteiktajam iesniegs Finanšu ministrijai priekšlikumu  apropriācijas pārdalei starp budžeta apakšprogrammu 46.03.00 „Slimību profilakses nodrošināšana” un 70.07.00 „Citu Eiropas Kopienas projektu īstenošana” 452 LVL apmērā par SPKC nodrošināto līdzfinansējumu no 2013.gada janvāra līdz aprīlim.</w:t>
      </w:r>
    </w:p>
    <w:p w:rsidR="00190F68" w:rsidRPr="005E4729" w:rsidRDefault="00190F68" w:rsidP="007E490B">
      <w:pPr>
        <w:spacing w:after="0"/>
        <w:ind w:right="-1" w:firstLine="850"/>
        <w:jc w:val="both"/>
        <w:rPr>
          <w:rFonts w:ascii="Times New Roman" w:hAnsi="Times New Roman" w:cs="Times New Roman"/>
          <w:sz w:val="28"/>
          <w:szCs w:val="28"/>
        </w:rPr>
      </w:pPr>
      <w:r w:rsidRPr="005E4729">
        <w:rPr>
          <w:rFonts w:ascii="Times New Roman" w:hAnsi="Times New Roman" w:cs="Times New Roman"/>
          <w:sz w:val="28"/>
          <w:szCs w:val="28"/>
        </w:rPr>
        <w:t>Sākotnēji (līdz 2011.gada 31.oktobrim) Vienotās rīcības JAMIE realizācijā piedalījās Veselības ekonomikas centrs, no 2011.gada 1.novembra līdz 2012.gada 31.martam – Nacionālais veselības dienests, bet no 2012.gada 1.aprīļa iestāžu reorganizācijas rezultātā dalību pārņēma SPKC. Ņemot vērā krīzes laikā realizētos fiskālās disciplīnas pasākumus un samazināto finansējumu valsts pārvaldes iestādēm, Veselības norēķinu centrs un Nacionālais veselības dienests dalību Vienotajā rīcībā JAMIE realizēja nodrošinot piemaksas iesaistītajam personālam piešķirto budžeta līdzekļu pamatfunkciju nodrošināšanai ietvaros. Arī SPKC  Vienotās rīcības JAMIE realizāciju pārņēma bez līdzfinansējuma līdzekļiem, tomēr ņemot vērā darbinieku noslogotību SPKC pamatfunkciju nodrošināšanai ir nepieciešams papildus finansējums piemaksu nodrošināšanai par papildus darbu Vienotās rīcības JAMIE ietvaros, lai nodrošinātu iesaistīto darbinieku motivāciju un produktivitāti.</w:t>
      </w:r>
    </w:p>
    <w:p w:rsidR="00401BA9" w:rsidRDefault="00401BA9" w:rsidP="00B473A8">
      <w:pPr>
        <w:spacing w:after="0"/>
        <w:ind w:right="-1" w:firstLine="850"/>
        <w:jc w:val="both"/>
        <w:rPr>
          <w:rFonts w:ascii="Times New Roman" w:hAnsi="Times New Roman" w:cs="Times New Roman"/>
          <w:sz w:val="28"/>
          <w:szCs w:val="28"/>
        </w:rPr>
      </w:pPr>
      <w:r w:rsidRPr="005E4729">
        <w:rPr>
          <w:rFonts w:ascii="Times New Roman" w:hAnsi="Times New Roman" w:cs="Times New Roman"/>
          <w:sz w:val="28"/>
          <w:szCs w:val="28"/>
        </w:rPr>
        <w:t xml:space="preserve">Lai SPKC varētu veiksmīgi nodrošināt dalību Vienotājā rīcībā JAMIE, </w:t>
      </w:r>
      <w:r w:rsidR="00AC65B9" w:rsidRPr="005E4729">
        <w:rPr>
          <w:rFonts w:ascii="Times New Roman" w:hAnsi="Times New Roman" w:cs="Times New Roman"/>
          <w:sz w:val="28"/>
          <w:szCs w:val="28"/>
        </w:rPr>
        <w:t>nodrošinot V</w:t>
      </w:r>
      <w:r w:rsidRPr="005E4729">
        <w:rPr>
          <w:rFonts w:ascii="Times New Roman" w:hAnsi="Times New Roman" w:cs="Times New Roman"/>
          <w:sz w:val="28"/>
          <w:szCs w:val="28"/>
        </w:rPr>
        <w:t>ienotās rīcībās</w:t>
      </w:r>
      <w:r w:rsidR="00AC65B9" w:rsidRPr="005E4729">
        <w:rPr>
          <w:rFonts w:ascii="Times New Roman" w:hAnsi="Times New Roman" w:cs="Times New Roman"/>
          <w:sz w:val="28"/>
          <w:szCs w:val="28"/>
        </w:rPr>
        <w:t xml:space="preserve"> JAMIE</w:t>
      </w:r>
      <w:r w:rsidRPr="005E4729">
        <w:rPr>
          <w:rFonts w:ascii="Times New Roman" w:hAnsi="Times New Roman" w:cs="Times New Roman"/>
          <w:sz w:val="28"/>
          <w:szCs w:val="28"/>
        </w:rPr>
        <w:t xml:space="preserve"> realizācijā iesaistītajiem darbiniekiem piemaksas par papildus </w:t>
      </w:r>
      <w:r w:rsidR="00AC65B9" w:rsidRPr="005E4729">
        <w:rPr>
          <w:rFonts w:ascii="Times New Roman" w:hAnsi="Times New Roman" w:cs="Times New Roman"/>
          <w:sz w:val="28"/>
          <w:szCs w:val="28"/>
        </w:rPr>
        <w:t>amata pienākumiem veikto darbu V</w:t>
      </w:r>
      <w:r w:rsidRPr="005E4729">
        <w:rPr>
          <w:rFonts w:ascii="Times New Roman" w:hAnsi="Times New Roman" w:cs="Times New Roman"/>
          <w:sz w:val="28"/>
          <w:szCs w:val="28"/>
        </w:rPr>
        <w:t>ienotās rīcības</w:t>
      </w:r>
      <w:r w:rsidR="00AC65B9" w:rsidRPr="005E4729">
        <w:rPr>
          <w:rFonts w:ascii="Times New Roman" w:hAnsi="Times New Roman" w:cs="Times New Roman"/>
          <w:sz w:val="28"/>
          <w:szCs w:val="28"/>
        </w:rPr>
        <w:t xml:space="preserve"> JAMIE</w:t>
      </w:r>
      <w:r w:rsidRPr="005E4729">
        <w:rPr>
          <w:rFonts w:ascii="Times New Roman" w:hAnsi="Times New Roman" w:cs="Times New Roman"/>
          <w:sz w:val="28"/>
          <w:szCs w:val="28"/>
        </w:rPr>
        <w:t xml:space="preserve"> ietvaros, ierobežotā finansējuma apstākļos, ir nepieciešams papildus </w:t>
      </w:r>
      <w:r w:rsidRPr="005E4729">
        <w:rPr>
          <w:rFonts w:ascii="Times New Roman" w:hAnsi="Times New Roman" w:cs="Times New Roman"/>
          <w:sz w:val="28"/>
          <w:szCs w:val="28"/>
        </w:rPr>
        <w:lastRenderedPageBreak/>
        <w:t>finansējums līdzfinansējuma nodrošināšanai 2 91</w:t>
      </w:r>
      <w:r w:rsidR="0062481F" w:rsidRPr="005E4729">
        <w:rPr>
          <w:rFonts w:ascii="Times New Roman" w:hAnsi="Times New Roman" w:cs="Times New Roman"/>
          <w:sz w:val="28"/>
          <w:szCs w:val="28"/>
        </w:rPr>
        <w:t>4</w:t>
      </w:r>
      <w:r w:rsidRPr="005E4729">
        <w:rPr>
          <w:rFonts w:ascii="Times New Roman" w:hAnsi="Times New Roman" w:cs="Times New Roman"/>
          <w:sz w:val="28"/>
          <w:szCs w:val="28"/>
        </w:rPr>
        <w:t> LVL (2013.gadā – 1 23</w:t>
      </w:r>
      <w:r w:rsidR="0062481F" w:rsidRPr="005E4729">
        <w:rPr>
          <w:rFonts w:ascii="Times New Roman" w:hAnsi="Times New Roman" w:cs="Times New Roman"/>
          <w:sz w:val="28"/>
          <w:szCs w:val="28"/>
        </w:rPr>
        <w:t>2</w:t>
      </w:r>
      <w:r w:rsidRPr="005E4729">
        <w:rPr>
          <w:rFonts w:ascii="Times New Roman" w:hAnsi="Times New Roman" w:cs="Times New Roman"/>
          <w:sz w:val="28"/>
          <w:szCs w:val="28"/>
        </w:rPr>
        <w:t xml:space="preserve"> LVL un 2014.gadā – 1 682 LVL), kura piešķiršanai atbilstoši Likuma par budžetu un finanšu vadību 24.panta trešajai daļai ir nepieciešams attiecīgs Ministru kabineta lēmums.</w:t>
      </w:r>
    </w:p>
    <w:p w:rsidR="00401BA9" w:rsidRDefault="00401BA9" w:rsidP="00401BA9">
      <w:pPr>
        <w:spacing w:after="0"/>
        <w:ind w:left="567" w:right="-710"/>
        <w:jc w:val="both"/>
        <w:rPr>
          <w:rFonts w:ascii="Times New Roman" w:hAnsi="Times New Roman" w:cs="Times New Roman"/>
          <w:sz w:val="28"/>
          <w:szCs w:val="28"/>
        </w:rPr>
      </w:pPr>
    </w:p>
    <w:p w:rsidR="00D70EBD" w:rsidRPr="006334D2" w:rsidRDefault="00D70EBD" w:rsidP="00401BA9">
      <w:pPr>
        <w:spacing w:after="0"/>
        <w:ind w:left="567" w:right="-710"/>
        <w:jc w:val="both"/>
        <w:rPr>
          <w:rFonts w:ascii="Times New Roman" w:hAnsi="Times New Roman" w:cs="Times New Roman"/>
          <w:sz w:val="28"/>
          <w:szCs w:val="28"/>
        </w:rPr>
      </w:pPr>
    </w:p>
    <w:p w:rsidR="00401BA9" w:rsidRDefault="00401BA9" w:rsidP="00F74575">
      <w:pPr>
        <w:pStyle w:val="NormalWeb"/>
        <w:spacing w:before="0" w:beforeAutospacing="0" w:after="0" w:afterAutospacing="0"/>
        <w:ind w:right="-1"/>
        <w:jc w:val="both"/>
        <w:rPr>
          <w:sz w:val="28"/>
          <w:szCs w:val="28"/>
        </w:rPr>
      </w:pPr>
      <w:r>
        <w:rPr>
          <w:sz w:val="28"/>
          <w:szCs w:val="28"/>
        </w:rPr>
        <w:t>Veselības ministre                                                                                  I.Circene</w:t>
      </w:r>
    </w:p>
    <w:p w:rsidR="00401BA9" w:rsidRDefault="00401BA9" w:rsidP="00F74575">
      <w:pPr>
        <w:spacing w:after="0" w:line="240" w:lineRule="auto"/>
        <w:ind w:right="-1"/>
        <w:rPr>
          <w:rFonts w:ascii="Times New Roman" w:hAnsi="Times New Roman" w:cs="Times New Roman"/>
          <w:sz w:val="24"/>
          <w:szCs w:val="24"/>
        </w:rPr>
      </w:pPr>
    </w:p>
    <w:p w:rsidR="00D70EBD" w:rsidRDefault="00D70EBD" w:rsidP="00F74575">
      <w:pPr>
        <w:spacing w:after="0" w:line="240" w:lineRule="auto"/>
        <w:ind w:right="-1"/>
        <w:rPr>
          <w:rFonts w:ascii="Times New Roman" w:hAnsi="Times New Roman" w:cs="Times New Roman"/>
          <w:sz w:val="24"/>
          <w:szCs w:val="24"/>
        </w:rPr>
      </w:pPr>
    </w:p>
    <w:p w:rsidR="00D70EBD" w:rsidRDefault="00D70EBD" w:rsidP="00F74575">
      <w:pPr>
        <w:spacing w:after="0" w:line="240" w:lineRule="auto"/>
        <w:ind w:right="-1"/>
        <w:rPr>
          <w:rFonts w:ascii="Times New Roman" w:hAnsi="Times New Roman" w:cs="Times New Roman"/>
          <w:sz w:val="24"/>
          <w:szCs w:val="24"/>
        </w:rPr>
      </w:pPr>
    </w:p>
    <w:p w:rsidR="00D70EBD" w:rsidRPr="004333C6" w:rsidRDefault="00D70EBD" w:rsidP="00F74575">
      <w:pPr>
        <w:spacing w:after="0" w:line="240" w:lineRule="auto"/>
        <w:ind w:right="-1"/>
        <w:rPr>
          <w:rFonts w:ascii="Times New Roman" w:hAnsi="Times New Roman" w:cs="Times New Roman"/>
          <w:sz w:val="24"/>
          <w:szCs w:val="24"/>
        </w:rPr>
      </w:pPr>
    </w:p>
    <w:p w:rsidR="005C5775" w:rsidRDefault="00900646" w:rsidP="00F7457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03.09.2013 9:16</w:t>
      </w:r>
    </w:p>
    <w:p w:rsidR="00401BA9" w:rsidRDefault="00AC30B9" w:rsidP="00F7457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1 </w:t>
      </w:r>
      <w:r w:rsidR="00DB6B46">
        <w:rPr>
          <w:rFonts w:ascii="Times New Roman" w:hAnsi="Times New Roman" w:cs="Times New Roman"/>
          <w:sz w:val="24"/>
          <w:szCs w:val="24"/>
        </w:rPr>
        <w:t>118</w:t>
      </w:r>
    </w:p>
    <w:p w:rsidR="00401BA9" w:rsidRPr="004333C6" w:rsidRDefault="00401BA9" w:rsidP="00F74575">
      <w:pPr>
        <w:spacing w:after="0" w:line="240" w:lineRule="auto"/>
        <w:ind w:right="-1"/>
        <w:rPr>
          <w:rFonts w:ascii="Times New Roman" w:hAnsi="Times New Roman" w:cs="Times New Roman"/>
          <w:sz w:val="24"/>
          <w:szCs w:val="24"/>
        </w:rPr>
      </w:pPr>
      <w:r>
        <w:rPr>
          <w:rFonts w:ascii="Times New Roman" w:hAnsi="Times New Roman" w:cs="Times New Roman"/>
          <w:sz w:val="24"/>
          <w:szCs w:val="24"/>
        </w:rPr>
        <w:t>Elīna Praudiņa</w:t>
      </w:r>
    </w:p>
    <w:p w:rsidR="00401BA9" w:rsidRPr="004333C6" w:rsidRDefault="00401BA9" w:rsidP="00F74575">
      <w:pPr>
        <w:spacing w:after="0" w:line="240" w:lineRule="auto"/>
        <w:ind w:right="-1"/>
        <w:rPr>
          <w:rFonts w:ascii="Times New Roman" w:hAnsi="Times New Roman" w:cs="Times New Roman"/>
          <w:sz w:val="24"/>
          <w:szCs w:val="24"/>
        </w:rPr>
      </w:pPr>
      <w:r w:rsidRPr="004333C6">
        <w:rPr>
          <w:rFonts w:ascii="Times New Roman" w:hAnsi="Times New Roman" w:cs="Times New Roman"/>
          <w:sz w:val="24"/>
          <w:szCs w:val="24"/>
        </w:rPr>
        <w:t>tālr. 67876</w:t>
      </w:r>
      <w:r>
        <w:rPr>
          <w:rFonts w:ascii="Times New Roman" w:hAnsi="Times New Roman" w:cs="Times New Roman"/>
          <w:sz w:val="24"/>
          <w:szCs w:val="24"/>
        </w:rPr>
        <w:t>045</w:t>
      </w:r>
    </w:p>
    <w:p w:rsidR="00401BA9" w:rsidRPr="004333C6" w:rsidRDefault="0003776A" w:rsidP="00F74575">
      <w:pPr>
        <w:spacing w:after="0" w:line="240" w:lineRule="auto"/>
        <w:ind w:right="-1"/>
        <w:jc w:val="both"/>
        <w:rPr>
          <w:rFonts w:ascii="Times New Roman" w:hAnsi="Times New Roman" w:cs="Times New Roman"/>
          <w:sz w:val="24"/>
          <w:szCs w:val="24"/>
        </w:rPr>
      </w:pPr>
      <w:hyperlink r:id="rId7" w:history="1">
        <w:r w:rsidR="00401BA9" w:rsidRPr="009426E1">
          <w:rPr>
            <w:rStyle w:val="Hyperlink"/>
            <w:rFonts w:ascii="Times New Roman" w:hAnsi="Times New Roman" w:cs="Times New Roman"/>
            <w:sz w:val="24"/>
            <w:szCs w:val="24"/>
          </w:rPr>
          <w:t>Elina.Praudina@vm.gov.lv</w:t>
        </w:r>
      </w:hyperlink>
    </w:p>
    <w:p w:rsidR="00F07C32" w:rsidRDefault="00F07C32" w:rsidP="00F74575">
      <w:pPr>
        <w:ind w:right="-1"/>
      </w:pPr>
    </w:p>
    <w:sectPr w:rsidR="00F07C32" w:rsidSect="00994D6B">
      <w:headerReference w:type="default" r:id="rId8"/>
      <w:footerReference w:type="default" r:id="rId9"/>
      <w:footerReference w:type="first" r:id="rId10"/>
      <w:pgSz w:w="11906" w:h="16838" w:code="9"/>
      <w:pgMar w:top="147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D5" w:rsidRDefault="009C07D5" w:rsidP="00994D6B">
      <w:pPr>
        <w:spacing w:after="0" w:line="240" w:lineRule="auto"/>
      </w:pPr>
      <w:r>
        <w:separator/>
      </w:r>
    </w:p>
  </w:endnote>
  <w:endnote w:type="continuationSeparator" w:id="0">
    <w:p w:rsidR="009C07D5" w:rsidRDefault="009C07D5" w:rsidP="0099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D5" w:rsidRPr="00C53992" w:rsidRDefault="00AC30B9" w:rsidP="00CA6D37">
    <w:pPr>
      <w:spacing w:after="0"/>
      <w:jc w:val="both"/>
      <w:rPr>
        <w:rFonts w:ascii="Times New Roman" w:hAnsi="Times New Roman" w:cs="Times New Roman"/>
        <w:sz w:val="20"/>
        <w:szCs w:val="20"/>
      </w:rPr>
    </w:pPr>
    <w:r>
      <w:rPr>
        <w:rFonts w:ascii="Times New Roman" w:hAnsi="Times New Roman" w:cs="Times New Roman"/>
        <w:sz w:val="20"/>
        <w:szCs w:val="20"/>
      </w:rPr>
      <w:t>VMZino_</w:t>
    </w:r>
    <w:r w:rsidR="005117B0">
      <w:rPr>
        <w:rFonts w:ascii="Times New Roman" w:hAnsi="Times New Roman" w:cs="Times New Roman"/>
        <w:sz w:val="20"/>
        <w:szCs w:val="20"/>
      </w:rPr>
      <w:t>0309</w:t>
    </w:r>
    <w:r w:rsidR="009C07D5">
      <w:rPr>
        <w:rFonts w:ascii="Times New Roman" w:hAnsi="Times New Roman" w:cs="Times New Roman"/>
        <w:sz w:val="20"/>
        <w:szCs w:val="20"/>
      </w:rPr>
      <w:t xml:space="preserve">13_JAMIE; </w:t>
    </w:r>
    <w:r w:rsidR="009C07D5" w:rsidRPr="00C53992">
      <w:rPr>
        <w:rFonts w:ascii="Times New Roman" w:hAnsi="Times New Roman" w:cs="Times New Roman"/>
        <w:sz w:val="20"/>
        <w:szCs w:val="20"/>
      </w:rPr>
      <w:t>Informatīvais ziņojums par Eiropas Komisijas Otrās Kopienas rīcības programmas sabiedrības veselības jomā (2008. – 2013.gadam) vienoto rīcību „Traumu uzraudzība Eiropā” (JAMIE)</w:t>
    </w:r>
  </w:p>
  <w:p w:rsidR="009C07D5" w:rsidRDefault="009C0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D5" w:rsidRPr="00C53992" w:rsidRDefault="00AC30B9" w:rsidP="00CA6D37">
    <w:pPr>
      <w:spacing w:after="0"/>
      <w:jc w:val="both"/>
      <w:rPr>
        <w:rFonts w:ascii="Times New Roman" w:hAnsi="Times New Roman" w:cs="Times New Roman"/>
        <w:sz w:val="20"/>
        <w:szCs w:val="20"/>
      </w:rPr>
    </w:pPr>
    <w:r>
      <w:rPr>
        <w:rFonts w:ascii="Times New Roman" w:hAnsi="Times New Roman" w:cs="Times New Roman"/>
        <w:sz w:val="20"/>
        <w:szCs w:val="20"/>
      </w:rPr>
      <w:t>VMZino_</w:t>
    </w:r>
    <w:r w:rsidR="005117B0">
      <w:rPr>
        <w:rFonts w:ascii="Times New Roman" w:hAnsi="Times New Roman" w:cs="Times New Roman"/>
        <w:sz w:val="20"/>
        <w:szCs w:val="20"/>
      </w:rPr>
      <w:t>0309</w:t>
    </w:r>
    <w:r w:rsidR="009C07D5">
      <w:rPr>
        <w:rFonts w:ascii="Times New Roman" w:hAnsi="Times New Roman" w:cs="Times New Roman"/>
        <w:sz w:val="20"/>
        <w:szCs w:val="20"/>
      </w:rPr>
      <w:t xml:space="preserve">13_JAMIE; </w:t>
    </w:r>
    <w:r w:rsidR="009C07D5" w:rsidRPr="00C53992">
      <w:rPr>
        <w:rFonts w:ascii="Times New Roman" w:hAnsi="Times New Roman" w:cs="Times New Roman"/>
        <w:sz w:val="20"/>
        <w:szCs w:val="20"/>
      </w:rPr>
      <w:t>Informatīvais ziņojums par Eiropas Komisijas Otrās Kopienas rīcības programmas sabiedrības veselības jomā (2008. – 2013.gadam) vienoto rīcību „Traumu uzraudzība Eiropā” (JAMIE)</w:t>
    </w:r>
  </w:p>
  <w:p w:rsidR="009C07D5" w:rsidRDefault="009C0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D5" w:rsidRDefault="009C07D5" w:rsidP="00994D6B">
      <w:pPr>
        <w:spacing w:after="0" w:line="240" w:lineRule="auto"/>
      </w:pPr>
      <w:r>
        <w:separator/>
      </w:r>
    </w:p>
  </w:footnote>
  <w:footnote w:type="continuationSeparator" w:id="0">
    <w:p w:rsidR="009C07D5" w:rsidRDefault="009C07D5" w:rsidP="00994D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516"/>
      <w:docPartObj>
        <w:docPartGallery w:val="Page Numbers (Top of Page)"/>
        <w:docPartUnique/>
      </w:docPartObj>
    </w:sdtPr>
    <w:sdtContent>
      <w:p w:rsidR="009C07D5" w:rsidRDefault="0003776A">
        <w:pPr>
          <w:pStyle w:val="Header"/>
          <w:jc w:val="center"/>
        </w:pPr>
        <w:fldSimple w:instr=" PAGE   \* MERGEFORMAT ">
          <w:r w:rsidR="00900646">
            <w:rPr>
              <w:noProof/>
            </w:rPr>
            <w:t>5</w:t>
          </w:r>
        </w:fldSimple>
      </w:p>
    </w:sdtContent>
  </w:sdt>
  <w:p w:rsidR="009C07D5" w:rsidRDefault="009C0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8D71DFC"/>
    <w:multiLevelType w:val="hybridMultilevel"/>
    <w:tmpl w:val="3CFAC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5AE0020"/>
    <w:multiLevelType w:val="hybridMultilevel"/>
    <w:tmpl w:val="E3B2DBA8"/>
    <w:lvl w:ilvl="0" w:tplc="93604EEA">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6B1590"/>
    <w:multiLevelType w:val="hybridMultilevel"/>
    <w:tmpl w:val="263C2780"/>
    <w:lvl w:ilvl="0" w:tplc="86DE682E">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4D6B"/>
    <w:rsid w:val="0003776A"/>
    <w:rsid w:val="00053878"/>
    <w:rsid w:val="00080BF6"/>
    <w:rsid w:val="000C7D26"/>
    <w:rsid w:val="00172A11"/>
    <w:rsid w:val="00190F68"/>
    <w:rsid w:val="001B5174"/>
    <w:rsid w:val="002172BE"/>
    <w:rsid w:val="003211EA"/>
    <w:rsid w:val="00394D29"/>
    <w:rsid w:val="003F1F5C"/>
    <w:rsid w:val="00401BA9"/>
    <w:rsid w:val="00405E06"/>
    <w:rsid w:val="004946F2"/>
    <w:rsid w:val="00503361"/>
    <w:rsid w:val="005117B0"/>
    <w:rsid w:val="0052342A"/>
    <w:rsid w:val="0056665B"/>
    <w:rsid w:val="005C5775"/>
    <w:rsid w:val="005E4729"/>
    <w:rsid w:val="0062481F"/>
    <w:rsid w:val="0064582C"/>
    <w:rsid w:val="00652B80"/>
    <w:rsid w:val="0067615D"/>
    <w:rsid w:val="0070532E"/>
    <w:rsid w:val="007063EB"/>
    <w:rsid w:val="00717C7E"/>
    <w:rsid w:val="00731846"/>
    <w:rsid w:val="007443AD"/>
    <w:rsid w:val="007C64FC"/>
    <w:rsid w:val="007E490B"/>
    <w:rsid w:val="007E6711"/>
    <w:rsid w:val="007F6102"/>
    <w:rsid w:val="008B491B"/>
    <w:rsid w:val="008B57A3"/>
    <w:rsid w:val="008E603E"/>
    <w:rsid w:val="00900646"/>
    <w:rsid w:val="00931FA8"/>
    <w:rsid w:val="009908BB"/>
    <w:rsid w:val="00994D6B"/>
    <w:rsid w:val="009C07D5"/>
    <w:rsid w:val="009E3469"/>
    <w:rsid w:val="00A83578"/>
    <w:rsid w:val="00AB1EAD"/>
    <w:rsid w:val="00AC30B9"/>
    <w:rsid w:val="00AC65B9"/>
    <w:rsid w:val="00B25150"/>
    <w:rsid w:val="00B35A5F"/>
    <w:rsid w:val="00B473A8"/>
    <w:rsid w:val="00B900E9"/>
    <w:rsid w:val="00BE507D"/>
    <w:rsid w:val="00C77AF3"/>
    <w:rsid w:val="00CA6D37"/>
    <w:rsid w:val="00D52A49"/>
    <w:rsid w:val="00D70EBD"/>
    <w:rsid w:val="00DB6B46"/>
    <w:rsid w:val="00DE088F"/>
    <w:rsid w:val="00E27950"/>
    <w:rsid w:val="00EA640D"/>
    <w:rsid w:val="00EC6B49"/>
    <w:rsid w:val="00EF2C14"/>
    <w:rsid w:val="00F07C32"/>
    <w:rsid w:val="00F347A4"/>
    <w:rsid w:val="00F61645"/>
    <w:rsid w:val="00F639DF"/>
    <w:rsid w:val="00F74575"/>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D6B"/>
    <w:pPr>
      <w:ind w:left="720"/>
      <w:contextualSpacing/>
    </w:pPr>
  </w:style>
  <w:style w:type="paragraph" w:styleId="Header">
    <w:name w:val="header"/>
    <w:basedOn w:val="Normal"/>
    <w:link w:val="HeaderChar"/>
    <w:uiPriority w:val="99"/>
    <w:unhideWhenUsed/>
    <w:rsid w:val="00994D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4D6B"/>
  </w:style>
  <w:style w:type="paragraph" w:styleId="Footer">
    <w:name w:val="footer"/>
    <w:basedOn w:val="Normal"/>
    <w:link w:val="FooterChar"/>
    <w:uiPriority w:val="99"/>
    <w:semiHidden/>
    <w:unhideWhenUsed/>
    <w:rsid w:val="00994D6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4D6B"/>
  </w:style>
  <w:style w:type="table" w:styleId="TableGrid">
    <w:name w:val="Table Grid"/>
    <w:basedOn w:val="TableNormal"/>
    <w:uiPriority w:val="59"/>
    <w:rsid w:val="00401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1B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01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na.Praudin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Informatīvais ziņojums par Eiropas Komisijas Otrās Kopienas rīcības programmas sabiedrības veselības jomā (2008. – 2013.gadam) vienoto rīcību „Traumu uzraudzība Eiropā” (JAMIE)</vt:lpstr>
    </vt:vector>
  </TitlesOfParts>
  <Company>Veselības ministrija</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Otrās Kopienas rīcības programmas sabiedrības veselības jomā (2008. – 2013.gadam) vienoto rīcību „Traumu uzraudzība Eiropā” (JAMIE)</dc:title>
  <dc:subject>Informatīvais ziņojums JAMIE</dc:subject>
  <dc:creator>Elīna Praudiņa</dc:creator>
  <cp:keywords>JAMIE</cp:keywords>
  <dc:description>Budžeta un investīciju departamenta
Finanšu analīzes un investīciju koordinācijas nodaļas vecākā referente Elīna Praudiņa
Elina.Praudina@vm.gov.lv
67876045</dc:description>
  <cp:lastModifiedBy>Epraudina</cp:lastModifiedBy>
  <cp:revision>4</cp:revision>
  <dcterms:created xsi:type="dcterms:W3CDTF">2013-09-03T05:59:00Z</dcterms:created>
  <dcterms:modified xsi:type="dcterms:W3CDTF">2013-09-03T06:16:00Z</dcterms:modified>
</cp:coreProperties>
</file>