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4C" w:rsidRDefault="0040040B" w:rsidP="0031284C">
      <w:pPr>
        <w:jc w:val="right"/>
        <w:rPr>
          <w:rFonts w:ascii="Times New Roman" w:hAnsi="Times New Roman" w:cs="Times New Roman"/>
          <w:b/>
          <w:sz w:val="24"/>
          <w:szCs w:val="24"/>
          <w:lang w:val="lv-LV"/>
        </w:rPr>
      </w:pPr>
      <w:r>
        <w:rPr>
          <w:rFonts w:ascii="Times New Roman" w:hAnsi="Times New Roman" w:cs="Times New Roman"/>
          <w:b/>
          <w:sz w:val="24"/>
          <w:szCs w:val="24"/>
          <w:lang w:val="lv-LV"/>
        </w:rPr>
        <w:t xml:space="preserve"> </w:t>
      </w:r>
      <w:r w:rsidR="00C75586">
        <w:rPr>
          <w:rFonts w:ascii="Times New Roman" w:hAnsi="Times New Roman" w:cs="Times New Roman"/>
          <w:b/>
          <w:sz w:val="24"/>
          <w:szCs w:val="24"/>
          <w:lang w:val="lv-LV"/>
        </w:rPr>
        <w:t>PROJEKTS</w:t>
      </w:r>
    </w:p>
    <w:p w:rsidR="00C75586" w:rsidRPr="008C47BE" w:rsidRDefault="00C75586" w:rsidP="00F469FC">
      <w:pPr>
        <w:spacing w:after="0"/>
        <w:jc w:val="center"/>
        <w:rPr>
          <w:rFonts w:ascii="Times New Roman" w:hAnsi="Times New Roman" w:cs="Times New Roman"/>
          <w:b/>
          <w:sz w:val="24"/>
          <w:szCs w:val="24"/>
          <w:lang w:val="lv-LV"/>
        </w:rPr>
      </w:pPr>
      <w:r w:rsidRPr="008C47BE">
        <w:rPr>
          <w:rFonts w:ascii="Times New Roman" w:hAnsi="Times New Roman" w:cs="Times New Roman"/>
          <w:b/>
          <w:sz w:val="24"/>
          <w:szCs w:val="24"/>
          <w:lang w:val="lv-LV"/>
        </w:rPr>
        <w:t>INFORMATĪVAIS ZIŅOJUMS</w:t>
      </w:r>
    </w:p>
    <w:p w:rsidR="00537277" w:rsidRDefault="00F469FC" w:rsidP="00537277">
      <w:pPr>
        <w:pStyle w:val="NormalWeb"/>
        <w:snapToGrid w:val="0"/>
        <w:spacing w:before="0" w:after="0"/>
        <w:jc w:val="center"/>
        <w:rPr>
          <w:b/>
          <w:sz w:val="28"/>
          <w:szCs w:val="28"/>
        </w:rPr>
      </w:pPr>
      <w:r w:rsidRPr="00F469FC">
        <w:rPr>
          <w:b/>
          <w:sz w:val="28"/>
          <w:szCs w:val="28"/>
        </w:rPr>
        <w:t>Finanšu situācija veselības aprūpes jomā</w:t>
      </w:r>
    </w:p>
    <w:p w:rsidR="00DA46F4" w:rsidRPr="00537277" w:rsidRDefault="00DA46F4" w:rsidP="00A2740E">
      <w:pPr>
        <w:pStyle w:val="NormalWeb"/>
        <w:snapToGrid w:val="0"/>
        <w:spacing w:before="0" w:after="0"/>
        <w:jc w:val="center"/>
        <w:rPr>
          <w:b/>
          <w:sz w:val="28"/>
          <w:szCs w:val="28"/>
        </w:rPr>
      </w:pPr>
    </w:p>
    <w:p w:rsidR="00FD0B9F" w:rsidRPr="00A2740E" w:rsidRDefault="00A0052B" w:rsidP="00A2740E">
      <w:pPr>
        <w:autoSpaceDE w:val="0"/>
        <w:autoSpaceDN w:val="0"/>
        <w:adjustRightInd w:val="0"/>
        <w:spacing w:after="120" w:line="240" w:lineRule="auto"/>
        <w:ind w:firstLine="720"/>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Veselības ministrija atbilstoši Ministru kabineta 2012.gada 16.aug</w:t>
      </w:r>
      <w:r w:rsidR="0014112C">
        <w:rPr>
          <w:rFonts w:ascii="Times New Roman" w:hAnsi="Times New Roman" w:cs="Times New Roman"/>
          <w:color w:val="000000"/>
          <w:sz w:val="24"/>
          <w:szCs w:val="24"/>
          <w:lang w:val="lv-LV"/>
        </w:rPr>
        <w:t>u</w:t>
      </w:r>
      <w:r>
        <w:rPr>
          <w:rFonts w:ascii="Times New Roman" w:hAnsi="Times New Roman" w:cs="Times New Roman"/>
          <w:color w:val="000000"/>
          <w:sz w:val="24"/>
          <w:szCs w:val="24"/>
          <w:lang w:val="lv-LV"/>
        </w:rPr>
        <w:t>sta protokola Nr.46 24.§ Informatīvais ziņojums „Par Sociālās drošības tīkla stratēģijas veselības jomas pasākumu turpināšanu 2013.gadā un turpmākajos gados” 3.punktā dotajam uzdevumam</w:t>
      </w:r>
      <w:r w:rsidR="00FD0B9F">
        <w:rPr>
          <w:rFonts w:ascii="Times New Roman" w:hAnsi="Times New Roman" w:cs="Times New Roman"/>
          <w:color w:val="000000"/>
          <w:sz w:val="24"/>
          <w:szCs w:val="24"/>
          <w:lang w:val="lv-LV"/>
        </w:rPr>
        <w:t>,</w:t>
      </w:r>
      <w:r>
        <w:rPr>
          <w:rFonts w:ascii="Times New Roman" w:hAnsi="Times New Roman" w:cs="Times New Roman"/>
          <w:color w:val="000000"/>
          <w:sz w:val="24"/>
          <w:szCs w:val="24"/>
          <w:lang w:val="lv-LV"/>
        </w:rPr>
        <w:t xml:space="preserve"> sniedz šādu ziņojumu</w:t>
      </w:r>
      <w:r w:rsidR="00FD0B9F">
        <w:rPr>
          <w:rFonts w:ascii="Times New Roman" w:hAnsi="Times New Roman" w:cs="Times New Roman"/>
          <w:color w:val="000000"/>
          <w:sz w:val="24"/>
          <w:szCs w:val="24"/>
          <w:lang w:val="lv-LV"/>
        </w:rPr>
        <w:t xml:space="preserve"> par situāciju veselības aprūpē.</w:t>
      </w:r>
    </w:p>
    <w:p w:rsidR="00FD0B9F" w:rsidRPr="00FD0B9F" w:rsidRDefault="00FD0B9F" w:rsidP="00FD0B9F">
      <w:pPr>
        <w:autoSpaceDE w:val="0"/>
        <w:autoSpaceDN w:val="0"/>
        <w:adjustRightInd w:val="0"/>
        <w:spacing w:after="0" w:line="240" w:lineRule="auto"/>
        <w:jc w:val="center"/>
        <w:rPr>
          <w:rFonts w:ascii="Times New Roman" w:hAnsi="Times New Roman" w:cs="Times New Roman"/>
          <w:b/>
          <w:caps/>
          <w:color w:val="000000"/>
          <w:sz w:val="24"/>
          <w:szCs w:val="24"/>
          <w:lang w:val="lv-LV"/>
        </w:rPr>
      </w:pPr>
      <w:r w:rsidRPr="00FD0B9F">
        <w:rPr>
          <w:rFonts w:ascii="Times New Roman" w:hAnsi="Times New Roman" w:cs="Times New Roman"/>
          <w:b/>
          <w:caps/>
          <w:color w:val="000000"/>
          <w:sz w:val="24"/>
          <w:szCs w:val="24"/>
          <w:lang w:val="lv-LV"/>
        </w:rPr>
        <w:t>Ievads</w:t>
      </w:r>
    </w:p>
    <w:p w:rsidR="0079151A" w:rsidRPr="00FC5F33" w:rsidRDefault="0079151A" w:rsidP="00FD0B9F">
      <w:pPr>
        <w:pStyle w:val="NoSpacing"/>
        <w:jc w:val="center"/>
        <w:rPr>
          <w:rFonts w:ascii="Times New Roman" w:hAnsi="Times New Roman"/>
          <w:b/>
          <w:sz w:val="28"/>
          <w:szCs w:val="28"/>
        </w:rPr>
      </w:pPr>
      <w:r w:rsidRPr="00FC5F33">
        <w:rPr>
          <w:rFonts w:ascii="Times New Roman" w:hAnsi="Times New Roman"/>
          <w:b/>
          <w:sz w:val="28"/>
          <w:szCs w:val="28"/>
        </w:rPr>
        <w:t xml:space="preserve">Veselības aprūpes </w:t>
      </w:r>
      <w:r w:rsidR="00F62954" w:rsidRPr="00FC5F33">
        <w:rPr>
          <w:rFonts w:ascii="Times New Roman" w:hAnsi="Times New Roman"/>
          <w:b/>
          <w:sz w:val="28"/>
          <w:szCs w:val="28"/>
        </w:rPr>
        <w:t>finansējums</w:t>
      </w:r>
    </w:p>
    <w:p w:rsidR="00FD0B9F" w:rsidRPr="00FC5F33" w:rsidRDefault="00FD0B9F" w:rsidP="00537277">
      <w:pPr>
        <w:autoSpaceDE w:val="0"/>
        <w:autoSpaceDN w:val="0"/>
        <w:adjustRightInd w:val="0"/>
        <w:spacing w:after="0" w:line="240" w:lineRule="auto"/>
        <w:jc w:val="both"/>
        <w:rPr>
          <w:rFonts w:ascii="Times New Roman" w:hAnsi="Times New Roman" w:cs="Times New Roman"/>
          <w:sz w:val="28"/>
          <w:szCs w:val="28"/>
          <w:lang w:val="lv-LV"/>
        </w:rPr>
      </w:pPr>
    </w:p>
    <w:p w:rsidR="00BA05D5" w:rsidRPr="004D6C02" w:rsidRDefault="00BA05D5" w:rsidP="00BA05D5">
      <w:pPr>
        <w:spacing w:after="0" w:line="240" w:lineRule="auto"/>
        <w:ind w:firstLine="720"/>
        <w:jc w:val="both"/>
        <w:rPr>
          <w:rFonts w:ascii="Times New Roman" w:hAnsi="Times New Roman" w:cs="Times New Roman"/>
          <w:sz w:val="24"/>
          <w:szCs w:val="24"/>
          <w:lang w:val="lv-LV"/>
        </w:rPr>
      </w:pPr>
      <w:r w:rsidRPr="004D6C02">
        <w:rPr>
          <w:rFonts w:ascii="Times New Roman" w:hAnsi="Times New Roman" w:cs="Times New Roman"/>
          <w:sz w:val="24"/>
          <w:szCs w:val="24"/>
          <w:lang w:val="lv-LV"/>
        </w:rPr>
        <w:t>Veselības ministrija vairākus gadus pēc kārtas ir informējusi valdību, ka finansējums, kas tika ievērojami samazināts krīzes gados (2008. – 2009.gadā), ir nepietiekams veselības aprūpes pakalpojumu nodrošināšanai. Finansējums veselības aprūpes nodrošināšanai 2013.gadā salīdzinājumā ar 2012.gadu nav palielināts. Šāda samazināta finansējuma apstākļos ir apgrūtināti nodrošināt veselības aprūpes pakalpojumu pieejamību, pēctecību un stabilitāti</w:t>
      </w:r>
      <w:r w:rsidR="00CE34B9" w:rsidRPr="004D6C02">
        <w:rPr>
          <w:rFonts w:ascii="Times New Roman" w:hAnsi="Times New Roman" w:cs="Times New Roman"/>
          <w:sz w:val="24"/>
          <w:szCs w:val="24"/>
          <w:lang w:val="lv-LV"/>
        </w:rPr>
        <w:t xml:space="preserve"> </w:t>
      </w:r>
      <w:r w:rsidR="00E565E8" w:rsidRPr="004D6C02">
        <w:rPr>
          <w:rFonts w:ascii="Times New Roman" w:hAnsi="Times New Roman" w:cs="Times New Roman"/>
          <w:sz w:val="24"/>
          <w:szCs w:val="24"/>
          <w:lang w:val="lv-LV"/>
        </w:rPr>
        <w:t>(</w:t>
      </w:r>
      <w:r w:rsidR="00CE34B9" w:rsidRPr="004D6C02">
        <w:rPr>
          <w:rFonts w:ascii="Times New Roman" w:hAnsi="Times New Roman" w:cs="Times New Roman"/>
          <w:sz w:val="24"/>
          <w:szCs w:val="24"/>
          <w:lang w:val="lv-LV"/>
        </w:rPr>
        <w:t>skat.1.</w:t>
      </w:r>
      <w:r w:rsidR="00817788" w:rsidRPr="004D6C02">
        <w:rPr>
          <w:rFonts w:ascii="Times New Roman" w:hAnsi="Times New Roman" w:cs="Times New Roman"/>
          <w:sz w:val="24"/>
          <w:szCs w:val="24"/>
          <w:lang w:val="lv-LV"/>
        </w:rPr>
        <w:t>,2.</w:t>
      </w:r>
      <w:r w:rsidR="00CE34B9" w:rsidRPr="004D6C02">
        <w:rPr>
          <w:rFonts w:ascii="Times New Roman" w:hAnsi="Times New Roman" w:cs="Times New Roman"/>
          <w:sz w:val="24"/>
          <w:szCs w:val="24"/>
          <w:lang w:val="lv-LV"/>
        </w:rPr>
        <w:t>att</w:t>
      </w:r>
      <w:r w:rsidRPr="004D6C02">
        <w:rPr>
          <w:rFonts w:ascii="Times New Roman" w:hAnsi="Times New Roman" w:cs="Times New Roman"/>
          <w:sz w:val="24"/>
          <w:szCs w:val="24"/>
          <w:lang w:val="lv-LV"/>
        </w:rPr>
        <w:t>.</w:t>
      </w:r>
      <w:r w:rsidR="00E565E8" w:rsidRPr="004D6C02">
        <w:rPr>
          <w:rFonts w:ascii="Times New Roman" w:hAnsi="Times New Roman" w:cs="Times New Roman"/>
          <w:sz w:val="24"/>
          <w:szCs w:val="24"/>
          <w:lang w:val="lv-LV"/>
        </w:rPr>
        <w:t>).</w:t>
      </w:r>
    </w:p>
    <w:p w:rsidR="00CE34B9" w:rsidRPr="004D6C02" w:rsidRDefault="00CE34B9" w:rsidP="00CE34B9">
      <w:pPr>
        <w:spacing w:after="0" w:line="240" w:lineRule="auto"/>
        <w:ind w:firstLine="720"/>
        <w:jc w:val="right"/>
        <w:rPr>
          <w:rFonts w:ascii="Times New Roman" w:hAnsi="Times New Roman" w:cs="Times New Roman"/>
          <w:sz w:val="24"/>
          <w:szCs w:val="24"/>
          <w:lang w:val="lv-LV"/>
        </w:rPr>
      </w:pPr>
      <w:r w:rsidRPr="004D6C02">
        <w:rPr>
          <w:rFonts w:ascii="Times New Roman" w:hAnsi="Times New Roman" w:cs="Times New Roman"/>
          <w:sz w:val="24"/>
          <w:szCs w:val="24"/>
          <w:lang w:val="lv-LV"/>
        </w:rPr>
        <w:t>1.attēls</w:t>
      </w:r>
    </w:p>
    <w:p w:rsidR="00CE34B9" w:rsidRDefault="00D876C0" w:rsidP="009B0EF8">
      <w:pPr>
        <w:spacing w:after="0" w:line="240" w:lineRule="auto"/>
        <w:rPr>
          <w:rFonts w:ascii="Times New Roman" w:hAnsi="Times New Roman"/>
          <w:i/>
          <w:sz w:val="24"/>
          <w:szCs w:val="24"/>
          <w:lang w:val="lv-LV"/>
        </w:rPr>
      </w:pPr>
      <w:r w:rsidRPr="003D576E">
        <w:rPr>
          <w:rFonts w:ascii="Times New Roman" w:hAnsi="Times New Roman"/>
          <w:i/>
          <w:sz w:val="24"/>
          <w:szCs w:val="24"/>
          <w:lang w:val="lv-LV"/>
        </w:rPr>
        <w:t>Veselības aprūpes budžets</w:t>
      </w:r>
      <w:r>
        <w:rPr>
          <w:rFonts w:ascii="Times New Roman" w:hAnsi="Times New Roman"/>
          <w:i/>
          <w:sz w:val="24"/>
          <w:szCs w:val="24"/>
          <w:lang w:val="lv-LV"/>
        </w:rPr>
        <w:t xml:space="preserve"> (tai skaitā ES fondi </w:t>
      </w:r>
      <w:r w:rsidR="009B0EF8">
        <w:rPr>
          <w:rFonts w:ascii="Times New Roman" w:hAnsi="Times New Roman"/>
          <w:i/>
          <w:sz w:val="24"/>
          <w:szCs w:val="24"/>
          <w:lang w:val="lv-LV"/>
        </w:rPr>
        <w:t xml:space="preserve">un </w:t>
      </w:r>
      <w:r>
        <w:rPr>
          <w:rFonts w:ascii="Times New Roman" w:hAnsi="Times New Roman"/>
          <w:i/>
          <w:sz w:val="24"/>
          <w:szCs w:val="24"/>
          <w:lang w:val="lv-LV"/>
        </w:rPr>
        <w:t>C</w:t>
      </w:r>
      <w:r w:rsidR="009B0EF8">
        <w:rPr>
          <w:rFonts w:ascii="Times New Roman" w:hAnsi="Times New Roman"/>
          <w:i/>
          <w:sz w:val="24"/>
          <w:szCs w:val="24"/>
          <w:lang w:val="lv-LV"/>
        </w:rPr>
        <w:t>entrālās un finanšu līgumu aģentūras</w:t>
      </w:r>
      <w:r>
        <w:rPr>
          <w:rFonts w:ascii="Times New Roman" w:hAnsi="Times New Roman"/>
          <w:i/>
          <w:sz w:val="24"/>
          <w:szCs w:val="24"/>
          <w:lang w:val="lv-LV"/>
        </w:rPr>
        <w:t xml:space="preserve"> budžetā)</w:t>
      </w:r>
    </w:p>
    <w:p w:rsidR="00D876C0" w:rsidRPr="004D6C02" w:rsidRDefault="00D876C0" w:rsidP="00D876C0">
      <w:pPr>
        <w:spacing w:after="0" w:line="240" w:lineRule="auto"/>
        <w:ind w:firstLine="720"/>
        <w:jc w:val="center"/>
        <w:rPr>
          <w:rFonts w:ascii="Times New Roman" w:hAnsi="Times New Roman" w:cs="Times New Roman"/>
          <w:sz w:val="24"/>
          <w:szCs w:val="24"/>
          <w:lang w:val="lv-LV"/>
        </w:rPr>
      </w:pPr>
    </w:p>
    <w:p w:rsidR="00BA05D5" w:rsidRDefault="00CE34B9" w:rsidP="00BA05D5">
      <w:pPr>
        <w:spacing w:after="0" w:line="240" w:lineRule="auto"/>
        <w:ind w:firstLine="720"/>
        <w:jc w:val="both"/>
        <w:rPr>
          <w:rFonts w:ascii="Times New Roman" w:hAnsi="Times New Roman" w:cs="Times New Roman"/>
          <w:sz w:val="24"/>
          <w:szCs w:val="24"/>
        </w:rPr>
      </w:pPr>
      <w:r w:rsidRPr="00CE34B9">
        <w:rPr>
          <w:rFonts w:ascii="Times New Roman" w:hAnsi="Times New Roman" w:cs="Times New Roman"/>
          <w:noProof/>
          <w:sz w:val="24"/>
          <w:szCs w:val="24"/>
        </w:rPr>
        <w:drawing>
          <wp:inline distT="0" distB="0" distL="0" distR="0">
            <wp:extent cx="5754669" cy="1535502"/>
            <wp:effectExtent l="19050" t="0" r="17481" b="7548"/>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05D5" w:rsidRDefault="00537277" w:rsidP="00BA05D5">
      <w:pPr>
        <w:spacing w:after="0" w:line="240" w:lineRule="auto"/>
        <w:ind w:firstLine="720"/>
        <w:jc w:val="both"/>
        <w:rPr>
          <w:rFonts w:ascii="Times New Roman" w:hAnsi="Times New Roman" w:cs="Times New Roman"/>
          <w:sz w:val="24"/>
          <w:szCs w:val="24"/>
        </w:rPr>
      </w:pPr>
      <w:r>
        <w:rPr>
          <w:rFonts w:ascii="Times New Roman" w:hAnsi="Times New Roman"/>
          <w:i/>
          <w:sz w:val="20"/>
          <w:szCs w:val="20"/>
          <w:lang w:val="lv-LV"/>
        </w:rPr>
        <w:t xml:space="preserve">       </w:t>
      </w:r>
      <w:r w:rsidRPr="002040D7">
        <w:rPr>
          <w:rFonts w:ascii="Times New Roman" w:hAnsi="Times New Roman"/>
          <w:i/>
          <w:sz w:val="20"/>
          <w:szCs w:val="20"/>
          <w:lang w:val="lv-LV"/>
        </w:rPr>
        <w:t xml:space="preserve">Avots: Veselības ministrija    </w:t>
      </w:r>
    </w:p>
    <w:p w:rsidR="00BA05D5" w:rsidRDefault="00D876C0" w:rsidP="00B02E67">
      <w:pPr>
        <w:spacing w:after="0" w:line="240" w:lineRule="auto"/>
        <w:ind w:firstLine="720"/>
        <w:jc w:val="right"/>
        <w:rPr>
          <w:rFonts w:ascii="Times New Roman" w:hAnsi="Times New Roman" w:cs="Times New Roman"/>
          <w:sz w:val="24"/>
          <w:szCs w:val="24"/>
        </w:rPr>
      </w:pPr>
      <w:proofErr w:type="gramStart"/>
      <w:r>
        <w:rPr>
          <w:rFonts w:ascii="Times New Roman" w:hAnsi="Times New Roman" w:cs="Times New Roman"/>
          <w:sz w:val="24"/>
          <w:szCs w:val="24"/>
        </w:rPr>
        <w:t>2.attēls</w:t>
      </w:r>
      <w:proofErr w:type="gramEnd"/>
    </w:p>
    <w:p w:rsidR="00D602C1" w:rsidRDefault="00B02E67" w:rsidP="00537277">
      <w:pPr>
        <w:spacing w:after="0" w:line="240" w:lineRule="auto"/>
        <w:ind w:firstLine="720"/>
        <w:jc w:val="center"/>
        <w:rPr>
          <w:rFonts w:ascii="Times New Roman" w:hAnsi="Times New Roman"/>
          <w:i/>
          <w:sz w:val="24"/>
          <w:szCs w:val="24"/>
          <w:lang w:val="lv-LV"/>
        </w:rPr>
      </w:pPr>
      <w:r>
        <w:rPr>
          <w:rFonts w:ascii="Times New Roman" w:hAnsi="Times New Roman"/>
          <w:i/>
          <w:sz w:val="24"/>
          <w:szCs w:val="24"/>
          <w:lang w:val="lv-LV"/>
        </w:rPr>
        <w:t>Faktiskie izdevumi</w:t>
      </w:r>
      <w:r w:rsidR="00D876C0" w:rsidRPr="003D576E">
        <w:rPr>
          <w:rFonts w:ascii="Times New Roman" w:hAnsi="Times New Roman"/>
          <w:i/>
          <w:sz w:val="24"/>
          <w:szCs w:val="24"/>
          <w:lang w:val="lv-LV"/>
        </w:rPr>
        <w:t xml:space="preserve"> kompensējamiem medikamentiem</w:t>
      </w:r>
      <w:r>
        <w:rPr>
          <w:rFonts w:ascii="Times New Roman" w:hAnsi="Times New Roman"/>
          <w:i/>
          <w:sz w:val="24"/>
          <w:szCs w:val="24"/>
          <w:lang w:val="lv-LV"/>
        </w:rPr>
        <w:t xml:space="preserve"> </w:t>
      </w:r>
      <w:r w:rsidR="00D602C1">
        <w:rPr>
          <w:rFonts w:ascii="Times New Roman" w:hAnsi="Times New Roman"/>
          <w:i/>
          <w:sz w:val="24"/>
          <w:szCs w:val="24"/>
          <w:lang w:val="lv-LV"/>
        </w:rPr>
        <w:t>un medicīniskajām ierīcēm</w:t>
      </w:r>
    </w:p>
    <w:p w:rsidR="00B02E67" w:rsidRPr="00D602C1" w:rsidRDefault="00D602C1" w:rsidP="00D602C1">
      <w:pPr>
        <w:spacing w:after="0" w:line="240" w:lineRule="auto"/>
        <w:ind w:firstLine="720"/>
        <w:jc w:val="center"/>
        <w:rPr>
          <w:rFonts w:ascii="Times New Roman" w:hAnsi="Times New Roman"/>
          <w:i/>
          <w:sz w:val="24"/>
          <w:szCs w:val="24"/>
          <w:lang w:val="lv-LV"/>
        </w:rPr>
      </w:pPr>
      <w:r>
        <w:rPr>
          <w:rFonts w:ascii="Times New Roman" w:hAnsi="Times New Roman"/>
          <w:i/>
          <w:sz w:val="24"/>
          <w:szCs w:val="24"/>
          <w:lang w:val="lv-LV"/>
        </w:rPr>
        <w:t xml:space="preserve">2009.-2012.gadā </w:t>
      </w:r>
      <w:r w:rsidR="00B02E67">
        <w:rPr>
          <w:rFonts w:ascii="Times New Roman" w:hAnsi="Times New Roman"/>
          <w:i/>
          <w:sz w:val="24"/>
          <w:szCs w:val="24"/>
          <w:lang w:val="lv-LV"/>
        </w:rPr>
        <w:t>(pēc Valsts kases izdrukām)</w:t>
      </w:r>
    </w:p>
    <w:tbl>
      <w:tblPr>
        <w:tblW w:w="9796" w:type="dxa"/>
        <w:tblInd w:w="93" w:type="dxa"/>
        <w:tblLook w:val="04A0"/>
      </w:tblPr>
      <w:tblGrid>
        <w:gridCol w:w="4268"/>
        <w:gridCol w:w="1417"/>
        <w:gridCol w:w="1418"/>
        <w:gridCol w:w="1276"/>
        <w:gridCol w:w="1417"/>
      </w:tblGrid>
      <w:tr w:rsidR="00B02E67" w:rsidRPr="00B02E67" w:rsidTr="00B02E67">
        <w:trPr>
          <w:trHeight w:val="247"/>
        </w:trPr>
        <w:tc>
          <w:tcPr>
            <w:tcW w:w="4268" w:type="dxa"/>
            <w:tcBorders>
              <w:top w:val="nil"/>
              <w:left w:val="nil"/>
              <w:bottom w:val="nil"/>
              <w:right w:val="nil"/>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p>
        </w:tc>
        <w:tc>
          <w:tcPr>
            <w:tcW w:w="1418" w:type="dxa"/>
            <w:tcBorders>
              <w:top w:val="nil"/>
              <w:left w:val="nil"/>
              <w:bottom w:val="nil"/>
              <w:right w:val="nil"/>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p>
        </w:tc>
      </w:tr>
      <w:tr w:rsidR="00B02E67" w:rsidRPr="00B02E67" w:rsidTr="00B02E67">
        <w:trPr>
          <w:trHeight w:val="247"/>
        </w:trPr>
        <w:tc>
          <w:tcPr>
            <w:tcW w:w="4268" w:type="dxa"/>
            <w:tcBorders>
              <w:top w:val="nil"/>
              <w:left w:val="nil"/>
              <w:bottom w:val="nil"/>
              <w:right w:val="nil"/>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p>
        </w:tc>
        <w:tc>
          <w:tcPr>
            <w:tcW w:w="1418" w:type="dxa"/>
            <w:tcBorders>
              <w:top w:val="nil"/>
              <w:left w:val="nil"/>
              <w:bottom w:val="nil"/>
              <w:right w:val="nil"/>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p>
        </w:tc>
      </w:tr>
      <w:tr w:rsidR="00B02E67" w:rsidRPr="00B02E67" w:rsidTr="00B02E67">
        <w:trPr>
          <w:trHeight w:val="247"/>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Valsts budžeta p</w:t>
            </w:r>
            <w:r w:rsidRPr="00B02E67">
              <w:rPr>
                <w:rFonts w:ascii="Times New Roman" w:eastAsia="Times New Roman" w:hAnsi="Times New Roman" w:cs="Times New Roman"/>
                <w:b/>
                <w:bCs/>
                <w:color w:val="000000"/>
                <w:sz w:val="20"/>
                <w:szCs w:val="20"/>
              </w:rPr>
              <w:t>rogramma</w:t>
            </w:r>
            <w:r>
              <w:rPr>
                <w:rFonts w:ascii="Times New Roman" w:eastAsia="Times New Roman" w:hAnsi="Times New Roman" w:cs="Times New Roman"/>
                <w:b/>
                <w:bCs/>
                <w:color w:val="000000"/>
                <w:sz w:val="20"/>
                <w:szCs w:val="20"/>
              </w:rPr>
              <w:t>/apakšprogramma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center"/>
              <w:rPr>
                <w:rFonts w:ascii="Times New Roman" w:eastAsia="Times New Roman" w:hAnsi="Times New Roman" w:cs="Times New Roman"/>
                <w:b/>
                <w:bCs/>
                <w:color w:val="000000"/>
                <w:sz w:val="20"/>
                <w:szCs w:val="20"/>
              </w:rPr>
            </w:pPr>
            <w:r w:rsidRPr="00B02E67">
              <w:rPr>
                <w:rFonts w:ascii="Times New Roman" w:eastAsia="Times New Roman" w:hAnsi="Times New Roman" w:cs="Times New Roman"/>
                <w:b/>
                <w:bCs/>
                <w:color w:val="000000"/>
                <w:sz w:val="20"/>
                <w:szCs w:val="20"/>
              </w:rPr>
              <w:t>2009</w:t>
            </w:r>
            <w:r>
              <w:rPr>
                <w:rFonts w:ascii="Times New Roman" w:eastAsia="Times New Roman" w:hAnsi="Times New Roman" w:cs="Times New Roman"/>
                <w:b/>
                <w:bCs/>
                <w:color w:val="000000"/>
                <w:sz w:val="20"/>
                <w:szCs w:val="20"/>
              </w:rPr>
              <w:t>.g.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center"/>
              <w:rPr>
                <w:rFonts w:ascii="Times New Roman" w:eastAsia="Times New Roman" w:hAnsi="Times New Roman" w:cs="Times New Roman"/>
                <w:b/>
                <w:bCs/>
                <w:color w:val="000000"/>
                <w:sz w:val="20"/>
                <w:szCs w:val="20"/>
              </w:rPr>
            </w:pPr>
            <w:r w:rsidRPr="00B02E67">
              <w:rPr>
                <w:rFonts w:ascii="Times New Roman" w:eastAsia="Times New Roman" w:hAnsi="Times New Roman" w:cs="Times New Roman"/>
                <w:b/>
                <w:bCs/>
                <w:color w:val="000000"/>
                <w:sz w:val="20"/>
                <w:szCs w:val="20"/>
              </w:rPr>
              <w:t>2010</w:t>
            </w:r>
            <w:r>
              <w:rPr>
                <w:rFonts w:ascii="Times New Roman" w:eastAsia="Times New Roman" w:hAnsi="Times New Roman" w:cs="Times New Roman"/>
                <w:b/>
                <w:bCs/>
                <w:color w:val="000000"/>
                <w:sz w:val="20"/>
                <w:szCs w:val="20"/>
              </w:rPr>
              <w:t>.g.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center"/>
              <w:rPr>
                <w:rFonts w:ascii="Times New Roman" w:eastAsia="Times New Roman" w:hAnsi="Times New Roman" w:cs="Times New Roman"/>
                <w:b/>
                <w:bCs/>
                <w:color w:val="000000"/>
                <w:sz w:val="20"/>
                <w:szCs w:val="20"/>
              </w:rPr>
            </w:pPr>
            <w:r w:rsidRPr="00B02E67">
              <w:rPr>
                <w:rFonts w:ascii="Times New Roman" w:eastAsia="Times New Roman" w:hAnsi="Times New Roman" w:cs="Times New Roman"/>
                <w:b/>
                <w:bCs/>
                <w:color w:val="000000"/>
                <w:sz w:val="20"/>
                <w:szCs w:val="20"/>
              </w:rPr>
              <w:t>2011</w:t>
            </w:r>
            <w:r>
              <w:rPr>
                <w:rFonts w:ascii="Times New Roman" w:eastAsia="Times New Roman" w:hAnsi="Times New Roman" w:cs="Times New Roman"/>
                <w:b/>
                <w:bCs/>
                <w:color w:val="000000"/>
                <w:sz w:val="20"/>
                <w:szCs w:val="20"/>
              </w:rPr>
              <w:t>.g.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center"/>
              <w:rPr>
                <w:rFonts w:ascii="Times New Roman" w:eastAsia="Times New Roman" w:hAnsi="Times New Roman" w:cs="Times New Roman"/>
                <w:b/>
                <w:bCs/>
                <w:color w:val="000000"/>
                <w:sz w:val="20"/>
                <w:szCs w:val="20"/>
              </w:rPr>
            </w:pPr>
            <w:r w:rsidRPr="00B02E67">
              <w:rPr>
                <w:rFonts w:ascii="Times New Roman" w:eastAsia="Times New Roman" w:hAnsi="Times New Roman" w:cs="Times New Roman"/>
                <w:b/>
                <w:bCs/>
                <w:color w:val="000000"/>
                <w:sz w:val="20"/>
                <w:szCs w:val="20"/>
              </w:rPr>
              <w:t>2012</w:t>
            </w:r>
            <w:r>
              <w:rPr>
                <w:rFonts w:ascii="Times New Roman" w:eastAsia="Times New Roman" w:hAnsi="Times New Roman" w:cs="Times New Roman"/>
                <w:b/>
                <w:bCs/>
                <w:color w:val="000000"/>
                <w:sz w:val="20"/>
                <w:szCs w:val="20"/>
              </w:rPr>
              <w:t>.g.</w:t>
            </w:r>
          </w:p>
        </w:tc>
      </w:tr>
      <w:tr w:rsidR="00B02E67" w:rsidRPr="00B02E67" w:rsidTr="00B02E67">
        <w:trPr>
          <w:trHeight w:val="247"/>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center"/>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center"/>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center"/>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center"/>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center"/>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 </w:t>
            </w:r>
          </w:p>
        </w:tc>
      </w:tr>
      <w:tr w:rsidR="00B02E67" w:rsidRPr="00B02E67" w:rsidTr="00B02E67">
        <w:trPr>
          <w:trHeight w:val="247"/>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33.13.00 "Sociālās drošības tīkla stratēģijas pasākumu īstenošana"*</w:t>
            </w:r>
          </w:p>
        </w:tc>
        <w:tc>
          <w:tcPr>
            <w:tcW w:w="1417"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6 181</w:t>
            </w:r>
          </w:p>
        </w:tc>
        <w:tc>
          <w:tcPr>
            <w:tcW w:w="1418"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2 947 324</w:t>
            </w:r>
          </w:p>
        </w:tc>
        <w:tc>
          <w:tcPr>
            <w:tcW w:w="1276"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5 476 990</w:t>
            </w:r>
          </w:p>
        </w:tc>
        <w:tc>
          <w:tcPr>
            <w:tcW w:w="1417"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3 246 432</w:t>
            </w:r>
          </w:p>
        </w:tc>
      </w:tr>
      <w:tr w:rsidR="00B02E67" w:rsidRPr="00B02E67" w:rsidTr="00B02E67">
        <w:trPr>
          <w:trHeight w:val="247"/>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37.03.00 "Krievijas Federācijas militāro pensionāru veselības aprūpe"</w:t>
            </w:r>
          </w:p>
        </w:tc>
        <w:tc>
          <w:tcPr>
            <w:tcW w:w="1417"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553 039</w:t>
            </w:r>
          </w:p>
        </w:tc>
        <w:tc>
          <w:tcPr>
            <w:tcW w:w="1418"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75 428</w:t>
            </w:r>
          </w:p>
        </w:tc>
        <w:tc>
          <w:tcPr>
            <w:tcW w:w="1276"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480 605</w:t>
            </w:r>
          </w:p>
        </w:tc>
        <w:tc>
          <w:tcPr>
            <w:tcW w:w="1417"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415 550</w:t>
            </w:r>
          </w:p>
        </w:tc>
      </w:tr>
      <w:tr w:rsidR="00B02E67" w:rsidRPr="00B02E67" w:rsidTr="00B02E67">
        <w:trPr>
          <w:trHeight w:val="247"/>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33.03.00 "Kompensējamo medikamentu un materiālu apmaksāšana"</w:t>
            </w:r>
          </w:p>
        </w:tc>
        <w:tc>
          <w:tcPr>
            <w:tcW w:w="1417"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66 564 524</w:t>
            </w:r>
          </w:p>
        </w:tc>
        <w:tc>
          <w:tcPr>
            <w:tcW w:w="1418"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71 617 086</w:t>
            </w:r>
          </w:p>
        </w:tc>
        <w:tc>
          <w:tcPr>
            <w:tcW w:w="1276"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73 153 485</w:t>
            </w:r>
          </w:p>
        </w:tc>
        <w:tc>
          <w:tcPr>
            <w:tcW w:w="1417"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80 986 523</w:t>
            </w:r>
          </w:p>
        </w:tc>
      </w:tr>
      <w:tr w:rsidR="00B02E67" w:rsidRPr="00B02E67" w:rsidTr="00B02E67">
        <w:trPr>
          <w:trHeight w:val="247"/>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99.00.00 "Līdzekļu neparedzētiem gadījumiem izlietojums"*</w:t>
            </w:r>
          </w:p>
        </w:tc>
        <w:tc>
          <w:tcPr>
            <w:tcW w:w="1417"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5 257 521</w:t>
            </w:r>
          </w:p>
        </w:tc>
        <w:tc>
          <w:tcPr>
            <w:tcW w:w="1418"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3 168 969</w:t>
            </w:r>
          </w:p>
        </w:tc>
        <w:tc>
          <w:tcPr>
            <w:tcW w:w="1417"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0</w:t>
            </w:r>
          </w:p>
        </w:tc>
      </w:tr>
      <w:tr w:rsidR="00B02E67" w:rsidRPr="00B02E67" w:rsidTr="00B02E67">
        <w:trPr>
          <w:trHeight w:val="247"/>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B02E67" w:rsidRPr="00B02E67" w:rsidRDefault="00B02E67" w:rsidP="00B02E67">
            <w:pPr>
              <w:spacing w:after="0" w:line="240" w:lineRule="auto"/>
              <w:jc w:val="right"/>
              <w:rPr>
                <w:rFonts w:ascii="Times New Roman" w:eastAsia="Times New Roman" w:hAnsi="Times New Roman" w:cs="Times New Roman"/>
                <w:b/>
                <w:bCs/>
                <w:color w:val="000000"/>
                <w:sz w:val="20"/>
                <w:szCs w:val="20"/>
              </w:rPr>
            </w:pPr>
            <w:r w:rsidRPr="00B02E67">
              <w:rPr>
                <w:rFonts w:ascii="Times New Roman" w:eastAsia="Times New Roman" w:hAnsi="Times New Roman" w:cs="Times New Roman"/>
                <w:b/>
                <w:bCs/>
                <w:color w:val="000000"/>
                <w:sz w:val="20"/>
                <w:szCs w:val="20"/>
              </w:rPr>
              <w:t>KOPĀ</w:t>
            </w:r>
          </w:p>
        </w:tc>
        <w:tc>
          <w:tcPr>
            <w:tcW w:w="1417" w:type="dxa"/>
            <w:tcBorders>
              <w:top w:val="nil"/>
              <w:left w:val="nil"/>
              <w:bottom w:val="single" w:sz="4" w:space="0" w:color="auto"/>
              <w:right w:val="single" w:sz="4" w:space="0" w:color="auto"/>
            </w:tcBorders>
            <w:shd w:val="clear" w:color="auto" w:fill="auto"/>
            <w:noWrap/>
            <w:vAlign w:val="bottom"/>
            <w:hideMark/>
          </w:tcPr>
          <w:p w:rsidR="00B02E67" w:rsidRPr="00B02E67" w:rsidRDefault="00B02E67" w:rsidP="00B02E67">
            <w:pPr>
              <w:spacing w:after="0" w:line="240" w:lineRule="auto"/>
              <w:jc w:val="right"/>
              <w:rPr>
                <w:rFonts w:ascii="Times New Roman" w:eastAsia="Times New Roman" w:hAnsi="Times New Roman" w:cs="Times New Roman"/>
                <w:b/>
                <w:bCs/>
                <w:color w:val="000000"/>
                <w:sz w:val="20"/>
                <w:szCs w:val="20"/>
              </w:rPr>
            </w:pPr>
            <w:r w:rsidRPr="00B02E67">
              <w:rPr>
                <w:rFonts w:ascii="Times New Roman" w:eastAsia="Times New Roman" w:hAnsi="Times New Roman" w:cs="Times New Roman"/>
                <w:b/>
                <w:bCs/>
                <w:color w:val="000000"/>
                <w:sz w:val="20"/>
                <w:szCs w:val="20"/>
              </w:rPr>
              <w:t>72 381 265</w:t>
            </w:r>
          </w:p>
        </w:tc>
        <w:tc>
          <w:tcPr>
            <w:tcW w:w="1418" w:type="dxa"/>
            <w:tcBorders>
              <w:top w:val="nil"/>
              <w:left w:val="nil"/>
              <w:bottom w:val="single" w:sz="4" w:space="0" w:color="auto"/>
              <w:right w:val="single" w:sz="4" w:space="0" w:color="auto"/>
            </w:tcBorders>
            <w:shd w:val="clear" w:color="auto" w:fill="auto"/>
            <w:noWrap/>
            <w:vAlign w:val="bottom"/>
            <w:hideMark/>
          </w:tcPr>
          <w:p w:rsidR="00B02E67" w:rsidRPr="00B02E67" w:rsidRDefault="00B02E67" w:rsidP="00B02E67">
            <w:pPr>
              <w:spacing w:after="0" w:line="240" w:lineRule="auto"/>
              <w:jc w:val="right"/>
              <w:rPr>
                <w:rFonts w:ascii="Times New Roman" w:eastAsia="Times New Roman" w:hAnsi="Times New Roman" w:cs="Times New Roman"/>
                <w:b/>
                <w:bCs/>
                <w:color w:val="000000"/>
                <w:sz w:val="20"/>
                <w:szCs w:val="20"/>
              </w:rPr>
            </w:pPr>
            <w:r w:rsidRPr="00B02E67">
              <w:rPr>
                <w:rFonts w:ascii="Times New Roman" w:eastAsia="Times New Roman" w:hAnsi="Times New Roman" w:cs="Times New Roman"/>
                <w:b/>
                <w:bCs/>
                <w:color w:val="000000"/>
                <w:sz w:val="20"/>
                <w:szCs w:val="20"/>
              </w:rPr>
              <w:t>74 639 838</w:t>
            </w:r>
          </w:p>
        </w:tc>
        <w:tc>
          <w:tcPr>
            <w:tcW w:w="1276" w:type="dxa"/>
            <w:tcBorders>
              <w:top w:val="nil"/>
              <w:left w:val="nil"/>
              <w:bottom w:val="single" w:sz="4" w:space="0" w:color="auto"/>
              <w:right w:val="single" w:sz="4" w:space="0" w:color="auto"/>
            </w:tcBorders>
            <w:shd w:val="clear" w:color="auto" w:fill="auto"/>
            <w:noWrap/>
            <w:vAlign w:val="bottom"/>
            <w:hideMark/>
          </w:tcPr>
          <w:p w:rsidR="00B02E67" w:rsidRPr="00B02E67" w:rsidRDefault="00B02E67" w:rsidP="00B02E67">
            <w:pPr>
              <w:spacing w:after="0" w:line="240" w:lineRule="auto"/>
              <w:jc w:val="right"/>
              <w:rPr>
                <w:rFonts w:ascii="Times New Roman" w:eastAsia="Times New Roman" w:hAnsi="Times New Roman" w:cs="Times New Roman"/>
                <w:b/>
                <w:bCs/>
                <w:color w:val="000000"/>
                <w:sz w:val="20"/>
                <w:szCs w:val="20"/>
              </w:rPr>
            </w:pPr>
            <w:r w:rsidRPr="00B02E67">
              <w:rPr>
                <w:rFonts w:ascii="Times New Roman" w:eastAsia="Times New Roman" w:hAnsi="Times New Roman" w:cs="Times New Roman"/>
                <w:b/>
                <w:bCs/>
                <w:color w:val="000000"/>
                <w:sz w:val="20"/>
                <w:szCs w:val="20"/>
              </w:rPr>
              <w:t>82 280 049</w:t>
            </w:r>
          </w:p>
        </w:tc>
        <w:tc>
          <w:tcPr>
            <w:tcW w:w="1417" w:type="dxa"/>
            <w:tcBorders>
              <w:top w:val="nil"/>
              <w:left w:val="nil"/>
              <w:bottom w:val="single" w:sz="4" w:space="0" w:color="auto"/>
              <w:right w:val="single" w:sz="4" w:space="0" w:color="auto"/>
            </w:tcBorders>
            <w:shd w:val="clear" w:color="auto" w:fill="auto"/>
            <w:noWrap/>
            <w:vAlign w:val="bottom"/>
            <w:hideMark/>
          </w:tcPr>
          <w:p w:rsidR="00B02E67" w:rsidRPr="00B02E67" w:rsidRDefault="00B02E67" w:rsidP="00B02E67">
            <w:pPr>
              <w:spacing w:after="0" w:line="240" w:lineRule="auto"/>
              <w:jc w:val="right"/>
              <w:rPr>
                <w:rFonts w:ascii="Times New Roman" w:eastAsia="Times New Roman" w:hAnsi="Times New Roman" w:cs="Times New Roman"/>
                <w:b/>
                <w:bCs/>
                <w:color w:val="000000"/>
                <w:sz w:val="20"/>
                <w:szCs w:val="20"/>
              </w:rPr>
            </w:pPr>
            <w:r w:rsidRPr="00B02E67">
              <w:rPr>
                <w:rFonts w:ascii="Times New Roman" w:eastAsia="Times New Roman" w:hAnsi="Times New Roman" w:cs="Times New Roman"/>
                <w:b/>
                <w:bCs/>
                <w:color w:val="000000"/>
                <w:sz w:val="20"/>
                <w:szCs w:val="20"/>
              </w:rPr>
              <w:t>84 648 505</w:t>
            </w:r>
          </w:p>
        </w:tc>
      </w:tr>
      <w:tr w:rsidR="00B02E67" w:rsidRPr="00B02E67" w:rsidTr="00B02E67">
        <w:trPr>
          <w:trHeight w:val="247"/>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B02E67" w:rsidRPr="00B02E67" w:rsidRDefault="00B02E67" w:rsidP="00B02E6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KOPĀ</w:t>
            </w:r>
            <w:r w:rsidRPr="00B02E67">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w:t>
            </w:r>
            <w:r w:rsidRPr="00B02E67">
              <w:rPr>
                <w:rFonts w:ascii="Times New Roman" w:eastAsia="Times New Roman" w:hAnsi="Times New Roman" w:cs="Times New Roman"/>
                <w:b/>
                <w:bCs/>
                <w:color w:val="000000"/>
                <w:sz w:val="20"/>
                <w:szCs w:val="20"/>
              </w:rPr>
              <w:t>milj.latu</w:t>
            </w:r>
            <w:r>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02E67" w:rsidRPr="00B02E67" w:rsidRDefault="00B02E67" w:rsidP="00B02E67">
            <w:pPr>
              <w:spacing w:after="0" w:line="240" w:lineRule="auto"/>
              <w:jc w:val="right"/>
              <w:rPr>
                <w:rFonts w:ascii="Times New Roman" w:eastAsia="Times New Roman" w:hAnsi="Times New Roman" w:cs="Times New Roman"/>
                <w:b/>
                <w:bCs/>
                <w:color w:val="000000"/>
                <w:sz w:val="20"/>
                <w:szCs w:val="20"/>
              </w:rPr>
            </w:pPr>
            <w:r w:rsidRPr="00B02E67">
              <w:rPr>
                <w:rFonts w:ascii="Times New Roman" w:eastAsia="Times New Roman" w:hAnsi="Times New Roman" w:cs="Times New Roman"/>
                <w:b/>
                <w:bCs/>
                <w:color w:val="000000"/>
                <w:sz w:val="20"/>
                <w:szCs w:val="20"/>
              </w:rPr>
              <w:t>72,38</w:t>
            </w:r>
          </w:p>
        </w:tc>
        <w:tc>
          <w:tcPr>
            <w:tcW w:w="1418" w:type="dxa"/>
            <w:tcBorders>
              <w:top w:val="nil"/>
              <w:left w:val="nil"/>
              <w:bottom w:val="single" w:sz="4" w:space="0" w:color="auto"/>
              <w:right w:val="single" w:sz="4" w:space="0" w:color="auto"/>
            </w:tcBorders>
            <w:shd w:val="clear" w:color="auto" w:fill="auto"/>
            <w:noWrap/>
            <w:vAlign w:val="bottom"/>
            <w:hideMark/>
          </w:tcPr>
          <w:p w:rsidR="00B02E67" w:rsidRPr="00B02E67" w:rsidRDefault="00B02E67" w:rsidP="00B02E67">
            <w:pPr>
              <w:spacing w:after="0" w:line="240" w:lineRule="auto"/>
              <w:jc w:val="right"/>
              <w:rPr>
                <w:rFonts w:ascii="Times New Roman" w:eastAsia="Times New Roman" w:hAnsi="Times New Roman" w:cs="Times New Roman"/>
                <w:b/>
                <w:bCs/>
                <w:color w:val="000000"/>
                <w:sz w:val="20"/>
                <w:szCs w:val="20"/>
              </w:rPr>
            </w:pPr>
            <w:r w:rsidRPr="00B02E67">
              <w:rPr>
                <w:rFonts w:ascii="Times New Roman" w:eastAsia="Times New Roman" w:hAnsi="Times New Roman" w:cs="Times New Roman"/>
                <w:b/>
                <w:bCs/>
                <w:color w:val="000000"/>
                <w:sz w:val="20"/>
                <w:szCs w:val="20"/>
              </w:rPr>
              <w:t>74,64</w:t>
            </w:r>
          </w:p>
        </w:tc>
        <w:tc>
          <w:tcPr>
            <w:tcW w:w="1276" w:type="dxa"/>
            <w:tcBorders>
              <w:top w:val="nil"/>
              <w:left w:val="nil"/>
              <w:bottom w:val="single" w:sz="4" w:space="0" w:color="auto"/>
              <w:right w:val="single" w:sz="4" w:space="0" w:color="auto"/>
            </w:tcBorders>
            <w:shd w:val="clear" w:color="auto" w:fill="auto"/>
            <w:noWrap/>
            <w:vAlign w:val="bottom"/>
            <w:hideMark/>
          </w:tcPr>
          <w:p w:rsidR="00B02E67" w:rsidRPr="00B02E67" w:rsidRDefault="00B02E67" w:rsidP="00B02E67">
            <w:pPr>
              <w:spacing w:after="0" w:line="240" w:lineRule="auto"/>
              <w:jc w:val="right"/>
              <w:rPr>
                <w:rFonts w:ascii="Times New Roman" w:eastAsia="Times New Roman" w:hAnsi="Times New Roman" w:cs="Times New Roman"/>
                <w:b/>
                <w:bCs/>
                <w:color w:val="000000"/>
                <w:sz w:val="20"/>
                <w:szCs w:val="20"/>
              </w:rPr>
            </w:pPr>
            <w:r w:rsidRPr="00B02E67">
              <w:rPr>
                <w:rFonts w:ascii="Times New Roman" w:eastAsia="Times New Roman" w:hAnsi="Times New Roman" w:cs="Times New Roman"/>
                <w:b/>
                <w:bCs/>
                <w:color w:val="000000"/>
                <w:sz w:val="20"/>
                <w:szCs w:val="20"/>
              </w:rPr>
              <w:t>82,28</w:t>
            </w:r>
          </w:p>
        </w:tc>
        <w:tc>
          <w:tcPr>
            <w:tcW w:w="1417" w:type="dxa"/>
            <w:tcBorders>
              <w:top w:val="nil"/>
              <w:left w:val="nil"/>
              <w:bottom w:val="single" w:sz="4" w:space="0" w:color="auto"/>
              <w:right w:val="single" w:sz="4" w:space="0" w:color="auto"/>
            </w:tcBorders>
            <w:shd w:val="clear" w:color="auto" w:fill="auto"/>
            <w:noWrap/>
            <w:vAlign w:val="bottom"/>
            <w:hideMark/>
          </w:tcPr>
          <w:p w:rsidR="00B02E67" w:rsidRPr="00B02E67" w:rsidRDefault="00B02E67" w:rsidP="00B02E67">
            <w:pPr>
              <w:spacing w:after="0" w:line="240" w:lineRule="auto"/>
              <w:jc w:val="right"/>
              <w:rPr>
                <w:rFonts w:ascii="Times New Roman" w:eastAsia="Times New Roman" w:hAnsi="Times New Roman" w:cs="Times New Roman"/>
                <w:b/>
                <w:bCs/>
                <w:color w:val="000000"/>
                <w:sz w:val="20"/>
                <w:szCs w:val="20"/>
              </w:rPr>
            </w:pPr>
            <w:r w:rsidRPr="00B02E67">
              <w:rPr>
                <w:rFonts w:ascii="Times New Roman" w:eastAsia="Times New Roman" w:hAnsi="Times New Roman" w:cs="Times New Roman"/>
                <w:b/>
                <w:bCs/>
                <w:color w:val="000000"/>
                <w:sz w:val="20"/>
                <w:szCs w:val="20"/>
              </w:rPr>
              <w:t>84,65</w:t>
            </w:r>
          </w:p>
        </w:tc>
      </w:tr>
      <w:tr w:rsidR="00B02E67" w:rsidRPr="00B02E67" w:rsidTr="00B02E67">
        <w:trPr>
          <w:trHeight w:val="247"/>
        </w:trPr>
        <w:tc>
          <w:tcPr>
            <w:tcW w:w="4268" w:type="dxa"/>
            <w:tcBorders>
              <w:top w:val="nil"/>
              <w:left w:val="nil"/>
              <w:bottom w:val="nil"/>
              <w:right w:val="nil"/>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r w:rsidRPr="00B02E67">
              <w:rPr>
                <w:rFonts w:ascii="Times New Roman" w:eastAsia="Times New Roman" w:hAnsi="Times New Roman" w:cs="Times New Roman"/>
                <w:color w:val="000000"/>
                <w:sz w:val="20"/>
                <w:szCs w:val="20"/>
              </w:rPr>
              <w:t>* 2009.gadā SDT līdzkļi bija programmā 99.00.00</w:t>
            </w:r>
          </w:p>
        </w:tc>
        <w:tc>
          <w:tcPr>
            <w:tcW w:w="1417" w:type="dxa"/>
            <w:tcBorders>
              <w:top w:val="nil"/>
              <w:left w:val="nil"/>
              <w:bottom w:val="nil"/>
              <w:right w:val="nil"/>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p>
        </w:tc>
        <w:tc>
          <w:tcPr>
            <w:tcW w:w="1418" w:type="dxa"/>
            <w:tcBorders>
              <w:top w:val="nil"/>
              <w:left w:val="nil"/>
              <w:bottom w:val="nil"/>
              <w:right w:val="nil"/>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noWrap/>
            <w:vAlign w:val="bottom"/>
            <w:hideMark/>
          </w:tcPr>
          <w:p w:rsidR="00B02E67" w:rsidRPr="00B02E67" w:rsidRDefault="00B02E67" w:rsidP="00B02E67">
            <w:pPr>
              <w:spacing w:after="0" w:line="240" w:lineRule="auto"/>
              <w:rPr>
                <w:rFonts w:ascii="Times New Roman" w:eastAsia="Times New Roman" w:hAnsi="Times New Roman" w:cs="Times New Roman"/>
                <w:color w:val="000000"/>
                <w:sz w:val="20"/>
                <w:szCs w:val="20"/>
              </w:rPr>
            </w:pPr>
          </w:p>
        </w:tc>
      </w:tr>
    </w:tbl>
    <w:p w:rsidR="00B02E67" w:rsidRDefault="00B02E67" w:rsidP="00B02E67">
      <w:pPr>
        <w:autoSpaceDE w:val="0"/>
        <w:autoSpaceDN w:val="0"/>
        <w:adjustRightInd w:val="0"/>
        <w:spacing w:after="0" w:line="240" w:lineRule="auto"/>
        <w:jc w:val="both"/>
        <w:rPr>
          <w:rFonts w:ascii="Times New Roman" w:hAnsi="Times New Roman" w:cs="Times New Roman"/>
          <w:sz w:val="24"/>
          <w:szCs w:val="24"/>
          <w:lang w:val="lv-LV"/>
        </w:rPr>
      </w:pPr>
      <w:r w:rsidRPr="002040D7">
        <w:rPr>
          <w:rFonts w:ascii="Times New Roman" w:hAnsi="Times New Roman"/>
          <w:i/>
          <w:sz w:val="20"/>
          <w:szCs w:val="20"/>
          <w:lang w:val="lv-LV"/>
        </w:rPr>
        <w:t xml:space="preserve">Avots: Veselības ministrija    </w:t>
      </w:r>
    </w:p>
    <w:p w:rsidR="009B0EF8" w:rsidRPr="00CD4CD8" w:rsidRDefault="009B0EF8" w:rsidP="00D819FC">
      <w:pPr>
        <w:autoSpaceDE w:val="0"/>
        <w:autoSpaceDN w:val="0"/>
        <w:adjustRightInd w:val="0"/>
        <w:spacing w:after="0" w:line="240" w:lineRule="auto"/>
        <w:ind w:firstLine="720"/>
        <w:jc w:val="both"/>
        <w:rPr>
          <w:rFonts w:ascii="Times New Roman" w:hAnsi="Times New Roman" w:cs="Times New Roman"/>
          <w:sz w:val="24"/>
          <w:szCs w:val="24"/>
          <w:lang w:val="lv-LV"/>
        </w:rPr>
      </w:pPr>
      <w:r w:rsidRPr="004D6C02">
        <w:rPr>
          <w:rFonts w:ascii="Times New Roman" w:hAnsi="Times New Roman" w:cs="Times New Roman"/>
          <w:sz w:val="24"/>
          <w:szCs w:val="24"/>
          <w:lang w:val="lv-LV"/>
        </w:rPr>
        <w:lastRenderedPageBreak/>
        <w:t xml:space="preserve">Likumā „Par valsts budžetu 2012.gadam” </w:t>
      </w:r>
      <w:r w:rsidR="00772859" w:rsidRPr="004D6C02">
        <w:rPr>
          <w:rFonts w:ascii="Times New Roman" w:hAnsi="Times New Roman" w:cs="Times New Roman"/>
          <w:sz w:val="24"/>
          <w:szCs w:val="24"/>
          <w:lang w:val="lv-LV"/>
        </w:rPr>
        <w:t>(</w:t>
      </w:r>
      <w:r w:rsidRPr="004D6C02">
        <w:rPr>
          <w:rFonts w:ascii="Times New Roman" w:hAnsi="Times New Roman" w:cs="Times New Roman"/>
          <w:sz w:val="24"/>
          <w:szCs w:val="24"/>
          <w:lang w:val="lv-LV"/>
        </w:rPr>
        <w:t>ar grozījumiem</w:t>
      </w:r>
      <w:r w:rsidR="00772859" w:rsidRPr="004D6C02">
        <w:rPr>
          <w:rFonts w:ascii="Times New Roman" w:hAnsi="Times New Roman" w:cs="Times New Roman"/>
          <w:sz w:val="24"/>
          <w:szCs w:val="24"/>
          <w:lang w:val="lv-LV"/>
        </w:rPr>
        <w:t>)</w:t>
      </w:r>
      <w:r w:rsidRPr="004D6C02">
        <w:rPr>
          <w:rFonts w:ascii="Times New Roman" w:hAnsi="Times New Roman" w:cs="Times New Roman"/>
          <w:sz w:val="24"/>
          <w:szCs w:val="24"/>
          <w:lang w:val="lv-LV"/>
        </w:rPr>
        <w:t xml:space="preserve">, Finanšu ministrijas un Ministru kabineta rīkojumiem </w:t>
      </w:r>
      <w:r w:rsidR="008565D5" w:rsidRPr="004D6C02">
        <w:rPr>
          <w:rFonts w:ascii="Times New Roman" w:hAnsi="Times New Roman" w:cs="Times New Roman"/>
          <w:sz w:val="24"/>
          <w:szCs w:val="24"/>
          <w:lang w:val="lv-LV"/>
        </w:rPr>
        <w:t xml:space="preserve">Veselības ministrijai </w:t>
      </w:r>
      <w:r w:rsidRPr="004D6C02">
        <w:rPr>
          <w:rFonts w:ascii="Times New Roman" w:hAnsi="Times New Roman" w:cs="Times New Roman"/>
          <w:sz w:val="24"/>
          <w:szCs w:val="24"/>
          <w:lang w:val="lv-LV"/>
        </w:rPr>
        <w:t xml:space="preserve">2012.gada noslēgumā </w:t>
      </w:r>
      <w:r w:rsidR="00772859" w:rsidRPr="004D6C02">
        <w:rPr>
          <w:rFonts w:ascii="Times New Roman" w:hAnsi="Times New Roman" w:cs="Times New Roman"/>
          <w:sz w:val="24"/>
          <w:szCs w:val="24"/>
          <w:lang w:val="lv-LV"/>
        </w:rPr>
        <w:t xml:space="preserve">bija finanšu līdzekļi </w:t>
      </w:r>
      <w:r w:rsidRPr="004D6C02">
        <w:rPr>
          <w:rFonts w:ascii="Times New Roman" w:hAnsi="Times New Roman" w:cs="Times New Roman"/>
          <w:sz w:val="24"/>
          <w:szCs w:val="24"/>
          <w:lang w:val="lv-LV"/>
        </w:rPr>
        <w:t>506 415 686</w:t>
      </w:r>
      <w:r w:rsidRPr="004D6C02">
        <w:rPr>
          <w:rFonts w:ascii="Times New Roman" w:hAnsi="Times New Roman" w:cs="Times New Roman"/>
          <w:b/>
          <w:sz w:val="24"/>
          <w:szCs w:val="24"/>
          <w:lang w:val="lv-LV"/>
        </w:rPr>
        <w:t xml:space="preserve"> </w:t>
      </w:r>
      <w:r w:rsidRPr="004D6C02">
        <w:rPr>
          <w:rFonts w:ascii="Times New Roman" w:hAnsi="Times New Roman" w:cs="Times New Roman"/>
          <w:sz w:val="24"/>
          <w:szCs w:val="24"/>
          <w:lang w:val="lv-LV"/>
        </w:rPr>
        <w:t>latu apjomā, tai skaitā dotācija no vispārējiem ieņēmumiem 492 007 531 lats, ieņēmumi no maksas pakalpojumiem un citi pašu ieņēmumi</w:t>
      </w:r>
      <w:r w:rsidR="00772859" w:rsidRPr="004D6C02">
        <w:rPr>
          <w:rFonts w:ascii="Times New Roman" w:hAnsi="Times New Roman" w:cs="Times New Roman"/>
          <w:sz w:val="24"/>
          <w:szCs w:val="24"/>
          <w:lang w:val="lv-LV"/>
        </w:rPr>
        <w:t xml:space="preserve"> 14 217 521 lats</w:t>
      </w:r>
      <w:r w:rsidRPr="004D6C02">
        <w:rPr>
          <w:rFonts w:ascii="Times New Roman" w:hAnsi="Times New Roman" w:cs="Times New Roman"/>
          <w:sz w:val="24"/>
          <w:szCs w:val="24"/>
          <w:lang w:val="lv-LV"/>
        </w:rPr>
        <w:t xml:space="preserve"> ārvalstu finanšu palīdzība i</w:t>
      </w:r>
      <w:r w:rsidR="00EA7F4C" w:rsidRPr="004D6C02">
        <w:rPr>
          <w:rFonts w:ascii="Times New Roman" w:hAnsi="Times New Roman" w:cs="Times New Roman"/>
          <w:sz w:val="24"/>
          <w:szCs w:val="24"/>
          <w:lang w:val="lv-LV"/>
        </w:rPr>
        <w:t>estādes ieņēmumos 170 726 lati.</w:t>
      </w:r>
      <w:r w:rsidRPr="004D6C02">
        <w:rPr>
          <w:rFonts w:ascii="Times New Roman" w:hAnsi="Times New Roman" w:cs="Times New Roman"/>
          <w:sz w:val="24"/>
          <w:szCs w:val="24"/>
          <w:lang w:val="lv-LV"/>
        </w:rPr>
        <w:t xml:space="preserve"> Savukārt, izdevumu daļā </w:t>
      </w:r>
      <w:r w:rsidR="00D819FC" w:rsidRPr="004D6C02">
        <w:rPr>
          <w:rFonts w:ascii="Times New Roman" w:hAnsi="Times New Roman" w:cs="Times New Roman"/>
          <w:sz w:val="24"/>
          <w:szCs w:val="24"/>
          <w:lang w:val="lv-LV"/>
        </w:rPr>
        <w:t>pamatfunkcijām,</w:t>
      </w:r>
      <w:r w:rsidR="00EA7F4C" w:rsidRPr="004D6C02">
        <w:rPr>
          <w:rFonts w:ascii="Times New Roman" w:hAnsi="Times New Roman" w:cs="Times New Roman"/>
          <w:sz w:val="24"/>
          <w:szCs w:val="24"/>
          <w:lang w:val="lv-LV"/>
        </w:rPr>
        <w:t xml:space="preserve"> ES fondi un ārvalstu finansējums </w:t>
      </w:r>
      <w:r w:rsidRPr="004D6C02">
        <w:rPr>
          <w:rFonts w:ascii="Times New Roman" w:hAnsi="Times New Roman" w:cs="Times New Roman"/>
          <w:sz w:val="24"/>
          <w:szCs w:val="24"/>
          <w:lang w:val="lv-LV"/>
        </w:rPr>
        <w:t>496 585 702 lati bez līdzekļiem C</w:t>
      </w:r>
      <w:r w:rsidR="00EA7F4C" w:rsidRPr="004D6C02">
        <w:rPr>
          <w:rFonts w:ascii="Times New Roman" w:hAnsi="Times New Roman" w:cs="Times New Roman"/>
          <w:sz w:val="24"/>
          <w:szCs w:val="24"/>
          <w:lang w:val="lv-LV"/>
        </w:rPr>
        <w:t>entrālās finanšu un līgumu aģentūras</w:t>
      </w:r>
      <w:r w:rsidRPr="004D6C02">
        <w:rPr>
          <w:rFonts w:ascii="Times New Roman" w:hAnsi="Times New Roman" w:cs="Times New Roman"/>
          <w:sz w:val="24"/>
          <w:szCs w:val="24"/>
          <w:lang w:val="lv-LV"/>
        </w:rPr>
        <w:t xml:space="preserve"> budžetā. </w:t>
      </w:r>
      <w:proofErr w:type="gramStart"/>
      <w:r w:rsidR="00D819FC">
        <w:rPr>
          <w:rFonts w:ascii="Times New Roman" w:hAnsi="Times New Roman" w:cs="Times New Roman"/>
          <w:sz w:val="24"/>
          <w:szCs w:val="24"/>
        </w:rPr>
        <w:t>Pavisam kopā veselības aprūpes nozares budžets 2013.gadā, salīdzinot ar 2012.gada noslēgumu, ir par 24 054 550 latiem mazāks.</w:t>
      </w:r>
      <w:proofErr w:type="gramEnd"/>
      <w:r w:rsidR="00D819FC">
        <w:rPr>
          <w:rFonts w:ascii="Times New Roman" w:hAnsi="Times New Roman" w:cs="Times New Roman"/>
          <w:sz w:val="24"/>
          <w:szCs w:val="24"/>
        </w:rPr>
        <w:t xml:space="preserve"> </w:t>
      </w:r>
      <w:r w:rsidR="00EA7F4C">
        <w:rPr>
          <w:rFonts w:ascii="Times New Roman" w:hAnsi="Times New Roman" w:cs="Times New Roman"/>
          <w:sz w:val="24"/>
          <w:szCs w:val="24"/>
        </w:rPr>
        <w:t>2011</w:t>
      </w:r>
      <w:proofErr w:type="gramStart"/>
      <w:r w:rsidR="00EA7F4C">
        <w:rPr>
          <w:rFonts w:ascii="Times New Roman" w:hAnsi="Times New Roman" w:cs="Times New Roman"/>
          <w:sz w:val="24"/>
          <w:szCs w:val="24"/>
        </w:rPr>
        <w:t>.gada</w:t>
      </w:r>
      <w:proofErr w:type="gramEnd"/>
      <w:r w:rsidR="00EA7F4C">
        <w:rPr>
          <w:rFonts w:ascii="Times New Roman" w:hAnsi="Times New Roman" w:cs="Times New Roman"/>
          <w:sz w:val="24"/>
          <w:szCs w:val="24"/>
        </w:rPr>
        <w:t xml:space="preserve"> noslēgumā līdzekļi pamatf</w:t>
      </w:r>
      <w:r w:rsidR="00D819FC">
        <w:rPr>
          <w:rFonts w:ascii="Times New Roman" w:hAnsi="Times New Roman" w:cs="Times New Roman"/>
          <w:sz w:val="24"/>
          <w:szCs w:val="24"/>
        </w:rPr>
        <w:t>unkciju nodrošināšanai,</w:t>
      </w:r>
      <w:r w:rsidR="00EA7F4C" w:rsidRPr="00EA7F4C">
        <w:rPr>
          <w:rFonts w:ascii="Times New Roman" w:hAnsi="Times New Roman" w:cs="Times New Roman"/>
          <w:sz w:val="24"/>
          <w:szCs w:val="24"/>
        </w:rPr>
        <w:t xml:space="preserve"> </w:t>
      </w:r>
      <w:r w:rsidR="00EA7F4C">
        <w:rPr>
          <w:rFonts w:ascii="Times New Roman" w:hAnsi="Times New Roman" w:cs="Times New Roman"/>
          <w:sz w:val="24"/>
          <w:szCs w:val="24"/>
        </w:rPr>
        <w:t xml:space="preserve">ES fondi un ārvalstu finansējums bija 496 183 402 latu apmērā. </w:t>
      </w:r>
      <w:proofErr w:type="gramStart"/>
      <w:r>
        <w:rPr>
          <w:rFonts w:ascii="Times New Roman" w:hAnsi="Times New Roman" w:cs="Times New Roman"/>
          <w:sz w:val="24"/>
          <w:szCs w:val="24"/>
        </w:rPr>
        <w:t xml:space="preserve">Salīdzinot 2013.gadā piešķirto finansējumu ar finansējumu 2012.gada noslēgumā, </w:t>
      </w:r>
      <w:r w:rsidR="008565D5">
        <w:rPr>
          <w:rFonts w:ascii="Times New Roman" w:hAnsi="Times New Roman" w:cs="Times New Roman"/>
          <w:sz w:val="24"/>
          <w:szCs w:val="24"/>
        </w:rPr>
        <w:t>pamatfunkcijām 2013.gadā ir piešķirts par 21 706</w:t>
      </w:r>
      <w:r w:rsidR="00EA7F4C">
        <w:rPr>
          <w:rFonts w:ascii="Times New Roman" w:hAnsi="Times New Roman" w:cs="Times New Roman"/>
          <w:sz w:val="24"/>
          <w:szCs w:val="24"/>
        </w:rPr>
        <w:t> 262 latiem ma</w:t>
      </w:r>
      <w:r w:rsidR="00E565E8">
        <w:rPr>
          <w:rFonts w:ascii="Times New Roman" w:hAnsi="Times New Roman" w:cs="Times New Roman"/>
          <w:sz w:val="24"/>
          <w:szCs w:val="24"/>
        </w:rPr>
        <w:t>zāks finansējums (skat.</w:t>
      </w:r>
      <w:proofErr w:type="gramEnd"/>
      <w:r w:rsidR="00E565E8">
        <w:rPr>
          <w:rFonts w:ascii="Times New Roman" w:hAnsi="Times New Roman" w:cs="Times New Roman"/>
          <w:sz w:val="24"/>
          <w:szCs w:val="24"/>
        </w:rPr>
        <w:t xml:space="preserve"> </w:t>
      </w:r>
      <w:proofErr w:type="gramStart"/>
      <w:r w:rsidR="00E565E8">
        <w:rPr>
          <w:rFonts w:ascii="Times New Roman" w:hAnsi="Times New Roman" w:cs="Times New Roman"/>
          <w:sz w:val="24"/>
          <w:szCs w:val="24"/>
        </w:rPr>
        <w:t>1.tab</w:t>
      </w:r>
      <w:proofErr w:type="gramEnd"/>
      <w:r w:rsidR="00E565E8">
        <w:rPr>
          <w:rFonts w:ascii="Times New Roman" w:hAnsi="Times New Roman" w:cs="Times New Roman"/>
          <w:sz w:val="24"/>
          <w:szCs w:val="24"/>
        </w:rPr>
        <w:t>.).</w:t>
      </w:r>
      <w:r w:rsidR="00305F7F">
        <w:rPr>
          <w:rFonts w:ascii="Times New Roman" w:hAnsi="Times New Roman" w:cs="Times New Roman"/>
          <w:sz w:val="24"/>
          <w:szCs w:val="24"/>
        </w:rPr>
        <w:t xml:space="preserve"> Tuklāt jāņem vērā, ka līdz ar Zāļu valsts aģentūras statusa maiņu ar 2013.gada 1.janvāri, kad tā sāka darboties publiskas aģentūras (budžeta nefinansētas) iestādes statusā Publisko aģentūru likuma izpratnē un </w:t>
      </w:r>
      <w:r w:rsidR="00305F7F" w:rsidRPr="00CD4CD8">
        <w:rPr>
          <w:rFonts w:ascii="Times New Roman" w:hAnsi="Times New Roman" w:cs="Times New Roman"/>
          <w:sz w:val="24"/>
          <w:szCs w:val="24"/>
        </w:rPr>
        <w:t xml:space="preserve">ievērojot Ministru kabineta 2012.gada 21.augusta sēdes protokola Nr.48, 36.§ 4.punktā noteikto, Veselības ministrijas izdevumu apjoms 2013.gadā attiecībā </w:t>
      </w:r>
      <w:r w:rsidR="00CD4CD8" w:rsidRPr="00CD4CD8">
        <w:rPr>
          <w:rFonts w:ascii="Times New Roman" w:hAnsi="Times New Roman" w:cs="Times New Roman"/>
          <w:sz w:val="24"/>
          <w:szCs w:val="24"/>
        </w:rPr>
        <w:t>pre</w:t>
      </w:r>
      <w:r w:rsidR="00305F7F" w:rsidRPr="00CD4CD8">
        <w:rPr>
          <w:rFonts w:ascii="Times New Roman" w:hAnsi="Times New Roman" w:cs="Times New Roman"/>
          <w:sz w:val="24"/>
          <w:szCs w:val="24"/>
        </w:rPr>
        <w:t>t 2012.gadu samazinājās par 3</w:t>
      </w:r>
      <w:r w:rsidR="00CD4CD8" w:rsidRPr="00CD4CD8">
        <w:rPr>
          <w:rFonts w:ascii="Times New Roman" w:hAnsi="Times New Roman" w:cs="Times New Roman"/>
          <w:sz w:val="24"/>
          <w:szCs w:val="24"/>
        </w:rPr>
        <w:t> 327 889 latiem, par minēto summu sam</w:t>
      </w:r>
      <w:r w:rsidR="00CD4CD8">
        <w:rPr>
          <w:rFonts w:ascii="Times New Roman" w:hAnsi="Times New Roman" w:cs="Times New Roman"/>
          <w:sz w:val="24"/>
          <w:szCs w:val="24"/>
        </w:rPr>
        <w:t>a</w:t>
      </w:r>
      <w:r w:rsidR="00CD4CD8" w:rsidRPr="00CD4CD8">
        <w:rPr>
          <w:rFonts w:ascii="Times New Roman" w:hAnsi="Times New Roman" w:cs="Times New Roman"/>
          <w:sz w:val="24"/>
          <w:szCs w:val="24"/>
        </w:rPr>
        <w:t xml:space="preserve">zinājās arī Veselības ministrijas maksimāli pieļaujamais pamatbudžeta izdevumu apjoms 2014. </w:t>
      </w:r>
      <w:proofErr w:type="gramStart"/>
      <w:r w:rsidR="00CD4CD8" w:rsidRPr="00CD4CD8">
        <w:rPr>
          <w:rFonts w:ascii="Times New Roman" w:hAnsi="Times New Roman" w:cs="Times New Roman"/>
          <w:sz w:val="24"/>
          <w:szCs w:val="24"/>
        </w:rPr>
        <w:t>un</w:t>
      </w:r>
      <w:proofErr w:type="gramEnd"/>
      <w:r w:rsidR="00CD4CD8" w:rsidRPr="00CD4CD8">
        <w:rPr>
          <w:rFonts w:ascii="Times New Roman" w:hAnsi="Times New Roman" w:cs="Times New Roman"/>
          <w:sz w:val="24"/>
          <w:szCs w:val="24"/>
        </w:rPr>
        <w:t xml:space="preserve"> 2015.gadam</w:t>
      </w:r>
      <w:r w:rsidR="00CD4CD8" w:rsidRPr="00CD4CD8">
        <w:rPr>
          <w:rFonts w:ascii="Times New Roman" w:hAnsi="Times New Roman" w:cs="Times New Roman"/>
          <w:sz w:val="24"/>
          <w:szCs w:val="24"/>
          <w:lang w:val="lv-LV"/>
        </w:rPr>
        <w:t>. Saskaņā ar Likumu par budžetu un finanšu vadību, sākot ar 2013.gadu, Zāļu valsts aģentūras kā budžeta nefinansētas iestādes budžeta summa ir iekļauta konsolidētajā kopbudžetā pie budžeta nefinansēto iestāžu budžetu kopsavilkuma</w:t>
      </w:r>
      <w:r w:rsidR="00CD4CD8">
        <w:rPr>
          <w:rFonts w:ascii="Times New Roman" w:hAnsi="Times New Roman" w:cs="Times New Roman"/>
          <w:sz w:val="24"/>
          <w:szCs w:val="24"/>
          <w:lang w:val="lv-LV"/>
        </w:rPr>
        <w:t>.</w:t>
      </w:r>
    </w:p>
    <w:p w:rsidR="00A711DD" w:rsidRDefault="00A711DD" w:rsidP="00A711DD">
      <w:pPr>
        <w:pStyle w:val="NormalWeb"/>
        <w:snapToGrid w:val="0"/>
        <w:spacing w:before="120" w:after="0"/>
        <w:ind w:firstLine="709"/>
        <w:jc w:val="right"/>
      </w:pPr>
      <w:r>
        <w:t>1.tabula</w:t>
      </w:r>
    </w:p>
    <w:tbl>
      <w:tblPr>
        <w:tblW w:w="8662" w:type="dxa"/>
        <w:jc w:val="center"/>
        <w:tblInd w:w="93" w:type="dxa"/>
        <w:tblLayout w:type="fixed"/>
        <w:tblLook w:val="04A0"/>
      </w:tblPr>
      <w:tblGrid>
        <w:gridCol w:w="4268"/>
        <w:gridCol w:w="1559"/>
        <w:gridCol w:w="1418"/>
        <w:gridCol w:w="1417"/>
      </w:tblGrid>
      <w:tr w:rsidR="0062240B" w:rsidRPr="00A711DD" w:rsidTr="0062240B">
        <w:trPr>
          <w:trHeight w:val="315"/>
          <w:jc w:val="center"/>
        </w:trPr>
        <w:tc>
          <w:tcPr>
            <w:tcW w:w="4268" w:type="dxa"/>
            <w:tcBorders>
              <w:top w:val="nil"/>
              <w:left w:val="nil"/>
              <w:bottom w:val="nil"/>
              <w:right w:val="nil"/>
            </w:tcBorders>
            <w:shd w:val="clear" w:color="auto" w:fill="auto"/>
            <w:noWrap/>
            <w:vAlign w:val="center"/>
            <w:hideMark/>
          </w:tcPr>
          <w:p w:rsidR="0062240B" w:rsidRPr="00A711DD" w:rsidRDefault="0062240B" w:rsidP="00A711DD">
            <w:pPr>
              <w:spacing w:after="0" w:line="240" w:lineRule="auto"/>
              <w:ind w:firstLineChars="100" w:firstLine="181"/>
              <w:rPr>
                <w:rFonts w:ascii="Times New Roman" w:eastAsia="Times New Roman" w:hAnsi="Times New Roman" w:cs="Times New Roman"/>
                <w:b/>
                <w:bCs/>
                <w:sz w:val="18"/>
                <w:szCs w:val="18"/>
                <w:lang w:val="lv-LV"/>
              </w:rPr>
            </w:pPr>
          </w:p>
        </w:tc>
        <w:tc>
          <w:tcPr>
            <w:tcW w:w="1559" w:type="dxa"/>
            <w:tcBorders>
              <w:top w:val="nil"/>
              <w:left w:val="nil"/>
              <w:bottom w:val="nil"/>
              <w:right w:val="nil"/>
            </w:tcBorders>
            <w:shd w:val="clear" w:color="auto" w:fill="auto"/>
            <w:noWrap/>
            <w:vAlign w:val="center"/>
            <w:hideMark/>
          </w:tcPr>
          <w:p w:rsidR="0062240B" w:rsidRPr="00A711DD" w:rsidRDefault="0062240B" w:rsidP="00A711DD">
            <w:pPr>
              <w:spacing w:after="0" w:line="240" w:lineRule="auto"/>
              <w:rPr>
                <w:rFonts w:ascii="Times New Roman" w:eastAsia="Times New Roman" w:hAnsi="Times New Roman" w:cs="Times New Roman"/>
                <w:sz w:val="18"/>
                <w:szCs w:val="18"/>
                <w:lang w:val="lv-LV"/>
              </w:rPr>
            </w:pPr>
          </w:p>
        </w:tc>
        <w:tc>
          <w:tcPr>
            <w:tcW w:w="1418" w:type="dxa"/>
            <w:tcBorders>
              <w:top w:val="nil"/>
              <w:left w:val="nil"/>
              <w:bottom w:val="nil"/>
              <w:right w:val="nil"/>
            </w:tcBorders>
            <w:shd w:val="clear" w:color="auto" w:fill="auto"/>
            <w:noWrap/>
            <w:vAlign w:val="center"/>
            <w:hideMark/>
          </w:tcPr>
          <w:p w:rsidR="0062240B" w:rsidRPr="00A711DD" w:rsidRDefault="0062240B" w:rsidP="00A711DD">
            <w:pPr>
              <w:spacing w:after="0" w:line="240" w:lineRule="auto"/>
              <w:rPr>
                <w:rFonts w:ascii="Times New Roman" w:eastAsia="Times New Roman" w:hAnsi="Times New Roman" w:cs="Times New Roman"/>
                <w:sz w:val="18"/>
                <w:szCs w:val="18"/>
                <w:lang w:val="lv-LV"/>
              </w:rPr>
            </w:pPr>
          </w:p>
        </w:tc>
        <w:tc>
          <w:tcPr>
            <w:tcW w:w="1417" w:type="dxa"/>
            <w:tcBorders>
              <w:top w:val="nil"/>
              <w:left w:val="nil"/>
              <w:bottom w:val="nil"/>
              <w:right w:val="nil"/>
            </w:tcBorders>
            <w:shd w:val="clear" w:color="auto" w:fill="auto"/>
            <w:noWrap/>
            <w:vAlign w:val="center"/>
            <w:hideMark/>
          </w:tcPr>
          <w:p w:rsidR="0062240B" w:rsidRPr="00A711DD" w:rsidRDefault="0062240B" w:rsidP="00A711DD">
            <w:pPr>
              <w:spacing w:after="0" w:line="240" w:lineRule="auto"/>
              <w:rPr>
                <w:rFonts w:ascii="Times New Roman" w:eastAsia="Times New Roman" w:hAnsi="Times New Roman" w:cs="Times New Roman"/>
                <w:sz w:val="18"/>
                <w:szCs w:val="18"/>
                <w:lang w:val="lv-LV"/>
              </w:rPr>
            </w:pPr>
          </w:p>
        </w:tc>
      </w:tr>
      <w:tr w:rsidR="0062240B" w:rsidRPr="00E035F5" w:rsidTr="0062240B">
        <w:trPr>
          <w:trHeight w:val="1050"/>
          <w:jc w:val="center"/>
        </w:trPr>
        <w:tc>
          <w:tcPr>
            <w:tcW w:w="4268"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62240B" w:rsidRPr="00A711DD" w:rsidRDefault="0062240B" w:rsidP="00A711DD">
            <w:pPr>
              <w:spacing w:after="0" w:line="240" w:lineRule="auto"/>
              <w:ind w:firstLineChars="100" w:firstLine="180"/>
              <w:rPr>
                <w:rFonts w:ascii="Times New Roman" w:eastAsia="Times New Roman" w:hAnsi="Times New Roman" w:cs="Times New Roman"/>
                <w:sz w:val="18"/>
                <w:szCs w:val="18"/>
                <w:lang w:val="lv-LV"/>
              </w:rPr>
            </w:pPr>
            <w:r w:rsidRPr="00A711DD">
              <w:rPr>
                <w:rFonts w:ascii="Times New Roman" w:eastAsia="Times New Roman" w:hAnsi="Times New Roman" w:cs="Times New Roman"/>
                <w:sz w:val="18"/>
                <w:szCs w:val="18"/>
                <w:lang w:val="lv-LV"/>
              </w:rPr>
              <w:t> </w:t>
            </w:r>
          </w:p>
        </w:tc>
        <w:tc>
          <w:tcPr>
            <w:tcW w:w="1559" w:type="dxa"/>
            <w:tcBorders>
              <w:top w:val="single" w:sz="8" w:space="0" w:color="auto"/>
              <w:left w:val="nil"/>
              <w:bottom w:val="single" w:sz="8" w:space="0" w:color="auto"/>
              <w:right w:val="single" w:sz="8" w:space="0" w:color="auto"/>
            </w:tcBorders>
            <w:shd w:val="clear" w:color="000000" w:fill="F2F2F2"/>
            <w:vAlign w:val="center"/>
            <w:hideMark/>
          </w:tcPr>
          <w:p w:rsidR="0062240B" w:rsidRPr="00A711DD" w:rsidRDefault="0062240B" w:rsidP="0062240B">
            <w:pPr>
              <w:spacing w:after="0" w:line="240" w:lineRule="auto"/>
              <w:jc w:val="center"/>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2012</w:t>
            </w:r>
            <w:r w:rsidRPr="00A711DD">
              <w:rPr>
                <w:rFonts w:ascii="Times New Roman" w:eastAsia="Times New Roman" w:hAnsi="Times New Roman" w:cs="Times New Roman"/>
                <w:b/>
                <w:bCs/>
                <w:sz w:val="18"/>
                <w:szCs w:val="18"/>
                <w:lang w:val="lv-LV"/>
              </w:rPr>
              <w:t xml:space="preserve">.gada </w:t>
            </w:r>
            <w:r w:rsidRPr="00A711DD">
              <w:rPr>
                <w:rFonts w:ascii="Times New Roman" w:eastAsia="Times New Roman" w:hAnsi="Times New Roman" w:cs="Times New Roman"/>
                <w:b/>
                <w:bCs/>
                <w:sz w:val="18"/>
                <w:szCs w:val="18"/>
                <w:lang w:val="lv-LV"/>
              </w:rPr>
              <w:br/>
            </w:r>
            <w:r>
              <w:rPr>
                <w:rFonts w:ascii="Times New Roman" w:eastAsia="Times New Roman" w:hAnsi="Times New Roman" w:cs="Times New Roman"/>
                <w:b/>
                <w:bCs/>
                <w:sz w:val="18"/>
                <w:szCs w:val="18"/>
                <w:lang w:val="lv-LV"/>
              </w:rPr>
              <w:t>izsludinātais</w:t>
            </w:r>
            <w:r w:rsidRPr="00A711DD">
              <w:rPr>
                <w:rFonts w:ascii="Times New Roman" w:eastAsia="Times New Roman" w:hAnsi="Times New Roman" w:cs="Times New Roman"/>
                <w:b/>
                <w:bCs/>
                <w:sz w:val="18"/>
                <w:szCs w:val="18"/>
                <w:lang w:val="lv-LV"/>
              </w:rPr>
              <w:t xml:space="preserve"> budžets</w:t>
            </w:r>
            <w:r>
              <w:rPr>
                <w:rFonts w:ascii="Times New Roman" w:eastAsia="Times New Roman" w:hAnsi="Times New Roman" w:cs="Times New Roman"/>
                <w:b/>
                <w:bCs/>
                <w:sz w:val="18"/>
                <w:szCs w:val="18"/>
                <w:lang w:val="lv-LV"/>
              </w:rPr>
              <w:t xml:space="preserve"> (29.12.2011)</w:t>
            </w:r>
          </w:p>
        </w:tc>
        <w:tc>
          <w:tcPr>
            <w:tcW w:w="1418" w:type="dxa"/>
            <w:tcBorders>
              <w:top w:val="single" w:sz="8" w:space="0" w:color="auto"/>
              <w:left w:val="nil"/>
              <w:bottom w:val="single" w:sz="8" w:space="0" w:color="auto"/>
              <w:right w:val="single" w:sz="8" w:space="0" w:color="auto"/>
            </w:tcBorders>
            <w:shd w:val="clear" w:color="000000" w:fill="F2F2F2"/>
            <w:vAlign w:val="center"/>
            <w:hideMark/>
          </w:tcPr>
          <w:p w:rsidR="0062240B" w:rsidRPr="00A711DD" w:rsidRDefault="0062240B" w:rsidP="00A711DD">
            <w:pPr>
              <w:spacing w:after="0" w:line="240" w:lineRule="auto"/>
              <w:jc w:val="center"/>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2012</w:t>
            </w:r>
            <w:r w:rsidRPr="00A711DD">
              <w:rPr>
                <w:rFonts w:ascii="Times New Roman" w:eastAsia="Times New Roman" w:hAnsi="Times New Roman" w:cs="Times New Roman"/>
                <w:b/>
                <w:bCs/>
                <w:sz w:val="18"/>
                <w:szCs w:val="18"/>
                <w:lang w:val="lv-LV"/>
              </w:rPr>
              <w:t xml:space="preserve">.gada </w:t>
            </w:r>
            <w:r w:rsidRPr="00A711DD">
              <w:rPr>
                <w:rFonts w:ascii="Times New Roman" w:eastAsia="Times New Roman" w:hAnsi="Times New Roman" w:cs="Times New Roman"/>
                <w:b/>
                <w:bCs/>
                <w:sz w:val="18"/>
                <w:szCs w:val="18"/>
                <w:lang w:val="lv-LV"/>
              </w:rPr>
              <w:br/>
              <w:t>budžets ar izmaiņām gada noslēgumā</w:t>
            </w:r>
          </w:p>
        </w:tc>
        <w:tc>
          <w:tcPr>
            <w:tcW w:w="1417" w:type="dxa"/>
            <w:tcBorders>
              <w:top w:val="single" w:sz="8" w:space="0" w:color="auto"/>
              <w:left w:val="nil"/>
              <w:bottom w:val="single" w:sz="8" w:space="0" w:color="auto"/>
              <w:right w:val="single" w:sz="8" w:space="0" w:color="auto"/>
            </w:tcBorders>
            <w:shd w:val="clear" w:color="000000" w:fill="F2F2F2"/>
            <w:vAlign w:val="center"/>
            <w:hideMark/>
          </w:tcPr>
          <w:p w:rsidR="0062240B" w:rsidRPr="00A711DD" w:rsidRDefault="0062240B" w:rsidP="00A711DD">
            <w:pPr>
              <w:spacing w:after="0" w:line="240" w:lineRule="auto"/>
              <w:jc w:val="center"/>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2013</w:t>
            </w:r>
            <w:r w:rsidRPr="00A711DD">
              <w:rPr>
                <w:rFonts w:ascii="Times New Roman" w:eastAsia="Times New Roman" w:hAnsi="Times New Roman" w:cs="Times New Roman"/>
                <w:b/>
                <w:bCs/>
                <w:sz w:val="18"/>
                <w:szCs w:val="18"/>
                <w:lang w:val="lv-LV"/>
              </w:rPr>
              <w:t xml:space="preserve">.gada </w:t>
            </w:r>
            <w:r w:rsidRPr="00A711DD">
              <w:rPr>
                <w:rFonts w:ascii="Times New Roman" w:eastAsia="Times New Roman" w:hAnsi="Times New Roman" w:cs="Times New Roman"/>
                <w:b/>
                <w:bCs/>
                <w:sz w:val="18"/>
                <w:szCs w:val="18"/>
                <w:lang w:val="lv-LV"/>
              </w:rPr>
              <w:br/>
              <w:t>apstiprinātais budžets</w:t>
            </w:r>
          </w:p>
        </w:tc>
      </w:tr>
      <w:tr w:rsidR="0062240B" w:rsidRPr="00E035F5" w:rsidTr="0062240B">
        <w:trPr>
          <w:trHeight w:val="90"/>
          <w:jc w:val="center"/>
        </w:trPr>
        <w:tc>
          <w:tcPr>
            <w:tcW w:w="4268" w:type="dxa"/>
            <w:tcBorders>
              <w:top w:val="nil"/>
              <w:left w:val="nil"/>
              <w:bottom w:val="nil"/>
              <w:right w:val="nil"/>
            </w:tcBorders>
            <w:shd w:val="clear" w:color="auto" w:fill="auto"/>
            <w:vAlign w:val="center"/>
            <w:hideMark/>
          </w:tcPr>
          <w:p w:rsidR="0062240B" w:rsidRPr="00A711DD" w:rsidRDefault="0062240B" w:rsidP="00A711DD">
            <w:pPr>
              <w:spacing w:after="0" w:line="240" w:lineRule="auto"/>
              <w:ind w:firstLineChars="100" w:firstLine="180"/>
              <w:rPr>
                <w:rFonts w:ascii="Times New Roman" w:eastAsia="Times New Roman" w:hAnsi="Times New Roman" w:cs="Times New Roman"/>
                <w:sz w:val="18"/>
                <w:szCs w:val="18"/>
                <w:lang w:val="lv-LV"/>
              </w:rPr>
            </w:pPr>
          </w:p>
        </w:tc>
        <w:tc>
          <w:tcPr>
            <w:tcW w:w="1559" w:type="dxa"/>
            <w:tcBorders>
              <w:top w:val="nil"/>
              <w:left w:val="nil"/>
              <w:bottom w:val="nil"/>
              <w:right w:val="nil"/>
            </w:tcBorders>
            <w:shd w:val="clear" w:color="auto" w:fill="auto"/>
            <w:noWrap/>
            <w:vAlign w:val="center"/>
            <w:hideMark/>
          </w:tcPr>
          <w:p w:rsidR="0062240B" w:rsidRPr="00A711DD" w:rsidRDefault="0062240B" w:rsidP="00A711DD">
            <w:pPr>
              <w:spacing w:after="0" w:line="240" w:lineRule="auto"/>
              <w:rPr>
                <w:rFonts w:ascii="Times New Roman" w:eastAsia="Times New Roman" w:hAnsi="Times New Roman" w:cs="Times New Roman"/>
                <w:sz w:val="18"/>
                <w:szCs w:val="18"/>
                <w:lang w:val="lv-LV"/>
              </w:rPr>
            </w:pPr>
          </w:p>
        </w:tc>
        <w:tc>
          <w:tcPr>
            <w:tcW w:w="1418" w:type="dxa"/>
            <w:tcBorders>
              <w:top w:val="nil"/>
              <w:left w:val="nil"/>
              <w:bottom w:val="nil"/>
              <w:right w:val="nil"/>
            </w:tcBorders>
            <w:shd w:val="clear" w:color="auto" w:fill="auto"/>
            <w:noWrap/>
            <w:vAlign w:val="center"/>
            <w:hideMark/>
          </w:tcPr>
          <w:p w:rsidR="0062240B" w:rsidRPr="00A711DD" w:rsidRDefault="0062240B" w:rsidP="00A711DD">
            <w:pPr>
              <w:spacing w:after="0" w:line="240" w:lineRule="auto"/>
              <w:rPr>
                <w:rFonts w:ascii="Times New Roman" w:eastAsia="Times New Roman" w:hAnsi="Times New Roman" w:cs="Times New Roman"/>
                <w:sz w:val="18"/>
                <w:szCs w:val="18"/>
                <w:lang w:val="lv-LV"/>
              </w:rPr>
            </w:pPr>
          </w:p>
        </w:tc>
        <w:tc>
          <w:tcPr>
            <w:tcW w:w="1417" w:type="dxa"/>
            <w:tcBorders>
              <w:top w:val="nil"/>
              <w:left w:val="nil"/>
              <w:bottom w:val="nil"/>
              <w:right w:val="nil"/>
            </w:tcBorders>
            <w:shd w:val="clear" w:color="auto" w:fill="auto"/>
            <w:noWrap/>
            <w:vAlign w:val="center"/>
            <w:hideMark/>
          </w:tcPr>
          <w:p w:rsidR="0062240B" w:rsidRPr="00A711DD" w:rsidRDefault="0062240B" w:rsidP="00A711DD">
            <w:pPr>
              <w:spacing w:after="0" w:line="240" w:lineRule="auto"/>
              <w:rPr>
                <w:rFonts w:ascii="Times New Roman" w:eastAsia="Times New Roman" w:hAnsi="Times New Roman" w:cs="Times New Roman"/>
                <w:sz w:val="18"/>
                <w:szCs w:val="18"/>
                <w:lang w:val="lv-LV"/>
              </w:rPr>
            </w:pPr>
          </w:p>
        </w:tc>
      </w:tr>
      <w:tr w:rsidR="0062240B" w:rsidRPr="00A711DD" w:rsidTr="0062240B">
        <w:trPr>
          <w:trHeight w:val="375"/>
          <w:jc w:val="center"/>
        </w:trPr>
        <w:tc>
          <w:tcPr>
            <w:tcW w:w="4268"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62240B" w:rsidRPr="00A711DD" w:rsidRDefault="0062240B" w:rsidP="003664C4">
            <w:pPr>
              <w:spacing w:after="0" w:line="240" w:lineRule="auto"/>
              <w:ind w:firstLineChars="100" w:firstLine="181"/>
              <w:rPr>
                <w:rFonts w:ascii="Times New Roman" w:eastAsia="Times New Roman" w:hAnsi="Times New Roman" w:cs="Times New Roman"/>
                <w:b/>
                <w:bCs/>
                <w:i/>
                <w:iCs/>
                <w:sz w:val="18"/>
                <w:szCs w:val="18"/>
                <w:lang w:val="lv-LV"/>
              </w:rPr>
            </w:pPr>
            <w:r>
              <w:rPr>
                <w:rFonts w:ascii="Times New Roman" w:eastAsia="Times New Roman" w:hAnsi="Times New Roman" w:cs="Times New Roman"/>
                <w:b/>
                <w:bCs/>
                <w:i/>
                <w:iCs/>
                <w:sz w:val="18"/>
                <w:szCs w:val="18"/>
                <w:lang w:val="lv-LV"/>
              </w:rPr>
              <w:t xml:space="preserve">Veselības </w:t>
            </w:r>
            <w:r w:rsidR="003664C4">
              <w:rPr>
                <w:rFonts w:ascii="Times New Roman" w:eastAsia="Times New Roman" w:hAnsi="Times New Roman" w:cs="Times New Roman"/>
                <w:b/>
                <w:bCs/>
                <w:i/>
                <w:iCs/>
                <w:sz w:val="18"/>
                <w:szCs w:val="18"/>
                <w:lang w:val="lv-LV"/>
              </w:rPr>
              <w:t>aprūpes nozares izdevumi kopā:</w:t>
            </w:r>
          </w:p>
        </w:tc>
        <w:tc>
          <w:tcPr>
            <w:tcW w:w="1559" w:type="dxa"/>
            <w:tcBorders>
              <w:top w:val="single" w:sz="8" w:space="0" w:color="auto"/>
              <w:left w:val="nil"/>
              <w:bottom w:val="single" w:sz="8" w:space="0" w:color="auto"/>
              <w:right w:val="single" w:sz="8" w:space="0" w:color="auto"/>
            </w:tcBorders>
            <w:shd w:val="clear" w:color="000000" w:fill="FFFF00"/>
            <w:vAlign w:val="center"/>
            <w:hideMark/>
          </w:tcPr>
          <w:p w:rsidR="0062240B" w:rsidRPr="00A711DD" w:rsidRDefault="00D876C0"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488 679 670</w:t>
            </w:r>
          </w:p>
        </w:tc>
        <w:tc>
          <w:tcPr>
            <w:tcW w:w="1418" w:type="dxa"/>
            <w:tcBorders>
              <w:top w:val="single" w:sz="8" w:space="0" w:color="auto"/>
              <w:left w:val="nil"/>
              <w:bottom w:val="single" w:sz="8" w:space="0" w:color="auto"/>
              <w:right w:val="single" w:sz="8" w:space="0" w:color="auto"/>
            </w:tcBorders>
            <w:shd w:val="clear" w:color="000000" w:fill="FFFF00"/>
            <w:vAlign w:val="center"/>
            <w:hideMark/>
          </w:tcPr>
          <w:p w:rsidR="0062240B" w:rsidRPr="00A711DD" w:rsidRDefault="00D876C0"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524 390 938</w:t>
            </w:r>
          </w:p>
        </w:tc>
        <w:tc>
          <w:tcPr>
            <w:tcW w:w="1417" w:type="dxa"/>
            <w:tcBorders>
              <w:top w:val="single" w:sz="8" w:space="0" w:color="auto"/>
              <w:left w:val="nil"/>
              <w:bottom w:val="single" w:sz="8" w:space="0" w:color="auto"/>
              <w:right w:val="single" w:sz="8" w:space="0" w:color="auto"/>
            </w:tcBorders>
            <w:shd w:val="clear" w:color="000000" w:fill="FFFF00"/>
            <w:vAlign w:val="center"/>
            <w:hideMark/>
          </w:tcPr>
          <w:p w:rsidR="0062240B" w:rsidRPr="00A711DD" w:rsidRDefault="00D876C0"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500 336 388</w:t>
            </w:r>
          </w:p>
        </w:tc>
      </w:tr>
      <w:tr w:rsidR="0062240B" w:rsidRPr="00A711DD" w:rsidTr="0062240B">
        <w:trPr>
          <w:trHeight w:val="90"/>
          <w:jc w:val="center"/>
        </w:trPr>
        <w:tc>
          <w:tcPr>
            <w:tcW w:w="4268" w:type="dxa"/>
            <w:tcBorders>
              <w:top w:val="nil"/>
              <w:left w:val="nil"/>
              <w:bottom w:val="nil"/>
              <w:right w:val="nil"/>
            </w:tcBorders>
            <w:shd w:val="clear" w:color="auto" w:fill="auto"/>
            <w:vAlign w:val="center"/>
            <w:hideMark/>
          </w:tcPr>
          <w:p w:rsidR="0062240B" w:rsidRPr="00A711DD" w:rsidRDefault="0062240B" w:rsidP="00A711DD">
            <w:pPr>
              <w:spacing w:after="0" w:line="240" w:lineRule="auto"/>
              <w:ind w:firstLineChars="100" w:firstLine="180"/>
              <w:rPr>
                <w:rFonts w:ascii="Times New Roman" w:eastAsia="Times New Roman" w:hAnsi="Times New Roman" w:cs="Times New Roman"/>
                <w:sz w:val="18"/>
                <w:szCs w:val="18"/>
                <w:lang w:val="lv-LV"/>
              </w:rPr>
            </w:pPr>
          </w:p>
        </w:tc>
        <w:tc>
          <w:tcPr>
            <w:tcW w:w="1559" w:type="dxa"/>
            <w:tcBorders>
              <w:top w:val="nil"/>
              <w:left w:val="nil"/>
              <w:bottom w:val="nil"/>
              <w:right w:val="nil"/>
            </w:tcBorders>
            <w:shd w:val="clear" w:color="auto" w:fill="auto"/>
            <w:noWrap/>
            <w:vAlign w:val="center"/>
            <w:hideMark/>
          </w:tcPr>
          <w:p w:rsidR="0062240B" w:rsidRPr="00A711DD" w:rsidRDefault="0062240B" w:rsidP="00A711DD">
            <w:pPr>
              <w:spacing w:after="0" w:line="240" w:lineRule="auto"/>
              <w:ind w:firstLineChars="100" w:firstLine="180"/>
              <w:jc w:val="right"/>
              <w:rPr>
                <w:rFonts w:ascii="Times New Roman" w:eastAsia="Times New Roman" w:hAnsi="Times New Roman" w:cs="Times New Roman"/>
                <w:sz w:val="18"/>
                <w:szCs w:val="18"/>
                <w:lang w:val="lv-LV"/>
              </w:rPr>
            </w:pPr>
          </w:p>
        </w:tc>
        <w:tc>
          <w:tcPr>
            <w:tcW w:w="1418" w:type="dxa"/>
            <w:tcBorders>
              <w:top w:val="nil"/>
              <w:left w:val="nil"/>
              <w:bottom w:val="nil"/>
              <w:right w:val="nil"/>
            </w:tcBorders>
            <w:shd w:val="clear" w:color="auto" w:fill="auto"/>
            <w:noWrap/>
            <w:vAlign w:val="center"/>
            <w:hideMark/>
          </w:tcPr>
          <w:p w:rsidR="0062240B" w:rsidRPr="00A711DD" w:rsidRDefault="0062240B" w:rsidP="00A711DD">
            <w:pPr>
              <w:spacing w:after="0" w:line="240" w:lineRule="auto"/>
              <w:ind w:firstLineChars="100" w:firstLine="180"/>
              <w:jc w:val="right"/>
              <w:rPr>
                <w:rFonts w:ascii="Times New Roman" w:eastAsia="Times New Roman" w:hAnsi="Times New Roman" w:cs="Times New Roman"/>
                <w:sz w:val="18"/>
                <w:szCs w:val="18"/>
                <w:lang w:val="lv-LV"/>
              </w:rPr>
            </w:pPr>
          </w:p>
        </w:tc>
        <w:tc>
          <w:tcPr>
            <w:tcW w:w="1417" w:type="dxa"/>
            <w:tcBorders>
              <w:top w:val="nil"/>
              <w:left w:val="nil"/>
              <w:bottom w:val="nil"/>
              <w:right w:val="nil"/>
            </w:tcBorders>
            <w:shd w:val="clear" w:color="auto" w:fill="auto"/>
            <w:noWrap/>
            <w:vAlign w:val="center"/>
            <w:hideMark/>
          </w:tcPr>
          <w:p w:rsidR="0062240B" w:rsidRPr="00A711DD" w:rsidRDefault="0062240B" w:rsidP="00A711DD">
            <w:pPr>
              <w:spacing w:after="0" w:line="240" w:lineRule="auto"/>
              <w:ind w:firstLineChars="100" w:firstLine="180"/>
              <w:jc w:val="right"/>
              <w:rPr>
                <w:rFonts w:ascii="Times New Roman" w:eastAsia="Times New Roman" w:hAnsi="Times New Roman" w:cs="Times New Roman"/>
                <w:sz w:val="18"/>
                <w:szCs w:val="18"/>
                <w:lang w:val="lv-LV"/>
              </w:rPr>
            </w:pPr>
          </w:p>
        </w:tc>
      </w:tr>
      <w:tr w:rsidR="0062240B" w:rsidRPr="00A711DD" w:rsidTr="0062240B">
        <w:trPr>
          <w:trHeight w:val="360"/>
          <w:jc w:val="center"/>
        </w:trPr>
        <w:tc>
          <w:tcPr>
            <w:tcW w:w="4268" w:type="dxa"/>
            <w:tcBorders>
              <w:top w:val="single" w:sz="8" w:space="0" w:color="auto"/>
              <w:left w:val="single" w:sz="8" w:space="0" w:color="auto"/>
              <w:bottom w:val="single" w:sz="8" w:space="0" w:color="auto"/>
              <w:right w:val="single" w:sz="8" w:space="0" w:color="auto"/>
            </w:tcBorders>
            <w:shd w:val="clear" w:color="000000" w:fill="CCFF99"/>
            <w:vAlign w:val="center"/>
            <w:hideMark/>
          </w:tcPr>
          <w:p w:rsidR="0062240B" w:rsidRPr="003664C4" w:rsidRDefault="003664C4" w:rsidP="003664C4">
            <w:pPr>
              <w:spacing w:after="0" w:line="240" w:lineRule="auto"/>
              <w:ind w:firstLineChars="100" w:firstLine="181"/>
              <w:rPr>
                <w:rFonts w:ascii="Times New Roman" w:eastAsia="Times New Roman" w:hAnsi="Times New Roman" w:cs="Times New Roman"/>
                <w:b/>
                <w:bCs/>
                <w:iCs/>
                <w:sz w:val="18"/>
                <w:szCs w:val="18"/>
                <w:lang w:val="lv-LV"/>
              </w:rPr>
            </w:pPr>
            <w:r w:rsidRPr="003664C4">
              <w:rPr>
                <w:rFonts w:ascii="Times New Roman" w:eastAsia="Times New Roman" w:hAnsi="Times New Roman" w:cs="Times New Roman"/>
                <w:b/>
                <w:bCs/>
                <w:iCs/>
                <w:sz w:val="18"/>
                <w:szCs w:val="18"/>
                <w:lang w:val="lv-LV"/>
              </w:rPr>
              <w:t>Veselības ministrijas budžeta izdevumi kopā:</w:t>
            </w:r>
          </w:p>
        </w:tc>
        <w:tc>
          <w:tcPr>
            <w:tcW w:w="1559" w:type="dxa"/>
            <w:tcBorders>
              <w:top w:val="single" w:sz="8" w:space="0" w:color="auto"/>
              <w:left w:val="nil"/>
              <w:bottom w:val="single" w:sz="8" w:space="0" w:color="auto"/>
              <w:right w:val="single" w:sz="8" w:space="0" w:color="auto"/>
            </w:tcBorders>
            <w:shd w:val="clear" w:color="000000" w:fill="CCFF99"/>
            <w:vAlign w:val="center"/>
            <w:hideMark/>
          </w:tcPr>
          <w:p w:rsidR="0062240B" w:rsidRPr="00A711DD" w:rsidRDefault="003664C4"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457 491 514</w:t>
            </w:r>
          </w:p>
        </w:tc>
        <w:tc>
          <w:tcPr>
            <w:tcW w:w="1418" w:type="dxa"/>
            <w:tcBorders>
              <w:top w:val="single" w:sz="8" w:space="0" w:color="auto"/>
              <w:left w:val="nil"/>
              <w:bottom w:val="single" w:sz="8" w:space="0" w:color="auto"/>
              <w:right w:val="single" w:sz="8" w:space="0" w:color="auto"/>
            </w:tcBorders>
            <w:shd w:val="clear" w:color="000000" w:fill="CCFF99"/>
            <w:vAlign w:val="center"/>
            <w:hideMark/>
          </w:tcPr>
          <w:p w:rsidR="0062240B" w:rsidRPr="00A711DD" w:rsidRDefault="003664C4"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496 585 702</w:t>
            </w:r>
          </w:p>
        </w:tc>
        <w:tc>
          <w:tcPr>
            <w:tcW w:w="1417" w:type="dxa"/>
            <w:tcBorders>
              <w:top w:val="single" w:sz="8" w:space="0" w:color="auto"/>
              <w:left w:val="nil"/>
              <w:bottom w:val="single" w:sz="8" w:space="0" w:color="auto"/>
              <w:right w:val="single" w:sz="8" w:space="0" w:color="auto"/>
            </w:tcBorders>
            <w:shd w:val="clear" w:color="000000" w:fill="CCFF99"/>
            <w:vAlign w:val="center"/>
            <w:hideMark/>
          </w:tcPr>
          <w:p w:rsidR="0062240B" w:rsidRPr="00A711DD" w:rsidRDefault="003664C4"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468 030 580</w:t>
            </w:r>
          </w:p>
        </w:tc>
      </w:tr>
      <w:tr w:rsidR="003664C4" w:rsidRPr="00A711DD" w:rsidTr="0062240B">
        <w:trPr>
          <w:trHeight w:val="360"/>
          <w:jc w:val="center"/>
        </w:trPr>
        <w:tc>
          <w:tcPr>
            <w:tcW w:w="4268" w:type="dxa"/>
            <w:tcBorders>
              <w:top w:val="single" w:sz="8" w:space="0" w:color="auto"/>
              <w:left w:val="single" w:sz="8" w:space="0" w:color="auto"/>
              <w:bottom w:val="single" w:sz="8" w:space="0" w:color="auto"/>
              <w:right w:val="single" w:sz="8" w:space="0" w:color="auto"/>
            </w:tcBorders>
            <w:shd w:val="clear" w:color="000000" w:fill="CCFF99"/>
            <w:vAlign w:val="center"/>
            <w:hideMark/>
          </w:tcPr>
          <w:p w:rsidR="003664C4" w:rsidRPr="00A711DD" w:rsidRDefault="003664C4" w:rsidP="003664C4">
            <w:pPr>
              <w:spacing w:after="0" w:line="240" w:lineRule="auto"/>
              <w:ind w:firstLineChars="100" w:firstLine="181"/>
              <w:rPr>
                <w:rFonts w:ascii="Times New Roman" w:eastAsia="Times New Roman" w:hAnsi="Times New Roman" w:cs="Times New Roman"/>
                <w:b/>
                <w:bCs/>
                <w:i/>
                <w:iCs/>
                <w:sz w:val="18"/>
                <w:szCs w:val="18"/>
                <w:lang w:val="lv-LV"/>
              </w:rPr>
            </w:pPr>
            <w:r w:rsidRPr="00A711DD">
              <w:rPr>
                <w:rFonts w:ascii="Times New Roman" w:eastAsia="Times New Roman" w:hAnsi="Times New Roman" w:cs="Times New Roman"/>
                <w:b/>
                <w:bCs/>
                <w:i/>
                <w:iCs/>
                <w:sz w:val="18"/>
                <w:szCs w:val="18"/>
                <w:lang w:val="lv-LV"/>
              </w:rPr>
              <w:t>tai skaitā  - BUDŽETA PAMATFUNKCIJAS</w:t>
            </w:r>
          </w:p>
        </w:tc>
        <w:tc>
          <w:tcPr>
            <w:tcW w:w="1559" w:type="dxa"/>
            <w:tcBorders>
              <w:top w:val="single" w:sz="8" w:space="0" w:color="auto"/>
              <w:left w:val="nil"/>
              <w:bottom w:val="single" w:sz="8" w:space="0" w:color="auto"/>
              <w:right w:val="single" w:sz="8" w:space="0" w:color="auto"/>
            </w:tcBorders>
            <w:shd w:val="clear" w:color="000000" w:fill="CCFF99"/>
            <w:vAlign w:val="center"/>
            <w:hideMark/>
          </w:tcPr>
          <w:p w:rsidR="003664C4" w:rsidRPr="00A711DD" w:rsidRDefault="003664C4" w:rsidP="003664C4">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446 121 868</w:t>
            </w:r>
          </w:p>
        </w:tc>
        <w:tc>
          <w:tcPr>
            <w:tcW w:w="1418" w:type="dxa"/>
            <w:tcBorders>
              <w:top w:val="single" w:sz="8" w:space="0" w:color="auto"/>
              <w:left w:val="nil"/>
              <w:bottom w:val="single" w:sz="8" w:space="0" w:color="auto"/>
              <w:right w:val="single" w:sz="8" w:space="0" w:color="auto"/>
            </w:tcBorders>
            <w:shd w:val="clear" w:color="000000" w:fill="CCFF99"/>
            <w:vAlign w:val="center"/>
            <w:hideMark/>
          </w:tcPr>
          <w:p w:rsidR="003664C4" w:rsidRPr="00A711DD" w:rsidRDefault="003664C4" w:rsidP="003664C4">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486 103 631</w:t>
            </w:r>
          </w:p>
        </w:tc>
        <w:tc>
          <w:tcPr>
            <w:tcW w:w="1417" w:type="dxa"/>
            <w:tcBorders>
              <w:top w:val="single" w:sz="8" w:space="0" w:color="auto"/>
              <w:left w:val="nil"/>
              <w:bottom w:val="single" w:sz="8" w:space="0" w:color="auto"/>
              <w:right w:val="single" w:sz="8" w:space="0" w:color="auto"/>
            </w:tcBorders>
            <w:shd w:val="clear" w:color="000000" w:fill="CCFF99"/>
            <w:vAlign w:val="center"/>
            <w:hideMark/>
          </w:tcPr>
          <w:p w:rsidR="003664C4" w:rsidRPr="00A711DD" w:rsidRDefault="003664C4" w:rsidP="003664C4">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464 397 369</w:t>
            </w:r>
          </w:p>
        </w:tc>
      </w:tr>
      <w:tr w:rsidR="0062240B" w:rsidRPr="00A711DD" w:rsidTr="0062240B">
        <w:trPr>
          <w:trHeight w:val="345"/>
          <w:jc w:val="center"/>
        </w:trPr>
        <w:tc>
          <w:tcPr>
            <w:tcW w:w="4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2240B" w:rsidRPr="00A711DD" w:rsidRDefault="0062240B" w:rsidP="00A711DD">
            <w:pPr>
              <w:spacing w:after="0" w:line="240" w:lineRule="auto"/>
              <w:jc w:val="center"/>
              <w:rPr>
                <w:rFonts w:ascii="Times New Roman" w:eastAsia="Times New Roman" w:hAnsi="Times New Roman" w:cs="Times New Roman"/>
                <w:b/>
                <w:bCs/>
                <w:i/>
                <w:iCs/>
                <w:sz w:val="18"/>
                <w:szCs w:val="18"/>
                <w:lang w:val="lv-LV"/>
              </w:rPr>
            </w:pPr>
            <w:r w:rsidRPr="00A711DD">
              <w:rPr>
                <w:rFonts w:ascii="Times New Roman" w:eastAsia="Times New Roman" w:hAnsi="Times New Roman" w:cs="Times New Roman"/>
                <w:b/>
                <w:bCs/>
                <w:i/>
                <w:iCs/>
                <w:sz w:val="18"/>
                <w:szCs w:val="18"/>
                <w:lang w:val="lv-LV"/>
              </w:rPr>
              <w:t>tai skaitā - pa galvenajiem izdevumu veidiem</w:t>
            </w:r>
          </w:p>
        </w:tc>
        <w:tc>
          <w:tcPr>
            <w:tcW w:w="1559" w:type="dxa"/>
            <w:tcBorders>
              <w:top w:val="nil"/>
              <w:left w:val="nil"/>
              <w:bottom w:val="single" w:sz="4" w:space="0" w:color="auto"/>
              <w:right w:val="single" w:sz="8" w:space="0" w:color="auto"/>
            </w:tcBorders>
            <w:shd w:val="clear" w:color="auto" w:fill="auto"/>
            <w:vAlign w:val="center"/>
            <w:hideMark/>
          </w:tcPr>
          <w:p w:rsidR="0062240B" w:rsidRPr="00A711DD" w:rsidRDefault="0062240B" w:rsidP="00A711DD">
            <w:pPr>
              <w:spacing w:after="0" w:line="240" w:lineRule="auto"/>
              <w:ind w:firstLineChars="100" w:firstLine="181"/>
              <w:jc w:val="right"/>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t> </w:t>
            </w:r>
          </w:p>
        </w:tc>
        <w:tc>
          <w:tcPr>
            <w:tcW w:w="1418" w:type="dxa"/>
            <w:tcBorders>
              <w:top w:val="nil"/>
              <w:left w:val="nil"/>
              <w:bottom w:val="single" w:sz="4" w:space="0" w:color="auto"/>
              <w:right w:val="single" w:sz="8" w:space="0" w:color="auto"/>
            </w:tcBorders>
            <w:shd w:val="clear" w:color="auto" w:fill="auto"/>
            <w:vAlign w:val="center"/>
            <w:hideMark/>
          </w:tcPr>
          <w:p w:rsidR="0062240B" w:rsidRPr="00A711DD" w:rsidRDefault="0062240B" w:rsidP="00A711DD">
            <w:pPr>
              <w:spacing w:after="0" w:line="240" w:lineRule="auto"/>
              <w:ind w:firstLineChars="100" w:firstLine="181"/>
              <w:jc w:val="right"/>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t> </w:t>
            </w:r>
          </w:p>
        </w:tc>
        <w:tc>
          <w:tcPr>
            <w:tcW w:w="1417" w:type="dxa"/>
            <w:tcBorders>
              <w:top w:val="nil"/>
              <w:left w:val="nil"/>
              <w:bottom w:val="single" w:sz="4" w:space="0" w:color="auto"/>
              <w:right w:val="single" w:sz="8" w:space="0" w:color="auto"/>
            </w:tcBorders>
            <w:shd w:val="clear" w:color="auto" w:fill="auto"/>
            <w:vAlign w:val="center"/>
            <w:hideMark/>
          </w:tcPr>
          <w:p w:rsidR="0062240B" w:rsidRPr="00A711DD" w:rsidRDefault="0062240B" w:rsidP="00A711DD">
            <w:pPr>
              <w:spacing w:after="0" w:line="240" w:lineRule="auto"/>
              <w:ind w:firstLineChars="100" w:firstLine="181"/>
              <w:jc w:val="right"/>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t> </w:t>
            </w:r>
          </w:p>
        </w:tc>
      </w:tr>
      <w:tr w:rsidR="0062240B" w:rsidRPr="00A711D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2240B" w:rsidRPr="00A711DD" w:rsidRDefault="0062240B" w:rsidP="00A711DD">
            <w:pPr>
              <w:spacing w:after="0" w:line="240" w:lineRule="auto"/>
              <w:ind w:firstLineChars="100" w:firstLine="181"/>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t>Veselības aprūpe, tai skaitā:</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172EF6" w:rsidRDefault="0062240B" w:rsidP="00962E5D">
            <w:pPr>
              <w:spacing w:after="0" w:line="240" w:lineRule="auto"/>
              <w:ind w:firstLineChars="100" w:firstLine="181"/>
              <w:jc w:val="right"/>
              <w:rPr>
                <w:rFonts w:ascii="Times New Roman" w:eastAsia="Times New Roman" w:hAnsi="Times New Roman" w:cs="Times New Roman"/>
                <w:b/>
                <w:bCs/>
                <w:sz w:val="18"/>
                <w:szCs w:val="18"/>
                <w:lang w:val="lv-LV"/>
              </w:rPr>
            </w:pPr>
            <w:r w:rsidRPr="00172EF6">
              <w:rPr>
                <w:rFonts w:ascii="Times New Roman" w:eastAsia="Times New Roman" w:hAnsi="Times New Roman" w:cs="Times New Roman"/>
                <w:b/>
                <w:bCs/>
                <w:sz w:val="18"/>
                <w:szCs w:val="18"/>
                <w:lang w:val="lv-LV"/>
              </w:rPr>
              <w:t>41</w:t>
            </w:r>
            <w:r w:rsidR="00962E5D" w:rsidRPr="00172EF6">
              <w:rPr>
                <w:rFonts w:ascii="Times New Roman" w:eastAsia="Times New Roman" w:hAnsi="Times New Roman" w:cs="Times New Roman"/>
                <w:b/>
                <w:bCs/>
                <w:sz w:val="18"/>
                <w:szCs w:val="18"/>
                <w:lang w:val="lv-LV"/>
              </w:rPr>
              <w:t>4</w:t>
            </w:r>
            <w:r w:rsidR="00284904">
              <w:rPr>
                <w:rFonts w:ascii="Times New Roman" w:eastAsia="Times New Roman" w:hAnsi="Times New Roman" w:cs="Times New Roman"/>
                <w:b/>
                <w:bCs/>
                <w:sz w:val="18"/>
                <w:szCs w:val="18"/>
                <w:lang w:val="lv-LV"/>
              </w:rPr>
              <w:t> </w:t>
            </w:r>
            <w:r w:rsidR="00962E5D" w:rsidRPr="00172EF6">
              <w:rPr>
                <w:rFonts w:ascii="Times New Roman" w:eastAsia="Times New Roman" w:hAnsi="Times New Roman" w:cs="Times New Roman"/>
                <w:b/>
                <w:bCs/>
                <w:sz w:val="18"/>
                <w:szCs w:val="18"/>
                <w:lang w:val="lv-LV"/>
              </w:rPr>
              <w:t>7</w:t>
            </w:r>
            <w:r w:rsidR="00284904">
              <w:rPr>
                <w:rFonts w:ascii="Times New Roman" w:eastAsia="Times New Roman" w:hAnsi="Times New Roman" w:cs="Times New Roman"/>
                <w:b/>
                <w:bCs/>
                <w:sz w:val="18"/>
                <w:szCs w:val="18"/>
                <w:lang w:val="lv-LV"/>
              </w:rPr>
              <w:t>02 386</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284904" w:rsidRDefault="00284904" w:rsidP="00A711DD">
            <w:pPr>
              <w:spacing w:after="0" w:line="240" w:lineRule="auto"/>
              <w:ind w:firstLineChars="100" w:firstLine="181"/>
              <w:jc w:val="right"/>
              <w:rPr>
                <w:rFonts w:ascii="Times New Roman" w:eastAsia="Times New Roman" w:hAnsi="Times New Roman" w:cs="Times New Roman"/>
                <w:b/>
                <w:bCs/>
                <w:sz w:val="18"/>
                <w:szCs w:val="18"/>
                <w:lang w:val="lv-LV"/>
              </w:rPr>
            </w:pPr>
            <w:r w:rsidRPr="00284904">
              <w:rPr>
                <w:rFonts w:ascii="Times New Roman" w:eastAsia="Times New Roman" w:hAnsi="Times New Roman" w:cs="Times New Roman"/>
                <w:b/>
                <w:bCs/>
                <w:sz w:val="18"/>
                <w:szCs w:val="18"/>
                <w:lang w:val="lv-LV"/>
              </w:rPr>
              <w:t>454 961 266</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8376AB" w:rsidRDefault="0062240B" w:rsidP="00284904">
            <w:pPr>
              <w:spacing w:after="0" w:line="240" w:lineRule="auto"/>
              <w:ind w:firstLineChars="100" w:firstLine="181"/>
              <w:jc w:val="right"/>
              <w:rPr>
                <w:rFonts w:ascii="Times New Roman" w:eastAsia="Times New Roman" w:hAnsi="Times New Roman" w:cs="Times New Roman"/>
                <w:b/>
                <w:bCs/>
                <w:sz w:val="18"/>
                <w:szCs w:val="18"/>
                <w:lang w:val="lv-LV"/>
              </w:rPr>
            </w:pPr>
            <w:r w:rsidRPr="008376AB">
              <w:rPr>
                <w:rFonts w:ascii="Times New Roman" w:eastAsia="Times New Roman" w:hAnsi="Times New Roman" w:cs="Times New Roman"/>
                <w:b/>
                <w:bCs/>
                <w:sz w:val="18"/>
                <w:szCs w:val="18"/>
                <w:lang w:val="lv-LV"/>
              </w:rPr>
              <w:t>4</w:t>
            </w:r>
            <w:r w:rsidR="00284904" w:rsidRPr="008376AB">
              <w:rPr>
                <w:rFonts w:ascii="Times New Roman" w:eastAsia="Times New Roman" w:hAnsi="Times New Roman" w:cs="Times New Roman"/>
                <w:b/>
                <w:bCs/>
                <w:sz w:val="18"/>
                <w:szCs w:val="18"/>
                <w:lang w:val="lv-LV"/>
              </w:rPr>
              <w:t>34 638 827</w:t>
            </w:r>
          </w:p>
        </w:tc>
      </w:tr>
      <w:tr w:rsidR="0062240B" w:rsidRPr="00A711D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2240B" w:rsidRPr="00A711DD" w:rsidRDefault="0062240B" w:rsidP="00A711DD">
            <w:pPr>
              <w:spacing w:after="0" w:line="240" w:lineRule="auto"/>
              <w:ind w:firstLineChars="400" w:firstLine="720"/>
              <w:rPr>
                <w:rFonts w:ascii="Times New Roman" w:eastAsia="Times New Roman" w:hAnsi="Times New Roman" w:cs="Times New Roman"/>
                <w:sz w:val="18"/>
                <w:szCs w:val="18"/>
                <w:lang w:val="lv-LV"/>
              </w:rPr>
            </w:pPr>
            <w:r w:rsidRPr="00A711DD">
              <w:rPr>
                <w:rFonts w:ascii="Times New Roman" w:eastAsia="Times New Roman" w:hAnsi="Times New Roman" w:cs="Times New Roman"/>
                <w:sz w:val="18"/>
                <w:szCs w:val="18"/>
                <w:lang w:val="lv-LV"/>
              </w:rPr>
              <w:t>Ārstniecība</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260 187 903</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303 723 407</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310 724 176</w:t>
            </w:r>
          </w:p>
        </w:tc>
      </w:tr>
      <w:tr w:rsidR="0062240B" w:rsidRPr="00A711D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ind w:firstLineChars="400" w:firstLine="720"/>
              <w:rPr>
                <w:rFonts w:ascii="Times New Roman" w:eastAsia="Times New Roman" w:hAnsi="Times New Roman" w:cs="Times New Roman"/>
                <w:sz w:val="18"/>
                <w:szCs w:val="18"/>
                <w:lang w:val="lv-LV"/>
              </w:rPr>
            </w:pPr>
            <w:r w:rsidRPr="00A711DD">
              <w:rPr>
                <w:rFonts w:ascii="Times New Roman" w:eastAsia="Times New Roman" w:hAnsi="Times New Roman" w:cs="Times New Roman"/>
                <w:sz w:val="18"/>
                <w:szCs w:val="18"/>
                <w:lang w:val="lv-LV"/>
              </w:rPr>
              <w:t>Kompensējamo medikamentu un materiālu apmaksāšana</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74 684 605</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83 218 602</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78 090 700</w:t>
            </w:r>
          </w:p>
        </w:tc>
      </w:tr>
      <w:tr w:rsidR="0062240B" w:rsidRPr="00A711D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2240B" w:rsidRPr="00A711DD" w:rsidRDefault="0062240B" w:rsidP="00A711DD">
            <w:pPr>
              <w:spacing w:after="0" w:line="240" w:lineRule="auto"/>
              <w:ind w:firstLineChars="400" w:firstLine="720"/>
              <w:rPr>
                <w:rFonts w:ascii="Times New Roman" w:eastAsia="Times New Roman" w:hAnsi="Times New Roman" w:cs="Times New Roman"/>
                <w:sz w:val="18"/>
                <w:szCs w:val="18"/>
                <w:lang w:val="lv-LV"/>
              </w:rPr>
            </w:pPr>
            <w:r w:rsidRPr="00A711DD">
              <w:rPr>
                <w:rFonts w:ascii="Times New Roman" w:eastAsia="Times New Roman" w:hAnsi="Times New Roman" w:cs="Times New Roman"/>
                <w:sz w:val="18"/>
                <w:szCs w:val="18"/>
                <w:lang w:val="lv-LV"/>
              </w:rPr>
              <w:t>Centralizēta medikamentu un materiālu iegāde</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6 820 392</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9C6E83">
            <w:pPr>
              <w:spacing w:after="0" w:line="240" w:lineRule="auto"/>
              <w:ind w:firstLineChars="100" w:firstLine="180"/>
              <w:jc w:val="right"/>
              <w:rPr>
                <w:rFonts w:ascii="Times New Roman" w:eastAsia="Times New Roman" w:hAnsi="Times New Roman" w:cs="Times New Roman"/>
                <w:sz w:val="18"/>
                <w:szCs w:val="18"/>
                <w:lang w:val="lv-LV"/>
              </w:rPr>
            </w:pPr>
            <w:r w:rsidRPr="00A711DD">
              <w:rPr>
                <w:rFonts w:ascii="Times New Roman" w:eastAsia="Times New Roman" w:hAnsi="Times New Roman" w:cs="Times New Roman"/>
                <w:sz w:val="18"/>
                <w:szCs w:val="18"/>
                <w:lang w:val="lv-LV"/>
              </w:rPr>
              <w:t>7</w:t>
            </w:r>
            <w:r w:rsidR="009C6E83">
              <w:rPr>
                <w:rFonts w:ascii="Times New Roman" w:eastAsia="Times New Roman" w:hAnsi="Times New Roman" w:cs="Times New Roman"/>
                <w:sz w:val="18"/>
                <w:szCs w:val="18"/>
                <w:lang w:val="lv-LV"/>
              </w:rPr>
              <w:t> 203 362</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A711DD" w:rsidRDefault="009C6E83"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7 477 258</w:t>
            </w:r>
          </w:p>
        </w:tc>
      </w:tr>
      <w:tr w:rsidR="0062240B" w:rsidRPr="00A711D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ind w:firstLineChars="400" w:firstLine="720"/>
              <w:rPr>
                <w:rFonts w:ascii="Times New Roman" w:eastAsia="Times New Roman" w:hAnsi="Times New Roman" w:cs="Times New Roman"/>
                <w:sz w:val="18"/>
                <w:szCs w:val="18"/>
                <w:lang w:val="lv-LV"/>
              </w:rPr>
            </w:pPr>
            <w:r w:rsidRPr="00A711DD">
              <w:rPr>
                <w:rFonts w:ascii="Times New Roman" w:eastAsia="Times New Roman" w:hAnsi="Times New Roman" w:cs="Times New Roman"/>
                <w:sz w:val="18"/>
                <w:szCs w:val="18"/>
                <w:lang w:val="lv-LV"/>
              </w:rPr>
              <w:t>Pasākumi Sociālās drošības tīkla stratēģijas ietvaros</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A711DD" w:rsidRDefault="009C6E83"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19 874 929</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A711DD" w:rsidRDefault="009C6E83"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14 909 381</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A711DD" w:rsidRDefault="009C6E83"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0</w:t>
            </w:r>
          </w:p>
        </w:tc>
      </w:tr>
      <w:tr w:rsidR="0062240B" w:rsidRPr="00A711D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2240B" w:rsidRPr="00A711DD" w:rsidRDefault="0062240B" w:rsidP="00A711DD">
            <w:pPr>
              <w:spacing w:after="0" w:line="240" w:lineRule="auto"/>
              <w:ind w:firstLineChars="400" w:firstLine="720"/>
              <w:rPr>
                <w:rFonts w:ascii="Times New Roman" w:eastAsia="Times New Roman" w:hAnsi="Times New Roman" w:cs="Times New Roman"/>
                <w:sz w:val="18"/>
                <w:szCs w:val="18"/>
                <w:lang w:val="lv-LV"/>
              </w:rPr>
            </w:pPr>
            <w:r w:rsidRPr="00A711DD">
              <w:rPr>
                <w:rFonts w:ascii="Times New Roman" w:eastAsia="Times New Roman" w:hAnsi="Times New Roman" w:cs="Times New Roman"/>
                <w:sz w:val="18"/>
                <w:szCs w:val="18"/>
                <w:lang w:val="lv-LV"/>
              </w:rPr>
              <w:t>Neatliekamā medicīniskā palīdzība</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A711DD" w:rsidRDefault="009C6E83"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30 277 557</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A711DD" w:rsidRDefault="009C6E83"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30 552 178</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A711DD" w:rsidRDefault="009C6E83"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30 357 529</w:t>
            </w:r>
          </w:p>
        </w:tc>
      </w:tr>
      <w:tr w:rsidR="0062240B" w:rsidRPr="00A711D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2240B" w:rsidRPr="00A711DD" w:rsidRDefault="0062240B" w:rsidP="00A711DD">
            <w:pPr>
              <w:spacing w:after="0" w:line="240" w:lineRule="auto"/>
              <w:ind w:firstLineChars="400" w:firstLine="720"/>
              <w:rPr>
                <w:rFonts w:ascii="Times New Roman" w:eastAsia="Times New Roman" w:hAnsi="Times New Roman" w:cs="Times New Roman"/>
                <w:sz w:val="18"/>
                <w:szCs w:val="18"/>
                <w:lang w:val="lv-LV"/>
              </w:rPr>
            </w:pPr>
            <w:r w:rsidRPr="00A711DD">
              <w:rPr>
                <w:rFonts w:ascii="Times New Roman" w:eastAsia="Times New Roman" w:hAnsi="Times New Roman" w:cs="Times New Roman"/>
                <w:sz w:val="18"/>
                <w:szCs w:val="18"/>
                <w:lang w:val="lv-LV"/>
              </w:rPr>
              <w:t>Infekcijas slimību diagnostika un ārstēšana (v/a LIC)*</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A711DD" w:rsidRDefault="009C6E83"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14 809 921</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A711DD" w:rsidRDefault="009C6E83"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6 992 754</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A711DD" w:rsidRDefault="009C6E83"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0</w:t>
            </w:r>
          </w:p>
        </w:tc>
      </w:tr>
      <w:tr w:rsidR="0062240B" w:rsidRPr="00A711D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2240B" w:rsidRPr="00A711DD" w:rsidRDefault="0062240B" w:rsidP="00A711DD">
            <w:pPr>
              <w:spacing w:after="0" w:line="240" w:lineRule="auto"/>
              <w:ind w:firstLineChars="400" w:firstLine="720"/>
              <w:rPr>
                <w:rFonts w:ascii="Times New Roman" w:eastAsia="Times New Roman" w:hAnsi="Times New Roman" w:cs="Times New Roman"/>
                <w:sz w:val="18"/>
                <w:szCs w:val="18"/>
                <w:lang w:val="lv-LV"/>
              </w:rPr>
            </w:pPr>
            <w:r w:rsidRPr="00A711DD">
              <w:rPr>
                <w:rFonts w:ascii="Times New Roman" w:eastAsia="Times New Roman" w:hAnsi="Times New Roman" w:cs="Times New Roman"/>
                <w:sz w:val="18"/>
                <w:szCs w:val="18"/>
                <w:lang w:val="lv-LV"/>
              </w:rPr>
              <w:t>Asins un asins komponentu nodrošināšana</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ind w:firstLineChars="100" w:firstLine="180"/>
              <w:jc w:val="right"/>
              <w:rPr>
                <w:rFonts w:ascii="Times New Roman" w:eastAsia="Times New Roman" w:hAnsi="Times New Roman" w:cs="Times New Roman"/>
                <w:sz w:val="18"/>
                <w:szCs w:val="18"/>
                <w:lang w:val="lv-LV"/>
              </w:rPr>
            </w:pPr>
            <w:r w:rsidRPr="00A711DD">
              <w:rPr>
                <w:rFonts w:ascii="Times New Roman" w:eastAsia="Times New Roman" w:hAnsi="Times New Roman" w:cs="Times New Roman"/>
                <w:sz w:val="18"/>
                <w:szCs w:val="18"/>
                <w:lang w:val="lv-LV"/>
              </w:rPr>
              <w:t>5 094 769</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9C6E83">
            <w:pPr>
              <w:spacing w:after="0" w:line="240" w:lineRule="auto"/>
              <w:ind w:firstLineChars="100" w:firstLine="180"/>
              <w:jc w:val="right"/>
              <w:rPr>
                <w:rFonts w:ascii="Times New Roman" w:eastAsia="Times New Roman" w:hAnsi="Times New Roman" w:cs="Times New Roman"/>
                <w:sz w:val="18"/>
                <w:szCs w:val="18"/>
                <w:lang w:val="lv-LV"/>
              </w:rPr>
            </w:pPr>
            <w:r w:rsidRPr="00A711DD">
              <w:rPr>
                <w:rFonts w:ascii="Times New Roman" w:eastAsia="Times New Roman" w:hAnsi="Times New Roman" w:cs="Times New Roman"/>
                <w:sz w:val="18"/>
                <w:szCs w:val="18"/>
                <w:lang w:val="lv-LV"/>
              </w:rPr>
              <w:t>5</w:t>
            </w:r>
            <w:r w:rsidR="009C6E83">
              <w:rPr>
                <w:rFonts w:ascii="Times New Roman" w:eastAsia="Times New Roman" w:hAnsi="Times New Roman" w:cs="Times New Roman"/>
                <w:sz w:val="18"/>
                <w:szCs w:val="18"/>
                <w:lang w:val="lv-LV"/>
              </w:rPr>
              <w:t> 221 859</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9C6E83">
            <w:pPr>
              <w:spacing w:after="0" w:line="240" w:lineRule="auto"/>
              <w:ind w:firstLineChars="100" w:firstLine="180"/>
              <w:jc w:val="right"/>
              <w:rPr>
                <w:rFonts w:ascii="Times New Roman" w:eastAsia="Times New Roman" w:hAnsi="Times New Roman" w:cs="Times New Roman"/>
                <w:sz w:val="18"/>
                <w:szCs w:val="18"/>
                <w:lang w:val="lv-LV"/>
              </w:rPr>
            </w:pPr>
            <w:r w:rsidRPr="00A711DD">
              <w:rPr>
                <w:rFonts w:ascii="Times New Roman" w:eastAsia="Times New Roman" w:hAnsi="Times New Roman" w:cs="Times New Roman"/>
                <w:sz w:val="18"/>
                <w:szCs w:val="18"/>
                <w:lang w:val="lv-LV"/>
              </w:rPr>
              <w:t>5</w:t>
            </w:r>
            <w:r w:rsidR="009C6E83">
              <w:rPr>
                <w:rFonts w:ascii="Times New Roman" w:eastAsia="Times New Roman" w:hAnsi="Times New Roman" w:cs="Times New Roman"/>
                <w:sz w:val="18"/>
                <w:szCs w:val="18"/>
                <w:lang w:val="lv-LV"/>
              </w:rPr>
              <w:t> </w:t>
            </w:r>
            <w:r w:rsidRPr="00A711DD">
              <w:rPr>
                <w:rFonts w:ascii="Times New Roman" w:eastAsia="Times New Roman" w:hAnsi="Times New Roman" w:cs="Times New Roman"/>
                <w:sz w:val="18"/>
                <w:szCs w:val="18"/>
                <w:lang w:val="lv-LV"/>
              </w:rPr>
              <w:t>0</w:t>
            </w:r>
            <w:r w:rsidR="009C6E83">
              <w:rPr>
                <w:rFonts w:ascii="Times New Roman" w:eastAsia="Times New Roman" w:hAnsi="Times New Roman" w:cs="Times New Roman"/>
                <w:sz w:val="18"/>
                <w:szCs w:val="18"/>
                <w:lang w:val="lv-LV"/>
              </w:rPr>
              <w:t>23 958</w:t>
            </w:r>
          </w:p>
        </w:tc>
      </w:tr>
      <w:tr w:rsidR="000D148D" w:rsidRPr="00A711D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0D148D" w:rsidRPr="00A711DD" w:rsidRDefault="000D148D" w:rsidP="00A711DD">
            <w:pPr>
              <w:spacing w:after="0" w:line="240" w:lineRule="auto"/>
              <w:ind w:firstLineChars="400" w:firstLine="720"/>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Reto slimību medikamentozā ārstēšana bērniem</w:t>
            </w:r>
          </w:p>
        </w:tc>
        <w:tc>
          <w:tcPr>
            <w:tcW w:w="1559" w:type="dxa"/>
            <w:tcBorders>
              <w:top w:val="nil"/>
              <w:left w:val="nil"/>
              <w:bottom w:val="single" w:sz="4" w:space="0" w:color="auto"/>
              <w:right w:val="single" w:sz="8" w:space="0" w:color="auto"/>
            </w:tcBorders>
            <w:shd w:val="clear" w:color="auto" w:fill="auto"/>
            <w:noWrap/>
            <w:vAlign w:val="center"/>
            <w:hideMark/>
          </w:tcPr>
          <w:p w:rsidR="000D148D" w:rsidRPr="00A711DD" w:rsidRDefault="000D148D" w:rsidP="00A711DD">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681 206</w:t>
            </w:r>
          </w:p>
        </w:tc>
        <w:tc>
          <w:tcPr>
            <w:tcW w:w="1418" w:type="dxa"/>
            <w:tcBorders>
              <w:top w:val="nil"/>
              <w:left w:val="nil"/>
              <w:bottom w:val="single" w:sz="4" w:space="0" w:color="auto"/>
              <w:right w:val="single" w:sz="8" w:space="0" w:color="auto"/>
            </w:tcBorders>
            <w:shd w:val="clear" w:color="auto" w:fill="auto"/>
            <w:noWrap/>
            <w:vAlign w:val="center"/>
            <w:hideMark/>
          </w:tcPr>
          <w:p w:rsidR="000D148D" w:rsidRPr="00A711DD" w:rsidRDefault="000D148D" w:rsidP="009C6E83">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681 206</w:t>
            </w:r>
          </w:p>
        </w:tc>
        <w:tc>
          <w:tcPr>
            <w:tcW w:w="1417" w:type="dxa"/>
            <w:tcBorders>
              <w:top w:val="nil"/>
              <w:left w:val="nil"/>
              <w:bottom w:val="single" w:sz="4" w:space="0" w:color="auto"/>
              <w:right w:val="single" w:sz="8" w:space="0" w:color="auto"/>
            </w:tcBorders>
            <w:shd w:val="clear" w:color="auto" w:fill="auto"/>
            <w:noWrap/>
            <w:vAlign w:val="center"/>
            <w:hideMark/>
          </w:tcPr>
          <w:p w:rsidR="000D148D" w:rsidRPr="00A711DD" w:rsidRDefault="000D148D" w:rsidP="009C6E83">
            <w:pPr>
              <w:spacing w:after="0" w:line="240" w:lineRule="auto"/>
              <w:ind w:firstLineChars="100" w:firstLine="1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693 813</w:t>
            </w:r>
          </w:p>
        </w:tc>
      </w:tr>
      <w:tr w:rsidR="0062240B" w:rsidRPr="00962E5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2240B" w:rsidRPr="00962E5D" w:rsidRDefault="0062240B" w:rsidP="00A711DD">
            <w:pPr>
              <w:spacing w:after="0" w:line="240" w:lineRule="auto"/>
              <w:ind w:firstLineChars="400" w:firstLine="720"/>
              <w:rPr>
                <w:rFonts w:ascii="Times New Roman" w:eastAsia="Times New Roman" w:hAnsi="Times New Roman" w:cs="Times New Roman"/>
                <w:sz w:val="18"/>
                <w:szCs w:val="18"/>
                <w:lang w:val="lv-LV"/>
              </w:rPr>
            </w:pPr>
            <w:r w:rsidRPr="00962E5D">
              <w:rPr>
                <w:rFonts w:ascii="Times New Roman" w:eastAsia="Times New Roman" w:hAnsi="Times New Roman" w:cs="Times New Roman"/>
                <w:sz w:val="18"/>
                <w:szCs w:val="18"/>
                <w:lang w:val="lv-LV"/>
              </w:rPr>
              <w:t>Pārējie veselības aprūpes pasākumi</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962E5D" w:rsidRDefault="000D148D" w:rsidP="00A711DD">
            <w:pPr>
              <w:spacing w:after="0" w:line="240" w:lineRule="auto"/>
              <w:ind w:firstLineChars="100" w:firstLine="180"/>
              <w:jc w:val="right"/>
              <w:rPr>
                <w:rFonts w:ascii="Times New Roman" w:eastAsia="Times New Roman" w:hAnsi="Times New Roman" w:cs="Times New Roman"/>
                <w:sz w:val="18"/>
                <w:szCs w:val="18"/>
                <w:lang w:val="lv-LV"/>
              </w:rPr>
            </w:pPr>
            <w:r w:rsidRPr="00962E5D">
              <w:rPr>
                <w:rFonts w:ascii="Times New Roman" w:eastAsia="Times New Roman" w:hAnsi="Times New Roman" w:cs="Times New Roman"/>
                <w:sz w:val="18"/>
                <w:szCs w:val="18"/>
                <w:lang w:val="lv-LV"/>
              </w:rPr>
              <w:t>2</w:t>
            </w:r>
            <w:r w:rsidR="00284904">
              <w:rPr>
                <w:rFonts w:ascii="Times New Roman" w:eastAsia="Times New Roman" w:hAnsi="Times New Roman" w:cs="Times New Roman"/>
                <w:sz w:val="18"/>
                <w:szCs w:val="18"/>
                <w:lang w:val="lv-LV"/>
              </w:rPr>
              <w:t> </w:t>
            </w:r>
            <w:r w:rsidRPr="00962E5D">
              <w:rPr>
                <w:rFonts w:ascii="Times New Roman" w:eastAsia="Times New Roman" w:hAnsi="Times New Roman" w:cs="Times New Roman"/>
                <w:sz w:val="18"/>
                <w:szCs w:val="18"/>
                <w:lang w:val="lv-LV"/>
              </w:rPr>
              <w:t>2</w:t>
            </w:r>
            <w:r w:rsidR="00284904">
              <w:rPr>
                <w:rFonts w:ascii="Times New Roman" w:eastAsia="Times New Roman" w:hAnsi="Times New Roman" w:cs="Times New Roman"/>
                <w:sz w:val="18"/>
                <w:szCs w:val="18"/>
                <w:lang w:val="lv-LV"/>
              </w:rPr>
              <w:t>71 104</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962E5D" w:rsidRDefault="000D148D" w:rsidP="00A711DD">
            <w:pPr>
              <w:spacing w:after="0" w:line="240" w:lineRule="auto"/>
              <w:ind w:firstLineChars="100" w:firstLine="180"/>
              <w:jc w:val="right"/>
              <w:rPr>
                <w:rFonts w:ascii="Times New Roman" w:eastAsia="Times New Roman" w:hAnsi="Times New Roman" w:cs="Times New Roman"/>
                <w:sz w:val="18"/>
                <w:szCs w:val="18"/>
                <w:lang w:val="lv-LV"/>
              </w:rPr>
            </w:pPr>
            <w:r w:rsidRPr="00962E5D">
              <w:rPr>
                <w:rFonts w:ascii="Times New Roman" w:eastAsia="Times New Roman" w:hAnsi="Times New Roman" w:cs="Times New Roman"/>
                <w:sz w:val="18"/>
                <w:szCs w:val="18"/>
                <w:lang w:val="lv-LV"/>
              </w:rPr>
              <w:t>2</w:t>
            </w:r>
            <w:r w:rsidR="00284904">
              <w:rPr>
                <w:rFonts w:ascii="Times New Roman" w:eastAsia="Times New Roman" w:hAnsi="Times New Roman" w:cs="Times New Roman"/>
                <w:sz w:val="18"/>
                <w:szCs w:val="18"/>
                <w:lang w:val="lv-LV"/>
              </w:rPr>
              <w:t> </w:t>
            </w:r>
            <w:r w:rsidRPr="00962E5D">
              <w:rPr>
                <w:rFonts w:ascii="Times New Roman" w:eastAsia="Times New Roman" w:hAnsi="Times New Roman" w:cs="Times New Roman"/>
                <w:sz w:val="18"/>
                <w:szCs w:val="18"/>
                <w:lang w:val="lv-LV"/>
              </w:rPr>
              <w:t>4</w:t>
            </w:r>
            <w:r w:rsidR="00284904">
              <w:rPr>
                <w:rFonts w:ascii="Times New Roman" w:eastAsia="Times New Roman" w:hAnsi="Times New Roman" w:cs="Times New Roman"/>
                <w:sz w:val="18"/>
                <w:szCs w:val="18"/>
                <w:lang w:val="lv-LV"/>
              </w:rPr>
              <w:t>58 517</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962E5D" w:rsidRDefault="000D148D" w:rsidP="00A711DD">
            <w:pPr>
              <w:spacing w:after="0" w:line="240" w:lineRule="auto"/>
              <w:ind w:firstLineChars="100" w:firstLine="180"/>
              <w:jc w:val="right"/>
              <w:rPr>
                <w:rFonts w:ascii="Times New Roman" w:eastAsia="Times New Roman" w:hAnsi="Times New Roman" w:cs="Times New Roman"/>
                <w:sz w:val="18"/>
                <w:szCs w:val="18"/>
                <w:lang w:val="lv-LV"/>
              </w:rPr>
            </w:pPr>
            <w:r w:rsidRPr="00962E5D">
              <w:rPr>
                <w:rFonts w:ascii="Times New Roman" w:eastAsia="Times New Roman" w:hAnsi="Times New Roman" w:cs="Times New Roman"/>
                <w:sz w:val="18"/>
                <w:szCs w:val="18"/>
                <w:lang w:val="lv-LV"/>
              </w:rPr>
              <w:t>2 271 393</w:t>
            </w:r>
          </w:p>
        </w:tc>
      </w:tr>
      <w:tr w:rsidR="0062240B" w:rsidRPr="00A711D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2240B" w:rsidRPr="00A711DD" w:rsidRDefault="0062240B" w:rsidP="00A711DD">
            <w:pPr>
              <w:spacing w:after="0" w:line="240" w:lineRule="auto"/>
              <w:ind w:firstLineChars="100" w:firstLine="181"/>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t>Medicīnas izglītība</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ind w:firstLineChars="100" w:firstLine="181"/>
              <w:jc w:val="right"/>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t>16 207 339</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ind w:firstLineChars="100" w:firstLine="181"/>
              <w:jc w:val="right"/>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t>16 207 339</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ind w:firstLineChars="100" w:firstLine="181"/>
              <w:jc w:val="right"/>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t>16 207 339</w:t>
            </w:r>
          </w:p>
        </w:tc>
      </w:tr>
      <w:tr w:rsidR="0062240B" w:rsidRPr="00A711D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ind w:firstLineChars="100" w:firstLine="181"/>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t xml:space="preserve">Veselības aprūpes finansējuma administrēšana, uzraudzība un kontrole </w:t>
            </w:r>
            <w:r w:rsidRPr="00A711DD">
              <w:rPr>
                <w:rFonts w:ascii="Times New Roman" w:eastAsia="Times New Roman" w:hAnsi="Times New Roman" w:cs="Times New Roman"/>
                <w:bCs/>
                <w:sz w:val="18"/>
                <w:szCs w:val="18"/>
                <w:lang w:val="lv-LV"/>
              </w:rPr>
              <w:t>(Nacionālais veselības dienests, Veselības inspekcija un Slimību profilakses un kontroles centrs)</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A711DD" w:rsidRDefault="00962E5D"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6 903 471</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A711DD" w:rsidRDefault="00962E5D"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6 589 364</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A711DD" w:rsidRDefault="00172EF6"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8</w:t>
            </w:r>
            <w:r w:rsidR="00284904">
              <w:rPr>
                <w:rFonts w:ascii="Times New Roman" w:eastAsia="Times New Roman" w:hAnsi="Times New Roman" w:cs="Times New Roman"/>
                <w:b/>
                <w:bCs/>
                <w:sz w:val="18"/>
                <w:szCs w:val="18"/>
                <w:lang w:val="lv-LV"/>
              </w:rPr>
              <w:t> </w:t>
            </w:r>
            <w:r>
              <w:rPr>
                <w:rFonts w:ascii="Times New Roman" w:eastAsia="Times New Roman" w:hAnsi="Times New Roman" w:cs="Times New Roman"/>
                <w:b/>
                <w:bCs/>
                <w:sz w:val="18"/>
                <w:szCs w:val="18"/>
                <w:lang w:val="lv-LV"/>
              </w:rPr>
              <w:t>529</w:t>
            </w:r>
            <w:r w:rsidR="00284904">
              <w:rPr>
                <w:rFonts w:ascii="Times New Roman" w:eastAsia="Times New Roman" w:hAnsi="Times New Roman" w:cs="Times New Roman"/>
                <w:b/>
                <w:bCs/>
                <w:sz w:val="18"/>
                <w:szCs w:val="18"/>
                <w:lang w:val="lv-LV"/>
              </w:rPr>
              <w:t xml:space="preserve"> </w:t>
            </w:r>
            <w:r>
              <w:rPr>
                <w:rFonts w:ascii="Times New Roman" w:eastAsia="Times New Roman" w:hAnsi="Times New Roman" w:cs="Times New Roman"/>
                <w:b/>
                <w:bCs/>
                <w:sz w:val="18"/>
                <w:szCs w:val="18"/>
                <w:lang w:val="lv-LV"/>
              </w:rPr>
              <w:t>315</w:t>
            </w:r>
          </w:p>
        </w:tc>
      </w:tr>
      <w:tr w:rsidR="0062240B" w:rsidRPr="00A711D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2240B" w:rsidRPr="00A711DD" w:rsidRDefault="0062240B" w:rsidP="00A711DD">
            <w:pPr>
              <w:spacing w:after="0" w:line="240" w:lineRule="auto"/>
              <w:ind w:firstLineChars="100" w:firstLine="181"/>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lastRenderedPageBreak/>
              <w:t>Nozares vadība</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A711DD" w:rsidRDefault="00820932"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1 700 304</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A711DD" w:rsidRDefault="00820932"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1 693 302</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820932">
            <w:pPr>
              <w:spacing w:after="0" w:line="240" w:lineRule="auto"/>
              <w:ind w:firstLineChars="100" w:firstLine="181"/>
              <w:jc w:val="right"/>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t>1</w:t>
            </w:r>
            <w:r w:rsidR="00820932">
              <w:rPr>
                <w:rFonts w:ascii="Times New Roman" w:eastAsia="Times New Roman" w:hAnsi="Times New Roman" w:cs="Times New Roman"/>
                <w:b/>
                <w:bCs/>
                <w:sz w:val="18"/>
                <w:szCs w:val="18"/>
                <w:lang w:val="lv-LV"/>
              </w:rPr>
              <w:t> 637 559</w:t>
            </w:r>
          </w:p>
        </w:tc>
      </w:tr>
      <w:tr w:rsidR="0062240B" w:rsidRPr="00A711D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2240B" w:rsidRPr="00A711DD" w:rsidRDefault="0062240B" w:rsidP="00A711DD">
            <w:pPr>
              <w:spacing w:after="0" w:line="240" w:lineRule="auto"/>
              <w:ind w:firstLineChars="400" w:firstLine="720"/>
              <w:rPr>
                <w:rFonts w:ascii="Times New Roman" w:eastAsia="Times New Roman" w:hAnsi="Times New Roman" w:cs="Times New Roman"/>
                <w:i/>
                <w:iCs/>
                <w:sz w:val="18"/>
                <w:szCs w:val="18"/>
                <w:lang w:val="lv-LV"/>
              </w:rPr>
            </w:pPr>
            <w:r w:rsidRPr="00A711DD">
              <w:rPr>
                <w:rFonts w:ascii="Times New Roman" w:eastAsia="Times New Roman" w:hAnsi="Times New Roman" w:cs="Times New Roman"/>
                <w:i/>
                <w:iCs/>
                <w:sz w:val="18"/>
                <w:szCs w:val="18"/>
                <w:lang w:val="lv-LV"/>
              </w:rPr>
              <w:t xml:space="preserve">tai skaitā </w:t>
            </w:r>
            <w:r w:rsidR="000D148D">
              <w:rPr>
                <w:rFonts w:ascii="Times New Roman" w:eastAsia="Times New Roman" w:hAnsi="Times New Roman" w:cs="Times New Roman"/>
                <w:i/>
                <w:iCs/>
                <w:sz w:val="18"/>
                <w:szCs w:val="18"/>
                <w:lang w:val="lv-LV"/>
              </w:rPr>
              <w:t>–</w:t>
            </w:r>
            <w:r w:rsidRPr="00A711DD">
              <w:rPr>
                <w:rFonts w:ascii="Times New Roman" w:eastAsia="Times New Roman" w:hAnsi="Times New Roman" w:cs="Times New Roman"/>
                <w:i/>
                <w:iCs/>
                <w:sz w:val="18"/>
                <w:szCs w:val="18"/>
                <w:lang w:val="lv-LV"/>
              </w:rPr>
              <w:t xml:space="preserve"> Veselības ministrija</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820932">
            <w:pPr>
              <w:spacing w:after="0" w:line="240" w:lineRule="auto"/>
              <w:jc w:val="right"/>
              <w:rPr>
                <w:rFonts w:ascii="Times New Roman" w:eastAsia="Times New Roman" w:hAnsi="Times New Roman" w:cs="Times New Roman"/>
                <w:i/>
                <w:iCs/>
                <w:sz w:val="18"/>
                <w:szCs w:val="18"/>
                <w:lang w:val="lv-LV"/>
              </w:rPr>
            </w:pPr>
            <w:r w:rsidRPr="00A711DD">
              <w:rPr>
                <w:rFonts w:ascii="Times New Roman" w:eastAsia="Times New Roman" w:hAnsi="Times New Roman" w:cs="Times New Roman"/>
                <w:i/>
                <w:iCs/>
                <w:sz w:val="18"/>
                <w:szCs w:val="18"/>
                <w:lang w:val="lv-LV"/>
              </w:rPr>
              <w:t>1</w:t>
            </w:r>
            <w:r w:rsidR="00820932">
              <w:rPr>
                <w:rFonts w:ascii="Times New Roman" w:eastAsia="Times New Roman" w:hAnsi="Times New Roman" w:cs="Times New Roman"/>
                <w:i/>
                <w:iCs/>
                <w:sz w:val="18"/>
                <w:szCs w:val="18"/>
                <w:lang w:val="lv-LV"/>
              </w:rPr>
              <w:t> </w:t>
            </w:r>
            <w:r w:rsidRPr="00A711DD">
              <w:rPr>
                <w:rFonts w:ascii="Times New Roman" w:eastAsia="Times New Roman" w:hAnsi="Times New Roman" w:cs="Times New Roman"/>
                <w:i/>
                <w:iCs/>
                <w:sz w:val="18"/>
                <w:szCs w:val="18"/>
                <w:lang w:val="lv-LV"/>
              </w:rPr>
              <w:t>6</w:t>
            </w:r>
            <w:r w:rsidR="00820932">
              <w:rPr>
                <w:rFonts w:ascii="Times New Roman" w:eastAsia="Times New Roman" w:hAnsi="Times New Roman" w:cs="Times New Roman"/>
                <w:i/>
                <w:iCs/>
                <w:sz w:val="18"/>
                <w:szCs w:val="18"/>
                <w:lang w:val="lv-LV"/>
              </w:rPr>
              <w:t>37 559</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820932">
            <w:pPr>
              <w:spacing w:after="0" w:line="240" w:lineRule="auto"/>
              <w:jc w:val="right"/>
              <w:rPr>
                <w:rFonts w:ascii="Times New Roman" w:eastAsia="Times New Roman" w:hAnsi="Times New Roman" w:cs="Times New Roman"/>
                <w:i/>
                <w:iCs/>
                <w:sz w:val="18"/>
                <w:szCs w:val="18"/>
                <w:lang w:val="lv-LV"/>
              </w:rPr>
            </w:pPr>
            <w:r w:rsidRPr="00A711DD">
              <w:rPr>
                <w:rFonts w:ascii="Times New Roman" w:eastAsia="Times New Roman" w:hAnsi="Times New Roman" w:cs="Times New Roman"/>
                <w:i/>
                <w:iCs/>
                <w:sz w:val="18"/>
                <w:szCs w:val="18"/>
                <w:lang w:val="lv-LV"/>
              </w:rPr>
              <w:t>1</w:t>
            </w:r>
            <w:r w:rsidR="00820932">
              <w:rPr>
                <w:rFonts w:ascii="Times New Roman" w:eastAsia="Times New Roman" w:hAnsi="Times New Roman" w:cs="Times New Roman"/>
                <w:i/>
                <w:iCs/>
                <w:sz w:val="18"/>
                <w:szCs w:val="18"/>
                <w:lang w:val="lv-LV"/>
              </w:rPr>
              <w:t> </w:t>
            </w:r>
            <w:r w:rsidRPr="00A711DD">
              <w:rPr>
                <w:rFonts w:ascii="Times New Roman" w:eastAsia="Times New Roman" w:hAnsi="Times New Roman" w:cs="Times New Roman"/>
                <w:i/>
                <w:iCs/>
                <w:sz w:val="18"/>
                <w:szCs w:val="18"/>
                <w:lang w:val="lv-LV"/>
              </w:rPr>
              <w:t>6</w:t>
            </w:r>
            <w:r w:rsidR="00820932">
              <w:rPr>
                <w:rFonts w:ascii="Times New Roman" w:eastAsia="Times New Roman" w:hAnsi="Times New Roman" w:cs="Times New Roman"/>
                <w:i/>
                <w:iCs/>
                <w:sz w:val="18"/>
                <w:szCs w:val="18"/>
                <w:lang w:val="lv-LV"/>
              </w:rPr>
              <w:t>30 557</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jc w:val="right"/>
              <w:rPr>
                <w:rFonts w:ascii="Times New Roman" w:eastAsia="Times New Roman" w:hAnsi="Times New Roman" w:cs="Times New Roman"/>
                <w:i/>
                <w:iCs/>
                <w:sz w:val="18"/>
                <w:szCs w:val="18"/>
                <w:lang w:val="lv-LV"/>
              </w:rPr>
            </w:pPr>
            <w:r w:rsidRPr="00A711DD">
              <w:rPr>
                <w:rFonts w:ascii="Times New Roman" w:eastAsia="Times New Roman" w:hAnsi="Times New Roman" w:cs="Times New Roman"/>
                <w:i/>
                <w:iCs/>
                <w:sz w:val="18"/>
                <w:szCs w:val="18"/>
                <w:lang w:val="lv-LV"/>
              </w:rPr>
              <w:t>1 637 559</w:t>
            </w:r>
          </w:p>
        </w:tc>
      </w:tr>
      <w:tr w:rsidR="0062240B" w:rsidRPr="00A711D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2240B" w:rsidRPr="00A711DD" w:rsidRDefault="00820932" w:rsidP="00A711DD">
            <w:pPr>
              <w:spacing w:after="0" w:line="240" w:lineRule="auto"/>
              <w:ind w:firstLineChars="400" w:firstLine="720"/>
              <w:rPr>
                <w:rFonts w:ascii="Times New Roman" w:eastAsia="Times New Roman" w:hAnsi="Times New Roman" w:cs="Times New Roman"/>
                <w:i/>
                <w:iCs/>
                <w:sz w:val="18"/>
                <w:szCs w:val="18"/>
                <w:lang w:val="lv-LV"/>
              </w:rPr>
            </w:pPr>
            <w:r>
              <w:rPr>
                <w:rFonts w:ascii="Times New Roman" w:eastAsia="Times New Roman" w:hAnsi="Times New Roman" w:cs="Times New Roman"/>
                <w:i/>
                <w:iCs/>
                <w:sz w:val="18"/>
                <w:szCs w:val="18"/>
                <w:lang w:val="lv-LV"/>
              </w:rPr>
              <w:t xml:space="preserve">tai skaitā </w:t>
            </w:r>
            <w:r w:rsidR="000D148D">
              <w:rPr>
                <w:rFonts w:ascii="Times New Roman" w:eastAsia="Times New Roman" w:hAnsi="Times New Roman" w:cs="Times New Roman"/>
                <w:i/>
                <w:iCs/>
                <w:sz w:val="18"/>
                <w:szCs w:val="18"/>
                <w:lang w:val="lv-LV"/>
              </w:rPr>
              <w:t>–</w:t>
            </w:r>
            <w:r>
              <w:rPr>
                <w:rFonts w:ascii="Times New Roman" w:eastAsia="Times New Roman" w:hAnsi="Times New Roman" w:cs="Times New Roman"/>
                <w:i/>
                <w:iCs/>
                <w:sz w:val="18"/>
                <w:szCs w:val="18"/>
                <w:lang w:val="lv-LV"/>
              </w:rPr>
              <w:t xml:space="preserve"> v</w:t>
            </w:r>
            <w:r w:rsidR="0062240B" w:rsidRPr="00A711DD">
              <w:rPr>
                <w:rFonts w:ascii="Times New Roman" w:eastAsia="Times New Roman" w:hAnsi="Times New Roman" w:cs="Times New Roman"/>
                <w:i/>
                <w:iCs/>
                <w:sz w:val="18"/>
                <w:szCs w:val="18"/>
                <w:lang w:val="lv-LV"/>
              </w:rPr>
              <w:t>eselības veicināšanas pasākumi</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A711DD" w:rsidRDefault="00820932" w:rsidP="00A711DD">
            <w:pPr>
              <w:spacing w:after="0" w:line="240" w:lineRule="auto"/>
              <w:jc w:val="right"/>
              <w:rPr>
                <w:rFonts w:ascii="Times New Roman" w:eastAsia="Times New Roman" w:hAnsi="Times New Roman" w:cs="Times New Roman"/>
                <w:i/>
                <w:iCs/>
                <w:sz w:val="18"/>
                <w:szCs w:val="18"/>
                <w:lang w:val="lv-LV"/>
              </w:rPr>
            </w:pPr>
            <w:r>
              <w:rPr>
                <w:rFonts w:ascii="Times New Roman" w:eastAsia="Times New Roman" w:hAnsi="Times New Roman" w:cs="Times New Roman"/>
                <w:i/>
                <w:iCs/>
                <w:sz w:val="18"/>
                <w:szCs w:val="18"/>
                <w:lang w:val="lv-LV"/>
              </w:rPr>
              <w:t>62 745</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A711DD" w:rsidRDefault="00820932" w:rsidP="00A711DD">
            <w:pPr>
              <w:spacing w:after="0" w:line="240" w:lineRule="auto"/>
              <w:jc w:val="right"/>
              <w:rPr>
                <w:rFonts w:ascii="Times New Roman" w:eastAsia="Times New Roman" w:hAnsi="Times New Roman" w:cs="Times New Roman"/>
                <w:i/>
                <w:iCs/>
                <w:sz w:val="18"/>
                <w:szCs w:val="18"/>
                <w:lang w:val="lv-LV"/>
              </w:rPr>
            </w:pPr>
            <w:r>
              <w:rPr>
                <w:rFonts w:ascii="Times New Roman" w:eastAsia="Times New Roman" w:hAnsi="Times New Roman" w:cs="Times New Roman"/>
                <w:i/>
                <w:iCs/>
                <w:sz w:val="18"/>
                <w:szCs w:val="18"/>
                <w:lang w:val="lv-LV"/>
              </w:rPr>
              <w:t>62 745</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A711DD" w:rsidRDefault="00820932" w:rsidP="00A711DD">
            <w:pPr>
              <w:spacing w:after="0" w:line="240" w:lineRule="auto"/>
              <w:jc w:val="right"/>
              <w:rPr>
                <w:rFonts w:ascii="Times New Roman" w:eastAsia="Times New Roman" w:hAnsi="Times New Roman" w:cs="Times New Roman"/>
                <w:i/>
                <w:iCs/>
                <w:sz w:val="18"/>
                <w:szCs w:val="18"/>
                <w:lang w:val="lv-LV"/>
              </w:rPr>
            </w:pPr>
            <w:r>
              <w:rPr>
                <w:rFonts w:ascii="Times New Roman" w:eastAsia="Times New Roman" w:hAnsi="Times New Roman" w:cs="Times New Roman"/>
                <w:i/>
                <w:iCs/>
                <w:sz w:val="18"/>
                <w:szCs w:val="18"/>
                <w:lang w:val="lv-LV"/>
              </w:rPr>
              <w:t>0</w:t>
            </w:r>
          </w:p>
        </w:tc>
      </w:tr>
      <w:tr w:rsidR="0062240B" w:rsidRPr="00A711D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2240B" w:rsidRPr="00A711DD" w:rsidRDefault="0062240B" w:rsidP="00820932">
            <w:pPr>
              <w:spacing w:after="0" w:line="240" w:lineRule="auto"/>
              <w:ind w:firstLineChars="100" w:firstLine="181"/>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t xml:space="preserve">Starptautisko saistību un līgumu izpilde </w:t>
            </w:r>
            <w:r w:rsidR="00172EF6">
              <w:rPr>
                <w:rFonts w:ascii="Times New Roman" w:eastAsia="Times New Roman" w:hAnsi="Times New Roman" w:cs="Times New Roman"/>
                <w:b/>
                <w:bCs/>
                <w:sz w:val="18"/>
                <w:szCs w:val="18"/>
                <w:lang w:val="lv-LV"/>
              </w:rPr>
              <w:t>(tai skaitā Krievijas Federācijas finansējums militāro pensionāru veselības aprūpei)</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A711DD" w:rsidRDefault="00820932"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2 667 294</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A711DD" w:rsidRDefault="00820932"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2 667 294</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A711DD" w:rsidRDefault="00820932"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2 658 024</w:t>
            </w:r>
          </w:p>
        </w:tc>
      </w:tr>
      <w:tr w:rsidR="0062240B" w:rsidRPr="00A711DD" w:rsidTr="0062240B">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2240B" w:rsidRPr="00A711DD" w:rsidRDefault="0062240B" w:rsidP="00A711DD">
            <w:pPr>
              <w:spacing w:after="0" w:line="240" w:lineRule="auto"/>
              <w:ind w:firstLineChars="100" w:firstLine="181"/>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t>Kultūra (Medicīnas vēstures muzejs)</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ind w:firstLineChars="100" w:firstLine="181"/>
              <w:jc w:val="right"/>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t>453 205</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A711DD">
            <w:pPr>
              <w:spacing w:after="0" w:line="240" w:lineRule="auto"/>
              <w:ind w:firstLineChars="100" w:firstLine="181"/>
              <w:jc w:val="right"/>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t>453 205</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A711DD" w:rsidRDefault="00820932"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485 305</w:t>
            </w:r>
          </w:p>
        </w:tc>
      </w:tr>
      <w:tr w:rsidR="0062240B" w:rsidRPr="00A711DD" w:rsidTr="0062240B">
        <w:trPr>
          <w:trHeight w:val="43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2240B" w:rsidRPr="00A711DD" w:rsidRDefault="0062240B" w:rsidP="00A711DD">
            <w:pPr>
              <w:spacing w:after="0" w:line="240" w:lineRule="auto"/>
              <w:ind w:firstLineChars="100" w:firstLine="181"/>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t>Medikamentu un medicīnas preču novērtēšana un reģistrācija</w:t>
            </w:r>
            <w:r>
              <w:rPr>
                <w:rFonts w:ascii="Times New Roman" w:eastAsia="Times New Roman" w:hAnsi="Times New Roman" w:cs="Times New Roman"/>
                <w:b/>
                <w:bCs/>
                <w:sz w:val="18"/>
                <w:szCs w:val="18"/>
                <w:lang w:val="lv-LV"/>
              </w:rPr>
              <w:t xml:space="preserve"> (Zāļu valsts aģentūra</w:t>
            </w:r>
            <w:r w:rsidRPr="00A711DD">
              <w:rPr>
                <w:rFonts w:ascii="Times New Roman" w:eastAsia="Times New Roman" w:hAnsi="Times New Roman" w:cs="Times New Roman"/>
                <w:b/>
                <w:bCs/>
                <w:sz w:val="18"/>
                <w:szCs w:val="18"/>
                <w:lang w:val="lv-LV"/>
              </w:rPr>
              <w:t>)</w:t>
            </w:r>
            <w:r w:rsidRPr="00A711DD">
              <w:rPr>
                <w:rFonts w:ascii="Times New Roman" w:eastAsia="Times New Roman" w:hAnsi="Times New Roman" w:cs="Times New Roman"/>
                <w:b/>
                <w:bCs/>
                <w:sz w:val="18"/>
                <w:szCs w:val="18"/>
                <w:lang w:val="lv-LV"/>
              </w:rPr>
              <w:br/>
            </w:r>
            <w:r w:rsidRPr="00A711DD">
              <w:rPr>
                <w:rFonts w:ascii="Times New Roman" w:eastAsia="Times New Roman" w:hAnsi="Times New Roman" w:cs="Times New Roman"/>
                <w:sz w:val="18"/>
                <w:szCs w:val="18"/>
                <w:lang w:val="lv-LV"/>
              </w:rPr>
              <w:t>(100% finansēta no pašu ieņēmumiem)</w:t>
            </w:r>
          </w:p>
        </w:tc>
        <w:tc>
          <w:tcPr>
            <w:tcW w:w="1559" w:type="dxa"/>
            <w:tcBorders>
              <w:top w:val="nil"/>
              <w:left w:val="nil"/>
              <w:bottom w:val="single" w:sz="4" w:space="0" w:color="auto"/>
              <w:right w:val="single" w:sz="8" w:space="0" w:color="auto"/>
            </w:tcBorders>
            <w:shd w:val="clear" w:color="auto" w:fill="auto"/>
            <w:noWrap/>
            <w:vAlign w:val="center"/>
            <w:hideMark/>
          </w:tcPr>
          <w:p w:rsidR="0062240B" w:rsidRPr="00A711DD" w:rsidRDefault="0062240B" w:rsidP="00820932">
            <w:pPr>
              <w:spacing w:after="0" w:line="240" w:lineRule="auto"/>
              <w:ind w:firstLineChars="100" w:firstLine="181"/>
              <w:jc w:val="right"/>
              <w:rPr>
                <w:rFonts w:ascii="Times New Roman" w:eastAsia="Times New Roman" w:hAnsi="Times New Roman" w:cs="Times New Roman"/>
                <w:b/>
                <w:bCs/>
                <w:sz w:val="18"/>
                <w:szCs w:val="18"/>
                <w:lang w:val="lv-LV"/>
              </w:rPr>
            </w:pPr>
            <w:r w:rsidRPr="00A711DD">
              <w:rPr>
                <w:rFonts w:ascii="Times New Roman" w:eastAsia="Times New Roman" w:hAnsi="Times New Roman" w:cs="Times New Roman"/>
                <w:b/>
                <w:bCs/>
                <w:sz w:val="18"/>
                <w:szCs w:val="18"/>
                <w:lang w:val="lv-LV"/>
              </w:rPr>
              <w:t>3</w:t>
            </w:r>
            <w:r w:rsidR="00820932">
              <w:rPr>
                <w:rFonts w:ascii="Times New Roman" w:eastAsia="Times New Roman" w:hAnsi="Times New Roman" w:cs="Times New Roman"/>
                <w:b/>
                <w:bCs/>
                <w:sz w:val="18"/>
                <w:szCs w:val="18"/>
                <w:lang w:val="lv-LV"/>
              </w:rPr>
              <w:t> 327 889</w:t>
            </w:r>
          </w:p>
        </w:tc>
        <w:tc>
          <w:tcPr>
            <w:tcW w:w="1418" w:type="dxa"/>
            <w:tcBorders>
              <w:top w:val="nil"/>
              <w:left w:val="nil"/>
              <w:bottom w:val="single" w:sz="4" w:space="0" w:color="auto"/>
              <w:right w:val="single" w:sz="8" w:space="0" w:color="auto"/>
            </w:tcBorders>
            <w:shd w:val="clear" w:color="auto" w:fill="auto"/>
            <w:noWrap/>
            <w:vAlign w:val="center"/>
            <w:hideMark/>
          </w:tcPr>
          <w:p w:rsidR="0062240B" w:rsidRPr="00A711DD" w:rsidRDefault="00820932"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3 371 881</w:t>
            </w:r>
          </w:p>
        </w:tc>
        <w:tc>
          <w:tcPr>
            <w:tcW w:w="1417" w:type="dxa"/>
            <w:tcBorders>
              <w:top w:val="nil"/>
              <w:left w:val="nil"/>
              <w:bottom w:val="single" w:sz="4" w:space="0" w:color="auto"/>
              <w:right w:val="single" w:sz="8" w:space="0" w:color="auto"/>
            </w:tcBorders>
            <w:shd w:val="clear" w:color="auto" w:fill="auto"/>
            <w:noWrap/>
            <w:vAlign w:val="center"/>
            <w:hideMark/>
          </w:tcPr>
          <w:p w:rsidR="0062240B" w:rsidRPr="00A711DD" w:rsidRDefault="00820932"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0</w:t>
            </w:r>
          </w:p>
        </w:tc>
      </w:tr>
      <w:tr w:rsidR="00820932" w:rsidRPr="00A711DD" w:rsidTr="0062240B">
        <w:trPr>
          <w:trHeight w:val="43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820932" w:rsidRPr="00A711DD" w:rsidRDefault="00820932" w:rsidP="00A711DD">
            <w:pPr>
              <w:spacing w:after="0" w:line="240" w:lineRule="auto"/>
              <w:ind w:firstLineChars="100" w:firstLine="181"/>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Iedzīvotāju genoma datu bāzes projekta īstenošana</w:t>
            </w:r>
          </w:p>
        </w:tc>
        <w:tc>
          <w:tcPr>
            <w:tcW w:w="1559" w:type="dxa"/>
            <w:tcBorders>
              <w:top w:val="nil"/>
              <w:left w:val="nil"/>
              <w:bottom w:val="single" w:sz="4" w:space="0" w:color="auto"/>
              <w:right w:val="single" w:sz="8" w:space="0" w:color="auto"/>
            </w:tcBorders>
            <w:shd w:val="clear" w:color="auto" w:fill="auto"/>
            <w:noWrap/>
            <w:vAlign w:val="center"/>
            <w:hideMark/>
          </w:tcPr>
          <w:p w:rsidR="00820932" w:rsidRPr="00A711DD" w:rsidRDefault="00820932" w:rsidP="00820932">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84 000</w:t>
            </w:r>
          </w:p>
        </w:tc>
        <w:tc>
          <w:tcPr>
            <w:tcW w:w="1418" w:type="dxa"/>
            <w:tcBorders>
              <w:top w:val="nil"/>
              <w:left w:val="nil"/>
              <w:bottom w:val="single" w:sz="4" w:space="0" w:color="auto"/>
              <w:right w:val="single" w:sz="8" w:space="0" w:color="auto"/>
            </w:tcBorders>
            <w:shd w:val="clear" w:color="auto" w:fill="auto"/>
            <w:noWrap/>
            <w:vAlign w:val="center"/>
            <w:hideMark/>
          </w:tcPr>
          <w:p w:rsidR="00820932" w:rsidRDefault="00820932"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84 000</w:t>
            </w:r>
          </w:p>
        </w:tc>
        <w:tc>
          <w:tcPr>
            <w:tcW w:w="1417" w:type="dxa"/>
            <w:tcBorders>
              <w:top w:val="nil"/>
              <w:left w:val="nil"/>
              <w:bottom w:val="single" w:sz="4" w:space="0" w:color="auto"/>
              <w:right w:val="single" w:sz="8" w:space="0" w:color="auto"/>
            </w:tcBorders>
            <w:shd w:val="clear" w:color="auto" w:fill="auto"/>
            <w:noWrap/>
            <w:vAlign w:val="center"/>
            <w:hideMark/>
          </w:tcPr>
          <w:p w:rsidR="00820932" w:rsidRDefault="00820932"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84 000</w:t>
            </w:r>
          </w:p>
        </w:tc>
      </w:tr>
      <w:tr w:rsidR="00820932" w:rsidRPr="00A711DD" w:rsidTr="0062240B">
        <w:trPr>
          <w:trHeight w:val="43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820932" w:rsidRDefault="00820932" w:rsidP="00A711DD">
            <w:pPr>
              <w:spacing w:after="0" w:line="240" w:lineRule="auto"/>
              <w:ind w:firstLineChars="100" w:firstLine="181"/>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Interešu izglītības nodrošināšana VSIA „ Bērnu klīniskā universitātes slimnīca”</w:t>
            </w:r>
          </w:p>
        </w:tc>
        <w:tc>
          <w:tcPr>
            <w:tcW w:w="1559" w:type="dxa"/>
            <w:tcBorders>
              <w:top w:val="nil"/>
              <w:left w:val="nil"/>
              <w:bottom w:val="single" w:sz="4" w:space="0" w:color="auto"/>
              <w:right w:val="single" w:sz="8" w:space="0" w:color="auto"/>
            </w:tcBorders>
            <w:shd w:val="clear" w:color="auto" w:fill="auto"/>
            <w:noWrap/>
            <w:vAlign w:val="center"/>
            <w:hideMark/>
          </w:tcPr>
          <w:p w:rsidR="00820932" w:rsidRDefault="00820932" w:rsidP="00820932">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75 980</w:t>
            </w:r>
          </w:p>
        </w:tc>
        <w:tc>
          <w:tcPr>
            <w:tcW w:w="1418" w:type="dxa"/>
            <w:tcBorders>
              <w:top w:val="nil"/>
              <w:left w:val="nil"/>
              <w:bottom w:val="single" w:sz="4" w:space="0" w:color="auto"/>
              <w:right w:val="single" w:sz="8" w:space="0" w:color="auto"/>
            </w:tcBorders>
            <w:shd w:val="clear" w:color="auto" w:fill="auto"/>
            <w:noWrap/>
            <w:vAlign w:val="center"/>
            <w:hideMark/>
          </w:tcPr>
          <w:p w:rsidR="00820932" w:rsidRDefault="000D148D"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75 980</w:t>
            </w:r>
          </w:p>
        </w:tc>
        <w:tc>
          <w:tcPr>
            <w:tcW w:w="1417" w:type="dxa"/>
            <w:tcBorders>
              <w:top w:val="nil"/>
              <w:left w:val="nil"/>
              <w:bottom w:val="single" w:sz="4" w:space="0" w:color="auto"/>
              <w:right w:val="single" w:sz="8" w:space="0" w:color="auto"/>
            </w:tcBorders>
            <w:shd w:val="clear" w:color="auto" w:fill="auto"/>
            <w:noWrap/>
            <w:vAlign w:val="center"/>
            <w:hideMark/>
          </w:tcPr>
          <w:p w:rsidR="00820932" w:rsidRDefault="000D148D"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75 980</w:t>
            </w:r>
          </w:p>
        </w:tc>
      </w:tr>
      <w:tr w:rsidR="008376AB" w:rsidRPr="00A711DD" w:rsidTr="0062240B">
        <w:trPr>
          <w:trHeight w:val="43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8376AB" w:rsidRDefault="008376AB" w:rsidP="008376AB">
            <w:pPr>
              <w:spacing w:after="0" w:line="240" w:lineRule="auto"/>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 xml:space="preserve">   </w:t>
            </w:r>
            <w:r w:rsidRPr="008376AB">
              <w:rPr>
                <w:rFonts w:ascii="Times New Roman" w:eastAsia="Times New Roman" w:hAnsi="Times New Roman" w:cs="Times New Roman"/>
                <w:b/>
                <w:bCs/>
                <w:sz w:val="18"/>
                <w:szCs w:val="18"/>
                <w:lang w:val="lv-LV"/>
              </w:rPr>
              <w:t>Latvijas prezidentūras Eiropas Savienības Padomē 2015.gadā sagatavošana un nodrošināšana</w:t>
            </w:r>
          </w:p>
        </w:tc>
        <w:tc>
          <w:tcPr>
            <w:tcW w:w="1559" w:type="dxa"/>
            <w:tcBorders>
              <w:top w:val="nil"/>
              <w:left w:val="nil"/>
              <w:bottom w:val="single" w:sz="4" w:space="0" w:color="auto"/>
              <w:right w:val="single" w:sz="8" w:space="0" w:color="auto"/>
            </w:tcBorders>
            <w:shd w:val="clear" w:color="auto" w:fill="auto"/>
            <w:noWrap/>
            <w:vAlign w:val="center"/>
            <w:hideMark/>
          </w:tcPr>
          <w:p w:rsidR="008376AB" w:rsidRDefault="008376AB" w:rsidP="00820932">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0</w:t>
            </w:r>
          </w:p>
        </w:tc>
        <w:tc>
          <w:tcPr>
            <w:tcW w:w="1418" w:type="dxa"/>
            <w:tcBorders>
              <w:top w:val="nil"/>
              <w:left w:val="nil"/>
              <w:bottom w:val="single" w:sz="4" w:space="0" w:color="auto"/>
              <w:right w:val="single" w:sz="8" w:space="0" w:color="auto"/>
            </w:tcBorders>
            <w:shd w:val="clear" w:color="auto" w:fill="auto"/>
            <w:noWrap/>
            <w:vAlign w:val="center"/>
            <w:hideMark/>
          </w:tcPr>
          <w:p w:rsidR="008376AB" w:rsidRDefault="008376AB"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0</w:t>
            </w:r>
          </w:p>
        </w:tc>
        <w:tc>
          <w:tcPr>
            <w:tcW w:w="1417" w:type="dxa"/>
            <w:tcBorders>
              <w:top w:val="nil"/>
              <w:left w:val="nil"/>
              <w:bottom w:val="single" w:sz="4" w:space="0" w:color="auto"/>
              <w:right w:val="single" w:sz="8" w:space="0" w:color="auto"/>
            </w:tcBorders>
            <w:shd w:val="clear" w:color="auto" w:fill="auto"/>
            <w:noWrap/>
            <w:vAlign w:val="center"/>
            <w:hideMark/>
          </w:tcPr>
          <w:p w:rsidR="008376AB" w:rsidRDefault="008376AB"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81 020</w:t>
            </w:r>
          </w:p>
        </w:tc>
      </w:tr>
      <w:tr w:rsidR="00FB143A" w:rsidRPr="00DE415F" w:rsidTr="0062240B">
        <w:trPr>
          <w:trHeight w:val="43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FB143A" w:rsidRPr="00FB143A" w:rsidRDefault="00FB143A" w:rsidP="00FB143A">
            <w:pPr>
              <w:spacing w:after="0" w:line="240" w:lineRule="auto"/>
              <w:jc w:val="right"/>
              <w:rPr>
                <w:rFonts w:ascii="Times New Roman" w:eastAsia="Times New Roman" w:hAnsi="Times New Roman" w:cs="Times New Roman"/>
                <w:bCs/>
                <w:sz w:val="18"/>
                <w:szCs w:val="18"/>
                <w:lang w:val="lv-LV"/>
              </w:rPr>
            </w:pPr>
            <w:r w:rsidRPr="00FB143A">
              <w:rPr>
                <w:rFonts w:ascii="Times New Roman" w:eastAsia="Times New Roman" w:hAnsi="Times New Roman" w:cs="Times New Roman"/>
                <w:bCs/>
                <w:sz w:val="18"/>
                <w:szCs w:val="18"/>
                <w:lang w:val="lv-LV"/>
              </w:rPr>
              <w:t>Finansējuma izmaiņas 2013.gadā pet 2012.gada noslēgumu pamatfunkcijām:</w:t>
            </w:r>
          </w:p>
        </w:tc>
        <w:tc>
          <w:tcPr>
            <w:tcW w:w="1559" w:type="dxa"/>
            <w:tcBorders>
              <w:top w:val="nil"/>
              <w:left w:val="nil"/>
              <w:bottom w:val="single" w:sz="4" w:space="0" w:color="auto"/>
              <w:right w:val="single" w:sz="8" w:space="0" w:color="auto"/>
            </w:tcBorders>
            <w:shd w:val="clear" w:color="auto" w:fill="auto"/>
            <w:noWrap/>
            <w:vAlign w:val="center"/>
            <w:hideMark/>
          </w:tcPr>
          <w:p w:rsidR="00FB143A" w:rsidRDefault="00FB143A" w:rsidP="00820932">
            <w:pPr>
              <w:spacing w:after="0" w:line="240" w:lineRule="auto"/>
              <w:ind w:firstLineChars="100" w:firstLine="181"/>
              <w:jc w:val="right"/>
              <w:rPr>
                <w:rFonts w:ascii="Times New Roman" w:eastAsia="Times New Roman" w:hAnsi="Times New Roman" w:cs="Times New Roman"/>
                <w:b/>
                <w:bCs/>
                <w:sz w:val="18"/>
                <w:szCs w:val="18"/>
                <w:lang w:val="lv-LV"/>
              </w:rPr>
            </w:pPr>
          </w:p>
        </w:tc>
        <w:tc>
          <w:tcPr>
            <w:tcW w:w="1418" w:type="dxa"/>
            <w:tcBorders>
              <w:top w:val="nil"/>
              <w:left w:val="nil"/>
              <w:bottom w:val="single" w:sz="4" w:space="0" w:color="auto"/>
              <w:right w:val="single" w:sz="8" w:space="0" w:color="auto"/>
            </w:tcBorders>
            <w:shd w:val="clear" w:color="auto" w:fill="auto"/>
            <w:noWrap/>
            <w:vAlign w:val="center"/>
            <w:hideMark/>
          </w:tcPr>
          <w:p w:rsidR="00FB143A" w:rsidRDefault="00FB143A" w:rsidP="00A711DD">
            <w:pPr>
              <w:spacing w:after="0" w:line="240" w:lineRule="auto"/>
              <w:ind w:firstLineChars="100" w:firstLine="181"/>
              <w:jc w:val="right"/>
              <w:rPr>
                <w:rFonts w:ascii="Times New Roman" w:eastAsia="Times New Roman" w:hAnsi="Times New Roman" w:cs="Times New Roman"/>
                <w:b/>
                <w:bCs/>
                <w:sz w:val="18"/>
                <w:szCs w:val="18"/>
                <w:lang w:val="lv-LV"/>
              </w:rPr>
            </w:pPr>
          </w:p>
        </w:tc>
        <w:tc>
          <w:tcPr>
            <w:tcW w:w="1417" w:type="dxa"/>
            <w:tcBorders>
              <w:top w:val="nil"/>
              <w:left w:val="nil"/>
              <w:bottom w:val="single" w:sz="4" w:space="0" w:color="auto"/>
              <w:right w:val="single" w:sz="8" w:space="0" w:color="auto"/>
            </w:tcBorders>
            <w:shd w:val="clear" w:color="auto" w:fill="auto"/>
            <w:noWrap/>
            <w:vAlign w:val="center"/>
            <w:hideMark/>
          </w:tcPr>
          <w:p w:rsidR="00FB143A" w:rsidRPr="00DE415F" w:rsidRDefault="00DE415F" w:rsidP="00DE415F">
            <w:pPr>
              <w:spacing w:after="0" w:line="240" w:lineRule="auto"/>
              <w:ind w:firstLineChars="100" w:firstLine="180"/>
              <w:jc w:val="right"/>
              <w:rPr>
                <w:rFonts w:ascii="Times New Roman" w:eastAsia="Times New Roman" w:hAnsi="Times New Roman" w:cs="Times New Roman"/>
                <w:bCs/>
                <w:sz w:val="18"/>
                <w:szCs w:val="18"/>
                <w:lang w:val="lv-LV"/>
              </w:rPr>
            </w:pPr>
            <w:r w:rsidRPr="00DE415F">
              <w:rPr>
                <w:rFonts w:ascii="Times New Roman" w:eastAsia="Times New Roman" w:hAnsi="Times New Roman" w:cs="Times New Roman"/>
                <w:bCs/>
                <w:sz w:val="18"/>
                <w:szCs w:val="18"/>
                <w:lang w:val="lv-LV"/>
              </w:rPr>
              <w:t>-21 706 262</w:t>
            </w:r>
          </w:p>
        </w:tc>
      </w:tr>
      <w:tr w:rsidR="0062240B" w:rsidRPr="00A711DD" w:rsidTr="0062240B">
        <w:trPr>
          <w:trHeight w:val="90"/>
          <w:jc w:val="center"/>
        </w:trPr>
        <w:tc>
          <w:tcPr>
            <w:tcW w:w="4268" w:type="dxa"/>
            <w:tcBorders>
              <w:top w:val="nil"/>
              <w:left w:val="nil"/>
              <w:bottom w:val="nil"/>
              <w:right w:val="nil"/>
            </w:tcBorders>
            <w:shd w:val="clear" w:color="auto" w:fill="auto"/>
            <w:vAlign w:val="center"/>
            <w:hideMark/>
          </w:tcPr>
          <w:p w:rsidR="0062240B" w:rsidRPr="00A711DD" w:rsidRDefault="0062240B" w:rsidP="00A711DD">
            <w:pPr>
              <w:spacing w:after="0" w:line="240" w:lineRule="auto"/>
              <w:ind w:firstLineChars="100" w:firstLine="180"/>
              <w:rPr>
                <w:rFonts w:ascii="Times New Roman" w:eastAsia="Times New Roman" w:hAnsi="Times New Roman" w:cs="Times New Roman"/>
                <w:sz w:val="18"/>
                <w:szCs w:val="18"/>
                <w:lang w:val="lv-LV"/>
              </w:rPr>
            </w:pPr>
          </w:p>
        </w:tc>
        <w:tc>
          <w:tcPr>
            <w:tcW w:w="1559" w:type="dxa"/>
            <w:tcBorders>
              <w:top w:val="nil"/>
              <w:left w:val="nil"/>
              <w:bottom w:val="nil"/>
              <w:right w:val="nil"/>
            </w:tcBorders>
            <w:shd w:val="clear" w:color="auto" w:fill="auto"/>
            <w:noWrap/>
            <w:vAlign w:val="center"/>
            <w:hideMark/>
          </w:tcPr>
          <w:p w:rsidR="0062240B" w:rsidRPr="00A711DD" w:rsidRDefault="0062240B" w:rsidP="00A711DD">
            <w:pPr>
              <w:spacing w:after="0" w:line="240" w:lineRule="auto"/>
              <w:ind w:firstLineChars="100" w:firstLine="180"/>
              <w:jc w:val="right"/>
              <w:rPr>
                <w:rFonts w:ascii="Times New Roman" w:eastAsia="Times New Roman" w:hAnsi="Times New Roman" w:cs="Times New Roman"/>
                <w:sz w:val="18"/>
                <w:szCs w:val="18"/>
                <w:lang w:val="lv-LV"/>
              </w:rPr>
            </w:pPr>
          </w:p>
        </w:tc>
        <w:tc>
          <w:tcPr>
            <w:tcW w:w="1418" w:type="dxa"/>
            <w:tcBorders>
              <w:top w:val="nil"/>
              <w:left w:val="nil"/>
              <w:bottom w:val="nil"/>
              <w:right w:val="nil"/>
            </w:tcBorders>
            <w:shd w:val="clear" w:color="auto" w:fill="auto"/>
            <w:noWrap/>
            <w:vAlign w:val="center"/>
            <w:hideMark/>
          </w:tcPr>
          <w:p w:rsidR="0062240B" w:rsidRPr="00A711DD" w:rsidRDefault="0062240B" w:rsidP="00A711DD">
            <w:pPr>
              <w:spacing w:after="0" w:line="240" w:lineRule="auto"/>
              <w:ind w:firstLineChars="100" w:firstLine="180"/>
              <w:jc w:val="right"/>
              <w:rPr>
                <w:rFonts w:ascii="Times New Roman" w:eastAsia="Times New Roman" w:hAnsi="Times New Roman" w:cs="Times New Roman"/>
                <w:sz w:val="18"/>
                <w:szCs w:val="18"/>
                <w:lang w:val="lv-LV"/>
              </w:rPr>
            </w:pPr>
          </w:p>
        </w:tc>
        <w:tc>
          <w:tcPr>
            <w:tcW w:w="1417" w:type="dxa"/>
            <w:tcBorders>
              <w:top w:val="nil"/>
              <w:left w:val="nil"/>
              <w:bottom w:val="nil"/>
              <w:right w:val="nil"/>
            </w:tcBorders>
            <w:shd w:val="clear" w:color="auto" w:fill="auto"/>
            <w:noWrap/>
            <w:vAlign w:val="center"/>
            <w:hideMark/>
          </w:tcPr>
          <w:p w:rsidR="0062240B" w:rsidRPr="00A711DD" w:rsidRDefault="0062240B" w:rsidP="00A711DD">
            <w:pPr>
              <w:spacing w:after="0" w:line="240" w:lineRule="auto"/>
              <w:ind w:firstLineChars="100" w:firstLine="180"/>
              <w:jc w:val="right"/>
              <w:rPr>
                <w:rFonts w:ascii="Times New Roman" w:eastAsia="Times New Roman" w:hAnsi="Times New Roman" w:cs="Times New Roman"/>
                <w:sz w:val="18"/>
                <w:szCs w:val="18"/>
                <w:lang w:val="lv-LV"/>
              </w:rPr>
            </w:pPr>
          </w:p>
        </w:tc>
      </w:tr>
      <w:tr w:rsidR="0062240B" w:rsidRPr="00A711DD" w:rsidTr="0062240B">
        <w:trPr>
          <w:trHeight w:val="375"/>
          <w:jc w:val="center"/>
        </w:trPr>
        <w:tc>
          <w:tcPr>
            <w:tcW w:w="4268" w:type="dxa"/>
            <w:tcBorders>
              <w:top w:val="single" w:sz="8" w:space="0" w:color="auto"/>
              <w:left w:val="single" w:sz="8" w:space="0" w:color="auto"/>
              <w:bottom w:val="single" w:sz="8" w:space="0" w:color="auto"/>
              <w:right w:val="single" w:sz="8" w:space="0" w:color="auto"/>
            </w:tcBorders>
            <w:shd w:val="clear" w:color="000000" w:fill="CCFF99"/>
            <w:noWrap/>
            <w:vAlign w:val="center"/>
            <w:hideMark/>
          </w:tcPr>
          <w:p w:rsidR="0062240B" w:rsidRPr="00A711DD" w:rsidRDefault="0062240B" w:rsidP="00A711DD">
            <w:pPr>
              <w:spacing w:after="0" w:line="240" w:lineRule="auto"/>
              <w:ind w:firstLineChars="100" w:firstLine="181"/>
              <w:rPr>
                <w:rFonts w:ascii="Times New Roman" w:eastAsia="Times New Roman" w:hAnsi="Times New Roman" w:cs="Times New Roman"/>
                <w:b/>
                <w:bCs/>
                <w:i/>
                <w:iCs/>
                <w:sz w:val="18"/>
                <w:szCs w:val="18"/>
                <w:lang w:val="lv-LV"/>
              </w:rPr>
            </w:pPr>
            <w:r w:rsidRPr="00A711DD">
              <w:rPr>
                <w:rFonts w:ascii="Times New Roman" w:eastAsia="Times New Roman" w:hAnsi="Times New Roman" w:cs="Times New Roman"/>
                <w:b/>
                <w:bCs/>
                <w:i/>
                <w:iCs/>
                <w:sz w:val="18"/>
                <w:szCs w:val="18"/>
                <w:lang w:val="lv-LV"/>
              </w:rPr>
              <w:t>tai skaitā</w:t>
            </w:r>
            <w:r>
              <w:rPr>
                <w:rFonts w:ascii="Times New Roman" w:eastAsia="Times New Roman" w:hAnsi="Times New Roman" w:cs="Times New Roman"/>
                <w:b/>
                <w:bCs/>
                <w:i/>
                <w:iCs/>
                <w:sz w:val="18"/>
                <w:szCs w:val="18"/>
                <w:lang w:val="lv-LV"/>
              </w:rPr>
              <w:t xml:space="preserve">  - ES FONDI UN ĀRVALSTU FINANSĒ</w:t>
            </w:r>
            <w:r w:rsidRPr="00A711DD">
              <w:rPr>
                <w:rFonts w:ascii="Times New Roman" w:eastAsia="Times New Roman" w:hAnsi="Times New Roman" w:cs="Times New Roman"/>
                <w:b/>
                <w:bCs/>
                <w:i/>
                <w:iCs/>
                <w:sz w:val="18"/>
                <w:szCs w:val="18"/>
                <w:lang w:val="lv-LV"/>
              </w:rPr>
              <w:t>JUMS</w:t>
            </w:r>
          </w:p>
        </w:tc>
        <w:tc>
          <w:tcPr>
            <w:tcW w:w="1559" w:type="dxa"/>
            <w:tcBorders>
              <w:top w:val="single" w:sz="8" w:space="0" w:color="auto"/>
              <w:left w:val="nil"/>
              <w:bottom w:val="single" w:sz="8" w:space="0" w:color="auto"/>
              <w:right w:val="single" w:sz="8" w:space="0" w:color="auto"/>
            </w:tcBorders>
            <w:shd w:val="clear" w:color="000000" w:fill="CCFF99"/>
            <w:vAlign w:val="center"/>
            <w:hideMark/>
          </w:tcPr>
          <w:p w:rsidR="0062240B" w:rsidRPr="00A711DD" w:rsidRDefault="00820932"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11 369 646</w:t>
            </w:r>
          </w:p>
        </w:tc>
        <w:tc>
          <w:tcPr>
            <w:tcW w:w="1418" w:type="dxa"/>
            <w:tcBorders>
              <w:top w:val="single" w:sz="8" w:space="0" w:color="auto"/>
              <w:left w:val="nil"/>
              <w:bottom w:val="single" w:sz="8" w:space="0" w:color="auto"/>
              <w:right w:val="single" w:sz="8" w:space="0" w:color="auto"/>
            </w:tcBorders>
            <w:shd w:val="clear" w:color="000000" w:fill="CCFF99"/>
            <w:vAlign w:val="center"/>
            <w:hideMark/>
          </w:tcPr>
          <w:p w:rsidR="0062240B" w:rsidRPr="00A711DD" w:rsidRDefault="00820932"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10 482 071</w:t>
            </w:r>
          </w:p>
        </w:tc>
        <w:tc>
          <w:tcPr>
            <w:tcW w:w="1417" w:type="dxa"/>
            <w:tcBorders>
              <w:top w:val="single" w:sz="8" w:space="0" w:color="auto"/>
              <w:left w:val="nil"/>
              <w:bottom w:val="single" w:sz="8" w:space="0" w:color="auto"/>
              <w:right w:val="single" w:sz="8" w:space="0" w:color="auto"/>
            </w:tcBorders>
            <w:shd w:val="clear" w:color="000000" w:fill="CCFF99"/>
            <w:vAlign w:val="center"/>
            <w:hideMark/>
          </w:tcPr>
          <w:p w:rsidR="0062240B" w:rsidRPr="00A711DD" w:rsidRDefault="00820932"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3 633 211</w:t>
            </w:r>
          </w:p>
        </w:tc>
      </w:tr>
      <w:tr w:rsidR="00DE415F" w:rsidRPr="00A711DD" w:rsidTr="00DE415F">
        <w:trPr>
          <w:trHeight w:val="375"/>
          <w:jc w:val="center"/>
        </w:trPr>
        <w:tc>
          <w:tcPr>
            <w:tcW w:w="4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415F" w:rsidRPr="00A711DD" w:rsidRDefault="00DE415F" w:rsidP="00DE415F">
            <w:pPr>
              <w:spacing w:after="0" w:line="240" w:lineRule="auto"/>
              <w:ind w:firstLineChars="100" w:firstLine="180"/>
              <w:jc w:val="right"/>
              <w:rPr>
                <w:rFonts w:ascii="Times New Roman" w:eastAsia="Times New Roman" w:hAnsi="Times New Roman" w:cs="Times New Roman"/>
                <w:b/>
                <w:bCs/>
                <w:i/>
                <w:iCs/>
                <w:sz w:val="18"/>
                <w:szCs w:val="18"/>
                <w:lang w:val="lv-LV"/>
              </w:rPr>
            </w:pPr>
            <w:r w:rsidRPr="00FB143A">
              <w:rPr>
                <w:rFonts w:ascii="Times New Roman" w:eastAsia="Times New Roman" w:hAnsi="Times New Roman" w:cs="Times New Roman"/>
                <w:bCs/>
                <w:sz w:val="18"/>
                <w:szCs w:val="18"/>
                <w:lang w:val="lv-LV"/>
              </w:rPr>
              <w:t xml:space="preserve">Finansējuma izmaiņas 2013.gadā pet 2012.gada noslēgumu </w:t>
            </w:r>
            <w:r w:rsidRPr="00DE415F">
              <w:rPr>
                <w:rFonts w:ascii="Times New Roman" w:eastAsia="Times New Roman" w:hAnsi="Times New Roman" w:cs="Times New Roman"/>
                <w:bCs/>
                <w:i/>
                <w:iCs/>
                <w:sz w:val="18"/>
                <w:szCs w:val="18"/>
                <w:lang w:val="lv-LV"/>
              </w:rPr>
              <w:t>ES fondi un ārvalstu finansējums</w:t>
            </w:r>
            <w:r w:rsidRPr="00FB143A">
              <w:rPr>
                <w:rFonts w:ascii="Times New Roman" w:eastAsia="Times New Roman" w:hAnsi="Times New Roman" w:cs="Times New Roman"/>
                <w:bCs/>
                <w:sz w:val="18"/>
                <w:szCs w:val="18"/>
                <w:lang w:val="lv-LV"/>
              </w:rPr>
              <w:t>:</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E415F" w:rsidRDefault="00DE415F" w:rsidP="00A711DD">
            <w:pPr>
              <w:spacing w:after="0" w:line="240" w:lineRule="auto"/>
              <w:ind w:firstLineChars="100" w:firstLine="181"/>
              <w:jc w:val="right"/>
              <w:rPr>
                <w:rFonts w:ascii="Times New Roman" w:eastAsia="Times New Roman" w:hAnsi="Times New Roman" w:cs="Times New Roman"/>
                <w:b/>
                <w:bCs/>
                <w:sz w:val="18"/>
                <w:szCs w:val="18"/>
                <w:lang w:val="lv-LV"/>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E415F" w:rsidRDefault="00DE415F" w:rsidP="00A711DD">
            <w:pPr>
              <w:spacing w:after="0" w:line="240" w:lineRule="auto"/>
              <w:ind w:firstLineChars="100" w:firstLine="181"/>
              <w:jc w:val="right"/>
              <w:rPr>
                <w:rFonts w:ascii="Times New Roman" w:eastAsia="Times New Roman" w:hAnsi="Times New Roman" w:cs="Times New Roman"/>
                <w:b/>
                <w:bCs/>
                <w:sz w:val="18"/>
                <w:szCs w:val="18"/>
                <w:lang w:val="lv-LV"/>
              </w:rPr>
            </w:pP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DE415F" w:rsidRPr="00DE415F" w:rsidRDefault="00DE415F" w:rsidP="00DE415F">
            <w:pPr>
              <w:spacing w:after="0" w:line="240" w:lineRule="auto"/>
              <w:jc w:val="right"/>
              <w:rPr>
                <w:rFonts w:ascii="Times New Roman" w:eastAsia="Times New Roman" w:hAnsi="Times New Roman" w:cs="Times New Roman"/>
                <w:bCs/>
                <w:sz w:val="18"/>
                <w:szCs w:val="18"/>
                <w:lang w:val="lv-LV"/>
              </w:rPr>
            </w:pPr>
            <w:r w:rsidRPr="00DE415F">
              <w:rPr>
                <w:rFonts w:ascii="Times New Roman" w:eastAsia="Times New Roman" w:hAnsi="Times New Roman" w:cs="Times New Roman"/>
                <w:bCs/>
                <w:sz w:val="18"/>
                <w:szCs w:val="18"/>
                <w:lang w:val="lv-LV"/>
              </w:rPr>
              <w:t>-6 848 860</w:t>
            </w:r>
          </w:p>
        </w:tc>
      </w:tr>
      <w:tr w:rsidR="00CE34B9" w:rsidRPr="00A711DD" w:rsidTr="0062240B">
        <w:trPr>
          <w:trHeight w:val="375"/>
          <w:jc w:val="center"/>
        </w:trPr>
        <w:tc>
          <w:tcPr>
            <w:tcW w:w="4268" w:type="dxa"/>
            <w:tcBorders>
              <w:top w:val="single" w:sz="8" w:space="0" w:color="auto"/>
              <w:left w:val="single" w:sz="8" w:space="0" w:color="auto"/>
              <w:bottom w:val="single" w:sz="8" w:space="0" w:color="auto"/>
              <w:right w:val="single" w:sz="8" w:space="0" w:color="auto"/>
            </w:tcBorders>
            <w:shd w:val="clear" w:color="000000" w:fill="CCFF99"/>
            <w:noWrap/>
            <w:vAlign w:val="center"/>
            <w:hideMark/>
          </w:tcPr>
          <w:p w:rsidR="00CE34B9" w:rsidRPr="00A711DD" w:rsidRDefault="00CE34B9" w:rsidP="00A711DD">
            <w:pPr>
              <w:spacing w:after="0" w:line="240" w:lineRule="auto"/>
              <w:ind w:firstLineChars="100" w:firstLine="181"/>
              <w:rPr>
                <w:rFonts w:ascii="Times New Roman" w:eastAsia="Times New Roman" w:hAnsi="Times New Roman" w:cs="Times New Roman"/>
                <w:b/>
                <w:bCs/>
                <w:i/>
                <w:iCs/>
                <w:sz w:val="18"/>
                <w:szCs w:val="18"/>
                <w:lang w:val="lv-LV"/>
              </w:rPr>
            </w:pPr>
            <w:r>
              <w:rPr>
                <w:rFonts w:ascii="Times New Roman" w:eastAsia="Times New Roman" w:hAnsi="Times New Roman" w:cs="Times New Roman"/>
                <w:b/>
                <w:bCs/>
                <w:i/>
                <w:iCs/>
                <w:sz w:val="18"/>
                <w:szCs w:val="18"/>
                <w:lang w:val="lv-LV"/>
              </w:rPr>
              <w:t>ES FONDI FM (CFLA) budžetā</w:t>
            </w:r>
          </w:p>
        </w:tc>
        <w:tc>
          <w:tcPr>
            <w:tcW w:w="1559" w:type="dxa"/>
            <w:tcBorders>
              <w:top w:val="single" w:sz="8" w:space="0" w:color="auto"/>
              <w:left w:val="nil"/>
              <w:bottom w:val="single" w:sz="8" w:space="0" w:color="auto"/>
              <w:right w:val="single" w:sz="8" w:space="0" w:color="auto"/>
            </w:tcBorders>
            <w:shd w:val="clear" w:color="000000" w:fill="CCFF99"/>
            <w:vAlign w:val="center"/>
            <w:hideMark/>
          </w:tcPr>
          <w:p w:rsidR="00CE34B9" w:rsidRDefault="00CE34B9"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31 188 156</w:t>
            </w:r>
          </w:p>
        </w:tc>
        <w:tc>
          <w:tcPr>
            <w:tcW w:w="1418" w:type="dxa"/>
            <w:tcBorders>
              <w:top w:val="single" w:sz="8" w:space="0" w:color="auto"/>
              <w:left w:val="nil"/>
              <w:bottom w:val="single" w:sz="8" w:space="0" w:color="auto"/>
              <w:right w:val="single" w:sz="8" w:space="0" w:color="auto"/>
            </w:tcBorders>
            <w:shd w:val="clear" w:color="000000" w:fill="CCFF99"/>
            <w:vAlign w:val="center"/>
            <w:hideMark/>
          </w:tcPr>
          <w:p w:rsidR="00CE34B9" w:rsidRDefault="00CE34B9"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27 805 236</w:t>
            </w:r>
          </w:p>
        </w:tc>
        <w:tc>
          <w:tcPr>
            <w:tcW w:w="1417" w:type="dxa"/>
            <w:tcBorders>
              <w:top w:val="single" w:sz="8" w:space="0" w:color="auto"/>
              <w:left w:val="nil"/>
              <w:bottom w:val="single" w:sz="8" w:space="0" w:color="auto"/>
              <w:right w:val="single" w:sz="8" w:space="0" w:color="auto"/>
            </w:tcBorders>
            <w:shd w:val="clear" w:color="000000" w:fill="CCFF99"/>
            <w:vAlign w:val="center"/>
            <w:hideMark/>
          </w:tcPr>
          <w:p w:rsidR="00CE34B9" w:rsidRDefault="00CE34B9" w:rsidP="00A711DD">
            <w:pPr>
              <w:spacing w:after="0" w:line="240" w:lineRule="auto"/>
              <w:ind w:firstLineChars="100" w:firstLine="181"/>
              <w:jc w:val="right"/>
              <w:rPr>
                <w:rFonts w:ascii="Times New Roman" w:eastAsia="Times New Roman" w:hAnsi="Times New Roman" w:cs="Times New Roman"/>
                <w:b/>
                <w:bCs/>
                <w:sz w:val="18"/>
                <w:szCs w:val="18"/>
                <w:lang w:val="lv-LV"/>
              </w:rPr>
            </w:pPr>
            <w:r>
              <w:rPr>
                <w:rFonts w:ascii="Times New Roman" w:eastAsia="Times New Roman" w:hAnsi="Times New Roman" w:cs="Times New Roman"/>
                <w:b/>
                <w:bCs/>
                <w:sz w:val="18"/>
                <w:szCs w:val="18"/>
                <w:lang w:val="lv-LV"/>
              </w:rPr>
              <w:t>32 305 808</w:t>
            </w:r>
          </w:p>
        </w:tc>
      </w:tr>
    </w:tbl>
    <w:p w:rsidR="00A711DD" w:rsidRDefault="00C55113" w:rsidP="00A711DD">
      <w:pPr>
        <w:spacing w:after="0" w:line="240" w:lineRule="auto"/>
        <w:jc w:val="both"/>
        <w:rPr>
          <w:rFonts w:ascii="Times New Roman" w:hAnsi="Times New Roman" w:cs="Times New Roman"/>
          <w:sz w:val="16"/>
          <w:szCs w:val="16"/>
          <w:lang w:val="lv-LV"/>
        </w:rPr>
      </w:pPr>
      <w:r>
        <w:rPr>
          <w:rFonts w:ascii="Times New Roman" w:hAnsi="Times New Roman"/>
          <w:i/>
          <w:sz w:val="20"/>
          <w:szCs w:val="20"/>
          <w:lang w:val="lv-LV"/>
        </w:rPr>
        <w:t xml:space="preserve">                      </w:t>
      </w:r>
      <w:r w:rsidRPr="002040D7">
        <w:rPr>
          <w:rFonts w:ascii="Times New Roman" w:hAnsi="Times New Roman"/>
          <w:i/>
          <w:sz w:val="20"/>
          <w:szCs w:val="20"/>
          <w:lang w:val="lv-LV"/>
        </w:rPr>
        <w:t xml:space="preserve">Avots: Veselības ministrija    </w:t>
      </w:r>
      <w:r>
        <w:rPr>
          <w:rFonts w:ascii="Times New Roman" w:hAnsi="Times New Roman"/>
          <w:i/>
          <w:sz w:val="20"/>
          <w:szCs w:val="20"/>
          <w:lang w:val="lv-LV"/>
        </w:rPr>
        <w:t xml:space="preserve">   </w:t>
      </w:r>
    </w:p>
    <w:p w:rsidR="00A711DD" w:rsidRPr="00AA260F" w:rsidRDefault="00772859" w:rsidP="00A711DD">
      <w:pPr>
        <w:spacing w:after="0" w:line="240" w:lineRule="auto"/>
        <w:jc w:val="both"/>
        <w:rPr>
          <w:rFonts w:ascii="Times New Roman" w:hAnsi="Times New Roman" w:cs="Times New Roman"/>
          <w:sz w:val="18"/>
          <w:szCs w:val="18"/>
          <w:lang w:val="lv-LV"/>
        </w:rPr>
      </w:pPr>
      <w:r>
        <w:rPr>
          <w:rFonts w:ascii="Times New Roman" w:hAnsi="Times New Roman" w:cs="Times New Roman"/>
          <w:sz w:val="18"/>
          <w:szCs w:val="18"/>
          <w:lang w:val="lv-LV"/>
        </w:rPr>
        <w:t>* v</w:t>
      </w:r>
      <w:r w:rsidR="00A711DD" w:rsidRPr="00AA260F">
        <w:rPr>
          <w:rFonts w:ascii="Times New Roman" w:hAnsi="Times New Roman" w:cs="Times New Roman"/>
          <w:sz w:val="18"/>
          <w:szCs w:val="18"/>
          <w:lang w:val="lv-LV"/>
        </w:rPr>
        <w:t xml:space="preserve">/a </w:t>
      </w:r>
      <w:r>
        <w:rPr>
          <w:rFonts w:ascii="Times New Roman" w:hAnsi="Times New Roman" w:cs="Times New Roman"/>
          <w:sz w:val="18"/>
          <w:szCs w:val="18"/>
          <w:lang w:val="lv-LV"/>
        </w:rPr>
        <w:t>„</w:t>
      </w:r>
      <w:r w:rsidR="00A711DD" w:rsidRPr="00AA260F">
        <w:rPr>
          <w:rFonts w:ascii="Times New Roman" w:hAnsi="Times New Roman" w:cs="Times New Roman"/>
          <w:sz w:val="18"/>
          <w:szCs w:val="18"/>
          <w:lang w:val="lv-LV"/>
        </w:rPr>
        <w:t>Latvijas infektoloģijas centrs</w:t>
      </w:r>
      <w:r>
        <w:rPr>
          <w:rFonts w:ascii="Times New Roman" w:hAnsi="Times New Roman" w:cs="Times New Roman"/>
          <w:sz w:val="18"/>
          <w:szCs w:val="18"/>
          <w:lang w:val="lv-LV"/>
        </w:rPr>
        <w:t>”</w:t>
      </w:r>
      <w:r w:rsidR="00A711DD" w:rsidRPr="00AA260F">
        <w:rPr>
          <w:rFonts w:ascii="Times New Roman" w:hAnsi="Times New Roman" w:cs="Times New Roman"/>
          <w:sz w:val="18"/>
          <w:szCs w:val="18"/>
          <w:lang w:val="lv-LV"/>
        </w:rPr>
        <w:t xml:space="preserve"> reorganizēts 01.04.2012, ārstniecības funkcijas nododot SIA "Rīgas </w:t>
      </w:r>
      <w:r w:rsidR="00AA260F" w:rsidRPr="00AA260F">
        <w:rPr>
          <w:rFonts w:ascii="Times New Roman" w:hAnsi="Times New Roman" w:cs="Times New Roman"/>
          <w:sz w:val="18"/>
          <w:szCs w:val="18"/>
          <w:lang w:val="lv-LV"/>
        </w:rPr>
        <w:t>Austrumu klīniskā universitātes slimnīca</w:t>
      </w:r>
      <w:r w:rsidR="00A711DD" w:rsidRPr="00AA260F">
        <w:rPr>
          <w:rFonts w:ascii="Times New Roman" w:hAnsi="Times New Roman" w:cs="Times New Roman"/>
          <w:sz w:val="18"/>
          <w:szCs w:val="18"/>
          <w:lang w:val="lv-LV"/>
        </w:rPr>
        <w:t>", uzraudzības un kontroles funkcijas - Slimību profilakses un kontroles centram</w:t>
      </w:r>
    </w:p>
    <w:p w:rsidR="00AA260F" w:rsidRDefault="00AA260F" w:rsidP="00C937B8">
      <w:pPr>
        <w:pStyle w:val="NoSpacing"/>
        <w:jc w:val="both"/>
        <w:rPr>
          <w:rFonts w:ascii="Times New Roman" w:hAnsi="Times New Roman"/>
          <w:b/>
          <w:sz w:val="24"/>
          <w:szCs w:val="24"/>
        </w:rPr>
      </w:pPr>
    </w:p>
    <w:p w:rsidR="00C96919" w:rsidRDefault="00DE415F" w:rsidP="00D819FC">
      <w:pPr>
        <w:pStyle w:val="NoSpacing"/>
        <w:ind w:firstLine="720"/>
        <w:jc w:val="both"/>
        <w:rPr>
          <w:rFonts w:ascii="Times New Roman" w:hAnsi="Times New Roman"/>
          <w:sz w:val="24"/>
          <w:szCs w:val="24"/>
        </w:rPr>
      </w:pPr>
      <w:r>
        <w:rPr>
          <w:rFonts w:ascii="Times New Roman" w:hAnsi="Times New Roman"/>
          <w:sz w:val="24"/>
          <w:szCs w:val="24"/>
        </w:rPr>
        <w:t>2013.gadā v</w:t>
      </w:r>
      <w:r w:rsidR="00C96919" w:rsidRPr="00C96919">
        <w:rPr>
          <w:rFonts w:ascii="Times New Roman" w:hAnsi="Times New Roman"/>
          <w:sz w:val="24"/>
          <w:szCs w:val="24"/>
        </w:rPr>
        <w:t>eselības ap</w:t>
      </w:r>
      <w:r>
        <w:rPr>
          <w:rFonts w:ascii="Times New Roman" w:hAnsi="Times New Roman"/>
          <w:sz w:val="24"/>
          <w:szCs w:val="24"/>
        </w:rPr>
        <w:t>rūpes budžetā papildus piešķirtais</w:t>
      </w:r>
      <w:r w:rsidR="00C96919" w:rsidRPr="00C96919">
        <w:rPr>
          <w:rFonts w:ascii="Times New Roman" w:hAnsi="Times New Roman"/>
          <w:sz w:val="24"/>
          <w:szCs w:val="24"/>
        </w:rPr>
        <w:t xml:space="preserve"> </w:t>
      </w:r>
      <w:r>
        <w:rPr>
          <w:rFonts w:ascii="Times New Roman" w:hAnsi="Times New Roman"/>
          <w:sz w:val="24"/>
          <w:szCs w:val="24"/>
        </w:rPr>
        <w:t>finansējums</w:t>
      </w:r>
      <w:r w:rsidR="00C96919" w:rsidRPr="00C96919">
        <w:rPr>
          <w:rFonts w:ascii="Times New Roman" w:hAnsi="Times New Roman"/>
          <w:sz w:val="24"/>
          <w:szCs w:val="24"/>
        </w:rPr>
        <w:t xml:space="preserve"> </w:t>
      </w:r>
      <w:r w:rsidR="00CF2A0C">
        <w:rPr>
          <w:rFonts w:ascii="Times New Roman" w:hAnsi="Times New Roman"/>
          <w:sz w:val="24"/>
          <w:szCs w:val="24"/>
        </w:rPr>
        <w:t>jauniem</w:t>
      </w:r>
      <w:r w:rsidR="001B0CC8">
        <w:rPr>
          <w:rFonts w:ascii="Times New Roman" w:hAnsi="Times New Roman"/>
          <w:sz w:val="24"/>
          <w:szCs w:val="24"/>
        </w:rPr>
        <w:t xml:space="preserve"> </w:t>
      </w:r>
      <w:r w:rsidR="00CF2A0C">
        <w:rPr>
          <w:rFonts w:ascii="Times New Roman" w:hAnsi="Times New Roman"/>
          <w:sz w:val="24"/>
          <w:szCs w:val="24"/>
        </w:rPr>
        <w:t>veselības aprūpes pasākumiem, kā arī pasākumiem, kuriem pēdējos gados vērojams hronisks līdzekļu trūkums,</w:t>
      </w:r>
      <w:r w:rsidR="001B0CC8">
        <w:rPr>
          <w:rFonts w:ascii="Times New Roman" w:hAnsi="Times New Roman"/>
          <w:sz w:val="24"/>
          <w:szCs w:val="24"/>
        </w:rPr>
        <w:t xml:space="preserve"> </w:t>
      </w:r>
      <w:r>
        <w:rPr>
          <w:rFonts w:ascii="Times New Roman" w:hAnsi="Times New Roman"/>
          <w:sz w:val="24"/>
          <w:szCs w:val="24"/>
        </w:rPr>
        <w:t xml:space="preserve">ir mazāks nekā 2012.gadā </w:t>
      </w:r>
      <w:r w:rsidR="00422872">
        <w:rPr>
          <w:rFonts w:ascii="Times New Roman" w:hAnsi="Times New Roman"/>
          <w:sz w:val="24"/>
          <w:szCs w:val="24"/>
        </w:rPr>
        <w:t xml:space="preserve">(skat. </w:t>
      </w:r>
      <w:r w:rsidR="00772859">
        <w:rPr>
          <w:rFonts w:ascii="Times New Roman" w:hAnsi="Times New Roman"/>
          <w:sz w:val="24"/>
          <w:szCs w:val="24"/>
        </w:rPr>
        <w:t>2.tab.</w:t>
      </w:r>
      <w:r>
        <w:rPr>
          <w:rFonts w:ascii="Times New Roman" w:hAnsi="Times New Roman"/>
          <w:sz w:val="24"/>
          <w:szCs w:val="24"/>
        </w:rPr>
        <w:t xml:space="preserve"> finansējums </w:t>
      </w:r>
      <w:r w:rsidRPr="00C96919">
        <w:rPr>
          <w:rFonts w:ascii="Times New Roman" w:hAnsi="Times New Roman"/>
          <w:sz w:val="24"/>
          <w:szCs w:val="24"/>
        </w:rPr>
        <w:t>ar grozījumiem likumā „Par valsts budžetu 2012.gadam”, Ministru kabineta un</w:t>
      </w:r>
      <w:r>
        <w:rPr>
          <w:rFonts w:ascii="Times New Roman" w:hAnsi="Times New Roman"/>
          <w:sz w:val="24"/>
          <w:szCs w:val="24"/>
        </w:rPr>
        <w:t xml:space="preserve"> Finanšu ministrijas rīkojumiem</w:t>
      </w:r>
      <w:r w:rsidRPr="00C96919">
        <w:rPr>
          <w:rFonts w:ascii="Times New Roman" w:hAnsi="Times New Roman"/>
          <w:sz w:val="24"/>
          <w:szCs w:val="24"/>
        </w:rPr>
        <w:t xml:space="preserve"> šādā sadalījumā pa pasākumiem</w:t>
      </w:r>
      <w:r w:rsidR="00772859">
        <w:rPr>
          <w:rFonts w:ascii="Times New Roman" w:hAnsi="Times New Roman"/>
          <w:sz w:val="24"/>
          <w:szCs w:val="24"/>
        </w:rPr>
        <w:t>)</w:t>
      </w:r>
      <w:r w:rsidR="00B37B06">
        <w:rPr>
          <w:rFonts w:ascii="Times New Roman" w:hAnsi="Times New Roman"/>
          <w:sz w:val="24"/>
          <w:szCs w:val="24"/>
        </w:rPr>
        <w:t>.</w:t>
      </w:r>
    </w:p>
    <w:p w:rsidR="00C96919" w:rsidRDefault="00C96919" w:rsidP="001B0CC8">
      <w:pPr>
        <w:pStyle w:val="NormalWeb"/>
        <w:snapToGrid w:val="0"/>
        <w:spacing w:before="120" w:after="0"/>
        <w:ind w:firstLine="709"/>
        <w:jc w:val="right"/>
      </w:pPr>
      <w:r>
        <w:t>2.tabula</w:t>
      </w:r>
    </w:p>
    <w:p w:rsidR="00C96919" w:rsidRPr="00C96919" w:rsidRDefault="00C96919" w:rsidP="00C937B8">
      <w:pPr>
        <w:pStyle w:val="NoSpacing"/>
        <w:jc w:val="both"/>
        <w:rPr>
          <w:rFonts w:ascii="Times New Roman" w:hAnsi="Times New Roman"/>
          <w:sz w:val="24"/>
          <w:szCs w:val="24"/>
        </w:rPr>
      </w:pPr>
    </w:p>
    <w:tbl>
      <w:tblPr>
        <w:tblStyle w:val="TableGrid"/>
        <w:tblW w:w="0" w:type="auto"/>
        <w:jc w:val="center"/>
        <w:tblLook w:val="04A0"/>
      </w:tblPr>
      <w:tblGrid>
        <w:gridCol w:w="6771"/>
        <w:gridCol w:w="1701"/>
        <w:gridCol w:w="1716"/>
      </w:tblGrid>
      <w:tr w:rsidR="00C96919" w:rsidRPr="00D876C0" w:rsidTr="00D876C0">
        <w:trPr>
          <w:jc w:val="center"/>
        </w:trPr>
        <w:tc>
          <w:tcPr>
            <w:tcW w:w="6771" w:type="dxa"/>
            <w:vAlign w:val="center"/>
          </w:tcPr>
          <w:p w:rsidR="00C96919" w:rsidRPr="00D876C0" w:rsidRDefault="00C96919" w:rsidP="00C96919">
            <w:pPr>
              <w:pStyle w:val="NoSpacing"/>
              <w:jc w:val="center"/>
              <w:rPr>
                <w:rFonts w:ascii="Times New Roman" w:hAnsi="Times New Roman"/>
                <w:b/>
              </w:rPr>
            </w:pPr>
            <w:r w:rsidRPr="00D876C0">
              <w:rPr>
                <w:rFonts w:ascii="Times New Roman" w:hAnsi="Times New Roman"/>
                <w:b/>
              </w:rPr>
              <w:t>Veselības aprūpes pasākums</w:t>
            </w:r>
          </w:p>
        </w:tc>
        <w:tc>
          <w:tcPr>
            <w:tcW w:w="1701" w:type="dxa"/>
            <w:vAlign w:val="center"/>
          </w:tcPr>
          <w:p w:rsidR="00C96919" w:rsidRPr="00D876C0" w:rsidRDefault="00C96919" w:rsidP="00C96919">
            <w:pPr>
              <w:pStyle w:val="NoSpacing"/>
              <w:jc w:val="center"/>
              <w:rPr>
                <w:rFonts w:ascii="Times New Roman" w:hAnsi="Times New Roman"/>
                <w:b/>
              </w:rPr>
            </w:pPr>
            <w:r w:rsidRPr="00D876C0">
              <w:rPr>
                <w:rFonts w:ascii="Times New Roman" w:hAnsi="Times New Roman"/>
                <w:b/>
              </w:rPr>
              <w:t>Piešķirtais 2012.gadā</w:t>
            </w:r>
          </w:p>
        </w:tc>
        <w:tc>
          <w:tcPr>
            <w:tcW w:w="1716" w:type="dxa"/>
            <w:vAlign w:val="center"/>
          </w:tcPr>
          <w:p w:rsidR="00C96919" w:rsidRPr="00D876C0" w:rsidRDefault="00C96919" w:rsidP="00C96919">
            <w:pPr>
              <w:pStyle w:val="NoSpacing"/>
              <w:jc w:val="center"/>
              <w:rPr>
                <w:rFonts w:ascii="Times New Roman" w:hAnsi="Times New Roman"/>
                <w:b/>
              </w:rPr>
            </w:pPr>
            <w:r w:rsidRPr="00D876C0">
              <w:rPr>
                <w:rFonts w:ascii="Times New Roman" w:hAnsi="Times New Roman"/>
                <w:b/>
              </w:rPr>
              <w:t>Piešķirtais 2013.gadā</w:t>
            </w:r>
          </w:p>
        </w:tc>
      </w:tr>
      <w:tr w:rsidR="00C96919" w:rsidRPr="00D876C0" w:rsidTr="00D876C0">
        <w:trPr>
          <w:jc w:val="center"/>
        </w:trPr>
        <w:tc>
          <w:tcPr>
            <w:tcW w:w="6771" w:type="dxa"/>
          </w:tcPr>
          <w:p w:rsidR="00C96919" w:rsidRPr="00D876C0" w:rsidRDefault="00C96919" w:rsidP="00C937B8">
            <w:pPr>
              <w:pStyle w:val="NoSpacing"/>
              <w:jc w:val="both"/>
              <w:rPr>
                <w:rFonts w:ascii="Times New Roman" w:hAnsi="Times New Roman"/>
              </w:rPr>
            </w:pPr>
            <w:r w:rsidRPr="00D876C0">
              <w:rPr>
                <w:rFonts w:ascii="Times New Roman" w:eastAsia="Times New Roman" w:hAnsi="Times New Roman"/>
              </w:rPr>
              <w:t>Mātes un bērna veselības uzlabošanas plāna 2012.-2014.gadam realizācijai</w:t>
            </w:r>
          </w:p>
        </w:tc>
        <w:tc>
          <w:tcPr>
            <w:tcW w:w="1701" w:type="dxa"/>
          </w:tcPr>
          <w:p w:rsidR="00C96919" w:rsidRPr="00D876C0" w:rsidRDefault="00C96919" w:rsidP="001B0CC8">
            <w:pPr>
              <w:pStyle w:val="NoSpacing"/>
              <w:jc w:val="right"/>
              <w:rPr>
                <w:rFonts w:ascii="Times New Roman" w:hAnsi="Times New Roman"/>
              </w:rPr>
            </w:pPr>
            <w:r w:rsidRPr="00D876C0">
              <w:rPr>
                <w:rFonts w:ascii="Times New Roman" w:hAnsi="Times New Roman"/>
              </w:rPr>
              <w:t>1 112 855</w:t>
            </w:r>
          </w:p>
        </w:tc>
        <w:tc>
          <w:tcPr>
            <w:tcW w:w="1716" w:type="dxa"/>
          </w:tcPr>
          <w:p w:rsidR="00C96919" w:rsidRPr="00D876C0" w:rsidRDefault="00C96919" w:rsidP="001B0CC8">
            <w:pPr>
              <w:pStyle w:val="NoSpacing"/>
              <w:jc w:val="right"/>
              <w:rPr>
                <w:rFonts w:ascii="Times New Roman" w:hAnsi="Times New Roman"/>
              </w:rPr>
            </w:pPr>
            <w:r w:rsidRPr="00D876C0">
              <w:rPr>
                <w:rFonts w:ascii="Times New Roman" w:hAnsi="Times New Roman"/>
              </w:rPr>
              <w:t>2 871 492</w:t>
            </w:r>
          </w:p>
        </w:tc>
      </w:tr>
      <w:tr w:rsidR="00C96919" w:rsidRPr="00D876C0" w:rsidTr="00D876C0">
        <w:trPr>
          <w:jc w:val="center"/>
        </w:trPr>
        <w:tc>
          <w:tcPr>
            <w:tcW w:w="6771" w:type="dxa"/>
          </w:tcPr>
          <w:p w:rsidR="00C96919" w:rsidRPr="00D876C0" w:rsidRDefault="00C96919" w:rsidP="00C937B8">
            <w:pPr>
              <w:pStyle w:val="NoSpacing"/>
              <w:jc w:val="both"/>
              <w:rPr>
                <w:rFonts w:ascii="Times New Roman" w:hAnsi="Times New Roman"/>
              </w:rPr>
            </w:pPr>
            <w:r w:rsidRPr="00D876C0">
              <w:rPr>
                <w:rFonts w:ascii="Times New Roman" w:eastAsia="Times New Roman" w:hAnsi="Times New Roman"/>
              </w:rPr>
              <w:t>speciālistu konsultāciju un dienas stacionāros sniegto pakalpojumu apmaksai</w:t>
            </w:r>
          </w:p>
        </w:tc>
        <w:tc>
          <w:tcPr>
            <w:tcW w:w="1701" w:type="dxa"/>
          </w:tcPr>
          <w:p w:rsidR="00C96919" w:rsidRPr="00D876C0" w:rsidRDefault="00C96919" w:rsidP="001B0CC8">
            <w:pPr>
              <w:pStyle w:val="NoSpacing"/>
              <w:jc w:val="right"/>
              <w:rPr>
                <w:rFonts w:ascii="Times New Roman" w:hAnsi="Times New Roman"/>
              </w:rPr>
            </w:pPr>
            <w:r w:rsidRPr="00D876C0">
              <w:rPr>
                <w:rFonts w:ascii="Times New Roman" w:hAnsi="Times New Roman"/>
              </w:rPr>
              <w:t>7 369 238</w:t>
            </w:r>
          </w:p>
        </w:tc>
        <w:tc>
          <w:tcPr>
            <w:tcW w:w="1716" w:type="dxa"/>
          </w:tcPr>
          <w:p w:rsidR="00C96919" w:rsidRPr="00D876C0" w:rsidRDefault="00C96919" w:rsidP="001B0CC8">
            <w:pPr>
              <w:pStyle w:val="NoSpacing"/>
              <w:jc w:val="right"/>
              <w:rPr>
                <w:rFonts w:ascii="Times New Roman" w:hAnsi="Times New Roman"/>
              </w:rPr>
            </w:pPr>
            <w:r w:rsidRPr="00D876C0">
              <w:rPr>
                <w:rFonts w:ascii="Times New Roman" w:hAnsi="Times New Roman"/>
              </w:rPr>
              <w:t>4 984 399</w:t>
            </w:r>
          </w:p>
        </w:tc>
      </w:tr>
      <w:tr w:rsidR="00071C55" w:rsidRPr="00D876C0" w:rsidTr="00D876C0">
        <w:trPr>
          <w:jc w:val="center"/>
        </w:trPr>
        <w:tc>
          <w:tcPr>
            <w:tcW w:w="6771" w:type="dxa"/>
          </w:tcPr>
          <w:p w:rsidR="00071C55" w:rsidRPr="00D876C0" w:rsidRDefault="00071C55" w:rsidP="00C937B8">
            <w:pPr>
              <w:pStyle w:val="NoSpacing"/>
              <w:jc w:val="both"/>
              <w:rPr>
                <w:rFonts w:ascii="Times New Roman" w:eastAsia="Times New Roman" w:hAnsi="Times New Roman"/>
              </w:rPr>
            </w:pPr>
            <w:r>
              <w:rPr>
                <w:rFonts w:ascii="Times New Roman" w:eastAsia="Times New Roman" w:hAnsi="Times New Roman"/>
              </w:rPr>
              <w:t>diagnostisko un laboratorisko izmeklējumu nodrošināšanai</w:t>
            </w:r>
          </w:p>
        </w:tc>
        <w:tc>
          <w:tcPr>
            <w:tcW w:w="1701" w:type="dxa"/>
          </w:tcPr>
          <w:p w:rsidR="00071C55" w:rsidRPr="00D876C0" w:rsidRDefault="00071C55" w:rsidP="001B0CC8">
            <w:pPr>
              <w:pStyle w:val="NoSpacing"/>
              <w:jc w:val="right"/>
              <w:rPr>
                <w:rFonts w:ascii="Times New Roman" w:hAnsi="Times New Roman"/>
              </w:rPr>
            </w:pPr>
            <w:r>
              <w:rPr>
                <w:rFonts w:ascii="Times New Roman" w:hAnsi="Times New Roman"/>
              </w:rPr>
              <w:t>8 000 316</w:t>
            </w:r>
          </w:p>
        </w:tc>
        <w:tc>
          <w:tcPr>
            <w:tcW w:w="1716" w:type="dxa"/>
          </w:tcPr>
          <w:p w:rsidR="00071C55" w:rsidRPr="00D876C0" w:rsidRDefault="00071C55" w:rsidP="001B0CC8">
            <w:pPr>
              <w:pStyle w:val="NoSpacing"/>
              <w:jc w:val="right"/>
              <w:rPr>
                <w:rFonts w:ascii="Times New Roman" w:hAnsi="Times New Roman"/>
              </w:rPr>
            </w:pPr>
            <w:r>
              <w:rPr>
                <w:rFonts w:ascii="Times New Roman" w:hAnsi="Times New Roman"/>
              </w:rPr>
              <w:t>6 087 960</w:t>
            </w:r>
          </w:p>
        </w:tc>
      </w:tr>
      <w:tr w:rsidR="00C96919" w:rsidRPr="00D876C0" w:rsidTr="00D876C0">
        <w:trPr>
          <w:jc w:val="center"/>
        </w:trPr>
        <w:tc>
          <w:tcPr>
            <w:tcW w:w="6771" w:type="dxa"/>
          </w:tcPr>
          <w:p w:rsidR="00C96919" w:rsidRPr="00D876C0" w:rsidRDefault="00C96919" w:rsidP="00C937B8">
            <w:pPr>
              <w:pStyle w:val="NoSpacing"/>
              <w:jc w:val="both"/>
              <w:rPr>
                <w:rFonts w:ascii="Times New Roman" w:hAnsi="Times New Roman"/>
              </w:rPr>
            </w:pPr>
            <w:r w:rsidRPr="00D876C0">
              <w:rPr>
                <w:rFonts w:ascii="Times New Roman" w:eastAsia="Times New Roman" w:hAnsi="Times New Roman"/>
              </w:rPr>
              <w:t>rindu mazināšanai uz medicīnisko rehabilitāciju stacionārā</w:t>
            </w:r>
          </w:p>
        </w:tc>
        <w:tc>
          <w:tcPr>
            <w:tcW w:w="1701" w:type="dxa"/>
          </w:tcPr>
          <w:p w:rsidR="00C96919" w:rsidRPr="00D876C0" w:rsidRDefault="00C96919" w:rsidP="001B0CC8">
            <w:pPr>
              <w:pStyle w:val="NoSpacing"/>
              <w:jc w:val="right"/>
              <w:rPr>
                <w:rFonts w:ascii="Times New Roman" w:hAnsi="Times New Roman"/>
              </w:rPr>
            </w:pPr>
            <w:r w:rsidRPr="00D876C0">
              <w:rPr>
                <w:rFonts w:ascii="Times New Roman" w:hAnsi="Times New Roman"/>
              </w:rPr>
              <w:t>356 382</w:t>
            </w:r>
          </w:p>
        </w:tc>
        <w:tc>
          <w:tcPr>
            <w:tcW w:w="1716" w:type="dxa"/>
          </w:tcPr>
          <w:p w:rsidR="00C96919" w:rsidRPr="00D876C0" w:rsidRDefault="00C96919" w:rsidP="001B0CC8">
            <w:pPr>
              <w:pStyle w:val="NoSpacing"/>
              <w:jc w:val="right"/>
              <w:rPr>
                <w:rFonts w:ascii="Times New Roman" w:hAnsi="Times New Roman"/>
              </w:rPr>
            </w:pPr>
            <w:r w:rsidRPr="00D876C0">
              <w:rPr>
                <w:rFonts w:ascii="Times New Roman" w:hAnsi="Times New Roman"/>
              </w:rPr>
              <w:t>356 382</w:t>
            </w:r>
          </w:p>
        </w:tc>
      </w:tr>
      <w:tr w:rsidR="00C96919" w:rsidRPr="00D876C0" w:rsidTr="00D876C0">
        <w:trPr>
          <w:jc w:val="center"/>
        </w:trPr>
        <w:tc>
          <w:tcPr>
            <w:tcW w:w="6771" w:type="dxa"/>
          </w:tcPr>
          <w:p w:rsidR="00C96919" w:rsidRPr="00D876C0" w:rsidRDefault="00C96919" w:rsidP="00C937B8">
            <w:pPr>
              <w:pStyle w:val="NoSpacing"/>
              <w:jc w:val="both"/>
              <w:rPr>
                <w:rFonts w:ascii="Times New Roman" w:hAnsi="Times New Roman"/>
              </w:rPr>
            </w:pPr>
            <w:r w:rsidRPr="00D876C0">
              <w:rPr>
                <w:rFonts w:ascii="Times New Roman" w:eastAsia="Times New Roman" w:hAnsi="Times New Roman"/>
              </w:rPr>
              <w:t>observācijas gultu izveides un uzturēšanas izdevumu segšanai</w:t>
            </w:r>
          </w:p>
        </w:tc>
        <w:tc>
          <w:tcPr>
            <w:tcW w:w="1701" w:type="dxa"/>
          </w:tcPr>
          <w:p w:rsidR="00C96919" w:rsidRPr="00D876C0" w:rsidRDefault="00C96919" w:rsidP="001B0CC8">
            <w:pPr>
              <w:pStyle w:val="NoSpacing"/>
              <w:jc w:val="right"/>
              <w:rPr>
                <w:rFonts w:ascii="Times New Roman" w:hAnsi="Times New Roman"/>
              </w:rPr>
            </w:pPr>
            <w:r w:rsidRPr="00D876C0">
              <w:rPr>
                <w:rFonts w:ascii="Times New Roman" w:hAnsi="Times New Roman"/>
              </w:rPr>
              <w:t>1 003 508</w:t>
            </w:r>
          </w:p>
        </w:tc>
        <w:tc>
          <w:tcPr>
            <w:tcW w:w="1716" w:type="dxa"/>
          </w:tcPr>
          <w:p w:rsidR="00C96919" w:rsidRPr="00D876C0" w:rsidRDefault="00C96919" w:rsidP="001B0CC8">
            <w:pPr>
              <w:pStyle w:val="NoSpacing"/>
              <w:jc w:val="right"/>
              <w:rPr>
                <w:rFonts w:ascii="Times New Roman" w:hAnsi="Times New Roman"/>
              </w:rPr>
            </w:pPr>
            <w:r w:rsidRPr="00D876C0">
              <w:rPr>
                <w:rFonts w:ascii="Times New Roman" w:hAnsi="Times New Roman"/>
              </w:rPr>
              <w:t>678 501</w:t>
            </w:r>
          </w:p>
        </w:tc>
      </w:tr>
      <w:tr w:rsidR="00C96919" w:rsidRPr="00D876C0" w:rsidTr="00D876C0">
        <w:trPr>
          <w:jc w:val="center"/>
        </w:trPr>
        <w:tc>
          <w:tcPr>
            <w:tcW w:w="6771" w:type="dxa"/>
          </w:tcPr>
          <w:p w:rsidR="00C96919" w:rsidRPr="00D876C0" w:rsidRDefault="00C96919" w:rsidP="00C937B8">
            <w:pPr>
              <w:pStyle w:val="NoSpacing"/>
              <w:jc w:val="both"/>
              <w:rPr>
                <w:rFonts w:ascii="Times New Roman" w:hAnsi="Times New Roman"/>
              </w:rPr>
            </w:pPr>
            <w:r w:rsidRPr="00D876C0">
              <w:rPr>
                <w:rFonts w:ascii="Times New Roman" w:eastAsia="Times New Roman" w:hAnsi="Times New Roman"/>
              </w:rPr>
              <w:t>Bērnu klīniskās universitātes slimnīcas papildu speciālistu nodrošināšanai uzņemšanas nodaļā</w:t>
            </w:r>
          </w:p>
        </w:tc>
        <w:tc>
          <w:tcPr>
            <w:tcW w:w="1701" w:type="dxa"/>
          </w:tcPr>
          <w:p w:rsidR="00C96919" w:rsidRPr="00D876C0" w:rsidRDefault="00C96919" w:rsidP="001B0CC8">
            <w:pPr>
              <w:pStyle w:val="NoSpacing"/>
              <w:jc w:val="right"/>
              <w:rPr>
                <w:rFonts w:ascii="Times New Roman" w:hAnsi="Times New Roman"/>
              </w:rPr>
            </w:pPr>
            <w:r w:rsidRPr="00D876C0">
              <w:rPr>
                <w:rFonts w:ascii="Times New Roman" w:hAnsi="Times New Roman"/>
              </w:rPr>
              <w:t>91 798</w:t>
            </w:r>
          </w:p>
        </w:tc>
        <w:tc>
          <w:tcPr>
            <w:tcW w:w="1716" w:type="dxa"/>
          </w:tcPr>
          <w:p w:rsidR="00C96919" w:rsidRPr="00D876C0" w:rsidRDefault="00C96919" w:rsidP="001B0CC8">
            <w:pPr>
              <w:pStyle w:val="NoSpacing"/>
              <w:jc w:val="right"/>
              <w:rPr>
                <w:rFonts w:ascii="Times New Roman" w:hAnsi="Times New Roman"/>
              </w:rPr>
            </w:pPr>
            <w:r w:rsidRPr="00D876C0">
              <w:rPr>
                <w:rFonts w:ascii="Times New Roman" w:hAnsi="Times New Roman"/>
              </w:rPr>
              <w:t>367 203</w:t>
            </w:r>
          </w:p>
        </w:tc>
      </w:tr>
      <w:tr w:rsidR="00C96919" w:rsidRPr="00D876C0" w:rsidTr="00D876C0">
        <w:trPr>
          <w:jc w:val="center"/>
        </w:trPr>
        <w:tc>
          <w:tcPr>
            <w:tcW w:w="6771" w:type="dxa"/>
          </w:tcPr>
          <w:p w:rsidR="00C96919" w:rsidRPr="00D876C0" w:rsidRDefault="00C96919" w:rsidP="00C937B8">
            <w:pPr>
              <w:pStyle w:val="NoSpacing"/>
              <w:jc w:val="both"/>
              <w:rPr>
                <w:rFonts w:ascii="Times New Roman" w:hAnsi="Times New Roman"/>
              </w:rPr>
            </w:pPr>
            <w:r w:rsidRPr="00D876C0">
              <w:rPr>
                <w:rFonts w:ascii="Times New Roman" w:eastAsia="Times New Roman" w:hAnsi="Times New Roman"/>
              </w:rPr>
              <w:t>prognozējamās invaliditātes novēršanas pasākumiem</w:t>
            </w:r>
          </w:p>
        </w:tc>
        <w:tc>
          <w:tcPr>
            <w:tcW w:w="1701" w:type="dxa"/>
          </w:tcPr>
          <w:p w:rsidR="00C96919" w:rsidRPr="00D876C0" w:rsidRDefault="00C96919" w:rsidP="001B0CC8">
            <w:pPr>
              <w:pStyle w:val="NoSpacing"/>
              <w:jc w:val="right"/>
              <w:rPr>
                <w:rFonts w:ascii="Times New Roman" w:hAnsi="Times New Roman"/>
              </w:rPr>
            </w:pPr>
            <w:r w:rsidRPr="00D876C0">
              <w:rPr>
                <w:rFonts w:ascii="Times New Roman" w:hAnsi="Times New Roman"/>
              </w:rPr>
              <w:t>704 109</w:t>
            </w:r>
          </w:p>
        </w:tc>
        <w:tc>
          <w:tcPr>
            <w:tcW w:w="1716" w:type="dxa"/>
          </w:tcPr>
          <w:p w:rsidR="00C96919" w:rsidRPr="00D876C0" w:rsidRDefault="00C96919" w:rsidP="001B0CC8">
            <w:pPr>
              <w:pStyle w:val="NoSpacing"/>
              <w:jc w:val="right"/>
              <w:rPr>
                <w:rFonts w:ascii="Times New Roman" w:hAnsi="Times New Roman"/>
              </w:rPr>
            </w:pPr>
            <w:r w:rsidRPr="00D876C0">
              <w:rPr>
                <w:rFonts w:ascii="Times New Roman" w:hAnsi="Times New Roman"/>
              </w:rPr>
              <w:t>704 109</w:t>
            </w:r>
          </w:p>
        </w:tc>
      </w:tr>
      <w:tr w:rsidR="00C96919" w:rsidRPr="00D876C0" w:rsidTr="00D876C0">
        <w:trPr>
          <w:jc w:val="center"/>
        </w:trPr>
        <w:tc>
          <w:tcPr>
            <w:tcW w:w="6771" w:type="dxa"/>
          </w:tcPr>
          <w:p w:rsidR="00C96919" w:rsidRPr="00D876C0" w:rsidRDefault="001B0CC8" w:rsidP="00C937B8">
            <w:pPr>
              <w:pStyle w:val="NoSpacing"/>
              <w:jc w:val="both"/>
              <w:rPr>
                <w:rFonts w:ascii="Times New Roman" w:hAnsi="Times New Roman"/>
              </w:rPr>
            </w:pPr>
            <w:r w:rsidRPr="00D876C0">
              <w:rPr>
                <w:rFonts w:ascii="Times New Roman" w:hAnsi="Times New Roman"/>
              </w:rPr>
              <w:t>d</w:t>
            </w:r>
            <w:r w:rsidR="000E5DE4" w:rsidRPr="00D876C0">
              <w:rPr>
                <w:rFonts w:ascii="Times New Roman" w:hAnsi="Times New Roman"/>
              </w:rPr>
              <w:t>zemdību palīdzības nodrošināšanai, ambulatorajai ārstniecībai paredzēto zāļu kompensācijai, vakcīnu, peritoneālās dialīzes ārstniecības līdzekļu iegādei, Neatliekamās medicīniskās palīdzības dienestam autotransporta remonta materiālu, degvielas iegādei</w:t>
            </w:r>
          </w:p>
        </w:tc>
        <w:tc>
          <w:tcPr>
            <w:tcW w:w="1701" w:type="dxa"/>
          </w:tcPr>
          <w:p w:rsidR="00C96919" w:rsidRPr="00D876C0" w:rsidRDefault="000E5DE4" w:rsidP="001B0CC8">
            <w:pPr>
              <w:pStyle w:val="NoSpacing"/>
              <w:jc w:val="right"/>
              <w:rPr>
                <w:rFonts w:ascii="Times New Roman" w:hAnsi="Times New Roman"/>
              </w:rPr>
            </w:pPr>
            <w:r w:rsidRPr="00D876C0">
              <w:rPr>
                <w:rFonts w:ascii="Times New Roman" w:hAnsi="Times New Roman"/>
              </w:rPr>
              <w:t>8 061 725</w:t>
            </w:r>
          </w:p>
        </w:tc>
        <w:tc>
          <w:tcPr>
            <w:tcW w:w="1716" w:type="dxa"/>
          </w:tcPr>
          <w:p w:rsidR="00C96919" w:rsidRPr="00D876C0" w:rsidRDefault="00676ED2" w:rsidP="001B0CC8">
            <w:pPr>
              <w:pStyle w:val="NoSpacing"/>
              <w:jc w:val="right"/>
              <w:rPr>
                <w:rFonts w:ascii="Times New Roman" w:hAnsi="Times New Roman"/>
              </w:rPr>
            </w:pPr>
            <w:r w:rsidRPr="00D876C0">
              <w:rPr>
                <w:rFonts w:ascii="Times New Roman" w:hAnsi="Times New Roman"/>
              </w:rPr>
              <w:t>3 972 003</w:t>
            </w:r>
          </w:p>
        </w:tc>
      </w:tr>
      <w:tr w:rsidR="000E5DE4" w:rsidRPr="00D876C0" w:rsidTr="00D876C0">
        <w:trPr>
          <w:jc w:val="center"/>
        </w:trPr>
        <w:tc>
          <w:tcPr>
            <w:tcW w:w="6771" w:type="dxa"/>
          </w:tcPr>
          <w:p w:rsidR="000E5DE4" w:rsidRPr="00D876C0" w:rsidRDefault="001B0CC8" w:rsidP="00C937B8">
            <w:pPr>
              <w:pStyle w:val="NoSpacing"/>
              <w:jc w:val="both"/>
              <w:rPr>
                <w:rFonts w:ascii="Times New Roman" w:hAnsi="Times New Roman"/>
              </w:rPr>
            </w:pPr>
            <w:r w:rsidRPr="00D876C0">
              <w:rPr>
                <w:rFonts w:ascii="Times New Roman" w:hAnsi="Times New Roman"/>
              </w:rPr>
              <w:t>s</w:t>
            </w:r>
            <w:r w:rsidR="00676ED2" w:rsidRPr="00D876C0">
              <w:rPr>
                <w:rFonts w:ascii="Times New Roman" w:hAnsi="Times New Roman"/>
              </w:rPr>
              <w:t>tacionārās aprūpes terapeitisko tarifu palielināšanai</w:t>
            </w:r>
          </w:p>
        </w:tc>
        <w:tc>
          <w:tcPr>
            <w:tcW w:w="1701" w:type="dxa"/>
          </w:tcPr>
          <w:p w:rsidR="000E5DE4" w:rsidRPr="00D876C0" w:rsidRDefault="000E5DE4" w:rsidP="001B0CC8">
            <w:pPr>
              <w:pStyle w:val="NoSpacing"/>
              <w:jc w:val="right"/>
              <w:rPr>
                <w:rFonts w:ascii="Times New Roman" w:hAnsi="Times New Roman"/>
              </w:rPr>
            </w:pPr>
            <w:r w:rsidRPr="00D876C0">
              <w:rPr>
                <w:rFonts w:ascii="Times New Roman" w:hAnsi="Times New Roman"/>
              </w:rPr>
              <w:t>9 657 965</w:t>
            </w:r>
          </w:p>
        </w:tc>
        <w:tc>
          <w:tcPr>
            <w:tcW w:w="1716" w:type="dxa"/>
          </w:tcPr>
          <w:p w:rsidR="000E5DE4" w:rsidRPr="00D876C0" w:rsidRDefault="00676ED2" w:rsidP="001B0CC8">
            <w:pPr>
              <w:pStyle w:val="NoSpacing"/>
              <w:jc w:val="right"/>
              <w:rPr>
                <w:rFonts w:ascii="Times New Roman" w:hAnsi="Times New Roman"/>
              </w:rPr>
            </w:pPr>
            <w:r w:rsidRPr="00D876C0">
              <w:rPr>
                <w:rFonts w:ascii="Times New Roman" w:hAnsi="Times New Roman"/>
              </w:rPr>
              <w:t>9 057 965</w:t>
            </w:r>
          </w:p>
        </w:tc>
      </w:tr>
      <w:tr w:rsidR="000E5DE4" w:rsidRPr="00D876C0" w:rsidTr="00D876C0">
        <w:trPr>
          <w:jc w:val="center"/>
        </w:trPr>
        <w:tc>
          <w:tcPr>
            <w:tcW w:w="6771" w:type="dxa"/>
          </w:tcPr>
          <w:p w:rsidR="000E5DE4" w:rsidRPr="00D876C0" w:rsidRDefault="001B0CC8" w:rsidP="00C937B8">
            <w:pPr>
              <w:pStyle w:val="NoSpacing"/>
              <w:jc w:val="both"/>
              <w:rPr>
                <w:rFonts w:ascii="Times New Roman" w:hAnsi="Times New Roman"/>
              </w:rPr>
            </w:pPr>
            <w:r w:rsidRPr="00D876C0">
              <w:rPr>
                <w:rFonts w:ascii="Times New Roman" w:hAnsi="Times New Roman"/>
              </w:rPr>
              <w:t>r</w:t>
            </w:r>
            <w:r w:rsidR="00676ED2" w:rsidRPr="00D876C0">
              <w:rPr>
                <w:rFonts w:ascii="Times New Roman" w:hAnsi="Times New Roman"/>
              </w:rPr>
              <w:t>indu samazināšanai invazīvajai kardioloģijai, mikroķirurģijai pieaugušajiem un izgulējumu ārstēšanai</w:t>
            </w:r>
          </w:p>
        </w:tc>
        <w:tc>
          <w:tcPr>
            <w:tcW w:w="1701" w:type="dxa"/>
          </w:tcPr>
          <w:p w:rsidR="000E5DE4" w:rsidRPr="00D876C0" w:rsidRDefault="00676ED2" w:rsidP="001B0CC8">
            <w:pPr>
              <w:pStyle w:val="NoSpacing"/>
              <w:jc w:val="right"/>
              <w:rPr>
                <w:rFonts w:ascii="Times New Roman" w:hAnsi="Times New Roman"/>
              </w:rPr>
            </w:pPr>
            <w:r w:rsidRPr="00D876C0">
              <w:rPr>
                <w:rFonts w:ascii="Times New Roman" w:hAnsi="Times New Roman"/>
              </w:rPr>
              <w:t>0</w:t>
            </w:r>
          </w:p>
        </w:tc>
        <w:tc>
          <w:tcPr>
            <w:tcW w:w="1716" w:type="dxa"/>
          </w:tcPr>
          <w:p w:rsidR="000E5DE4" w:rsidRPr="00D876C0" w:rsidRDefault="00676ED2" w:rsidP="001B0CC8">
            <w:pPr>
              <w:pStyle w:val="NoSpacing"/>
              <w:jc w:val="right"/>
              <w:rPr>
                <w:rFonts w:ascii="Times New Roman" w:hAnsi="Times New Roman"/>
              </w:rPr>
            </w:pPr>
            <w:r w:rsidRPr="00D876C0">
              <w:rPr>
                <w:rFonts w:ascii="Times New Roman" w:hAnsi="Times New Roman"/>
              </w:rPr>
              <w:t>708 162</w:t>
            </w:r>
          </w:p>
        </w:tc>
      </w:tr>
      <w:tr w:rsidR="000E5DE4" w:rsidRPr="00D876C0" w:rsidTr="00D876C0">
        <w:trPr>
          <w:jc w:val="center"/>
        </w:trPr>
        <w:tc>
          <w:tcPr>
            <w:tcW w:w="6771" w:type="dxa"/>
          </w:tcPr>
          <w:p w:rsidR="000E5DE4" w:rsidRPr="00D876C0" w:rsidRDefault="001B0CC8" w:rsidP="00C937B8">
            <w:pPr>
              <w:pStyle w:val="NoSpacing"/>
              <w:jc w:val="both"/>
              <w:rPr>
                <w:rFonts w:ascii="Times New Roman" w:hAnsi="Times New Roman"/>
              </w:rPr>
            </w:pPr>
            <w:r w:rsidRPr="00D876C0">
              <w:rPr>
                <w:rFonts w:ascii="Times New Roman" w:hAnsi="Times New Roman"/>
              </w:rPr>
              <w:lastRenderedPageBreak/>
              <w:t>f</w:t>
            </w:r>
            <w:r w:rsidR="00676ED2" w:rsidRPr="00D876C0">
              <w:rPr>
                <w:rFonts w:ascii="Times New Roman" w:hAnsi="Times New Roman"/>
              </w:rPr>
              <w:t>eldšerpunktu darbības nodrošināšanai</w:t>
            </w:r>
          </w:p>
        </w:tc>
        <w:tc>
          <w:tcPr>
            <w:tcW w:w="1701" w:type="dxa"/>
          </w:tcPr>
          <w:p w:rsidR="000E5DE4" w:rsidRPr="00D876C0" w:rsidRDefault="00676ED2" w:rsidP="001B0CC8">
            <w:pPr>
              <w:pStyle w:val="NoSpacing"/>
              <w:jc w:val="right"/>
              <w:rPr>
                <w:rFonts w:ascii="Times New Roman" w:hAnsi="Times New Roman"/>
              </w:rPr>
            </w:pPr>
            <w:r w:rsidRPr="00D876C0">
              <w:rPr>
                <w:rFonts w:ascii="Times New Roman" w:hAnsi="Times New Roman"/>
              </w:rPr>
              <w:t>0</w:t>
            </w:r>
          </w:p>
        </w:tc>
        <w:tc>
          <w:tcPr>
            <w:tcW w:w="1716" w:type="dxa"/>
          </w:tcPr>
          <w:p w:rsidR="000E5DE4" w:rsidRPr="00D876C0" w:rsidRDefault="00676ED2" w:rsidP="001B0CC8">
            <w:pPr>
              <w:pStyle w:val="NoSpacing"/>
              <w:jc w:val="right"/>
              <w:rPr>
                <w:rFonts w:ascii="Times New Roman" w:hAnsi="Times New Roman"/>
              </w:rPr>
            </w:pPr>
            <w:r w:rsidRPr="00D876C0">
              <w:rPr>
                <w:rFonts w:ascii="Times New Roman" w:hAnsi="Times New Roman"/>
              </w:rPr>
              <w:t>747 484</w:t>
            </w:r>
          </w:p>
        </w:tc>
      </w:tr>
      <w:tr w:rsidR="00D876C0" w:rsidRPr="00D876C0" w:rsidTr="00D876C0">
        <w:trPr>
          <w:jc w:val="center"/>
        </w:trPr>
        <w:tc>
          <w:tcPr>
            <w:tcW w:w="6771" w:type="dxa"/>
          </w:tcPr>
          <w:p w:rsidR="00D876C0" w:rsidRPr="00D876C0" w:rsidRDefault="00D876C0" w:rsidP="00C937B8">
            <w:pPr>
              <w:pStyle w:val="NoSpacing"/>
              <w:jc w:val="both"/>
              <w:rPr>
                <w:rFonts w:ascii="Times New Roman" w:hAnsi="Times New Roman"/>
              </w:rPr>
            </w:pPr>
            <w:r>
              <w:rPr>
                <w:rFonts w:ascii="Times New Roman" w:hAnsi="Times New Roman"/>
              </w:rPr>
              <w:t>endoprotezēšanas operācijām</w:t>
            </w:r>
          </w:p>
        </w:tc>
        <w:tc>
          <w:tcPr>
            <w:tcW w:w="1701" w:type="dxa"/>
          </w:tcPr>
          <w:p w:rsidR="00D876C0" w:rsidRPr="00D876C0" w:rsidRDefault="00D876C0" w:rsidP="001B0CC8">
            <w:pPr>
              <w:pStyle w:val="NoSpacing"/>
              <w:jc w:val="right"/>
              <w:rPr>
                <w:rFonts w:ascii="Times New Roman" w:hAnsi="Times New Roman"/>
              </w:rPr>
            </w:pPr>
            <w:r>
              <w:rPr>
                <w:rFonts w:ascii="Times New Roman" w:hAnsi="Times New Roman"/>
              </w:rPr>
              <w:t>897 107</w:t>
            </w:r>
          </w:p>
        </w:tc>
        <w:tc>
          <w:tcPr>
            <w:tcW w:w="1716" w:type="dxa"/>
          </w:tcPr>
          <w:p w:rsidR="00D876C0" w:rsidRPr="00D876C0" w:rsidRDefault="00D876C0" w:rsidP="001B0CC8">
            <w:pPr>
              <w:pStyle w:val="NoSpacing"/>
              <w:jc w:val="right"/>
              <w:rPr>
                <w:rFonts w:ascii="Times New Roman" w:hAnsi="Times New Roman"/>
              </w:rPr>
            </w:pPr>
            <w:r>
              <w:rPr>
                <w:rFonts w:ascii="Times New Roman" w:hAnsi="Times New Roman"/>
              </w:rPr>
              <w:t>0</w:t>
            </w:r>
          </w:p>
        </w:tc>
      </w:tr>
      <w:tr w:rsidR="003664C4" w:rsidRPr="00D876C0" w:rsidTr="00D876C0">
        <w:trPr>
          <w:jc w:val="center"/>
        </w:trPr>
        <w:tc>
          <w:tcPr>
            <w:tcW w:w="6771" w:type="dxa"/>
          </w:tcPr>
          <w:p w:rsidR="003664C4" w:rsidRDefault="003664C4" w:rsidP="00C937B8">
            <w:pPr>
              <w:pStyle w:val="NoSpacing"/>
              <w:jc w:val="both"/>
              <w:rPr>
                <w:rFonts w:ascii="Times New Roman" w:hAnsi="Times New Roman"/>
              </w:rPr>
            </w:pPr>
            <w:r>
              <w:rPr>
                <w:rFonts w:ascii="Times New Roman" w:hAnsi="Times New Roman"/>
              </w:rPr>
              <w:t xml:space="preserve">VSIA „Paula Stradiņa Klīniskā universitātes slimnīca” ieguldīšanai pamatkapitālā </w:t>
            </w:r>
          </w:p>
        </w:tc>
        <w:tc>
          <w:tcPr>
            <w:tcW w:w="1701" w:type="dxa"/>
          </w:tcPr>
          <w:p w:rsidR="003664C4" w:rsidRDefault="00305F7F" w:rsidP="001B0CC8">
            <w:pPr>
              <w:pStyle w:val="NoSpacing"/>
              <w:jc w:val="right"/>
              <w:rPr>
                <w:rFonts w:ascii="Times New Roman" w:hAnsi="Times New Roman"/>
              </w:rPr>
            </w:pPr>
            <w:r>
              <w:rPr>
                <w:rFonts w:ascii="Times New Roman" w:hAnsi="Times New Roman"/>
              </w:rPr>
              <w:t>10 000 000</w:t>
            </w:r>
          </w:p>
        </w:tc>
        <w:tc>
          <w:tcPr>
            <w:tcW w:w="1716" w:type="dxa"/>
          </w:tcPr>
          <w:p w:rsidR="003664C4" w:rsidRDefault="00305F7F" w:rsidP="001B0CC8">
            <w:pPr>
              <w:pStyle w:val="NoSpacing"/>
              <w:jc w:val="right"/>
              <w:rPr>
                <w:rFonts w:ascii="Times New Roman" w:hAnsi="Times New Roman"/>
              </w:rPr>
            </w:pPr>
            <w:r>
              <w:rPr>
                <w:rFonts w:ascii="Times New Roman" w:hAnsi="Times New Roman"/>
              </w:rPr>
              <w:t>0</w:t>
            </w:r>
          </w:p>
        </w:tc>
      </w:tr>
      <w:tr w:rsidR="003664C4" w:rsidRPr="00D876C0" w:rsidTr="00D876C0">
        <w:trPr>
          <w:jc w:val="center"/>
        </w:trPr>
        <w:tc>
          <w:tcPr>
            <w:tcW w:w="6771" w:type="dxa"/>
          </w:tcPr>
          <w:p w:rsidR="003664C4" w:rsidRDefault="00305F7F" w:rsidP="00C937B8">
            <w:pPr>
              <w:pStyle w:val="NoSpacing"/>
              <w:jc w:val="both"/>
              <w:rPr>
                <w:rFonts w:ascii="Times New Roman" w:hAnsi="Times New Roman"/>
              </w:rPr>
            </w:pPr>
            <w:r>
              <w:rPr>
                <w:rFonts w:ascii="Times New Roman" w:hAnsi="Times New Roman"/>
              </w:rPr>
              <w:t xml:space="preserve">VSIA „Rīgas Austrumu klīniskā universitātes slimnīca” ieguldīšanai pamatkapitālā </w:t>
            </w:r>
          </w:p>
        </w:tc>
        <w:tc>
          <w:tcPr>
            <w:tcW w:w="1701" w:type="dxa"/>
          </w:tcPr>
          <w:p w:rsidR="003664C4" w:rsidRDefault="00305F7F" w:rsidP="001B0CC8">
            <w:pPr>
              <w:pStyle w:val="NoSpacing"/>
              <w:jc w:val="right"/>
              <w:rPr>
                <w:rFonts w:ascii="Times New Roman" w:hAnsi="Times New Roman"/>
              </w:rPr>
            </w:pPr>
            <w:r>
              <w:rPr>
                <w:rFonts w:ascii="Times New Roman" w:hAnsi="Times New Roman"/>
              </w:rPr>
              <w:t>2 558 104</w:t>
            </w:r>
          </w:p>
        </w:tc>
        <w:tc>
          <w:tcPr>
            <w:tcW w:w="1716" w:type="dxa"/>
          </w:tcPr>
          <w:p w:rsidR="003664C4" w:rsidRDefault="00305F7F" w:rsidP="001B0CC8">
            <w:pPr>
              <w:pStyle w:val="NoSpacing"/>
              <w:jc w:val="right"/>
              <w:rPr>
                <w:rFonts w:ascii="Times New Roman" w:hAnsi="Times New Roman"/>
              </w:rPr>
            </w:pPr>
            <w:r>
              <w:rPr>
                <w:rFonts w:ascii="Times New Roman" w:hAnsi="Times New Roman"/>
              </w:rPr>
              <w:t>0</w:t>
            </w:r>
          </w:p>
        </w:tc>
      </w:tr>
      <w:tr w:rsidR="003664C4" w:rsidRPr="00D876C0" w:rsidTr="00D876C0">
        <w:trPr>
          <w:jc w:val="center"/>
        </w:trPr>
        <w:tc>
          <w:tcPr>
            <w:tcW w:w="6771" w:type="dxa"/>
          </w:tcPr>
          <w:p w:rsidR="003664C4" w:rsidRDefault="00305F7F" w:rsidP="00C937B8">
            <w:pPr>
              <w:pStyle w:val="NoSpacing"/>
              <w:jc w:val="both"/>
              <w:rPr>
                <w:rFonts w:ascii="Times New Roman" w:hAnsi="Times New Roman"/>
              </w:rPr>
            </w:pPr>
            <w:r>
              <w:rPr>
                <w:rFonts w:ascii="Times New Roman" w:hAnsi="Times New Roman"/>
              </w:rPr>
              <w:t>Veselības ministrijas padotībā esošo valsts pārvaldes iestāžu maksas pakalpojumu un citu pašu ieņēmumu naudas līdzekļu atlikuma novirzīšana izdevumu segšanai</w:t>
            </w:r>
          </w:p>
        </w:tc>
        <w:tc>
          <w:tcPr>
            <w:tcW w:w="1701" w:type="dxa"/>
          </w:tcPr>
          <w:p w:rsidR="003664C4" w:rsidRDefault="00305F7F" w:rsidP="001B0CC8">
            <w:pPr>
              <w:pStyle w:val="NoSpacing"/>
              <w:jc w:val="right"/>
              <w:rPr>
                <w:rFonts w:ascii="Times New Roman" w:hAnsi="Times New Roman"/>
              </w:rPr>
            </w:pPr>
            <w:r>
              <w:rPr>
                <w:rFonts w:ascii="Times New Roman" w:hAnsi="Times New Roman"/>
              </w:rPr>
              <w:t>2 728 120</w:t>
            </w:r>
          </w:p>
        </w:tc>
        <w:tc>
          <w:tcPr>
            <w:tcW w:w="1716" w:type="dxa"/>
          </w:tcPr>
          <w:p w:rsidR="003664C4" w:rsidRDefault="00305F7F" w:rsidP="001B0CC8">
            <w:pPr>
              <w:pStyle w:val="NoSpacing"/>
              <w:jc w:val="right"/>
              <w:rPr>
                <w:rFonts w:ascii="Times New Roman" w:hAnsi="Times New Roman"/>
              </w:rPr>
            </w:pPr>
            <w:r>
              <w:rPr>
                <w:rFonts w:ascii="Times New Roman" w:hAnsi="Times New Roman"/>
              </w:rPr>
              <w:t>0</w:t>
            </w:r>
          </w:p>
        </w:tc>
      </w:tr>
      <w:tr w:rsidR="00676ED2" w:rsidRPr="00D876C0" w:rsidTr="00D876C0">
        <w:trPr>
          <w:jc w:val="center"/>
        </w:trPr>
        <w:tc>
          <w:tcPr>
            <w:tcW w:w="6771" w:type="dxa"/>
          </w:tcPr>
          <w:p w:rsidR="00676ED2" w:rsidRPr="00D876C0" w:rsidRDefault="00676ED2" w:rsidP="00676ED2">
            <w:pPr>
              <w:pStyle w:val="NoSpacing"/>
              <w:jc w:val="right"/>
              <w:rPr>
                <w:rFonts w:ascii="Times New Roman" w:hAnsi="Times New Roman"/>
              </w:rPr>
            </w:pPr>
            <w:r w:rsidRPr="00D876C0">
              <w:rPr>
                <w:rFonts w:ascii="Times New Roman" w:hAnsi="Times New Roman"/>
              </w:rPr>
              <w:t>Kopā:</w:t>
            </w:r>
          </w:p>
        </w:tc>
        <w:tc>
          <w:tcPr>
            <w:tcW w:w="1701" w:type="dxa"/>
          </w:tcPr>
          <w:p w:rsidR="00676ED2" w:rsidRPr="00D876C0" w:rsidRDefault="00305F7F" w:rsidP="00D876C0">
            <w:pPr>
              <w:pStyle w:val="NoSpacing"/>
              <w:jc w:val="right"/>
              <w:rPr>
                <w:rFonts w:ascii="Times New Roman" w:hAnsi="Times New Roman"/>
                <w:b/>
              </w:rPr>
            </w:pPr>
            <w:r>
              <w:rPr>
                <w:rFonts w:ascii="Times New Roman" w:hAnsi="Times New Roman"/>
                <w:b/>
              </w:rPr>
              <w:t>52 541 227</w:t>
            </w:r>
          </w:p>
        </w:tc>
        <w:tc>
          <w:tcPr>
            <w:tcW w:w="1716" w:type="dxa"/>
          </w:tcPr>
          <w:p w:rsidR="00676ED2" w:rsidRPr="00D876C0" w:rsidRDefault="00071C55" w:rsidP="001B0CC8">
            <w:pPr>
              <w:pStyle w:val="NoSpacing"/>
              <w:jc w:val="right"/>
              <w:rPr>
                <w:rFonts w:ascii="Times New Roman" w:hAnsi="Times New Roman"/>
                <w:b/>
              </w:rPr>
            </w:pPr>
            <w:r>
              <w:rPr>
                <w:rFonts w:ascii="Times New Roman" w:hAnsi="Times New Roman"/>
                <w:b/>
              </w:rPr>
              <w:t>30 535 660</w:t>
            </w:r>
          </w:p>
        </w:tc>
      </w:tr>
    </w:tbl>
    <w:p w:rsidR="00D876C0" w:rsidRDefault="00C55113" w:rsidP="00D876C0">
      <w:pPr>
        <w:pStyle w:val="NoSpacing"/>
        <w:jc w:val="both"/>
        <w:rPr>
          <w:rFonts w:ascii="Times New Roman" w:hAnsi="Times New Roman"/>
          <w:b/>
          <w:sz w:val="24"/>
          <w:szCs w:val="24"/>
        </w:rPr>
      </w:pPr>
      <w:r>
        <w:rPr>
          <w:rFonts w:ascii="Times New Roman" w:hAnsi="Times New Roman"/>
          <w:i/>
          <w:sz w:val="20"/>
          <w:szCs w:val="20"/>
        </w:rPr>
        <w:t xml:space="preserve">       </w:t>
      </w:r>
      <w:r w:rsidRPr="002040D7">
        <w:rPr>
          <w:rFonts w:ascii="Times New Roman" w:hAnsi="Times New Roman"/>
          <w:i/>
          <w:sz w:val="20"/>
          <w:szCs w:val="20"/>
        </w:rPr>
        <w:t xml:space="preserve">Avots: Veselības ministrija    </w:t>
      </w:r>
      <w:r>
        <w:rPr>
          <w:rFonts w:ascii="Times New Roman" w:hAnsi="Times New Roman"/>
          <w:i/>
          <w:sz w:val="20"/>
          <w:szCs w:val="20"/>
        </w:rPr>
        <w:t xml:space="preserve">   </w:t>
      </w:r>
    </w:p>
    <w:p w:rsidR="00D876C0" w:rsidRDefault="00253D5B" w:rsidP="00772859">
      <w:pPr>
        <w:pStyle w:val="NoSpacing"/>
        <w:spacing w:before="120"/>
        <w:jc w:val="both"/>
        <w:rPr>
          <w:rFonts w:ascii="Times New Roman" w:hAnsi="Times New Roman"/>
          <w:sz w:val="24"/>
          <w:szCs w:val="24"/>
        </w:rPr>
      </w:pPr>
      <w:r>
        <w:rPr>
          <w:sz w:val="28"/>
          <w:szCs w:val="28"/>
        </w:rPr>
        <w:tab/>
      </w:r>
      <w:r w:rsidR="00772859" w:rsidRPr="00253D5B">
        <w:rPr>
          <w:rFonts w:ascii="Times New Roman" w:hAnsi="Times New Roman"/>
          <w:sz w:val="24"/>
          <w:szCs w:val="24"/>
        </w:rPr>
        <w:t>Veselības nozares valsts budžeta finansējums ir nepietiekams – pēc Pasaules Veselības organizācijas datiem 2009.gadā vidējais finansējums uz vienu iedzīvotāju Latvijā bija 454 ASV dolāri, kas bija trešais zemākais rādītājs E</w:t>
      </w:r>
      <w:r w:rsidR="00772859">
        <w:rPr>
          <w:rFonts w:ascii="Times New Roman" w:hAnsi="Times New Roman"/>
          <w:sz w:val="24"/>
          <w:szCs w:val="24"/>
        </w:rPr>
        <w:t>iropas Savienībā</w:t>
      </w:r>
      <w:r w:rsidR="00772859" w:rsidRPr="00253D5B">
        <w:rPr>
          <w:rFonts w:ascii="Times New Roman" w:hAnsi="Times New Roman"/>
          <w:sz w:val="24"/>
          <w:szCs w:val="24"/>
        </w:rPr>
        <w:t>. Piemēram, Igaunijā šis rādītājs bija 758 ASV dolāri, savukārt</w:t>
      </w:r>
      <w:r w:rsidR="00772859">
        <w:rPr>
          <w:rFonts w:ascii="Times New Roman" w:hAnsi="Times New Roman"/>
          <w:sz w:val="24"/>
          <w:szCs w:val="24"/>
        </w:rPr>
        <w:t>,</w:t>
      </w:r>
      <w:r w:rsidR="00772859" w:rsidRPr="00253D5B">
        <w:rPr>
          <w:rFonts w:ascii="Times New Roman" w:hAnsi="Times New Roman"/>
          <w:sz w:val="24"/>
          <w:szCs w:val="24"/>
        </w:rPr>
        <w:t xml:space="preserve"> vidējais rādītājs E</w:t>
      </w:r>
      <w:r w:rsidR="00772859">
        <w:rPr>
          <w:rFonts w:ascii="Times New Roman" w:hAnsi="Times New Roman"/>
          <w:sz w:val="24"/>
          <w:szCs w:val="24"/>
        </w:rPr>
        <w:t>iropas Savienībā</w:t>
      </w:r>
      <w:r w:rsidR="00772859" w:rsidRPr="00253D5B">
        <w:rPr>
          <w:rFonts w:ascii="Times New Roman" w:hAnsi="Times New Roman"/>
          <w:sz w:val="24"/>
          <w:szCs w:val="24"/>
        </w:rPr>
        <w:t xml:space="preserve"> bija 2 566 ASV dolāri uz vienu iedzīvotāju. </w:t>
      </w:r>
      <w:r w:rsidR="00772859">
        <w:rPr>
          <w:rFonts w:ascii="Times New Roman" w:hAnsi="Times New Roman"/>
          <w:bCs/>
          <w:sz w:val="24"/>
          <w:szCs w:val="24"/>
        </w:rPr>
        <w:t xml:space="preserve"> Jāatzīmē, ka Latvijā veiktā finansējuma samazināšana veselības aprūpei un ilgstoša finasējuma nepalielināšana (procentuāli no kopējiem valdības izdevumiem) arī pirms krīzes periodā</w:t>
      </w:r>
      <w:r w:rsidR="00772859" w:rsidRPr="00253D5B">
        <w:rPr>
          <w:rFonts w:ascii="Times New Roman" w:hAnsi="Times New Roman"/>
          <w:bCs/>
          <w:sz w:val="24"/>
          <w:szCs w:val="24"/>
        </w:rPr>
        <w:t xml:space="preserve"> </w:t>
      </w:r>
      <w:r w:rsidR="00772859">
        <w:rPr>
          <w:rFonts w:ascii="Times New Roman" w:hAnsi="Times New Roman"/>
          <w:bCs/>
          <w:sz w:val="24"/>
          <w:szCs w:val="24"/>
        </w:rPr>
        <w:t xml:space="preserve">ir </w:t>
      </w:r>
      <w:r w:rsidR="00772859" w:rsidRPr="00253D5B">
        <w:rPr>
          <w:rFonts w:ascii="Times New Roman" w:hAnsi="Times New Roman"/>
          <w:bCs/>
          <w:sz w:val="24"/>
          <w:szCs w:val="24"/>
        </w:rPr>
        <w:t>pretēj</w:t>
      </w:r>
      <w:r w:rsidR="00772859">
        <w:rPr>
          <w:rFonts w:ascii="Times New Roman" w:hAnsi="Times New Roman"/>
          <w:bCs/>
          <w:sz w:val="24"/>
          <w:szCs w:val="24"/>
        </w:rPr>
        <w:t>a</w:t>
      </w:r>
      <w:r w:rsidR="00772859" w:rsidRPr="00253D5B">
        <w:rPr>
          <w:rFonts w:ascii="Times New Roman" w:hAnsi="Times New Roman"/>
          <w:bCs/>
          <w:sz w:val="24"/>
          <w:szCs w:val="24"/>
        </w:rPr>
        <w:t xml:space="preserve"> citās </w:t>
      </w:r>
      <w:r w:rsidR="00772859" w:rsidRPr="00253D5B">
        <w:rPr>
          <w:rFonts w:ascii="Times New Roman" w:hAnsi="Times New Roman"/>
          <w:sz w:val="24"/>
          <w:szCs w:val="24"/>
        </w:rPr>
        <w:t>E</w:t>
      </w:r>
      <w:r w:rsidR="00772859">
        <w:rPr>
          <w:rFonts w:ascii="Times New Roman" w:hAnsi="Times New Roman"/>
          <w:sz w:val="24"/>
          <w:szCs w:val="24"/>
        </w:rPr>
        <w:t>iropas Savienības</w:t>
      </w:r>
      <w:r w:rsidR="00772859" w:rsidRPr="00253D5B">
        <w:rPr>
          <w:rFonts w:ascii="Times New Roman" w:hAnsi="Times New Roman"/>
          <w:bCs/>
          <w:sz w:val="24"/>
          <w:szCs w:val="24"/>
        </w:rPr>
        <w:t xml:space="preserve"> valstīs veiktajiem pasākumiem veselības nozares finansējumā, kur tas ir saglabāts aptuveni iepriekšējo gadu līmenī</w:t>
      </w:r>
      <w:r w:rsidR="00772859">
        <w:rPr>
          <w:rFonts w:ascii="Times New Roman" w:hAnsi="Times New Roman"/>
          <w:bCs/>
          <w:sz w:val="24"/>
          <w:szCs w:val="24"/>
        </w:rPr>
        <w:t xml:space="preserve"> vai pirmskrīzes periodā palielināts</w:t>
      </w:r>
      <w:r w:rsidR="00772859" w:rsidRPr="00253D5B">
        <w:rPr>
          <w:rFonts w:ascii="Times New Roman" w:hAnsi="Times New Roman"/>
          <w:bCs/>
          <w:sz w:val="24"/>
          <w:szCs w:val="24"/>
        </w:rPr>
        <w:t xml:space="preserve">. </w:t>
      </w:r>
      <w:r w:rsidR="00772859" w:rsidRPr="00253D5B">
        <w:rPr>
          <w:rFonts w:ascii="Times New Roman" w:hAnsi="Times New Roman"/>
          <w:sz w:val="24"/>
          <w:szCs w:val="24"/>
        </w:rPr>
        <w:t xml:space="preserve">Lai risinātu identificēto problēmu, ka valsts budžeta finansējums nesedz veselības aprūpes pakalpojumu faktiskās izmaksas, un lai pakāpeniski </w:t>
      </w:r>
      <w:r w:rsidR="00772859">
        <w:rPr>
          <w:rFonts w:ascii="Times New Roman" w:hAnsi="Times New Roman"/>
          <w:sz w:val="24"/>
          <w:szCs w:val="24"/>
        </w:rPr>
        <w:t>palielinātu</w:t>
      </w:r>
      <w:r w:rsidR="00772859" w:rsidRPr="00253D5B">
        <w:rPr>
          <w:rFonts w:ascii="Times New Roman" w:hAnsi="Times New Roman"/>
          <w:sz w:val="24"/>
          <w:szCs w:val="24"/>
        </w:rPr>
        <w:t xml:space="preserve"> veselības aprūpes finansējum</w:t>
      </w:r>
      <w:r w:rsidR="00772859">
        <w:rPr>
          <w:rFonts w:ascii="Times New Roman" w:hAnsi="Times New Roman"/>
          <w:sz w:val="24"/>
          <w:szCs w:val="24"/>
        </w:rPr>
        <w:t xml:space="preserve">u, </w:t>
      </w:r>
      <w:r w:rsidR="00772859" w:rsidRPr="00253D5B">
        <w:rPr>
          <w:rFonts w:ascii="Times New Roman" w:hAnsi="Times New Roman"/>
          <w:sz w:val="24"/>
          <w:szCs w:val="24"/>
        </w:rPr>
        <w:t xml:space="preserve">balstoties uz galvenajiem makroekonomiskajiem rādītājiem un to prognozi, </w:t>
      </w:r>
      <w:r w:rsidR="00772859">
        <w:rPr>
          <w:rFonts w:ascii="Times New Roman" w:hAnsi="Times New Roman"/>
          <w:sz w:val="24"/>
          <w:szCs w:val="24"/>
        </w:rPr>
        <w:t>Ministru kabineta Koncepcijas projektā par veselības aprūpes sistēmas finansēšanas modeli</w:t>
      </w:r>
      <w:r w:rsidR="00772859" w:rsidRPr="00253D5B">
        <w:rPr>
          <w:rFonts w:ascii="Times New Roman" w:hAnsi="Times New Roman"/>
          <w:sz w:val="24"/>
          <w:szCs w:val="24"/>
        </w:rPr>
        <w:t xml:space="preserve"> ir sagatavota veselības aprūpes budžeta sasniedzamo finansiālo rā</w:t>
      </w:r>
      <w:r w:rsidR="00772859">
        <w:rPr>
          <w:rFonts w:ascii="Times New Roman" w:hAnsi="Times New Roman"/>
          <w:sz w:val="24"/>
          <w:szCs w:val="24"/>
        </w:rPr>
        <w:t>dītāju prognoze līdz 2020.gadam,</w:t>
      </w:r>
      <w:r w:rsidR="00772859" w:rsidRPr="00253D5B">
        <w:rPr>
          <w:rFonts w:ascii="Times New Roman" w:hAnsi="Times New Roman"/>
          <w:sz w:val="24"/>
          <w:szCs w:val="24"/>
        </w:rPr>
        <w:t xml:space="preserve"> sasniedzot veselības aprūpes valsts budžetu 4,5% apmērā no IKP</w:t>
      </w:r>
      <w:r w:rsidR="00772859">
        <w:rPr>
          <w:rFonts w:ascii="Times New Roman" w:hAnsi="Times New Roman"/>
          <w:sz w:val="24"/>
          <w:szCs w:val="24"/>
        </w:rPr>
        <w:t>. Statistikas datus par finansējuma % no IKP periodā</w:t>
      </w:r>
      <w:r w:rsidR="00422872">
        <w:rPr>
          <w:rFonts w:ascii="Times New Roman" w:hAnsi="Times New Roman"/>
          <w:sz w:val="24"/>
          <w:szCs w:val="24"/>
        </w:rPr>
        <w:t xml:space="preserve"> 2003.-2013.gads (skat. 3.att.)</w:t>
      </w:r>
      <w:r w:rsidR="00B37B06">
        <w:rPr>
          <w:rFonts w:ascii="Times New Roman" w:hAnsi="Times New Roman"/>
          <w:sz w:val="24"/>
          <w:szCs w:val="24"/>
        </w:rPr>
        <w:t>.</w:t>
      </w:r>
    </w:p>
    <w:p w:rsidR="00422872" w:rsidRPr="00422872" w:rsidRDefault="00422872" w:rsidP="00422872">
      <w:pPr>
        <w:spacing w:after="0" w:line="240" w:lineRule="auto"/>
        <w:ind w:firstLine="720"/>
        <w:jc w:val="right"/>
        <w:rPr>
          <w:rFonts w:ascii="Times New Roman" w:hAnsi="Times New Roman" w:cs="Times New Roman"/>
          <w:sz w:val="24"/>
          <w:szCs w:val="24"/>
          <w:lang w:val="lv-LV"/>
        </w:rPr>
      </w:pPr>
      <w:r>
        <w:rPr>
          <w:rFonts w:ascii="Times New Roman" w:hAnsi="Times New Roman" w:cs="Times New Roman"/>
          <w:sz w:val="24"/>
          <w:szCs w:val="24"/>
          <w:lang w:val="lv-LV"/>
        </w:rPr>
        <w:t>3</w:t>
      </w:r>
      <w:r w:rsidRPr="004D6C02">
        <w:rPr>
          <w:rFonts w:ascii="Times New Roman" w:hAnsi="Times New Roman" w:cs="Times New Roman"/>
          <w:sz w:val="24"/>
          <w:szCs w:val="24"/>
          <w:lang w:val="lv-LV"/>
        </w:rPr>
        <w:t>.attēls</w:t>
      </w:r>
    </w:p>
    <w:tbl>
      <w:tblPr>
        <w:tblW w:w="10065" w:type="dxa"/>
        <w:tblInd w:w="108" w:type="dxa"/>
        <w:tblLayout w:type="fixed"/>
        <w:tblLook w:val="04A0"/>
      </w:tblPr>
      <w:tblGrid>
        <w:gridCol w:w="1596"/>
        <w:gridCol w:w="737"/>
        <w:gridCol w:w="737"/>
        <w:gridCol w:w="704"/>
        <w:gridCol w:w="744"/>
        <w:gridCol w:w="727"/>
        <w:gridCol w:w="70"/>
        <w:gridCol w:w="236"/>
        <w:gridCol w:w="469"/>
        <w:gridCol w:w="804"/>
        <w:gridCol w:w="832"/>
        <w:gridCol w:w="832"/>
        <w:gridCol w:w="726"/>
        <w:gridCol w:w="851"/>
      </w:tblGrid>
      <w:tr w:rsidR="00397660" w:rsidRPr="00397660" w:rsidTr="005D2B8F">
        <w:trPr>
          <w:trHeight w:val="347"/>
        </w:trPr>
        <w:tc>
          <w:tcPr>
            <w:tcW w:w="10065" w:type="dxa"/>
            <w:gridSpan w:val="14"/>
            <w:tcBorders>
              <w:top w:val="nil"/>
              <w:left w:val="nil"/>
              <w:bottom w:val="nil"/>
              <w:right w:val="nil"/>
            </w:tcBorders>
            <w:shd w:val="clear" w:color="auto" w:fill="auto"/>
            <w:noWrap/>
            <w:vAlign w:val="bottom"/>
            <w:hideMark/>
          </w:tcPr>
          <w:p w:rsidR="00397660" w:rsidRPr="005D2B8F" w:rsidRDefault="00397660" w:rsidP="00397660">
            <w:pPr>
              <w:spacing w:after="0" w:line="240" w:lineRule="auto"/>
              <w:jc w:val="center"/>
              <w:rPr>
                <w:rFonts w:ascii="Times New Roman" w:eastAsia="Times New Roman" w:hAnsi="Times New Roman" w:cs="Times New Roman"/>
                <w:b/>
                <w:bCs/>
                <w:sz w:val="24"/>
                <w:szCs w:val="24"/>
              </w:rPr>
            </w:pPr>
            <w:r w:rsidRPr="005D2B8F">
              <w:rPr>
                <w:rFonts w:ascii="Times New Roman" w:eastAsia="Times New Roman" w:hAnsi="Times New Roman" w:cs="Times New Roman"/>
                <w:b/>
                <w:bCs/>
                <w:sz w:val="24"/>
                <w:szCs w:val="24"/>
              </w:rPr>
              <w:t>Veselības nozares budžeta izdevumi 2003.-2013.gadā</w:t>
            </w:r>
          </w:p>
        </w:tc>
      </w:tr>
      <w:tr w:rsidR="00397660" w:rsidRPr="00397660" w:rsidTr="005D2B8F">
        <w:trPr>
          <w:trHeight w:val="257"/>
        </w:trPr>
        <w:tc>
          <w:tcPr>
            <w:tcW w:w="1596" w:type="dxa"/>
            <w:tcBorders>
              <w:top w:val="nil"/>
              <w:left w:val="nil"/>
              <w:bottom w:val="nil"/>
              <w:right w:val="nil"/>
            </w:tcBorders>
            <w:shd w:val="clear" w:color="auto" w:fill="auto"/>
            <w:noWrap/>
            <w:vAlign w:val="bottom"/>
            <w:hideMark/>
          </w:tcPr>
          <w:p w:rsidR="00397660" w:rsidRPr="00397660" w:rsidRDefault="00397660" w:rsidP="00397660">
            <w:pPr>
              <w:spacing w:after="0" w:line="240" w:lineRule="auto"/>
              <w:rPr>
                <w:rFonts w:ascii="Times New Roman" w:eastAsia="Times New Roman" w:hAnsi="Times New Roman" w:cs="Times New Roman"/>
                <w:sz w:val="20"/>
                <w:szCs w:val="20"/>
              </w:rPr>
            </w:pPr>
          </w:p>
        </w:tc>
        <w:tc>
          <w:tcPr>
            <w:tcW w:w="737" w:type="dxa"/>
            <w:tcBorders>
              <w:top w:val="nil"/>
              <w:left w:val="nil"/>
              <w:bottom w:val="nil"/>
              <w:right w:val="nil"/>
            </w:tcBorders>
            <w:shd w:val="clear" w:color="auto" w:fill="auto"/>
            <w:noWrap/>
            <w:vAlign w:val="bottom"/>
            <w:hideMark/>
          </w:tcPr>
          <w:p w:rsidR="00397660" w:rsidRPr="00397660" w:rsidRDefault="00397660" w:rsidP="00397660">
            <w:pPr>
              <w:spacing w:after="0" w:line="240" w:lineRule="auto"/>
              <w:rPr>
                <w:rFonts w:ascii="Times New Roman" w:eastAsia="Times New Roman" w:hAnsi="Times New Roman" w:cs="Times New Roman"/>
                <w:sz w:val="20"/>
                <w:szCs w:val="20"/>
              </w:rPr>
            </w:pPr>
          </w:p>
        </w:tc>
        <w:tc>
          <w:tcPr>
            <w:tcW w:w="737" w:type="dxa"/>
            <w:tcBorders>
              <w:top w:val="nil"/>
              <w:left w:val="nil"/>
              <w:bottom w:val="nil"/>
              <w:right w:val="nil"/>
            </w:tcBorders>
            <w:shd w:val="clear" w:color="auto" w:fill="auto"/>
            <w:noWrap/>
            <w:vAlign w:val="bottom"/>
            <w:hideMark/>
          </w:tcPr>
          <w:p w:rsidR="00397660" w:rsidRPr="00397660" w:rsidRDefault="00397660" w:rsidP="00397660">
            <w:pPr>
              <w:spacing w:after="0" w:line="240" w:lineRule="auto"/>
              <w:rPr>
                <w:rFonts w:ascii="Times New Roman" w:eastAsia="Times New Roman" w:hAnsi="Times New Roman" w:cs="Times New Roman"/>
                <w:sz w:val="20"/>
                <w:szCs w:val="20"/>
              </w:rPr>
            </w:pPr>
          </w:p>
        </w:tc>
        <w:tc>
          <w:tcPr>
            <w:tcW w:w="1448" w:type="dxa"/>
            <w:gridSpan w:val="2"/>
            <w:tcBorders>
              <w:top w:val="nil"/>
              <w:left w:val="nil"/>
              <w:bottom w:val="nil"/>
              <w:right w:val="nil"/>
            </w:tcBorders>
            <w:shd w:val="clear" w:color="auto" w:fill="auto"/>
            <w:noWrap/>
            <w:vAlign w:val="bottom"/>
            <w:hideMark/>
          </w:tcPr>
          <w:p w:rsidR="00397660" w:rsidRPr="00397660" w:rsidRDefault="00397660" w:rsidP="00397660">
            <w:pPr>
              <w:spacing w:after="0" w:line="240" w:lineRule="auto"/>
              <w:rPr>
                <w:rFonts w:ascii="Times New Roman" w:eastAsia="Times New Roman" w:hAnsi="Times New Roman" w:cs="Times New Roman"/>
                <w:sz w:val="20"/>
                <w:szCs w:val="20"/>
              </w:rPr>
            </w:pPr>
          </w:p>
        </w:tc>
        <w:tc>
          <w:tcPr>
            <w:tcW w:w="797" w:type="dxa"/>
            <w:gridSpan w:val="2"/>
            <w:tcBorders>
              <w:top w:val="nil"/>
              <w:left w:val="nil"/>
              <w:bottom w:val="nil"/>
              <w:right w:val="nil"/>
            </w:tcBorders>
            <w:shd w:val="clear" w:color="auto" w:fill="auto"/>
            <w:noWrap/>
            <w:vAlign w:val="bottom"/>
            <w:hideMark/>
          </w:tcPr>
          <w:p w:rsidR="00397660" w:rsidRPr="00397660" w:rsidRDefault="00397660" w:rsidP="0039766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97660" w:rsidRPr="00397660" w:rsidRDefault="00397660" w:rsidP="00397660">
            <w:pPr>
              <w:spacing w:after="0" w:line="240" w:lineRule="auto"/>
              <w:rPr>
                <w:rFonts w:ascii="Times New Roman" w:eastAsia="Times New Roman" w:hAnsi="Times New Roman" w:cs="Times New Roman"/>
                <w:sz w:val="20"/>
                <w:szCs w:val="20"/>
              </w:rPr>
            </w:pPr>
          </w:p>
        </w:tc>
        <w:tc>
          <w:tcPr>
            <w:tcW w:w="469" w:type="dxa"/>
            <w:tcBorders>
              <w:top w:val="nil"/>
              <w:left w:val="nil"/>
              <w:bottom w:val="nil"/>
              <w:right w:val="nil"/>
            </w:tcBorders>
            <w:shd w:val="clear" w:color="auto" w:fill="auto"/>
            <w:noWrap/>
            <w:vAlign w:val="bottom"/>
            <w:hideMark/>
          </w:tcPr>
          <w:p w:rsidR="00397660" w:rsidRPr="00397660" w:rsidRDefault="00397660" w:rsidP="00397660">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397660" w:rsidRPr="00397660" w:rsidRDefault="00397660" w:rsidP="00397660">
            <w:pPr>
              <w:spacing w:after="0" w:line="240" w:lineRule="auto"/>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noWrap/>
            <w:vAlign w:val="bottom"/>
            <w:hideMark/>
          </w:tcPr>
          <w:p w:rsidR="00397660" w:rsidRPr="00397660" w:rsidRDefault="00397660" w:rsidP="00397660">
            <w:pPr>
              <w:spacing w:after="0" w:line="240" w:lineRule="auto"/>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noWrap/>
            <w:vAlign w:val="bottom"/>
            <w:hideMark/>
          </w:tcPr>
          <w:p w:rsidR="00397660" w:rsidRPr="00397660" w:rsidRDefault="00397660" w:rsidP="00397660">
            <w:pPr>
              <w:spacing w:after="0" w:line="240" w:lineRule="auto"/>
              <w:rPr>
                <w:rFonts w:ascii="Times New Roman" w:eastAsia="Times New Roman" w:hAnsi="Times New Roman" w:cs="Times New Roman"/>
                <w:sz w:val="20"/>
                <w:szCs w:val="20"/>
              </w:rPr>
            </w:pPr>
          </w:p>
        </w:tc>
        <w:tc>
          <w:tcPr>
            <w:tcW w:w="726" w:type="dxa"/>
            <w:tcBorders>
              <w:top w:val="nil"/>
              <w:left w:val="nil"/>
              <w:bottom w:val="nil"/>
              <w:right w:val="nil"/>
            </w:tcBorders>
            <w:shd w:val="clear" w:color="auto" w:fill="auto"/>
            <w:noWrap/>
            <w:vAlign w:val="center"/>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p>
        </w:tc>
      </w:tr>
      <w:tr w:rsidR="00397660" w:rsidRPr="00397660" w:rsidTr="005D2B8F">
        <w:trPr>
          <w:trHeight w:val="912"/>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660" w:rsidRPr="00397660" w:rsidRDefault="00397660" w:rsidP="00397660">
            <w:pPr>
              <w:spacing w:after="0" w:line="240" w:lineRule="auto"/>
              <w:jc w:val="center"/>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7660" w:rsidRPr="00397660" w:rsidRDefault="00397660" w:rsidP="00397660">
            <w:pPr>
              <w:spacing w:after="0" w:line="240" w:lineRule="auto"/>
              <w:jc w:val="center"/>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 xml:space="preserve">2003.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397660" w:rsidRPr="00397660" w:rsidRDefault="00397660" w:rsidP="00397660">
            <w:pPr>
              <w:spacing w:after="0" w:line="240" w:lineRule="auto"/>
              <w:jc w:val="center"/>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 xml:space="preserve">2004. </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397660" w:rsidRPr="00397660" w:rsidRDefault="00397660" w:rsidP="00397660">
            <w:pPr>
              <w:spacing w:after="0" w:line="240" w:lineRule="auto"/>
              <w:jc w:val="center"/>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 xml:space="preserve">2005. </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397660" w:rsidRPr="00397660" w:rsidRDefault="00397660" w:rsidP="00397660">
            <w:pPr>
              <w:spacing w:after="0" w:line="240" w:lineRule="auto"/>
              <w:jc w:val="center"/>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 xml:space="preserve">2006. </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97660" w:rsidRPr="00397660" w:rsidRDefault="00397660" w:rsidP="00397660">
            <w:pPr>
              <w:spacing w:after="0" w:line="240" w:lineRule="auto"/>
              <w:jc w:val="center"/>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 xml:space="preserve">2007. </w:t>
            </w:r>
          </w:p>
        </w:tc>
        <w:tc>
          <w:tcPr>
            <w:tcW w:w="775" w:type="dxa"/>
            <w:gridSpan w:val="3"/>
            <w:tcBorders>
              <w:top w:val="single" w:sz="4" w:space="0" w:color="auto"/>
              <w:left w:val="nil"/>
              <w:bottom w:val="single" w:sz="4" w:space="0" w:color="auto"/>
              <w:right w:val="single" w:sz="4" w:space="0" w:color="auto"/>
            </w:tcBorders>
            <w:shd w:val="clear" w:color="auto" w:fill="auto"/>
            <w:vAlign w:val="center"/>
            <w:hideMark/>
          </w:tcPr>
          <w:p w:rsidR="00397660" w:rsidRPr="00397660" w:rsidRDefault="00397660" w:rsidP="00397660">
            <w:pPr>
              <w:spacing w:after="0" w:line="240" w:lineRule="auto"/>
              <w:jc w:val="center"/>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 xml:space="preserve">2008. </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397660" w:rsidRPr="00397660" w:rsidRDefault="00397660" w:rsidP="00397660">
            <w:pPr>
              <w:spacing w:after="0" w:line="240" w:lineRule="auto"/>
              <w:jc w:val="center"/>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 xml:space="preserve">2009.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97660" w:rsidRPr="00397660" w:rsidRDefault="00397660" w:rsidP="00397660">
            <w:pPr>
              <w:spacing w:after="0" w:line="240" w:lineRule="auto"/>
              <w:jc w:val="center"/>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 xml:space="preserve">2010.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97660" w:rsidRPr="00397660" w:rsidRDefault="00397660" w:rsidP="00397660">
            <w:pPr>
              <w:spacing w:after="0" w:line="240" w:lineRule="auto"/>
              <w:jc w:val="center"/>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 xml:space="preserve">2011.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397660" w:rsidRPr="00397660" w:rsidRDefault="00397660" w:rsidP="00397660">
            <w:pPr>
              <w:spacing w:after="0" w:line="240" w:lineRule="auto"/>
              <w:jc w:val="center"/>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 xml:space="preserve">2012.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7660" w:rsidRPr="00397660" w:rsidRDefault="00397660" w:rsidP="00397660">
            <w:pPr>
              <w:spacing w:after="0" w:line="240" w:lineRule="auto"/>
              <w:jc w:val="center"/>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 xml:space="preserve">2013. </w:t>
            </w:r>
          </w:p>
        </w:tc>
      </w:tr>
      <w:tr w:rsidR="00397660" w:rsidRPr="00397660" w:rsidTr="005D2B8F">
        <w:trPr>
          <w:trHeight w:val="27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97660" w:rsidRPr="00397660" w:rsidRDefault="00397660" w:rsidP="005D2B8F">
            <w:pPr>
              <w:spacing w:after="0" w:line="240" w:lineRule="auto"/>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 xml:space="preserve">Veselības </w:t>
            </w:r>
            <w:r w:rsidR="005D2B8F">
              <w:rPr>
                <w:rFonts w:ascii="Times New Roman" w:eastAsia="Times New Roman" w:hAnsi="Times New Roman" w:cs="Times New Roman"/>
                <w:b/>
                <w:bCs/>
                <w:sz w:val="20"/>
                <w:szCs w:val="20"/>
              </w:rPr>
              <w:t xml:space="preserve">aprūpes </w:t>
            </w:r>
            <w:r w:rsidRPr="00397660">
              <w:rPr>
                <w:rFonts w:ascii="Times New Roman" w:eastAsia="Times New Roman" w:hAnsi="Times New Roman" w:cs="Times New Roman"/>
                <w:b/>
                <w:bCs/>
                <w:sz w:val="20"/>
                <w:szCs w:val="20"/>
              </w:rPr>
              <w:t xml:space="preserve">nozares </w:t>
            </w:r>
            <w:r w:rsidR="005D2B8F">
              <w:rPr>
                <w:rFonts w:ascii="Times New Roman" w:eastAsia="Times New Roman" w:hAnsi="Times New Roman" w:cs="Times New Roman"/>
                <w:b/>
                <w:bCs/>
                <w:sz w:val="20"/>
                <w:szCs w:val="20"/>
              </w:rPr>
              <w:t>izdevumi</w:t>
            </w:r>
          </w:p>
        </w:tc>
        <w:tc>
          <w:tcPr>
            <w:tcW w:w="73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211,5</w:t>
            </w:r>
          </w:p>
        </w:tc>
        <w:tc>
          <w:tcPr>
            <w:tcW w:w="73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245,2</w:t>
            </w:r>
          </w:p>
        </w:tc>
        <w:tc>
          <w:tcPr>
            <w:tcW w:w="70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296,8</w:t>
            </w:r>
          </w:p>
        </w:tc>
        <w:tc>
          <w:tcPr>
            <w:tcW w:w="74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414,3</w:t>
            </w:r>
          </w:p>
        </w:tc>
        <w:tc>
          <w:tcPr>
            <w:tcW w:w="72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518,1</w:t>
            </w:r>
          </w:p>
        </w:tc>
        <w:tc>
          <w:tcPr>
            <w:tcW w:w="775" w:type="dxa"/>
            <w:gridSpan w:val="3"/>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576,6</w:t>
            </w:r>
          </w:p>
        </w:tc>
        <w:tc>
          <w:tcPr>
            <w:tcW w:w="80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503,7</w:t>
            </w:r>
          </w:p>
        </w:tc>
        <w:tc>
          <w:tcPr>
            <w:tcW w:w="832"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496,1</w:t>
            </w:r>
          </w:p>
        </w:tc>
        <w:tc>
          <w:tcPr>
            <w:tcW w:w="832"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503,5</w:t>
            </w:r>
          </w:p>
        </w:tc>
        <w:tc>
          <w:tcPr>
            <w:tcW w:w="726"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524,4</w:t>
            </w:r>
          </w:p>
        </w:tc>
        <w:tc>
          <w:tcPr>
            <w:tcW w:w="851"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500,3</w:t>
            </w:r>
          </w:p>
        </w:tc>
      </w:tr>
      <w:tr w:rsidR="00397660" w:rsidRPr="00397660" w:rsidTr="005D2B8F">
        <w:trPr>
          <w:trHeight w:val="283"/>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97660" w:rsidRPr="00397660" w:rsidRDefault="005D2B8F" w:rsidP="00397660">
            <w:p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t.sk. Veselības mi</w:t>
            </w:r>
            <w:r w:rsidR="00397660">
              <w:rPr>
                <w:rFonts w:ascii="Times New Roman" w:eastAsia="Times New Roman" w:hAnsi="Times New Roman" w:cs="Times New Roman"/>
                <w:b/>
                <w:bCs/>
                <w:i/>
                <w:iCs/>
                <w:sz w:val="20"/>
                <w:szCs w:val="20"/>
              </w:rPr>
              <w:t xml:space="preserve">nistrijas </w:t>
            </w:r>
            <w:r w:rsidR="00397660" w:rsidRPr="00397660">
              <w:rPr>
                <w:rFonts w:ascii="Times New Roman" w:eastAsia="Times New Roman" w:hAnsi="Times New Roman" w:cs="Times New Roman"/>
                <w:b/>
                <w:bCs/>
                <w:i/>
                <w:iCs/>
                <w:sz w:val="20"/>
                <w:szCs w:val="20"/>
              </w:rPr>
              <w:t>budžets</w:t>
            </w:r>
          </w:p>
        </w:tc>
        <w:tc>
          <w:tcPr>
            <w:tcW w:w="73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i/>
                <w:iCs/>
                <w:sz w:val="20"/>
                <w:szCs w:val="20"/>
              </w:rPr>
            </w:pPr>
            <w:r w:rsidRPr="00397660">
              <w:rPr>
                <w:rFonts w:ascii="Times New Roman" w:eastAsia="Times New Roman" w:hAnsi="Times New Roman" w:cs="Times New Roman"/>
                <w:b/>
                <w:bCs/>
                <w:i/>
                <w:iCs/>
                <w:sz w:val="20"/>
                <w:szCs w:val="20"/>
              </w:rPr>
              <w:t>211,5</w:t>
            </w:r>
          </w:p>
        </w:tc>
        <w:tc>
          <w:tcPr>
            <w:tcW w:w="73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i/>
                <w:iCs/>
                <w:sz w:val="20"/>
                <w:szCs w:val="20"/>
              </w:rPr>
            </w:pPr>
            <w:r w:rsidRPr="00397660">
              <w:rPr>
                <w:rFonts w:ascii="Times New Roman" w:eastAsia="Times New Roman" w:hAnsi="Times New Roman" w:cs="Times New Roman"/>
                <w:b/>
                <w:bCs/>
                <w:i/>
                <w:iCs/>
                <w:sz w:val="20"/>
                <w:szCs w:val="20"/>
              </w:rPr>
              <w:t>245,2</w:t>
            </w:r>
          </w:p>
        </w:tc>
        <w:tc>
          <w:tcPr>
            <w:tcW w:w="70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i/>
                <w:iCs/>
                <w:sz w:val="20"/>
                <w:szCs w:val="20"/>
              </w:rPr>
            </w:pPr>
            <w:r w:rsidRPr="00397660">
              <w:rPr>
                <w:rFonts w:ascii="Times New Roman" w:eastAsia="Times New Roman" w:hAnsi="Times New Roman" w:cs="Times New Roman"/>
                <w:b/>
                <w:bCs/>
                <w:i/>
                <w:iCs/>
                <w:sz w:val="20"/>
                <w:szCs w:val="20"/>
              </w:rPr>
              <w:t>296,8</w:t>
            </w:r>
          </w:p>
        </w:tc>
        <w:tc>
          <w:tcPr>
            <w:tcW w:w="74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i/>
                <w:iCs/>
                <w:sz w:val="20"/>
                <w:szCs w:val="20"/>
              </w:rPr>
            </w:pPr>
            <w:r w:rsidRPr="00397660">
              <w:rPr>
                <w:rFonts w:ascii="Times New Roman" w:eastAsia="Times New Roman" w:hAnsi="Times New Roman" w:cs="Times New Roman"/>
                <w:b/>
                <w:bCs/>
                <w:i/>
                <w:iCs/>
                <w:sz w:val="20"/>
                <w:szCs w:val="20"/>
              </w:rPr>
              <w:t>414,3</w:t>
            </w:r>
          </w:p>
        </w:tc>
        <w:tc>
          <w:tcPr>
            <w:tcW w:w="72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i/>
                <w:iCs/>
                <w:sz w:val="20"/>
                <w:szCs w:val="20"/>
              </w:rPr>
            </w:pPr>
            <w:r w:rsidRPr="00397660">
              <w:rPr>
                <w:rFonts w:ascii="Times New Roman" w:eastAsia="Times New Roman" w:hAnsi="Times New Roman" w:cs="Times New Roman"/>
                <w:b/>
                <w:bCs/>
                <w:i/>
                <w:iCs/>
                <w:sz w:val="20"/>
                <w:szCs w:val="20"/>
              </w:rPr>
              <w:t>518,1</w:t>
            </w:r>
          </w:p>
        </w:tc>
        <w:tc>
          <w:tcPr>
            <w:tcW w:w="775" w:type="dxa"/>
            <w:gridSpan w:val="3"/>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i/>
                <w:iCs/>
                <w:sz w:val="20"/>
                <w:szCs w:val="20"/>
              </w:rPr>
            </w:pPr>
            <w:r w:rsidRPr="00397660">
              <w:rPr>
                <w:rFonts w:ascii="Times New Roman" w:eastAsia="Times New Roman" w:hAnsi="Times New Roman" w:cs="Times New Roman"/>
                <w:b/>
                <w:bCs/>
                <w:i/>
                <w:iCs/>
                <w:sz w:val="20"/>
                <w:szCs w:val="20"/>
              </w:rPr>
              <w:t>576,6</w:t>
            </w:r>
          </w:p>
        </w:tc>
        <w:tc>
          <w:tcPr>
            <w:tcW w:w="80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i/>
                <w:iCs/>
                <w:sz w:val="20"/>
                <w:szCs w:val="20"/>
              </w:rPr>
            </w:pPr>
            <w:r w:rsidRPr="00397660">
              <w:rPr>
                <w:rFonts w:ascii="Times New Roman" w:eastAsia="Times New Roman" w:hAnsi="Times New Roman" w:cs="Times New Roman"/>
                <w:b/>
                <w:bCs/>
                <w:i/>
                <w:iCs/>
                <w:sz w:val="20"/>
                <w:szCs w:val="20"/>
              </w:rPr>
              <w:t>503,7</w:t>
            </w:r>
          </w:p>
        </w:tc>
        <w:tc>
          <w:tcPr>
            <w:tcW w:w="832"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i/>
                <w:iCs/>
                <w:sz w:val="20"/>
                <w:szCs w:val="20"/>
              </w:rPr>
            </w:pPr>
            <w:r w:rsidRPr="00397660">
              <w:rPr>
                <w:rFonts w:ascii="Times New Roman" w:eastAsia="Times New Roman" w:hAnsi="Times New Roman" w:cs="Times New Roman"/>
                <w:b/>
                <w:bCs/>
                <w:i/>
                <w:iCs/>
                <w:sz w:val="20"/>
                <w:szCs w:val="20"/>
              </w:rPr>
              <w:t>496,1</w:t>
            </w:r>
          </w:p>
        </w:tc>
        <w:tc>
          <w:tcPr>
            <w:tcW w:w="832"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i/>
                <w:iCs/>
                <w:sz w:val="20"/>
                <w:szCs w:val="20"/>
              </w:rPr>
            </w:pPr>
            <w:r w:rsidRPr="00397660">
              <w:rPr>
                <w:rFonts w:ascii="Times New Roman" w:eastAsia="Times New Roman" w:hAnsi="Times New Roman" w:cs="Times New Roman"/>
                <w:b/>
                <w:bCs/>
                <w:i/>
                <w:iCs/>
                <w:sz w:val="20"/>
                <w:szCs w:val="20"/>
              </w:rPr>
              <w:t>496,2</w:t>
            </w:r>
          </w:p>
        </w:tc>
        <w:tc>
          <w:tcPr>
            <w:tcW w:w="726"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i/>
                <w:iCs/>
                <w:sz w:val="20"/>
                <w:szCs w:val="20"/>
              </w:rPr>
            </w:pPr>
            <w:r w:rsidRPr="00397660">
              <w:rPr>
                <w:rFonts w:ascii="Times New Roman" w:eastAsia="Times New Roman" w:hAnsi="Times New Roman" w:cs="Times New Roman"/>
                <w:b/>
                <w:bCs/>
                <w:i/>
                <w:iCs/>
                <w:sz w:val="20"/>
                <w:szCs w:val="20"/>
              </w:rPr>
              <w:t>496,6</w:t>
            </w:r>
          </w:p>
        </w:tc>
        <w:tc>
          <w:tcPr>
            <w:tcW w:w="851"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i/>
                <w:iCs/>
                <w:sz w:val="20"/>
                <w:szCs w:val="20"/>
              </w:rPr>
            </w:pPr>
            <w:r w:rsidRPr="00397660">
              <w:rPr>
                <w:rFonts w:ascii="Times New Roman" w:eastAsia="Times New Roman" w:hAnsi="Times New Roman" w:cs="Times New Roman"/>
                <w:b/>
                <w:bCs/>
                <w:i/>
                <w:iCs/>
                <w:sz w:val="20"/>
                <w:szCs w:val="20"/>
              </w:rPr>
              <w:t>468,0</w:t>
            </w:r>
          </w:p>
        </w:tc>
      </w:tr>
      <w:tr w:rsidR="00397660" w:rsidRPr="00397660" w:rsidTr="005D2B8F">
        <w:trPr>
          <w:trHeight w:val="27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ES fondi un ĀRF</w:t>
            </w:r>
          </w:p>
        </w:tc>
        <w:tc>
          <w:tcPr>
            <w:tcW w:w="73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1,4</w:t>
            </w:r>
          </w:p>
        </w:tc>
        <w:tc>
          <w:tcPr>
            <w:tcW w:w="73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2,1</w:t>
            </w:r>
          </w:p>
        </w:tc>
        <w:tc>
          <w:tcPr>
            <w:tcW w:w="70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6,3</w:t>
            </w:r>
          </w:p>
        </w:tc>
        <w:tc>
          <w:tcPr>
            <w:tcW w:w="74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0,7</w:t>
            </w:r>
          </w:p>
        </w:tc>
        <w:tc>
          <w:tcPr>
            <w:tcW w:w="72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1,3</w:t>
            </w:r>
          </w:p>
        </w:tc>
        <w:tc>
          <w:tcPr>
            <w:tcW w:w="775" w:type="dxa"/>
            <w:gridSpan w:val="3"/>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7,2</w:t>
            </w:r>
          </w:p>
        </w:tc>
        <w:tc>
          <w:tcPr>
            <w:tcW w:w="80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32,2</w:t>
            </w:r>
          </w:p>
        </w:tc>
        <w:tc>
          <w:tcPr>
            <w:tcW w:w="832"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30,1</w:t>
            </w:r>
          </w:p>
        </w:tc>
        <w:tc>
          <w:tcPr>
            <w:tcW w:w="832"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40,4</w:t>
            </w:r>
          </w:p>
        </w:tc>
        <w:tc>
          <w:tcPr>
            <w:tcW w:w="726"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38,3</w:t>
            </w:r>
          </w:p>
        </w:tc>
        <w:tc>
          <w:tcPr>
            <w:tcW w:w="851"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35,9</w:t>
            </w:r>
          </w:p>
        </w:tc>
      </w:tr>
      <w:tr w:rsidR="00397660" w:rsidRPr="00397660" w:rsidTr="005D2B8F">
        <w:trPr>
          <w:trHeight w:val="218"/>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ind w:firstLineChars="200" w:firstLine="400"/>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t.sk.VM budžetā</w:t>
            </w:r>
          </w:p>
        </w:tc>
        <w:tc>
          <w:tcPr>
            <w:tcW w:w="73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1,4</w:t>
            </w:r>
          </w:p>
        </w:tc>
        <w:tc>
          <w:tcPr>
            <w:tcW w:w="73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2,1</w:t>
            </w:r>
          </w:p>
        </w:tc>
        <w:tc>
          <w:tcPr>
            <w:tcW w:w="70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6,3</w:t>
            </w:r>
          </w:p>
        </w:tc>
        <w:tc>
          <w:tcPr>
            <w:tcW w:w="74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0,7</w:t>
            </w:r>
          </w:p>
        </w:tc>
        <w:tc>
          <w:tcPr>
            <w:tcW w:w="72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1,3</w:t>
            </w:r>
          </w:p>
        </w:tc>
        <w:tc>
          <w:tcPr>
            <w:tcW w:w="775" w:type="dxa"/>
            <w:gridSpan w:val="3"/>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7,2</w:t>
            </w:r>
          </w:p>
        </w:tc>
        <w:tc>
          <w:tcPr>
            <w:tcW w:w="80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32,2</w:t>
            </w:r>
          </w:p>
        </w:tc>
        <w:tc>
          <w:tcPr>
            <w:tcW w:w="832"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30,1</w:t>
            </w:r>
          </w:p>
        </w:tc>
        <w:tc>
          <w:tcPr>
            <w:tcW w:w="832"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33,1</w:t>
            </w:r>
          </w:p>
        </w:tc>
        <w:tc>
          <w:tcPr>
            <w:tcW w:w="726"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10,5</w:t>
            </w:r>
          </w:p>
        </w:tc>
        <w:tc>
          <w:tcPr>
            <w:tcW w:w="851"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3,6</w:t>
            </w:r>
          </w:p>
        </w:tc>
      </w:tr>
      <w:tr w:rsidR="00397660" w:rsidRPr="00397660" w:rsidTr="005D2B8F">
        <w:trPr>
          <w:trHeight w:val="218"/>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ind w:firstLineChars="200" w:firstLine="400"/>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t.sk.FM CFLA budžetā</w:t>
            </w:r>
          </w:p>
        </w:tc>
        <w:tc>
          <w:tcPr>
            <w:tcW w:w="73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0,0</w:t>
            </w:r>
          </w:p>
        </w:tc>
        <w:tc>
          <w:tcPr>
            <w:tcW w:w="73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0,0</w:t>
            </w:r>
          </w:p>
        </w:tc>
        <w:tc>
          <w:tcPr>
            <w:tcW w:w="70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0,0</w:t>
            </w:r>
          </w:p>
        </w:tc>
        <w:tc>
          <w:tcPr>
            <w:tcW w:w="74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0,0</w:t>
            </w:r>
          </w:p>
        </w:tc>
        <w:tc>
          <w:tcPr>
            <w:tcW w:w="72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0,0</w:t>
            </w:r>
          </w:p>
        </w:tc>
        <w:tc>
          <w:tcPr>
            <w:tcW w:w="775" w:type="dxa"/>
            <w:gridSpan w:val="3"/>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0,0</w:t>
            </w:r>
          </w:p>
        </w:tc>
        <w:tc>
          <w:tcPr>
            <w:tcW w:w="80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0,0</w:t>
            </w:r>
          </w:p>
        </w:tc>
        <w:tc>
          <w:tcPr>
            <w:tcW w:w="832"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0,0</w:t>
            </w:r>
          </w:p>
        </w:tc>
        <w:tc>
          <w:tcPr>
            <w:tcW w:w="832"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7,3</w:t>
            </w:r>
          </w:p>
        </w:tc>
        <w:tc>
          <w:tcPr>
            <w:tcW w:w="726"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27,8</w:t>
            </w:r>
          </w:p>
        </w:tc>
        <w:tc>
          <w:tcPr>
            <w:tcW w:w="851"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i/>
                <w:iCs/>
                <w:sz w:val="20"/>
                <w:szCs w:val="20"/>
              </w:rPr>
            </w:pPr>
            <w:r w:rsidRPr="00397660">
              <w:rPr>
                <w:rFonts w:ascii="Times New Roman" w:eastAsia="Times New Roman" w:hAnsi="Times New Roman" w:cs="Times New Roman"/>
                <w:i/>
                <w:iCs/>
                <w:sz w:val="20"/>
                <w:szCs w:val="20"/>
              </w:rPr>
              <w:t>32,3</w:t>
            </w:r>
          </w:p>
        </w:tc>
      </w:tr>
      <w:tr w:rsidR="00397660" w:rsidRPr="00397660" w:rsidTr="005D2B8F">
        <w:trPr>
          <w:trHeight w:val="27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Pamatfunkcijas</w:t>
            </w:r>
          </w:p>
        </w:tc>
        <w:tc>
          <w:tcPr>
            <w:tcW w:w="73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210,1</w:t>
            </w:r>
          </w:p>
        </w:tc>
        <w:tc>
          <w:tcPr>
            <w:tcW w:w="73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243,1</w:t>
            </w:r>
          </w:p>
        </w:tc>
        <w:tc>
          <w:tcPr>
            <w:tcW w:w="70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290,5</w:t>
            </w:r>
          </w:p>
        </w:tc>
        <w:tc>
          <w:tcPr>
            <w:tcW w:w="74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413,5</w:t>
            </w:r>
          </w:p>
        </w:tc>
        <w:tc>
          <w:tcPr>
            <w:tcW w:w="72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516,8</w:t>
            </w:r>
          </w:p>
        </w:tc>
        <w:tc>
          <w:tcPr>
            <w:tcW w:w="775" w:type="dxa"/>
            <w:gridSpan w:val="3"/>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569,4</w:t>
            </w:r>
          </w:p>
        </w:tc>
        <w:tc>
          <w:tcPr>
            <w:tcW w:w="80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471,5</w:t>
            </w:r>
          </w:p>
        </w:tc>
        <w:tc>
          <w:tcPr>
            <w:tcW w:w="832"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466,0</w:t>
            </w:r>
          </w:p>
        </w:tc>
        <w:tc>
          <w:tcPr>
            <w:tcW w:w="832"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463,1</w:t>
            </w:r>
          </w:p>
        </w:tc>
        <w:tc>
          <w:tcPr>
            <w:tcW w:w="726"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486,1</w:t>
            </w:r>
          </w:p>
        </w:tc>
        <w:tc>
          <w:tcPr>
            <w:tcW w:w="851"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464,4</w:t>
            </w:r>
          </w:p>
        </w:tc>
      </w:tr>
      <w:tr w:rsidR="00397660" w:rsidRPr="00397660" w:rsidTr="005D2B8F">
        <w:trPr>
          <w:trHeight w:val="27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IKP, milj.Ls</w:t>
            </w:r>
          </w:p>
        </w:tc>
        <w:tc>
          <w:tcPr>
            <w:tcW w:w="73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6392,8</w:t>
            </w:r>
          </w:p>
        </w:tc>
        <w:tc>
          <w:tcPr>
            <w:tcW w:w="73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7434,5</w:t>
            </w:r>
          </w:p>
        </w:tc>
        <w:tc>
          <w:tcPr>
            <w:tcW w:w="70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9 059,1</w:t>
            </w:r>
          </w:p>
        </w:tc>
        <w:tc>
          <w:tcPr>
            <w:tcW w:w="74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11 171,7</w:t>
            </w:r>
          </w:p>
        </w:tc>
        <w:tc>
          <w:tcPr>
            <w:tcW w:w="72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14 779,8</w:t>
            </w:r>
          </w:p>
        </w:tc>
        <w:tc>
          <w:tcPr>
            <w:tcW w:w="775" w:type="dxa"/>
            <w:gridSpan w:val="3"/>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16 188,2</w:t>
            </w:r>
          </w:p>
        </w:tc>
        <w:tc>
          <w:tcPr>
            <w:tcW w:w="80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13 082,8</w:t>
            </w:r>
          </w:p>
        </w:tc>
        <w:tc>
          <w:tcPr>
            <w:tcW w:w="832" w:type="dxa"/>
            <w:tcBorders>
              <w:top w:val="nil"/>
              <w:left w:val="nil"/>
              <w:bottom w:val="single" w:sz="4" w:space="0" w:color="auto"/>
              <w:right w:val="single" w:sz="4" w:space="0" w:color="auto"/>
            </w:tcBorders>
            <w:shd w:val="clear" w:color="auto" w:fill="auto"/>
            <w:noWrap/>
            <w:vAlign w:val="bottom"/>
            <w:hideMark/>
          </w:tcPr>
          <w:p w:rsidR="005D2B8F"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12</w:t>
            </w:r>
          </w:p>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372,0</w:t>
            </w:r>
          </w:p>
        </w:tc>
        <w:tc>
          <w:tcPr>
            <w:tcW w:w="832" w:type="dxa"/>
            <w:tcBorders>
              <w:top w:val="nil"/>
              <w:left w:val="nil"/>
              <w:bottom w:val="single" w:sz="4" w:space="0" w:color="auto"/>
              <w:right w:val="single" w:sz="4" w:space="0" w:color="auto"/>
            </w:tcBorders>
            <w:shd w:val="clear" w:color="auto" w:fill="auto"/>
            <w:noWrap/>
            <w:vAlign w:val="bottom"/>
            <w:hideMark/>
          </w:tcPr>
          <w:p w:rsidR="005D2B8F"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14</w:t>
            </w:r>
          </w:p>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161,0</w:t>
            </w:r>
          </w:p>
        </w:tc>
        <w:tc>
          <w:tcPr>
            <w:tcW w:w="726"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15 108,3</w:t>
            </w:r>
          </w:p>
        </w:tc>
        <w:tc>
          <w:tcPr>
            <w:tcW w:w="851"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sz w:val="20"/>
                <w:szCs w:val="20"/>
              </w:rPr>
            </w:pPr>
            <w:r w:rsidRPr="00397660">
              <w:rPr>
                <w:rFonts w:ascii="Times New Roman" w:eastAsia="Times New Roman" w:hAnsi="Times New Roman" w:cs="Times New Roman"/>
                <w:sz w:val="20"/>
                <w:szCs w:val="20"/>
              </w:rPr>
              <w:t>15 985,5</w:t>
            </w:r>
          </w:p>
        </w:tc>
      </w:tr>
      <w:tr w:rsidR="00397660" w:rsidRPr="00397660" w:rsidTr="005D2B8F">
        <w:trPr>
          <w:trHeight w:val="27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Nozares budžets % no IKP</w:t>
            </w:r>
          </w:p>
        </w:tc>
        <w:tc>
          <w:tcPr>
            <w:tcW w:w="73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3,31</w:t>
            </w:r>
          </w:p>
        </w:tc>
        <w:tc>
          <w:tcPr>
            <w:tcW w:w="73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3,30</w:t>
            </w:r>
          </w:p>
        </w:tc>
        <w:tc>
          <w:tcPr>
            <w:tcW w:w="70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3,28</w:t>
            </w:r>
          </w:p>
        </w:tc>
        <w:tc>
          <w:tcPr>
            <w:tcW w:w="74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3,71</w:t>
            </w:r>
          </w:p>
        </w:tc>
        <w:tc>
          <w:tcPr>
            <w:tcW w:w="727"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3,51</w:t>
            </w:r>
          </w:p>
        </w:tc>
        <w:tc>
          <w:tcPr>
            <w:tcW w:w="775" w:type="dxa"/>
            <w:gridSpan w:val="3"/>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3,56</w:t>
            </w:r>
          </w:p>
        </w:tc>
        <w:tc>
          <w:tcPr>
            <w:tcW w:w="804"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3,85</w:t>
            </w:r>
          </w:p>
        </w:tc>
        <w:tc>
          <w:tcPr>
            <w:tcW w:w="832"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4,01</w:t>
            </w:r>
          </w:p>
        </w:tc>
        <w:tc>
          <w:tcPr>
            <w:tcW w:w="832"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3,56</w:t>
            </w:r>
          </w:p>
        </w:tc>
        <w:tc>
          <w:tcPr>
            <w:tcW w:w="726"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3,47</w:t>
            </w:r>
          </w:p>
        </w:tc>
        <w:tc>
          <w:tcPr>
            <w:tcW w:w="851" w:type="dxa"/>
            <w:tcBorders>
              <w:top w:val="nil"/>
              <w:left w:val="nil"/>
              <w:bottom w:val="single" w:sz="4" w:space="0" w:color="auto"/>
              <w:right w:val="single" w:sz="4" w:space="0" w:color="auto"/>
            </w:tcBorders>
            <w:shd w:val="clear" w:color="auto" w:fill="auto"/>
            <w:noWrap/>
            <w:vAlign w:val="bottom"/>
            <w:hideMark/>
          </w:tcPr>
          <w:p w:rsidR="00397660" w:rsidRPr="00397660" w:rsidRDefault="00397660" w:rsidP="00397660">
            <w:pPr>
              <w:spacing w:after="0" w:line="240" w:lineRule="auto"/>
              <w:jc w:val="right"/>
              <w:rPr>
                <w:rFonts w:ascii="Times New Roman" w:eastAsia="Times New Roman" w:hAnsi="Times New Roman" w:cs="Times New Roman"/>
                <w:b/>
                <w:bCs/>
                <w:sz w:val="20"/>
                <w:szCs w:val="20"/>
              </w:rPr>
            </w:pPr>
            <w:r w:rsidRPr="00397660">
              <w:rPr>
                <w:rFonts w:ascii="Times New Roman" w:eastAsia="Times New Roman" w:hAnsi="Times New Roman" w:cs="Times New Roman"/>
                <w:b/>
                <w:bCs/>
                <w:sz w:val="20"/>
                <w:szCs w:val="20"/>
              </w:rPr>
              <w:t>3,13</w:t>
            </w:r>
          </w:p>
        </w:tc>
      </w:tr>
    </w:tbl>
    <w:p w:rsidR="00D876C0" w:rsidRDefault="00D876C0" w:rsidP="00D876C0">
      <w:pPr>
        <w:pStyle w:val="NoSpacing"/>
        <w:jc w:val="both"/>
        <w:rPr>
          <w:rFonts w:ascii="Times New Roman" w:hAnsi="Times New Roman"/>
          <w:b/>
          <w:sz w:val="24"/>
          <w:szCs w:val="24"/>
        </w:rPr>
      </w:pPr>
    </w:p>
    <w:p w:rsidR="0069107B" w:rsidRDefault="0069107B" w:rsidP="0069107B">
      <w:pPr>
        <w:pStyle w:val="NoSpacing"/>
        <w:rPr>
          <w:rFonts w:ascii="Times New Roman" w:hAnsi="Times New Roman"/>
          <w:i/>
          <w:sz w:val="20"/>
          <w:szCs w:val="20"/>
        </w:rPr>
      </w:pPr>
      <w:r w:rsidRPr="0069107B">
        <w:rPr>
          <w:rFonts w:ascii="Times New Roman" w:hAnsi="Times New Roman"/>
          <w:i/>
          <w:noProof/>
          <w:sz w:val="20"/>
          <w:szCs w:val="20"/>
          <w:lang w:val="en-US"/>
        </w:rPr>
        <w:drawing>
          <wp:inline distT="0" distB="0" distL="0" distR="0">
            <wp:extent cx="6305550" cy="39433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107B" w:rsidRDefault="0069107B" w:rsidP="0069107B">
      <w:pPr>
        <w:pStyle w:val="NoSpacing"/>
        <w:jc w:val="both"/>
        <w:rPr>
          <w:rFonts w:ascii="Times New Roman" w:hAnsi="Times New Roman"/>
          <w:i/>
          <w:sz w:val="20"/>
          <w:szCs w:val="20"/>
        </w:rPr>
      </w:pPr>
    </w:p>
    <w:p w:rsidR="00817788" w:rsidRDefault="00D819FC" w:rsidP="001B0CC8">
      <w:pPr>
        <w:pStyle w:val="NoSpacing"/>
        <w:ind w:firstLine="720"/>
        <w:jc w:val="both"/>
        <w:rPr>
          <w:rFonts w:ascii="Times New Roman" w:hAnsi="Times New Roman"/>
          <w:i/>
          <w:sz w:val="20"/>
          <w:szCs w:val="20"/>
        </w:rPr>
      </w:pPr>
      <w:r w:rsidRPr="002040D7">
        <w:rPr>
          <w:rFonts w:ascii="Times New Roman" w:hAnsi="Times New Roman"/>
          <w:i/>
          <w:sz w:val="20"/>
          <w:szCs w:val="20"/>
        </w:rPr>
        <w:t xml:space="preserve">Avots: Veselības ministrija    </w:t>
      </w:r>
    </w:p>
    <w:p w:rsidR="00D819FC" w:rsidRDefault="00D819FC" w:rsidP="001B0CC8">
      <w:pPr>
        <w:pStyle w:val="NoSpacing"/>
        <w:ind w:firstLine="720"/>
        <w:jc w:val="both"/>
        <w:rPr>
          <w:rFonts w:ascii="Times New Roman" w:hAnsi="Times New Roman"/>
          <w:b/>
          <w:sz w:val="24"/>
          <w:szCs w:val="24"/>
        </w:rPr>
      </w:pPr>
    </w:p>
    <w:p w:rsidR="001B0CC8" w:rsidRDefault="00772859" w:rsidP="001B0CC8">
      <w:pPr>
        <w:pStyle w:val="NoSpacing"/>
        <w:ind w:firstLine="720"/>
        <w:jc w:val="both"/>
        <w:rPr>
          <w:rFonts w:ascii="Times New Roman" w:hAnsi="Times New Roman"/>
          <w:bCs/>
          <w:sz w:val="24"/>
          <w:szCs w:val="24"/>
        </w:rPr>
      </w:pPr>
      <w:r>
        <w:rPr>
          <w:rFonts w:ascii="Times New Roman" w:hAnsi="Times New Roman"/>
          <w:bCs/>
          <w:sz w:val="24"/>
          <w:szCs w:val="24"/>
        </w:rPr>
        <w:t>Kā jau iepriekš minēts, š</w:t>
      </w:r>
      <w:r w:rsidR="001B0CC8" w:rsidRPr="001B0CC8">
        <w:rPr>
          <w:rFonts w:ascii="Times New Roman" w:hAnsi="Times New Roman"/>
          <w:bCs/>
          <w:sz w:val="24"/>
          <w:szCs w:val="24"/>
        </w:rPr>
        <w:t>āda samazinātā finansējuma apstākļos ir apgrūtināti nodrošināt sniegto veselības aprūpes pakalpo</w:t>
      </w:r>
      <w:r w:rsidR="001B0CC8">
        <w:rPr>
          <w:rFonts w:ascii="Times New Roman" w:hAnsi="Times New Roman"/>
          <w:bCs/>
          <w:sz w:val="24"/>
          <w:szCs w:val="24"/>
        </w:rPr>
        <w:t xml:space="preserve">jumu </w:t>
      </w:r>
      <w:r>
        <w:rPr>
          <w:rFonts w:ascii="Times New Roman" w:hAnsi="Times New Roman"/>
          <w:bCs/>
          <w:sz w:val="24"/>
          <w:szCs w:val="24"/>
        </w:rPr>
        <w:t>pieejamību</w:t>
      </w:r>
      <w:r w:rsidR="001B0CC8">
        <w:rPr>
          <w:rFonts w:ascii="Times New Roman" w:hAnsi="Times New Roman"/>
          <w:bCs/>
          <w:sz w:val="24"/>
          <w:szCs w:val="24"/>
        </w:rPr>
        <w:t xml:space="preserve"> un stabilitāti. Lai risinātu radušos situāciju veselība</w:t>
      </w:r>
      <w:r>
        <w:rPr>
          <w:rFonts w:ascii="Times New Roman" w:hAnsi="Times New Roman"/>
          <w:bCs/>
          <w:sz w:val="24"/>
          <w:szCs w:val="24"/>
        </w:rPr>
        <w:t>s aprūpē, ir identificēti</w:t>
      </w:r>
      <w:r w:rsidR="00BA05D5">
        <w:rPr>
          <w:rFonts w:ascii="Times New Roman" w:hAnsi="Times New Roman"/>
          <w:bCs/>
          <w:sz w:val="24"/>
          <w:szCs w:val="24"/>
        </w:rPr>
        <w:t xml:space="preserve"> </w:t>
      </w:r>
      <w:r>
        <w:rPr>
          <w:rFonts w:ascii="Times New Roman" w:hAnsi="Times New Roman"/>
          <w:bCs/>
          <w:sz w:val="24"/>
          <w:szCs w:val="24"/>
        </w:rPr>
        <w:t>konkrēti</w:t>
      </w:r>
      <w:r w:rsidR="00BA05D5">
        <w:rPr>
          <w:rFonts w:ascii="Times New Roman" w:hAnsi="Times New Roman"/>
          <w:bCs/>
          <w:sz w:val="24"/>
          <w:szCs w:val="24"/>
        </w:rPr>
        <w:t xml:space="preserve"> pasākumi, kurie</w:t>
      </w:r>
      <w:r w:rsidR="001B0CC8">
        <w:rPr>
          <w:rFonts w:ascii="Times New Roman" w:hAnsi="Times New Roman"/>
          <w:bCs/>
          <w:sz w:val="24"/>
          <w:szCs w:val="24"/>
        </w:rPr>
        <w:t>m nepieciešam</w:t>
      </w:r>
      <w:r w:rsidR="00BA05D5">
        <w:rPr>
          <w:rFonts w:ascii="Times New Roman" w:hAnsi="Times New Roman"/>
          <w:bCs/>
          <w:sz w:val="24"/>
          <w:szCs w:val="24"/>
        </w:rPr>
        <w:t>a</w:t>
      </w:r>
      <w:r w:rsidR="001B0CC8">
        <w:rPr>
          <w:rFonts w:ascii="Times New Roman" w:hAnsi="Times New Roman"/>
          <w:bCs/>
          <w:sz w:val="24"/>
          <w:szCs w:val="24"/>
        </w:rPr>
        <w:t xml:space="preserve"> </w:t>
      </w:r>
      <w:r>
        <w:rPr>
          <w:rFonts w:ascii="Times New Roman" w:hAnsi="Times New Roman"/>
          <w:bCs/>
          <w:sz w:val="24"/>
          <w:szCs w:val="24"/>
        </w:rPr>
        <w:t>papildu finansējuma piešķiršana.</w:t>
      </w:r>
    </w:p>
    <w:p w:rsidR="001B0CC8" w:rsidRDefault="001B0CC8" w:rsidP="001B0CC8">
      <w:pPr>
        <w:pStyle w:val="NoSpacing"/>
        <w:ind w:firstLine="720"/>
        <w:jc w:val="both"/>
        <w:rPr>
          <w:rFonts w:ascii="Times New Roman" w:hAnsi="Times New Roman"/>
          <w:bCs/>
          <w:sz w:val="24"/>
          <w:szCs w:val="24"/>
        </w:rPr>
      </w:pPr>
    </w:p>
    <w:p w:rsidR="000D0DC3" w:rsidRPr="00DA46F4" w:rsidRDefault="000D0DC3" w:rsidP="00772859">
      <w:pPr>
        <w:pStyle w:val="ListParagraph"/>
        <w:numPr>
          <w:ilvl w:val="0"/>
          <w:numId w:val="16"/>
        </w:numPr>
        <w:autoSpaceDE w:val="0"/>
        <w:autoSpaceDN w:val="0"/>
        <w:adjustRightInd w:val="0"/>
        <w:spacing w:after="0" w:line="240" w:lineRule="auto"/>
        <w:ind w:left="0" w:firstLine="720"/>
        <w:jc w:val="center"/>
        <w:rPr>
          <w:rFonts w:ascii="Times New Roman" w:hAnsi="Times New Roman"/>
          <w:b/>
          <w:bCs/>
          <w:sz w:val="28"/>
          <w:szCs w:val="28"/>
        </w:rPr>
      </w:pPr>
      <w:r w:rsidRPr="00DA46F4">
        <w:rPr>
          <w:rFonts w:ascii="Times New Roman" w:hAnsi="Times New Roman" w:cs="Times New Roman"/>
          <w:b/>
          <w:color w:val="000000"/>
          <w:sz w:val="28"/>
          <w:szCs w:val="28"/>
          <w:u w:val="single"/>
          <w:lang w:val="lv-LV"/>
        </w:rPr>
        <w:t xml:space="preserve">Deficīta segšanai nepieciešamais finansējums </w:t>
      </w:r>
    </w:p>
    <w:p w:rsidR="00351EEB" w:rsidRPr="00FC5F33" w:rsidRDefault="0040040B" w:rsidP="00772859">
      <w:pPr>
        <w:pStyle w:val="NoSpacing"/>
        <w:spacing w:before="120"/>
        <w:ind w:firstLine="720"/>
        <w:jc w:val="both"/>
        <w:rPr>
          <w:rFonts w:ascii="Times New Roman" w:hAnsi="Times New Roman"/>
          <w:b/>
          <w:sz w:val="28"/>
          <w:szCs w:val="28"/>
        </w:rPr>
      </w:pPr>
      <w:r w:rsidRPr="00FC5F33">
        <w:rPr>
          <w:rFonts w:ascii="Times New Roman" w:hAnsi="Times New Roman"/>
          <w:b/>
          <w:sz w:val="28"/>
          <w:szCs w:val="28"/>
        </w:rPr>
        <w:t>1</w:t>
      </w:r>
      <w:r w:rsidR="001B0CC8" w:rsidRPr="00FC5F33">
        <w:rPr>
          <w:rFonts w:ascii="Times New Roman" w:hAnsi="Times New Roman"/>
          <w:b/>
          <w:sz w:val="28"/>
          <w:szCs w:val="28"/>
        </w:rPr>
        <w:t xml:space="preserve">. </w:t>
      </w:r>
      <w:r w:rsidR="00870FB5" w:rsidRPr="00FC5F33">
        <w:rPr>
          <w:rFonts w:ascii="Times New Roman" w:hAnsi="Times New Roman"/>
          <w:b/>
          <w:sz w:val="28"/>
          <w:szCs w:val="28"/>
        </w:rPr>
        <w:t>A</w:t>
      </w:r>
      <w:r w:rsidR="001B0CC8" w:rsidRPr="00FC5F33">
        <w:rPr>
          <w:rFonts w:ascii="Times New Roman" w:hAnsi="Times New Roman"/>
          <w:b/>
          <w:sz w:val="28"/>
          <w:szCs w:val="28"/>
        </w:rPr>
        <w:t>mbulatorajai ārstēšanai paredzēto zāļu un medicīnisko ierīču</w:t>
      </w:r>
      <w:r w:rsidR="00870FB5" w:rsidRPr="00FC5F33">
        <w:rPr>
          <w:rFonts w:ascii="Times New Roman" w:hAnsi="Times New Roman"/>
          <w:b/>
          <w:sz w:val="28"/>
          <w:szCs w:val="28"/>
        </w:rPr>
        <w:t xml:space="preserve"> iegādes izdevumu kompensācijai</w:t>
      </w:r>
      <w:r w:rsidR="00B307D6" w:rsidRPr="00FC5F33">
        <w:rPr>
          <w:rFonts w:ascii="Times New Roman" w:hAnsi="Times New Roman"/>
          <w:b/>
          <w:sz w:val="28"/>
          <w:szCs w:val="28"/>
        </w:rPr>
        <w:t xml:space="preserve"> </w:t>
      </w:r>
      <w:r w:rsidR="001B0CC8" w:rsidRPr="00FC5F33">
        <w:rPr>
          <w:rFonts w:ascii="Times New Roman" w:hAnsi="Times New Roman"/>
          <w:b/>
          <w:sz w:val="28"/>
          <w:szCs w:val="28"/>
        </w:rPr>
        <w:t>vispārējā kārtībā un individuāliem pacientiem</w:t>
      </w:r>
    </w:p>
    <w:p w:rsidR="00772859" w:rsidRPr="004C17CD" w:rsidRDefault="00772859" w:rsidP="00772859">
      <w:pPr>
        <w:pStyle w:val="NormalWeb"/>
        <w:spacing w:before="120" w:after="0"/>
        <w:ind w:firstLine="709"/>
        <w:jc w:val="both"/>
      </w:pPr>
      <w:r>
        <w:t>Lai nodrošinātu pilnvērtīgu pacientu ārstēšanu ambulatorās veselības aprūpes līmenī</w:t>
      </w:r>
      <w:r w:rsidR="008C0A88">
        <w:t>, kā arī noteikta veselības stā</w:t>
      </w:r>
      <w:r>
        <w:t xml:space="preserve">vokļa uzturēšanu, lai persona nezaudētu darbspēju, un mazinātu nepieciešamību pacientiem ārstēties slimnīcā, ir jānodrošina pietiekams atbalsts kompensējamo zāļu saņemšanā no valsts puses. Par to, ka piešķirtie finanšu līdzekļi ambulatorajai ārstēšanai paredzēto zāļu un medicīnisko ierīču kompensācijai ir nepietiekoši gadu no gada apliecina fakts, </w:t>
      </w:r>
      <w:r w:rsidRPr="000D0DC3">
        <w:t xml:space="preserve">ka </w:t>
      </w:r>
      <w:r>
        <w:t>gan</w:t>
      </w:r>
      <w:r w:rsidRPr="000D0DC3">
        <w:t xml:space="preserve"> 2011.gadā Veselības ministrijai tika piešķirti papildu finanšu līdzekļi ambulatorajai ārstēšanai paredzēto zāļu un medicīnisko ierīču iegādes izdevumu kompensācijai </w:t>
      </w:r>
      <w:r>
        <w:t>5 475 214</w:t>
      </w:r>
      <w:r w:rsidRPr="000D0DC3">
        <w:t xml:space="preserve"> latu apmērā (Ministru kabineta 2011.gada </w:t>
      </w:r>
      <w:r w:rsidR="008C39D5">
        <w:t xml:space="preserve">19.jūlija </w:t>
      </w:r>
      <w:r w:rsidRPr="000D0DC3">
        <w:t>rīkojums Nr.323</w:t>
      </w:r>
      <w:r>
        <w:t xml:space="preserve"> un </w:t>
      </w:r>
      <w:r w:rsidRPr="000D0DC3">
        <w:t xml:space="preserve">Ministru kabineta 2011.gada </w:t>
      </w:r>
      <w:r w:rsidR="008C39D5">
        <w:t xml:space="preserve">5.septembra </w:t>
      </w:r>
      <w:r w:rsidRPr="000D0DC3">
        <w:t>rīkojums Nr.</w:t>
      </w:r>
      <w:r>
        <w:t>432</w:t>
      </w:r>
      <w:r w:rsidRPr="000D0DC3">
        <w:t xml:space="preserve">), </w:t>
      </w:r>
      <w:r>
        <w:t>gan</w:t>
      </w:r>
      <w:r w:rsidRPr="000D0DC3">
        <w:t xml:space="preserve"> 2012.gadā papildus piešķirti </w:t>
      </w:r>
      <w:r>
        <w:t>4 848 445</w:t>
      </w:r>
      <w:r w:rsidRPr="000D0DC3">
        <w:t xml:space="preserve"> lati</w:t>
      </w:r>
      <w:r>
        <w:t xml:space="preserve"> ar grozījumiem likumā „Par valsts budžetu 2012.gadam” un 1 789 104 lati pārdalīti no Sociālās drošības tīkla stratēģijas pasākumiem atbilstoši Ministru kabineta 2012.gada 10.jūlija protokola Nr.39 </w:t>
      </w:r>
      <w:r w:rsidR="008C39D5">
        <w:t xml:space="preserve">50.§ </w:t>
      </w:r>
      <w:r>
        <w:t xml:space="preserve">4.2.punktam. </w:t>
      </w:r>
    </w:p>
    <w:p w:rsidR="00772859" w:rsidRPr="00351EEB" w:rsidRDefault="00772859" w:rsidP="00772859">
      <w:pPr>
        <w:pStyle w:val="NormalWeb"/>
        <w:spacing w:before="0" w:after="0"/>
        <w:ind w:firstLine="709"/>
        <w:jc w:val="both"/>
      </w:pPr>
      <w:r>
        <w:t>Z</w:t>
      </w:r>
      <w:r w:rsidRPr="00351EEB">
        <w:t xml:space="preserve">āļu un medicīnisko ierīču iegādes izdevumu kompensācijas </w:t>
      </w:r>
      <w:r>
        <w:t xml:space="preserve">sistēmas </w:t>
      </w:r>
      <w:r w:rsidRPr="00351EEB">
        <w:t xml:space="preserve">tiesiskais pamats ir Ministru kabineta 2006.gada 31.oktobra noteikumi Nr.899 „Ambulatorajai ārstēšanai paredzēto zāļu un </w:t>
      </w:r>
      <w:r w:rsidRPr="00351EEB">
        <w:lastRenderedPageBreak/>
        <w:t>medicīnisko ierīču iegādes izdevumu kompensācijas kārtība”</w:t>
      </w:r>
      <w:r>
        <w:t xml:space="preserve"> (turpmāk – noteikumi Nr.899)</w:t>
      </w:r>
      <w:r w:rsidRPr="00351EEB">
        <w:t xml:space="preserve">. Kompensācijas kārtība ietver pasākumu kopumu, kas pacientam nodrošina iespēju iegādāties zāles un medicīniskās ierīces, kuru iegādes izdevumus daļēji vai pilnībā sedz </w:t>
      </w:r>
      <w:r>
        <w:t xml:space="preserve">Nacionālais veselības dienests (valsts vārdā) </w:t>
      </w:r>
      <w:r w:rsidRPr="00351EEB">
        <w:t>no likumā pa</w:t>
      </w:r>
      <w:r>
        <w:t xml:space="preserve">r valsts budžetu kārtējam gadam </w:t>
      </w:r>
      <w:r w:rsidRPr="00351EEB">
        <w:t>piešķirtajiem līdzekļiem</w:t>
      </w:r>
      <w:r>
        <w:t xml:space="preserve">. Kompensējamo zāļu sistēma </w:t>
      </w:r>
      <w:r w:rsidRPr="00351EEB">
        <w:t xml:space="preserve">tiek veidota pēc šāda pamatprincipa – sarakstā tiek iekļautas zāles, kas atbilst starptautiskām ārstēšanas vadlīnijām konkrētās diagnozes terapijas shēmām un ir ar pierādītu klīnisko un izmaksu efektivitāti. </w:t>
      </w:r>
      <w:r>
        <w:t>Kompensējamo zāļu sistēmas</w:t>
      </w:r>
      <w:r w:rsidRPr="00351EEB">
        <w:t xml:space="preserve"> veidošana ir balstīta uz zāļu terapeitisko un ekonomisko novērtēšanu, kā arī uz zāļu izmaksu un cenu analīzi. </w:t>
      </w:r>
    </w:p>
    <w:p w:rsidR="00772859" w:rsidRPr="00351EEB" w:rsidRDefault="00772859" w:rsidP="00772859">
      <w:pPr>
        <w:pStyle w:val="BodyText2"/>
        <w:spacing w:after="0" w:line="240" w:lineRule="auto"/>
        <w:ind w:firstLine="720"/>
        <w:jc w:val="both"/>
        <w:rPr>
          <w:b/>
          <w:lang w:val="lv-LV"/>
        </w:rPr>
      </w:pPr>
      <w:r w:rsidRPr="00351EEB">
        <w:rPr>
          <w:lang w:val="lv-LV"/>
        </w:rPr>
        <w:t xml:space="preserve">Kompensējamo zāļu sistēma sastāv no </w:t>
      </w:r>
      <w:r>
        <w:rPr>
          <w:bCs/>
          <w:lang w:val="lv-LV"/>
        </w:rPr>
        <w:t>A saraksta</w:t>
      </w:r>
      <w:r w:rsidRPr="00351EEB">
        <w:rPr>
          <w:bCs/>
          <w:lang w:val="lv-LV"/>
        </w:rPr>
        <w:t xml:space="preserve">, </w:t>
      </w:r>
      <w:r>
        <w:rPr>
          <w:bCs/>
          <w:szCs w:val="20"/>
          <w:lang w:val="lv-LV"/>
        </w:rPr>
        <w:t>B saraksta, C saraksta,</w:t>
      </w:r>
      <w:r w:rsidRPr="00351EEB">
        <w:rPr>
          <w:bCs/>
          <w:szCs w:val="20"/>
          <w:lang w:val="lv-LV"/>
        </w:rPr>
        <w:t xml:space="preserve"> M saraksta</w:t>
      </w:r>
      <w:r w:rsidRPr="00351EEB">
        <w:rPr>
          <w:b/>
          <w:bCs/>
          <w:szCs w:val="20"/>
          <w:lang w:val="lv-LV"/>
        </w:rPr>
        <w:t xml:space="preserve">  </w:t>
      </w:r>
      <w:r w:rsidRPr="00351EEB">
        <w:rPr>
          <w:rStyle w:val="Strong"/>
          <w:b w:val="0"/>
          <w:lang w:val="lv-LV"/>
        </w:rPr>
        <w:t>(saskaņā ar Mātes un bērna veselības  uzlabošanas plānu 2012.-2014.gadam, no kura var izvēlēties zāles izrakstīšanai grūtniecēm, sievietēm pēcdzemdību periodā un bērniem</w:t>
      </w:r>
      <w:r>
        <w:rPr>
          <w:rStyle w:val="Strong"/>
          <w:b w:val="0"/>
          <w:lang w:val="lv-LV"/>
        </w:rPr>
        <w:t xml:space="preserve">, </w:t>
      </w:r>
      <w:r w:rsidRPr="00351EEB">
        <w:rPr>
          <w:rStyle w:val="Strong"/>
          <w:b w:val="0"/>
          <w:lang w:val="lv-LV"/>
        </w:rPr>
        <w:t>spēkā no 2012.gada 1.septembra</w:t>
      </w:r>
      <w:r>
        <w:rPr>
          <w:rStyle w:val="Strong"/>
          <w:b w:val="0"/>
          <w:lang w:val="lv-LV"/>
        </w:rPr>
        <w:t xml:space="preserve">) un </w:t>
      </w:r>
      <w:bookmarkStart w:id="0" w:name="58770"/>
      <w:r w:rsidRPr="004D6C02">
        <w:rPr>
          <w:lang w:val="lv-LV"/>
        </w:rPr>
        <w:t>zāļu un medicīnisko ierīču kompensācijas individuālām personām</w:t>
      </w:r>
      <w:bookmarkEnd w:id="0"/>
      <w:r w:rsidRPr="00351EEB">
        <w:rPr>
          <w:rStyle w:val="Strong"/>
          <w:b w:val="0"/>
          <w:lang w:val="lv-LV"/>
        </w:rPr>
        <w:t>.</w:t>
      </w:r>
    </w:p>
    <w:p w:rsidR="00772859" w:rsidRPr="004C17CD" w:rsidRDefault="00772859" w:rsidP="00772859">
      <w:pPr>
        <w:tabs>
          <w:tab w:val="left" w:pos="426"/>
        </w:tabs>
        <w:spacing w:after="0" w:line="240" w:lineRule="auto"/>
        <w:ind w:right="-34" w:firstLine="425"/>
        <w:jc w:val="both"/>
        <w:rPr>
          <w:rFonts w:ascii="Times New Roman" w:hAnsi="Times New Roman" w:cs="Times New Roman"/>
          <w:sz w:val="24"/>
          <w:szCs w:val="24"/>
          <w:lang w:val="lv-LV" w:bidi="en-US"/>
        </w:rPr>
      </w:pPr>
      <w:r w:rsidRPr="004C17CD">
        <w:rPr>
          <w:rFonts w:ascii="Times New Roman" w:hAnsi="Times New Roman" w:cs="Times New Roman"/>
          <w:sz w:val="24"/>
          <w:szCs w:val="24"/>
          <w:lang w:val="lv-LV"/>
        </w:rPr>
        <w:t xml:space="preserve">Zāļu kompensācija individuāliem pacientiem tiek nodrošināta </w:t>
      </w:r>
      <w:r w:rsidRPr="004C17CD">
        <w:rPr>
          <w:rFonts w:ascii="Times New Roman" w:hAnsi="Times New Roman" w:cs="Times New Roman"/>
          <w:sz w:val="24"/>
          <w:szCs w:val="24"/>
          <w:lang w:val="lv-LV" w:bidi="en-US"/>
        </w:rPr>
        <w:t>šādos gadījumos:</w:t>
      </w:r>
    </w:p>
    <w:p w:rsidR="00772859" w:rsidRDefault="00772859" w:rsidP="00772859">
      <w:pPr>
        <w:numPr>
          <w:ilvl w:val="0"/>
          <w:numId w:val="1"/>
        </w:numPr>
        <w:spacing w:after="0" w:line="240" w:lineRule="auto"/>
        <w:jc w:val="both"/>
        <w:rPr>
          <w:rFonts w:ascii="Times New Roman" w:hAnsi="Times New Roman" w:cs="Times New Roman"/>
          <w:sz w:val="24"/>
          <w:szCs w:val="24"/>
          <w:lang w:val="lv-LV"/>
        </w:rPr>
      </w:pPr>
      <w:r w:rsidRPr="004C17CD">
        <w:rPr>
          <w:rFonts w:ascii="Times New Roman" w:hAnsi="Times New Roman" w:cs="Times New Roman"/>
          <w:sz w:val="24"/>
          <w:szCs w:val="24"/>
          <w:lang w:val="lv-LV" w:bidi="en-US"/>
        </w:rPr>
        <w:t>ja diagnoze nav iekļauta noteikumu Nr.899 1.pielikumā „</w:t>
      </w:r>
      <w:r w:rsidRPr="004C17CD">
        <w:rPr>
          <w:rFonts w:ascii="Times New Roman" w:hAnsi="Times New Roman" w:cs="Times New Roman"/>
          <w:bCs/>
          <w:sz w:val="24"/>
          <w:szCs w:val="24"/>
          <w:lang w:val="lv-LV"/>
        </w:rPr>
        <w:t>Slimības, kuru ārstēšanai paredzēto zāļu un medicīnisko ierīču iegādes izdevumi tiek kompensēti</w:t>
      </w:r>
      <w:r w:rsidRPr="004C17CD">
        <w:rPr>
          <w:rFonts w:ascii="Times New Roman" w:hAnsi="Times New Roman" w:cs="Times New Roman"/>
          <w:sz w:val="24"/>
          <w:szCs w:val="24"/>
          <w:lang w:val="lv-LV" w:bidi="en-US"/>
        </w:rPr>
        <w:t>”, un attiecīgās slimības ārstēšanā bez konkrēto zāļu lietošanas nav iespējams uzturēt pacienta dzīvības funkcijas (šajā apakšpunktā noteiktajā gadījumā netiek apmaksāta medicīnisko ierīču iegāde);</w:t>
      </w:r>
    </w:p>
    <w:p w:rsidR="00772859" w:rsidRPr="00032E48" w:rsidRDefault="00772859" w:rsidP="00772859">
      <w:pPr>
        <w:numPr>
          <w:ilvl w:val="0"/>
          <w:numId w:val="1"/>
        </w:numPr>
        <w:spacing w:after="0" w:line="240" w:lineRule="auto"/>
        <w:jc w:val="both"/>
        <w:rPr>
          <w:rFonts w:ascii="Times New Roman" w:hAnsi="Times New Roman" w:cs="Times New Roman"/>
          <w:sz w:val="24"/>
          <w:szCs w:val="24"/>
          <w:lang w:val="lv-LV"/>
        </w:rPr>
      </w:pPr>
      <w:r w:rsidRPr="00032E48">
        <w:rPr>
          <w:rFonts w:ascii="Times New Roman" w:hAnsi="Times New Roman" w:cs="Times New Roman"/>
          <w:sz w:val="24"/>
          <w:szCs w:val="24"/>
          <w:lang w:val="lv-LV" w:bidi="en-US"/>
        </w:rPr>
        <w:t xml:space="preserve">ja </w:t>
      </w:r>
      <w:r w:rsidRPr="00032E48">
        <w:rPr>
          <w:rFonts w:ascii="Times New Roman" w:eastAsia="Times New Roman" w:hAnsi="Times New Roman" w:cs="Times New Roman"/>
          <w:sz w:val="24"/>
          <w:szCs w:val="24"/>
          <w:lang w:val="lv-LV"/>
        </w:rPr>
        <w:t xml:space="preserve">diagnoze ir iekļauta </w:t>
      </w:r>
      <w:r w:rsidRPr="00032E48">
        <w:rPr>
          <w:rFonts w:ascii="Times New Roman" w:hAnsi="Times New Roman" w:cs="Times New Roman"/>
          <w:sz w:val="24"/>
          <w:szCs w:val="24"/>
          <w:lang w:val="lv-LV" w:bidi="en-US"/>
        </w:rPr>
        <w:t xml:space="preserve">noteikumu Nr.899 </w:t>
      </w:r>
      <w:hyperlink r:id="rId10" w:anchor="piel1" w:history="1">
        <w:r w:rsidRPr="00032E48">
          <w:rPr>
            <w:rFonts w:ascii="Times New Roman" w:eastAsia="Times New Roman" w:hAnsi="Times New Roman" w:cs="Times New Roman"/>
            <w:sz w:val="24"/>
            <w:szCs w:val="24"/>
            <w:lang w:val="lv-LV"/>
          </w:rPr>
          <w:t>1.pielikumā</w:t>
        </w:r>
      </w:hyperlink>
      <w:r w:rsidRPr="00032E48">
        <w:rPr>
          <w:rFonts w:ascii="Times New Roman" w:eastAsia="Times New Roman" w:hAnsi="Times New Roman" w:cs="Times New Roman"/>
          <w:sz w:val="24"/>
          <w:szCs w:val="24"/>
          <w:lang w:val="lv-LV"/>
        </w:rPr>
        <w:t xml:space="preserve"> </w:t>
      </w:r>
      <w:r w:rsidRPr="00032E48">
        <w:rPr>
          <w:rFonts w:ascii="Times New Roman" w:hAnsi="Times New Roman" w:cs="Times New Roman"/>
          <w:sz w:val="24"/>
          <w:szCs w:val="24"/>
          <w:lang w:val="lv-LV" w:bidi="en-US"/>
        </w:rPr>
        <w:t>„</w:t>
      </w:r>
      <w:r w:rsidRPr="00032E48">
        <w:rPr>
          <w:rFonts w:ascii="Times New Roman" w:hAnsi="Times New Roman" w:cs="Times New Roman"/>
          <w:bCs/>
          <w:sz w:val="24"/>
          <w:szCs w:val="24"/>
          <w:lang w:val="lv-LV"/>
        </w:rPr>
        <w:t>Slimības, kuru ārstēšanai paredzēto zāļu un medicīnisko ierīču iegādes izdevumi tiek kompensēti</w:t>
      </w:r>
      <w:r w:rsidRPr="00032E48">
        <w:rPr>
          <w:rFonts w:ascii="Times New Roman" w:hAnsi="Times New Roman" w:cs="Times New Roman"/>
          <w:sz w:val="24"/>
          <w:szCs w:val="24"/>
          <w:lang w:val="lv-LV" w:bidi="en-US"/>
        </w:rPr>
        <w:t>”</w:t>
      </w:r>
      <w:r w:rsidRPr="00032E48">
        <w:rPr>
          <w:rFonts w:ascii="Times New Roman" w:eastAsia="Times New Roman" w:hAnsi="Times New Roman" w:cs="Times New Roman"/>
          <w:sz w:val="24"/>
          <w:szCs w:val="24"/>
          <w:lang w:val="lv-LV"/>
        </w:rPr>
        <w:t>, bet kompensējamo zāļu sarakstā nav iekļautas nevienas zāles un medicīniskās ierīces attiecīgās diagnozes ārstēšanai</w:t>
      </w:r>
      <w:r w:rsidRPr="00032E48">
        <w:rPr>
          <w:rFonts w:ascii="Times New Roman" w:hAnsi="Times New Roman" w:cs="Times New Roman"/>
          <w:sz w:val="24"/>
          <w:szCs w:val="24"/>
          <w:lang w:val="lv-LV" w:bidi="en-US"/>
        </w:rPr>
        <w:t>.</w:t>
      </w:r>
    </w:p>
    <w:p w:rsidR="00351EEB" w:rsidRPr="00351EEB" w:rsidRDefault="00351EEB" w:rsidP="00C55113">
      <w:pPr>
        <w:pStyle w:val="BodyText2"/>
        <w:spacing w:before="120" w:after="0" w:line="240" w:lineRule="auto"/>
        <w:ind w:firstLine="357"/>
        <w:jc w:val="both"/>
        <w:rPr>
          <w:lang w:val="lv-LV"/>
        </w:rPr>
      </w:pPr>
      <w:r w:rsidRPr="00351EEB">
        <w:rPr>
          <w:lang w:val="lv-LV"/>
        </w:rPr>
        <w:t>2012</w:t>
      </w:r>
      <w:r w:rsidR="00C55113">
        <w:rPr>
          <w:lang w:val="lv-LV"/>
        </w:rPr>
        <w:t>.gadā  zāļu iegādes izdevumi ti</w:t>
      </w:r>
      <w:r w:rsidRPr="00351EEB">
        <w:rPr>
          <w:lang w:val="lv-LV"/>
        </w:rPr>
        <w:t>k</w:t>
      </w:r>
      <w:r w:rsidR="00C55113">
        <w:rPr>
          <w:lang w:val="lv-LV"/>
        </w:rPr>
        <w:t xml:space="preserve">a kompensēti no trim valsts budžeta </w:t>
      </w:r>
      <w:r w:rsidRPr="00351EEB">
        <w:rPr>
          <w:lang w:val="lv-LV"/>
        </w:rPr>
        <w:t xml:space="preserve">programmām/apakšprogrammām – programmas 33.00.00 „Veselības aprūpes nodrošināšana” apakšprogrammas 33.03.00 „Kompensējamo medikamentu un materiālu apmaksāšana” un apakšprogrammas 33.13.00 „Sociālās drošības tīkla stratēģijas pasākumu īstenošana” un programmas 37.00.00 „Starptautisko saistību un līgumu izpildes nodrošināšana” apakšprogrammas 37.03.00 „Krievijas Federācijas militāro pensionāru veselības aprūpe”. </w:t>
      </w:r>
    </w:p>
    <w:p w:rsidR="00772859" w:rsidRPr="00351EEB" w:rsidRDefault="00772859" w:rsidP="00772859">
      <w:pPr>
        <w:pStyle w:val="BodyText2"/>
        <w:spacing w:after="0" w:line="240" w:lineRule="auto"/>
        <w:ind w:firstLine="360"/>
        <w:jc w:val="both"/>
        <w:rPr>
          <w:lang w:val="lv-LV"/>
        </w:rPr>
      </w:pPr>
      <w:r w:rsidRPr="00351EEB">
        <w:rPr>
          <w:lang w:val="lv-LV"/>
        </w:rPr>
        <w:t xml:space="preserve">Atbilstoši likumam ”Par valsts budžetu 2012.gadam” plānotie finanšu resursi valsts budžeta apakšprogrammā 33.03.00 „Kompensējamo medikamentu un materiālu apmaksāšana” </w:t>
      </w:r>
      <w:r>
        <w:rPr>
          <w:lang w:val="lv-LV"/>
        </w:rPr>
        <w:t xml:space="preserve"> - </w:t>
      </w:r>
      <w:r w:rsidRPr="00351EEB">
        <w:rPr>
          <w:lang w:val="lv-LV"/>
        </w:rPr>
        <w:t xml:space="preserve">83 218 602, apakšprogrammā 37.03.00 „Krievijas Federācijas militāro pensionāru veselības aprūpe” </w:t>
      </w:r>
      <w:r>
        <w:rPr>
          <w:lang w:val="lv-LV"/>
        </w:rPr>
        <w:t xml:space="preserve"> - </w:t>
      </w:r>
      <w:r w:rsidRPr="00351EEB">
        <w:rPr>
          <w:lang w:val="lv-LV"/>
        </w:rPr>
        <w:t>477 863 lati un apakšprogrammā 33.13.00 „Sociālās drošības tīkla stratēģijas</w:t>
      </w:r>
      <w:r>
        <w:rPr>
          <w:lang w:val="lv-LV"/>
        </w:rPr>
        <w:t xml:space="preserve"> pasākumu īstenošana” – Ls 3 43</w:t>
      </w:r>
      <w:r w:rsidRPr="00351EEB">
        <w:rPr>
          <w:lang w:val="lv-LV"/>
        </w:rPr>
        <w:t>0</w:t>
      </w:r>
      <w:r>
        <w:rPr>
          <w:lang w:val="lv-LV"/>
        </w:rPr>
        <w:t xml:space="preserve"> </w:t>
      </w:r>
      <w:r w:rsidRPr="00351EEB">
        <w:rPr>
          <w:lang w:val="lv-LV"/>
        </w:rPr>
        <w:t>318. Kopā finansējums Ls 87 126 783.</w:t>
      </w:r>
    </w:p>
    <w:p w:rsidR="00372F46" w:rsidRDefault="00372F46" w:rsidP="00FF6C50">
      <w:pPr>
        <w:pStyle w:val="BodyText2"/>
        <w:spacing w:after="0" w:line="240" w:lineRule="auto"/>
        <w:ind w:firstLine="360"/>
        <w:jc w:val="both"/>
        <w:rPr>
          <w:lang w:val="lv-LV"/>
        </w:rPr>
      </w:pPr>
      <w:r w:rsidRPr="00351EEB">
        <w:rPr>
          <w:lang w:val="lv-LV"/>
        </w:rPr>
        <w:t xml:space="preserve">2013.gada </w:t>
      </w:r>
      <w:r>
        <w:rPr>
          <w:lang w:val="lv-LV"/>
        </w:rPr>
        <w:t xml:space="preserve">budžetā ir izslēgta </w:t>
      </w:r>
      <w:r w:rsidRPr="00351EEB">
        <w:rPr>
          <w:lang w:val="lv-LV"/>
        </w:rPr>
        <w:t xml:space="preserve">atsevišķa apakšprogramma 33.13.00 „Sociālās drošības tīkla stratēģijas pasākumu īstenošana”, jo līdzekļi Sociālās drošības tīkla stratēģijas pasākumu turpināšanai </w:t>
      </w:r>
      <w:r>
        <w:rPr>
          <w:lang w:val="lv-LV"/>
        </w:rPr>
        <w:t>ir</w:t>
      </w:r>
      <w:r w:rsidRPr="00351EEB">
        <w:rPr>
          <w:lang w:val="lv-LV"/>
        </w:rPr>
        <w:t xml:space="preserve"> iekļauti apakšprogrammā 33.03.00 „Kompensējamo medikamentu un materiālu apmaksāšana”. Atbilstoši likumam”Par valsts budžetu 2013.gadam” </w:t>
      </w:r>
      <w:r>
        <w:rPr>
          <w:lang w:val="lv-LV"/>
        </w:rPr>
        <w:t>z</w:t>
      </w:r>
      <w:r w:rsidRPr="00351EEB">
        <w:rPr>
          <w:lang w:val="lv-LV"/>
        </w:rPr>
        <w:t xml:space="preserve">āļu iegādes izdevumi tiek kompensēti no </w:t>
      </w:r>
      <w:r>
        <w:rPr>
          <w:lang w:val="lv-LV"/>
        </w:rPr>
        <w:t xml:space="preserve"> divām apakšprogrammām un </w:t>
      </w:r>
      <w:r w:rsidRPr="00351EEB">
        <w:rPr>
          <w:lang w:val="lv-LV"/>
        </w:rPr>
        <w:t xml:space="preserve">plānoti </w:t>
      </w:r>
      <w:r>
        <w:rPr>
          <w:lang w:val="lv-LV"/>
        </w:rPr>
        <w:t xml:space="preserve"> šādā apjomā:</w:t>
      </w:r>
      <w:r w:rsidRPr="00351EEB">
        <w:rPr>
          <w:lang w:val="lv-LV"/>
        </w:rPr>
        <w:t xml:space="preserve"> apakšprogrammā 33.03.00 „Kompensējamo medikamentu u</w:t>
      </w:r>
      <w:r>
        <w:rPr>
          <w:lang w:val="lv-LV"/>
        </w:rPr>
        <w:t xml:space="preserve">n materiālu apmaksāšana” 78 090 </w:t>
      </w:r>
      <w:r w:rsidRPr="00351EEB">
        <w:rPr>
          <w:lang w:val="lv-LV"/>
        </w:rPr>
        <w:t>700 lati un apakšprogrammā 37.03.00 „Krievijas Federācijas militāro pensionāru veselības aprūpe” 477 863 lati. Kopā fina</w:t>
      </w:r>
      <w:r w:rsidR="005D2B8F">
        <w:rPr>
          <w:lang w:val="lv-LV"/>
        </w:rPr>
        <w:t>nsējums ir Ls 78 568 563 (skat.3</w:t>
      </w:r>
      <w:r w:rsidRPr="00351EEB">
        <w:rPr>
          <w:lang w:val="lv-LV"/>
        </w:rPr>
        <w:t xml:space="preserve">.tabulu), kas ir par Ls 8 558 220 mazāk </w:t>
      </w:r>
      <w:r>
        <w:rPr>
          <w:lang w:val="lv-LV"/>
        </w:rPr>
        <w:t>salīdzinājumā ar</w:t>
      </w:r>
      <w:r w:rsidRPr="00351EEB">
        <w:rPr>
          <w:lang w:val="lv-LV"/>
        </w:rPr>
        <w:t xml:space="preserve"> 2012.gadā</w:t>
      </w:r>
      <w:r w:rsidR="00E565E8">
        <w:rPr>
          <w:lang w:val="lv-LV"/>
        </w:rPr>
        <w:t xml:space="preserve"> plānoto (skat.3.tab.).</w:t>
      </w:r>
    </w:p>
    <w:p w:rsidR="00A2740E" w:rsidRDefault="00A2740E" w:rsidP="00351EEB">
      <w:pPr>
        <w:pStyle w:val="BodyText2"/>
        <w:spacing w:after="0" w:line="240" w:lineRule="auto"/>
        <w:ind w:firstLine="360"/>
        <w:jc w:val="right"/>
        <w:rPr>
          <w:lang w:val="lv-LV"/>
        </w:rPr>
      </w:pPr>
    </w:p>
    <w:p w:rsidR="00351EEB" w:rsidRPr="00351EEB" w:rsidRDefault="00351EEB" w:rsidP="00351EEB">
      <w:pPr>
        <w:pStyle w:val="BodyText2"/>
        <w:spacing w:after="0" w:line="240" w:lineRule="auto"/>
        <w:ind w:firstLine="360"/>
        <w:jc w:val="right"/>
        <w:rPr>
          <w:lang w:val="lv-LV"/>
        </w:rPr>
      </w:pPr>
      <w:r w:rsidRPr="00351EEB">
        <w:rPr>
          <w:lang w:val="lv-LV"/>
        </w:rPr>
        <w:t>3.tabula</w:t>
      </w:r>
    </w:p>
    <w:p w:rsidR="00351EEB" w:rsidRPr="00A2740E" w:rsidRDefault="00351EEB" w:rsidP="00351EEB">
      <w:pPr>
        <w:pStyle w:val="BodyText2"/>
        <w:spacing w:after="0" w:line="240" w:lineRule="auto"/>
        <w:ind w:firstLine="360"/>
        <w:jc w:val="center"/>
        <w:rPr>
          <w:b/>
          <w:lang w:val="lv-LV"/>
        </w:rPr>
      </w:pPr>
      <w:r w:rsidRPr="00A2740E">
        <w:rPr>
          <w:b/>
          <w:lang w:val="lv-LV"/>
        </w:rPr>
        <w:t>Kompensējamo zāļu sistēmas finanšu resursi 2012.gadā un 2013.gadā (latos)</w:t>
      </w:r>
    </w:p>
    <w:p w:rsidR="00351EEB" w:rsidRDefault="00351EEB" w:rsidP="00351EEB">
      <w:pPr>
        <w:pStyle w:val="BodyText2"/>
        <w:spacing w:after="0" w:line="240" w:lineRule="auto"/>
        <w:ind w:firstLine="360"/>
        <w:jc w:val="both"/>
        <w:rPr>
          <w:b/>
          <w:lang w:val="lv-LV"/>
        </w:rPr>
      </w:pPr>
    </w:p>
    <w:tbl>
      <w:tblPr>
        <w:tblW w:w="9241" w:type="dxa"/>
        <w:jc w:val="center"/>
        <w:tblInd w:w="94" w:type="dxa"/>
        <w:tblLook w:val="04A0"/>
      </w:tblPr>
      <w:tblGrid>
        <w:gridCol w:w="5543"/>
        <w:gridCol w:w="1134"/>
        <w:gridCol w:w="1304"/>
        <w:gridCol w:w="1260"/>
      </w:tblGrid>
      <w:tr w:rsidR="00351EEB" w:rsidRPr="008F7B85" w:rsidTr="00351EEB">
        <w:trPr>
          <w:trHeight w:val="300"/>
          <w:jc w:val="center"/>
        </w:trPr>
        <w:tc>
          <w:tcPr>
            <w:tcW w:w="55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1EEB" w:rsidRPr="008F7B85" w:rsidRDefault="00351EEB" w:rsidP="00351EEB">
            <w:pPr>
              <w:spacing w:after="0" w:line="240" w:lineRule="auto"/>
              <w:jc w:val="center"/>
              <w:rPr>
                <w:rFonts w:ascii="Times New Roman" w:eastAsia="Times New Roman" w:hAnsi="Times New Roman" w:cs="Times New Roman"/>
                <w:b/>
                <w:bCs/>
                <w:color w:val="000000"/>
                <w:sz w:val="20"/>
                <w:szCs w:val="20"/>
                <w:lang w:val="lv-LV" w:eastAsia="lv-LV"/>
              </w:rPr>
            </w:pPr>
          </w:p>
        </w:tc>
        <w:tc>
          <w:tcPr>
            <w:tcW w:w="24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center"/>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2012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center"/>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2013</w:t>
            </w:r>
          </w:p>
        </w:tc>
      </w:tr>
      <w:tr w:rsidR="00351EEB" w:rsidRPr="008F7B85" w:rsidTr="00351EEB">
        <w:trPr>
          <w:trHeight w:val="300"/>
          <w:jc w:val="center"/>
        </w:trPr>
        <w:tc>
          <w:tcPr>
            <w:tcW w:w="55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1EEB" w:rsidRPr="008F7B85" w:rsidRDefault="00351EEB" w:rsidP="00351EEB">
            <w:pPr>
              <w:spacing w:after="0" w:line="240" w:lineRule="auto"/>
              <w:jc w:val="center"/>
              <w:rPr>
                <w:rFonts w:ascii="Times New Roman" w:eastAsia="Times New Roman" w:hAnsi="Times New Roman" w:cs="Times New Roman"/>
                <w:b/>
                <w:bCs/>
                <w:color w:val="000000"/>
                <w:sz w:val="20"/>
                <w:szCs w:val="20"/>
                <w:lang w:val="lv-LV" w:eastAsia="lv-LV"/>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center"/>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Plāns</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center"/>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Izpilde (naudas plūsma)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center"/>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Plāns</w:t>
            </w:r>
          </w:p>
        </w:tc>
      </w:tr>
      <w:tr w:rsidR="00351EEB" w:rsidRPr="008F7B85" w:rsidTr="00351EEB">
        <w:trPr>
          <w:trHeight w:val="300"/>
          <w:jc w:val="center"/>
        </w:trPr>
        <w:tc>
          <w:tcPr>
            <w:tcW w:w="55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1EEB" w:rsidRPr="008F7B85" w:rsidRDefault="00351EEB" w:rsidP="00351EEB">
            <w:pPr>
              <w:spacing w:after="0" w:line="240" w:lineRule="auto"/>
              <w:jc w:val="center"/>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lastRenderedPageBreak/>
              <w:t>Resursi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87 126 783</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84 648 505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78 568 563</w:t>
            </w:r>
          </w:p>
        </w:tc>
      </w:tr>
      <w:tr w:rsidR="00351EEB" w:rsidRPr="008F7B85" w:rsidTr="00351EEB">
        <w:trPr>
          <w:trHeight w:val="300"/>
          <w:jc w:val="center"/>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EB" w:rsidRPr="008F7B85" w:rsidRDefault="00351EEB" w:rsidP="0040040B">
            <w:pPr>
              <w:spacing w:after="0" w:line="240" w:lineRule="auto"/>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33.03.00 Kompensējamo medikamentu un materiālu apmaksāšana</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83 218 602</w:t>
            </w:r>
          </w:p>
        </w:tc>
        <w:tc>
          <w:tcPr>
            <w:tcW w:w="1304"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80 986 523</w:t>
            </w:r>
          </w:p>
        </w:tc>
        <w:tc>
          <w:tcPr>
            <w:tcW w:w="1260"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78 090 700</w:t>
            </w:r>
          </w:p>
        </w:tc>
      </w:tr>
      <w:tr w:rsidR="00351EEB" w:rsidRPr="008F7B85" w:rsidTr="00351EEB">
        <w:trPr>
          <w:trHeight w:val="300"/>
          <w:jc w:val="center"/>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EB" w:rsidRPr="008F7B85" w:rsidRDefault="00351EEB" w:rsidP="0040040B">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dotācija no vispārējiem ieņēmumiem</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77 413 659</w:t>
            </w:r>
          </w:p>
        </w:tc>
        <w:tc>
          <w:tcPr>
            <w:tcW w:w="1304"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77 413 659</w:t>
            </w:r>
          </w:p>
        </w:tc>
        <w:tc>
          <w:tcPr>
            <w:tcW w:w="1260"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78 075 200</w:t>
            </w:r>
          </w:p>
        </w:tc>
      </w:tr>
      <w:tr w:rsidR="00351EEB" w:rsidRPr="008F7B85" w:rsidTr="00351EEB">
        <w:trPr>
          <w:trHeight w:val="300"/>
          <w:jc w:val="center"/>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EB" w:rsidRPr="008F7B85" w:rsidRDefault="00351EEB" w:rsidP="0040040B">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maksas pakalpojumi un citi pašu ieņēmumi</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4 005 000</w:t>
            </w:r>
          </w:p>
        </w:tc>
        <w:tc>
          <w:tcPr>
            <w:tcW w:w="1304"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1 772 921</w:t>
            </w:r>
          </w:p>
        </w:tc>
        <w:tc>
          <w:tcPr>
            <w:tcW w:w="1260"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15 500</w:t>
            </w:r>
          </w:p>
        </w:tc>
      </w:tr>
      <w:tr w:rsidR="00351EEB" w:rsidRPr="008F7B85" w:rsidTr="00351EEB">
        <w:trPr>
          <w:trHeight w:val="510"/>
          <w:jc w:val="center"/>
        </w:trPr>
        <w:tc>
          <w:tcPr>
            <w:tcW w:w="5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EB" w:rsidRPr="008F7B85" w:rsidRDefault="00351EEB" w:rsidP="0040040B">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maksas pakalpojumu un citi pašu ieņēmumu citu pašu ieņēmumu atlikums</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1 799 943</w:t>
            </w:r>
          </w:p>
        </w:tc>
        <w:tc>
          <w:tcPr>
            <w:tcW w:w="1304"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1 799 943</w:t>
            </w:r>
          </w:p>
        </w:tc>
        <w:tc>
          <w:tcPr>
            <w:tcW w:w="1260"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8F7B85">
            <w:pPr>
              <w:spacing w:after="0" w:line="240" w:lineRule="auto"/>
              <w:jc w:val="center"/>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0</w:t>
            </w:r>
          </w:p>
        </w:tc>
      </w:tr>
      <w:tr w:rsidR="00351EEB" w:rsidRPr="008F7B85" w:rsidTr="00351EEB">
        <w:trPr>
          <w:trHeight w:val="300"/>
          <w:jc w:val="center"/>
        </w:trPr>
        <w:tc>
          <w:tcPr>
            <w:tcW w:w="55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1EEB" w:rsidRPr="008F7B85" w:rsidRDefault="00351EEB" w:rsidP="0040040B">
            <w:pPr>
              <w:spacing w:after="0" w:line="240" w:lineRule="auto"/>
              <w:jc w:val="both"/>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33.13 .00 Sociālā drošības tīkla stratēģijas pasākumu īstenošana</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3 430 318</w:t>
            </w:r>
          </w:p>
        </w:tc>
        <w:tc>
          <w:tcPr>
            <w:tcW w:w="1304"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3 246 432</w:t>
            </w:r>
          </w:p>
        </w:tc>
        <w:tc>
          <w:tcPr>
            <w:tcW w:w="1260"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8F7B85">
            <w:pPr>
              <w:spacing w:after="0" w:line="240" w:lineRule="auto"/>
              <w:jc w:val="center"/>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0</w:t>
            </w:r>
          </w:p>
        </w:tc>
      </w:tr>
      <w:tr w:rsidR="00351EEB" w:rsidRPr="008F7B85" w:rsidTr="00351EEB">
        <w:trPr>
          <w:trHeight w:val="300"/>
          <w:jc w:val="center"/>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dotācija no vispārējiem ieņēmumiem</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3 430 318</w:t>
            </w:r>
          </w:p>
        </w:tc>
        <w:tc>
          <w:tcPr>
            <w:tcW w:w="1304"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3 246 432</w:t>
            </w:r>
          </w:p>
        </w:tc>
        <w:tc>
          <w:tcPr>
            <w:tcW w:w="1260"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8F7B85">
            <w:pPr>
              <w:spacing w:after="0" w:line="240" w:lineRule="auto"/>
              <w:jc w:val="center"/>
              <w:rPr>
                <w:rFonts w:ascii="Times New Roman" w:eastAsia="Times New Roman" w:hAnsi="Times New Roman" w:cs="Times New Roman"/>
                <w:bCs/>
                <w:color w:val="000000"/>
                <w:sz w:val="20"/>
                <w:szCs w:val="20"/>
                <w:lang w:val="lv-LV" w:eastAsia="lv-LV"/>
              </w:rPr>
            </w:pPr>
            <w:r w:rsidRPr="008F7B85">
              <w:rPr>
                <w:rFonts w:ascii="Times New Roman" w:eastAsia="Times New Roman" w:hAnsi="Times New Roman" w:cs="Times New Roman"/>
                <w:bCs/>
                <w:color w:val="000000"/>
                <w:sz w:val="20"/>
                <w:szCs w:val="20"/>
                <w:lang w:val="lv-LV" w:eastAsia="lv-LV"/>
              </w:rPr>
              <w:t>0</w:t>
            </w:r>
          </w:p>
        </w:tc>
      </w:tr>
      <w:tr w:rsidR="00351EEB" w:rsidRPr="008F7B85" w:rsidTr="00351EEB">
        <w:trPr>
          <w:trHeight w:val="300"/>
          <w:jc w:val="center"/>
        </w:trPr>
        <w:tc>
          <w:tcPr>
            <w:tcW w:w="55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1EEB" w:rsidRPr="008F7B85" w:rsidRDefault="00351EEB" w:rsidP="0040040B">
            <w:pPr>
              <w:spacing w:after="0" w:line="240" w:lineRule="auto"/>
              <w:jc w:val="both"/>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37.03.00 Krievijas Federācijas militāro pensionāru veselības aprūpe</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477 863</w:t>
            </w:r>
          </w:p>
        </w:tc>
        <w:tc>
          <w:tcPr>
            <w:tcW w:w="1304"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415 550</w:t>
            </w:r>
          </w:p>
        </w:tc>
        <w:tc>
          <w:tcPr>
            <w:tcW w:w="1260"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b/>
                <w:bCs/>
                <w:color w:val="000000"/>
                <w:sz w:val="20"/>
                <w:szCs w:val="20"/>
                <w:lang w:val="lv-LV" w:eastAsia="lv-LV"/>
              </w:rPr>
            </w:pPr>
            <w:r w:rsidRPr="008F7B85">
              <w:rPr>
                <w:rFonts w:ascii="Times New Roman" w:eastAsia="Times New Roman" w:hAnsi="Times New Roman" w:cs="Times New Roman"/>
                <w:b/>
                <w:bCs/>
                <w:color w:val="000000"/>
                <w:sz w:val="20"/>
                <w:szCs w:val="20"/>
                <w:lang w:val="lv-LV" w:eastAsia="lv-LV"/>
              </w:rPr>
              <w:t>477 863</w:t>
            </w:r>
          </w:p>
        </w:tc>
      </w:tr>
      <w:tr w:rsidR="00351EEB" w:rsidRPr="008F7B85" w:rsidTr="00351EEB">
        <w:trPr>
          <w:trHeight w:val="300"/>
          <w:jc w:val="center"/>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EB" w:rsidRPr="008F7B85" w:rsidRDefault="00351EEB" w:rsidP="00B307D6">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maksas pakalpojumi un citi pašu ieņēmumi</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477 863</w:t>
            </w:r>
          </w:p>
        </w:tc>
        <w:tc>
          <w:tcPr>
            <w:tcW w:w="1304"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415 550</w:t>
            </w:r>
          </w:p>
        </w:tc>
        <w:tc>
          <w:tcPr>
            <w:tcW w:w="1260" w:type="dxa"/>
            <w:tcBorders>
              <w:top w:val="nil"/>
              <w:left w:val="nil"/>
              <w:bottom w:val="single" w:sz="4" w:space="0" w:color="auto"/>
              <w:right w:val="single" w:sz="4" w:space="0" w:color="auto"/>
            </w:tcBorders>
            <w:shd w:val="clear" w:color="auto" w:fill="auto"/>
            <w:noWrap/>
            <w:vAlign w:val="bottom"/>
            <w:hideMark/>
          </w:tcPr>
          <w:p w:rsidR="00351EEB" w:rsidRPr="008F7B85"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8F7B85">
              <w:rPr>
                <w:rFonts w:ascii="Times New Roman" w:eastAsia="Times New Roman" w:hAnsi="Times New Roman" w:cs="Times New Roman"/>
                <w:color w:val="000000"/>
                <w:sz w:val="20"/>
                <w:szCs w:val="20"/>
                <w:lang w:val="lv-LV" w:eastAsia="lv-LV"/>
              </w:rPr>
              <w:t>477 863</w:t>
            </w:r>
          </w:p>
        </w:tc>
      </w:tr>
    </w:tbl>
    <w:p w:rsidR="00C55113" w:rsidRDefault="00C55113" w:rsidP="00C55113">
      <w:pPr>
        <w:pStyle w:val="NoSpacing"/>
        <w:ind w:firstLine="720"/>
        <w:jc w:val="both"/>
        <w:rPr>
          <w:rFonts w:ascii="Times New Roman" w:hAnsi="Times New Roman"/>
          <w:i/>
          <w:sz w:val="20"/>
          <w:szCs w:val="20"/>
        </w:rPr>
      </w:pPr>
      <w:r w:rsidRPr="002040D7">
        <w:rPr>
          <w:rFonts w:ascii="Times New Roman" w:hAnsi="Times New Roman"/>
          <w:i/>
          <w:sz w:val="20"/>
          <w:szCs w:val="20"/>
        </w:rPr>
        <w:t xml:space="preserve">Avots: Veselības ministrija    </w:t>
      </w:r>
    </w:p>
    <w:p w:rsidR="00351EEB" w:rsidRDefault="00351EEB" w:rsidP="00351EEB">
      <w:pPr>
        <w:pStyle w:val="BodyText2"/>
        <w:spacing w:after="0" w:line="240" w:lineRule="auto"/>
        <w:jc w:val="both"/>
        <w:rPr>
          <w:b/>
          <w:lang w:val="lv-LV"/>
        </w:rPr>
      </w:pPr>
    </w:p>
    <w:p w:rsidR="00372F46" w:rsidRDefault="00372F46" w:rsidP="00CF11F6">
      <w:pPr>
        <w:pStyle w:val="BodyText2"/>
        <w:spacing w:after="0" w:line="240" w:lineRule="auto"/>
        <w:ind w:firstLine="720"/>
        <w:jc w:val="both"/>
        <w:rPr>
          <w:lang w:val="lv-LV"/>
        </w:rPr>
      </w:pPr>
      <w:r w:rsidRPr="00351EEB">
        <w:rPr>
          <w:lang w:val="lv-LV"/>
        </w:rPr>
        <w:t>Faktiski saņemtie līdzekļi 2012.gadā bija mazākā apmērā nekā plānots, no valsts budžeta apakšprogrammas 33.03.00 „Kompensējamo medikamentu un materiālu apmaksāšana” saņemti Ls 80 986 523, kas ir par Ls 2 232 079 mazāk nekā plānots. Ieņēmumu s</w:t>
      </w:r>
      <w:r>
        <w:rPr>
          <w:lang w:val="lv-LV"/>
        </w:rPr>
        <w:t>amazinājums saistīts ar to, ka n</w:t>
      </w:r>
      <w:r w:rsidRPr="00351EEB">
        <w:rPr>
          <w:lang w:val="lv-LV"/>
        </w:rPr>
        <w:t>oteikum</w:t>
      </w:r>
      <w:r>
        <w:rPr>
          <w:lang w:val="lv-LV"/>
        </w:rPr>
        <w:t>os</w:t>
      </w:r>
      <w:r w:rsidRPr="00351EEB">
        <w:rPr>
          <w:lang w:val="lv-LV"/>
        </w:rPr>
        <w:t xml:space="preserve"> Nr.899 paredzēt</w:t>
      </w:r>
      <w:r>
        <w:rPr>
          <w:lang w:val="lv-LV"/>
        </w:rPr>
        <w:t>ie</w:t>
      </w:r>
      <w:r w:rsidRPr="00351EEB">
        <w:rPr>
          <w:lang w:val="lv-LV"/>
        </w:rPr>
        <w:t xml:space="preserve"> finanšu līdzdalība</w:t>
      </w:r>
      <w:r>
        <w:rPr>
          <w:lang w:val="lv-LV"/>
        </w:rPr>
        <w:t>s maksājumi</w:t>
      </w:r>
      <w:r w:rsidRPr="00351EEB">
        <w:rPr>
          <w:lang w:val="lv-LV"/>
        </w:rPr>
        <w:t xml:space="preserve"> no zāļu reģistrācijas apliecības turētāju un z</w:t>
      </w:r>
      <w:r>
        <w:rPr>
          <w:lang w:val="lv-LV"/>
        </w:rPr>
        <w:t>āļu vairumtirgotāju (turpmāk –  sistēmas dalībnieki</w:t>
      </w:r>
      <w:r w:rsidRPr="00351EEB">
        <w:rPr>
          <w:lang w:val="lv-LV"/>
        </w:rPr>
        <w:t xml:space="preserve">) puses gadījumā, ja līdzekļu izlietojums zāļu kompensācijai  pārsniedz zāļu kompensācijai piešķirtos līdzekļus attiecīgajā laika periodā, par 2012.gadu netika ieskaitīti pilnā apjomā 2012.gada laikā un vienošanās ar </w:t>
      </w:r>
      <w:r>
        <w:rPr>
          <w:lang w:val="lv-LV"/>
        </w:rPr>
        <w:t>sistēmas dalībniekiem</w:t>
      </w:r>
      <w:r w:rsidRPr="00351EEB">
        <w:rPr>
          <w:lang w:val="lv-LV"/>
        </w:rPr>
        <w:t xml:space="preserve"> par līdzdalības maksājumiem  panākta tikai 2012.gada beigās. No apakšprogrammas 37.03.00 „Krievijas Federācijas militāro pensionāru veselības aprūpe” saņemti Ls 414 550 lati un no apakšprogrammas 33.13.00 „Sociālās drošības tīkla stratēģijas pasākumu īstenošana” – Ls 3 246 432. Kopā  2012.gadā kompensējamo zāļu sistēmai pieejamie finanšu re</w:t>
      </w:r>
      <w:r>
        <w:rPr>
          <w:lang w:val="lv-LV"/>
        </w:rPr>
        <w:t>sursi bija Ls 84 648 505.</w:t>
      </w:r>
    </w:p>
    <w:p w:rsidR="00351EEB" w:rsidRPr="00351EEB" w:rsidRDefault="00351EEB" w:rsidP="00CF11F6">
      <w:pPr>
        <w:pStyle w:val="BodyText2"/>
        <w:spacing w:after="0" w:line="240" w:lineRule="auto"/>
        <w:ind w:firstLine="720"/>
        <w:jc w:val="both"/>
        <w:rPr>
          <w:lang w:val="lv-LV"/>
        </w:rPr>
      </w:pPr>
      <w:r w:rsidRPr="00351EEB">
        <w:rPr>
          <w:lang w:val="lv-LV"/>
        </w:rPr>
        <w:t xml:space="preserve">Zāļu kompensācijas sistēmas ietvaros 2012.gadā pacientiem aptiekās izsniegtas kompensējamās zāles </w:t>
      </w:r>
      <w:r w:rsidR="007626F9">
        <w:rPr>
          <w:lang w:val="lv-LV"/>
        </w:rPr>
        <w:t xml:space="preserve">visu iepriekš minēto valsts budžeta apakšprogrammu ietvaros </w:t>
      </w:r>
      <w:r w:rsidRPr="00351EEB">
        <w:rPr>
          <w:lang w:val="lv-LV"/>
        </w:rPr>
        <w:t xml:space="preserve">par </w:t>
      </w:r>
      <w:r w:rsidRPr="00C55113">
        <w:rPr>
          <w:u w:val="single"/>
          <w:lang w:val="lv-LV"/>
        </w:rPr>
        <w:t>Ls 81 551 798</w:t>
      </w:r>
      <w:r w:rsidRPr="00351EEB">
        <w:rPr>
          <w:lang w:val="lv-LV"/>
        </w:rPr>
        <w:t>. Tajā skaitā lielāko daļu Ls 74 827 268 (91,8% no kopējā izsniegto kompensējamo zāļu apjoma) veido A un B sarakstā iekļautās zāles. C sarakstā iekļautās zāles   izsniegtas Ls 5 429 455 (6,6%) apjomā, individuāliem pacientiem - Ls 1 219 134 (1,5%) un Mātes un bērna veselības uzlabošan</w:t>
      </w:r>
      <w:r w:rsidR="00CF11F6">
        <w:rPr>
          <w:lang w:val="lv-LV"/>
        </w:rPr>
        <w:t>as plāna pasākumiem Ls 75 970 (</w:t>
      </w:r>
      <w:r w:rsidR="00446466">
        <w:rPr>
          <w:lang w:val="lv-LV"/>
        </w:rPr>
        <w:t xml:space="preserve">skat. </w:t>
      </w:r>
      <w:r w:rsidR="00CF11F6">
        <w:rPr>
          <w:lang w:val="lv-LV"/>
        </w:rPr>
        <w:t>4.tab.</w:t>
      </w:r>
      <w:r w:rsidRPr="00351EEB">
        <w:rPr>
          <w:lang w:val="lv-LV"/>
        </w:rPr>
        <w:t>)</w:t>
      </w:r>
      <w:r w:rsidR="00E565E8">
        <w:rPr>
          <w:lang w:val="lv-LV"/>
        </w:rPr>
        <w:t>.</w:t>
      </w:r>
    </w:p>
    <w:p w:rsidR="00351EEB" w:rsidRPr="00351EEB" w:rsidRDefault="00351EEB" w:rsidP="00351EEB">
      <w:pPr>
        <w:pStyle w:val="BodyText2"/>
        <w:spacing w:after="0" w:line="240" w:lineRule="auto"/>
        <w:ind w:firstLine="360"/>
        <w:jc w:val="right"/>
        <w:rPr>
          <w:lang w:val="lv-LV"/>
        </w:rPr>
      </w:pPr>
      <w:r w:rsidRPr="00351EEB">
        <w:rPr>
          <w:lang w:val="lv-LV"/>
        </w:rPr>
        <w:t>4.tabula</w:t>
      </w:r>
    </w:p>
    <w:p w:rsidR="00CF11F6" w:rsidRDefault="00CF11F6" w:rsidP="00CF11F6">
      <w:pPr>
        <w:pStyle w:val="BodyText2"/>
        <w:spacing w:after="0" w:line="240" w:lineRule="auto"/>
        <w:ind w:firstLine="360"/>
        <w:jc w:val="center"/>
        <w:rPr>
          <w:lang w:val="lv-LV"/>
        </w:rPr>
      </w:pPr>
    </w:p>
    <w:p w:rsidR="00351EEB" w:rsidRPr="00B307D6" w:rsidRDefault="00351EEB" w:rsidP="00CF11F6">
      <w:pPr>
        <w:pStyle w:val="BodyText2"/>
        <w:spacing w:after="0" w:line="240" w:lineRule="auto"/>
        <w:ind w:firstLine="360"/>
        <w:jc w:val="center"/>
        <w:rPr>
          <w:b/>
          <w:lang w:val="lv-LV"/>
        </w:rPr>
      </w:pPr>
      <w:r w:rsidRPr="00B307D6">
        <w:rPr>
          <w:b/>
          <w:lang w:val="lv-LV"/>
        </w:rPr>
        <w:t>Zāļu kompensācijas sistēmai 2012.gadā un 2013.gadā plānotie apjomi un izpilde</w:t>
      </w:r>
    </w:p>
    <w:p w:rsidR="00351EEB" w:rsidRDefault="00351EEB" w:rsidP="00351EEB">
      <w:pPr>
        <w:pStyle w:val="BodyText2"/>
        <w:spacing w:after="0" w:line="240" w:lineRule="auto"/>
        <w:ind w:firstLine="360"/>
        <w:jc w:val="center"/>
        <w:rPr>
          <w:b/>
          <w:lang w:val="lv-LV"/>
        </w:rPr>
      </w:pPr>
    </w:p>
    <w:tbl>
      <w:tblPr>
        <w:tblW w:w="10207" w:type="dxa"/>
        <w:tblInd w:w="-176" w:type="dxa"/>
        <w:tblLook w:val="04A0"/>
      </w:tblPr>
      <w:tblGrid>
        <w:gridCol w:w="1586"/>
        <w:gridCol w:w="992"/>
        <w:gridCol w:w="1134"/>
        <w:gridCol w:w="993"/>
        <w:gridCol w:w="1134"/>
        <w:gridCol w:w="992"/>
        <w:gridCol w:w="1134"/>
        <w:gridCol w:w="1108"/>
        <w:gridCol w:w="1134"/>
      </w:tblGrid>
      <w:tr w:rsidR="00351EEB" w:rsidRPr="00351EEB" w:rsidTr="00F6730B">
        <w:trPr>
          <w:trHeight w:val="300"/>
        </w:trPr>
        <w:tc>
          <w:tcPr>
            <w:tcW w:w="15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1EEB" w:rsidRPr="00351EEB" w:rsidRDefault="00351EEB" w:rsidP="00351EEB">
            <w:pPr>
              <w:spacing w:after="0" w:line="240" w:lineRule="auto"/>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 </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2012.gads</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2013.gads</w:t>
            </w:r>
          </w:p>
        </w:tc>
        <w:tc>
          <w:tcPr>
            <w:tcW w:w="2242" w:type="dxa"/>
            <w:gridSpan w:val="2"/>
            <w:tcBorders>
              <w:top w:val="single" w:sz="4" w:space="0" w:color="auto"/>
              <w:left w:val="nil"/>
              <w:bottom w:val="single" w:sz="4" w:space="0" w:color="auto"/>
              <w:right w:val="single" w:sz="4" w:space="0" w:color="000000"/>
            </w:tcBorders>
            <w:shd w:val="clear" w:color="auto" w:fill="auto"/>
            <w:vAlign w:val="center"/>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2013.</w:t>
            </w:r>
          </w:p>
        </w:tc>
      </w:tr>
      <w:tr w:rsidR="00351EEB" w:rsidRPr="00351EEB" w:rsidTr="00F6730B">
        <w:trPr>
          <w:trHeight w:val="825"/>
        </w:trPr>
        <w:tc>
          <w:tcPr>
            <w:tcW w:w="1586" w:type="dxa"/>
            <w:vMerge/>
            <w:tcBorders>
              <w:top w:val="single" w:sz="4" w:space="0" w:color="auto"/>
              <w:left w:val="single" w:sz="4" w:space="0" w:color="auto"/>
              <w:bottom w:val="single" w:sz="4" w:space="0" w:color="auto"/>
              <w:right w:val="single" w:sz="4" w:space="0" w:color="auto"/>
            </w:tcBorders>
            <w:vAlign w:val="center"/>
            <w:hideMark/>
          </w:tcPr>
          <w:p w:rsidR="00351EEB" w:rsidRPr="00351EEB" w:rsidRDefault="00351EEB" w:rsidP="00351EEB">
            <w:pPr>
              <w:spacing w:after="0" w:line="240" w:lineRule="auto"/>
              <w:rPr>
                <w:rFonts w:ascii="Times New Roman" w:eastAsia="Times New Roman" w:hAnsi="Times New Roman" w:cs="Times New Roman"/>
                <w:color w:val="000000"/>
                <w:sz w:val="20"/>
                <w:szCs w:val="20"/>
                <w:lang w:val="lv-LV" w:eastAsia="lv-LV"/>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Plāns</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Faktiskā izpilde (izsniegtās zāles)</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Plāns</w:t>
            </w:r>
          </w:p>
        </w:tc>
        <w:tc>
          <w:tcPr>
            <w:tcW w:w="1108" w:type="dxa"/>
            <w:tcBorders>
              <w:top w:val="nil"/>
              <w:left w:val="nil"/>
              <w:bottom w:val="single" w:sz="4" w:space="0" w:color="auto"/>
              <w:right w:val="single" w:sz="4" w:space="0" w:color="auto"/>
            </w:tcBorders>
            <w:shd w:val="clear" w:color="auto" w:fill="auto"/>
            <w:vAlign w:val="bottom"/>
            <w:hideMark/>
          </w:tcPr>
          <w:p w:rsidR="00351EEB" w:rsidRPr="00351EEB" w:rsidRDefault="00351EEB" w:rsidP="00351EEB">
            <w:pPr>
              <w:spacing w:after="0" w:line="240" w:lineRule="auto"/>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Izpilde (janvāris)</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izpildes prognoze gadam, Ls</w:t>
            </w:r>
          </w:p>
        </w:tc>
      </w:tr>
      <w:tr w:rsidR="00351EEB" w:rsidRPr="00351EEB" w:rsidTr="00F6730B">
        <w:trPr>
          <w:trHeight w:val="540"/>
        </w:trPr>
        <w:tc>
          <w:tcPr>
            <w:tcW w:w="1586" w:type="dxa"/>
            <w:vMerge/>
            <w:tcBorders>
              <w:top w:val="single" w:sz="4" w:space="0" w:color="auto"/>
              <w:left w:val="single" w:sz="4" w:space="0" w:color="auto"/>
              <w:bottom w:val="single" w:sz="4" w:space="0" w:color="auto"/>
              <w:right w:val="single" w:sz="4" w:space="0" w:color="auto"/>
            </w:tcBorders>
            <w:vAlign w:val="center"/>
            <w:hideMark/>
          </w:tcPr>
          <w:p w:rsidR="00351EEB" w:rsidRPr="00351EEB" w:rsidRDefault="00351EEB" w:rsidP="00351EEB">
            <w:pPr>
              <w:spacing w:after="0" w:line="240" w:lineRule="auto"/>
              <w:rPr>
                <w:rFonts w:ascii="Times New Roman" w:eastAsia="Times New Roman" w:hAnsi="Times New Roman" w:cs="Times New Roman"/>
                <w:color w:val="000000"/>
                <w:sz w:val="20"/>
                <w:szCs w:val="20"/>
                <w:lang w:val="lv-LV" w:eastAsia="lv-LV"/>
              </w:rPr>
            </w:pPr>
          </w:p>
        </w:tc>
        <w:tc>
          <w:tcPr>
            <w:tcW w:w="992" w:type="dxa"/>
            <w:tcBorders>
              <w:top w:val="nil"/>
              <w:left w:val="nil"/>
              <w:bottom w:val="single" w:sz="4" w:space="0" w:color="auto"/>
              <w:right w:val="single" w:sz="4" w:space="0" w:color="auto"/>
            </w:tcBorders>
            <w:shd w:val="clear" w:color="auto" w:fill="auto"/>
            <w:vAlign w:val="center"/>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Unikālo pacientu skaits***</w:t>
            </w:r>
          </w:p>
        </w:tc>
        <w:tc>
          <w:tcPr>
            <w:tcW w:w="1134" w:type="dxa"/>
            <w:tcBorders>
              <w:top w:val="nil"/>
              <w:left w:val="nil"/>
              <w:bottom w:val="single" w:sz="4" w:space="0" w:color="auto"/>
              <w:right w:val="single" w:sz="4" w:space="0" w:color="auto"/>
            </w:tcBorders>
            <w:shd w:val="clear" w:color="auto" w:fill="auto"/>
            <w:vAlign w:val="center"/>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Ls</w:t>
            </w:r>
          </w:p>
        </w:tc>
        <w:tc>
          <w:tcPr>
            <w:tcW w:w="993" w:type="dxa"/>
            <w:tcBorders>
              <w:top w:val="nil"/>
              <w:left w:val="nil"/>
              <w:bottom w:val="single" w:sz="4" w:space="0" w:color="auto"/>
              <w:right w:val="single" w:sz="4" w:space="0" w:color="auto"/>
            </w:tcBorders>
            <w:shd w:val="clear" w:color="auto" w:fill="auto"/>
            <w:vAlign w:val="center"/>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Unikālo pacientu skaits***</w:t>
            </w:r>
          </w:p>
        </w:tc>
        <w:tc>
          <w:tcPr>
            <w:tcW w:w="1134" w:type="dxa"/>
            <w:tcBorders>
              <w:top w:val="nil"/>
              <w:left w:val="nil"/>
              <w:bottom w:val="single" w:sz="4" w:space="0" w:color="auto"/>
              <w:right w:val="single" w:sz="4" w:space="0" w:color="auto"/>
            </w:tcBorders>
            <w:shd w:val="clear" w:color="auto" w:fill="auto"/>
            <w:vAlign w:val="center"/>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 xml:space="preserve"> Ls</w:t>
            </w:r>
          </w:p>
        </w:tc>
        <w:tc>
          <w:tcPr>
            <w:tcW w:w="992" w:type="dxa"/>
            <w:tcBorders>
              <w:top w:val="nil"/>
              <w:left w:val="nil"/>
              <w:bottom w:val="single" w:sz="4" w:space="0" w:color="auto"/>
              <w:right w:val="single" w:sz="4" w:space="0" w:color="auto"/>
            </w:tcBorders>
            <w:shd w:val="clear" w:color="auto" w:fill="auto"/>
            <w:vAlign w:val="center"/>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Unikālo pacientu skaits***</w:t>
            </w:r>
          </w:p>
        </w:tc>
        <w:tc>
          <w:tcPr>
            <w:tcW w:w="1134" w:type="dxa"/>
            <w:tcBorders>
              <w:top w:val="nil"/>
              <w:left w:val="nil"/>
              <w:bottom w:val="single" w:sz="4" w:space="0" w:color="auto"/>
              <w:right w:val="single" w:sz="4" w:space="0" w:color="auto"/>
            </w:tcBorders>
            <w:shd w:val="clear" w:color="auto" w:fill="auto"/>
            <w:vAlign w:val="center"/>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Ls</w:t>
            </w:r>
          </w:p>
        </w:tc>
        <w:tc>
          <w:tcPr>
            <w:tcW w:w="1108" w:type="dxa"/>
            <w:tcBorders>
              <w:top w:val="nil"/>
              <w:left w:val="nil"/>
              <w:bottom w:val="single" w:sz="4" w:space="0" w:color="auto"/>
              <w:right w:val="single" w:sz="4" w:space="0" w:color="auto"/>
            </w:tcBorders>
            <w:shd w:val="clear" w:color="auto" w:fill="auto"/>
            <w:vAlign w:val="center"/>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Ls</w:t>
            </w:r>
          </w:p>
        </w:tc>
        <w:tc>
          <w:tcPr>
            <w:tcW w:w="1134" w:type="dxa"/>
            <w:vMerge/>
            <w:tcBorders>
              <w:top w:val="nil"/>
              <w:left w:val="single" w:sz="4" w:space="0" w:color="auto"/>
              <w:bottom w:val="single" w:sz="4" w:space="0" w:color="000000"/>
              <w:right w:val="single" w:sz="4" w:space="0" w:color="auto"/>
            </w:tcBorders>
            <w:vAlign w:val="center"/>
            <w:hideMark/>
          </w:tcPr>
          <w:p w:rsidR="00351EEB" w:rsidRPr="00351EEB" w:rsidRDefault="00351EEB" w:rsidP="00351EEB">
            <w:pPr>
              <w:spacing w:after="0" w:line="240" w:lineRule="auto"/>
              <w:rPr>
                <w:rFonts w:ascii="Times New Roman" w:eastAsia="Times New Roman" w:hAnsi="Times New Roman" w:cs="Times New Roman"/>
                <w:color w:val="000000"/>
                <w:sz w:val="20"/>
                <w:szCs w:val="20"/>
                <w:lang w:val="lv-LV" w:eastAsia="lv-LV"/>
              </w:rPr>
            </w:pPr>
          </w:p>
        </w:tc>
      </w:tr>
      <w:tr w:rsidR="00351EEB" w:rsidRPr="00351EEB" w:rsidTr="00F6730B">
        <w:trPr>
          <w:trHeight w:val="1035"/>
        </w:trPr>
        <w:tc>
          <w:tcPr>
            <w:tcW w:w="1586" w:type="dxa"/>
            <w:tcBorders>
              <w:top w:val="nil"/>
              <w:left w:val="single" w:sz="4" w:space="0" w:color="auto"/>
              <w:bottom w:val="single" w:sz="4" w:space="0" w:color="auto"/>
              <w:right w:val="single" w:sz="4" w:space="0" w:color="auto"/>
            </w:tcBorders>
            <w:shd w:val="clear" w:color="auto" w:fill="auto"/>
            <w:vAlign w:val="bottom"/>
            <w:hideMark/>
          </w:tcPr>
          <w:p w:rsidR="00351EEB" w:rsidRPr="00351EEB" w:rsidRDefault="00F6730B" w:rsidP="00351EEB">
            <w:pPr>
              <w:spacing w:after="0" w:line="240" w:lineRule="auto"/>
              <w:rPr>
                <w:rFonts w:ascii="Times New Roman" w:eastAsia="Times New Roman" w:hAnsi="Times New Roman" w:cs="Times New Roman"/>
                <w:color w:val="000000"/>
                <w:sz w:val="20"/>
                <w:szCs w:val="20"/>
                <w:lang w:val="lv-LV" w:eastAsia="lv-LV"/>
              </w:rPr>
            </w:pPr>
            <w:r w:rsidRPr="00F6730B">
              <w:rPr>
                <w:rFonts w:ascii="Times New Roman" w:eastAsia="Times New Roman" w:hAnsi="Times New Roman" w:cs="Times New Roman"/>
                <w:b/>
                <w:color w:val="000000"/>
                <w:sz w:val="20"/>
                <w:szCs w:val="20"/>
                <w:lang w:val="lv-LV" w:eastAsia="lv-LV"/>
              </w:rPr>
              <w:t>1</w:t>
            </w:r>
            <w:r>
              <w:rPr>
                <w:rFonts w:ascii="Times New Roman" w:eastAsia="Times New Roman" w:hAnsi="Times New Roman" w:cs="Times New Roman"/>
                <w:color w:val="000000"/>
                <w:sz w:val="20"/>
                <w:szCs w:val="20"/>
                <w:lang w:val="lv-LV" w:eastAsia="lv-LV"/>
              </w:rPr>
              <w:t>.</w:t>
            </w:r>
            <w:r w:rsidR="00351EEB" w:rsidRPr="00351EEB">
              <w:rPr>
                <w:rFonts w:ascii="Times New Roman" w:eastAsia="Times New Roman" w:hAnsi="Times New Roman" w:cs="Times New Roman"/>
                <w:color w:val="000000"/>
                <w:sz w:val="20"/>
                <w:szCs w:val="20"/>
                <w:lang w:val="lv-LV" w:eastAsia="lv-LV"/>
              </w:rPr>
              <w:t>zāļu iegādes kompensācija vispārējā kārtībā, tai skaitā:</w:t>
            </w:r>
          </w:p>
        </w:tc>
        <w:tc>
          <w:tcPr>
            <w:tcW w:w="992"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84</w:t>
            </w:r>
            <w:r w:rsidR="00CF11F6">
              <w:rPr>
                <w:rFonts w:ascii="Times New Roman" w:eastAsia="Times New Roman" w:hAnsi="Times New Roman" w:cs="Times New Roman"/>
                <w:color w:val="000000"/>
                <w:sz w:val="20"/>
                <w:szCs w:val="20"/>
                <w:lang w:val="lv-LV" w:eastAsia="lv-LV"/>
              </w:rPr>
              <w:t xml:space="preserve"> </w:t>
            </w:r>
            <w:r w:rsidRPr="00351EEB">
              <w:rPr>
                <w:rFonts w:ascii="Times New Roman" w:eastAsia="Times New Roman" w:hAnsi="Times New Roman" w:cs="Times New Roman"/>
                <w:color w:val="000000"/>
                <w:sz w:val="20"/>
                <w:szCs w:val="20"/>
                <w:lang w:val="lv-LV" w:eastAsia="lv-LV"/>
              </w:rPr>
              <w:t>707 868</w:t>
            </w:r>
          </w:p>
        </w:tc>
        <w:tc>
          <w:tcPr>
            <w:tcW w:w="993"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80 256 723</w:t>
            </w:r>
          </w:p>
        </w:tc>
        <w:tc>
          <w:tcPr>
            <w:tcW w:w="992"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center"/>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76</w:t>
            </w:r>
            <w:r w:rsidR="00CF11F6">
              <w:rPr>
                <w:rFonts w:ascii="Times New Roman" w:eastAsia="Times New Roman" w:hAnsi="Times New Roman" w:cs="Times New Roman"/>
                <w:color w:val="000000"/>
                <w:sz w:val="20"/>
                <w:szCs w:val="20"/>
                <w:lang w:val="lv-LV" w:eastAsia="lv-LV"/>
              </w:rPr>
              <w:t xml:space="preserve"> </w:t>
            </w:r>
            <w:r w:rsidRPr="00351EEB">
              <w:rPr>
                <w:rFonts w:ascii="Times New Roman" w:eastAsia="Times New Roman" w:hAnsi="Times New Roman" w:cs="Times New Roman"/>
                <w:color w:val="000000"/>
                <w:sz w:val="20"/>
                <w:szCs w:val="20"/>
                <w:lang w:val="lv-LV" w:eastAsia="lv-LV"/>
              </w:rPr>
              <w:t>618 208</w:t>
            </w:r>
          </w:p>
        </w:tc>
        <w:tc>
          <w:tcPr>
            <w:tcW w:w="1108"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jc w:val="right"/>
              <w:rPr>
                <w:rFonts w:ascii="Times New Roman" w:hAnsi="Times New Roman" w:cs="Times New Roman"/>
                <w:color w:val="000000"/>
                <w:sz w:val="20"/>
                <w:szCs w:val="20"/>
                <w:lang w:val="lv-LV"/>
              </w:rPr>
            </w:pPr>
            <w:r w:rsidRPr="00351EEB">
              <w:rPr>
                <w:rFonts w:ascii="Times New Roman" w:hAnsi="Times New Roman" w:cs="Times New Roman"/>
                <w:color w:val="000000"/>
                <w:sz w:val="20"/>
                <w:szCs w:val="20"/>
                <w:lang w:val="lv-LV"/>
              </w:rPr>
              <w:t>6767 691</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jc w:val="right"/>
              <w:rPr>
                <w:rFonts w:ascii="Times New Roman" w:hAnsi="Times New Roman" w:cs="Times New Roman"/>
                <w:color w:val="000000"/>
                <w:sz w:val="20"/>
                <w:szCs w:val="20"/>
                <w:lang w:val="lv-LV"/>
              </w:rPr>
            </w:pPr>
            <w:r w:rsidRPr="00351EEB">
              <w:rPr>
                <w:rFonts w:ascii="Times New Roman" w:hAnsi="Times New Roman" w:cs="Times New Roman"/>
                <w:color w:val="000000"/>
                <w:sz w:val="20"/>
                <w:szCs w:val="20"/>
                <w:lang w:val="lv-LV"/>
              </w:rPr>
              <w:t>82 730 706</w:t>
            </w:r>
          </w:p>
        </w:tc>
      </w:tr>
      <w:tr w:rsidR="00351EEB" w:rsidRPr="00351EEB" w:rsidTr="00F6730B">
        <w:trPr>
          <w:trHeight w:val="30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351EEB" w:rsidRPr="00351EEB" w:rsidRDefault="00F6730B" w:rsidP="00351EEB">
            <w:pPr>
              <w:spacing w:after="0" w:line="240" w:lineRule="auto"/>
              <w:jc w:val="right"/>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lastRenderedPageBreak/>
              <w:t>1.1.</w:t>
            </w:r>
            <w:r w:rsidR="00351EEB" w:rsidRPr="00351EEB">
              <w:rPr>
                <w:rFonts w:ascii="Times New Roman" w:eastAsia="Times New Roman" w:hAnsi="Times New Roman" w:cs="Times New Roman"/>
                <w:color w:val="000000"/>
                <w:sz w:val="20"/>
                <w:szCs w:val="20"/>
                <w:lang w:val="lv-LV" w:eastAsia="lv-LV"/>
              </w:rPr>
              <w:t>A saraksts un B saraksts</w:t>
            </w:r>
          </w:p>
        </w:tc>
        <w:tc>
          <w:tcPr>
            <w:tcW w:w="992"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543</w:t>
            </w:r>
            <w:r w:rsidR="00CF11F6">
              <w:rPr>
                <w:rFonts w:ascii="Times New Roman" w:eastAsia="Times New Roman" w:hAnsi="Times New Roman" w:cs="Times New Roman"/>
                <w:color w:val="000000"/>
                <w:sz w:val="20"/>
                <w:szCs w:val="20"/>
                <w:lang w:val="lv-LV" w:eastAsia="lv-LV"/>
              </w:rPr>
              <w:t xml:space="preserve"> </w:t>
            </w:r>
            <w:r w:rsidRPr="00351EEB">
              <w:rPr>
                <w:rFonts w:ascii="Times New Roman" w:eastAsia="Times New Roman" w:hAnsi="Times New Roman" w:cs="Times New Roman"/>
                <w:color w:val="000000"/>
                <w:sz w:val="20"/>
                <w:szCs w:val="20"/>
                <w:lang w:val="lv-LV" w:eastAsia="lv-LV"/>
              </w:rPr>
              <w:t>680</w:t>
            </w:r>
          </w:p>
        </w:tc>
        <w:tc>
          <w:tcPr>
            <w:tcW w:w="1134" w:type="dxa"/>
            <w:tcBorders>
              <w:top w:val="nil"/>
              <w:left w:val="nil"/>
              <w:bottom w:val="nil"/>
              <w:right w:val="nil"/>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78</w:t>
            </w:r>
            <w:r w:rsidR="00CF11F6">
              <w:rPr>
                <w:rFonts w:ascii="Times New Roman" w:eastAsia="Times New Roman" w:hAnsi="Times New Roman" w:cs="Times New Roman"/>
                <w:color w:val="000000"/>
                <w:sz w:val="20"/>
                <w:szCs w:val="20"/>
                <w:lang w:val="lv-LV" w:eastAsia="lv-LV"/>
              </w:rPr>
              <w:t xml:space="preserve"> 514 </w:t>
            </w:r>
            <w:r w:rsidRPr="00351EEB">
              <w:rPr>
                <w:rFonts w:ascii="Times New Roman" w:eastAsia="Times New Roman" w:hAnsi="Times New Roman" w:cs="Times New Roman"/>
                <w:color w:val="000000"/>
                <w:sz w:val="20"/>
                <w:szCs w:val="20"/>
                <w:lang w:val="lv-LV" w:eastAsia="lv-LV"/>
              </w:rPr>
              <w:t>946</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554</w:t>
            </w:r>
            <w:r w:rsidR="00CF11F6">
              <w:rPr>
                <w:rFonts w:ascii="Times New Roman" w:eastAsia="Times New Roman" w:hAnsi="Times New Roman" w:cs="Times New Roman"/>
                <w:color w:val="000000"/>
                <w:sz w:val="20"/>
                <w:szCs w:val="20"/>
                <w:lang w:val="lv-LV" w:eastAsia="lv-LV"/>
              </w:rPr>
              <w:t xml:space="preserve"> </w:t>
            </w:r>
            <w:r w:rsidRPr="00351EEB">
              <w:rPr>
                <w:rFonts w:ascii="Times New Roman" w:eastAsia="Times New Roman" w:hAnsi="Times New Roman" w:cs="Times New Roman"/>
                <w:color w:val="000000"/>
                <w:sz w:val="20"/>
                <w:szCs w:val="20"/>
                <w:lang w:val="lv-LV" w:eastAsia="lv-LV"/>
              </w:rPr>
              <w:t>268</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74 827 268</w:t>
            </w:r>
          </w:p>
        </w:tc>
        <w:tc>
          <w:tcPr>
            <w:tcW w:w="992"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554</w:t>
            </w:r>
            <w:r w:rsidR="00CF11F6">
              <w:rPr>
                <w:rFonts w:ascii="Times New Roman" w:eastAsia="Times New Roman" w:hAnsi="Times New Roman" w:cs="Times New Roman"/>
                <w:color w:val="000000"/>
                <w:sz w:val="20"/>
                <w:szCs w:val="20"/>
                <w:lang w:val="lv-LV" w:eastAsia="lv-LV"/>
              </w:rPr>
              <w:t xml:space="preserve"> </w:t>
            </w:r>
            <w:r w:rsidRPr="00351EEB">
              <w:rPr>
                <w:rFonts w:ascii="Times New Roman" w:eastAsia="Times New Roman" w:hAnsi="Times New Roman" w:cs="Times New Roman"/>
                <w:color w:val="000000"/>
                <w:sz w:val="20"/>
                <w:szCs w:val="20"/>
                <w:lang w:val="lv-LV" w:eastAsia="lv-LV"/>
              </w:rPr>
              <w:t>268</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67</w:t>
            </w:r>
            <w:r w:rsidR="00CF11F6">
              <w:rPr>
                <w:rFonts w:ascii="Times New Roman" w:eastAsia="Times New Roman" w:hAnsi="Times New Roman" w:cs="Times New Roman"/>
                <w:color w:val="000000"/>
                <w:sz w:val="20"/>
                <w:szCs w:val="20"/>
                <w:lang w:val="lv-LV" w:eastAsia="lv-LV"/>
              </w:rPr>
              <w:t xml:space="preserve"> </w:t>
            </w:r>
            <w:r w:rsidRPr="00351EEB">
              <w:rPr>
                <w:rFonts w:ascii="Times New Roman" w:eastAsia="Times New Roman" w:hAnsi="Times New Roman" w:cs="Times New Roman"/>
                <w:color w:val="000000"/>
                <w:sz w:val="20"/>
                <w:szCs w:val="20"/>
                <w:lang w:val="lv-LV" w:eastAsia="lv-LV"/>
              </w:rPr>
              <w:t>743 878</w:t>
            </w:r>
          </w:p>
        </w:tc>
        <w:tc>
          <w:tcPr>
            <w:tcW w:w="1108"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jc w:val="right"/>
              <w:rPr>
                <w:rFonts w:ascii="Times New Roman" w:hAnsi="Times New Roman" w:cs="Times New Roman"/>
                <w:color w:val="000000"/>
                <w:sz w:val="20"/>
                <w:szCs w:val="20"/>
                <w:lang w:val="lv-LV"/>
              </w:rPr>
            </w:pPr>
            <w:r w:rsidRPr="00351EEB">
              <w:rPr>
                <w:rFonts w:ascii="Times New Roman" w:hAnsi="Times New Roman" w:cs="Times New Roman"/>
                <w:color w:val="000000"/>
                <w:sz w:val="20"/>
                <w:szCs w:val="20"/>
                <w:lang w:val="lv-LV"/>
              </w:rPr>
              <w:t>6</w:t>
            </w:r>
            <w:r w:rsidR="00CF11F6">
              <w:rPr>
                <w:rFonts w:ascii="Times New Roman" w:hAnsi="Times New Roman" w:cs="Times New Roman"/>
                <w:color w:val="000000"/>
                <w:sz w:val="20"/>
                <w:szCs w:val="20"/>
                <w:lang w:val="lv-LV"/>
              </w:rPr>
              <w:t xml:space="preserve"> </w:t>
            </w:r>
            <w:r w:rsidRPr="00351EEB">
              <w:rPr>
                <w:rFonts w:ascii="Times New Roman" w:hAnsi="Times New Roman" w:cs="Times New Roman"/>
                <w:color w:val="000000"/>
                <w:sz w:val="20"/>
                <w:szCs w:val="20"/>
                <w:lang w:val="lv-LV"/>
              </w:rPr>
              <w:t>154 698</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jc w:val="right"/>
              <w:rPr>
                <w:rFonts w:ascii="Times New Roman" w:hAnsi="Times New Roman" w:cs="Times New Roman"/>
                <w:color w:val="000000"/>
                <w:sz w:val="20"/>
                <w:szCs w:val="20"/>
                <w:lang w:val="lv-LV"/>
              </w:rPr>
            </w:pPr>
            <w:r w:rsidRPr="00351EEB">
              <w:rPr>
                <w:rFonts w:ascii="Times New Roman" w:hAnsi="Times New Roman" w:cs="Times New Roman"/>
                <w:color w:val="000000"/>
                <w:sz w:val="20"/>
                <w:szCs w:val="20"/>
                <w:lang w:val="lv-LV"/>
              </w:rPr>
              <w:t>73 856 376</w:t>
            </w:r>
          </w:p>
        </w:tc>
      </w:tr>
      <w:tr w:rsidR="00351EEB" w:rsidRPr="00351EEB" w:rsidTr="00F6730B">
        <w:trPr>
          <w:trHeight w:val="30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351EEB" w:rsidRPr="00351EEB" w:rsidRDefault="00F6730B" w:rsidP="00351EEB">
            <w:pPr>
              <w:spacing w:after="0" w:line="240" w:lineRule="auto"/>
              <w:jc w:val="right"/>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1.2.</w:t>
            </w:r>
            <w:r w:rsidR="00351EEB" w:rsidRPr="00351EEB">
              <w:rPr>
                <w:rFonts w:ascii="Times New Roman" w:eastAsia="Times New Roman" w:hAnsi="Times New Roman" w:cs="Times New Roman"/>
                <w:color w:val="000000"/>
                <w:sz w:val="20"/>
                <w:szCs w:val="20"/>
                <w:lang w:val="lv-LV" w:eastAsia="lv-LV"/>
              </w:rPr>
              <w:t>C saraksts**</w:t>
            </w:r>
          </w:p>
        </w:tc>
        <w:tc>
          <w:tcPr>
            <w:tcW w:w="992"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576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 xml:space="preserve">6 </w:t>
            </w:r>
            <w:r w:rsidR="00CF11F6">
              <w:rPr>
                <w:rFonts w:ascii="Times New Roman" w:eastAsia="Times New Roman" w:hAnsi="Times New Roman" w:cs="Times New Roman"/>
                <w:color w:val="000000"/>
                <w:sz w:val="20"/>
                <w:szCs w:val="20"/>
                <w:lang w:val="lv-LV" w:eastAsia="lv-LV"/>
              </w:rPr>
              <w:t xml:space="preserve"> </w:t>
            </w:r>
            <w:r w:rsidRPr="00351EEB">
              <w:rPr>
                <w:rFonts w:ascii="Times New Roman" w:eastAsia="Times New Roman" w:hAnsi="Times New Roman" w:cs="Times New Roman"/>
                <w:color w:val="000000"/>
                <w:sz w:val="20"/>
                <w:szCs w:val="20"/>
                <w:lang w:val="lv-LV" w:eastAsia="lv-LV"/>
              </w:rPr>
              <w:t>192 922</w:t>
            </w:r>
          </w:p>
        </w:tc>
        <w:tc>
          <w:tcPr>
            <w:tcW w:w="993"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486</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5 429 455</w:t>
            </w:r>
          </w:p>
        </w:tc>
        <w:tc>
          <w:tcPr>
            <w:tcW w:w="992"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683</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8 874 330</w:t>
            </w:r>
          </w:p>
        </w:tc>
        <w:tc>
          <w:tcPr>
            <w:tcW w:w="1108"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jc w:val="right"/>
              <w:rPr>
                <w:rFonts w:ascii="Times New Roman" w:hAnsi="Times New Roman" w:cs="Times New Roman"/>
                <w:color w:val="000000"/>
                <w:sz w:val="20"/>
                <w:szCs w:val="20"/>
                <w:lang w:val="lv-LV"/>
              </w:rPr>
            </w:pPr>
            <w:r w:rsidRPr="00351EEB">
              <w:rPr>
                <w:rFonts w:ascii="Times New Roman" w:hAnsi="Times New Roman" w:cs="Times New Roman"/>
                <w:color w:val="000000"/>
                <w:sz w:val="20"/>
                <w:szCs w:val="20"/>
                <w:lang w:val="lv-LV"/>
              </w:rPr>
              <w:t>612 993</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jc w:val="right"/>
              <w:rPr>
                <w:rFonts w:ascii="Times New Roman" w:hAnsi="Times New Roman" w:cs="Times New Roman"/>
                <w:color w:val="000000"/>
                <w:sz w:val="20"/>
                <w:szCs w:val="20"/>
                <w:lang w:val="lv-LV"/>
              </w:rPr>
            </w:pPr>
            <w:r w:rsidRPr="00351EEB">
              <w:rPr>
                <w:rFonts w:ascii="Times New Roman" w:hAnsi="Times New Roman" w:cs="Times New Roman"/>
                <w:color w:val="000000"/>
                <w:sz w:val="20"/>
                <w:szCs w:val="20"/>
                <w:lang w:val="lv-LV"/>
              </w:rPr>
              <w:t>8 874 330</w:t>
            </w:r>
          </w:p>
        </w:tc>
      </w:tr>
      <w:tr w:rsidR="00351EEB" w:rsidRPr="00351EEB" w:rsidTr="00F6730B">
        <w:trPr>
          <w:trHeight w:val="30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351EEB" w:rsidRPr="00351EEB" w:rsidRDefault="00F6730B" w:rsidP="00351EEB">
            <w:pPr>
              <w:spacing w:after="0" w:line="240" w:lineRule="auto"/>
              <w:rPr>
                <w:rFonts w:ascii="Times New Roman" w:eastAsia="Times New Roman" w:hAnsi="Times New Roman" w:cs="Times New Roman"/>
                <w:color w:val="000000"/>
                <w:sz w:val="20"/>
                <w:szCs w:val="20"/>
                <w:lang w:val="lv-LV" w:eastAsia="lv-LV"/>
              </w:rPr>
            </w:pPr>
            <w:r w:rsidRPr="00F6730B">
              <w:rPr>
                <w:rFonts w:ascii="Times New Roman" w:eastAsia="Times New Roman" w:hAnsi="Times New Roman" w:cs="Times New Roman"/>
                <w:b/>
                <w:color w:val="000000"/>
                <w:sz w:val="20"/>
                <w:szCs w:val="20"/>
                <w:lang w:val="lv-LV" w:eastAsia="lv-LV"/>
              </w:rPr>
              <w:t>2</w:t>
            </w:r>
            <w:r>
              <w:rPr>
                <w:rFonts w:ascii="Times New Roman" w:eastAsia="Times New Roman" w:hAnsi="Times New Roman" w:cs="Times New Roman"/>
                <w:color w:val="000000"/>
                <w:sz w:val="20"/>
                <w:szCs w:val="20"/>
                <w:lang w:val="lv-LV" w:eastAsia="lv-LV"/>
              </w:rPr>
              <w:t>.</w:t>
            </w:r>
            <w:r w:rsidR="00351EEB" w:rsidRPr="00351EEB">
              <w:rPr>
                <w:rFonts w:ascii="Times New Roman" w:eastAsia="Times New Roman" w:hAnsi="Times New Roman" w:cs="Times New Roman"/>
                <w:color w:val="000000"/>
                <w:sz w:val="20"/>
                <w:szCs w:val="20"/>
                <w:lang w:val="lv-LV" w:eastAsia="lv-LV"/>
              </w:rPr>
              <w:t>Individuālie pacienti *</w:t>
            </w:r>
          </w:p>
        </w:tc>
        <w:tc>
          <w:tcPr>
            <w:tcW w:w="992"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1055</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2 322 410</w:t>
            </w:r>
          </w:p>
        </w:tc>
        <w:tc>
          <w:tcPr>
            <w:tcW w:w="993"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554</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1 219 134</w:t>
            </w:r>
          </w:p>
        </w:tc>
        <w:tc>
          <w:tcPr>
            <w:tcW w:w="992"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712</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1 561 504</w:t>
            </w:r>
          </w:p>
        </w:tc>
        <w:tc>
          <w:tcPr>
            <w:tcW w:w="1108"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jc w:val="right"/>
              <w:rPr>
                <w:rFonts w:ascii="Times New Roman" w:hAnsi="Times New Roman" w:cs="Times New Roman"/>
                <w:color w:val="000000"/>
                <w:sz w:val="20"/>
                <w:szCs w:val="20"/>
                <w:lang w:val="lv-LV"/>
              </w:rPr>
            </w:pPr>
            <w:r w:rsidRPr="00351EEB">
              <w:rPr>
                <w:rFonts w:ascii="Times New Roman" w:hAnsi="Times New Roman" w:cs="Times New Roman"/>
                <w:color w:val="000000"/>
                <w:sz w:val="20"/>
                <w:szCs w:val="20"/>
                <w:lang w:val="lv-LV"/>
              </w:rPr>
              <w:t>140 084</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jc w:val="right"/>
              <w:rPr>
                <w:rFonts w:ascii="Times New Roman" w:hAnsi="Times New Roman" w:cs="Times New Roman"/>
                <w:color w:val="000000"/>
                <w:sz w:val="20"/>
                <w:szCs w:val="20"/>
                <w:lang w:val="lv-LV"/>
              </w:rPr>
            </w:pPr>
            <w:r w:rsidRPr="00351EEB">
              <w:rPr>
                <w:rFonts w:ascii="Times New Roman" w:hAnsi="Times New Roman" w:cs="Times New Roman"/>
                <w:color w:val="000000"/>
                <w:sz w:val="20"/>
                <w:szCs w:val="20"/>
                <w:lang w:val="lv-LV"/>
              </w:rPr>
              <w:t>1 561 504</w:t>
            </w:r>
          </w:p>
        </w:tc>
      </w:tr>
      <w:tr w:rsidR="00351EEB" w:rsidRPr="00351EEB" w:rsidTr="00F6730B">
        <w:trPr>
          <w:trHeight w:val="750"/>
        </w:trPr>
        <w:tc>
          <w:tcPr>
            <w:tcW w:w="1586" w:type="dxa"/>
            <w:tcBorders>
              <w:top w:val="nil"/>
              <w:left w:val="single" w:sz="4" w:space="0" w:color="auto"/>
              <w:bottom w:val="single" w:sz="4" w:space="0" w:color="auto"/>
              <w:right w:val="single" w:sz="4" w:space="0" w:color="auto"/>
            </w:tcBorders>
            <w:shd w:val="clear" w:color="auto" w:fill="auto"/>
            <w:vAlign w:val="bottom"/>
            <w:hideMark/>
          </w:tcPr>
          <w:p w:rsidR="00351EEB" w:rsidRPr="00351EEB" w:rsidRDefault="00F6730B" w:rsidP="00351EEB">
            <w:pPr>
              <w:spacing w:after="0" w:line="240" w:lineRule="auto"/>
              <w:rPr>
                <w:rFonts w:ascii="Times New Roman" w:eastAsia="Times New Roman" w:hAnsi="Times New Roman" w:cs="Times New Roman"/>
                <w:color w:val="000000"/>
                <w:sz w:val="20"/>
                <w:szCs w:val="20"/>
                <w:lang w:val="lv-LV" w:eastAsia="lv-LV"/>
              </w:rPr>
            </w:pPr>
            <w:r w:rsidRPr="00F6730B">
              <w:rPr>
                <w:rFonts w:ascii="Times New Roman" w:eastAsia="Times New Roman" w:hAnsi="Times New Roman" w:cs="Times New Roman"/>
                <w:b/>
                <w:color w:val="000000"/>
                <w:sz w:val="20"/>
                <w:szCs w:val="20"/>
                <w:lang w:val="lv-LV" w:eastAsia="lv-LV"/>
              </w:rPr>
              <w:t>3.</w:t>
            </w:r>
            <w:r>
              <w:rPr>
                <w:rFonts w:ascii="Times New Roman" w:eastAsia="Times New Roman" w:hAnsi="Times New Roman" w:cs="Times New Roman"/>
                <w:color w:val="000000"/>
                <w:sz w:val="20"/>
                <w:szCs w:val="20"/>
                <w:lang w:val="lv-LV" w:eastAsia="lv-LV"/>
              </w:rPr>
              <w:t xml:space="preserve"> </w:t>
            </w:r>
            <w:r w:rsidR="00351EEB" w:rsidRPr="00351EEB">
              <w:rPr>
                <w:rFonts w:ascii="Times New Roman" w:eastAsia="Times New Roman" w:hAnsi="Times New Roman" w:cs="Times New Roman"/>
                <w:color w:val="000000"/>
                <w:sz w:val="20"/>
                <w:szCs w:val="20"/>
                <w:lang w:val="lv-LV" w:eastAsia="lv-LV"/>
              </w:rPr>
              <w:t>Mātes un bērna veselības uzlabošanas plāns 2012.-2014.gadam</w:t>
            </w:r>
          </w:p>
        </w:tc>
        <w:tc>
          <w:tcPr>
            <w:tcW w:w="992"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4784</w:t>
            </w:r>
          </w:p>
        </w:tc>
        <w:tc>
          <w:tcPr>
            <w:tcW w:w="1134" w:type="dxa"/>
            <w:tcBorders>
              <w:top w:val="nil"/>
              <w:left w:val="nil"/>
              <w:bottom w:val="nil"/>
              <w:right w:val="nil"/>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96 505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7 444</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75 940</w:t>
            </w:r>
          </w:p>
        </w:tc>
        <w:tc>
          <w:tcPr>
            <w:tcW w:w="992"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10 631</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388 851</w:t>
            </w:r>
          </w:p>
        </w:tc>
        <w:tc>
          <w:tcPr>
            <w:tcW w:w="1108"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jc w:val="right"/>
              <w:rPr>
                <w:rFonts w:ascii="Times New Roman" w:hAnsi="Times New Roman" w:cs="Times New Roman"/>
                <w:color w:val="000000"/>
                <w:sz w:val="20"/>
                <w:szCs w:val="20"/>
                <w:lang w:val="lv-LV"/>
              </w:rPr>
            </w:pPr>
            <w:r w:rsidRPr="00351EEB">
              <w:rPr>
                <w:rFonts w:ascii="Times New Roman" w:hAnsi="Times New Roman" w:cs="Times New Roman"/>
                <w:color w:val="000000"/>
                <w:sz w:val="20"/>
                <w:szCs w:val="20"/>
                <w:lang w:val="lv-LV"/>
              </w:rPr>
              <w:t>40 857</w:t>
            </w:r>
          </w:p>
        </w:tc>
        <w:tc>
          <w:tcPr>
            <w:tcW w:w="1134" w:type="dxa"/>
            <w:tcBorders>
              <w:top w:val="nil"/>
              <w:left w:val="nil"/>
              <w:bottom w:val="single" w:sz="4" w:space="0" w:color="auto"/>
              <w:right w:val="single" w:sz="4" w:space="0" w:color="auto"/>
            </w:tcBorders>
            <w:shd w:val="clear" w:color="auto" w:fill="auto"/>
            <w:noWrap/>
            <w:vAlign w:val="bottom"/>
            <w:hideMark/>
          </w:tcPr>
          <w:p w:rsidR="00351EEB" w:rsidRPr="00351EEB" w:rsidRDefault="00351EEB" w:rsidP="00351EEB">
            <w:pPr>
              <w:jc w:val="right"/>
              <w:rPr>
                <w:rFonts w:ascii="Times New Roman" w:hAnsi="Times New Roman" w:cs="Times New Roman"/>
                <w:color w:val="000000"/>
                <w:sz w:val="20"/>
                <w:szCs w:val="20"/>
                <w:lang w:val="lv-LV"/>
              </w:rPr>
            </w:pPr>
            <w:r w:rsidRPr="00351EEB">
              <w:rPr>
                <w:rFonts w:ascii="Times New Roman" w:hAnsi="Times New Roman" w:cs="Times New Roman"/>
                <w:color w:val="000000"/>
                <w:sz w:val="20"/>
                <w:szCs w:val="20"/>
                <w:lang w:val="lv-LV"/>
              </w:rPr>
              <w:t>490 284</w:t>
            </w:r>
          </w:p>
        </w:tc>
      </w:tr>
      <w:tr w:rsidR="00351EEB" w:rsidRPr="00351EEB" w:rsidTr="00F6730B">
        <w:trPr>
          <w:trHeight w:val="300"/>
        </w:trPr>
        <w:tc>
          <w:tcPr>
            <w:tcW w:w="1586" w:type="dxa"/>
            <w:tcBorders>
              <w:top w:val="nil"/>
              <w:left w:val="single" w:sz="4" w:space="0" w:color="auto"/>
              <w:bottom w:val="single" w:sz="4" w:space="0" w:color="auto"/>
              <w:right w:val="single" w:sz="4" w:space="0" w:color="auto"/>
            </w:tcBorders>
            <w:shd w:val="clear" w:color="auto" w:fill="auto"/>
            <w:noWrap/>
            <w:vAlign w:val="center"/>
            <w:hideMark/>
          </w:tcPr>
          <w:p w:rsidR="00351EEB" w:rsidRPr="00351EEB" w:rsidRDefault="00351EEB" w:rsidP="00CF11F6">
            <w:pPr>
              <w:spacing w:after="0" w:line="240" w:lineRule="auto"/>
              <w:jc w:val="right"/>
              <w:rPr>
                <w:rFonts w:ascii="Times New Roman" w:eastAsia="Times New Roman" w:hAnsi="Times New Roman" w:cs="Times New Roman"/>
                <w:color w:val="000000"/>
                <w:sz w:val="20"/>
                <w:szCs w:val="20"/>
                <w:lang w:val="lv-LV" w:eastAsia="lv-LV"/>
              </w:rPr>
            </w:pPr>
            <w:r w:rsidRPr="00351EEB">
              <w:rPr>
                <w:rFonts w:ascii="Times New Roman" w:eastAsia="Times New Roman" w:hAnsi="Times New Roman" w:cs="Times New Roman"/>
                <w:color w:val="000000"/>
                <w:sz w:val="20"/>
                <w:szCs w:val="20"/>
                <w:lang w:val="lv-LV" w:eastAsia="lv-LV"/>
              </w:rPr>
              <w:t>KOPĀ:</w:t>
            </w:r>
          </w:p>
        </w:tc>
        <w:tc>
          <w:tcPr>
            <w:tcW w:w="992" w:type="dxa"/>
            <w:tcBorders>
              <w:top w:val="nil"/>
              <w:left w:val="nil"/>
              <w:bottom w:val="single" w:sz="4" w:space="0" w:color="auto"/>
              <w:right w:val="single" w:sz="4" w:space="0" w:color="auto"/>
            </w:tcBorders>
            <w:shd w:val="clear" w:color="auto" w:fill="auto"/>
            <w:noWrap/>
            <w:vAlign w:val="center"/>
            <w:hideMark/>
          </w:tcPr>
          <w:p w:rsidR="00351EEB" w:rsidRPr="00351EEB" w:rsidRDefault="00351EEB" w:rsidP="00CF11F6">
            <w:pPr>
              <w:spacing w:after="0" w:line="240" w:lineRule="auto"/>
              <w:jc w:val="center"/>
              <w:rPr>
                <w:rFonts w:ascii="Times New Roman" w:eastAsia="Times New Roman" w:hAnsi="Times New Roman" w:cs="Times New Roman"/>
                <w:b/>
                <w:bCs/>
                <w:color w:val="000000"/>
                <w:sz w:val="20"/>
                <w:szCs w:val="20"/>
                <w:lang w:val="lv-LV" w:eastAsia="lv-LV"/>
              </w:rPr>
            </w:pPr>
            <w:r w:rsidRPr="00351EEB">
              <w:rPr>
                <w:rFonts w:ascii="Times New Roman" w:eastAsia="Times New Roman" w:hAnsi="Times New Roman" w:cs="Times New Roman"/>
                <w:b/>
                <w:bCs/>
                <w:color w:val="000000"/>
                <w:sz w:val="20"/>
                <w:szCs w:val="20"/>
                <w:lang w:val="lv-LV" w:eastAsia="lv-LV"/>
              </w:rPr>
              <w:t>524 282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1EEB" w:rsidRPr="00351EEB" w:rsidRDefault="00351EEB" w:rsidP="00CF11F6">
            <w:pPr>
              <w:spacing w:after="0" w:line="240" w:lineRule="auto"/>
              <w:jc w:val="center"/>
              <w:rPr>
                <w:rFonts w:ascii="Times New Roman" w:eastAsia="Times New Roman" w:hAnsi="Times New Roman" w:cs="Times New Roman"/>
                <w:b/>
                <w:bCs/>
                <w:color w:val="000000"/>
                <w:sz w:val="20"/>
                <w:szCs w:val="20"/>
                <w:lang w:val="lv-LV" w:eastAsia="lv-LV"/>
              </w:rPr>
            </w:pPr>
            <w:r w:rsidRPr="00351EEB">
              <w:rPr>
                <w:rFonts w:ascii="Times New Roman" w:eastAsia="Times New Roman" w:hAnsi="Times New Roman" w:cs="Times New Roman"/>
                <w:b/>
                <w:bCs/>
                <w:color w:val="000000"/>
                <w:sz w:val="20"/>
                <w:szCs w:val="20"/>
                <w:lang w:val="lv-LV" w:eastAsia="lv-LV"/>
              </w:rPr>
              <w:t>87 126 783</w:t>
            </w:r>
          </w:p>
        </w:tc>
        <w:tc>
          <w:tcPr>
            <w:tcW w:w="993" w:type="dxa"/>
            <w:tcBorders>
              <w:top w:val="nil"/>
              <w:left w:val="nil"/>
              <w:bottom w:val="single" w:sz="4" w:space="0" w:color="auto"/>
              <w:right w:val="single" w:sz="4" w:space="0" w:color="auto"/>
            </w:tcBorders>
            <w:shd w:val="clear" w:color="auto" w:fill="auto"/>
            <w:noWrap/>
            <w:vAlign w:val="center"/>
            <w:hideMark/>
          </w:tcPr>
          <w:p w:rsidR="00351EEB" w:rsidRPr="00351EEB" w:rsidRDefault="00351EEB" w:rsidP="00CF11F6">
            <w:pPr>
              <w:spacing w:after="0" w:line="240" w:lineRule="auto"/>
              <w:jc w:val="center"/>
              <w:rPr>
                <w:rFonts w:ascii="Times New Roman" w:eastAsia="Times New Roman" w:hAnsi="Times New Roman" w:cs="Times New Roman"/>
                <w:b/>
                <w:bCs/>
                <w:color w:val="000000"/>
                <w:sz w:val="20"/>
                <w:szCs w:val="20"/>
                <w:lang w:val="lv-LV" w:eastAsia="lv-LV"/>
              </w:rPr>
            </w:pPr>
            <w:r w:rsidRPr="00351EEB">
              <w:rPr>
                <w:rFonts w:ascii="Times New Roman" w:eastAsia="Times New Roman" w:hAnsi="Times New Roman" w:cs="Times New Roman"/>
                <w:b/>
                <w:bCs/>
                <w:color w:val="000000"/>
                <w:sz w:val="20"/>
                <w:szCs w:val="20"/>
                <w:lang w:val="lv-LV" w:eastAsia="lv-LV"/>
              </w:rPr>
              <w:t>559 978</w:t>
            </w:r>
          </w:p>
        </w:tc>
        <w:tc>
          <w:tcPr>
            <w:tcW w:w="1134" w:type="dxa"/>
            <w:tcBorders>
              <w:top w:val="nil"/>
              <w:left w:val="nil"/>
              <w:bottom w:val="single" w:sz="4" w:space="0" w:color="auto"/>
              <w:right w:val="single" w:sz="4" w:space="0" w:color="auto"/>
            </w:tcBorders>
            <w:shd w:val="clear" w:color="auto" w:fill="auto"/>
            <w:noWrap/>
            <w:vAlign w:val="center"/>
            <w:hideMark/>
          </w:tcPr>
          <w:p w:rsidR="00351EEB" w:rsidRPr="00351EEB" w:rsidRDefault="00351EEB" w:rsidP="00CF11F6">
            <w:pPr>
              <w:spacing w:after="0" w:line="240" w:lineRule="auto"/>
              <w:jc w:val="center"/>
              <w:rPr>
                <w:rFonts w:ascii="Times New Roman" w:eastAsia="Times New Roman" w:hAnsi="Times New Roman" w:cs="Times New Roman"/>
                <w:b/>
                <w:bCs/>
                <w:color w:val="000000"/>
                <w:sz w:val="20"/>
                <w:szCs w:val="20"/>
                <w:lang w:val="lv-LV" w:eastAsia="lv-LV"/>
              </w:rPr>
            </w:pPr>
            <w:r w:rsidRPr="00351EEB">
              <w:rPr>
                <w:rFonts w:ascii="Times New Roman" w:eastAsia="Times New Roman" w:hAnsi="Times New Roman" w:cs="Times New Roman"/>
                <w:b/>
                <w:bCs/>
                <w:color w:val="000000"/>
                <w:sz w:val="20"/>
                <w:szCs w:val="20"/>
                <w:lang w:val="lv-LV" w:eastAsia="lv-LV"/>
              </w:rPr>
              <w:t>81 551 798</w:t>
            </w:r>
          </w:p>
        </w:tc>
        <w:tc>
          <w:tcPr>
            <w:tcW w:w="992" w:type="dxa"/>
            <w:tcBorders>
              <w:top w:val="nil"/>
              <w:left w:val="nil"/>
              <w:bottom w:val="single" w:sz="4" w:space="0" w:color="auto"/>
              <w:right w:val="single" w:sz="4" w:space="0" w:color="auto"/>
            </w:tcBorders>
            <w:shd w:val="clear" w:color="auto" w:fill="auto"/>
            <w:noWrap/>
            <w:vAlign w:val="center"/>
            <w:hideMark/>
          </w:tcPr>
          <w:p w:rsidR="00351EEB" w:rsidRPr="00351EEB" w:rsidRDefault="00351EEB" w:rsidP="00CF11F6">
            <w:pPr>
              <w:spacing w:after="0" w:line="240" w:lineRule="auto"/>
              <w:jc w:val="center"/>
              <w:rPr>
                <w:rFonts w:ascii="Times New Roman" w:eastAsia="Times New Roman" w:hAnsi="Times New Roman" w:cs="Times New Roman"/>
                <w:b/>
                <w:bCs/>
                <w:color w:val="000000"/>
                <w:sz w:val="20"/>
                <w:szCs w:val="20"/>
                <w:lang w:val="lv-LV" w:eastAsia="lv-LV"/>
              </w:rPr>
            </w:pPr>
            <w:r w:rsidRPr="00351EEB">
              <w:rPr>
                <w:rFonts w:ascii="Times New Roman" w:eastAsia="Times New Roman" w:hAnsi="Times New Roman" w:cs="Times New Roman"/>
                <w:b/>
                <w:bCs/>
                <w:color w:val="000000"/>
                <w:sz w:val="20"/>
                <w:szCs w:val="20"/>
                <w:lang w:val="lv-LV" w:eastAsia="lv-LV"/>
              </w:rPr>
              <w:t>593 577</w:t>
            </w:r>
          </w:p>
        </w:tc>
        <w:tc>
          <w:tcPr>
            <w:tcW w:w="1134" w:type="dxa"/>
            <w:tcBorders>
              <w:top w:val="nil"/>
              <w:left w:val="nil"/>
              <w:bottom w:val="single" w:sz="4" w:space="0" w:color="auto"/>
              <w:right w:val="single" w:sz="4" w:space="0" w:color="auto"/>
            </w:tcBorders>
            <w:shd w:val="clear" w:color="auto" w:fill="auto"/>
            <w:noWrap/>
            <w:vAlign w:val="center"/>
            <w:hideMark/>
          </w:tcPr>
          <w:p w:rsidR="00351EEB" w:rsidRPr="00351EEB" w:rsidRDefault="00351EEB" w:rsidP="00CF11F6">
            <w:pPr>
              <w:spacing w:after="0" w:line="240" w:lineRule="auto"/>
              <w:jc w:val="center"/>
              <w:rPr>
                <w:rFonts w:ascii="Times New Roman" w:eastAsia="Times New Roman" w:hAnsi="Times New Roman" w:cs="Times New Roman"/>
                <w:b/>
                <w:bCs/>
                <w:color w:val="000000"/>
                <w:sz w:val="20"/>
                <w:szCs w:val="20"/>
                <w:lang w:val="lv-LV" w:eastAsia="lv-LV"/>
              </w:rPr>
            </w:pPr>
            <w:r w:rsidRPr="00351EEB">
              <w:rPr>
                <w:rFonts w:ascii="Times New Roman" w:eastAsia="Times New Roman" w:hAnsi="Times New Roman" w:cs="Times New Roman"/>
                <w:b/>
                <w:bCs/>
                <w:color w:val="000000"/>
                <w:sz w:val="20"/>
                <w:szCs w:val="20"/>
                <w:lang w:val="lv-LV" w:eastAsia="lv-LV"/>
              </w:rPr>
              <w:t>78568 563</w:t>
            </w:r>
          </w:p>
        </w:tc>
        <w:tc>
          <w:tcPr>
            <w:tcW w:w="1108" w:type="dxa"/>
            <w:tcBorders>
              <w:top w:val="nil"/>
              <w:left w:val="nil"/>
              <w:bottom w:val="single" w:sz="4" w:space="0" w:color="auto"/>
              <w:right w:val="single" w:sz="4" w:space="0" w:color="auto"/>
            </w:tcBorders>
            <w:shd w:val="clear" w:color="auto" w:fill="auto"/>
            <w:noWrap/>
            <w:vAlign w:val="center"/>
            <w:hideMark/>
          </w:tcPr>
          <w:p w:rsidR="00351EEB" w:rsidRPr="00351EEB" w:rsidRDefault="00351EEB" w:rsidP="00CF11F6">
            <w:pPr>
              <w:jc w:val="center"/>
              <w:rPr>
                <w:rFonts w:ascii="Times New Roman" w:hAnsi="Times New Roman" w:cs="Times New Roman"/>
                <w:b/>
                <w:bCs/>
                <w:color w:val="000000"/>
                <w:sz w:val="20"/>
                <w:szCs w:val="20"/>
                <w:lang w:val="lv-LV"/>
              </w:rPr>
            </w:pPr>
            <w:r w:rsidRPr="00351EEB">
              <w:rPr>
                <w:rFonts w:ascii="Times New Roman" w:hAnsi="Times New Roman" w:cs="Times New Roman"/>
                <w:b/>
                <w:bCs/>
                <w:color w:val="000000"/>
                <w:sz w:val="20"/>
                <w:szCs w:val="20"/>
                <w:lang w:val="lv-LV"/>
              </w:rPr>
              <w:t>6948 632</w:t>
            </w:r>
          </w:p>
        </w:tc>
        <w:tc>
          <w:tcPr>
            <w:tcW w:w="1134" w:type="dxa"/>
            <w:tcBorders>
              <w:top w:val="nil"/>
              <w:left w:val="nil"/>
              <w:bottom w:val="single" w:sz="4" w:space="0" w:color="auto"/>
              <w:right w:val="single" w:sz="4" w:space="0" w:color="auto"/>
            </w:tcBorders>
            <w:shd w:val="clear" w:color="auto" w:fill="auto"/>
            <w:noWrap/>
            <w:vAlign w:val="center"/>
            <w:hideMark/>
          </w:tcPr>
          <w:p w:rsidR="00351EEB" w:rsidRPr="00351EEB" w:rsidRDefault="00351EEB" w:rsidP="00CF11F6">
            <w:pPr>
              <w:jc w:val="center"/>
              <w:rPr>
                <w:rFonts w:ascii="Times New Roman" w:hAnsi="Times New Roman" w:cs="Times New Roman"/>
                <w:b/>
                <w:bCs/>
                <w:color w:val="000000"/>
                <w:sz w:val="20"/>
                <w:szCs w:val="20"/>
                <w:lang w:val="lv-LV"/>
              </w:rPr>
            </w:pPr>
            <w:r w:rsidRPr="00351EEB">
              <w:rPr>
                <w:rFonts w:ascii="Times New Roman" w:hAnsi="Times New Roman" w:cs="Times New Roman"/>
                <w:b/>
                <w:bCs/>
                <w:color w:val="000000"/>
                <w:sz w:val="20"/>
                <w:szCs w:val="20"/>
                <w:lang w:val="lv-LV"/>
              </w:rPr>
              <w:t>84 782 494</w:t>
            </w:r>
          </w:p>
        </w:tc>
      </w:tr>
    </w:tbl>
    <w:p w:rsidR="00C55113" w:rsidRDefault="00C55113" w:rsidP="00C55113">
      <w:pPr>
        <w:pStyle w:val="NoSpacing"/>
        <w:ind w:firstLine="720"/>
        <w:jc w:val="both"/>
        <w:rPr>
          <w:rFonts w:ascii="Times New Roman" w:hAnsi="Times New Roman"/>
          <w:i/>
          <w:sz w:val="20"/>
          <w:szCs w:val="20"/>
        </w:rPr>
      </w:pPr>
      <w:r w:rsidRPr="002040D7">
        <w:rPr>
          <w:rFonts w:ascii="Times New Roman" w:hAnsi="Times New Roman"/>
          <w:i/>
          <w:sz w:val="20"/>
          <w:szCs w:val="20"/>
        </w:rPr>
        <w:t xml:space="preserve">Avots: </w:t>
      </w:r>
      <w:r>
        <w:rPr>
          <w:rFonts w:ascii="Times New Roman" w:hAnsi="Times New Roman"/>
          <w:i/>
          <w:sz w:val="20"/>
          <w:szCs w:val="20"/>
        </w:rPr>
        <w:t>Nacionālais veselības dienests</w:t>
      </w:r>
      <w:r w:rsidRPr="002040D7">
        <w:rPr>
          <w:rFonts w:ascii="Times New Roman" w:hAnsi="Times New Roman"/>
          <w:i/>
          <w:sz w:val="20"/>
          <w:szCs w:val="20"/>
        </w:rPr>
        <w:t xml:space="preserve">    </w:t>
      </w:r>
    </w:p>
    <w:p w:rsidR="00351EEB" w:rsidRPr="00351E29" w:rsidRDefault="00351EEB" w:rsidP="00351EEB">
      <w:pPr>
        <w:pStyle w:val="BodyText2"/>
        <w:spacing w:after="0" w:line="240" w:lineRule="auto"/>
        <w:ind w:firstLine="360"/>
        <w:jc w:val="both"/>
        <w:rPr>
          <w:b/>
          <w:sz w:val="18"/>
          <w:szCs w:val="18"/>
          <w:lang w:val="lv-LV"/>
        </w:rPr>
      </w:pPr>
    </w:p>
    <w:p w:rsidR="00446466" w:rsidRPr="00CF11F6" w:rsidRDefault="00446466" w:rsidP="00446466">
      <w:pPr>
        <w:pStyle w:val="BodyText2"/>
        <w:spacing w:after="0" w:line="240" w:lineRule="auto"/>
        <w:jc w:val="both"/>
        <w:rPr>
          <w:sz w:val="20"/>
          <w:szCs w:val="20"/>
          <w:lang w:val="lv-LV"/>
        </w:rPr>
      </w:pPr>
      <w:r w:rsidRPr="00CF11F6">
        <w:rPr>
          <w:sz w:val="20"/>
          <w:szCs w:val="20"/>
          <w:lang w:val="lv-LV"/>
        </w:rPr>
        <w:t xml:space="preserve">*2012.gadā </w:t>
      </w:r>
      <w:r w:rsidR="006E3FFA">
        <w:rPr>
          <w:sz w:val="20"/>
          <w:szCs w:val="20"/>
          <w:lang w:val="lv-LV"/>
        </w:rPr>
        <w:t>plānoti</w:t>
      </w:r>
      <w:r w:rsidRPr="00CF11F6">
        <w:rPr>
          <w:sz w:val="20"/>
          <w:szCs w:val="20"/>
          <w:lang w:val="lv-LV"/>
        </w:rPr>
        <w:t xml:space="preserve"> lēmumi par medikamentu piešķiršanu </w:t>
      </w:r>
      <w:r w:rsidR="008C39D5">
        <w:rPr>
          <w:sz w:val="20"/>
          <w:szCs w:val="20"/>
          <w:lang w:val="lv-LV"/>
        </w:rPr>
        <w:t>1055</w:t>
      </w:r>
      <w:r w:rsidRPr="00CF11F6">
        <w:rPr>
          <w:sz w:val="20"/>
          <w:szCs w:val="20"/>
          <w:lang w:val="lv-LV"/>
        </w:rPr>
        <w:t xml:space="preserve"> individuāliem pacientiem Ls 1 835 052 apmērā. </w:t>
      </w:r>
      <w:r w:rsidR="008C39D5">
        <w:rPr>
          <w:sz w:val="20"/>
          <w:szCs w:val="20"/>
          <w:lang w:val="lv-LV"/>
        </w:rPr>
        <w:t xml:space="preserve">Taču </w:t>
      </w:r>
      <w:r w:rsidR="00E75803">
        <w:rPr>
          <w:sz w:val="20"/>
          <w:szCs w:val="20"/>
          <w:lang w:val="lv-LV"/>
        </w:rPr>
        <w:t>iegādājās zāles</w:t>
      </w:r>
      <w:r w:rsidR="008C39D5">
        <w:rPr>
          <w:sz w:val="20"/>
          <w:szCs w:val="20"/>
          <w:lang w:val="lv-LV"/>
        </w:rPr>
        <w:t xml:space="preserve"> 584 pacienti</w:t>
      </w:r>
      <w:r w:rsidR="00E75803">
        <w:rPr>
          <w:sz w:val="20"/>
          <w:szCs w:val="20"/>
          <w:lang w:val="lv-LV"/>
        </w:rPr>
        <w:t xml:space="preserve"> </w:t>
      </w:r>
      <w:r w:rsidR="00E75803" w:rsidRPr="00CF11F6">
        <w:rPr>
          <w:sz w:val="20"/>
          <w:szCs w:val="20"/>
          <w:lang w:val="lv-LV"/>
        </w:rPr>
        <w:t>augsto pacientu līdzdalības maksājumu dēļ</w:t>
      </w:r>
      <w:r w:rsidR="00E75803">
        <w:rPr>
          <w:sz w:val="20"/>
          <w:szCs w:val="20"/>
          <w:lang w:val="lv-LV"/>
        </w:rPr>
        <w:t>.</w:t>
      </w:r>
      <w:r w:rsidR="008C39D5">
        <w:rPr>
          <w:sz w:val="20"/>
          <w:szCs w:val="20"/>
          <w:lang w:val="lv-LV"/>
        </w:rPr>
        <w:t xml:space="preserve"> 2012.gadā strauji pieauga vidējās zāļu cenas, lielam skaitam tika diagnosticēts nieru vēzis, kā rezultātā 471 pacien</w:t>
      </w:r>
      <w:r w:rsidR="00E75803">
        <w:rPr>
          <w:sz w:val="20"/>
          <w:szCs w:val="20"/>
          <w:lang w:val="lv-LV"/>
        </w:rPr>
        <w:t>ts negāja pēc kompensējamām zālē</w:t>
      </w:r>
      <w:r w:rsidR="008C39D5">
        <w:rPr>
          <w:sz w:val="20"/>
          <w:szCs w:val="20"/>
          <w:lang w:val="lv-LV"/>
        </w:rPr>
        <w:t xml:space="preserve">m, jo zāļu starpību starp vienu zāļu iepakojuma cenu un Nacionālā veselības dienesta </w:t>
      </w:r>
      <w:r w:rsidR="00E75803">
        <w:rPr>
          <w:sz w:val="20"/>
          <w:szCs w:val="20"/>
          <w:lang w:val="lv-LV"/>
        </w:rPr>
        <w:t xml:space="preserve">lēmumā norādīto kompensācijas apmēru jāsedz pacientam pašam no saviem līdzekļiem. Tādējādi </w:t>
      </w:r>
      <w:r w:rsidRPr="00CF11F6">
        <w:rPr>
          <w:sz w:val="20"/>
          <w:szCs w:val="20"/>
          <w:lang w:val="lv-LV"/>
        </w:rPr>
        <w:t>f</w:t>
      </w:r>
      <w:r w:rsidR="00E75803">
        <w:rPr>
          <w:sz w:val="20"/>
          <w:szCs w:val="20"/>
          <w:lang w:val="lv-LV"/>
        </w:rPr>
        <w:t xml:space="preserve">aktiskais līdzekļu izlietojums </w:t>
      </w:r>
      <w:r w:rsidRPr="00CF11F6">
        <w:rPr>
          <w:sz w:val="20"/>
          <w:szCs w:val="20"/>
          <w:lang w:val="lv-LV"/>
        </w:rPr>
        <w:t xml:space="preserve">zāļu kompensācijai individuāliem </w:t>
      </w:r>
      <w:r w:rsidR="00E75803">
        <w:rPr>
          <w:sz w:val="20"/>
          <w:szCs w:val="20"/>
          <w:lang w:val="lv-LV"/>
        </w:rPr>
        <w:t>pacientiem bija</w:t>
      </w:r>
      <w:r>
        <w:rPr>
          <w:sz w:val="20"/>
          <w:szCs w:val="20"/>
          <w:lang w:val="lv-LV"/>
        </w:rPr>
        <w:t xml:space="preserve"> Ls 1 219 134 apmērā;</w:t>
      </w:r>
    </w:p>
    <w:p w:rsidR="00446466" w:rsidRPr="00177604" w:rsidRDefault="00446466" w:rsidP="00446466">
      <w:pPr>
        <w:pStyle w:val="NoSpacing"/>
        <w:jc w:val="both"/>
        <w:rPr>
          <w:rFonts w:ascii="Times New Roman" w:hAnsi="Times New Roman"/>
          <w:sz w:val="20"/>
          <w:szCs w:val="20"/>
        </w:rPr>
      </w:pPr>
      <w:r w:rsidRPr="00CF11F6">
        <w:rPr>
          <w:rFonts w:ascii="Times New Roman" w:hAnsi="Times New Roman"/>
          <w:sz w:val="20"/>
          <w:szCs w:val="20"/>
        </w:rPr>
        <w:t xml:space="preserve">** 2012.gadā pieņemti lēmumi par C saraksta medikamentu piešķiršanu 576 pacientiem Ls </w:t>
      </w:r>
      <w:r w:rsidRPr="00CF11F6">
        <w:rPr>
          <w:rFonts w:ascii="Times New Roman" w:hAnsi="Times New Roman"/>
          <w:color w:val="000000"/>
          <w:sz w:val="20"/>
          <w:szCs w:val="20"/>
          <w:lang w:eastAsia="lv-LV"/>
        </w:rPr>
        <w:t>6 192 922</w:t>
      </w:r>
      <w:r w:rsidRPr="00CF11F6">
        <w:rPr>
          <w:rFonts w:ascii="Times New Roman" w:hAnsi="Times New Roman"/>
          <w:sz w:val="20"/>
          <w:szCs w:val="20"/>
        </w:rPr>
        <w:t xml:space="preserve"> apmērā. Pieņemot lēmumu par </w:t>
      </w:r>
      <w:r>
        <w:rPr>
          <w:rFonts w:ascii="Times New Roman" w:hAnsi="Times New Roman"/>
          <w:sz w:val="20"/>
          <w:szCs w:val="20"/>
        </w:rPr>
        <w:t xml:space="preserve">budžeta </w:t>
      </w:r>
      <w:r w:rsidRPr="00CF11F6">
        <w:rPr>
          <w:rFonts w:ascii="Times New Roman" w:hAnsi="Times New Roman"/>
          <w:sz w:val="20"/>
          <w:szCs w:val="20"/>
        </w:rPr>
        <w:t xml:space="preserve">līdzekļu piešķiršanu, ārstēšanas kursa sākumā visiem pacientiem ne  mazāk kā 10% no ārstēšanas kursa sedz zāļu ražotājs. Par periodu, kad ārstēšanas izmaksas sedz zāļu ražotājs, pacientu skaits </w:t>
      </w:r>
      <w:r>
        <w:rPr>
          <w:rFonts w:ascii="Times New Roman" w:hAnsi="Times New Roman"/>
          <w:sz w:val="20"/>
          <w:szCs w:val="20"/>
        </w:rPr>
        <w:t xml:space="preserve"> netiek attiecināts uz</w:t>
      </w:r>
      <w:r w:rsidRPr="00CF11F6">
        <w:rPr>
          <w:rFonts w:ascii="Times New Roman" w:hAnsi="Times New Roman"/>
          <w:sz w:val="20"/>
          <w:szCs w:val="20"/>
        </w:rPr>
        <w:t xml:space="preserve"> valsts budžeta izmaksām. Tas parādās  tad, kad zāļu kompensāciju veic no </w:t>
      </w:r>
      <w:r>
        <w:rPr>
          <w:rFonts w:ascii="Times New Roman" w:hAnsi="Times New Roman"/>
          <w:sz w:val="20"/>
          <w:szCs w:val="20"/>
        </w:rPr>
        <w:t xml:space="preserve">valsts </w:t>
      </w:r>
      <w:r w:rsidRPr="00CF11F6">
        <w:rPr>
          <w:rFonts w:ascii="Times New Roman" w:hAnsi="Times New Roman"/>
          <w:sz w:val="20"/>
          <w:szCs w:val="20"/>
        </w:rPr>
        <w:t xml:space="preserve">budžeta līdzekļiem. C saraksta pacienti parasti ir ar smagām saslimšanām un nereti ārstēšanas kurss tiek pagarināts blakus saslimšanu dēļ vai  pārtraukts zāļu nepanesības dēļ un </w:t>
      </w:r>
      <w:r>
        <w:rPr>
          <w:rFonts w:ascii="Times New Roman" w:hAnsi="Times New Roman"/>
          <w:sz w:val="20"/>
          <w:szCs w:val="20"/>
        </w:rPr>
        <w:t>„</w:t>
      </w:r>
      <w:r w:rsidRPr="00CF11F6">
        <w:rPr>
          <w:rFonts w:ascii="Times New Roman" w:hAnsi="Times New Roman"/>
          <w:sz w:val="20"/>
          <w:szCs w:val="20"/>
        </w:rPr>
        <w:t>exitus letalis</w:t>
      </w:r>
      <w:r>
        <w:rPr>
          <w:rFonts w:ascii="Times New Roman" w:hAnsi="Times New Roman"/>
          <w:sz w:val="20"/>
          <w:szCs w:val="20"/>
        </w:rPr>
        <w:t>”</w:t>
      </w:r>
      <w:r w:rsidRPr="00CF11F6">
        <w:rPr>
          <w:rFonts w:ascii="Times New Roman" w:hAnsi="Times New Roman"/>
          <w:sz w:val="20"/>
          <w:szCs w:val="20"/>
        </w:rPr>
        <w:t xml:space="preserve"> gadījumā. Tāpēc faktiskais </w:t>
      </w:r>
      <w:r w:rsidRPr="00177604">
        <w:rPr>
          <w:rFonts w:ascii="Times New Roman" w:hAnsi="Times New Roman"/>
          <w:sz w:val="20"/>
          <w:szCs w:val="20"/>
        </w:rPr>
        <w:t xml:space="preserve">līdzekļu izlietojums zāļu kompensācijai C saraksta medikamentiem  ir mazāks nekā pieņemti lēmumi un ir Ls </w:t>
      </w:r>
      <w:r w:rsidRPr="00177604">
        <w:rPr>
          <w:rFonts w:ascii="Times New Roman" w:hAnsi="Times New Roman"/>
          <w:sz w:val="20"/>
          <w:szCs w:val="20"/>
          <w:lang w:eastAsia="lv-LV"/>
        </w:rPr>
        <w:t xml:space="preserve">5 429 455 </w:t>
      </w:r>
      <w:r w:rsidRPr="00177604">
        <w:rPr>
          <w:rFonts w:ascii="Times New Roman" w:hAnsi="Times New Roman"/>
          <w:sz w:val="20"/>
          <w:szCs w:val="20"/>
        </w:rPr>
        <w:t>apmērā. 2013.gadā ir 683 unikālie pacienti (tas nozīmē par 133 tika palielināts reimatoīdā artrīta pacientu skaits, lai likvidētu  rindas, kā arī ir paplašināti zāļu Tocilizumabum (RoActemra) izrakstīšanas nosacījumi, tās iekļaujot arī pie diagnozes M08.2 (Stilla slimība) 9 pacientiem. Bez tam vienlaicīgi par 35 samazināts  pacientu skaits par zālēm Trastuzumabum (Herceptin), jo vienošanās ar ražotāju par 35 papildus pacientiem bija tikai 2012.gadā. (576+</w:t>
      </w:r>
      <w:r>
        <w:rPr>
          <w:rFonts w:ascii="Times New Roman" w:hAnsi="Times New Roman"/>
          <w:sz w:val="20"/>
          <w:szCs w:val="20"/>
        </w:rPr>
        <w:t>133 + 9 – 35 = 683);</w:t>
      </w:r>
    </w:p>
    <w:p w:rsidR="00446466" w:rsidRPr="00CF11F6" w:rsidRDefault="00446466" w:rsidP="00446466">
      <w:pPr>
        <w:pStyle w:val="NoSpacing"/>
        <w:jc w:val="both"/>
        <w:rPr>
          <w:rFonts w:ascii="Times New Roman" w:hAnsi="Times New Roman"/>
          <w:sz w:val="20"/>
          <w:szCs w:val="20"/>
        </w:rPr>
      </w:pPr>
      <w:r w:rsidRPr="00CF11F6">
        <w:rPr>
          <w:rFonts w:ascii="Times New Roman" w:hAnsi="Times New Roman"/>
          <w:sz w:val="20"/>
          <w:szCs w:val="20"/>
        </w:rPr>
        <w:t xml:space="preserve">*** </w:t>
      </w:r>
      <w:r w:rsidRPr="00177604">
        <w:rPr>
          <w:rFonts w:ascii="Times New Roman" w:hAnsi="Times New Roman"/>
          <w:sz w:val="20"/>
          <w:szCs w:val="20"/>
        </w:rPr>
        <w:t>Unikālais pacients</w:t>
      </w:r>
      <w:r w:rsidRPr="00CF11F6">
        <w:rPr>
          <w:rFonts w:ascii="Times New Roman" w:hAnsi="Times New Roman"/>
          <w:sz w:val="20"/>
          <w:szCs w:val="20"/>
        </w:rPr>
        <w:t xml:space="preserve"> ir pacients, kurš s</w:t>
      </w:r>
      <w:r>
        <w:rPr>
          <w:rFonts w:ascii="Times New Roman" w:hAnsi="Times New Roman"/>
          <w:sz w:val="20"/>
          <w:szCs w:val="20"/>
        </w:rPr>
        <w:t xml:space="preserve">aņēmis </w:t>
      </w:r>
      <w:r w:rsidRPr="00CF11F6">
        <w:rPr>
          <w:rFonts w:ascii="Times New Roman" w:hAnsi="Times New Roman"/>
          <w:sz w:val="20"/>
          <w:szCs w:val="20"/>
        </w:rPr>
        <w:t>atbilstoši datu atlases nosacījumiem</w:t>
      </w:r>
      <w:r>
        <w:rPr>
          <w:rFonts w:ascii="Times New Roman" w:hAnsi="Times New Roman"/>
          <w:sz w:val="20"/>
          <w:szCs w:val="20"/>
        </w:rPr>
        <w:t xml:space="preserve"> vienu vai vairākus</w:t>
      </w:r>
      <w:r w:rsidRPr="00CF11F6">
        <w:rPr>
          <w:rFonts w:ascii="Times New Roman" w:hAnsi="Times New Roman"/>
          <w:sz w:val="20"/>
          <w:szCs w:val="20"/>
        </w:rPr>
        <w:t xml:space="preserve"> </w:t>
      </w:r>
      <w:r>
        <w:rPr>
          <w:rFonts w:ascii="Times New Roman" w:hAnsi="Times New Roman"/>
          <w:sz w:val="20"/>
          <w:szCs w:val="20"/>
        </w:rPr>
        <w:t xml:space="preserve">kompensējamos medikamentus </w:t>
      </w:r>
      <w:r w:rsidRPr="00CF11F6">
        <w:rPr>
          <w:rFonts w:ascii="Times New Roman" w:hAnsi="Times New Roman"/>
          <w:sz w:val="20"/>
          <w:szCs w:val="20"/>
        </w:rPr>
        <w:t xml:space="preserve"> konkrētā laika periodā, bet unikālo pacientu kopskaitā tiek ieskaitīts kā viens pacients. Līdz ar to unikālo pacientu kopskaits ir mazāks, nekā saskaitot </w:t>
      </w:r>
      <w:r>
        <w:rPr>
          <w:rFonts w:ascii="Times New Roman" w:hAnsi="Times New Roman"/>
          <w:sz w:val="20"/>
          <w:szCs w:val="20"/>
        </w:rPr>
        <w:t xml:space="preserve">visus </w:t>
      </w:r>
      <w:r w:rsidRPr="00CF11F6">
        <w:rPr>
          <w:rFonts w:ascii="Times New Roman" w:hAnsi="Times New Roman"/>
          <w:sz w:val="20"/>
          <w:szCs w:val="20"/>
        </w:rPr>
        <w:t xml:space="preserve">A un B saraksta pacientus, C saraksta pacientus, individuālos pacientus un </w:t>
      </w:r>
      <w:r>
        <w:rPr>
          <w:rFonts w:ascii="Times New Roman" w:hAnsi="Times New Roman"/>
          <w:sz w:val="20"/>
          <w:szCs w:val="20"/>
        </w:rPr>
        <w:t>M saraksta</w:t>
      </w:r>
      <w:r w:rsidRPr="00CF11F6">
        <w:rPr>
          <w:rFonts w:ascii="Times New Roman" w:hAnsi="Times New Roman"/>
          <w:sz w:val="20"/>
          <w:szCs w:val="20"/>
        </w:rPr>
        <w:t xml:space="preserve"> pacientus.</w:t>
      </w:r>
    </w:p>
    <w:p w:rsidR="00351EEB" w:rsidRPr="00446466" w:rsidRDefault="00351EEB" w:rsidP="00446466">
      <w:pPr>
        <w:autoSpaceDE w:val="0"/>
        <w:autoSpaceDN w:val="0"/>
        <w:spacing w:before="120" w:after="0" w:line="240" w:lineRule="auto"/>
        <w:ind w:firstLine="720"/>
        <w:jc w:val="both"/>
        <w:rPr>
          <w:rFonts w:ascii="Times New Roman" w:hAnsi="Times New Roman" w:cs="Times New Roman"/>
          <w:sz w:val="24"/>
          <w:szCs w:val="24"/>
          <w:lang w:val="lv-LV"/>
        </w:rPr>
      </w:pPr>
      <w:r w:rsidRPr="00351EEB">
        <w:rPr>
          <w:rFonts w:ascii="Times New Roman" w:eastAsia="Times New Roman" w:hAnsi="Times New Roman" w:cs="Times New Roman"/>
          <w:bCs/>
          <w:sz w:val="24"/>
          <w:szCs w:val="24"/>
          <w:lang w:val="lv-LV" w:eastAsia="lv-LV"/>
        </w:rPr>
        <w:t>No 2012.gadā</w:t>
      </w:r>
      <w:r w:rsidRPr="00351EEB">
        <w:rPr>
          <w:rFonts w:ascii="Times New Roman" w:hAnsi="Times New Roman" w:cs="Times New Roman"/>
          <w:sz w:val="24"/>
          <w:szCs w:val="24"/>
          <w:lang w:val="lv-LV"/>
        </w:rPr>
        <w:t xml:space="preserve"> saņemtajiem līdzekļiem Ls 84 648 50</w:t>
      </w:r>
      <w:r w:rsidR="00446466">
        <w:rPr>
          <w:rFonts w:ascii="Times New Roman" w:hAnsi="Times New Roman" w:cs="Times New Roman"/>
          <w:sz w:val="24"/>
          <w:szCs w:val="24"/>
          <w:lang w:val="lv-LV"/>
        </w:rPr>
        <w:t>6</w:t>
      </w:r>
      <w:r w:rsidRPr="00351EEB">
        <w:rPr>
          <w:rFonts w:ascii="Times New Roman" w:hAnsi="Times New Roman" w:cs="Times New Roman"/>
          <w:sz w:val="24"/>
          <w:szCs w:val="24"/>
          <w:lang w:val="lv-LV"/>
        </w:rPr>
        <w:t xml:space="preserve"> tika veikti gala norēķini par </w:t>
      </w:r>
      <w:r w:rsidR="00446466">
        <w:rPr>
          <w:rFonts w:ascii="Times New Roman" w:hAnsi="Times New Roman" w:cs="Times New Roman"/>
          <w:sz w:val="24"/>
          <w:szCs w:val="24"/>
          <w:lang w:val="lv-LV"/>
        </w:rPr>
        <w:t>2011.gadu Ls 6 559 727 apmērā, p</w:t>
      </w:r>
      <w:r w:rsidRPr="00351EEB">
        <w:rPr>
          <w:rFonts w:ascii="Times New Roman" w:hAnsi="Times New Roman" w:cs="Times New Roman"/>
          <w:sz w:val="24"/>
          <w:szCs w:val="24"/>
          <w:lang w:val="lv-LV"/>
        </w:rPr>
        <w:t>ar izsniegtajām zālēm 2012.gadā (janvāris – novembris) veikta samaksa Ls 74 591 205, kā arī daļēji veikti norēķini par decembri Ls  3 497 574 apmērā</w:t>
      </w:r>
      <w:r w:rsidR="00446466">
        <w:rPr>
          <w:rFonts w:ascii="Times New Roman" w:hAnsi="Times New Roman" w:cs="Times New Roman"/>
          <w:sz w:val="24"/>
          <w:szCs w:val="24"/>
          <w:lang w:val="lv-LV"/>
        </w:rPr>
        <w:t xml:space="preserve"> (kopā norēķiniem par decembri nepieciešami Ls 6 960 592)</w:t>
      </w:r>
      <w:r w:rsidRPr="00351EEB">
        <w:rPr>
          <w:rFonts w:ascii="Times New Roman" w:hAnsi="Times New Roman" w:cs="Times New Roman"/>
          <w:sz w:val="24"/>
          <w:szCs w:val="24"/>
          <w:lang w:val="lv-LV"/>
        </w:rPr>
        <w:t xml:space="preserve">. Tādējādi </w:t>
      </w:r>
      <w:r w:rsidR="00446466">
        <w:rPr>
          <w:rFonts w:ascii="Times New Roman" w:hAnsi="Times New Roman" w:cs="Times New Roman"/>
          <w:sz w:val="24"/>
          <w:szCs w:val="24"/>
          <w:lang w:val="lv-LV"/>
        </w:rPr>
        <w:t xml:space="preserve">no 2013.gada finansējuma tika veikti norēķini </w:t>
      </w:r>
      <w:r w:rsidRPr="00351EEB">
        <w:rPr>
          <w:rFonts w:ascii="Times New Roman" w:hAnsi="Times New Roman" w:cs="Times New Roman"/>
          <w:sz w:val="24"/>
          <w:szCs w:val="24"/>
          <w:lang w:val="lv-LV"/>
        </w:rPr>
        <w:t>Ls 3 463 018 apmērā</w:t>
      </w:r>
      <w:r w:rsidR="00446466">
        <w:rPr>
          <w:rFonts w:ascii="Times New Roman" w:hAnsi="Times New Roman" w:cs="Times New Roman"/>
          <w:sz w:val="24"/>
          <w:szCs w:val="24"/>
          <w:lang w:val="lv-LV"/>
        </w:rPr>
        <w:t xml:space="preserve"> par 2012.gada decembri</w:t>
      </w:r>
      <w:r w:rsidRPr="00351EEB">
        <w:rPr>
          <w:rFonts w:ascii="Times New Roman" w:hAnsi="Times New Roman" w:cs="Times New Roman"/>
          <w:sz w:val="24"/>
          <w:szCs w:val="24"/>
          <w:lang w:val="lv-LV"/>
        </w:rPr>
        <w:t>.</w:t>
      </w:r>
    </w:p>
    <w:p w:rsidR="005D2B8F" w:rsidRDefault="00446466" w:rsidP="00410DA5">
      <w:pPr>
        <w:shd w:val="clear" w:color="auto" w:fill="FFFFFF"/>
        <w:spacing w:after="0" w:line="240" w:lineRule="auto"/>
        <w:ind w:firstLine="720"/>
        <w:jc w:val="both"/>
        <w:rPr>
          <w:rFonts w:ascii="Times New Roman" w:hAnsi="Times New Roman" w:cs="Times New Roman"/>
          <w:sz w:val="24"/>
          <w:szCs w:val="24"/>
          <w:lang w:val="lv-LV"/>
        </w:rPr>
      </w:pPr>
      <w:r w:rsidRPr="00351EEB">
        <w:rPr>
          <w:rFonts w:ascii="Times New Roman" w:hAnsi="Times New Roman" w:cs="Times New Roman"/>
          <w:sz w:val="24"/>
          <w:szCs w:val="24"/>
          <w:lang w:val="lv-LV"/>
        </w:rPr>
        <w:t xml:space="preserve">Izdevumu izpilde 2013.gadā </w:t>
      </w:r>
      <w:r>
        <w:rPr>
          <w:rFonts w:ascii="Times New Roman" w:hAnsi="Times New Roman" w:cs="Times New Roman"/>
          <w:sz w:val="24"/>
          <w:szCs w:val="24"/>
          <w:lang w:val="lv-LV"/>
        </w:rPr>
        <w:t>plānojama</w:t>
      </w:r>
      <w:r w:rsidRPr="00351EEB">
        <w:rPr>
          <w:rFonts w:ascii="Times New Roman" w:hAnsi="Times New Roman" w:cs="Times New Roman"/>
          <w:sz w:val="24"/>
          <w:szCs w:val="24"/>
          <w:lang w:val="lv-LV"/>
        </w:rPr>
        <w:t xml:space="preserve"> Ls </w:t>
      </w:r>
      <w:r w:rsidRPr="00177604">
        <w:rPr>
          <w:rFonts w:ascii="Times New Roman" w:eastAsia="Times New Roman" w:hAnsi="Times New Roman" w:cs="Times New Roman"/>
          <w:bCs/>
          <w:sz w:val="24"/>
          <w:szCs w:val="24"/>
          <w:lang w:val="lv-LV" w:eastAsia="lv-LV"/>
        </w:rPr>
        <w:t>84  782 494.</w:t>
      </w:r>
      <w:r w:rsidRPr="00351EEB">
        <w:rPr>
          <w:rFonts w:ascii="Times New Roman" w:eastAsia="Times New Roman" w:hAnsi="Times New Roman" w:cs="Times New Roman"/>
          <w:bCs/>
          <w:sz w:val="24"/>
          <w:szCs w:val="24"/>
          <w:lang w:val="lv-LV" w:eastAsia="lv-LV"/>
        </w:rPr>
        <w:t xml:space="preserve"> </w:t>
      </w:r>
      <w:r w:rsidR="00351EEB" w:rsidRPr="00351EEB">
        <w:rPr>
          <w:rFonts w:ascii="Times New Roman" w:hAnsi="Times New Roman" w:cs="Times New Roman"/>
          <w:sz w:val="24"/>
          <w:szCs w:val="24"/>
          <w:lang w:val="lv-LV"/>
        </w:rPr>
        <w:t>2013.gadā pieejamie f</w:t>
      </w:r>
      <w:r w:rsidR="00F6730B">
        <w:rPr>
          <w:rFonts w:ascii="Times New Roman" w:hAnsi="Times New Roman" w:cs="Times New Roman"/>
          <w:sz w:val="24"/>
          <w:szCs w:val="24"/>
          <w:lang w:val="lv-LV"/>
        </w:rPr>
        <w:t>inanšu resursi ir Ls 78 568 563</w:t>
      </w:r>
      <w:r w:rsidR="00351EEB" w:rsidRPr="00351EEB">
        <w:rPr>
          <w:rFonts w:ascii="Times New Roman" w:hAnsi="Times New Roman" w:cs="Times New Roman"/>
          <w:sz w:val="24"/>
          <w:szCs w:val="24"/>
          <w:lang w:val="lv-LV"/>
        </w:rPr>
        <w:t>.</w:t>
      </w:r>
      <w:r w:rsidR="00351EEB" w:rsidRPr="00351EEB">
        <w:rPr>
          <w:rFonts w:ascii="Times New Roman" w:eastAsia="Times New Roman" w:hAnsi="Times New Roman" w:cs="Times New Roman"/>
          <w:bCs/>
          <w:color w:val="000000"/>
          <w:sz w:val="24"/>
          <w:szCs w:val="24"/>
          <w:lang w:val="lv-LV" w:eastAsia="lv-LV"/>
        </w:rPr>
        <w:t xml:space="preserve"> </w:t>
      </w:r>
      <w:r w:rsidR="00351EEB" w:rsidRPr="00351EEB">
        <w:rPr>
          <w:rFonts w:ascii="Times New Roman" w:hAnsi="Times New Roman" w:cs="Times New Roman"/>
          <w:sz w:val="24"/>
          <w:szCs w:val="24"/>
          <w:lang w:val="lv-LV"/>
        </w:rPr>
        <w:t>Ņemot vērā to, ka vienošanās a</w:t>
      </w:r>
      <w:r w:rsidR="00F6730B">
        <w:rPr>
          <w:rFonts w:ascii="Times New Roman" w:hAnsi="Times New Roman" w:cs="Times New Roman"/>
          <w:sz w:val="24"/>
          <w:szCs w:val="24"/>
          <w:lang w:val="lv-LV"/>
        </w:rPr>
        <w:t xml:space="preserve">r </w:t>
      </w:r>
      <w:r>
        <w:rPr>
          <w:rFonts w:ascii="Times New Roman" w:hAnsi="Times New Roman" w:cs="Times New Roman"/>
          <w:sz w:val="24"/>
          <w:szCs w:val="24"/>
          <w:lang w:val="lv-LV"/>
        </w:rPr>
        <w:t>sistēmas dalībniekiem</w:t>
      </w:r>
      <w:r w:rsidR="00F6730B">
        <w:rPr>
          <w:rFonts w:ascii="Times New Roman" w:hAnsi="Times New Roman" w:cs="Times New Roman"/>
          <w:sz w:val="24"/>
          <w:szCs w:val="24"/>
          <w:lang w:val="lv-LV"/>
        </w:rPr>
        <w:t xml:space="preserve"> par maksājumiem 2012.gada deficīta</w:t>
      </w:r>
      <w:r w:rsidR="00351EEB" w:rsidRPr="00351EEB">
        <w:rPr>
          <w:rFonts w:ascii="Times New Roman" w:hAnsi="Times New Roman" w:cs="Times New Roman"/>
          <w:sz w:val="24"/>
          <w:szCs w:val="24"/>
          <w:lang w:val="lv-LV"/>
        </w:rPr>
        <w:t xml:space="preserve"> segšanai Ls 2 000 000 apmērā atbilsto</w:t>
      </w:r>
      <w:r w:rsidR="00F6730B">
        <w:rPr>
          <w:rFonts w:ascii="Times New Roman" w:hAnsi="Times New Roman" w:cs="Times New Roman"/>
          <w:sz w:val="24"/>
          <w:szCs w:val="24"/>
          <w:lang w:val="lv-LV"/>
        </w:rPr>
        <w:t>ši noteikumu Nr.899 113.punktam</w:t>
      </w:r>
      <w:r w:rsidR="00351EEB" w:rsidRPr="00351EEB">
        <w:rPr>
          <w:rFonts w:ascii="Times New Roman" w:hAnsi="Times New Roman" w:cs="Times New Roman"/>
          <w:sz w:val="24"/>
          <w:szCs w:val="24"/>
          <w:lang w:val="lv-LV"/>
        </w:rPr>
        <w:t>, ir panākta 2012.</w:t>
      </w:r>
      <w:r w:rsidR="00C55113">
        <w:rPr>
          <w:rFonts w:ascii="Times New Roman" w:hAnsi="Times New Roman" w:cs="Times New Roman"/>
          <w:sz w:val="24"/>
          <w:szCs w:val="24"/>
          <w:lang w:val="lv-LV"/>
        </w:rPr>
        <w:t>gada beigās, reāli maksājumi ti</w:t>
      </w:r>
      <w:r w:rsidR="00351EEB" w:rsidRPr="00351EEB">
        <w:rPr>
          <w:rFonts w:ascii="Times New Roman" w:hAnsi="Times New Roman" w:cs="Times New Roman"/>
          <w:sz w:val="24"/>
          <w:szCs w:val="24"/>
          <w:lang w:val="lv-LV"/>
        </w:rPr>
        <w:t>k</w:t>
      </w:r>
      <w:r w:rsidR="00C55113">
        <w:rPr>
          <w:rFonts w:ascii="Times New Roman" w:hAnsi="Times New Roman" w:cs="Times New Roman"/>
          <w:sz w:val="24"/>
          <w:szCs w:val="24"/>
          <w:lang w:val="lv-LV"/>
        </w:rPr>
        <w:t>a</w:t>
      </w:r>
      <w:r w:rsidR="00351EEB" w:rsidRPr="00351EEB">
        <w:rPr>
          <w:rFonts w:ascii="Times New Roman" w:hAnsi="Times New Roman" w:cs="Times New Roman"/>
          <w:sz w:val="24"/>
          <w:szCs w:val="24"/>
          <w:lang w:val="lv-LV"/>
        </w:rPr>
        <w:t xml:space="preserve"> saņemti 2013.gadā. Šobrīd likumā „Par valsts budžetu 2013.gadam” apakšprogrammā </w:t>
      </w:r>
      <w:r w:rsidR="00351EEB" w:rsidRPr="00351EEB">
        <w:rPr>
          <w:rFonts w:ascii="Times New Roman" w:eastAsia="Times New Roman" w:hAnsi="Times New Roman" w:cs="Times New Roman"/>
          <w:color w:val="000000"/>
          <w:sz w:val="24"/>
          <w:szCs w:val="24"/>
          <w:lang w:val="lv-LV" w:eastAsia="lv-LV"/>
        </w:rPr>
        <w:t>33.03.00. "Kompensējamo medikamentu un materiālu apmaksāšana"</w:t>
      </w:r>
      <w:r w:rsidR="00351EEB" w:rsidRPr="00351EEB">
        <w:rPr>
          <w:rFonts w:ascii="Times New Roman" w:hAnsi="Times New Roman" w:cs="Times New Roman"/>
          <w:sz w:val="24"/>
          <w:szCs w:val="24"/>
          <w:lang w:val="lv-LV"/>
        </w:rPr>
        <w:t xml:space="preserve"> ieņēmumi no </w:t>
      </w:r>
      <w:r>
        <w:rPr>
          <w:rFonts w:ascii="Times New Roman" w:hAnsi="Times New Roman" w:cs="Times New Roman"/>
          <w:sz w:val="24"/>
          <w:szCs w:val="24"/>
          <w:lang w:val="lv-LV"/>
        </w:rPr>
        <w:t>sistēmas dalībniekiem</w:t>
      </w:r>
      <w:r w:rsidR="005D2B8F">
        <w:rPr>
          <w:rFonts w:ascii="Times New Roman" w:hAnsi="Times New Roman" w:cs="Times New Roman"/>
          <w:sz w:val="24"/>
          <w:szCs w:val="24"/>
          <w:lang w:val="lv-LV"/>
        </w:rPr>
        <w:t xml:space="preserve"> nav paredzēti, taču Veselības ministrija ir iesniegusi Finanšu ministrijā priekšlikumu par pašu ieņēmumu palielinājumu 2013.gadā 2000 000 latu apmērā, un jau ir Finanšu ministrijas 2013.gada 26.aprīļa rīkojums Nr.179 „Pa</w:t>
      </w:r>
      <w:r w:rsidR="00410DA5">
        <w:rPr>
          <w:rFonts w:ascii="Times New Roman" w:hAnsi="Times New Roman" w:cs="Times New Roman"/>
          <w:sz w:val="24"/>
          <w:szCs w:val="24"/>
          <w:lang w:val="lv-LV"/>
        </w:rPr>
        <w:t>r apropriācijas palielinājumu”.</w:t>
      </w:r>
    </w:p>
    <w:p w:rsidR="00422872" w:rsidRDefault="00351EEB" w:rsidP="00422872">
      <w:pPr>
        <w:shd w:val="clear" w:color="auto" w:fill="FFFFFF"/>
        <w:spacing w:after="0" w:line="240" w:lineRule="auto"/>
        <w:ind w:firstLine="720"/>
        <w:jc w:val="both"/>
        <w:rPr>
          <w:rFonts w:ascii="Times New Roman" w:hAnsi="Times New Roman" w:cs="Times New Roman"/>
          <w:color w:val="000000"/>
          <w:sz w:val="24"/>
          <w:szCs w:val="24"/>
          <w:lang w:val="lv-LV"/>
        </w:rPr>
      </w:pPr>
      <w:r w:rsidRPr="00351EEB">
        <w:rPr>
          <w:rFonts w:ascii="Times New Roman" w:hAnsi="Times New Roman" w:cs="Times New Roman"/>
          <w:sz w:val="24"/>
          <w:szCs w:val="24"/>
          <w:lang w:val="lv-LV"/>
        </w:rPr>
        <w:t xml:space="preserve"> Līdz ar to plānotie finanšu resursi kompensējamo medikamentu sistēmai </w:t>
      </w:r>
      <w:r w:rsidR="00446466">
        <w:rPr>
          <w:rFonts w:ascii="Times New Roman" w:hAnsi="Times New Roman" w:cs="Times New Roman"/>
          <w:sz w:val="24"/>
          <w:szCs w:val="24"/>
          <w:lang w:val="lv-LV"/>
        </w:rPr>
        <w:t xml:space="preserve">2013.gadā - </w:t>
      </w:r>
      <w:r w:rsidRPr="00351EEB">
        <w:rPr>
          <w:rFonts w:ascii="Times New Roman" w:hAnsi="Times New Roman" w:cs="Times New Roman"/>
          <w:sz w:val="24"/>
          <w:szCs w:val="24"/>
          <w:lang w:val="lv-LV"/>
        </w:rPr>
        <w:t>80 568</w:t>
      </w:r>
      <w:r w:rsidR="00F6730B">
        <w:rPr>
          <w:rFonts w:ascii="Times New Roman" w:hAnsi="Times New Roman" w:cs="Times New Roman"/>
          <w:sz w:val="24"/>
          <w:szCs w:val="24"/>
          <w:lang w:val="lv-LV"/>
        </w:rPr>
        <w:t> </w:t>
      </w:r>
      <w:r w:rsidRPr="00351EEB">
        <w:rPr>
          <w:rFonts w:ascii="Times New Roman" w:hAnsi="Times New Roman" w:cs="Times New Roman"/>
          <w:sz w:val="24"/>
          <w:szCs w:val="24"/>
          <w:lang w:val="lv-LV"/>
        </w:rPr>
        <w:t>563</w:t>
      </w:r>
      <w:r w:rsidR="00F6730B">
        <w:rPr>
          <w:rFonts w:ascii="Times New Roman" w:hAnsi="Times New Roman" w:cs="Times New Roman"/>
          <w:sz w:val="24"/>
          <w:szCs w:val="24"/>
          <w:lang w:val="lv-LV"/>
        </w:rPr>
        <w:t xml:space="preserve"> lati</w:t>
      </w:r>
      <w:r w:rsidRPr="00351EEB">
        <w:rPr>
          <w:rFonts w:ascii="Times New Roman" w:hAnsi="Times New Roman" w:cs="Times New Roman"/>
          <w:sz w:val="24"/>
          <w:szCs w:val="24"/>
          <w:lang w:val="lv-LV"/>
        </w:rPr>
        <w:t xml:space="preserve">. No šiem līdzekļiem </w:t>
      </w:r>
      <w:r w:rsidR="00F6730B">
        <w:rPr>
          <w:rFonts w:ascii="Times New Roman" w:hAnsi="Times New Roman" w:cs="Times New Roman"/>
          <w:sz w:val="24"/>
          <w:szCs w:val="24"/>
          <w:lang w:val="lv-LV"/>
        </w:rPr>
        <w:t xml:space="preserve">samaksāti </w:t>
      </w:r>
      <w:r w:rsidR="00E565E8">
        <w:rPr>
          <w:rFonts w:ascii="Times New Roman" w:hAnsi="Times New Roman" w:cs="Times New Roman"/>
          <w:sz w:val="24"/>
          <w:szCs w:val="24"/>
          <w:lang w:val="lv-LV"/>
        </w:rPr>
        <w:t xml:space="preserve">atlikušie </w:t>
      </w:r>
      <w:r w:rsidR="00F6730B">
        <w:rPr>
          <w:rFonts w:ascii="Times New Roman" w:hAnsi="Times New Roman" w:cs="Times New Roman"/>
          <w:sz w:val="24"/>
          <w:szCs w:val="24"/>
          <w:lang w:val="lv-LV"/>
        </w:rPr>
        <w:t>norēķini par 20</w:t>
      </w:r>
      <w:r w:rsidR="00B307D6">
        <w:rPr>
          <w:rFonts w:ascii="Times New Roman" w:hAnsi="Times New Roman" w:cs="Times New Roman"/>
          <w:sz w:val="24"/>
          <w:szCs w:val="24"/>
          <w:lang w:val="lv-LV"/>
        </w:rPr>
        <w:t>12.gada decembri</w:t>
      </w:r>
      <w:r w:rsidRPr="00351EEB">
        <w:rPr>
          <w:rFonts w:ascii="Times New Roman" w:hAnsi="Times New Roman" w:cs="Times New Roman"/>
          <w:sz w:val="24"/>
          <w:szCs w:val="24"/>
          <w:lang w:val="lv-LV"/>
        </w:rPr>
        <w:t xml:space="preserve"> 3 463</w:t>
      </w:r>
      <w:r w:rsidR="00B307D6">
        <w:rPr>
          <w:rFonts w:ascii="Times New Roman" w:hAnsi="Times New Roman" w:cs="Times New Roman"/>
          <w:sz w:val="24"/>
          <w:szCs w:val="24"/>
          <w:lang w:val="lv-LV"/>
        </w:rPr>
        <w:t> </w:t>
      </w:r>
      <w:r w:rsidRPr="00351EEB">
        <w:rPr>
          <w:rFonts w:ascii="Times New Roman" w:hAnsi="Times New Roman" w:cs="Times New Roman"/>
          <w:sz w:val="24"/>
          <w:szCs w:val="24"/>
          <w:lang w:val="lv-LV"/>
        </w:rPr>
        <w:t>018</w:t>
      </w:r>
      <w:r w:rsidR="00B307D6">
        <w:rPr>
          <w:rFonts w:ascii="Times New Roman" w:hAnsi="Times New Roman" w:cs="Times New Roman"/>
          <w:sz w:val="24"/>
          <w:szCs w:val="24"/>
          <w:lang w:val="lv-LV"/>
        </w:rPr>
        <w:t xml:space="preserve"> lati</w:t>
      </w:r>
      <w:r w:rsidRPr="00351EEB">
        <w:rPr>
          <w:rFonts w:ascii="Times New Roman" w:hAnsi="Times New Roman" w:cs="Times New Roman"/>
          <w:sz w:val="24"/>
          <w:szCs w:val="24"/>
          <w:lang w:val="lv-LV"/>
        </w:rPr>
        <w:t>, kā arī progn</w:t>
      </w:r>
      <w:r w:rsidR="00446466">
        <w:rPr>
          <w:rFonts w:ascii="Times New Roman" w:hAnsi="Times New Roman" w:cs="Times New Roman"/>
          <w:sz w:val="24"/>
          <w:szCs w:val="24"/>
          <w:lang w:val="lv-LV"/>
        </w:rPr>
        <w:t>ozēti</w:t>
      </w:r>
      <w:r w:rsidRPr="00351EEB">
        <w:rPr>
          <w:rFonts w:ascii="Times New Roman" w:hAnsi="Times New Roman" w:cs="Times New Roman"/>
          <w:sz w:val="24"/>
          <w:szCs w:val="24"/>
          <w:lang w:val="lv-LV"/>
        </w:rPr>
        <w:t xml:space="preserve"> rēķini par  2013.gada janvārī – novembrī izsniegtajām zālēm Ls </w:t>
      </w:r>
      <w:r w:rsidR="00A914D9">
        <w:rPr>
          <w:rFonts w:ascii="Times New Roman" w:hAnsi="Times New Roman" w:cs="Times New Roman"/>
          <w:sz w:val="24"/>
          <w:szCs w:val="24"/>
          <w:lang w:val="lv-LV"/>
        </w:rPr>
        <w:t>81 249 890</w:t>
      </w:r>
      <w:r w:rsidRPr="00351EEB">
        <w:rPr>
          <w:rFonts w:ascii="Times New Roman" w:hAnsi="Times New Roman" w:cs="Times New Roman"/>
          <w:sz w:val="24"/>
          <w:szCs w:val="24"/>
          <w:lang w:val="lv-LV"/>
        </w:rPr>
        <w:t xml:space="preserve"> (Ls </w:t>
      </w:r>
      <w:r w:rsidR="00B307D6">
        <w:rPr>
          <w:rFonts w:ascii="Times New Roman" w:eastAsia="Times New Roman" w:hAnsi="Times New Roman" w:cs="Times New Roman"/>
          <w:bCs/>
          <w:sz w:val="24"/>
          <w:szCs w:val="24"/>
          <w:lang w:val="lv-LV" w:eastAsia="lv-LV"/>
        </w:rPr>
        <w:t>84 782 494/12x</w:t>
      </w:r>
      <w:r w:rsidRPr="00351EEB">
        <w:rPr>
          <w:rFonts w:ascii="Times New Roman" w:eastAsia="Times New Roman" w:hAnsi="Times New Roman" w:cs="Times New Roman"/>
          <w:bCs/>
          <w:sz w:val="24"/>
          <w:szCs w:val="24"/>
          <w:lang w:val="lv-LV" w:eastAsia="lv-LV"/>
        </w:rPr>
        <w:t>11</w:t>
      </w:r>
      <w:r w:rsidR="00A914D9">
        <w:rPr>
          <w:rFonts w:ascii="Times New Roman" w:eastAsia="Times New Roman" w:hAnsi="Times New Roman" w:cs="Times New Roman"/>
          <w:bCs/>
          <w:sz w:val="24"/>
          <w:szCs w:val="24"/>
          <w:lang w:val="lv-LV" w:eastAsia="lv-LV"/>
        </w:rPr>
        <w:t>,5</w:t>
      </w:r>
      <w:r w:rsidRPr="00351EEB">
        <w:rPr>
          <w:rFonts w:ascii="Times New Roman" w:eastAsia="Times New Roman" w:hAnsi="Times New Roman" w:cs="Times New Roman"/>
          <w:bCs/>
          <w:sz w:val="24"/>
          <w:szCs w:val="24"/>
          <w:lang w:val="lv-LV" w:eastAsia="lv-LV"/>
        </w:rPr>
        <w:t xml:space="preserve"> mēn.)</w:t>
      </w:r>
      <w:r w:rsidRPr="00351EEB">
        <w:rPr>
          <w:rFonts w:ascii="Times New Roman" w:eastAsia="Times New Roman" w:hAnsi="Times New Roman" w:cs="Times New Roman"/>
          <w:bCs/>
          <w:color w:val="FF0000"/>
          <w:sz w:val="24"/>
          <w:szCs w:val="24"/>
          <w:lang w:val="lv-LV" w:eastAsia="lv-LV"/>
        </w:rPr>
        <w:t xml:space="preserve"> </w:t>
      </w:r>
      <w:r w:rsidRPr="00351EEB">
        <w:rPr>
          <w:rFonts w:ascii="Times New Roman" w:hAnsi="Times New Roman" w:cs="Times New Roman"/>
          <w:sz w:val="24"/>
          <w:szCs w:val="24"/>
          <w:lang w:val="lv-LV"/>
        </w:rPr>
        <w:t xml:space="preserve">Tādējādi  sagaidāmais līdzekļu deficīts </w:t>
      </w:r>
      <w:r w:rsidR="00B307D6">
        <w:rPr>
          <w:rFonts w:ascii="Times New Roman" w:hAnsi="Times New Roman" w:cs="Times New Roman"/>
          <w:sz w:val="24"/>
          <w:szCs w:val="24"/>
          <w:lang w:val="lv-LV"/>
        </w:rPr>
        <w:t xml:space="preserve">2013.gadā </w:t>
      </w:r>
      <w:r w:rsidRPr="00351EEB">
        <w:rPr>
          <w:rFonts w:ascii="Times New Roman" w:hAnsi="Times New Roman" w:cs="Times New Roman"/>
          <w:sz w:val="24"/>
          <w:szCs w:val="24"/>
          <w:lang w:val="lv-LV"/>
        </w:rPr>
        <w:t xml:space="preserve">veidosies </w:t>
      </w:r>
      <w:r w:rsidR="00910038" w:rsidRPr="00910038">
        <w:rPr>
          <w:rFonts w:ascii="Times New Roman" w:hAnsi="Times New Roman" w:cs="Times New Roman"/>
          <w:b/>
          <w:sz w:val="24"/>
          <w:szCs w:val="24"/>
          <w:lang w:val="lv-LV"/>
        </w:rPr>
        <w:t>4 144</w:t>
      </w:r>
      <w:r w:rsidR="00B307D6">
        <w:rPr>
          <w:rFonts w:ascii="Times New Roman" w:hAnsi="Times New Roman" w:cs="Times New Roman"/>
          <w:b/>
          <w:sz w:val="24"/>
          <w:szCs w:val="24"/>
          <w:lang w:val="lv-LV"/>
        </w:rPr>
        <w:t> </w:t>
      </w:r>
      <w:r w:rsidR="00910038" w:rsidRPr="00910038">
        <w:rPr>
          <w:rFonts w:ascii="Times New Roman" w:hAnsi="Times New Roman" w:cs="Times New Roman"/>
          <w:b/>
          <w:sz w:val="24"/>
          <w:szCs w:val="24"/>
          <w:lang w:val="lv-LV"/>
        </w:rPr>
        <w:t>345</w:t>
      </w:r>
      <w:r w:rsidR="00B307D6">
        <w:rPr>
          <w:rFonts w:ascii="Times New Roman" w:hAnsi="Times New Roman" w:cs="Times New Roman"/>
          <w:b/>
          <w:sz w:val="24"/>
          <w:szCs w:val="24"/>
          <w:lang w:val="lv-LV"/>
        </w:rPr>
        <w:t xml:space="preserve"> lati</w:t>
      </w:r>
      <w:r w:rsidR="00A914D9" w:rsidRPr="00910038">
        <w:rPr>
          <w:rFonts w:ascii="Times New Roman" w:hAnsi="Times New Roman" w:cs="Times New Roman"/>
          <w:sz w:val="24"/>
          <w:szCs w:val="24"/>
          <w:lang w:val="lv-LV"/>
        </w:rPr>
        <w:t xml:space="preserve"> </w:t>
      </w:r>
      <w:r w:rsidR="00A914D9" w:rsidRPr="00910038">
        <w:rPr>
          <w:rFonts w:ascii="Times New Roman" w:hAnsi="Times New Roman" w:cs="Times New Roman"/>
          <w:sz w:val="24"/>
          <w:szCs w:val="24"/>
          <w:lang w:val="lv-LV"/>
        </w:rPr>
        <w:lastRenderedPageBreak/>
        <w:t>(</w:t>
      </w:r>
      <w:r w:rsidR="00910038" w:rsidRPr="00910038">
        <w:rPr>
          <w:rFonts w:ascii="Times New Roman" w:hAnsi="Times New Roman" w:cs="Times New Roman"/>
          <w:sz w:val="24"/>
          <w:szCs w:val="24"/>
          <w:lang w:val="lv-LV"/>
        </w:rPr>
        <w:t>78 568 563</w:t>
      </w:r>
      <w:r w:rsidR="00A914D9" w:rsidRPr="00910038">
        <w:rPr>
          <w:rFonts w:ascii="Times New Roman" w:hAnsi="Times New Roman" w:cs="Times New Roman"/>
          <w:sz w:val="24"/>
          <w:szCs w:val="24"/>
          <w:lang w:val="lv-LV"/>
        </w:rPr>
        <w:t xml:space="preserve"> lati -</w:t>
      </w:r>
      <w:r w:rsidR="00B307D6">
        <w:rPr>
          <w:rFonts w:ascii="Times New Roman" w:hAnsi="Times New Roman" w:cs="Times New Roman"/>
          <w:sz w:val="24"/>
          <w:szCs w:val="24"/>
          <w:lang w:val="lv-LV"/>
        </w:rPr>
        <w:t xml:space="preserve"> </w:t>
      </w:r>
      <w:r w:rsidR="00A914D9" w:rsidRPr="00910038">
        <w:rPr>
          <w:rFonts w:ascii="Times New Roman" w:hAnsi="Times New Roman" w:cs="Times New Roman"/>
          <w:sz w:val="24"/>
          <w:szCs w:val="24"/>
          <w:lang w:val="lv-LV"/>
        </w:rPr>
        <w:t xml:space="preserve">3 463 018 lati - </w:t>
      </w:r>
      <w:r w:rsidR="00910038" w:rsidRPr="00910038">
        <w:rPr>
          <w:rFonts w:ascii="Times New Roman" w:hAnsi="Times New Roman" w:cs="Times New Roman"/>
          <w:sz w:val="24"/>
          <w:szCs w:val="24"/>
          <w:lang w:val="lv-LV"/>
        </w:rPr>
        <w:t>81 249 890 lati + 2000 000 lati)</w:t>
      </w:r>
      <w:r w:rsidRPr="00910038">
        <w:rPr>
          <w:rFonts w:ascii="Times New Roman" w:hAnsi="Times New Roman" w:cs="Times New Roman"/>
          <w:sz w:val="24"/>
          <w:szCs w:val="24"/>
          <w:lang w:val="lv-LV"/>
        </w:rPr>
        <w:t>.</w:t>
      </w:r>
      <w:r w:rsidR="00910038">
        <w:rPr>
          <w:rFonts w:ascii="Times New Roman" w:hAnsi="Times New Roman" w:cs="Times New Roman"/>
          <w:color w:val="000000"/>
          <w:sz w:val="24"/>
          <w:szCs w:val="24"/>
          <w:lang w:val="lv-LV"/>
        </w:rPr>
        <w:t xml:space="preserve"> Tā kā </w:t>
      </w:r>
      <w:r w:rsidR="00422872">
        <w:rPr>
          <w:rFonts w:ascii="Times New Roman" w:hAnsi="Times New Roman" w:cs="Times New Roman"/>
          <w:color w:val="000000"/>
          <w:sz w:val="24"/>
          <w:szCs w:val="24"/>
          <w:lang w:val="lv-LV"/>
        </w:rPr>
        <w:t xml:space="preserve">ar 2013.gadu sistēmas dalībniekiem nav jāveic maksājumi, ja līdzekļu izlietojums zāļu kompensācijai pārsniedz zāļu kompensācijai piešīrtos līdzekļus attiecīgajā laika periodā, 2014.gadā netiks saņemti dalībnieku maksājumi 2,0 milj. latu pamērā, un, līdz ar to, līdzekļu deficīts </w:t>
      </w:r>
      <w:r w:rsidR="00422872" w:rsidRPr="00422872">
        <w:rPr>
          <w:rFonts w:ascii="Times New Roman" w:hAnsi="Times New Roman" w:cs="Times New Roman"/>
          <w:b/>
          <w:color w:val="000000"/>
          <w:sz w:val="24"/>
          <w:szCs w:val="24"/>
          <w:lang w:val="lv-LV"/>
        </w:rPr>
        <w:t>2014.gadā</w:t>
      </w:r>
      <w:r w:rsidR="00422872">
        <w:rPr>
          <w:rFonts w:ascii="Times New Roman" w:hAnsi="Times New Roman" w:cs="Times New Roman"/>
          <w:color w:val="000000"/>
          <w:sz w:val="24"/>
          <w:szCs w:val="24"/>
          <w:lang w:val="lv-LV"/>
        </w:rPr>
        <w:t xml:space="preserve"> plānojams </w:t>
      </w:r>
      <w:r w:rsidR="00422872" w:rsidRPr="00422872">
        <w:rPr>
          <w:rFonts w:ascii="Times New Roman" w:hAnsi="Times New Roman" w:cs="Times New Roman"/>
          <w:b/>
          <w:color w:val="000000"/>
          <w:sz w:val="24"/>
          <w:szCs w:val="24"/>
          <w:lang w:val="lv-LV"/>
        </w:rPr>
        <w:t>ne mazāks par 6 144 345 latiem</w:t>
      </w:r>
      <w:r w:rsidR="00422872">
        <w:rPr>
          <w:rFonts w:ascii="Times New Roman" w:hAnsi="Times New Roman" w:cs="Times New Roman"/>
          <w:color w:val="000000"/>
          <w:sz w:val="24"/>
          <w:szCs w:val="24"/>
          <w:lang w:val="lv-LV"/>
        </w:rPr>
        <w:t>.</w:t>
      </w:r>
    </w:p>
    <w:p w:rsidR="00B307D6" w:rsidRPr="00FC5F33" w:rsidRDefault="00B307D6" w:rsidP="005A4F8A">
      <w:pPr>
        <w:pStyle w:val="NoSpacing"/>
        <w:spacing w:before="120" w:after="120"/>
        <w:ind w:firstLine="720"/>
        <w:jc w:val="both"/>
        <w:rPr>
          <w:rFonts w:ascii="Times New Roman" w:hAnsi="Times New Roman"/>
          <w:b/>
          <w:sz w:val="28"/>
          <w:szCs w:val="28"/>
        </w:rPr>
      </w:pPr>
      <w:r w:rsidRPr="00FC5F33">
        <w:rPr>
          <w:rFonts w:ascii="Times New Roman" w:hAnsi="Times New Roman"/>
          <w:b/>
          <w:sz w:val="28"/>
          <w:szCs w:val="28"/>
        </w:rPr>
        <w:t xml:space="preserve">2. Unikālo pacientu skaita pieaugumam </w:t>
      </w:r>
    </w:p>
    <w:p w:rsidR="00351EEB" w:rsidRPr="00D66804" w:rsidRDefault="00E565E8" w:rsidP="00B37B06">
      <w:pPr>
        <w:autoSpaceDE w:val="0"/>
        <w:autoSpaceDN w:val="0"/>
        <w:spacing w:line="240" w:lineRule="auto"/>
        <w:ind w:firstLine="720"/>
        <w:jc w:val="both"/>
        <w:rPr>
          <w:rFonts w:ascii="Times New Roman" w:hAnsi="Times New Roman" w:cs="Times New Roman"/>
          <w:sz w:val="24"/>
          <w:szCs w:val="24"/>
        </w:rPr>
      </w:pPr>
      <w:r w:rsidRPr="004D6C02">
        <w:rPr>
          <w:rFonts w:ascii="Times New Roman" w:hAnsi="Times New Roman" w:cs="Times New Roman"/>
          <w:sz w:val="24"/>
          <w:szCs w:val="24"/>
          <w:lang w:val="lv-LV"/>
        </w:rPr>
        <w:t xml:space="preserve">Atbilstoši noteikumu Nr.899 99.punktam zāļu un medicīnisko ierīču iegādes izdevumu kompensācijai individuāliem pacientiem izlieto ne vairāk kā 2 % no zāļu iegādes izdevumu kompensācijai piešķirtajiem līdzekļiem. Tātad 2013.gadā plānotie līdzekļi ir 1 561 504 lati (2% no 78 075 200 latiem). Katru gadu zāļu izdevumu kompensācijas sistēmas ietvaros ārstējamo (unikālo) pacientu skaits palielinās vidēji par 24 109 pacientiem vai  5% no  kopējā pacientu skaita (skat. 5.tab.). Ņemot vērā 2012.gadā vidējo zāļu kompensācijas izmaksu apjomu  par A un B saraksta zālēm uz vienu unikālo pacientu  Ls 135 (Ls 74 827 268 : 554 268 pacienti), ikgadējais izdevumu pieaugums </w:t>
      </w:r>
      <w:r w:rsidRPr="004D6C02">
        <w:rPr>
          <w:rFonts w:ascii="Times New Roman" w:hAnsi="Times New Roman" w:cs="Times New Roman"/>
          <w:b/>
          <w:sz w:val="24"/>
          <w:szCs w:val="24"/>
          <w:lang w:val="lv-LV"/>
        </w:rPr>
        <w:t>3 254 715 lati</w:t>
      </w:r>
      <w:r w:rsidRPr="004D6C02">
        <w:rPr>
          <w:rFonts w:ascii="Times New Roman" w:hAnsi="Times New Roman" w:cs="Times New Roman"/>
          <w:sz w:val="24"/>
          <w:szCs w:val="24"/>
          <w:lang w:val="lv-LV"/>
        </w:rPr>
        <w:t xml:space="preserve"> (Ls 135 x 24 109 pacienti). </w:t>
      </w:r>
      <w:r>
        <w:rPr>
          <w:rFonts w:ascii="Times New Roman" w:hAnsi="Times New Roman" w:cs="Times New Roman"/>
          <w:sz w:val="24"/>
          <w:szCs w:val="24"/>
        </w:rPr>
        <w:t>2013</w:t>
      </w:r>
      <w:proofErr w:type="gramStart"/>
      <w:r>
        <w:rPr>
          <w:rFonts w:ascii="Times New Roman" w:hAnsi="Times New Roman" w:cs="Times New Roman"/>
          <w:sz w:val="24"/>
          <w:szCs w:val="24"/>
        </w:rPr>
        <w:t>.gada</w:t>
      </w:r>
      <w:proofErr w:type="gramEnd"/>
      <w:r>
        <w:rPr>
          <w:rFonts w:ascii="Times New Roman" w:hAnsi="Times New Roman" w:cs="Times New Roman"/>
          <w:sz w:val="24"/>
          <w:szCs w:val="24"/>
        </w:rPr>
        <w:t xml:space="preserve"> 6 mēnešiem nepieciešams papildus </w:t>
      </w:r>
      <w:r w:rsidRPr="00D66804">
        <w:rPr>
          <w:rFonts w:ascii="Times New Roman" w:hAnsi="Times New Roman" w:cs="Times New Roman"/>
          <w:b/>
          <w:sz w:val="24"/>
          <w:szCs w:val="24"/>
        </w:rPr>
        <w:t>1 627 358 lati</w:t>
      </w:r>
      <w:r w:rsidR="00B37B06">
        <w:rPr>
          <w:rFonts w:ascii="Times New Roman" w:hAnsi="Times New Roman" w:cs="Times New Roman"/>
          <w:b/>
          <w:sz w:val="24"/>
          <w:szCs w:val="24"/>
        </w:rPr>
        <w:t xml:space="preserve">, 2014.gadā </w:t>
      </w:r>
      <w:r w:rsidR="00B37B06" w:rsidRPr="00B37B06">
        <w:rPr>
          <w:rFonts w:ascii="Times New Roman" w:hAnsi="Times New Roman" w:cs="Times New Roman"/>
          <w:sz w:val="24"/>
          <w:szCs w:val="24"/>
        </w:rPr>
        <w:t>nepieciešams papildus finansējums</w:t>
      </w:r>
      <w:r w:rsidR="00B37B06">
        <w:rPr>
          <w:rFonts w:ascii="Times New Roman" w:hAnsi="Times New Roman" w:cs="Times New Roman"/>
          <w:sz w:val="24"/>
          <w:szCs w:val="24"/>
        </w:rPr>
        <w:t xml:space="preserve"> </w:t>
      </w:r>
      <w:r w:rsidR="00B37B06" w:rsidRPr="00B37B06">
        <w:rPr>
          <w:rFonts w:ascii="Times New Roman" w:hAnsi="Times New Roman" w:cs="Times New Roman"/>
          <w:b/>
          <w:sz w:val="24"/>
          <w:szCs w:val="24"/>
        </w:rPr>
        <w:t>3 254 71</w:t>
      </w:r>
      <w:r w:rsidR="00B37B06">
        <w:rPr>
          <w:rFonts w:ascii="Times New Roman" w:hAnsi="Times New Roman" w:cs="Times New Roman"/>
          <w:b/>
          <w:sz w:val="24"/>
          <w:szCs w:val="24"/>
        </w:rPr>
        <w:t>5</w:t>
      </w:r>
      <w:r w:rsidR="00B37B06" w:rsidRPr="00B37B06">
        <w:rPr>
          <w:rFonts w:ascii="Times New Roman" w:hAnsi="Times New Roman" w:cs="Times New Roman"/>
          <w:b/>
          <w:sz w:val="24"/>
          <w:szCs w:val="24"/>
        </w:rPr>
        <w:t xml:space="preserve"> latu</w:t>
      </w:r>
      <w:r w:rsidR="00B37B06">
        <w:rPr>
          <w:rFonts w:ascii="Times New Roman" w:hAnsi="Times New Roman" w:cs="Times New Roman"/>
          <w:sz w:val="24"/>
          <w:szCs w:val="24"/>
        </w:rPr>
        <w:t xml:space="preserve"> apmērā.</w:t>
      </w:r>
      <w:r w:rsidR="00B37B06" w:rsidRPr="00B37B06">
        <w:rPr>
          <w:rFonts w:ascii="Times New Roman" w:hAnsi="Times New Roman" w:cs="Times New Roman"/>
          <w:sz w:val="24"/>
          <w:szCs w:val="24"/>
        </w:rPr>
        <w:t xml:space="preserve"> </w:t>
      </w:r>
    </w:p>
    <w:tbl>
      <w:tblPr>
        <w:tblW w:w="6523" w:type="dxa"/>
        <w:tblInd w:w="2472" w:type="dxa"/>
        <w:tblLook w:val="04A0"/>
      </w:tblPr>
      <w:tblGrid>
        <w:gridCol w:w="6523"/>
      </w:tblGrid>
      <w:tr w:rsidR="00351EEB" w:rsidRPr="00351EEB" w:rsidTr="00C55113">
        <w:trPr>
          <w:trHeight w:val="795"/>
        </w:trPr>
        <w:tc>
          <w:tcPr>
            <w:tcW w:w="6523" w:type="dxa"/>
            <w:tcBorders>
              <w:top w:val="nil"/>
              <w:left w:val="nil"/>
              <w:bottom w:val="nil"/>
              <w:right w:val="nil"/>
            </w:tcBorders>
            <w:shd w:val="clear" w:color="auto" w:fill="auto"/>
            <w:vAlign w:val="bottom"/>
            <w:hideMark/>
          </w:tcPr>
          <w:tbl>
            <w:tblPr>
              <w:tblW w:w="6180" w:type="dxa"/>
              <w:tblLook w:val="04A0"/>
            </w:tblPr>
            <w:tblGrid>
              <w:gridCol w:w="1780"/>
              <w:gridCol w:w="1540"/>
              <w:gridCol w:w="1921"/>
              <w:gridCol w:w="1066"/>
            </w:tblGrid>
            <w:tr w:rsidR="00351EEB" w:rsidRPr="00FC5064" w:rsidTr="00D66804">
              <w:trPr>
                <w:trHeight w:val="795"/>
              </w:trPr>
              <w:tc>
                <w:tcPr>
                  <w:tcW w:w="6180" w:type="dxa"/>
                  <w:gridSpan w:val="4"/>
                  <w:tcBorders>
                    <w:top w:val="nil"/>
                    <w:left w:val="nil"/>
                    <w:bottom w:val="nil"/>
                    <w:right w:val="nil"/>
                  </w:tcBorders>
                  <w:shd w:val="clear" w:color="auto" w:fill="auto"/>
                  <w:vAlign w:val="bottom"/>
                  <w:hideMark/>
                </w:tcPr>
                <w:p w:rsidR="00351EEB" w:rsidRPr="00FC5064" w:rsidRDefault="00D66804" w:rsidP="00D66804">
                  <w:pPr>
                    <w:spacing w:after="0" w:line="240" w:lineRule="auto"/>
                    <w:jc w:val="right"/>
                    <w:rPr>
                      <w:rFonts w:ascii="Times New Roman" w:hAnsi="Times New Roman" w:cs="Times New Roman"/>
                      <w:lang w:val="lv-LV"/>
                    </w:rPr>
                  </w:pPr>
                  <w:r w:rsidRPr="00FC5064">
                    <w:rPr>
                      <w:rFonts w:ascii="Times New Roman" w:hAnsi="Times New Roman" w:cs="Times New Roman"/>
                      <w:lang w:val="lv-LV"/>
                    </w:rPr>
                    <w:t>5</w:t>
                  </w:r>
                  <w:r w:rsidR="00351EEB" w:rsidRPr="00FC5064">
                    <w:rPr>
                      <w:rFonts w:ascii="Times New Roman" w:hAnsi="Times New Roman" w:cs="Times New Roman"/>
                      <w:lang w:val="lv-LV"/>
                    </w:rPr>
                    <w:t>.tabula</w:t>
                  </w:r>
                </w:p>
                <w:p w:rsidR="00351EEB" w:rsidRPr="00E565E8" w:rsidRDefault="00E565E8" w:rsidP="00351EEB">
                  <w:pPr>
                    <w:spacing w:after="0" w:line="240" w:lineRule="auto"/>
                    <w:jc w:val="center"/>
                    <w:rPr>
                      <w:rFonts w:ascii="Times New Roman" w:eastAsia="Times New Roman" w:hAnsi="Times New Roman" w:cs="Times New Roman"/>
                      <w:b/>
                      <w:bCs/>
                      <w:sz w:val="24"/>
                      <w:szCs w:val="24"/>
                      <w:lang w:val="lv-LV" w:eastAsia="lv-LV"/>
                    </w:rPr>
                  </w:pPr>
                  <w:r w:rsidRPr="00E565E8">
                    <w:rPr>
                      <w:rFonts w:ascii="Times New Roman" w:hAnsi="Times New Roman" w:cs="Times New Roman"/>
                      <w:b/>
                      <w:sz w:val="24"/>
                      <w:szCs w:val="24"/>
                      <w:lang w:val="lv-LV"/>
                    </w:rPr>
                    <w:t>Zāļu iegādes izdevumu kompensācijas sistēmas</w:t>
                  </w:r>
                  <w:r w:rsidRPr="00E565E8">
                    <w:rPr>
                      <w:rFonts w:ascii="Times New Roman" w:eastAsia="Times New Roman" w:hAnsi="Times New Roman" w:cs="Times New Roman"/>
                      <w:b/>
                      <w:bCs/>
                      <w:sz w:val="24"/>
                      <w:szCs w:val="24"/>
                      <w:lang w:val="lv-LV" w:eastAsia="lv-LV"/>
                    </w:rPr>
                    <w:t xml:space="preserve"> </w:t>
                  </w:r>
                  <w:r w:rsidR="00351EEB" w:rsidRPr="00E565E8">
                    <w:rPr>
                      <w:rFonts w:ascii="Times New Roman" w:eastAsia="Times New Roman" w:hAnsi="Times New Roman" w:cs="Times New Roman"/>
                      <w:b/>
                      <w:bCs/>
                      <w:sz w:val="24"/>
                      <w:szCs w:val="24"/>
                      <w:lang w:val="lv-LV" w:eastAsia="lv-LV"/>
                    </w:rPr>
                    <w:t>ietvaros ārstējamo (unikālo) pacientu skaita izmaiņas 2007. - 2013.gadā</w:t>
                  </w:r>
                </w:p>
                <w:p w:rsidR="005A4F8A" w:rsidRPr="00FC5064" w:rsidRDefault="005A4F8A" w:rsidP="00351EEB">
                  <w:pPr>
                    <w:spacing w:after="0" w:line="240" w:lineRule="auto"/>
                    <w:jc w:val="center"/>
                    <w:rPr>
                      <w:rFonts w:ascii="Times New Roman" w:eastAsia="Times New Roman" w:hAnsi="Times New Roman" w:cs="Times New Roman"/>
                      <w:b/>
                      <w:bCs/>
                      <w:lang w:val="lv-LV" w:eastAsia="lv-LV"/>
                    </w:rPr>
                  </w:pPr>
                </w:p>
              </w:tc>
            </w:tr>
            <w:tr w:rsidR="00351EEB" w:rsidRPr="00FC5064" w:rsidTr="00FC5064">
              <w:trPr>
                <w:trHeight w:val="94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EEB" w:rsidRPr="00FC5064" w:rsidRDefault="00FC5064" w:rsidP="00FC5064">
                  <w:pPr>
                    <w:spacing w:after="0" w:line="240" w:lineRule="auto"/>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Gads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51EEB" w:rsidRPr="00FC5064" w:rsidRDefault="00FC5064" w:rsidP="00FC5064">
                  <w:pPr>
                    <w:spacing w:after="0" w:line="240" w:lineRule="auto"/>
                    <w:jc w:val="center"/>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U</w:t>
                  </w:r>
                  <w:r w:rsidR="00351EEB" w:rsidRPr="00FC5064">
                    <w:rPr>
                      <w:rFonts w:ascii="Times New Roman" w:eastAsia="Times New Roman" w:hAnsi="Times New Roman" w:cs="Times New Roman"/>
                      <w:color w:val="000000"/>
                      <w:lang w:val="lv-LV" w:eastAsia="lv-LV"/>
                    </w:rPr>
                    <w:t>nikālo pacientu skaits</w:t>
                  </w:r>
                  <w:r>
                    <w:rPr>
                      <w:rFonts w:ascii="Times New Roman" w:eastAsia="Times New Roman" w:hAnsi="Times New Roman" w:cs="Times New Roman"/>
                      <w:color w:val="000000"/>
                      <w:lang w:val="lv-LV" w:eastAsia="lv-LV"/>
                    </w:rPr>
                    <w:t xml:space="preserve"> gadā</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351EEB" w:rsidRPr="00FC5064" w:rsidRDefault="00FC5064" w:rsidP="00FC5064">
                  <w:pPr>
                    <w:spacing w:after="0" w:line="240" w:lineRule="auto"/>
                    <w:jc w:val="center"/>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Izmaiņas,</w:t>
                  </w:r>
                  <w:r w:rsidR="00351EEB" w:rsidRPr="00FC5064">
                    <w:rPr>
                      <w:rFonts w:ascii="Times New Roman" w:eastAsia="Times New Roman" w:hAnsi="Times New Roman" w:cs="Times New Roman"/>
                      <w:color w:val="000000"/>
                      <w:lang w:val="lv-LV" w:eastAsia="lv-LV"/>
                    </w:rPr>
                    <w:t>salīdzinot ar iepriekšējo gadu</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51EEB" w:rsidRPr="00FC5064" w:rsidRDefault="00FC5064" w:rsidP="00FC5064">
                  <w:pPr>
                    <w:spacing w:after="0" w:line="240" w:lineRule="auto"/>
                    <w:jc w:val="center"/>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I</w:t>
                  </w:r>
                  <w:r w:rsidR="00351EEB" w:rsidRPr="00FC5064">
                    <w:rPr>
                      <w:rFonts w:ascii="Times New Roman" w:eastAsia="Times New Roman" w:hAnsi="Times New Roman" w:cs="Times New Roman"/>
                      <w:color w:val="000000"/>
                      <w:lang w:val="lv-LV" w:eastAsia="lv-LV"/>
                    </w:rPr>
                    <w:t xml:space="preserve">zmaiņas, </w:t>
                  </w:r>
                  <w:r w:rsidR="00351EEB" w:rsidRPr="00FC5064">
                    <w:rPr>
                      <w:rFonts w:ascii="Times New Roman" w:eastAsia="Times New Roman" w:hAnsi="Times New Roman" w:cs="Times New Roman"/>
                      <w:color w:val="000000"/>
                      <w:lang w:val="lv-LV" w:eastAsia="lv-LV"/>
                    </w:rPr>
                    <w:br/>
                    <w:t>%</w:t>
                  </w:r>
                </w:p>
              </w:tc>
            </w:tr>
            <w:tr w:rsidR="00351EEB" w:rsidRPr="00FC5064" w:rsidTr="00D66804">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lang w:val="lv-LV" w:eastAsia="lv-LV"/>
                    </w:rPr>
                  </w:pPr>
                  <w:r w:rsidRPr="00FC5064">
                    <w:rPr>
                      <w:rFonts w:ascii="Times New Roman" w:eastAsia="Times New Roman" w:hAnsi="Times New Roman" w:cs="Times New Roman"/>
                      <w:lang w:val="lv-LV" w:eastAsia="lv-LV"/>
                    </w:rPr>
                    <w:t>2007</w:t>
                  </w:r>
                </w:p>
              </w:tc>
              <w:tc>
                <w:tcPr>
                  <w:tcW w:w="154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448 924</w:t>
                  </w:r>
                </w:p>
              </w:tc>
              <w:tc>
                <w:tcPr>
                  <w:tcW w:w="184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 </w:t>
                  </w:r>
                </w:p>
              </w:tc>
              <w:tc>
                <w:tcPr>
                  <w:tcW w:w="102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center"/>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0</w:t>
                  </w:r>
                </w:p>
              </w:tc>
            </w:tr>
            <w:tr w:rsidR="00351EEB" w:rsidRPr="00FC5064" w:rsidTr="00D66804">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lang w:val="lv-LV" w:eastAsia="lv-LV"/>
                    </w:rPr>
                  </w:pPr>
                  <w:r w:rsidRPr="00FC5064">
                    <w:rPr>
                      <w:rFonts w:ascii="Times New Roman" w:eastAsia="Times New Roman" w:hAnsi="Times New Roman" w:cs="Times New Roman"/>
                      <w:lang w:val="lv-LV" w:eastAsia="lv-LV"/>
                    </w:rPr>
                    <w:t>2008</w:t>
                  </w:r>
                </w:p>
              </w:tc>
              <w:tc>
                <w:tcPr>
                  <w:tcW w:w="154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478 564</w:t>
                  </w:r>
                </w:p>
              </w:tc>
              <w:tc>
                <w:tcPr>
                  <w:tcW w:w="184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29 640</w:t>
                  </w:r>
                </w:p>
              </w:tc>
              <w:tc>
                <w:tcPr>
                  <w:tcW w:w="102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center"/>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6</w:t>
                  </w:r>
                </w:p>
              </w:tc>
            </w:tr>
            <w:tr w:rsidR="00351EEB" w:rsidRPr="00FC5064" w:rsidTr="00D66804">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lang w:val="lv-LV" w:eastAsia="lv-LV"/>
                    </w:rPr>
                  </w:pPr>
                  <w:r w:rsidRPr="00FC5064">
                    <w:rPr>
                      <w:rFonts w:ascii="Times New Roman" w:eastAsia="Times New Roman" w:hAnsi="Times New Roman" w:cs="Times New Roman"/>
                      <w:lang w:val="lv-LV" w:eastAsia="lv-LV"/>
                    </w:rPr>
                    <w:t>2009</w:t>
                  </w:r>
                </w:p>
              </w:tc>
              <w:tc>
                <w:tcPr>
                  <w:tcW w:w="154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482 461</w:t>
                  </w:r>
                </w:p>
              </w:tc>
              <w:tc>
                <w:tcPr>
                  <w:tcW w:w="184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3 897</w:t>
                  </w:r>
                </w:p>
              </w:tc>
              <w:tc>
                <w:tcPr>
                  <w:tcW w:w="102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center"/>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1</w:t>
                  </w:r>
                </w:p>
              </w:tc>
            </w:tr>
            <w:tr w:rsidR="00351EEB" w:rsidRPr="00FC5064" w:rsidTr="00D66804">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2010</w:t>
                  </w:r>
                </w:p>
              </w:tc>
              <w:tc>
                <w:tcPr>
                  <w:tcW w:w="154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505 773</w:t>
                  </w:r>
                </w:p>
              </w:tc>
              <w:tc>
                <w:tcPr>
                  <w:tcW w:w="184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23 312</w:t>
                  </w:r>
                </w:p>
              </w:tc>
              <w:tc>
                <w:tcPr>
                  <w:tcW w:w="102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center"/>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5</w:t>
                  </w:r>
                </w:p>
              </w:tc>
            </w:tr>
            <w:tr w:rsidR="00351EEB" w:rsidRPr="00FC5064" w:rsidTr="00D66804">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2011</w:t>
                  </w:r>
                </w:p>
              </w:tc>
              <w:tc>
                <w:tcPr>
                  <w:tcW w:w="154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524 282</w:t>
                  </w:r>
                </w:p>
              </w:tc>
              <w:tc>
                <w:tcPr>
                  <w:tcW w:w="184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18 509</w:t>
                  </w:r>
                </w:p>
              </w:tc>
              <w:tc>
                <w:tcPr>
                  <w:tcW w:w="102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center"/>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4</w:t>
                  </w:r>
                </w:p>
              </w:tc>
            </w:tr>
            <w:tr w:rsidR="00351EEB" w:rsidRPr="00FC5064" w:rsidTr="00D66804">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2012</w:t>
                  </w:r>
                </w:p>
              </w:tc>
              <w:tc>
                <w:tcPr>
                  <w:tcW w:w="154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D66804">
                  <w:pPr>
                    <w:spacing w:after="0" w:line="240" w:lineRule="auto"/>
                    <w:jc w:val="right"/>
                    <w:rPr>
                      <w:rFonts w:ascii="Times New Roman" w:eastAsia="Times New Roman" w:hAnsi="Times New Roman" w:cs="Times New Roman"/>
                      <w:color w:val="000000"/>
                      <w:highlight w:val="red"/>
                      <w:lang w:val="lv-LV" w:eastAsia="lv-LV"/>
                    </w:rPr>
                  </w:pPr>
                  <w:r w:rsidRPr="00FC5064">
                    <w:rPr>
                      <w:rFonts w:ascii="Times New Roman" w:eastAsia="Times New Roman" w:hAnsi="Times New Roman" w:cs="Times New Roman"/>
                      <w:color w:val="000000"/>
                      <w:lang w:val="lv-LV" w:eastAsia="lv-LV"/>
                    </w:rPr>
                    <w:t>5</w:t>
                  </w:r>
                  <w:r w:rsidR="00D66804" w:rsidRPr="00FC5064">
                    <w:rPr>
                      <w:rFonts w:ascii="Times New Roman" w:eastAsia="Times New Roman" w:hAnsi="Times New Roman" w:cs="Times New Roman"/>
                      <w:color w:val="000000"/>
                      <w:lang w:val="lv-LV" w:eastAsia="lv-LV"/>
                    </w:rPr>
                    <w:t>54 268</w:t>
                  </w:r>
                </w:p>
              </w:tc>
              <w:tc>
                <w:tcPr>
                  <w:tcW w:w="1840" w:type="dxa"/>
                  <w:tcBorders>
                    <w:top w:val="nil"/>
                    <w:left w:val="nil"/>
                    <w:bottom w:val="single" w:sz="4" w:space="0" w:color="auto"/>
                    <w:right w:val="single" w:sz="4" w:space="0" w:color="auto"/>
                  </w:tcBorders>
                  <w:shd w:val="clear" w:color="auto" w:fill="auto"/>
                  <w:noWrap/>
                  <w:vAlign w:val="bottom"/>
                  <w:hideMark/>
                </w:tcPr>
                <w:p w:rsidR="00351EEB" w:rsidRPr="00FC5064" w:rsidRDefault="00D66804" w:rsidP="00351EEB">
                  <w:pPr>
                    <w:spacing w:after="0" w:line="240" w:lineRule="auto"/>
                    <w:jc w:val="right"/>
                    <w:rPr>
                      <w:rFonts w:ascii="Times New Roman" w:eastAsia="Times New Roman" w:hAnsi="Times New Roman" w:cs="Times New Roman"/>
                      <w:color w:val="000000"/>
                      <w:highlight w:val="red"/>
                      <w:lang w:val="lv-LV" w:eastAsia="lv-LV"/>
                    </w:rPr>
                  </w:pPr>
                  <w:r w:rsidRPr="00FC5064">
                    <w:rPr>
                      <w:rFonts w:ascii="Times New Roman" w:eastAsia="Times New Roman" w:hAnsi="Times New Roman" w:cs="Times New Roman"/>
                      <w:color w:val="000000"/>
                      <w:lang w:val="lv-LV" w:eastAsia="lv-LV"/>
                    </w:rPr>
                    <w:t>29 986</w:t>
                  </w:r>
                </w:p>
              </w:tc>
              <w:tc>
                <w:tcPr>
                  <w:tcW w:w="1020" w:type="dxa"/>
                  <w:tcBorders>
                    <w:top w:val="nil"/>
                    <w:left w:val="nil"/>
                    <w:bottom w:val="single" w:sz="4" w:space="0" w:color="auto"/>
                    <w:right w:val="single" w:sz="4" w:space="0" w:color="auto"/>
                  </w:tcBorders>
                  <w:shd w:val="clear" w:color="auto" w:fill="auto"/>
                  <w:noWrap/>
                  <w:vAlign w:val="bottom"/>
                  <w:hideMark/>
                </w:tcPr>
                <w:p w:rsidR="00351EEB" w:rsidRPr="00FC5064" w:rsidRDefault="00D66804" w:rsidP="00351EEB">
                  <w:pPr>
                    <w:spacing w:after="0" w:line="240" w:lineRule="auto"/>
                    <w:jc w:val="center"/>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5</w:t>
                  </w:r>
                </w:p>
              </w:tc>
            </w:tr>
            <w:tr w:rsidR="00351EEB" w:rsidRPr="00FC5064" w:rsidTr="00D66804">
              <w:trPr>
                <w:trHeight w:val="63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351EEB" w:rsidRPr="00FC5064" w:rsidRDefault="00351EEB" w:rsidP="00351EEB">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2013</w:t>
                  </w:r>
                  <w:r w:rsidRPr="00FC5064">
                    <w:rPr>
                      <w:rFonts w:ascii="Times New Roman" w:eastAsia="Times New Roman" w:hAnsi="Times New Roman" w:cs="Times New Roman"/>
                      <w:color w:val="000000"/>
                      <w:lang w:val="lv-LV" w:eastAsia="lv-LV"/>
                    </w:rPr>
                    <w:br/>
                    <w:t>prognoze</w:t>
                  </w:r>
                </w:p>
              </w:tc>
              <w:tc>
                <w:tcPr>
                  <w:tcW w:w="154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593 577</w:t>
                  </w:r>
                </w:p>
              </w:tc>
              <w:tc>
                <w:tcPr>
                  <w:tcW w:w="1840" w:type="dxa"/>
                  <w:tcBorders>
                    <w:top w:val="nil"/>
                    <w:left w:val="nil"/>
                    <w:bottom w:val="single" w:sz="4" w:space="0" w:color="auto"/>
                    <w:right w:val="single" w:sz="4" w:space="0" w:color="auto"/>
                  </w:tcBorders>
                  <w:shd w:val="clear" w:color="auto" w:fill="auto"/>
                  <w:noWrap/>
                  <w:vAlign w:val="bottom"/>
                  <w:hideMark/>
                </w:tcPr>
                <w:p w:rsidR="00351EEB" w:rsidRPr="00FC5064" w:rsidRDefault="00D66804" w:rsidP="00351EEB">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39 309</w:t>
                  </w:r>
                </w:p>
              </w:tc>
              <w:tc>
                <w:tcPr>
                  <w:tcW w:w="1020" w:type="dxa"/>
                  <w:tcBorders>
                    <w:top w:val="nil"/>
                    <w:left w:val="nil"/>
                    <w:bottom w:val="single" w:sz="4" w:space="0" w:color="auto"/>
                    <w:right w:val="single" w:sz="4" w:space="0" w:color="auto"/>
                  </w:tcBorders>
                  <w:shd w:val="clear" w:color="auto" w:fill="auto"/>
                  <w:noWrap/>
                  <w:vAlign w:val="bottom"/>
                  <w:hideMark/>
                </w:tcPr>
                <w:p w:rsidR="00351EEB" w:rsidRPr="00FC5064" w:rsidRDefault="00FC5064" w:rsidP="00351EEB">
                  <w:pPr>
                    <w:spacing w:after="0" w:line="240" w:lineRule="auto"/>
                    <w:jc w:val="center"/>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7</w:t>
                  </w:r>
                </w:p>
              </w:tc>
            </w:tr>
            <w:tr w:rsidR="00351EEB" w:rsidRPr="00FC5064" w:rsidTr="00D66804">
              <w:trPr>
                <w:trHeight w:val="126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351EEB" w:rsidRPr="00FC5064" w:rsidRDefault="00351EEB" w:rsidP="00FC5064">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 xml:space="preserve">vidējais pieaugums </w:t>
                  </w:r>
                  <w:r w:rsidRPr="00FC5064">
                    <w:rPr>
                      <w:rFonts w:ascii="Times New Roman" w:eastAsia="Times New Roman" w:hAnsi="Times New Roman" w:cs="Times New Roman"/>
                      <w:color w:val="000000"/>
                      <w:lang w:val="lv-LV" w:eastAsia="lv-LV"/>
                    </w:rPr>
                    <w:br/>
                    <w:t>2007- 2013</w:t>
                  </w:r>
                </w:p>
              </w:tc>
              <w:tc>
                <w:tcPr>
                  <w:tcW w:w="154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right"/>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24 109</w:t>
                  </w:r>
                </w:p>
              </w:tc>
              <w:tc>
                <w:tcPr>
                  <w:tcW w:w="1020" w:type="dxa"/>
                  <w:tcBorders>
                    <w:top w:val="nil"/>
                    <w:left w:val="nil"/>
                    <w:bottom w:val="single" w:sz="4" w:space="0" w:color="auto"/>
                    <w:right w:val="single" w:sz="4" w:space="0" w:color="auto"/>
                  </w:tcBorders>
                  <w:shd w:val="clear" w:color="auto" w:fill="auto"/>
                  <w:noWrap/>
                  <w:vAlign w:val="bottom"/>
                  <w:hideMark/>
                </w:tcPr>
                <w:p w:rsidR="00351EEB" w:rsidRPr="00FC5064" w:rsidRDefault="00351EEB" w:rsidP="00351EEB">
                  <w:pPr>
                    <w:spacing w:after="0" w:line="240" w:lineRule="auto"/>
                    <w:jc w:val="center"/>
                    <w:rPr>
                      <w:rFonts w:ascii="Times New Roman" w:eastAsia="Times New Roman" w:hAnsi="Times New Roman" w:cs="Times New Roman"/>
                      <w:color w:val="000000"/>
                      <w:lang w:val="lv-LV" w:eastAsia="lv-LV"/>
                    </w:rPr>
                  </w:pPr>
                  <w:r w:rsidRPr="00FC5064">
                    <w:rPr>
                      <w:rFonts w:ascii="Times New Roman" w:eastAsia="Times New Roman" w:hAnsi="Times New Roman" w:cs="Times New Roman"/>
                      <w:color w:val="000000"/>
                      <w:lang w:val="lv-LV" w:eastAsia="lv-LV"/>
                    </w:rPr>
                    <w:t>5</w:t>
                  </w:r>
                </w:p>
              </w:tc>
            </w:tr>
          </w:tbl>
          <w:p w:rsidR="00351EEB" w:rsidRPr="00351EEB" w:rsidRDefault="00351EEB" w:rsidP="00351EEB">
            <w:pPr>
              <w:spacing w:after="0" w:line="240" w:lineRule="auto"/>
              <w:jc w:val="center"/>
              <w:rPr>
                <w:rFonts w:ascii="Times New Roman" w:eastAsia="Times New Roman" w:hAnsi="Times New Roman" w:cs="Times New Roman"/>
                <w:b/>
                <w:bCs/>
                <w:color w:val="000000"/>
                <w:sz w:val="24"/>
                <w:szCs w:val="24"/>
                <w:lang w:val="lv-LV" w:eastAsia="lv-LV"/>
              </w:rPr>
            </w:pPr>
          </w:p>
        </w:tc>
      </w:tr>
    </w:tbl>
    <w:p w:rsidR="00791244" w:rsidRDefault="00791244" w:rsidP="00791244">
      <w:pPr>
        <w:pStyle w:val="NoSpacing"/>
        <w:ind w:firstLine="720"/>
        <w:jc w:val="both"/>
        <w:rPr>
          <w:rFonts w:ascii="Times New Roman" w:hAnsi="Times New Roman"/>
          <w:i/>
          <w:sz w:val="20"/>
          <w:szCs w:val="20"/>
        </w:rPr>
      </w:pPr>
      <w:r>
        <w:rPr>
          <w:rFonts w:ascii="Times New Roman" w:hAnsi="Times New Roman"/>
          <w:i/>
          <w:sz w:val="20"/>
          <w:szCs w:val="20"/>
        </w:rPr>
        <w:t xml:space="preserve">                                          </w:t>
      </w:r>
      <w:r w:rsidRPr="002040D7">
        <w:rPr>
          <w:rFonts w:ascii="Times New Roman" w:hAnsi="Times New Roman"/>
          <w:i/>
          <w:sz w:val="20"/>
          <w:szCs w:val="20"/>
        </w:rPr>
        <w:t xml:space="preserve">Avots: </w:t>
      </w:r>
      <w:r>
        <w:rPr>
          <w:rFonts w:ascii="Times New Roman" w:hAnsi="Times New Roman"/>
          <w:i/>
          <w:sz w:val="20"/>
          <w:szCs w:val="20"/>
        </w:rPr>
        <w:t>Nacionālais veselības dienests</w:t>
      </w:r>
      <w:r w:rsidRPr="002040D7">
        <w:rPr>
          <w:rFonts w:ascii="Times New Roman" w:hAnsi="Times New Roman"/>
          <w:i/>
          <w:sz w:val="20"/>
          <w:szCs w:val="20"/>
        </w:rPr>
        <w:t xml:space="preserve">    </w:t>
      </w:r>
    </w:p>
    <w:p w:rsidR="00B307D6" w:rsidRDefault="00B307D6" w:rsidP="00B307D6">
      <w:pPr>
        <w:autoSpaceDE w:val="0"/>
        <w:autoSpaceDN w:val="0"/>
        <w:spacing w:line="240" w:lineRule="auto"/>
        <w:ind w:firstLine="720"/>
        <w:jc w:val="both"/>
      </w:pPr>
    </w:p>
    <w:p w:rsidR="009F3080" w:rsidRPr="009F3080" w:rsidRDefault="009F3080" w:rsidP="009F3080">
      <w:pPr>
        <w:pStyle w:val="naisf"/>
        <w:spacing w:before="0" w:after="0"/>
        <w:ind w:firstLine="720"/>
      </w:pPr>
      <w:r w:rsidRPr="009F3080">
        <w:t xml:space="preserve"> </w:t>
      </w:r>
      <w:r>
        <w:t>„Latvijas Konverģences programmā</w:t>
      </w:r>
      <w:r w:rsidRPr="009F3080">
        <w:t xml:space="preserve"> 2013.-2016.gadam” tiek prognozēts, ka 2060.gadā salīdzinot ar 2010.gadu izdevumi veselības</w:t>
      </w:r>
      <w:r>
        <w:t xml:space="preserve"> </w:t>
      </w:r>
      <w:r w:rsidRPr="009F3080">
        <w:t xml:space="preserve">aprūpei pieaugs par 0,7 procentu punktiem, sasniedzot 4,4% no IKP, savukārt, izdevumi ilgstošai aprūpei pieaugs par 0,3 procentu punktiem, sasniedzot 1,0% no IKP. Tas ir skaidrojams ar to, ka veselības un ilgstošās aprūpes pakalpojumi pamatā ir attiecināmi uz vecāka gadagājuma cilvēkiem, kuru īpatsvars ilgtermiņā palielināsies. Gan vēlības, gan ilgstošās aprūpes izdevumus līdz ar demogrāfiskajām izmaiņām būtiski var ietekmēt tehnoloģiskais progress un </w:t>
      </w:r>
      <w:r w:rsidRPr="009F3080">
        <w:lastRenderedPageBreak/>
        <w:t>tautsaimniecības attīstība. Līdz ar to ir svarīgas reformas, kas ir vērstas uz veselības aprūpes sistēmas, tai skaitā finansēšanas mehānisma optimizāciju. Neskatoties uz to, ka iedzīvotāju skaits Latvijā samazinās, tomēr unikālo pacientu skaits Nacionālā veselības dienesta Vadības informācijas sistēmā ir pieaudzis. Tam ir vairāki iemesli:</w:t>
      </w:r>
    </w:p>
    <w:p w:rsidR="009F3080" w:rsidRPr="009F3080" w:rsidRDefault="009F3080" w:rsidP="009F3080">
      <w:pPr>
        <w:spacing w:after="0" w:line="240" w:lineRule="auto"/>
        <w:ind w:firstLine="720"/>
        <w:rPr>
          <w:rFonts w:ascii="Times New Roman" w:hAnsi="Times New Roman" w:cs="Times New Roman"/>
          <w:sz w:val="24"/>
          <w:szCs w:val="24"/>
        </w:rPr>
      </w:pPr>
      <w:r w:rsidRPr="009F3080">
        <w:rPr>
          <w:rFonts w:ascii="Times New Roman" w:hAnsi="Times New Roman" w:cs="Times New Roman"/>
          <w:sz w:val="24"/>
          <w:szCs w:val="24"/>
        </w:rPr>
        <w:t xml:space="preserve">- </w:t>
      </w:r>
      <w:proofErr w:type="gramStart"/>
      <w:r w:rsidRPr="009F3080">
        <w:rPr>
          <w:rFonts w:ascii="Times New Roman" w:hAnsi="Times New Roman" w:cs="Times New Roman"/>
          <w:sz w:val="24"/>
          <w:szCs w:val="24"/>
        </w:rPr>
        <w:t>iedzīvotāju</w:t>
      </w:r>
      <w:proofErr w:type="gramEnd"/>
      <w:r w:rsidRPr="009F3080">
        <w:rPr>
          <w:rFonts w:ascii="Times New Roman" w:hAnsi="Times New Roman" w:cs="Times New Roman"/>
          <w:sz w:val="24"/>
          <w:szCs w:val="24"/>
        </w:rPr>
        <w:t xml:space="preserve"> vidējam vecumam pieaugot, krasi palielinās nepieciešamība pēc veselības aprūpes pakalpojumiem, kā arī pēc medikamentiem;</w:t>
      </w:r>
    </w:p>
    <w:p w:rsidR="009F3080" w:rsidRPr="009F3080" w:rsidRDefault="009F3080" w:rsidP="009F3080">
      <w:pPr>
        <w:spacing w:after="0" w:line="240" w:lineRule="auto"/>
        <w:ind w:firstLine="720"/>
        <w:rPr>
          <w:rFonts w:ascii="Times New Roman" w:hAnsi="Times New Roman" w:cs="Times New Roman"/>
          <w:sz w:val="24"/>
          <w:szCs w:val="24"/>
        </w:rPr>
      </w:pPr>
      <w:r w:rsidRPr="009F3080">
        <w:rPr>
          <w:rFonts w:ascii="Times New Roman" w:hAnsi="Times New Roman" w:cs="Times New Roman"/>
          <w:sz w:val="24"/>
          <w:szCs w:val="24"/>
        </w:rPr>
        <w:t xml:space="preserve">- </w:t>
      </w:r>
      <w:proofErr w:type="gramStart"/>
      <w:r w:rsidRPr="009F3080">
        <w:rPr>
          <w:rFonts w:ascii="Times New Roman" w:hAnsi="Times New Roman" w:cs="Times New Roman"/>
          <w:sz w:val="24"/>
          <w:szCs w:val="24"/>
        </w:rPr>
        <w:t>veselības</w:t>
      </w:r>
      <w:proofErr w:type="gramEnd"/>
      <w:r w:rsidRPr="009F3080">
        <w:rPr>
          <w:rFonts w:ascii="Times New Roman" w:hAnsi="Times New Roman" w:cs="Times New Roman"/>
          <w:sz w:val="24"/>
          <w:szCs w:val="24"/>
        </w:rPr>
        <w:t xml:space="preserve"> aprūpes pakalpojumu nodrošināšanas sistēmā samazinās stacionāri sniegto pakalpojumu apjoms, un pieaug ārstniecisko pakalpojumu apjoms, kas tiek veikts ambulatori, attiecīgi arī pieaug pacientu skaits, kas saņem medikamentus ambulatori;</w:t>
      </w:r>
    </w:p>
    <w:p w:rsidR="009F3080" w:rsidRPr="009F3080" w:rsidRDefault="009F3080" w:rsidP="009F3080">
      <w:pPr>
        <w:spacing w:after="0" w:line="240" w:lineRule="auto"/>
        <w:ind w:firstLine="720"/>
        <w:rPr>
          <w:rFonts w:ascii="Times New Roman" w:hAnsi="Times New Roman" w:cs="Times New Roman"/>
          <w:sz w:val="24"/>
          <w:szCs w:val="24"/>
        </w:rPr>
      </w:pPr>
      <w:r w:rsidRPr="009F3080">
        <w:rPr>
          <w:rFonts w:ascii="Times New Roman" w:hAnsi="Times New Roman" w:cs="Times New Roman"/>
          <w:sz w:val="24"/>
          <w:szCs w:val="24"/>
        </w:rPr>
        <w:t xml:space="preserve">- </w:t>
      </w:r>
      <w:proofErr w:type="gramStart"/>
      <w:r w:rsidRPr="009F3080">
        <w:rPr>
          <w:rFonts w:ascii="Times New Roman" w:hAnsi="Times New Roman" w:cs="Times New Roman"/>
          <w:sz w:val="24"/>
          <w:szCs w:val="24"/>
        </w:rPr>
        <w:t>attīstoties</w:t>
      </w:r>
      <w:proofErr w:type="gramEnd"/>
      <w:r w:rsidRPr="009F3080">
        <w:rPr>
          <w:rFonts w:ascii="Times New Roman" w:hAnsi="Times New Roman" w:cs="Times New Roman"/>
          <w:sz w:val="24"/>
          <w:szCs w:val="24"/>
        </w:rPr>
        <w:t xml:space="preserve"> profilaktisko izmeklējumu sistēmai (valsts organizētais vēža skrīnings, ģimenes ārstu veiktās profilaktiskās apskates), pieaug pacientu skaits, kas saņem ārstēšanu, jo agrāk tiek atklātas saslimšanas;</w:t>
      </w:r>
    </w:p>
    <w:p w:rsidR="009F3080" w:rsidRDefault="009F3080" w:rsidP="009F3080">
      <w:pPr>
        <w:pStyle w:val="NormalWeb"/>
        <w:snapToGrid w:val="0"/>
        <w:spacing w:before="0" w:after="0"/>
        <w:ind w:firstLine="720"/>
        <w:jc w:val="both"/>
      </w:pPr>
      <w:r w:rsidRPr="009F3080">
        <w:t xml:space="preserve">- attīstās jaunas diagnostikas un ārstēšanas metodes, arī pieaug iedzīvotāju informētība, tas palielina pamatoto pieprasījumu pēc kompensējamiem medikamentiem un medicīnas ierīcēm. </w:t>
      </w:r>
    </w:p>
    <w:p w:rsidR="009F3080" w:rsidRDefault="009F3080" w:rsidP="009F3080">
      <w:pPr>
        <w:pStyle w:val="NormalWeb"/>
        <w:snapToGrid w:val="0"/>
        <w:spacing w:before="0" w:after="0"/>
        <w:ind w:firstLine="720"/>
        <w:jc w:val="both"/>
      </w:pPr>
    </w:p>
    <w:p w:rsidR="00FC5064" w:rsidRPr="00FC5F33" w:rsidRDefault="00FC5064" w:rsidP="00FC5064">
      <w:pPr>
        <w:pStyle w:val="NoSpacing"/>
        <w:spacing w:after="120"/>
        <w:ind w:firstLine="720"/>
        <w:jc w:val="both"/>
        <w:rPr>
          <w:rFonts w:ascii="Times New Roman" w:hAnsi="Times New Roman"/>
          <w:b/>
          <w:sz w:val="28"/>
          <w:szCs w:val="28"/>
        </w:rPr>
      </w:pPr>
      <w:r w:rsidRPr="00FC5F33">
        <w:rPr>
          <w:rFonts w:ascii="Times New Roman" w:hAnsi="Times New Roman"/>
          <w:b/>
          <w:sz w:val="28"/>
          <w:szCs w:val="28"/>
        </w:rPr>
        <w:t>3. C sarakstā iekļauto zāļu ar esošiem izrakstīšanas nosacījumiem nodrošināšana visiem pacientiem un bioloģiskās terapijas iekļaušana 20 pacientiem Krona slimībai un čūlainajam kolītam kā autoimūnām saslimšanām</w:t>
      </w:r>
    </w:p>
    <w:p w:rsidR="00FC5064" w:rsidRPr="00FC5064" w:rsidRDefault="00FC5064" w:rsidP="00FC5064">
      <w:pPr>
        <w:ind w:firstLine="720"/>
        <w:jc w:val="both"/>
        <w:rPr>
          <w:rFonts w:ascii="Times New Roman" w:hAnsi="Times New Roman" w:cs="Times New Roman"/>
          <w:color w:val="000000"/>
          <w:sz w:val="24"/>
          <w:szCs w:val="24"/>
          <w:lang w:val="lv-LV"/>
        </w:rPr>
      </w:pPr>
      <w:r w:rsidRPr="00FC5064">
        <w:rPr>
          <w:rFonts w:ascii="Times New Roman" w:hAnsi="Times New Roman" w:cs="Times New Roman"/>
          <w:color w:val="000000"/>
          <w:sz w:val="24"/>
          <w:szCs w:val="24"/>
          <w:lang w:val="lv-LV"/>
        </w:rPr>
        <w:t>Atbilstoši 2013.gada budžetā pieejamam finansējumam C saraksta medikamenti plānoti  8 874</w:t>
      </w:r>
      <w:r>
        <w:rPr>
          <w:rFonts w:ascii="Times New Roman" w:hAnsi="Times New Roman" w:cs="Times New Roman"/>
          <w:color w:val="000000"/>
          <w:sz w:val="24"/>
          <w:szCs w:val="24"/>
          <w:lang w:val="lv-LV"/>
        </w:rPr>
        <w:t> </w:t>
      </w:r>
      <w:r w:rsidRPr="00FC5064">
        <w:rPr>
          <w:rFonts w:ascii="Times New Roman" w:hAnsi="Times New Roman" w:cs="Times New Roman"/>
          <w:color w:val="000000"/>
          <w:sz w:val="24"/>
          <w:szCs w:val="24"/>
          <w:lang w:val="lv-LV"/>
        </w:rPr>
        <w:t>333</w:t>
      </w:r>
      <w:r>
        <w:rPr>
          <w:rFonts w:ascii="Times New Roman" w:hAnsi="Times New Roman" w:cs="Times New Roman"/>
          <w:color w:val="000000"/>
          <w:sz w:val="24"/>
          <w:szCs w:val="24"/>
          <w:lang w:val="lv-LV"/>
        </w:rPr>
        <w:t xml:space="preserve"> lati</w:t>
      </w:r>
      <w:r w:rsidRPr="00FC5064">
        <w:rPr>
          <w:rFonts w:ascii="Times New Roman" w:hAnsi="Times New Roman" w:cs="Times New Roman"/>
          <w:color w:val="000000"/>
          <w:sz w:val="24"/>
          <w:szCs w:val="24"/>
          <w:lang w:val="lv-LV"/>
        </w:rPr>
        <w:t xml:space="preserve">, </w:t>
      </w:r>
      <w:r w:rsidR="005A4F8A">
        <w:rPr>
          <w:rFonts w:ascii="Times New Roman" w:hAnsi="Times New Roman" w:cs="Times New Roman"/>
          <w:color w:val="000000"/>
          <w:sz w:val="24"/>
          <w:szCs w:val="24"/>
          <w:lang w:val="lv-LV"/>
        </w:rPr>
        <w:t>lai nodrošinātu</w:t>
      </w:r>
      <w:r w:rsidRPr="00FC5064">
        <w:rPr>
          <w:rFonts w:ascii="Times New Roman" w:hAnsi="Times New Roman" w:cs="Times New Roman"/>
          <w:color w:val="000000"/>
          <w:sz w:val="24"/>
          <w:szCs w:val="24"/>
          <w:lang w:val="lv-LV"/>
        </w:rPr>
        <w:t xml:space="preserve"> C saraksta medikamentus 683 pacientiem (</w:t>
      </w:r>
      <w:r w:rsidR="005A4F8A">
        <w:rPr>
          <w:rFonts w:ascii="Times New Roman" w:hAnsi="Times New Roman" w:cs="Times New Roman"/>
          <w:color w:val="000000"/>
          <w:sz w:val="24"/>
          <w:szCs w:val="24"/>
          <w:lang w:val="lv-LV"/>
        </w:rPr>
        <w:t xml:space="preserve">skat. </w:t>
      </w:r>
      <w:r>
        <w:rPr>
          <w:rFonts w:ascii="Times New Roman" w:hAnsi="Times New Roman" w:cs="Times New Roman"/>
          <w:color w:val="000000"/>
          <w:sz w:val="24"/>
          <w:szCs w:val="24"/>
          <w:lang w:val="lv-LV"/>
        </w:rPr>
        <w:t>6.tab.</w:t>
      </w:r>
      <w:r w:rsidR="00E565E8">
        <w:rPr>
          <w:rFonts w:ascii="Times New Roman" w:hAnsi="Times New Roman" w:cs="Times New Roman"/>
          <w:color w:val="000000"/>
          <w:sz w:val="24"/>
          <w:szCs w:val="24"/>
          <w:lang w:val="lv-LV"/>
        </w:rPr>
        <w:t>).</w:t>
      </w:r>
    </w:p>
    <w:p w:rsidR="00FC5064" w:rsidRPr="00FC5064" w:rsidRDefault="00FC5064" w:rsidP="00FC5064">
      <w:pPr>
        <w:jc w:val="right"/>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6</w:t>
      </w:r>
      <w:r w:rsidRPr="00FC5064">
        <w:rPr>
          <w:rFonts w:ascii="Times New Roman" w:hAnsi="Times New Roman" w:cs="Times New Roman"/>
          <w:color w:val="000000"/>
          <w:sz w:val="24"/>
          <w:szCs w:val="24"/>
          <w:lang w:val="lv-LV"/>
        </w:rPr>
        <w:t>.tabula</w:t>
      </w:r>
    </w:p>
    <w:tbl>
      <w:tblPr>
        <w:tblW w:w="7590" w:type="dxa"/>
        <w:jc w:val="center"/>
        <w:tblInd w:w="94" w:type="dxa"/>
        <w:tblLook w:val="04A0"/>
      </w:tblPr>
      <w:tblGrid>
        <w:gridCol w:w="4000"/>
        <w:gridCol w:w="1588"/>
        <w:gridCol w:w="2002"/>
      </w:tblGrid>
      <w:tr w:rsidR="00FC5064" w:rsidRPr="004D6C02" w:rsidTr="000E15F4">
        <w:trPr>
          <w:trHeight w:val="930"/>
          <w:jc w:val="center"/>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064" w:rsidRPr="000E15F4" w:rsidRDefault="00FC5064" w:rsidP="000E15F4">
            <w:pPr>
              <w:spacing w:after="0" w:line="240" w:lineRule="auto"/>
              <w:jc w:val="center"/>
              <w:rPr>
                <w:rFonts w:ascii="Times New Roman" w:eastAsia="Times New Roman" w:hAnsi="Times New Roman" w:cs="Times New Roman"/>
                <w:color w:val="000000"/>
                <w:sz w:val="20"/>
                <w:szCs w:val="20"/>
                <w:lang w:val="lv-LV" w:eastAsia="lv-LV"/>
              </w:rPr>
            </w:pPr>
            <w:r w:rsidRPr="000E15F4">
              <w:rPr>
                <w:rFonts w:ascii="Times New Roman" w:eastAsia="Times New Roman" w:hAnsi="Times New Roman" w:cs="Times New Roman"/>
                <w:color w:val="000000"/>
                <w:sz w:val="20"/>
                <w:szCs w:val="20"/>
                <w:lang w:val="lv-LV" w:eastAsia="lv-LV"/>
              </w:rPr>
              <w:t>Diagnožu grupa</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FC5064" w:rsidRPr="000E15F4" w:rsidRDefault="00FC5064" w:rsidP="000E15F4">
            <w:pPr>
              <w:spacing w:after="0" w:line="240" w:lineRule="auto"/>
              <w:jc w:val="center"/>
              <w:rPr>
                <w:rFonts w:ascii="Times New Roman" w:eastAsia="Times New Roman" w:hAnsi="Times New Roman" w:cs="Times New Roman"/>
                <w:color w:val="000000"/>
                <w:sz w:val="20"/>
                <w:szCs w:val="20"/>
                <w:lang w:val="lv-LV" w:eastAsia="lv-LV"/>
              </w:rPr>
            </w:pPr>
            <w:r w:rsidRPr="000E15F4">
              <w:rPr>
                <w:rFonts w:ascii="Times New Roman" w:eastAsia="Times New Roman" w:hAnsi="Times New Roman" w:cs="Times New Roman"/>
                <w:color w:val="000000"/>
                <w:sz w:val="20"/>
                <w:szCs w:val="20"/>
                <w:lang w:val="lv-LV" w:eastAsia="lv-LV"/>
              </w:rPr>
              <w:t>Pacientu skaits, ko apmaksā no valsts budžeta 2013.g.</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FC5064" w:rsidRPr="000E15F4" w:rsidRDefault="00FC5064" w:rsidP="000E15F4">
            <w:pPr>
              <w:spacing w:after="0" w:line="240" w:lineRule="auto"/>
              <w:jc w:val="center"/>
              <w:rPr>
                <w:rFonts w:ascii="Times New Roman" w:eastAsia="Times New Roman" w:hAnsi="Times New Roman" w:cs="Times New Roman"/>
                <w:color w:val="000000"/>
                <w:sz w:val="20"/>
                <w:szCs w:val="20"/>
                <w:lang w:val="lv-LV" w:eastAsia="lv-LV"/>
              </w:rPr>
            </w:pPr>
            <w:r w:rsidRPr="000E15F4">
              <w:rPr>
                <w:rFonts w:ascii="Times New Roman" w:eastAsia="Times New Roman" w:hAnsi="Times New Roman" w:cs="Times New Roman"/>
                <w:color w:val="000000"/>
                <w:sz w:val="20"/>
                <w:szCs w:val="20"/>
                <w:lang w:val="lv-LV" w:eastAsia="lv-LV"/>
              </w:rPr>
              <w:t>Plānotais finansējums 2013.g. (atbilstoši faktiskajām izmaksām pēc vadības informācijas sistēmas datiem)</w:t>
            </w:r>
          </w:p>
        </w:tc>
      </w:tr>
      <w:tr w:rsidR="00FC5064" w:rsidRPr="000E15F4" w:rsidTr="000E15F4">
        <w:trPr>
          <w:trHeight w:val="600"/>
          <w:jc w:val="center"/>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FC5064" w:rsidRPr="000E15F4" w:rsidRDefault="00E565E8" w:rsidP="00FC5064">
            <w:pPr>
              <w:spacing w:after="0" w:line="240" w:lineRule="auto"/>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Audzēji, s</w:t>
            </w:r>
            <w:r w:rsidR="00FC5064" w:rsidRPr="000E15F4">
              <w:rPr>
                <w:rFonts w:ascii="Times New Roman" w:eastAsia="Times New Roman" w:hAnsi="Times New Roman" w:cs="Times New Roman"/>
                <w:color w:val="000000"/>
                <w:sz w:val="20"/>
                <w:szCs w:val="20"/>
                <w:lang w:val="lv-LV" w:eastAsia="lv-LV"/>
              </w:rPr>
              <w:t>tāvoklis pēc orgāna vai audu transplantācijas</w:t>
            </w:r>
          </w:p>
        </w:tc>
        <w:tc>
          <w:tcPr>
            <w:tcW w:w="1588" w:type="dxa"/>
            <w:tcBorders>
              <w:top w:val="nil"/>
              <w:left w:val="nil"/>
              <w:bottom w:val="single" w:sz="4" w:space="0" w:color="auto"/>
              <w:right w:val="single" w:sz="4" w:space="0" w:color="auto"/>
            </w:tcBorders>
            <w:shd w:val="clear" w:color="auto" w:fill="auto"/>
            <w:noWrap/>
            <w:vAlign w:val="bottom"/>
            <w:hideMark/>
          </w:tcPr>
          <w:p w:rsidR="00FC5064" w:rsidRPr="000E15F4" w:rsidRDefault="00FC5064" w:rsidP="00FC5064">
            <w:pPr>
              <w:spacing w:after="0" w:line="240" w:lineRule="auto"/>
              <w:jc w:val="right"/>
              <w:rPr>
                <w:rFonts w:ascii="Times New Roman" w:eastAsia="Times New Roman" w:hAnsi="Times New Roman" w:cs="Times New Roman"/>
                <w:color w:val="000000"/>
                <w:sz w:val="20"/>
                <w:szCs w:val="20"/>
                <w:lang w:val="lv-LV" w:eastAsia="lv-LV"/>
              </w:rPr>
            </w:pPr>
            <w:r w:rsidRPr="000E15F4">
              <w:rPr>
                <w:rFonts w:ascii="Times New Roman" w:eastAsia="Times New Roman" w:hAnsi="Times New Roman" w:cs="Times New Roman"/>
                <w:color w:val="000000"/>
                <w:sz w:val="20"/>
                <w:szCs w:val="20"/>
                <w:lang w:val="lv-LV" w:eastAsia="lv-LV"/>
              </w:rPr>
              <w:t>290</w:t>
            </w:r>
          </w:p>
        </w:tc>
        <w:tc>
          <w:tcPr>
            <w:tcW w:w="2002" w:type="dxa"/>
            <w:tcBorders>
              <w:top w:val="nil"/>
              <w:left w:val="nil"/>
              <w:bottom w:val="single" w:sz="4" w:space="0" w:color="auto"/>
              <w:right w:val="single" w:sz="4" w:space="0" w:color="auto"/>
            </w:tcBorders>
            <w:shd w:val="clear" w:color="auto" w:fill="auto"/>
            <w:noWrap/>
            <w:vAlign w:val="bottom"/>
            <w:hideMark/>
          </w:tcPr>
          <w:p w:rsidR="00FC5064" w:rsidRPr="000E15F4" w:rsidRDefault="00FC5064" w:rsidP="00FC5064">
            <w:pPr>
              <w:spacing w:after="0" w:line="240" w:lineRule="auto"/>
              <w:jc w:val="right"/>
              <w:rPr>
                <w:rFonts w:ascii="Times New Roman" w:eastAsia="Times New Roman" w:hAnsi="Times New Roman" w:cs="Times New Roman"/>
                <w:color w:val="000000"/>
                <w:sz w:val="20"/>
                <w:szCs w:val="20"/>
                <w:lang w:val="lv-LV" w:eastAsia="lv-LV"/>
              </w:rPr>
            </w:pPr>
            <w:r w:rsidRPr="000E15F4">
              <w:rPr>
                <w:rFonts w:ascii="Times New Roman" w:eastAsia="Times New Roman" w:hAnsi="Times New Roman" w:cs="Times New Roman"/>
                <w:color w:val="000000"/>
                <w:sz w:val="20"/>
                <w:szCs w:val="20"/>
                <w:lang w:val="lv-LV" w:eastAsia="lv-LV"/>
              </w:rPr>
              <w:t>5 422 524</w:t>
            </w:r>
          </w:p>
        </w:tc>
      </w:tr>
      <w:tr w:rsidR="00FC5064" w:rsidRPr="000E15F4" w:rsidTr="000E15F4">
        <w:trPr>
          <w:trHeight w:val="300"/>
          <w:jc w:val="center"/>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FC5064" w:rsidRPr="000E15F4" w:rsidRDefault="00FC5064" w:rsidP="00FC5064">
            <w:pPr>
              <w:spacing w:after="0" w:line="240" w:lineRule="auto"/>
              <w:rPr>
                <w:rFonts w:ascii="Times New Roman" w:eastAsia="Times New Roman" w:hAnsi="Times New Roman" w:cs="Times New Roman"/>
                <w:color w:val="000000"/>
                <w:sz w:val="20"/>
                <w:szCs w:val="20"/>
                <w:lang w:val="lv-LV" w:eastAsia="lv-LV"/>
              </w:rPr>
            </w:pPr>
            <w:r w:rsidRPr="000E15F4">
              <w:rPr>
                <w:rFonts w:ascii="Times New Roman" w:eastAsia="Times New Roman" w:hAnsi="Times New Roman" w:cs="Times New Roman"/>
                <w:color w:val="000000"/>
                <w:sz w:val="20"/>
                <w:szCs w:val="20"/>
                <w:lang w:val="lv-LV" w:eastAsia="lv-LV"/>
              </w:rPr>
              <w:t>Muskuļu, skeleta un saistaudu slimības (reimatoloģija)</w:t>
            </w:r>
          </w:p>
        </w:tc>
        <w:tc>
          <w:tcPr>
            <w:tcW w:w="1588" w:type="dxa"/>
            <w:tcBorders>
              <w:top w:val="nil"/>
              <w:left w:val="nil"/>
              <w:bottom w:val="single" w:sz="4" w:space="0" w:color="auto"/>
              <w:right w:val="single" w:sz="4" w:space="0" w:color="auto"/>
            </w:tcBorders>
            <w:shd w:val="clear" w:color="auto" w:fill="auto"/>
            <w:noWrap/>
            <w:vAlign w:val="bottom"/>
            <w:hideMark/>
          </w:tcPr>
          <w:p w:rsidR="00FC5064" w:rsidRPr="000E15F4" w:rsidRDefault="00FC5064" w:rsidP="00FC5064">
            <w:pPr>
              <w:spacing w:after="0" w:line="240" w:lineRule="auto"/>
              <w:jc w:val="right"/>
              <w:rPr>
                <w:rFonts w:ascii="Times New Roman" w:eastAsia="Times New Roman" w:hAnsi="Times New Roman" w:cs="Times New Roman"/>
                <w:color w:val="000000"/>
                <w:sz w:val="20"/>
                <w:szCs w:val="20"/>
                <w:lang w:val="lv-LV" w:eastAsia="lv-LV"/>
              </w:rPr>
            </w:pPr>
            <w:r w:rsidRPr="000E15F4">
              <w:rPr>
                <w:rFonts w:ascii="Times New Roman" w:eastAsia="Times New Roman" w:hAnsi="Times New Roman" w:cs="Times New Roman"/>
                <w:color w:val="000000"/>
                <w:sz w:val="20"/>
                <w:szCs w:val="20"/>
                <w:lang w:val="lv-LV" w:eastAsia="lv-LV"/>
              </w:rPr>
              <w:t>379</w:t>
            </w:r>
          </w:p>
        </w:tc>
        <w:tc>
          <w:tcPr>
            <w:tcW w:w="2002" w:type="dxa"/>
            <w:tcBorders>
              <w:top w:val="nil"/>
              <w:left w:val="nil"/>
              <w:bottom w:val="single" w:sz="4" w:space="0" w:color="auto"/>
              <w:right w:val="single" w:sz="4" w:space="0" w:color="auto"/>
            </w:tcBorders>
            <w:shd w:val="clear" w:color="auto" w:fill="auto"/>
            <w:noWrap/>
            <w:vAlign w:val="bottom"/>
            <w:hideMark/>
          </w:tcPr>
          <w:p w:rsidR="00FC5064" w:rsidRPr="000E15F4" w:rsidRDefault="00FC5064" w:rsidP="00FC5064">
            <w:pPr>
              <w:spacing w:after="0" w:line="240" w:lineRule="auto"/>
              <w:jc w:val="right"/>
              <w:rPr>
                <w:rFonts w:ascii="Times New Roman" w:eastAsia="Times New Roman" w:hAnsi="Times New Roman" w:cs="Times New Roman"/>
                <w:color w:val="000000"/>
                <w:sz w:val="20"/>
                <w:szCs w:val="20"/>
                <w:lang w:val="lv-LV" w:eastAsia="lv-LV"/>
              </w:rPr>
            </w:pPr>
            <w:r w:rsidRPr="000E15F4">
              <w:rPr>
                <w:rFonts w:ascii="Times New Roman" w:eastAsia="Times New Roman" w:hAnsi="Times New Roman" w:cs="Times New Roman"/>
                <w:color w:val="000000"/>
                <w:sz w:val="20"/>
                <w:szCs w:val="20"/>
                <w:lang w:val="lv-LV" w:eastAsia="lv-LV"/>
              </w:rPr>
              <w:t>2 347 409</w:t>
            </w:r>
          </w:p>
        </w:tc>
      </w:tr>
      <w:tr w:rsidR="00FC5064" w:rsidRPr="000E15F4" w:rsidTr="000E15F4">
        <w:trPr>
          <w:trHeight w:val="600"/>
          <w:jc w:val="center"/>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FC5064" w:rsidRPr="000E15F4" w:rsidRDefault="00FC5064" w:rsidP="00FC5064">
            <w:pPr>
              <w:spacing w:after="0" w:line="240" w:lineRule="auto"/>
              <w:rPr>
                <w:rFonts w:ascii="Times New Roman" w:eastAsia="Times New Roman" w:hAnsi="Times New Roman" w:cs="Times New Roman"/>
                <w:color w:val="000000"/>
                <w:sz w:val="20"/>
                <w:szCs w:val="20"/>
                <w:lang w:val="lv-LV" w:eastAsia="lv-LV"/>
              </w:rPr>
            </w:pPr>
            <w:r w:rsidRPr="000E15F4">
              <w:rPr>
                <w:rFonts w:ascii="Times New Roman" w:eastAsia="Times New Roman" w:hAnsi="Times New Roman" w:cs="Times New Roman"/>
                <w:color w:val="000000"/>
                <w:sz w:val="20"/>
                <w:szCs w:val="20"/>
                <w:lang w:val="lv-LV" w:eastAsia="lv-LV"/>
              </w:rPr>
              <w:t>Humānā imūnodeficīta vīrusa (HIV) infekcija, bezsimptomu inficēšana ar HIV</w:t>
            </w:r>
          </w:p>
        </w:tc>
        <w:tc>
          <w:tcPr>
            <w:tcW w:w="1588" w:type="dxa"/>
            <w:tcBorders>
              <w:top w:val="nil"/>
              <w:left w:val="nil"/>
              <w:bottom w:val="single" w:sz="4" w:space="0" w:color="auto"/>
              <w:right w:val="single" w:sz="4" w:space="0" w:color="auto"/>
            </w:tcBorders>
            <w:shd w:val="clear" w:color="auto" w:fill="auto"/>
            <w:noWrap/>
            <w:vAlign w:val="bottom"/>
            <w:hideMark/>
          </w:tcPr>
          <w:p w:rsidR="00FC5064" w:rsidRPr="000E15F4" w:rsidRDefault="00FC5064" w:rsidP="00FC5064">
            <w:pPr>
              <w:spacing w:after="0" w:line="240" w:lineRule="auto"/>
              <w:jc w:val="right"/>
              <w:rPr>
                <w:rFonts w:ascii="Times New Roman" w:eastAsia="Times New Roman" w:hAnsi="Times New Roman" w:cs="Times New Roman"/>
                <w:color w:val="000000"/>
                <w:sz w:val="20"/>
                <w:szCs w:val="20"/>
                <w:lang w:val="lv-LV" w:eastAsia="lv-LV"/>
              </w:rPr>
            </w:pPr>
            <w:r w:rsidRPr="000E15F4">
              <w:rPr>
                <w:rFonts w:ascii="Times New Roman" w:eastAsia="Times New Roman" w:hAnsi="Times New Roman" w:cs="Times New Roman"/>
                <w:color w:val="000000"/>
                <w:sz w:val="20"/>
                <w:szCs w:val="20"/>
                <w:lang w:val="lv-LV" w:eastAsia="lv-LV"/>
              </w:rPr>
              <w:t>11*</w:t>
            </w:r>
          </w:p>
        </w:tc>
        <w:tc>
          <w:tcPr>
            <w:tcW w:w="2002" w:type="dxa"/>
            <w:tcBorders>
              <w:top w:val="nil"/>
              <w:left w:val="nil"/>
              <w:bottom w:val="single" w:sz="4" w:space="0" w:color="auto"/>
              <w:right w:val="single" w:sz="4" w:space="0" w:color="auto"/>
            </w:tcBorders>
            <w:shd w:val="clear" w:color="auto" w:fill="auto"/>
            <w:noWrap/>
            <w:vAlign w:val="bottom"/>
            <w:hideMark/>
          </w:tcPr>
          <w:p w:rsidR="00FC5064" w:rsidRPr="000E15F4" w:rsidRDefault="00FC5064" w:rsidP="00FC5064">
            <w:pPr>
              <w:spacing w:after="0" w:line="240" w:lineRule="auto"/>
              <w:jc w:val="right"/>
              <w:rPr>
                <w:rFonts w:ascii="Times New Roman" w:eastAsia="Times New Roman" w:hAnsi="Times New Roman" w:cs="Times New Roman"/>
                <w:color w:val="000000"/>
                <w:sz w:val="20"/>
                <w:szCs w:val="20"/>
                <w:lang w:val="lv-LV" w:eastAsia="lv-LV"/>
              </w:rPr>
            </w:pPr>
            <w:r w:rsidRPr="000E15F4">
              <w:rPr>
                <w:rFonts w:ascii="Times New Roman" w:eastAsia="Times New Roman" w:hAnsi="Times New Roman" w:cs="Times New Roman"/>
                <w:color w:val="000000"/>
                <w:sz w:val="20"/>
                <w:szCs w:val="20"/>
                <w:lang w:val="lv-LV" w:eastAsia="lv-LV"/>
              </w:rPr>
              <w:t>113 480</w:t>
            </w:r>
          </w:p>
        </w:tc>
      </w:tr>
      <w:tr w:rsidR="00FC5064" w:rsidRPr="000E15F4" w:rsidTr="000E15F4">
        <w:trPr>
          <w:trHeight w:val="600"/>
          <w:jc w:val="center"/>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FC5064" w:rsidRPr="000E15F4" w:rsidRDefault="00FC5064" w:rsidP="00FC5064">
            <w:pPr>
              <w:spacing w:after="0" w:line="240" w:lineRule="auto"/>
              <w:rPr>
                <w:rFonts w:ascii="Times New Roman" w:eastAsia="Times New Roman" w:hAnsi="Times New Roman" w:cs="Times New Roman"/>
                <w:color w:val="000000"/>
                <w:sz w:val="20"/>
                <w:szCs w:val="20"/>
                <w:lang w:val="lv-LV" w:eastAsia="lv-LV"/>
              </w:rPr>
            </w:pPr>
            <w:r w:rsidRPr="000E15F4">
              <w:rPr>
                <w:rFonts w:ascii="Times New Roman" w:eastAsia="Times New Roman" w:hAnsi="Times New Roman" w:cs="Times New Roman"/>
                <w:color w:val="000000"/>
                <w:sz w:val="20"/>
                <w:szCs w:val="20"/>
                <w:lang w:val="lv-LV" w:eastAsia="lv-LV"/>
              </w:rPr>
              <w:t>Asins un asinsrades orgānu slimības un imūnsistēmas traucējumi</w:t>
            </w:r>
          </w:p>
        </w:tc>
        <w:tc>
          <w:tcPr>
            <w:tcW w:w="1588" w:type="dxa"/>
            <w:tcBorders>
              <w:top w:val="nil"/>
              <w:left w:val="nil"/>
              <w:bottom w:val="single" w:sz="4" w:space="0" w:color="auto"/>
              <w:right w:val="single" w:sz="4" w:space="0" w:color="auto"/>
            </w:tcBorders>
            <w:shd w:val="clear" w:color="auto" w:fill="auto"/>
            <w:noWrap/>
            <w:vAlign w:val="bottom"/>
            <w:hideMark/>
          </w:tcPr>
          <w:p w:rsidR="00FC5064" w:rsidRPr="000E15F4" w:rsidRDefault="00FC5064" w:rsidP="00FC5064">
            <w:pPr>
              <w:spacing w:after="0" w:line="240" w:lineRule="auto"/>
              <w:jc w:val="right"/>
              <w:rPr>
                <w:rFonts w:ascii="Times New Roman" w:eastAsia="Times New Roman" w:hAnsi="Times New Roman" w:cs="Times New Roman"/>
                <w:color w:val="000000"/>
                <w:sz w:val="20"/>
                <w:szCs w:val="20"/>
                <w:lang w:val="lv-LV" w:eastAsia="lv-LV"/>
              </w:rPr>
            </w:pPr>
            <w:r w:rsidRPr="000E15F4">
              <w:rPr>
                <w:rFonts w:ascii="Times New Roman" w:eastAsia="Times New Roman" w:hAnsi="Times New Roman" w:cs="Times New Roman"/>
                <w:color w:val="000000"/>
                <w:sz w:val="20"/>
                <w:szCs w:val="20"/>
                <w:lang w:val="lv-LV" w:eastAsia="lv-LV"/>
              </w:rPr>
              <w:t>3</w:t>
            </w:r>
          </w:p>
        </w:tc>
        <w:tc>
          <w:tcPr>
            <w:tcW w:w="2002" w:type="dxa"/>
            <w:tcBorders>
              <w:top w:val="nil"/>
              <w:left w:val="nil"/>
              <w:bottom w:val="single" w:sz="4" w:space="0" w:color="auto"/>
              <w:right w:val="single" w:sz="4" w:space="0" w:color="auto"/>
            </w:tcBorders>
            <w:shd w:val="clear" w:color="auto" w:fill="auto"/>
            <w:noWrap/>
            <w:vAlign w:val="bottom"/>
            <w:hideMark/>
          </w:tcPr>
          <w:p w:rsidR="00FC5064" w:rsidRPr="000E15F4" w:rsidRDefault="00FC5064" w:rsidP="00FC5064">
            <w:pPr>
              <w:spacing w:after="0" w:line="240" w:lineRule="auto"/>
              <w:jc w:val="right"/>
              <w:rPr>
                <w:rFonts w:ascii="Times New Roman" w:eastAsia="Times New Roman" w:hAnsi="Times New Roman" w:cs="Times New Roman"/>
                <w:color w:val="000000"/>
                <w:sz w:val="20"/>
                <w:szCs w:val="20"/>
                <w:lang w:val="lv-LV" w:eastAsia="lv-LV"/>
              </w:rPr>
            </w:pPr>
            <w:r w:rsidRPr="000E15F4">
              <w:rPr>
                <w:rFonts w:ascii="Times New Roman" w:eastAsia="Times New Roman" w:hAnsi="Times New Roman" w:cs="Times New Roman"/>
                <w:color w:val="000000"/>
                <w:sz w:val="20"/>
                <w:szCs w:val="20"/>
                <w:lang w:val="lv-LV" w:eastAsia="lv-LV"/>
              </w:rPr>
              <w:t>990 920</w:t>
            </w:r>
          </w:p>
        </w:tc>
      </w:tr>
      <w:tr w:rsidR="00FC5064" w:rsidRPr="000E15F4" w:rsidTr="000E15F4">
        <w:trPr>
          <w:trHeight w:val="300"/>
          <w:jc w:val="center"/>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FC5064" w:rsidRPr="000E15F4" w:rsidRDefault="00FC5064" w:rsidP="00FC5064">
            <w:pPr>
              <w:spacing w:after="0" w:line="240" w:lineRule="auto"/>
              <w:rPr>
                <w:rFonts w:ascii="Times New Roman" w:eastAsia="Times New Roman" w:hAnsi="Times New Roman" w:cs="Times New Roman"/>
                <w:color w:val="000000"/>
                <w:sz w:val="20"/>
                <w:szCs w:val="20"/>
                <w:lang w:val="lv-LV" w:eastAsia="lv-LV"/>
              </w:rPr>
            </w:pPr>
            <w:r w:rsidRPr="000E15F4">
              <w:rPr>
                <w:rFonts w:ascii="Times New Roman" w:eastAsia="Times New Roman" w:hAnsi="Times New Roman" w:cs="Times New Roman"/>
                <w:color w:val="000000"/>
                <w:sz w:val="20"/>
                <w:szCs w:val="20"/>
                <w:lang w:val="lv-LV" w:eastAsia="lv-LV"/>
              </w:rPr>
              <w:t>KOPĀ</w:t>
            </w:r>
          </w:p>
        </w:tc>
        <w:tc>
          <w:tcPr>
            <w:tcW w:w="1588" w:type="dxa"/>
            <w:tcBorders>
              <w:top w:val="nil"/>
              <w:left w:val="nil"/>
              <w:bottom w:val="single" w:sz="4" w:space="0" w:color="auto"/>
              <w:right w:val="single" w:sz="4" w:space="0" w:color="auto"/>
            </w:tcBorders>
            <w:shd w:val="clear" w:color="auto" w:fill="auto"/>
            <w:noWrap/>
            <w:vAlign w:val="bottom"/>
            <w:hideMark/>
          </w:tcPr>
          <w:p w:rsidR="00FC5064" w:rsidRPr="000E15F4" w:rsidRDefault="00FC5064" w:rsidP="00FC5064">
            <w:pPr>
              <w:spacing w:after="0" w:line="240" w:lineRule="auto"/>
              <w:jc w:val="right"/>
              <w:rPr>
                <w:rFonts w:ascii="Times New Roman" w:eastAsia="Times New Roman" w:hAnsi="Times New Roman" w:cs="Times New Roman"/>
                <w:color w:val="000000"/>
                <w:sz w:val="20"/>
                <w:szCs w:val="20"/>
                <w:lang w:val="lv-LV" w:eastAsia="lv-LV"/>
              </w:rPr>
            </w:pPr>
            <w:r w:rsidRPr="000E15F4">
              <w:rPr>
                <w:rFonts w:ascii="Times New Roman" w:eastAsia="Times New Roman" w:hAnsi="Times New Roman" w:cs="Times New Roman"/>
                <w:color w:val="000000"/>
                <w:sz w:val="20"/>
                <w:szCs w:val="20"/>
                <w:lang w:val="lv-LV" w:eastAsia="lv-LV"/>
              </w:rPr>
              <w:t>683</w:t>
            </w:r>
          </w:p>
        </w:tc>
        <w:tc>
          <w:tcPr>
            <w:tcW w:w="2002" w:type="dxa"/>
            <w:tcBorders>
              <w:top w:val="nil"/>
              <w:left w:val="nil"/>
              <w:bottom w:val="single" w:sz="4" w:space="0" w:color="auto"/>
              <w:right w:val="single" w:sz="4" w:space="0" w:color="auto"/>
            </w:tcBorders>
            <w:shd w:val="clear" w:color="auto" w:fill="auto"/>
            <w:noWrap/>
            <w:vAlign w:val="bottom"/>
            <w:hideMark/>
          </w:tcPr>
          <w:p w:rsidR="00FC5064" w:rsidRPr="005A4F8A" w:rsidRDefault="00FC5064" w:rsidP="00FC5064">
            <w:pPr>
              <w:spacing w:after="0" w:line="240" w:lineRule="auto"/>
              <w:jc w:val="right"/>
              <w:rPr>
                <w:rFonts w:ascii="Times New Roman" w:eastAsia="Times New Roman" w:hAnsi="Times New Roman" w:cs="Times New Roman"/>
                <w:b/>
                <w:color w:val="000000"/>
                <w:sz w:val="20"/>
                <w:szCs w:val="20"/>
                <w:lang w:val="lv-LV" w:eastAsia="lv-LV"/>
              </w:rPr>
            </w:pPr>
            <w:r w:rsidRPr="005A4F8A">
              <w:rPr>
                <w:rFonts w:ascii="Times New Roman" w:eastAsia="Times New Roman" w:hAnsi="Times New Roman" w:cs="Times New Roman"/>
                <w:b/>
                <w:color w:val="000000"/>
                <w:sz w:val="20"/>
                <w:szCs w:val="20"/>
                <w:lang w:val="lv-LV" w:eastAsia="lv-LV"/>
              </w:rPr>
              <w:t>8 874 333</w:t>
            </w:r>
          </w:p>
        </w:tc>
      </w:tr>
    </w:tbl>
    <w:p w:rsidR="00791244" w:rsidRDefault="000E15F4" w:rsidP="00791244">
      <w:pPr>
        <w:pStyle w:val="NoSpacing"/>
        <w:ind w:firstLine="720"/>
        <w:jc w:val="both"/>
        <w:rPr>
          <w:rFonts w:ascii="Times New Roman" w:hAnsi="Times New Roman"/>
          <w:i/>
          <w:sz w:val="20"/>
          <w:szCs w:val="20"/>
        </w:rPr>
      </w:pPr>
      <w:r>
        <w:rPr>
          <w:rFonts w:ascii="Times New Roman" w:hAnsi="Times New Roman"/>
          <w:color w:val="000000"/>
          <w:sz w:val="24"/>
          <w:szCs w:val="24"/>
        </w:rPr>
        <w:t xml:space="preserve">                   </w:t>
      </w:r>
      <w:r w:rsidR="00791244" w:rsidRPr="002040D7">
        <w:rPr>
          <w:rFonts w:ascii="Times New Roman" w:hAnsi="Times New Roman"/>
          <w:i/>
          <w:sz w:val="20"/>
          <w:szCs w:val="20"/>
        </w:rPr>
        <w:t xml:space="preserve">Avots: </w:t>
      </w:r>
      <w:r w:rsidR="00791244">
        <w:rPr>
          <w:rFonts w:ascii="Times New Roman" w:hAnsi="Times New Roman"/>
          <w:i/>
          <w:sz w:val="20"/>
          <w:szCs w:val="20"/>
        </w:rPr>
        <w:t>Nacionālais veselības dienests</w:t>
      </w:r>
      <w:r w:rsidR="00791244" w:rsidRPr="002040D7">
        <w:rPr>
          <w:rFonts w:ascii="Times New Roman" w:hAnsi="Times New Roman"/>
          <w:i/>
          <w:sz w:val="20"/>
          <w:szCs w:val="20"/>
        </w:rPr>
        <w:t xml:space="preserve">    </w:t>
      </w:r>
    </w:p>
    <w:p w:rsidR="00FC5064" w:rsidRPr="000E15F4" w:rsidRDefault="00791244" w:rsidP="00FC5064">
      <w:pPr>
        <w:jc w:val="both"/>
        <w:rPr>
          <w:rFonts w:ascii="Times New Roman" w:hAnsi="Times New Roman" w:cs="Times New Roman"/>
          <w:color w:val="000000"/>
          <w:sz w:val="18"/>
          <w:szCs w:val="18"/>
          <w:lang w:val="lv-LV"/>
        </w:rPr>
      </w:pPr>
      <w:r>
        <w:rPr>
          <w:rFonts w:ascii="Times New Roman" w:hAnsi="Times New Roman" w:cs="Times New Roman"/>
          <w:color w:val="000000"/>
          <w:sz w:val="18"/>
          <w:szCs w:val="18"/>
          <w:lang w:val="lv-LV"/>
        </w:rPr>
        <w:t xml:space="preserve">                          </w:t>
      </w:r>
      <w:r w:rsidR="000E15F4" w:rsidRPr="000E15F4">
        <w:rPr>
          <w:rFonts w:ascii="Times New Roman" w:hAnsi="Times New Roman" w:cs="Times New Roman"/>
          <w:color w:val="000000"/>
          <w:sz w:val="18"/>
          <w:szCs w:val="18"/>
          <w:lang w:val="lv-LV"/>
        </w:rPr>
        <w:t>* t</w:t>
      </w:r>
      <w:r w:rsidR="00FC5064" w:rsidRPr="000E15F4">
        <w:rPr>
          <w:rFonts w:ascii="Times New Roman" w:hAnsi="Times New Roman" w:cs="Times New Roman"/>
          <w:color w:val="000000"/>
          <w:sz w:val="18"/>
          <w:szCs w:val="18"/>
          <w:lang w:val="lv-LV"/>
        </w:rPr>
        <w:t>ajā skaitā 1 no 11 pacientiem pārsniedz vidējās izmaksas diagnožu grupā.</w:t>
      </w:r>
    </w:p>
    <w:p w:rsidR="00A2740E" w:rsidRPr="00A2740E" w:rsidRDefault="00FC5064" w:rsidP="00A2740E">
      <w:pPr>
        <w:shd w:val="clear" w:color="auto" w:fill="FFFFFF"/>
        <w:spacing w:after="0" w:line="240" w:lineRule="auto"/>
        <w:ind w:firstLine="720"/>
        <w:jc w:val="both"/>
        <w:rPr>
          <w:rFonts w:ascii="Times New Roman" w:hAnsi="Times New Roman" w:cs="Times New Roman"/>
          <w:sz w:val="24"/>
          <w:szCs w:val="24"/>
          <w:lang w:val="lv-LV"/>
        </w:rPr>
      </w:pPr>
      <w:r w:rsidRPr="00FC5064">
        <w:rPr>
          <w:rFonts w:ascii="Times New Roman" w:hAnsi="Times New Roman" w:cs="Times New Roman"/>
          <w:color w:val="000000"/>
          <w:sz w:val="24"/>
          <w:szCs w:val="24"/>
          <w:lang w:val="lv-LV"/>
        </w:rPr>
        <w:t xml:space="preserve">C sarakstā </w:t>
      </w:r>
      <w:r w:rsidRPr="00FC5064">
        <w:rPr>
          <w:rFonts w:ascii="Times New Roman" w:hAnsi="Times New Roman" w:cs="Times New Roman"/>
          <w:sz w:val="24"/>
          <w:szCs w:val="24"/>
          <w:lang w:val="lv-LV"/>
        </w:rPr>
        <w:t xml:space="preserve">tiek iekļautas zāles, kuru izmaksas viena pacienta ārstēšanai gadā pārsniedz 3000 latu un ražotājs zāļu kompensācijas izdevumus noteiktam pacientu skaitam apņemas segt no saviem līdzekļiem. </w:t>
      </w:r>
      <w:r w:rsidR="005A4F8A">
        <w:rPr>
          <w:rFonts w:ascii="Times New Roman" w:hAnsi="Times New Roman" w:cs="Times New Roman"/>
          <w:color w:val="000000"/>
          <w:sz w:val="24"/>
          <w:szCs w:val="24"/>
          <w:lang w:val="lv-LV"/>
        </w:rPr>
        <w:t xml:space="preserve"> Nacionālais veselības d</w:t>
      </w:r>
      <w:r w:rsidRPr="00FC5064">
        <w:rPr>
          <w:rFonts w:ascii="Times New Roman" w:hAnsi="Times New Roman" w:cs="Times New Roman"/>
          <w:color w:val="000000"/>
          <w:sz w:val="24"/>
          <w:szCs w:val="24"/>
          <w:lang w:val="lv-LV"/>
        </w:rPr>
        <w:t xml:space="preserve">ienests veic kompensējamo zāļu C sarakstā iekļauto zāļu </w:t>
      </w:r>
      <w:r w:rsidR="005A4F8A">
        <w:rPr>
          <w:rFonts w:ascii="Times New Roman" w:hAnsi="Times New Roman" w:cs="Times New Roman"/>
          <w:color w:val="000000"/>
          <w:sz w:val="24"/>
          <w:szCs w:val="24"/>
          <w:lang w:val="lv-LV"/>
        </w:rPr>
        <w:t xml:space="preserve">izdevumu </w:t>
      </w:r>
      <w:r w:rsidRPr="00FC5064">
        <w:rPr>
          <w:rFonts w:ascii="Times New Roman" w:hAnsi="Times New Roman" w:cs="Times New Roman"/>
          <w:color w:val="000000"/>
          <w:sz w:val="24"/>
          <w:szCs w:val="24"/>
          <w:lang w:val="lv-LV"/>
        </w:rPr>
        <w:t xml:space="preserve">kompensāciju, </w:t>
      </w:r>
      <w:r w:rsidRPr="00361B55">
        <w:rPr>
          <w:rFonts w:ascii="Times New Roman" w:hAnsi="Times New Roman" w:cs="Times New Roman"/>
          <w:color w:val="000000"/>
          <w:sz w:val="24"/>
          <w:szCs w:val="24"/>
          <w:lang w:val="lv-LV"/>
        </w:rPr>
        <w:t>pamatojoties uz saņemtajiem attiecīgās ārstni</w:t>
      </w:r>
      <w:r w:rsidR="005A4F8A" w:rsidRPr="00361B55">
        <w:rPr>
          <w:rFonts w:ascii="Times New Roman" w:hAnsi="Times New Roman" w:cs="Times New Roman"/>
          <w:color w:val="000000"/>
          <w:sz w:val="24"/>
          <w:szCs w:val="24"/>
          <w:lang w:val="lv-LV"/>
        </w:rPr>
        <w:t>ecības nozares speciālistu konsī</w:t>
      </w:r>
      <w:r w:rsidRPr="00361B55">
        <w:rPr>
          <w:rFonts w:ascii="Times New Roman" w:hAnsi="Times New Roman" w:cs="Times New Roman"/>
          <w:color w:val="000000"/>
          <w:sz w:val="24"/>
          <w:szCs w:val="24"/>
          <w:lang w:val="lv-LV"/>
        </w:rPr>
        <w:t xml:space="preserve">lija lēmumiem, un nepārsniedzot </w:t>
      </w:r>
      <w:r w:rsidR="005A4F8A" w:rsidRPr="00361B55">
        <w:rPr>
          <w:rFonts w:ascii="Times New Roman" w:hAnsi="Times New Roman" w:cs="Times New Roman"/>
          <w:color w:val="000000"/>
          <w:sz w:val="24"/>
          <w:szCs w:val="24"/>
          <w:lang w:val="lv-LV"/>
        </w:rPr>
        <w:t>Nacionālā veselības dienesta</w:t>
      </w:r>
      <w:r w:rsidRPr="00361B55">
        <w:rPr>
          <w:rFonts w:ascii="Times New Roman" w:hAnsi="Times New Roman" w:cs="Times New Roman"/>
          <w:color w:val="000000"/>
          <w:sz w:val="24"/>
          <w:szCs w:val="24"/>
          <w:lang w:val="lv-LV"/>
        </w:rPr>
        <w:t xml:space="preserve"> lēmumos par zāļu iekļaušanu C sarakstā noteikto pacientu skaitu</w:t>
      </w:r>
      <w:r w:rsidRPr="00361B55">
        <w:rPr>
          <w:rFonts w:ascii="Times New Roman" w:hAnsi="Times New Roman" w:cs="Times New Roman"/>
          <w:sz w:val="24"/>
          <w:szCs w:val="24"/>
          <w:lang w:val="lv-LV"/>
        </w:rPr>
        <w:t>.</w:t>
      </w:r>
      <w:r w:rsidR="005A4F8A" w:rsidRPr="00361B55">
        <w:rPr>
          <w:rFonts w:ascii="Times New Roman" w:hAnsi="Times New Roman" w:cs="Times New Roman"/>
          <w:sz w:val="24"/>
          <w:szCs w:val="24"/>
          <w:lang w:val="lv-LV"/>
        </w:rPr>
        <w:t xml:space="preserve"> </w:t>
      </w:r>
      <w:r w:rsidR="00361B55" w:rsidRPr="004D6C02">
        <w:rPr>
          <w:rFonts w:ascii="Times New Roman" w:hAnsi="Times New Roman" w:cs="Times New Roman"/>
          <w:sz w:val="24"/>
          <w:szCs w:val="24"/>
          <w:lang w:val="lv-LV"/>
        </w:rPr>
        <w:t xml:space="preserve">Pašlaik C sarakstā iekļautajām zālēm ir noteikti stingri izrakstīšanas nosacījumi un precīzs pacientu skaits, kuriem tiek nodrošināta zāļu iegāde no ierobežotajiem budžeta </w:t>
      </w:r>
      <w:r w:rsidR="00361B55" w:rsidRPr="004D6C02">
        <w:rPr>
          <w:rFonts w:ascii="Times New Roman" w:hAnsi="Times New Roman" w:cs="Times New Roman"/>
          <w:sz w:val="24"/>
          <w:szCs w:val="24"/>
          <w:lang w:val="lv-LV"/>
        </w:rPr>
        <w:lastRenderedPageBreak/>
        <w:t xml:space="preserve">līdzekļiem. Tomēr katru gadu rodas situācija, ka reālais pacientu skaits, kuriem būtu nepieciešama šāda terapija, pārsniedz gada sākumā noteikto pacientu skaitu. Tādēļ rodas nevienlīdzība starp pacientiem ar vienādām diagnozēm un slimības smagumu, jo, ja gada laikā </w:t>
      </w:r>
      <w:r w:rsidR="00AB4552" w:rsidRPr="00AB4552">
        <w:rPr>
          <w:rFonts w:ascii="Times New Roman" w:hAnsi="Times New Roman" w:cs="Times New Roman"/>
          <w:sz w:val="24"/>
          <w:szCs w:val="24"/>
          <w:lang w:val="lv-LV"/>
        </w:rPr>
        <w:t>zāļu iegādes izdevumu kompensācijas sistēmas</w:t>
      </w:r>
      <w:r w:rsidR="00AB4552" w:rsidRPr="004D6C02">
        <w:rPr>
          <w:rFonts w:ascii="Times New Roman" w:hAnsi="Times New Roman" w:cs="Times New Roman"/>
          <w:sz w:val="24"/>
          <w:szCs w:val="24"/>
          <w:lang w:val="lv-LV"/>
        </w:rPr>
        <w:t xml:space="preserve"> </w:t>
      </w:r>
      <w:r w:rsidR="00361B55" w:rsidRPr="004D6C02">
        <w:rPr>
          <w:rFonts w:ascii="Times New Roman" w:hAnsi="Times New Roman" w:cs="Times New Roman"/>
          <w:sz w:val="24"/>
          <w:szCs w:val="24"/>
          <w:lang w:val="lv-LV"/>
        </w:rPr>
        <w:t>budžetam netiek piešķirti papildus līdzekļi, šiem pacientiem nākas atteikt zāļu iegādi nepietiekoša finansējuma dēļ. N</w:t>
      </w:r>
      <w:r w:rsidR="002403F1">
        <w:rPr>
          <w:rFonts w:ascii="Times New Roman" w:hAnsi="Times New Roman" w:cs="Times New Roman"/>
          <w:sz w:val="24"/>
          <w:szCs w:val="24"/>
          <w:lang w:val="lv-LV"/>
        </w:rPr>
        <w:t>acionālajā veselības dienestā</w:t>
      </w:r>
      <w:r w:rsidR="00361B55" w:rsidRPr="004D6C02">
        <w:rPr>
          <w:rFonts w:ascii="Times New Roman" w:hAnsi="Times New Roman" w:cs="Times New Roman"/>
          <w:sz w:val="24"/>
          <w:szCs w:val="24"/>
          <w:lang w:val="lv-LV"/>
        </w:rPr>
        <w:t xml:space="preserve"> </w:t>
      </w:r>
      <w:r w:rsidR="00AB4552" w:rsidRPr="004D6C02">
        <w:rPr>
          <w:rFonts w:ascii="Times New Roman" w:hAnsi="Times New Roman" w:cs="Times New Roman"/>
          <w:sz w:val="24"/>
          <w:szCs w:val="24"/>
          <w:lang w:val="lv-LV"/>
        </w:rPr>
        <w:t xml:space="preserve">ir apkopots potenicālais pacientu skaita pieaugums gadā C sarakstā iekļautajiem medikamentiem, lai varētu nodrošināt nepieciešamo terapiju visiem pacientiem pie esošajiem izrakstīšanas nosacījumiem un neveidotos gaidīšanas rindas, un nebūtu jāatsaka zāļu iegāde pacientiem vienādu slimību gadījumā. </w:t>
      </w:r>
      <w:r w:rsidR="00AB4552" w:rsidRPr="00361B55">
        <w:rPr>
          <w:rFonts w:ascii="Times New Roman" w:hAnsi="Times New Roman" w:cs="Times New Roman"/>
          <w:color w:val="000000"/>
          <w:sz w:val="24"/>
          <w:szCs w:val="24"/>
          <w:lang w:val="lv-LV"/>
        </w:rPr>
        <w:t>C sarakstā iekļauto zāļu ar esošiem izrakstīšanas nosacījumiem nodrošināšanai visiem pacientiem un bioloģiskās terapijas iekļaušanai 20 pacientiem Krona slimībai un čūlainajam kolītam kā autoimūnām saslimšanām</w:t>
      </w:r>
      <w:r w:rsidR="00AB4552" w:rsidRPr="00FC5064">
        <w:rPr>
          <w:rFonts w:ascii="Times New Roman" w:hAnsi="Times New Roman" w:cs="Times New Roman"/>
          <w:color w:val="000000"/>
          <w:sz w:val="24"/>
          <w:szCs w:val="24"/>
          <w:lang w:val="lv-LV"/>
        </w:rPr>
        <w:t xml:space="preserve"> - nepieciešams </w:t>
      </w:r>
      <w:r w:rsidR="00AB4552">
        <w:rPr>
          <w:rFonts w:ascii="Times New Roman" w:hAnsi="Times New Roman" w:cs="Times New Roman"/>
          <w:color w:val="000000"/>
          <w:sz w:val="24"/>
          <w:szCs w:val="24"/>
          <w:lang w:val="lv-LV"/>
        </w:rPr>
        <w:t>papildus finansējums 2014.gadā</w:t>
      </w:r>
      <w:r w:rsidR="00AB4552" w:rsidRPr="00FC5064">
        <w:rPr>
          <w:rFonts w:ascii="Times New Roman" w:hAnsi="Times New Roman" w:cs="Times New Roman"/>
          <w:color w:val="000000"/>
          <w:sz w:val="24"/>
          <w:szCs w:val="24"/>
          <w:lang w:val="lv-LV"/>
        </w:rPr>
        <w:t xml:space="preserve"> </w:t>
      </w:r>
      <w:r w:rsidR="00AB4552" w:rsidRPr="001C03B1">
        <w:rPr>
          <w:rFonts w:ascii="Times New Roman" w:hAnsi="Times New Roman" w:cs="Times New Roman"/>
          <w:b/>
          <w:color w:val="000000"/>
          <w:sz w:val="24"/>
          <w:szCs w:val="24"/>
          <w:lang w:val="lv-LV"/>
        </w:rPr>
        <w:t>5 468 000 lati</w:t>
      </w:r>
      <w:r w:rsidR="00AB4552" w:rsidRPr="00791244">
        <w:rPr>
          <w:rFonts w:ascii="Times New Roman" w:hAnsi="Times New Roman" w:cs="Times New Roman"/>
          <w:color w:val="000000"/>
          <w:sz w:val="24"/>
          <w:szCs w:val="24"/>
          <w:lang w:val="lv-LV"/>
        </w:rPr>
        <w:t>, 2013.</w:t>
      </w:r>
      <w:r w:rsidR="00AB4552">
        <w:rPr>
          <w:rFonts w:ascii="Times New Roman" w:hAnsi="Times New Roman" w:cs="Times New Roman"/>
          <w:color w:val="000000"/>
          <w:sz w:val="24"/>
          <w:szCs w:val="24"/>
          <w:lang w:val="lv-LV"/>
        </w:rPr>
        <w:t xml:space="preserve">gada </w:t>
      </w:r>
      <w:r w:rsidR="00AB4552" w:rsidRPr="001C03B1">
        <w:rPr>
          <w:rFonts w:ascii="Times New Roman" w:hAnsi="Times New Roman" w:cs="Times New Roman"/>
          <w:color w:val="000000"/>
          <w:sz w:val="24"/>
          <w:szCs w:val="24"/>
          <w:lang w:val="lv-LV"/>
        </w:rPr>
        <w:t>pusgad</w:t>
      </w:r>
      <w:r w:rsidR="00AB4552">
        <w:rPr>
          <w:rFonts w:ascii="Times New Roman" w:hAnsi="Times New Roman" w:cs="Times New Roman"/>
          <w:color w:val="000000"/>
          <w:sz w:val="24"/>
          <w:szCs w:val="24"/>
          <w:lang w:val="lv-LV"/>
        </w:rPr>
        <w:t>am</w:t>
      </w:r>
      <w:r w:rsidR="00AB4552">
        <w:rPr>
          <w:rFonts w:ascii="Times New Roman" w:hAnsi="Times New Roman" w:cs="Times New Roman"/>
          <w:b/>
          <w:color w:val="000000"/>
          <w:sz w:val="24"/>
          <w:szCs w:val="24"/>
          <w:lang w:val="lv-LV"/>
        </w:rPr>
        <w:t xml:space="preserve"> 2 734 000 lati</w:t>
      </w:r>
      <w:r w:rsidR="00AB4552">
        <w:rPr>
          <w:rFonts w:ascii="Times New Roman" w:hAnsi="Times New Roman" w:cs="Times New Roman"/>
          <w:color w:val="000000"/>
          <w:sz w:val="24"/>
          <w:szCs w:val="24"/>
          <w:lang w:val="lv-LV"/>
        </w:rPr>
        <w:t xml:space="preserve"> (skat. 7.tab.</w:t>
      </w:r>
      <w:r w:rsidR="00AB4552" w:rsidRPr="00FC5064">
        <w:rPr>
          <w:rFonts w:ascii="Times New Roman" w:hAnsi="Times New Roman" w:cs="Times New Roman"/>
          <w:color w:val="000000"/>
          <w:sz w:val="24"/>
          <w:szCs w:val="24"/>
          <w:lang w:val="lv-LV"/>
        </w:rPr>
        <w:t>)</w:t>
      </w:r>
      <w:r w:rsidR="00AB4552">
        <w:rPr>
          <w:rFonts w:ascii="Times New Roman" w:hAnsi="Times New Roman" w:cs="Times New Roman"/>
          <w:color w:val="000000"/>
          <w:sz w:val="24"/>
          <w:szCs w:val="24"/>
          <w:lang w:val="lv-LV"/>
        </w:rPr>
        <w:t xml:space="preserve">. </w:t>
      </w:r>
    </w:p>
    <w:p w:rsidR="00FC5064" w:rsidRDefault="001C03B1" w:rsidP="00A2740E">
      <w:pPr>
        <w:shd w:val="clear" w:color="auto" w:fill="FFFFFF"/>
        <w:spacing w:after="0" w:line="240" w:lineRule="auto"/>
        <w:ind w:firstLine="720"/>
        <w:jc w:val="right"/>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7</w:t>
      </w:r>
      <w:r w:rsidR="00FC5064" w:rsidRPr="00FC5064">
        <w:rPr>
          <w:rFonts w:ascii="Times New Roman" w:hAnsi="Times New Roman" w:cs="Times New Roman"/>
          <w:color w:val="000000"/>
          <w:sz w:val="24"/>
          <w:szCs w:val="24"/>
          <w:lang w:val="lv-LV"/>
        </w:rPr>
        <w:t>.tabula</w:t>
      </w:r>
    </w:p>
    <w:p w:rsidR="00A2740E" w:rsidRPr="00FC5064" w:rsidRDefault="00A2740E" w:rsidP="00A2740E">
      <w:pPr>
        <w:shd w:val="clear" w:color="auto" w:fill="FFFFFF"/>
        <w:spacing w:after="0" w:line="240" w:lineRule="auto"/>
        <w:rPr>
          <w:rFonts w:ascii="Times New Roman" w:hAnsi="Times New Roman" w:cs="Times New Roman"/>
          <w:color w:val="000000"/>
          <w:sz w:val="24"/>
          <w:szCs w:val="24"/>
          <w:lang w:val="lv-LV"/>
        </w:rPr>
      </w:pPr>
    </w:p>
    <w:tbl>
      <w:tblPr>
        <w:tblW w:w="8825" w:type="dxa"/>
        <w:jc w:val="center"/>
        <w:tblInd w:w="94" w:type="dxa"/>
        <w:tblLook w:val="04A0"/>
      </w:tblPr>
      <w:tblGrid>
        <w:gridCol w:w="2082"/>
        <w:gridCol w:w="1643"/>
        <w:gridCol w:w="1749"/>
        <w:gridCol w:w="1924"/>
        <w:gridCol w:w="1427"/>
      </w:tblGrid>
      <w:tr w:rsidR="00FC5064" w:rsidRPr="001C03B1" w:rsidTr="00A2740E">
        <w:trPr>
          <w:trHeight w:val="1130"/>
          <w:jc w:val="center"/>
        </w:trPr>
        <w:tc>
          <w:tcPr>
            <w:tcW w:w="2082" w:type="dxa"/>
            <w:tcBorders>
              <w:top w:val="single" w:sz="8" w:space="0" w:color="auto"/>
              <w:left w:val="single" w:sz="8" w:space="0" w:color="auto"/>
              <w:bottom w:val="nil"/>
              <w:right w:val="single" w:sz="8" w:space="0" w:color="auto"/>
            </w:tcBorders>
            <w:shd w:val="clear" w:color="auto" w:fill="auto"/>
            <w:noWrap/>
            <w:vAlign w:val="center"/>
            <w:hideMark/>
          </w:tcPr>
          <w:p w:rsidR="00FC5064" w:rsidRPr="001C03B1" w:rsidRDefault="00FC5064" w:rsidP="001C03B1">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Diagnožu grupa</w:t>
            </w:r>
          </w:p>
        </w:tc>
        <w:tc>
          <w:tcPr>
            <w:tcW w:w="1643" w:type="dxa"/>
            <w:tcBorders>
              <w:top w:val="single" w:sz="8" w:space="0" w:color="auto"/>
              <w:left w:val="nil"/>
              <w:bottom w:val="single" w:sz="8" w:space="0" w:color="auto"/>
              <w:right w:val="single" w:sz="8" w:space="0" w:color="auto"/>
            </w:tcBorders>
            <w:shd w:val="clear" w:color="auto" w:fill="auto"/>
            <w:noWrap/>
            <w:vAlign w:val="center"/>
            <w:hideMark/>
          </w:tcPr>
          <w:p w:rsidR="00FC5064" w:rsidRPr="001C03B1" w:rsidRDefault="00FC5064" w:rsidP="001C03B1">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Diagnoze</w:t>
            </w:r>
          </w:p>
        </w:tc>
        <w:tc>
          <w:tcPr>
            <w:tcW w:w="1749" w:type="dxa"/>
            <w:tcBorders>
              <w:top w:val="single" w:sz="8" w:space="0" w:color="auto"/>
              <w:left w:val="nil"/>
              <w:bottom w:val="single" w:sz="8" w:space="0" w:color="auto"/>
              <w:right w:val="single" w:sz="8" w:space="0" w:color="auto"/>
            </w:tcBorders>
            <w:shd w:val="clear" w:color="auto" w:fill="auto"/>
            <w:vAlign w:val="center"/>
            <w:hideMark/>
          </w:tcPr>
          <w:p w:rsidR="00FC5064" w:rsidRPr="001C03B1" w:rsidRDefault="00B37B06" w:rsidP="001C03B1">
            <w:pPr>
              <w:spacing w:after="0" w:line="240" w:lineRule="auto"/>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Pacientu skaita prognozējamās izmaiņas</w:t>
            </w:r>
          </w:p>
        </w:tc>
        <w:tc>
          <w:tcPr>
            <w:tcW w:w="1924" w:type="dxa"/>
            <w:tcBorders>
              <w:top w:val="single" w:sz="8" w:space="0" w:color="auto"/>
              <w:left w:val="nil"/>
              <w:bottom w:val="single" w:sz="8" w:space="0" w:color="auto"/>
              <w:right w:val="single" w:sz="8" w:space="0" w:color="auto"/>
            </w:tcBorders>
            <w:shd w:val="clear" w:color="auto" w:fill="auto"/>
            <w:vAlign w:val="center"/>
            <w:hideMark/>
          </w:tcPr>
          <w:p w:rsidR="00FC5064" w:rsidRPr="001C03B1" w:rsidRDefault="001C03B1" w:rsidP="001C03B1">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 xml:space="preserve">Prognozējamās izmaksas uz 1 pacientu gadā </w:t>
            </w:r>
            <w:r w:rsidR="00FC5064" w:rsidRPr="001C03B1">
              <w:rPr>
                <w:rFonts w:ascii="Times New Roman" w:eastAsia="Times New Roman" w:hAnsi="Times New Roman" w:cs="Times New Roman"/>
                <w:color w:val="000000"/>
                <w:sz w:val="20"/>
                <w:szCs w:val="20"/>
                <w:lang w:val="lv-LV" w:eastAsia="lv-LV"/>
              </w:rPr>
              <w:t>atbilstoši ārstēšanas vadlīnijām)</w:t>
            </w:r>
          </w:p>
        </w:tc>
        <w:tc>
          <w:tcPr>
            <w:tcW w:w="1427" w:type="dxa"/>
            <w:tcBorders>
              <w:top w:val="single" w:sz="8" w:space="0" w:color="auto"/>
              <w:left w:val="nil"/>
              <w:bottom w:val="single" w:sz="8" w:space="0" w:color="auto"/>
              <w:right w:val="single" w:sz="8" w:space="0" w:color="auto"/>
            </w:tcBorders>
            <w:shd w:val="clear" w:color="auto" w:fill="auto"/>
            <w:vAlign w:val="center"/>
            <w:hideMark/>
          </w:tcPr>
          <w:p w:rsidR="00FC5064" w:rsidRPr="001C03B1" w:rsidRDefault="00FC5064" w:rsidP="001C03B1">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Prognozē</w:t>
            </w:r>
            <w:r w:rsidR="001C03B1" w:rsidRPr="001C03B1">
              <w:rPr>
                <w:rFonts w:ascii="Times New Roman" w:eastAsia="Times New Roman" w:hAnsi="Times New Roman" w:cs="Times New Roman"/>
                <w:color w:val="000000"/>
                <w:sz w:val="20"/>
                <w:szCs w:val="20"/>
                <w:lang w:val="lv-LV" w:eastAsia="lv-LV"/>
              </w:rPr>
              <w:t>tais nepieciešamais finansējums</w:t>
            </w:r>
            <w:r w:rsidRPr="001C03B1">
              <w:rPr>
                <w:rFonts w:ascii="Times New Roman" w:eastAsia="Times New Roman" w:hAnsi="Times New Roman" w:cs="Times New Roman"/>
                <w:color w:val="000000"/>
                <w:sz w:val="20"/>
                <w:szCs w:val="20"/>
                <w:lang w:val="lv-LV" w:eastAsia="lv-LV"/>
              </w:rPr>
              <w:t xml:space="preserve"> </w:t>
            </w:r>
            <w:r w:rsidR="001C03B1" w:rsidRPr="001C03B1">
              <w:rPr>
                <w:rFonts w:ascii="Times New Roman" w:eastAsia="Times New Roman" w:hAnsi="Times New Roman" w:cs="Times New Roman"/>
                <w:color w:val="000000"/>
                <w:sz w:val="20"/>
                <w:szCs w:val="20"/>
                <w:lang w:val="lv-LV" w:eastAsia="lv-LV"/>
              </w:rPr>
              <w:t>(</w:t>
            </w:r>
            <w:r w:rsidRPr="001C03B1">
              <w:rPr>
                <w:rFonts w:ascii="Times New Roman" w:eastAsia="Times New Roman" w:hAnsi="Times New Roman" w:cs="Times New Roman"/>
                <w:color w:val="000000"/>
                <w:sz w:val="20"/>
                <w:szCs w:val="20"/>
                <w:lang w:val="lv-LV" w:eastAsia="lv-LV"/>
              </w:rPr>
              <w:t>Ls</w:t>
            </w:r>
            <w:r w:rsidR="001C03B1" w:rsidRPr="001C03B1">
              <w:rPr>
                <w:rFonts w:ascii="Times New Roman" w:eastAsia="Times New Roman" w:hAnsi="Times New Roman" w:cs="Times New Roman"/>
                <w:color w:val="000000"/>
                <w:sz w:val="20"/>
                <w:szCs w:val="20"/>
                <w:lang w:val="lv-LV" w:eastAsia="lv-LV"/>
              </w:rPr>
              <w:t>)</w:t>
            </w:r>
            <w:r w:rsidRPr="001C03B1">
              <w:rPr>
                <w:rFonts w:ascii="Times New Roman" w:eastAsia="Times New Roman" w:hAnsi="Times New Roman" w:cs="Times New Roman"/>
                <w:color w:val="000000"/>
                <w:sz w:val="20"/>
                <w:szCs w:val="20"/>
                <w:lang w:val="lv-LV" w:eastAsia="lv-LV"/>
              </w:rPr>
              <w:t xml:space="preserve"> gadā</w:t>
            </w:r>
          </w:p>
        </w:tc>
      </w:tr>
      <w:tr w:rsidR="00FC5064" w:rsidRPr="001C03B1" w:rsidTr="001C03B1">
        <w:trPr>
          <w:trHeight w:val="330"/>
          <w:jc w:val="center"/>
        </w:trPr>
        <w:tc>
          <w:tcPr>
            <w:tcW w:w="2082" w:type="dxa"/>
            <w:tcBorders>
              <w:top w:val="single" w:sz="8" w:space="0" w:color="auto"/>
              <w:left w:val="single" w:sz="8" w:space="0" w:color="auto"/>
              <w:bottom w:val="nil"/>
              <w:right w:val="single" w:sz="8" w:space="0" w:color="auto"/>
            </w:tcBorders>
            <w:shd w:val="clear" w:color="auto" w:fill="auto"/>
            <w:noWrap/>
            <w:vAlign w:val="center"/>
            <w:hideMark/>
          </w:tcPr>
          <w:p w:rsidR="00FC5064" w:rsidRPr="001C03B1" w:rsidRDefault="00FC5064" w:rsidP="00FC5064">
            <w:pPr>
              <w:spacing w:after="0" w:line="240" w:lineRule="auto"/>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Audzēji</w:t>
            </w:r>
          </w:p>
        </w:tc>
        <w:tc>
          <w:tcPr>
            <w:tcW w:w="1643"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FC5064">
            <w:pPr>
              <w:spacing w:after="0" w:line="240" w:lineRule="auto"/>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Hroniska mieloleikoze</w:t>
            </w:r>
          </w:p>
        </w:tc>
        <w:tc>
          <w:tcPr>
            <w:tcW w:w="1749"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FC5064">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25</w:t>
            </w:r>
          </w:p>
        </w:tc>
        <w:tc>
          <w:tcPr>
            <w:tcW w:w="1924"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FC5064">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24- 35 000</w:t>
            </w:r>
          </w:p>
        </w:tc>
        <w:tc>
          <w:tcPr>
            <w:tcW w:w="1427"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1C03B1">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675 000</w:t>
            </w:r>
          </w:p>
        </w:tc>
      </w:tr>
      <w:tr w:rsidR="00FC5064" w:rsidRPr="001C03B1" w:rsidTr="001C03B1">
        <w:trPr>
          <w:trHeight w:val="330"/>
          <w:jc w:val="center"/>
        </w:trPr>
        <w:tc>
          <w:tcPr>
            <w:tcW w:w="2082" w:type="dxa"/>
            <w:tcBorders>
              <w:top w:val="nil"/>
              <w:left w:val="single" w:sz="8" w:space="0" w:color="auto"/>
              <w:bottom w:val="nil"/>
              <w:right w:val="single" w:sz="8" w:space="0" w:color="auto"/>
            </w:tcBorders>
            <w:shd w:val="clear" w:color="auto" w:fill="auto"/>
            <w:noWrap/>
            <w:vAlign w:val="center"/>
            <w:hideMark/>
          </w:tcPr>
          <w:p w:rsidR="00FC5064" w:rsidRPr="001C03B1" w:rsidRDefault="00FC5064" w:rsidP="00FC5064">
            <w:pPr>
              <w:spacing w:after="0" w:line="240" w:lineRule="auto"/>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 </w:t>
            </w:r>
          </w:p>
        </w:tc>
        <w:tc>
          <w:tcPr>
            <w:tcW w:w="1643"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FC5064">
            <w:pPr>
              <w:spacing w:after="0" w:line="240" w:lineRule="auto"/>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 xml:space="preserve">Multiplā mieloma </w:t>
            </w:r>
          </w:p>
        </w:tc>
        <w:tc>
          <w:tcPr>
            <w:tcW w:w="1749"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FC5064">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10</w:t>
            </w:r>
          </w:p>
        </w:tc>
        <w:tc>
          <w:tcPr>
            <w:tcW w:w="1924"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FC5064">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26 000</w:t>
            </w:r>
          </w:p>
        </w:tc>
        <w:tc>
          <w:tcPr>
            <w:tcW w:w="1427"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1C03B1">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260 000</w:t>
            </w:r>
          </w:p>
        </w:tc>
      </w:tr>
      <w:tr w:rsidR="00FC5064" w:rsidRPr="001C03B1" w:rsidTr="001C03B1">
        <w:trPr>
          <w:trHeight w:val="330"/>
          <w:jc w:val="center"/>
        </w:trPr>
        <w:tc>
          <w:tcPr>
            <w:tcW w:w="2082" w:type="dxa"/>
            <w:tcBorders>
              <w:top w:val="nil"/>
              <w:left w:val="single" w:sz="8" w:space="0" w:color="auto"/>
              <w:bottom w:val="single" w:sz="8" w:space="0" w:color="000000"/>
              <w:right w:val="single" w:sz="8" w:space="0" w:color="auto"/>
            </w:tcBorders>
            <w:shd w:val="clear" w:color="auto" w:fill="auto"/>
            <w:noWrap/>
            <w:vAlign w:val="center"/>
            <w:hideMark/>
          </w:tcPr>
          <w:p w:rsidR="00FC5064" w:rsidRPr="001C03B1" w:rsidRDefault="00FC5064" w:rsidP="00FC5064">
            <w:pPr>
              <w:spacing w:after="0" w:line="240" w:lineRule="auto"/>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 </w:t>
            </w:r>
          </w:p>
        </w:tc>
        <w:tc>
          <w:tcPr>
            <w:tcW w:w="1643"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FC5064">
            <w:pPr>
              <w:spacing w:after="0" w:line="240" w:lineRule="auto"/>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Krūts vēzis</w:t>
            </w:r>
          </w:p>
        </w:tc>
        <w:tc>
          <w:tcPr>
            <w:tcW w:w="1749"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FC5064">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50</w:t>
            </w:r>
          </w:p>
        </w:tc>
        <w:tc>
          <w:tcPr>
            <w:tcW w:w="1924"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FC5064">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25 660</w:t>
            </w:r>
          </w:p>
        </w:tc>
        <w:tc>
          <w:tcPr>
            <w:tcW w:w="1427"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1C03B1">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1 283 000</w:t>
            </w:r>
          </w:p>
        </w:tc>
      </w:tr>
      <w:tr w:rsidR="00FC5064" w:rsidRPr="001C03B1" w:rsidTr="001C03B1">
        <w:trPr>
          <w:trHeight w:val="330"/>
          <w:jc w:val="center"/>
        </w:trPr>
        <w:tc>
          <w:tcPr>
            <w:tcW w:w="2082" w:type="dxa"/>
            <w:tcBorders>
              <w:top w:val="nil"/>
              <w:left w:val="single" w:sz="8" w:space="0" w:color="auto"/>
              <w:bottom w:val="single" w:sz="8" w:space="0" w:color="auto"/>
              <w:right w:val="single" w:sz="8" w:space="0" w:color="auto"/>
            </w:tcBorders>
            <w:shd w:val="clear" w:color="auto" w:fill="auto"/>
            <w:noWrap/>
            <w:vAlign w:val="center"/>
            <w:hideMark/>
          </w:tcPr>
          <w:p w:rsidR="00FC5064" w:rsidRPr="001C03B1" w:rsidRDefault="00FC5064" w:rsidP="00FC5064">
            <w:pPr>
              <w:spacing w:after="0" w:line="240" w:lineRule="auto"/>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Reimatoloģija</w:t>
            </w:r>
          </w:p>
        </w:tc>
        <w:tc>
          <w:tcPr>
            <w:tcW w:w="1643"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FC5064">
            <w:pPr>
              <w:spacing w:after="0" w:line="240" w:lineRule="auto"/>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 xml:space="preserve">Bioloģiskā terapija </w:t>
            </w:r>
          </w:p>
        </w:tc>
        <w:tc>
          <w:tcPr>
            <w:tcW w:w="1749"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FC5064">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300</w:t>
            </w:r>
          </w:p>
        </w:tc>
        <w:tc>
          <w:tcPr>
            <w:tcW w:w="1924"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FC5064">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10 000</w:t>
            </w:r>
          </w:p>
        </w:tc>
        <w:tc>
          <w:tcPr>
            <w:tcW w:w="1427"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1C03B1">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3 000 000</w:t>
            </w:r>
          </w:p>
        </w:tc>
      </w:tr>
      <w:tr w:rsidR="00FC5064" w:rsidRPr="001C03B1" w:rsidTr="001C03B1">
        <w:trPr>
          <w:trHeight w:val="330"/>
          <w:jc w:val="center"/>
        </w:trPr>
        <w:tc>
          <w:tcPr>
            <w:tcW w:w="2082" w:type="dxa"/>
            <w:tcBorders>
              <w:top w:val="nil"/>
              <w:left w:val="single" w:sz="8" w:space="0" w:color="auto"/>
              <w:bottom w:val="nil"/>
              <w:right w:val="single" w:sz="8" w:space="0" w:color="auto"/>
            </w:tcBorders>
            <w:shd w:val="clear" w:color="auto" w:fill="auto"/>
            <w:noWrap/>
            <w:vAlign w:val="center"/>
            <w:hideMark/>
          </w:tcPr>
          <w:p w:rsidR="00FC5064" w:rsidRPr="001C03B1" w:rsidRDefault="00FC5064" w:rsidP="00FC5064">
            <w:pPr>
              <w:spacing w:after="0" w:line="240" w:lineRule="auto"/>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HIV/AIDS infekcija</w:t>
            </w:r>
          </w:p>
        </w:tc>
        <w:tc>
          <w:tcPr>
            <w:tcW w:w="1643" w:type="dxa"/>
            <w:tcBorders>
              <w:top w:val="nil"/>
              <w:left w:val="nil"/>
              <w:bottom w:val="nil"/>
              <w:right w:val="single" w:sz="8" w:space="0" w:color="auto"/>
            </w:tcBorders>
            <w:shd w:val="clear" w:color="auto" w:fill="auto"/>
            <w:noWrap/>
            <w:vAlign w:val="center"/>
            <w:hideMark/>
          </w:tcPr>
          <w:p w:rsidR="00FC5064" w:rsidRPr="001C03B1" w:rsidRDefault="00FC5064" w:rsidP="00FC5064">
            <w:pPr>
              <w:spacing w:after="0" w:line="240" w:lineRule="auto"/>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Antiretrovirālā terapija</w:t>
            </w:r>
          </w:p>
        </w:tc>
        <w:tc>
          <w:tcPr>
            <w:tcW w:w="1749" w:type="dxa"/>
            <w:tcBorders>
              <w:top w:val="nil"/>
              <w:left w:val="nil"/>
              <w:bottom w:val="nil"/>
              <w:right w:val="single" w:sz="8" w:space="0" w:color="auto"/>
            </w:tcBorders>
            <w:shd w:val="clear" w:color="auto" w:fill="auto"/>
            <w:noWrap/>
            <w:vAlign w:val="center"/>
            <w:hideMark/>
          </w:tcPr>
          <w:p w:rsidR="00FC5064" w:rsidRPr="001C03B1" w:rsidRDefault="00FC5064" w:rsidP="00FC5064">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5</w:t>
            </w:r>
          </w:p>
        </w:tc>
        <w:tc>
          <w:tcPr>
            <w:tcW w:w="1924" w:type="dxa"/>
            <w:tcBorders>
              <w:top w:val="nil"/>
              <w:left w:val="nil"/>
              <w:bottom w:val="nil"/>
              <w:right w:val="single" w:sz="8" w:space="0" w:color="auto"/>
            </w:tcBorders>
            <w:shd w:val="clear" w:color="auto" w:fill="auto"/>
            <w:noWrap/>
            <w:vAlign w:val="center"/>
            <w:hideMark/>
          </w:tcPr>
          <w:p w:rsidR="00FC5064" w:rsidRPr="001C03B1" w:rsidRDefault="00FC5064" w:rsidP="00FC5064">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10 000</w:t>
            </w:r>
          </w:p>
        </w:tc>
        <w:tc>
          <w:tcPr>
            <w:tcW w:w="1427"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1C03B1">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50 000</w:t>
            </w:r>
          </w:p>
        </w:tc>
      </w:tr>
      <w:tr w:rsidR="00FC5064" w:rsidRPr="001C03B1" w:rsidTr="001C03B1">
        <w:trPr>
          <w:trHeight w:val="645"/>
          <w:jc w:val="center"/>
        </w:trPr>
        <w:tc>
          <w:tcPr>
            <w:tcW w:w="20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5064" w:rsidRPr="001C03B1" w:rsidRDefault="00FC5064" w:rsidP="00FC5064">
            <w:pPr>
              <w:spacing w:after="0" w:line="240" w:lineRule="auto"/>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Gastroenteroloģija</w:t>
            </w:r>
          </w:p>
        </w:tc>
        <w:tc>
          <w:tcPr>
            <w:tcW w:w="1643" w:type="dxa"/>
            <w:tcBorders>
              <w:top w:val="single" w:sz="4" w:space="0" w:color="auto"/>
              <w:left w:val="nil"/>
              <w:bottom w:val="nil"/>
              <w:right w:val="nil"/>
            </w:tcBorders>
            <w:shd w:val="clear" w:color="auto" w:fill="auto"/>
            <w:vAlign w:val="bottom"/>
            <w:hideMark/>
          </w:tcPr>
          <w:p w:rsidR="00FC5064" w:rsidRPr="001C03B1" w:rsidRDefault="00FC5064" w:rsidP="00FC5064">
            <w:pPr>
              <w:spacing w:after="0" w:line="240" w:lineRule="auto"/>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 xml:space="preserve">Krona slimība un čūlainais kolīts </w:t>
            </w:r>
          </w:p>
        </w:tc>
        <w:tc>
          <w:tcPr>
            <w:tcW w:w="17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5064" w:rsidRPr="001C03B1" w:rsidRDefault="00FC5064" w:rsidP="00FC5064">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20</w:t>
            </w:r>
          </w:p>
        </w:tc>
        <w:tc>
          <w:tcPr>
            <w:tcW w:w="1924" w:type="dxa"/>
            <w:tcBorders>
              <w:top w:val="single" w:sz="8" w:space="0" w:color="auto"/>
              <w:left w:val="nil"/>
              <w:bottom w:val="single" w:sz="8" w:space="0" w:color="auto"/>
              <w:right w:val="single" w:sz="8" w:space="0" w:color="auto"/>
            </w:tcBorders>
            <w:shd w:val="clear" w:color="auto" w:fill="auto"/>
            <w:noWrap/>
            <w:vAlign w:val="center"/>
            <w:hideMark/>
          </w:tcPr>
          <w:p w:rsidR="00FC5064" w:rsidRPr="001C03B1" w:rsidRDefault="00FC5064" w:rsidP="00FC5064">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10 000</w:t>
            </w:r>
          </w:p>
        </w:tc>
        <w:tc>
          <w:tcPr>
            <w:tcW w:w="1427" w:type="dxa"/>
            <w:tcBorders>
              <w:top w:val="nil"/>
              <w:left w:val="nil"/>
              <w:bottom w:val="single" w:sz="8" w:space="0" w:color="auto"/>
              <w:right w:val="single" w:sz="8" w:space="0" w:color="auto"/>
            </w:tcBorders>
            <w:shd w:val="clear" w:color="auto" w:fill="auto"/>
            <w:noWrap/>
            <w:vAlign w:val="center"/>
            <w:hideMark/>
          </w:tcPr>
          <w:p w:rsidR="00FC5064" w:rsidRPr="001C03B1" w:rsidRDefault="00FC5064" w:rsidP="001C03B1">
            <w:pPr>
              <w:spacing w:after="0" w:line="240" w:lineRule="auto"/>
              <w:jc w:val="center"/>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200 000</w:t>
            </w:r>
          </w:p>
        </w:tc>
      </w:tr>
      <w:tr w:rsidR="001C03B1" w:rsidRPr="001C03B1" w:rsidTr="001C03B1">
        <w:trPr>
          <w:trHeight w:val="330"/>
          <w:jc w:val="center"/>
        </w:trPr>
        <w:tc>
          <w:tcPr>
            <w:tcW w:w="7398" w:type="dxa"/>
            <w:gridSpan w:val="4"/>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C03B1" w:rsidRPr="001C03B1" w:rsidRDefault="001C03B1" w:rsidP="001C03B1">
            <w:pPr>
              <w:spacing w:after="0" w:line="240" w:lineRule="auto"/>
              <w:jc w:val="right"/>
              <w:rPr>
                <w:rFonts w:ascii="Times New Roman" w:eastAsia="Times New Roman" w:hAnsi="Times New Roman" w:cs="Times New Roman"/>
                <w:b/>
                <w:bCs/>
                <w:color w:val="000000"/>
                <w:sz w:val="20"/>
                <w:szCs w:val="20"/>
                <w:lang w:val="lv-LV" w:eastAsia="lv-LV"/>
              </w:rPr>
            </w:pPr>
            <w:r w:rsidRPr="001C03B1">
              <w:rPr>
                <w:rFonts w:ascii="Times New Roman" w:eastAsia="Times New Roman" w:hAnsi="Times New Roman" w:cs="Times New Roman"/>
                <w:b/>
                <w:bCs/>
                <w:color w:val="000000"/>
                <w:sz w:val="20"/>
                <w:szCs w:val="20"/>
                <w:lang w:val="lv-LV" w:eastAsia="lv-LV"/>
              </w:rPr>
              <w:t>Izdevumu pieaugums</w:t>
            </w:r>
          </w:p>
          <w:p w:rsidR="001C03B1" w:rsidRPr="001C03B1" w:rsidRDefault="001C03B1" w:rsidP="001C03B1">
            <w:pPr>
              <w:spacing w:after="0" w:line="240" w:lineRule="auto"/>
              <w:jc w:val="right"/>
              <w:rPr>
                <w:rFonts w:ascii="Times New Roman" w:eastAsia="Times New Roman" w:hAnsi="Times New Roman" w:cs="Times New Roman"/>
                <w:color w:val="000000"/>
                <w:sz w:val="20"/>
                <w:szCs w:val="20"/>
                <w:lang w:val="lv-LV" w:eastAsia="lv-LV"/>
              </w:rPr>
            </w:pPr>
            <w:r w:rsidRPr="001C03B1">
              <w:rPr>
                <w:rFonts w:ascii="Times New Roman" w:eastAsia="Times New Roman" w:hAnsi="Times New Roman" w:cs="Times New Roman"/>
                <w:color w:val="000000"/>
                <w:sz w:val="20"/>
                <w:szCs w:val="20"/>
                <w:lang w:val="lv-LV" w:eastAsia="lv-LV"/>
              </w:rPr>
              <w:t> </w:t>
            </w:r>
          </w:p>
        </w:tc>
        <w:tc>
          <w:tcPr>
            <w:tcW w:w="1427" w:type="dxa"/>
            <w:tcBorders>
              <w:top w:val="nil"/>
              <w:left w:val="nil"/>
              <w:bottom w:val="single" w:sz="8" w:space="0" w:color="auto"/>
              <w:right w:val="single" w:sz="8" w:space="0" w:color="auto"/>
            </w:tcBorders>
            <w:shd w:val="clear" w:color="auto" w:fill="auto"/>
            <w:noWrap/>
            <w:vAlign w:val="center"/>
            <w:hideMark/>
          </w:tcPr>
          <w:p w:rsidR="001C03B1" w:rsidRPr="001C03B1" w:rsidRDefault="001C03B1" w:rsidP="001C03B1">
            <w:pPr>
              <w:jc w:val="center"/>
              <w:rPr>
                <w:rFonts w:ascii="Times New Roman" w:hAnsi="Times New Roman" w:cs="Times New Roman"/>
                <w:b/>
                <w:bCs/>
                <w:color w:val="000000"/>
                <w:sz w:val="20"/>
                <w:szCs w:val="20"/>
                <w:lang w:val="lv-LV" w:eastAsia="lv-LV"/>
              </w:rPr>
            </w:pPr>
            <w:r w:rsidRPr="001C03B1">
              <w:rPr>
                <w:rFonts w:ascii="Times New Roman" w:hAnsi="Times New Roman" w:cs="Times New Roman"/>
                <w:b/>
                <w:bCs/>
                <w:color w:val="000000"/>
                <w:sz w:val="20"/>
                <w:szCs w:val="20"/>
                <w:lang w:val="lv-LV" w:eastAsia="lv-LV"/>
              </w:rPr>
              <w:t>5 468 000</w:t>
            </w:r>
          </w:p>
        </w:tc>
      </w:tr>
    </w:tbl>
    <w:p w:rsidR="00791244" w:rsidRPr="00791244" w:rsidRDefault="00791244" w:rsidP="00791244">
      <w:pPr>
        <w:pStyle w:val="NoSpacing"/>
        <w:ind w:firstLine="720"/>
        <w:jc w:val="both"/>
        <w:rPr>
          <w:rFonts w:ascii="Times New Roman" w:hAnsi="Times New Roman"/>
          <w:i/>
          <w:sz w:val="20"/>
          <w:szCs w:val="20"/>
        </w:rPr>
      </w:pPr>
      <w:r>
        <w:rPr>
          <w:rFonts w:ascii="Times New Roman" w:hAnsi="Times New Roman"/>
          <w:i/>
          <w:sz w:val="20"/>
          <w:szCs w:val="20"/>
        </w:rPr>
        <w:t xml:space="preserve">      </w:t>
      </w:r>
      <w:r w:rsidRPr="002040D7">
        <w:rPr>
          <w:rFonts w:ascii="Times New Roman" w:hAnsi="Times New Roman"/>
          <w:i/>
          <w:sz w:val="20"/>
          <w:szCs w:val="20"/>
        </w:rPr>
        <w:t xml:space="preserve">Avots: </w:t>
      </w:r>
      <w:r>
        <w:rPr>
          <w:rFonts w:ascii="Times New Roman" w:hAnsi="Times New Roman"/>
          <w:i/>
          <w:sz w:val="20"/>
          <w:szCs w:val="20"/>
        </w:rPr>
        <w:t xml:space="preserve">Nacionālais veselības dienests  </w:t>
      </w:r>
    </w:p>
    <w:p w:rsidR="00FC5064" w:rsidRPr="00FC5F33" w:rsidRDefault="001C03B1" w:rsidP="001C03B1">
      <w:pPr>
        <w:pStyle w:val="NoSpacing"/>
        <w:spacing w:before="240" w:after="120"/>
        <w:ind w:left="357"/>
        <w:jc w:val="both"/>
        <w:rPr>
          <w:rFonts w:ascii="Times New Roman" w:hAnsi="Times New Roman"/>
          <w:b/>
          <w:sz w:val="28"/>
          <w:szCs w:val="28"/>
        </w:rPr>
      </w:pPr>
      <w:r w:rsidRPr="00FC5F33">
        <w:rPr>
          <w:rFonts w:ascii="Times New Roman" w:hAnsi="Times New Roman"/>
          <w:b/>
          <w:sz w:val="28"/>
          <w:szCs w:val="28"/>
        </w:rPr>
        <w:t>4. Reto slimību medikamentozai ā</w:t>
      </w:r>
      <w:r w:rsidR="00794CE3" w:rsidRPr="00FC5F33">
        <w:rPr>
          <w:rFonts w:ascii="Times New Roman" w:hAnsi="Times New Roman"/>
          <w:b/>
          <w:sz w:val="28"/>
          <w:szCs w:val="28"/>
        </w:rPr>
        <w:t>rstēšanai bērniem</w:t>
      </w:r>
    </w:p>
    <w:p w:rsidR="001C03B1" w:rsidRPr="00C61513" w:rsidRDefault="001C03B1" w:rsidP="001C03B1">
      <w:pPr>
        <w:pStyle w:val="NoSpacing"/>
        <w:ind w:firstLine="720"/>
        <w:jc w:val="both"/>
        <w:rPr>
          <w:rFonts w:ascii="Times New Roman" w:hAnsi="Times New Roman"/>
          <w:sz w:val="24"/>
          <w:szCs w:val="24"/>
        </w:rPr>
      </w:pPr>
      <w:r>
        <w:rPr>
          <w:rFonts w:ascii="Times New Roman" w:hAnsi="Times New Roman"/>
          <w:sz w:val="24"/>
          <w:szCs w:val="24"/>
        </w:rPr>
        <w:t>Tā saucamās „</w:t>
      </w:r>
      <w:r w:rsidRPr="00C61513">
        <w:rPr>
          <w:rFonts w:ascii="Times New Roman" w:hAnsi="Times New Roman"/>
          <w:sz w:val="24"/>
          <w:szCs w:val="24"/>
        </w:rPr>
        <w:t>retās slimības” ir slimības, kas, salīdzinot ar vispārējo populāciju, skar nelielu cilvēku skaitu un to specifiku nosaka šo slimību retā izplatība.  Eiropas Savienībā slimība uzskatāma par retu, ja no</w:t>
      </w:r>
      <w:r>
        <w:rPr>
          <w:rFonts w:ascii="Times New Roman" w:hAnsi="Times New Roman"/>
          <w:sz w:val="24"/>
          <w:szCs w:val="24"/>
        </w:rPr>
        <w:t xml:space="preserve"> desmit</w:t>
      </w:r>
      <w:r w:rsidRPr="00C61513">
        <w:rPr>
          <w:rFonts w:ascii="Times New Roman" w:hAnsi="Times New Roman"/>
          <w:sz w:val="24"/>
          <w:szCs w:val="24"/>
        </w:rPr>
        <w:t xml:space="preserve"> tūkstošiem cilvēku tā ir skārusi ne vairāk kā piecus. </w:t>
      </w:r>
    </w:p>
    <w:p w:rsidR="001C03B1" w:rsidRPr="00C61513" w:rsidRDefault="001C03B1" w:rsidP="001C03B1">
      <w:pPr>
        <w:pStyle w:val="NoSpacing"/>
        <w:ind w:firstLine="720"/>
        <w:jc w:val="both"/>
        <w:rPr>
          <w:rFonts w:ascii="Times New Roman" w:hAnsi="Times New Roman"/>
          <w:sz w:val="24"/>
          <w:szCs w:val="24"/>
        </w:rPr>
      </w:pPr>
      <w:r w:rsidRPr="00C61513">
        <w:rPr>
          <w:rFonts w:ascii="Times New Roman" w:hAnsi="Times New Roman"/>
          <w:sz w:val="24"/>
          <w:szCs w:val="24"/>
        </w:rPr>
        <w:t>2012.gadā budžeta  apakšprogrammas 33.1</w:t>
      </w:r>
      <w:r>
        <w:rPr>
          <w:rFonts w:ascii="Times New Roman" w:hAnsi="Times New Roman"/>
          <w:sz w:val="24"/>
          <w:szCs w:val="24"/>
        </w:rPr>
        <w:t>2.00 „Reto slimību medikamentozā</w:t>
      </w:r>
      <w:r w:rsidRPr="00C61513">
        <w:rPr>
          <w:rFonts w:ascii="Times New Roman" w:hAnsi="Times New Roman"/>
          <w:sz w:val="24"/>
          <w:szCs w:val="24"/>
        </w:rPr>
        <w:t xml:space="preserve"> ārstēšana bērniem”</w:t>
      </w:r>
      <w:r>
        <w:rPr>
          <w:rFonts w:ascii="Times New Roman" w:hAnsi="Times New Roman"/>
          <w:sz w:val="24"/>
          <w:szCs w:val="24"/>
        </w:rPr>
        <w:t xml:space="preserve"> ietvaros  medikamentus saņēma deviņi</w:t>
      </w:r>
      <w:r w:rsidRPr="00C61513">
        <w:rPr>
          <w:rFonts w:ascii="Times New Roman" w:hAnsi="Times New Roman"/>
          <w:sz w:val="24"/>
          <w:szCs w:val="24"/>
        </w:rPr>
        <w:t xml:space="preserve"> </w:t>
      </w:r>
      <w:r w:rsidRPr="003402E4">
        <w:rPr>
          <w:rFonts w:ascii="Times New Roman" w:hAnsi="Times New Roman"/>
          <w:sz w:val="24"/>
          <w:szCs w:val="24"/>
        </w:rPr>
        <w:t xml:space="preserve">VSIA "Bērnu klīniskā universitātes slimnīca" </w:t>
      </w:r>
      <w:r w:rsidRPr="00C61513">
        <w:rPr>
          <w:rFonts w:ascii="Times New Roman" w:hAnsi="Times New Roman"/>
          <w:sz w:val="24"/>
          <w:szCs w:val="24"/>
        </w:rPr>
        <w:t xml:space="preserve">uzskaitē esoši pacienti Gošē slimības, mukopolisaharidozes 2.tipa, primāra IGF-1 deficīta un fenilketonūrijas  medikamentozai ārstēšanai. </w:t>
      </w:r>
      <w:r>
        <w:rPr>
          <w:rFonts w:ascii="Times New Roman" w:hAnsi="Times New Roman"/>
          <w:sz w:val="24"/>
          <w:szCs w:val="24"/>
        </w:rPr>
        <w:t xml:space="preserve">2012.gadā piešķirtie finanšu līdzekļi valsts budžeta apakšprogrammā </w:t>
      </w:r>
      <w:r w:rsidRPr="00C61513">
        <w:rPr>
          <w:rFonts w:ascii="Times New Roman" w:hAnsi="Times New Roman"/>
          <w:sz w:val="24"/>
          <w:szCs w:val="24"/>
        </w:rPr>
        <w:t>33.1</w:t>
      </w:r>
      <w:r>
        <w:rPr>
          <w:rFonts w:ascii="Times New Roman" w:hAnsi="Times New Roman"/>
          <w:sz w:val="24"/>
          <w:szCs w:val="24"/>
        </w:rPr>
        <w:t>2.00 „Reto slimību medikamentozā</w:t>
      </w:r>
      <w:r w:rsidRPr="00C61513">
        <w:rPr>
          <w:rFonts w:ascii="Times New Roman" w:hAnsi="Times New Roman"/>
          <w:sz w:val="24"/>
          <w:szCs w:val="24"/>
        </w:rPr>
        <w:t xml:space="preserve"> ārstēšana bērniem”</w:t>
      </w:r>
      <w:r>
        <w:rPr>
          <w:rFonts w:ascii="Times New Roman" w:hAnsi="Times New Roman"/>
          <w:sz w:val="24"/>
          <w:szCs w:val="24"/>
        </w:rPr>
        <w:t xml:space="preserve"> atbilstoši likumam „Par valsts budžetu 2012.gadam”</w:t>
      </w:r>
      <w:r w:rsidRPr="00C61513">
        <w:rPr>
          <w:rFonts w:ascii="Times New Roman" w:hAnsi="Times New Roman"/>
          <w:sz w:val="24"/>
          <w:szCs w:val="24"/>
        </w:rPr>
        <w:t xml:space="preserve"> bija 6</w:t>
      </w:r>
      <w:r>
        <w:rPr>
          <w:rFonts w:ascii="Times New Roman" w:hAnsi="Times New Roman"/>
          <w:sz w:val="24"/>
          <w:szCs w:val="24"/>
        </w:rPr>
        <w:t xml:space="preserve">81 206 latu </w:t>
      </w:r>
      <w:r w:rsidRPr="00C61513">
        <w:rPr>
          <w:rFonts w:ascii="Times New Roman" w:hAnsi="Times New Roman"/>
          <w:sz w:val="24"/>
          <w:szCs w:val="24"/>
        </w:rPr>
        <w:t>apmērā.</w:t>
      </w:r>
    </w:p>
    <w:p w:rsidR="00791244" w:rsidRDefault="001C03B1" w:rsidP="00074052">
      <w:pPr>
        <w:pStyle w:val="NoSpacing"/>
        <w:ind w:firstLine="720"/>
        <w:jc w:val="both"/>
        <w:rPr>
          <w:rFonts w:ascii="Times New Roman" w:hAnsi="Times New Roman"/>
          <w:sz w:val="24"/>
          <w:szCs w:val="24"/>
        </w:rPr>
      </w:pPr>
      <w:r w:rsidRPr="00C61513">
        <w:rPr>
          <w:rFonts w:ascii="Times New Roman" w:hAnsi="Times New Roman"/>
          <w:sz w:val="24"/>
          <w:szCs w:val="24"/>
        </w:rPr>
        <w:t xml:space="preserve">Nacionālais veselības dienests ir saņēmis </w:t>
      </w:r>
      <w:r w:rsidRPr="003402E4">
        <w:rPr>
          <w:rFonts w:ascii="Times New Roman" w:hAnsi="Times New Roman"/>
          <w:sz w:val="24"/>
          <w:szCs w:val="24"/>
        </w:rPr>
        <w:t>VSIA "Bērnu klīniskā universitātes slimnīca"</w:t>
      </w:r>
      <w:r>
        <w:rPr>
          <w:rFonts w:ascii="Times New Roman" w:hAnsi="Times New Roman"/>
          <w:sz w:val="24"/>
          <w:szCs w:val="24"/>
        </w:rPr>
        <w:t xml:space="preserve"> </w:t>
      </w:r>
      <w:r w:rsidRPr="00C61513">
        <w:rPr>
          <w:rFonts w:ascii="Times New Roman" w:hAnsi="Times New Roman"/>
          <w:sz w:val="24"/>
          <w:szCs w:val="24"/>
        </w:rPr>
        <w:t>aprēķinus par 2013.gadā plānoto zāļu patēriņu reto slimību ārstēšanai  un izmaksām medikamentozai ārstēšanai slimnīcas uzskaitē esošajiem bērniem, kuri saņem medikamentus apakšprogrammas 33.12.00 „Reto slimību medikamentozā ārstēšana bērniem” ietvaros (skat</w:t>
      </w:r>
      <w:r w:rsidR="00AB4552">
        <w:rPr>
          <w:rFonts w:ascii="Times New Roman" w:hAnsi="Times New Roman"/>
          <w:sz w:val="24"/>
          <w:szCs w:val="24"/>
        </w:rPr>
        <w:t>.8. tab.).</w:t>
      </w:r>
      <w:r w:rsidRPr="00C61513">
        <w:rPr>
          <w:rFonts w:ascii="Times New Roman" w:hAnsi="Times New Roman"/>
          <w:sz w:val="24"/>
          <w:szCs w:val="24"/>
        </w:rPr>
        <w:t xml:space="preserve"> </w:t>
      </w:r>
    </w:p>
    <w:p w:rsidR="00791244" w:rsidRDefault="00791244" w:rsidP="001C03B1">
      <w:pPr>
        <w:pStyle w:val="NoSpacing"/>
        <w:jc w:val="right"/>
        <w:rPr>
          <w:rFonts w:ascii="Times New Roman" w:hAnsi="Times New Roman"/>
          <w:sz w:val="24"/>
          <w:szCs w:val="24"/>
        </w:rPr>
      </w:pPr>
    </w:p>
    <w:p w:rsidR="001C03B1" w:rsidRPr="00C61513" w:rsidRDefault="001C03B1" w:rsidP="001C03B1">
      <w:pPr>
        <w:pStyle w:val="NoSpacing"/>
        <w:jc w:val="right"/>
        <w:rPr>
          <w:rFonts w:ascii="Times New Roman" w:hAnsi="Times New Roman"/>
          <w:sz w:val="24"/>
          <w:szCs w:val="24"/>
        </w:rPr>
      </w:pPr>
      <w:r>
        <w:rPr>
          <w:rFonts w:ascii="Times New Roman" w:hAnsi="Times New Roman"/>
          <w:sz w:val="24"/>
          <w:szCs w:val="24"/>
        </w:rPr>
        <w:lastRenderedPageBreak/>
        <w:t>8</w:t>
      </w:r>
      <w:r w:rsidRPr="00C61513">
        <w:rPr>
          <w:rFonts w:ascii="Times New Roman" w:hAnsi="Times New Roman"/>
          <w:sz w:val="24"/>
          <w:szCs w:val="24"/>
        </w:rPr>
        <w:t>.tabula</w:t>
      </w:r>
    </w:p>
    <w:p w:rsidR="00794CE3" w:rsidRDefault="00794CE3" w:rsidP="00794CE3">
      <w:pPr>
        <w:pStyle w:val="NoSpacing"/>
        <w:rPr>
          <w:rFonts w:ascii="Times New Roman" w:hAnsi="Times New Roman"/>
          <w:b/>
          <w:sz w:val="24"/>
          <w:szCs w:val="24"/>
        </w:rPr>
      </w:pPr>
    </w:p>
    <w:p w:rsidR="001C03B1" w:rsidRDefault="001C03B1" w:rsidP="001C03B1">
      <w:pPr>
        <w:pStyle w:val="NoSpacing"/>
        <w:jc w:val="center"/>
        <w:rPr>
          <w:rFonts w:ascii="Times New Roman" w:hAnsi="Times New Roman"/>
          <w:b/>
          <w:sz w:val="24"/>
          <w:szCs w:val="24"/>
        </w:rPr>
      </w:pPr>
      <w:r w:rsidRPr="00C61513">
        <w:rPr>
          <w:rFonts w:ascii="Times New Roman" w:hAnsi="Times New Roman"/>
          <w:b/>
          <w:sz w:val="24"/>
          <w:szCs w:val="24"/>
        </w:rPr>
        <w:t xml:space="preserve">Plānotais zāļu patēriņš reto slimību ārstēšanai  un izmaksas 2013.gadā </w:t>
      </w:r>
      <w:r w:rsidRPr="006A576A">
        <w:rPr>
          <w:rFonts w:ascii="Times New Roman" w:hAnsi="Times New Roman"/>
          <w:b/>
          <w:sz w:val="24"/>
          <w:szCs w:val="24"/>
        </w:rPr>
        <w:t>VSIA "Bērnu klīniskā universitātes slimnīca"</w:t>
      </w:r>
      <w:r>
        <w:rPr>
          <w:rFonts w:ascii="Times New Roman" w:hAnsi="Times New Roman"/>
          <w:b/>
          <w:sz w:val="24"/>
          <w:szCs w:val="24"/>
        </w:rPr>
        <w:t xml:space="preserve"> </w:t>
      </w:r>
      <w:r w:rsidRPr="00C61513">
        <w:rPr>
          <w:rFonts w:ascii="Times New Roman" w:hAnsi="Times New Roman"/>
          <w:b/>
          <w:sz w:val="24"/>
          <w:szCs w:val="24"/>
        </w:rPr>
        <w:t>reģistrētajiem pacientiem</w:t>
      </w:r>
    </w:p>
    <w:p w:rsidR="001C03B1" w:rsidRDefault="001C03B1" w:rsidP="001C03B1">
      <w:pPr>
        <w:pStyle w:val="NoSpacing"/>
        <w:jc w:val="center"/>
        <w:rPr>
          <w:rFonts w:ascii="Times New Roman" w:hAnsi="Times New Roman"/>
          <w:b/>
          <w:sz w:val="24"/>
          <w:szCs w:val="24"/>
        </w:rPr>
      </w:pPr>
    </w:p>
    <w:tbl>
      <w:tblPr>
        <w:tblW w:w="9370" w:type="dxa"/>
        <w:jc w:val="center"/>
        <w:tblInd w:w="94" w:type="dxa"/>
        <w:tblLayout w:type="fixed"/>
        <w:tblLook w:val="04A0"/>
      </w:tblPr>
      <w:tblGrid>
        <w:gridCol w:w="2180"/>
        <w:gridCol w:w="960"/>
        <w:gridCol w:w="1095"/>
        <w:gridCol w:w="1875"/>
        <w:gridCol w:w="1275"/>
        <w:gridCol w:w="1985"/>
      </w:tblGrid>
      <w:tr w:rsidR="001C03B1" w:rsidRPr="004D6C02" w:rsidTr="001C03B1">
        <w:trPr>
          <w:trHeight w:val="799"/>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3B1" w:rsidRPr="001C03B1" w:rsidRDefault="001C03B1" w:rsidP="001C03B1">
            <w:pPr>
              <w:spacing w:after="0" w:line="240" w:lineRule="auto"/>
              <w:jc w:val="center"/>
              <w:rPr>
                <w:rFonts w:ascii="Times New Roman" w:eastAsia="Times New Roman" w:hAnsi="Times New Roman" w:cs="Times New Roman"/>
                <w:b/>
                <w:sz w:val="20"/>
                <w:szCs w:val="20"/>
                <w:lang w:val="lv-LV" w:eastAsia="lv-LV"/>
              </w:rPr>
            </w:pPr>
            <w:r w:rsidRPr="001C03B1">
              <w:rPr>
                <w:rFonts w:ascii="Times New Roman" w:eastAsia="Times New Roman" w:hAnsi="Times New Roman" w:cs="Times New Roman"/>
                <w:b/>
                <w:sz w:val="20"/>
                <w:szCs w:val="20"/>
                <w:lang w:val="lv-LV" w:eastAsia="lv-LV"/>
              </w:rPr>
              <w:t>Diagnoze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3B1" w:rsidRPr="001C03B1" w:rsidRDefault="001C03B1" w:rsidP="001C03B1">
            <w:pPr>
              <w:spacing w:after="0" w:line="240" w:lineRule="auto"/>
              <w:jc w:val="center"/>
              <w:rPr>
                <w:rFonts w:ascii="Times New Roman" w:eastAsia="Times New Roman" w:hAnsi="Times New Roman" w:cs="Times New Roman"/>
                <w:b/>
                <w:sz w:val="20"/>
                <w:szCs w:val="20"/>
                <w:lang w:val="lv-LV" w:eastAsia="lv-LV"/>
              </w:rPr>
            </w:pPr>
            <w:r w:rsidRPr="001C03B1">
              <w:rPr>
                <w:rFonts w:ascii="Times New Roman" w:eastAsia="Times New Roman" w:hAnsi="Times New Roman" w:cs="Times New Roman"/>
                <w:b/>
                <w:sz w:val="20"/>
                <w:szCs w:val="20"/>
                <w:lang w:val="lv-LV" w:eastAsia="lv-LV"/>
              </w:rPr>
              <w:t>Kods SSK-10</w:t>
            </w:r>
          </w:p>
        </w:tc>
        <w:tc>
          <w:tcPr>
            <w:tcW w:w="109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C03B1" w:rsidRPr="001C03B1" w:rsidRDefault="001C03B1" w:rsidP="001C03B1">
            <w:pPr>
              <w:spacing w:after="0" w:line="240" w:lineRule="auto"/>
              <w:jc w:val="center"/>
              <w:rPr>
                <w:rFonts w:ascii="Times New Roman" w:eastAsia="Times New Roman" w:hAnsi="Times New Roman" w:cs="Times New Roman"/>
                <w:b/>
                <w:sz w:val="20"/>
                <w:szCs w:val="20"/>
                <w:lang w:val="lv-LV" w:eastAsia="lv-LV"/>
              </w:rPr>
            </w:pPr>
            <w:r w:rsidRPr="001C03B1">
              <w:rPr>
                <w:rFonts w:ascii="Times New Roman" w:eastAsia="Times New Roman" w:hAnsi="Times New Roman" w:cs="Times New Roman"/>
                <w:b/>
                <w:sz w:val="20"/>
                <w:szCs w:val="20"/>
                <w:lang w:val="lv-LV" w:eastAsia="lv-LV"/>
              </w:rPr>
              <w:t>Pacientu skaits</w:t>
            </w:r>
          </w:p>
        </w:tc>
        <w:tc>
          <w:tcPr>
            <w:tcW w:w="1875" w:type="dxa"/>
            <w:tcBorders>
              <w:top w:val="single" w:sz="8" w:space="0" w:color="auto"/>
              <w:left w:val="nil"/>
              <w:bottom w:val="single" w:sz="8" w:space="0" w:color="auto"/>
              <w:right w:val="single" w:sz="8" w:space="0" w:color="auto"/>
            </w:tcBorders>
            <w:shd w:val="clear" w:color="auto" w:fill="auto"/>
            <w:vAlign w:val="center"/>
            <w:hideMark/>
          </w:tcPr>
          <w:p w:rsidR="001C03B1" w:rsidRPr="001C03B1" w:rsidRDefault="001C03B1" w:rsidP="001C03B1">
            <w:pPr>
              <w:spacing w:after="0" w:line="240" w:lineRule="auto"/>
              <w:jc w:val="center"/>
              <w:rPr>
                <w:rFonts w:ascii="Times New Roman" w:eastAsia="Times New Roman" w:hAnsi="Times New Roman" w:cs="Times New Roman"/>
                <w:b/>
                <w:sz w:val="20"/>
                <w:szCs w:val="20"/>
                <w:lang w:val="lv-LV" w:eastAsia="lv-LV"/>
              </w:rPr>
            </w:pPr>
            <w:r w:rsidRPr="001C03B1">
              <w:rPr>
                <w:rFonts w:ascii="Times New Roman" w:eastAsia="Times New Roman" w:hAnsi="Times New Roman" w:cs="Times New Roman"/>
                <w:b/>
                <w:sz w:val="20"/>
                <w:szCs w:val="20"/>
                <w:lang w:val="lv-LV" w:eastAsia="lv-LV"/>
              </w:rPr>
              <w:t>Zāles / medicīniskais uzturs</w:t>
            </w:r>
          </w:p>
        </w:tc>
        <w:tc>
          <w:tcPr>
            <w:tcW w:w="1275" w:type="dxa"/>
            <w:tcBorders>
              <w:top w:val="single" w:sz="8" w:space="0" w:color="auto"/>
              <w:left w:val="nil"/>
              <w:bottom w:val="single" w:sz="8" w:space="0" w:color="auto"/>
              <w:right w:val="nil"/>
            </w:tcBorders>
            <w:shd w:val="clear" w:color="auto" w:fill="auto"/>
            <w:vAlign w:val="center"/>
            <w:hideMark/>
          </w:tcPr>
          <w:p w:rsidR="001C03B1" w:rsidRPr="001C03B1" w:rsidRDefault="00794CE3" w:rsidP="001C03B1">
            <w:pPr>
              <w:spacing w:after="0" w:line="240" w:lineRule="auto"/>
              <w:jc w:val="center"/>
              <w:rPr>
                <w:rFonts w:ascii="Times New Roman" w:eastAsia="Times New Roman" w:hAnsi="Times New Roman" w:cs="Times New Roman"/>
                <w:b/>
                <w:sz w:val="20"/>
                <w:szCs w:val="20"/>
                <w:lang w:val="lv-LV" w:eastAsia="lv-LV"/>
              </w:rPr>
            </w:pPr>
            <w:r>
              <w:rPr>
                <w:rFonts w:ascii="Times New Roman" w:eastAsia="Times New Roman" w:hAnsi="Times New Roman" w:cs="Times New Roman"/>
                <w:b/>
                <w:sz w:val="20"/>
                <w:szCs w:val="20"/>
                <w:lang w:val="lv-LV" w:eastAsia="lv-LV"/>
              </w:rPr>
              <w:t>D</w:t>
            </w:r>
            <w:r w:rsidR="001C03B1" w:rsidRPr="001C03B1">
              <w:rPr>
                <w:rFonts w:ascii="Times New Roman" w:eastAsia="Times New Roman" w:hAnsi="Times New Roman" w:cs="Times New Roman"/>
                <w:b/>
                <w:sz w:val="20"/>
                <w:szCs w:val="20"/>
                <w:lang w:val="lv-LV" w:eastAsia="lv-LV"/>
              </w:rPr>
              <w:t>audzums  gadā</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03B1" w:rsidRPr="001C03B1" w:rsidRDefault="001C03B1" w:rsidP="001C03B1">
            <w:pPr>
              <w:spacing w:after="0" w:line="240" w:lineRule="auto"/>
              <w:jc w:val="center"/>
              <w:rPr>
                <w:rFonts w:ascii="Times New Roman" w:eastAsia="Times New Roman" w:hAnsi="Times New Roman" w:cs="Times New Roman"/>
                <w:b/>
                <w:sz w:val="20"/>
                <w:szCs w:val="20"/>
                <w:lang w:val="lv-LV" w:eastAsia="lv-LV"/>
              </w:rPr>
            </w:pPr>
            <w:r w:rsidRPr="001C03B1">
              <w:rPr>
                <w:rFonts w:ascii="Times New Roman" w:eastAsia="Times New Roman" w:hAnsi="Times New Roman" w:cs="Times New Roman"/>
                <w:b/>
                <w:sz w:val="20"/>
                <w:szCs w:val="20"/>
                <w:lang w:val="lv-LV" w:eastAsia="lv-LV"/>
              </w:rPr>
              <w:t>Kopējās plānotās izmaksas 2013. gadam (Ls)</w:t>
            </w:r>
          </w:p>
        </w:tc>
      </w:tr>
      <w:tr w:rsidR="001C03B1" w:rsidRPr="001C03B1" w:rsidTr="001C03B1">
        <w:trPr>
          <w:trHeight w:val="585"/>
          <w:jc w:val="center"/>
        </w:trPr>
        <w:tc>
          <w:tcPr>
            <w:tcW w:w="218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Gošē slimība</w:t>
            </w:r>
          </w:p>
        </w:tc>
        <w:tc>
          <w:tcPr>
            <w:tcW w:w="960" w:type="dxa"/>
            <w:tcBorders>
              <w:top w:val="single" w:sz="4" w:space="0" w:color="auto"/>
              <w:left w:val="nil"/>
              <w:bottom w:val="single" w:sz="8" w:space="0" w:color="auto"/>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E 75.2</w:t>
            </w:r>
          </w:p>
        </w:tc>
        <w:tc>
          <w:tcPr>
            <w:tcW w:w="1095" w:type="dxa"/>
            <w:tcBorders>
              <w:top w:val="nil"/>
              <w:left w:val="nil"/>
              <w:bottom w:val="single" w:sz="8"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1</w:t>
            </w:r>
          </w:p>
        </w:tc>
        <w:tc>
          <w:tcPr>
            <w:tcW w:w="1875" w:type="dxa"/>
            <w:tcBorders>
              <w:top w:val="nil"/>
              <w:left w:val="nil"/>
              <w:bottom w:val="single" w:sz="8" w:space="0" w:color="auto"/>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Imiglucerase (Cerezyme) 400IU</w:t>
            </w:r>
          </w:p>
        </w:tc>
        <w:tc>
          <w:tcPr>
            <w:tcW w:w="1275" w:type="dxa"/>
            <w:tcBorders>
              <w:top w:val="nil"/>
              <w:left w:val="nil"/>
              <w:bottom w:val="single" w:sz="8" w:space="0" w:color="auto"/>
              <w:right w:val="nil"/>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48400 IUs/121 flakoni</w:t>
            </w:r>
          </w:p>
        </w:tc>
        <w:tc>
          <w:tcPr>
            <w:tcW w:w="198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177 610</w:t>
            </w:r>
          </w:p>
        </w:tc>
      </w:tr>
      <w:tr w:rsidR="001C03B1" w:rsidRPr="001C03B1" w:rsidTr="001C03B1">
        <w:trPr>
          <w:trHeight w:val="585"/>
          <w:jc w:val="center"/>
        </w:trPr>
        <w:tc>
          <w:tcPr>
            <w:tcW w:w="2180" w:type="dxa"/>
            <w:vMerge w:val="restart"/>
            <w:tcBorders>
              <w:top w:val="nil"/>
              <w:left w:val="single" w:sz="8" w:space="0" w:color="auto"/>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Mukopolisaharidoze 2. tips</w:t>
            </w:r>
          </w:p>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 </w:t>
            </w:r>
          </w:p>
        </w:tc>
        <w:tc>
          <w:tcPr>
            <w:tcW w:w="960" w:type="dxa"/>
            <w:vMerge w:val="restart"/>
            <w:tcBorders>
              <w:top w:val="nil"/>
              <w:left w:val="nil"/>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E 76.1</w:t>
            </w:r>
          </w:p>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 </w:t>
            </w:r>
          </w:p>
        </w:tc>
        <w:tc>
          <w:tcPr>
            <w:tcW w:w="1095" w:type="dxa"/>
            <w:tcBorders>
              <w:top w:val="nil"/>
              <w:left w:val="nil"/>
              <w:bottom w:val="nil"/>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1</w:t>
            </w:r>
          </w:p>
        </w:tc>
        <w:tc>
          <w:tcPr>
            <w:tcW w:w="1875" w:type="dxa"/>
            <w:tcBorders>
              <w:top w:val="nil"/>
              <w:left w:val="nil"/>
              <w:bottom w:val="nil"/>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Elaprase (Idursulfase ) 6mg amp</w:t>
            </w:r>
          </w:p>
        </w:tc>
        <w:tc>
          <w:tcPr>
            <w:tcW w:w="1275" w:type="dxa"/>
            <w:tcBorders>
              <w:top w:val="nil"/>
              <w:left w:val="nil"/>
              <w:bottom w:val="nil"/>
              <w:right w:val="nil"/>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1248mg/208 flakoni</w:t>
            </w:r>
          </w:p>
        </w:tc>
        <w:tc>
          <w:tcPr>
            <w:tcW w:w="198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1C03B1" w:rsidRPr="001C03B1" w:rsidRDefault="001C03B1" w:rsidP="001C03B1">
            <w:pPr>
              <w:jc w:val="center"/>
              <w:rPr>
                <w:rFonts w:ascii="Times New Roman" w:hAnsi="Times New Roman" w:cs="Times New Roman"/>
                <w:sz w:val="20"/>
                <w:szCs w:val="20"/>
                <w:lang w:val="lv-LV"/>
              </w:rPr>
            </w:pPr>
          </w:p>
          <w:p w:rsidR="001C03B1" w:rsidRPr="001C03B1" w:rsidRDefault="001C03B1" w:rsidP="001C03B1">
            <w:pPr>
              <w:jc w:val="center"/>
              <w:rPr>
                <w:rFonts w:ascii="Times New Roman" w:eastAsia="Times New Roman" w:hAnsi="Times New Roman" w:cs="Times New Roman"/>
                <w:sz w:val="20"/>
                <w:szCs w:val="20"/>
                <w:lang w:val="lv-LV" w:eastAsia="lv-LV"/>
              </w:rPr>
            </w:pPr>
            <w:r w:rsidRPr="001C03B1">
              <w:rPr>
                <w:rFonts w:ascii="Times New Roman" w:hAnsi="Times New Roman" w:cs="Times New Roman"/>
                <w:sz w:val="20"/>
                <w:szCs w:val="20"/>
                <w:lang w:val="lv-LV"/>
              </w:rPr>
              <w:t>352 070</w:t>
            </w:r>
          </w:p>
        </w:tc>
      </w:tr>
      <w:tr w:rsidR="001C03B1" w:rsidRPr="001C03B1" w:rsidTr="001C03B1">
        <w:trPr>
          <w:trHeight w:val="585"/>
          <w:jc w:val="center"/>
        </w:trPr>
        <w:tc>
          <w:tcPr>
            <w:tcW w:w="2180" w:type="dxa"/>
            <w:vMerge/>
            <w:tcBorders>
              <w:left w:val="single" w:sz="8" w:space="0" w:color="auto"/>
              <w:bottom w:val="single" w:sz="8" w:space="0" w:color="auto"/>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p>
        </w:tc>
        <w:tc>
          <w:tcPr>
            <w:tcW w:w="960" w:type="dxa"/>
            <w:vMerge/>
            <w:tcBorders>
              <w:left w:val="nil"/>
              <w:bottom w:val="single" w:sz="8" w:space="0" w:color="auto"/>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p>
        </w:tc>
        <w:tc>
          <w:tcPr>
            <w:tcW w:w="1095" w:type="dxa"/>
            <w:tcBorders>
              <w:top w:val="single" w:sz="8" w:space="0" w:color="auto"/>
              <w:left w:val="nil"/>
              <w:bottom w:val="nil"/>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1</w:t>
            </w:r>
          </w:p>
        </w:tc>
        <w:tc>
          <w:tcPr>
            <w:tcW w:w="1875" w:type="dxa"/>
            <w:tcBorders>
              <w:top w:val="single" w:sz="8" w:space="0" w:color="auto"/>
              <w:left w:val="single" w:sz="8" w:space="0" w:color="auto"/>
              <w:bottom w:val="nil"/>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Sodium phenylbutyrate 500mg tabl</w:t>
            </w:r>
          </w:p>
        </w:tc>
        <w:tc>
          <w:tcPr>
            <w:tcW w:w="1275" w:type="dxa"/>
            <w:tcBorders>
              <w:top w:val="single" w:sz="8" w:space="0" w:color="auto"/>
              <w:left w:val="nil"/>
              <w:bottom w:val="single" w:sz="4" w:space="0" w:color="auto"/>
              <w:right w:val="nil"/>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3250 tabl/13 orģināli</w:t>
            </w:r>
          </w:p>
        </w:tc>
        <w:tc>
          <w:tcPr>
            <w:tcW w:w="198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7 662</w:t>
            </w:r>
          </w:p>
        </w:tc>
      </w:tr>
      <w:tr w:rsidR="001C03B1" w:rsidRPr="001C03B1" w:rsidTr="001C03B1">
        <w:trPr>
          <w:trHeight w:val="570"/>
          <w:jc w:val="center"/>
        </w:trPr>
        <w:tc>
          <w:tcPr>
            <w:tcW w:w="2180" w:type="dxa"/>
            <w:vMerge w:val="restart"/>
            <w:tcBorders>
              <w:top w:val="nil"/>
              <w:left w:val="single" w:sz="8" w:space="0" w:color="auto"/>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Primārs IGF-1 deficīts</w:t>
            </w:r>
          </w:p>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 </w:t>
            </w:r>
          </w:p>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 </w:t>
            </w:r>
          </w:p>
        </w:tc>
        <w:tc>
          <w:tcPr>
            <w:tcW w:w="960" w:type="dxa"/>
            <w:vMerge w:val="restart"/>
            <w:tcBorders>
              <w:top w:val="nil"/>
              <w:left w:val="nil"/>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E 34.3</w:t>
            </w:r>
          </w:p>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 </w:t>
            </w:r>
          </w:p>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 </w:t>
            </w:r>
          </w:p>
        </w:tc>
        <w:tc>
          <w:tcPr>
            <w:tcW w:w="1095"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1</w:t>
            </w:r>
          </w:p>
        </w:tc>
        <w:tc>
          <w:tcPr>
            <w:tcW w:w="1875" w:type="dxa"/>
            <w:vMerge w:val="restart"/>
            <w:tcBorders>
              <w:top w:val="single" w:sz="8" w:space="0" w:color="auto"/>
              <w:left w:val="single" w:sz="8"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Mecaserminum (Increlex) 10mg/ml</w:t>
            </w:r>
          </w:p>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1120mg/36 amp</w:t>
            </w:r>
          </w:p>
        </w:tc>
        <w:tc>
          <w:tcPr>
            <w:tcW w:w="1985" w:type="dxa"/>
            <w:tcBorders>
              <w:top w:val="single" w:sz="8" w:space="0" w:color="auto"/>
              <w:left w:val="nil"/>
              <w:bottom w:val="single" w:sz="4"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17 932</w:t>
            </w:r>
          </w:p>
        </w:tc>
      </w:tr>
      <w:tr w:rsidR="001C03B1" w:rsidRPr="001C03B1" w:rsidTr="001C03B1">
        <w:trPr>
          <w:trHeight w:val="600"/>
          <w:jc w:val="center"/>
        </w:trPr>
        <w:tc>
          <w:tcPr>
            <w:tcW w:w="2180" w:type="dxa"/>
            <w:vMerge/>
            <w:tcBorders>
              <w:left w:val="single" w:sz="8" w:space="0" w:color="auto"/>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p>
        </w:tc>
        <w:tc>
          <w:tcPr>
            <w:tcW w:w="960" w:type="dxa"/>
            <w:vMerge/>
            <w:tcBorders>
              <w:left w:val="nil"/>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p>
        </w:tc>
        <w:tc>
          <w:tcPr>
            <w:tcW w:w="1095" w:type="dxa"/>
            <w:tcBorders>
              <w:top w:val="nil"/>
              <w:left w:val="single" w:sz="8" w:space="0" w:color="auto"/>
              <w:bottom w:val="single" w:sz="4"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1</w:t>
            </w:r>
          </w:p>
        </w:tc>
        <w:tc>
          <w:tcPr>
            <w:tcW w:w="1875" w:type="dxa"/>
            <w:vMerge/>
            <w:tcBorders>
              <w:left w:val="single" w:sz="8" w:space="0" w:color="auto"/>
              <w:bottom w:val="single" w:sz="8"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3520mg/96 amp</w:t>
            </w:r>
          </w:p>
        </w:tc>
        <w:tc>
          <w:tcPr>
            <w:tcW w:w="1985" w:type="dxa"/>
            <w:tcBorders>
              <w:top w:val="nil"/>
              <w:left w:val="nil"/>
              <w:bottom w:val="single" w:sz="4"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47 820</w:t>
            </w:r>
          </w:p>
        </w:tc>
      </w:tr>
      <w:tr w:rsidR="001C03B1" w:rsidRPr="001C03B1" w:rsidTr="001C03B1">
        <w:trPr>
          <w:trHeight w:val="585"/>
          <w:jc w:val="center"/>
        </w:trPr>
        <w:tc>
          <w:tcPr>
            <w:tcW w:w="2180" w:type="dxa"/>
            <w:vMerge/>
            <w:tcBorders>
              <w:left w:val="single" w:sz="8" w:space="0" w:color="auto"/>
              <w:bottom w:val="single" w:sz="8" w:space="0" w:color="auto"/>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p>
        </w:tc>
        <w:tc>
          <w:tcPr>
            <w:tcW w:w="960" w:type="dxa"/>
            <w:vMerge/>
            <w:tcBorders>
              <w:left w:val="nil"/>
              <w:bottom w:val="single" w:sz="8" w:space="0" w:color="auto"/>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p>
        </w:tc>
        <w:tc>
          <w:tcPr>
            <w:tcW w:w="1095" w:type="dxa"/>
            <w:tcBorders>
              <w:top w:val="single" w:sz="8" w:space="0" w:color="auto"/>
              <w:left w:val="nil"/>
              <w:bottom w:val="single" w:sz="8"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1</w:t>
            </w:r>
          </w:p>
        </w:tc>
        <w:tc>
          <w:tcPr>
            <w:tcW w:w="1875" w:type="dxa"/>
            <w:tcBorders>
              <w:top w:val="nil"/>
              <w:left w:val="nil"/>
              <w:bottom w:val="single" w:sz="8" w:space="0" w:color="auto"/>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Betaine anhydrous (Cystadane)1.0 paciņā</w:t>
            </w:r>
          </w:p>
        </w:tc>
        <w:tc>
          <w:tcPr>
            <w:tcW w:w="1275" w:type="dxa"/>
            <w:tcBorders>
              <w:top w:val="single" w:sz="8" w:space="0" w:color="auto"/>
              <w:left w:val="nil"/>
              <w:bottom w:val="single" w:sz="8" w:space="0" w:color="auto"/>
              <w:right w:val="nil"/>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2160 gr/12 orģ.</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4 403</w:t>
            </w:r>
          </w:p>
        </w:tc>
      </w:tr>
      <w:tr w:rsidR="001C03B1" w:rsidRPr="001C03B1" w:rsidTr="001C03B1">
        <w:trPr>
          <w:trHeight w:val="600"/>
          <w:jc w:val="center"/>
        </w:trPr>
        <w:tc>
          <w:tcPr>
            <w:tcW w:w="2180" w:type="dxa"/>
            <w:vMerge w:val="restart"/>
            <w:tcBorders>
              <w:top w:val="nil"/>
              <w:left w:val="single" w:sz="8" w:space="0" w:color="auto"/>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Fenilketonūrija (klasiskā forma)</w:t>
            </w:r>
          </w:p>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 </w:t>
            </w:r>
          </w:p>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 </w:t>
            </w:r>
          </w:p>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 </w:t>
            </w:r>
          </w:p>
        </w:tc>
        <w:tc>
          <w:tcPr>
            <w:tcW w:w="960" w:type="dxa"/>
            <w:vMerge w:val="restart"/>
            <w:tcBorders>
              <w:top w:val="nil"/>
              <w:left w:val="nil"/>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E70.1</w:t>
            </w:r>
          </w:p>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 </w:t>
            </w:r>
          </w:p>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 </w:t>
            </w:r>
          </w:p>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 </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1</w:t>
            </w:r>
          </w:p>
        </w:tc>
        <w:tc>
          <w:tcPr>
            <w:tcW w:w="1875" w:type="dxa"/>
            <w:vMerge w:val="restart"/>
            <w:tcBorders>
              <w:top w:val="nil"/>
              <w:left w:val="nil"/>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Sapropterini dihydrochloridum (Kuvan)</w:t>
            </w:r>
          </w:p>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 </w:t>
            </w:r>
          </w:p>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 </w:t>
            </w:r>
          </w:p>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 </w:t>
            </w:r>
          </w:p>
        </w:tc>
        <w:tc>
          <w:tcPr>
            <w:tcW w:w="1275" w:type="dxa"/>
            <w:tcBorders>
              <w:top w:val="nil"/>
              <w:left w:val="nil"/>
              <w:bottom w:val="single" w:sz="4" w:space="0" w:color="auto"/>
              <w:right w:val="nil"/>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13 tabl- dienā/36 orģ</w:t>
            </w:r>
          </w:p>
        </w:tc>
        <w:tc>
          <w:tcPr>
            <w:tcW w:w="198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73 108</w:t>
            </w:r>
          </w:p>
        </w:tc>
      </w:tr>
      <w:tr w:rsidR="001C03B1" w:rsidRPr="001C03B1" w:rsidTr="001C03B1">
        <w:trPr>
          <w:trHeight w:val="600"/>
          <w:jc w:val="center"/>
        </w:trPr>
        <w:tc>
          <w:tcPr>
            <w:tcW w:w="2180" w:type="dxa"/>
            <w:vMerge/>
            <w:tcBorders>
              <w:left w:val="single" w:sz="8" w:space="0" w:color="auto"/>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p>
        </w:tc>
        <w:tc>
          <w:tcPr>
            <w:tcW w:w="960" w:type="dxa"/>
            <w:vMerge/>
            <w:tcBorders>
              <w:left w:val="nil"/>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1</w:t>
            </w:r>
          </w:p>
        </w:tc>
        <w:tc>
          <w:tcPr>
            <w:tcW w:w="1875" w:type="dxa"/>
            <w:vMerge/>
            <w:tcBorders>
              <w:left w:val="nil"/>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p>
        </w:tc>
        <w:tc>
          <w:tcPr>
            <w:tcW w:w="1275" w:type="dxa"/>
            <w:tcBorders>
              <w:top w:val="nil"/>
              <w:left w:val="nil"/>
              <w:bottom w:val="single" w:sz="4" w:space="0" w:color="auto"/>
              <w:right w:val="nil"/>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4 tabl-dienā/12orģ</w:t>
            </w:r>
          </w:p>
        </w:tc>
        <w:tc>
          <w:tcPr>
            <w:tcW w:w="1985" w:type="dxa"/>
            <w:tcBorders>
              <w:top w:val="nil"/>
              <w:left w:val="single" w:sz="8" w:space="0" w:color="auto"/>
              <w:bottom w:val="single" w:sz="4"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24 369</w:t>
            </w:r>
          </w:p>
        </w:tc>
      </w:tr>
      <w:tr w:rsidR="001C03B1" w:rsidRPr="001C03B1" w:rsidTr="001C03B1">
        <w:trPr>
          <w:trHeight w:val="600"/>
          <w:jc w:val="center"/>
        </w:trPr>
        <w:tc>
          <w:tcPr>
            <w:tcW w:w="2180" w:type="dxa"/>
            <w:vMerge/>
            <w:tcBorders>
              <w:left w:val="single" w:sz="8" w:space="0" w:color="auto"/>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p>
        </w:tc>
        <w:tc>
          <w:tcPr>
            <w:tcW w:w="960" w:type="dxa"/>
            <w:vMerge/>
            <w:tcBorders>
              <w:left w:val="nil"/>
              <w:right w:val="single" w:sz="8"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p>
        </w:tc>
        <w:tc>
          <w:tcPr>
            <w:tcW w:w="1095" w:type="dxa"/>
            <w:tcBorders>
              <w:top w:val="nil"/>
              <w:left w:val="single" w:sz="4" w:space="0" w:color="auto"/>
              <w:bottom w:val="single" w:sz="8"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1</w:t>
            </w:r>
          </w:p>
        </w:tc>
        <w:tc>
          <w:tcPr>
            <w:tcW w:w="1875" w:type="dxa"/>
            <w:vMerge/>
            <w:tcBorders>
              <w:left w:val="nil"/>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p>
        </w:tc>
        <w:tc>
          <w:tcPr>
            <w:tcW w:w="1275" w:type="dxa"/>
            <w:tcBorders>
              <w:top w:val="nil"/>
              <w:left w:val="nil"/>
              <w:bottom w:val="single" w:sz="8" w:space="0" w:color="auto"/>
              <w:right w:val="nil"/>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4 tabl-dienā/12orģ</w:t>
            </w:r>
          </w:p>
        </w:tc>
        <w:tc>
          <w:tcPr>
            <w:tcW w:w="1985" w:type="dxa"/>
            <w:tcBorders>
              <w:top w:val="nil"/>
              <w:left w:val="single" w:sz="8" w:space="0" w:color="auto"/>
              <w:bottom w:val="single" w:sz="8"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24 369</w:t>
            </w:r>
          </w:p>
        </w:tc>
      </w:tr>
      <w:tr w:rsidR="001C03B1" w:rsidRPr="001C03B1" w:rsidTr="001C03B1">
        <w:trPr>
          <w:trHeight w:val="600"/>
          <w:jc w:val="center"/>
        </w:trPr>
        <w:tc>
          <w:tcPr>
            <w:tcW w:w="2180" w:type="dxa"/>
            <w:vMerge/>
            <w:tcBorders>
              <w:left w:val="single" w:sz="8" w:space="0" w:color="auto"/>
              <w:bottom w:val="single" w:sz="8" w:space="0" w:color="auto"/>
              <w:right w:val="single" w:sz="8" w:space="0" w:color="auto"/>
            </w:tcBorders>
            <w:shd w:val="clear" w:color="000000" w:fill="FFFFFF"/>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p>
        </w:tc>
        <w:tc>
          <w:tcPr>
            <w:tcW w:w="960" w:type="dxa"/>
            <w:vMerge/>
            <w:tcBorders>
              <w:left w:val="nil"/>
              <w:bottom w:val="single" w:sz="8" w:space="0" w:color="auto"/>
              <w:right w:val="single" w:sz="8" w:space="0" w:color="auto"/>
            </w:tcBorders>
            <w:shd w:val="clear" w:color="000000" w:fill="FFFFFF"/>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p>
        </w:tc>
        <w:tc>
          <w:tcPr>
            <w:tcW w:w="1095" w:type="dxa"/>
            <w:tcBorders>
              <w:top w:val="nil"/>
              <w:left w:val="nil"/>
              <w:bottom w:val="single" w:sz="8" w:space="0" w:color="auto"/>
              <w:right w:val="single" w:sz="4" w:space="0" w:color="auto"/>
            </w:tcBorders>
            <w:shd w:val="clear" w:color="000000" w:fill="FFFFFF"/>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1 (no 01.07.)</w:t>
            </w:r>
          </w:p>
        </w:tc>
        <w:tc>
          <w:tcPr>
            <w:tcW w:w="1875" w:type="dxa"/>
            <w:vMerge/>
            <w:tcBorders>
              <w:left w:val="nil"/>
              <w:bottom w:val="single" w:sz="8" w:space="0" w:color="auto"/>
              <w:right w:val="single" w:sz="4" w:space="0" w:color="auto"/>
            </w:tcBorders>
            <w:shd w:val="clear" w:color="000000" w:fill="FFFFFF"/>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p>
        </w:tc>
        <w:tc>
          <w:tcPr>
            <w:tcW w:w="1275" w:type="dxa"/>
            <w:tcBorders>
              <w:top w:val="single" w:sz="4" w:space="0" w:color="auto"/>
              <w:left w:val="nil"/>
              <w:bottom w:val="single" w:sz="4" w:space="0" w:color="auto"/>
              <w:right w:val="nil"/>
            </w:tcBorders>
            <w:shd w:val="clear" w:color="000000" w:fill="FFFFFF"/>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2,5 tabl-dienā/4 orģ</w:t>
            </w:r>
          </w:p>
        </w:tc>
        <w:tc>
          <w:tcPr>
            <w:tcW w:w="198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C03B1" w:rsidRPr="001C03B1" w:rsidRDefault="001C03B1" w:rsidP="001C03B1">
            <w:pPr>
              <w:spacing w:after="0" w:line="240" w:lineRule="auto"/>
              <w:jc w:val="center"/>
              <w:rPr>
                <w:rFonts w:ascii="Times New Roman" w:eastAsia="Times New Roman" w:hAnsi="Times New Roman" w:cs="Times New Roman"/>
                <w:sz w:val="20"/>
                <w:szCs w:val="20"/>
                <w:lang w:val="lv-LV" w:eastAsia="lv-LV"/>
              </w:rPr>
            </w:pPr>
            <w:r w:rsidRPr="001C03B1">
              <w:rPr>
                <w:rFonts w:ascii="Times New Roman" w:eastAsia="Times New Roman" w:hAnsi="Times New Roman" w:cs="Times New Roman"/>
                <w:sz w:val="20"/>
                <w:szCs w:val="20"/>
                <w:lang w:val="lv-LV" w:eastAsia="lv-LV"/>
              </w:rPr>
              <w:t>8 123</w:t>
            </w:r>
          </w:p>
        </w:tc>
      </w:tr>
      <w:tr w:rsidR="001C03B1" w:rsidRPr="001C03B1" w:rsidTr="001C03B1">
        <w:trPr>
          <w:trHeight w:val="600"/>
          <w:jc w:val="center"/>
        </w:trPr>
        <w:tc>
          <w:tcPr>
            <w:tcW w:w="2180" w:type="dxa"/>
            <w:tcBorders>
              <w:top w:val="nil"/>
              <w:left w:val="single" w:sz="8" w:space="0" w:color="auto"/>
              <w:bottom w:val="single" w:sz="8" w:space="0" w:color="auto"/>
              <w:right w:val="nil"/>
            </w:tcBorders>
            <w:shd w:val="clear" w:color="auto" w:fill="auto"/>
            <w:vAlign w:val="bottom"/>
            <w:hideMark/>
          </w:tcPr>
          <w:p w:rsidR="001C03B1" w:rsidRPr="00794CE3" w:rsidRDefault="001C03B1" w:rsidP="001C03B1">
            <w:pPr>
              <w:spacing w:after="0" w:line="240" w:lineRule="auto"/>
              <w:jc w:val="right"/>
              <w:rPr>
                <w:rFonts w:ascii="Times New Roman" w:eastAsia="Times New Roman" w:hAnsi="Times New Roman" w:cs="Times New Roman"/>
                <w:b/>
                <w:bCs/>
                <w:i/>
                <w:sz w:val="20"/>
                <w:szCs w:val="20"/>
                <w:lang w:val="lv-LV" w:eastAsia="lv-LV"/>
              </w:rPr>
            </w:pPr>
            <w:r w:rsidRPr="00794CE3">
              <w:rPr>
                <w:rFonts w:ascii="Times New Roman" w:eastAsia="Times New Roman" w:hAnsi="Times New Roman" w:cs="Times New Roman"/>
                <w:b/>
                <w:bCs/>
                <w:i/>
                <w:sz w:val="20"/>
                <w:szCs w:val="20"/>
                <w:lang w:val="lv-LV" w:eastAsia="lv-LV"/>
              </w:rPr>
              <w:t>K</w:t>
            </w:r>
            <w:r w:rsidR="00794CE3">
              <w:rPr>
                <w:rFonts w:ascii="Times New Roman" w:eastAsia="Times New Roman" w:hAnsi="Times New Roman" w:cs="Times New Roman"/>
                <w:b/>
                <w:bCs/>
                <w:i/>
                <w:sz w:val="20"/>
                <w:szCs w:val="20"/>
                <w:lang w:val="lv-LV" w:eastAsia="lv-LV"/>
              </w:rPr>
              <w:t>OPĀ</w:t>
            </w:r>
            <w:r w:rsidR="00794CE3" w:rsidRPr="00794CE3">
              <w:rPr>
                <w:rFonts w:ascii="Times New Roman" w:eastAsia="Times New Roman" w:hAnsi="Times New Roman" w:cs="Times New Roman"/>
                <w:b/>
                <w:bCs/>
                <w:i/>
                <w:sz w:val="20"/>
                <w:szCs w:val="20"/>
                <w:lang w:val="lv-LV" w:eastAsia="lv-LV"/>
              </w:rPr>
              <w:t>:</w:t>
            </w:r>
          </w:p>
        </w:tc>
        <w:tc>
          <w:tcPr>
            <w:tcW w:w="960" w:type="dxa"/>
            <w:tcBorders>
              <w:top w:val="nil"/>
              <w:left w:val="nil"/>
              <w:bottom w:val="single" w:sz="8" w:space="0" w:color="auto"/>
              <w:right w:val="single" w:sz="8"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i/>
                <w:sz w:val="20"/>
                <w:szCs w:val="20"/>
                <w:lang w:val="lv-LV" w:eastAsia="lv-LV"/>
              </w:rPr>
            </w:pPr>
            <w:r w:rsidRPr="00794CE3">
              <w:rPr>
                <w:rFonts w:ascii="Times New Roman" w:eastAsia="Times New Roman" w:hAnsi="Times New Roman" w:cs="Times New Roman"/>
                <w:i/>
                <w:sz w:val="20"/>
                <w:szCs w:val="20"/>
                <w:lang w:val="lv-LV" w:eastAsia="lv-LV"/>
              </w:rPr>
              <w:t> </w:t>
            </w:r>
          </w:p>
        </w:tc>
        <w:tc>
          <w:tcPr>
            <w:tcW w:w="1095" w:type="dxa"/>
            <w:tcBorders>
              <w:top w:val="nil"/>
              <w:left w:val="nil"/>
              <w:bottom w:val="single" w:sz="8" w:space="0" w:color="auto"/>
              <w:right w:val="single" w:sz="4" w:space="0" w:color="auto"/>
            </w:tcBorders>
            <w:shd w:val="clear" w:color="auto" w:fill="auto"/>
            <w:vAlign w:val="bottom"/>
            <w:hideMark/>
          </w:tcPr>
          <w:p w:rsidR="001C03B1" w:rsidRPr="001C03B1" w:rsidRDefault="001C03B1" w:rsidP="001C03B1">
            <w:pPr>
              <w:spacing w:after="0" w:line="240" w:lineRule="auto"/>
              <w:rPr>
                <w:rFonts w:ascii="Times New Roman" w:eastAsia="Times New Roman" w:hAnsi="Times New Roman" w:cs="Times New Roman"/>
                <w:b/>
                <w:bCs/>
                <w:sz w:val="20"/>
                <w:szCs w:val="20"/>
                <w:lang w:val="lv-LV" w:eastAsia="lv-LV"/>
              </w:rPr>
            </w:pPr>
            <w:r w:rsidRPr="001C03B1">
              <w:rPr>
                <w:rFonts w:ascii="Times New Roman" w:eastAsia="Times New Roman" w:hAnsi="Times New Roman" w:cs="Times New Roman"/>
                <w:b/>
                <w:bCs/>
                <w:sz w:val="20"/>
                <w:szCs w:val="20"/>
                <w:lang w:val="lv-LV" w:eastAsia="lv-LV"/>
              </w:rPr>
              <w:t>10</w:t>
            </w:r>
          </w:p>
        </w:tc>
        <w:tc>
          <w:tcPr>
            <w:tcW w:w="1875" w:type="dxa"/>
            <w:tcBorders>
              <w:top w:val="nil"/>
              <w:left w:val="nil"/>
              <w:bottom w:val="single" w:sz="8" w:space="0" w:color="auto"/>
              <w:right w:val="single" w:sz="4" w:space="0" w:color="auto"/>
            </w:tcBorders>
            <w:shd w:val="clear" w:color="auto" w:fill="auto"/>
            <w:vAlign w:val="bottom"/>
            <w:hideMark/>
          </w:tcPr>
          <w:p w:rsidR="001C03B1" w:rsidRPr="001C03B1" w:rsidRDefault="001C03B1" w:rsidP="001C03B1">
            <w:pPr>
              <w:spacing w:after="0" w:line="240" w:lineRule="auto"/>
              <w:rPr>
                <w:rFonts w:ascii="Times New Roman" w:eastAsia="Times New Roman" w:hAnsi="Times New Roman" w:cs="Times New Roman"/>
                <w:b/>
                <w:bCs/>
                <w:sz w:val="20"/>
                <w:szCs w:val="20"/>
                <w:lang w:val="lv-LV" w:eastAsia="lv-LV"/>
              </w:rPr>
            </w:pPr>
            <w:r w:rsidRPr="001C03B1">
              <w:rPr>
                <w:rFonts w:ascii="Times New Roman" w:eastAsia="Times New Roman" w:hAnsi="Times New Roman" w:cs="Times New Roman"/>
                <w:b/>
                <w:bCs/>
                <w:sz w:val="20"/>
                <w:szCs w:val="20"/>
                <w:lang w:val="lv-LV"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3B1" w:rsidRPr="001C03B1" w:rsidRDefault="001C03B1" w:rsidP="001C03B1">
            <w:pPr>
              <w:spacing w:after="0" w:line="240" w:lineRule="auto"/>
              <w:rPr>
                <w:rFonts w:ascii="Times New Roman" w:eastAsia="Times New Roman" w:hAnsi="Times New Roman" w:cs="Times New Roman"/>
                <w:b/>
                <w:bCs/>
                <w:sz w:val="20"/>
                <w:szCs w:val="20"/>
                <w:lang w:val="lv-LV" w:eastAsia="lv-LV"/>
              </w:rPr>
            </w:pPr>
            <w:r w:rsidRPr="001C03B1">
              <w:rPr>
                <w:rFonts w:ascii="Times New Roman" w:eastAsia="Times New Roman" w:hAnsi="Times New Roman" w:cs="Times New Roman"/>
                <w:b/>
                <w:bCs/>
                <w:sz w:val="20"/>
                <w:szCs w:val="20"/>
                <w:lang w:val="lv-LV" w:eastAsia="lv-LV"/>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3B1" w:rsidRPr="001C03B1" w:rsidRDefault="001C03B1" w:rsidP="00794CE3">
            <w:pPr>
              <w:spacing w:after="0" w:line="240" w:lineRule="auto"/>
              <w:jc w:val="center"/>
              <w:rPr>
                <w:rFonts w:ascii="Times New Roman" w:eastAsia="Times New Roman" w:hAnsi="Times New Roman" w:cs="Times New Roman"/>
                <w:b/>
                <w:bCs/>
                <w:sz w:val="20"/>
                <w:szCs w:val="20"/>
                <w:lang w:val="lv-LV" w:eastAsia="lv-LV"/>
              </w:rPr>
            </w:pPr>
            <w:r w:rsidRPr="001C03B1">
              <w:rPr>
                <w:rFonts w:ascii="Times New Roman" w:eastAsia="Times New Roman" w:hAnsi="Times New Roman" w:cs="Times New Roman"/>
                <w:b/>
                <w:bCs/>
                <w:sz w:val="20"/>
                <w:szCs w:val="20"/>
                <w:lang w:val="lv-LV" w:eastAsia="lv-LV"/>
              </w:rPr>
              <w:t>737 466</w:t>
            </w:r>
          </w:p>
        </w:tc>
      </w:tr>
    </w:tbl>
    <w:p w:rsidR="00794CE3" w:rsidRPr="00791244" w:rsidRDefault="00791244" w:rsidP="00791244">
      <w:pPr>
        <w:pStyle w:val="NoSpacing"/>
        <w:ind w:firstLine="720"/>
        <w:jc w:val="both"/>
        <w:rPr>
          <w:rFonts w:ascii="Times New Roman" w:hAnsi="Times New Roman"/>
          <w:i/>
          <w:sz w:val="20"/>
          <w:szCs w:val="20"/>
        </w:rPr>
      </w:pPr>
      <w:r w:rsidRPr="002040D7">
        <w:rPr>
          <w:rFonts w:ascii="Times New Roman" w:hAnsi="Times New Roman"/>
          <w:i/>
          <w:sz w:val="20"/>
          <w:szCs w:val="20"/>
        </w:rPr>
        <w:t xml:space="preserve">Avots: </w:t>
      </w:r>
      <w:r>
        <w:rPr>
          <w:rFonts w:ascii="Times New Roman" w:hAnsi="Times New Roman"/>
          <w:i/>
          <w:sz w:val="20"/>
          <w:szCs w:val="20"/>
        </w:rPr>
        <w:t>Nacionālais veselības dienests</w:t>
      </w:r>
      <w:r w:rsidRPr="002040D7">
        <w:rPr>
          <w:rFonts w:ascii="Times New Roman" w:hAnsi="Times New Roman"/>
          <w:i/>
          <w:sz w:val="20"/>
          <w:szCs w:val="20"/>
        </w:rPr>
        <w:t xml:space="preserve">    </w:t>
      </w:r>
    </w:p>
    <w:p w:rsidR="00791244" w:rsidRDefault="001C03B1" w:rsidP="00A2740E">
      <w:pPr>
        <w:spacing w:before="120" w:after="0" w:line="240" w:lineRule="auto"/>
        <w:ind w:firstLine="720"/>
        <w:jc w:val="both"/>
        <w:rPr>
          <w:rFonts w:ascii="Times New Roman" w:hAnsi="Times New Roman" w:cs="Times New Roman"/>
          <w:sz w:val="24"/>
          <w:szCs w:val="24"/>
          <w:lang w:val="lv-LV"/>
        </w:rPr>
      </w:pPr>
      <w:r w:rsidRPr="00C61513">
        <w:rPr>
          <w:rFonts w:ascii="Times New Roman" w:hAnsi="Times New Roman" w:cs="Times New Roman"/>
          <w:sz w:val="24"/>
          <w:szCs w:val="24"/>
          <w:lang w:val="lv-LV"/>
        </w:rPr>
        <w:t xml:space="preserve">Reto slimību medikamentozai ārstēšanai bērniem 2013.gadā </w:t>
      </w:r>
      <w:r>
        <w:rPr>
          <w:rFonts w:ascii="Times New Roman" w:hAnsi="Times New Roman" w:cs="Times New Roman"/>
          <w:sz w:val="24"/>
          <w:szCs w:val="24"/>
          <w:lang w:val="lv-LV"/>
        </w:rPr>
        <w:t xml:space="preserve">atbilstoši likumam „Par valsts budžetu 2013.gadam” paredzēti 693 813 lati. </w:t>
      </w:r>
      <w:r w:rsidRPr="00C61513">
        <w:rPr>
          <w:rFonts w:ascii="Times New Roman" w:hAnsi="Times New Roman" w:cs="Times New Roman"/>
          <w:sz w:val="24"/>
          <w:szCs w:val="24"/>
          <w:lang w:val="lv-LV"/>
        </w:rPr>
        <w:t>Ņemot vērā pacientu ķermeņa masas pieaugumu un jauna pacienta iekļaušanu 2013.gadā nepieciešam</w:t>
      </w:r>
      <w:r w:rsidR="00AB4552">
        <w:rPr>
          <w:rFonts w:ascii="Times New Roman" w:hAnsi="Times New Roman" w:cs="Times New Roman"/>
          <w:sz w:val="24"/>
          <w:szCs w:val="24"/>
          <w:lang w:val="lv-LV"/>
        </w:rPr>
        <w:t>ai</w:t>
      </w:r>
      <w:r w:rsidR="00794CE3">
        <w:rPr>
          <w:rFonts w:ascii="Times New Roman" w:hAnsi="Times New Roman" w:cs="Times New Roman"/>
          <w:sz w:val="24"/>
          <w:szCs w:val="24"/>
          <w:lang w:val="lv-LV"/>
        </w:rPr>
        <w:t>s finansējums</w:t>
      </w:r>
      <w:r w:rsidRPr="00C61513">
        <w:rPr>
          <w:rFonts w:ascii="Times New Roman" w:hAnsi="Times New Roman" w:cs="Times New Roman"/>
          <w:sz w:val="24"/>
          <w:szCs w:val="24"/>
          <w:lang w:val="lv-LV"/>
        </w:rPr>
        <w:t xml:space="preserve"> ir </w:t>
      </w:r>
      <w:r>
        <w:rPr>
          <w:rFonts w:ascii="Times New Roman" w:hAnsi="Times New Roman" w:cs="Times New Roman"/>
          <w:sz w:val="24"/>
          <w:szCs w:val="24"/>
          <w:lang w:val="lv-LV"/>
        </w:rPr>
        <w:t>7</w:t>
      </w:r>
      <w:r w:rsidR="00A7262E">
        <w:rPr>
          <w:rFonts w:ascii="Times New Roman" w:hAnsi="Times New Roman" w:cs="Times New Roman"/>
          <w:sz w:val="24"/>
          <w:szCs w:val="24"/>
          <w:lang w:val="lv-LV"/>
        </w:rPr>
        <w:t xml:space="preserve">37 466 </w:t>
      </w:r>
      <w:r>
        <w:rPr>
          <w:rFonts w:ascii="Times New Roman" w:hAnsi="Times New Roman" w:cs="Times New Roman"/>
          <w:sz w:val="24"/>
          <w:szCs w:val="24"/>
          <w:lang w:val="lv-LV"/>
        </w:rPr>
        <w:t>lati</w:t>
      </w:r>
      <w:r w:rsidRPr="00C61513">
        <w:rPr>
          <w:rFonts w:ascii="Times New Roman" w:hAnsi="Times New Roman" w:cs="Times New Roman"/>
          <w:sz w:val="24"/>
          <w:szCs w:val="24"/>
          <w:lang w:val="lv-LV"/>
        </w:rPr>
        <w:t>, kā rezultātā medikamentozās terapijas nodrošināšanai</w:t>
      </w:r>
      <w:r>
        <w:rPr>
          <w:rFonts w:ascii="Times New Roman" w:hAnsi="Times New Roman" w:cs="Times New Roman"/>
          <w:sz w:val="24"/>
          <w:szCs w:val="24"/>
          <w:lang w:val="lv-LV"/>
        </w:rPr>
        <w:t xml:space="preserve"> nepieciešami papildus</w:t>
      </w:r>
      <w:r w:rsidRPr="00C61513">
        <w:rPr>
          <w:rFonts w:ascii="Times New Roman" w:hAnsi="Times New Roman" w:cs="Times New Roman"/>
          <w:b/>
          <w:sz w:val="24"/>
          <w:szCs w:val="24"/>
          <w:lang w:val="lv-LV"/>
        </w:rPr>
        <w:t xml:space="preserve"> </w:t>
      </w:r>
      <w:r>
        <w:rPr>
          <w:rFonts w:ascii="Times New Roman" w:hAnsi="Times New Roman" w:cs="Times New Roman"/>
          <w:b/>
          <w:sz w:val="24"/>
          <w:szCs w:val="24"/>
          <w:lang w:val="lv-LV"/>
        </w:rPr>
        <w:t>43 653 lati</w:t>
      </w:r>
      <w:r w:rsidRPr="00C61513">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C61513">
        <w:rPr>
          <w:rFonts w:ascii="Times New Roman" w:hAnsi="Times New Roman" w:cs="Times New Roman"/>
          <w:sz w:val="24"/>
          <w:szCs w:val="24"/>
          <w:lang w:val="lv-LV"/>
        </w:rPr>
        <w:t xml:space="preserve">Vienlaicīgi jāņem vērā to, ka bērnu pacientu ķermeņa masas pieaugums ietekmē medikamentozās terapijas izmaksu ikgadēju pieaugumu un saskaņā ar </w:t>
      </w:r>
      <w:r w:rsidRPr="003402E4">
        <w:rPr>
          <w:rFonts w:ascii="Times New Roman" w:hAnsi="Times New Roman" w:cs="Times New Roman"/>
          <w:sz w:val="24"/>
          <w:szCs w:val="24"/>
          <w:lang w:val="lv-LV"/>
        </w:rPr>
        <w:t xml:space="preserve">VSIA "Bērnu klīniskā universitātes slimnīca" </w:t>
      </w:r>
      <w:r>
        <w:rPr>
          <w:rFonts w:ascii="Times New Roman" w:hAnsi="Times New Roman" w:cs="Times New Roman"/>
          <w:sz w:val="24"/>
          <w:szCs w:val="24"/>
          <w:lang w:val="lv-LV"/>
        </w:rPr>
        <w:t>datiem 2014.gadā prognozējamais nepieciešamais finansējums</w:t>
      </w:r>
      <w:r w:rsidRPr="00C61513">
        <w:rPr>
          <w:rFonts w:ascii="Times New Roman" w:hAnsi="Times New Roman" w:cs="Times New Roman"/>
          <w:sz w:val="24"/>
          <w:szCs w:val="24"/>
          <w:lang w:val="lv-LV"/>
        </w:rPr>
        <w:t xml:space="preserve"> </w:t>
      </w:r>
      <w:r w:rsidRPr="00794CE3">
        <w:rPr>
          <w:rFonts w:ascii="Times New Roman" w:eastAsia="Times New Roman" w:hAnsi="Times New Roman" w:cs="Times New Roman"/>
          <w:bCs/>
          <w:sz w:val="24"/>
          <w:szCs w:val="24"/>
          <w:lang w:val="lv-LV" w:eastAsia="lv-LV"/>
        </w:rPr>
        <w:t>915 544 lati</w:t>
      </w:r>
      <w:r>
        <w:rPr>
          <w:rFonts w:ascii="Times New Roman" w:eastAsia="Times New Roman" w:hAnsi="Times New Roman" w:cs="Times New Roman"/>
          <w:b/>
          <w:bCs/>
          <w:sz w:val="24"/>
          <w:szCs w:val="24"/>
          <w:lang w:val="lv-LV" w:eastAsia="lv-LV"/>
        </w:rPr>
        <w:t xml:space="preserve"> </w:t>
      </w:r>
      <w:r w:rsidRPr="00C61513">
        <w:rPr>
          <w:rFonts w:ascii="Times New Roman" w:hAnsi="Times New Roman" w:cs="Times New Roman"/>
          <w:sz w:val="24"/>
          <w:szCs w:val="24"/>
          <w:lang w:val="lv-LV"/>
        </w:rPr>
        <w:t xml:space="preserve">un 2015.gadā </w:t>
      </w:r>
      <w:r w:rsidRPr="00794CE3">
        <w:rPr>
          <w:rFonts w:ascii="Times New Roman" w:eastAsia="Times New Roman" w:hAnsi="Times New Roman" w:cs="Times New Roman"/>
          <w:bCs/>
          <w:sz w:val="24"/>
          <w:szCs w:val="24"/>
          <w:lang w:val="lv-LV" w:eastAsia="lv-LV"/>
        </w:rPr>
        <w:t>1 021 635 lati</w:t>
      </w:r>
      <w:r>
        <w:rPr>
          <w:rFonts w:ascii="Times New Roman" w:hAnsi="Times New Roman" w:cs="Times New Roman"/>
          <w:sz w:val="24"/>
          <w:szCs w:val="24"/>
          <w:lang w:val="lv-LV"/>
        </w:rPr>
        <w:t xml:space="preserve">, radot deficītu pret 2014.gadā piešķirto atbilstoši likumam „Par vidēja termiņa budžeta </w:t>
      </w:r>
      <w:r w:rsidR="002403F1">
        <w:rPr>
          <w:rFonts w:ascii="Times New Roman" w:hAnsi="Times New Roman" w:cs="Times New Roman"/>
          <w:sz w:val="24"/>
          <w:szCs w:val="24"/>
          <w:lang w:val="lv-LV"/>
        </w:rPr>
        <w:t>ietvaru 2013., 2014. un 2015</w:t>
      </w:r>
      <w:r w:rsidRPr="00794CE3">
        <w:rPr>
          <w:rFonts w:ascii="Times New Roman" w:hAnsi="Times New Roman" w:cs="Times New Roman"/>
          <w:sz w:val="24"/>
          <w:szCs w:val="24"/>
          <w:lang w:val="lv-LV"/>
        </w:rPr>
        <w:t xml:space="preserve">.gadam” </w:t>
      </w:r>
      <w:r w:rsidRPr="00794CE3">
        <w:rPr>
          <w:rFonts w:ascii="Times New Roman" w:hAnsi="Times New Roman" w:cs="Times New Roman"/>
          <w:b/>
          <w:sz w:val="24"/>
          <w:szCs w:val="24"/>
          <w:lang w:val="lv-LV"/>
        </w:rPr>
        <w:t xml:space="preserve">221 731 lata </w:t>
      </w:r>
      <w:r w:rsidRPr="00794CE3">
        <w:rPr>
          <w:rFonts w:ascii="Times New Roman" w:hAnsi="Times New Roman" w:cs="Times New Roman"/>
          <w:sz w:val="24"/>
          <w:szCs w:val="24"/>
          <w:lang w:val="lv-LV"/>
        </w:rPr>
        <w:t xml:space="preserve">apmērā un 2015.gadā – </w:t>
      </w:r>
      <w:r w:rsidRPr="00794CE3">
        <w:rPr>
          <w:rFonts w:ascii="Times New Roman" w:hAnsi="Times New Roman" w:cs="Times New Roman"/>
          <w:b/>
          <w:sz w:val="24"/>
          <w:szCs w:val="24"/>
          <w:lang w:val="lv-LV"/>
        </w:rPr>
        <w:t>327 822 latu</w:t>
      </w:r>
      <w:r w:rsidRPr="00794CE3">
        <w:rPr>
          <w:rFonts w:ascii="Times New Roman" w:hAnsi="Times New Roman" w:cs="Times New Roman"/>
          <w:sz w:val="24"/>
          <w:szCs w:val="24"/>
          <w:lang w:val="lv-LV"/>
        </w:rPr>
        <w:t xml:space="preserve"> apmērā (skat. </w:t>
      </w:r>
      <w:r w:rsidR="00794CE3" w:rsidRPr="00794CE3">
        <w:rPr>
          <w:rFonts w:ascii="Times New Roman" w:hAnsi="Times New Roman" w:cs="Times New Roman"/>
          <w:sz w:val="24"/>
          <w:szCs w:val="24"/>
          <w:lang w:val="lv-LV"/>
        </w:rPr>
        <w:t>9</w:t>
      </w:r>
      <w:r w:rsidR="00AB4552">
        <w:rPr>
          <w:rFonts w:ascii="Times New Roman" w:hAnsi="Times New Roman" w:cs="Times New Roman"/>
          <w:sz w:val="24"/>
          <w:szCs w:val="24"/>
          <w:lang w:val="lv-LV"/>
        </w:rPr>
        <w:t>.tabulu).</w:t>
      </w:r>
    </w:p>
    <w:p w:rsidR="005E51F2" w:rsidRDefault="005E51F2" w:rsidP="001C03B1">
      <w:pPr>
        <w:ind w:firstLine="720"/>
        <w:jc w:val="right"/>
        <w:rPr>
          <w:rFonts w:ascii="Times New Roman" w:hAnsi="Times New Roman" w:cs="Times New Roman"/>
          <w:sz w:val="24"/>
          <w:szCs w:val="24"/>
          <w:lang w:val="lv-LV"/>
        </w:rPr>
      </w:pPr>
    </w:p>
    <w:p w:rsidR="001C03B1" w:rsidRPr="00794CE3" w:rsidRDefault="00794CE3" w:rsidP="001C03B1">
      <w:pPr>
        <w:ind w:firstLine="720"/>
        <w:jc w:val="right"/>
        <w:rPr>
          <w:rFonts w:ascii="Times New Roman" w:hAnsi="Times New Roman" w:cs="Times New Roman"/>
          <w:sz w:val="24"/>
          <w:szCs w:val="24"/>
          <w:lang w:val="lv-LV"/>
        </w:rPr>
      </w:pPr>
      <w:r w:rsidRPr="00794CE3">
        <w:rPr>
          <w:rFonts w:ascii="Times New Roman" w:hAnsi="Times New Roman" w:cs="Times New Roman"/>
          <w:sz w:val="24"/>
          <w:szCs w:val="24"/>
          <w:lang w:val="lv-LV"/>
        </w:rPr>
        <w:lastRenderedPageBreak/>
        <w:t>9</w:t>
      </w:r>
      <w:r w:rsidR="001C03B1" w:rsidRPr="00794CE3">
        <w:rPr>
          <w:rFonts w:ascii="Times New Roman" w:hAnsi="Times New Roman" w:cs="Times New Roman"/>
          <w:sz w:val="24"/>
          <w:szCs w:val="24"/>
          <w:lang w:val="lv-LV"/>
        </w:rPr>
        <w:t>.tabula</w:t>
      </w:r>
    </w:p>
    <w:p w:rsidR="001C03B1" w:rsidRDefault="00FC5F33" w:rsidP="001C03B1">
      <w:pPr>
        <w:pStyle w:val="NoSpacing"/>
        <w:jc w:val="center"/>
        <w:rPr>
          <w:rFonts w:ascii="Times New Roman" w:hAnsi="Times New Roman"/>
          <w:b/>
          <w:sz w:val="24"/>
          <w:szCs w:val="24"/>
        </w:rPr>
      </w:pPr>
      <w:r>
        <w:rPr>
          <w:rFonts w:ascii="Times New Roman" w:hAnsi="Times New Roman"/>
          <w:b/>
          <w:sz w:val="24"/>
          <w:szCs w:val="24"/>
        </w:rPr>
        <w:t>Plānotais 2014.</w:t>
      </w:r>
      <w:r w:rsidR="001C03B1" w:rsidRPr="00C61513">
        <w:rPr>
          <w:rFonts w:ascii="Times New Roman" w:hAnsi="Times New Roman"/>
          <w:b/>
          <w:sz w:val="24"/>
          <w:szCs w:val="24"/>
        </w:rPr>
        <w:t xml:space="preserve">gadā un 2015.gadā zāļu patēriņš reto slimību ārstēšanai  un izmaksas </w:t>
      </w:r>
      <w:r w:rsidR="001C03B1" w:rsidRPr="006A576A">
        <w:rPr>
          <w:rFonts w:ascii="Times New Roman" w:hAnsi="Times New Roman"/>
          <w:b/>
          <w:sz w:val="24"/>
          <w:szCs w:val="24"/>
        </w:rPr>
        <w:t>VSIA "Bērnu klīniskā universitātes slimnīca"</w:t>
      </w:r>
      <w:r>
        <w:rPr>
          <w:rFonts w:ascii="Times New Roman" w:hAnsi="Times New Roman"/>
          <w:b/>
          <w:sz w:val="24"/>
          <w:szCs w:val="24"/>
        </w:rPr>
        <w:t xml:space="preserve"> </w:t>
      </w:r>
      <w:r w:rsidR="001C03B1" w:rsidRPr="00C61513">
        <w:rPr>
          <w:rFonts w:ascii="Times New Roman" w:hAnsi="Times New Roman"/>
          <w:b/>
          <w:sz w:val="24"/>
          <w:szCs w:val="24"/>
        </w:rPr>
        <w:t>2013.gadā reģistrētajiem pacientiem</w:t>
      </w:r>
    </w:p>
    <w:p w:rsidR="001C03B1" w:rsidRDefault="001C03B1" w:rsidP="001C03B1">
      <w:pPr>
        <w:pStyle w:val="NoSpacing"/>
        <w:jc w:val="both"/>
        <w:rPr>
          <w:rFonts w:ascii="Times New Roman" w:hAnsi="Times New Roman"/>
          <w:b/>
          <w:sz w:val="24"/>
          <w:szCs w:val="24"/>
        </w:rPr>
      </w:pPr>
    </w:p>
    <w:tbl>
      <w:tblPr>
        <w:tblW w:w="9736" w:type="dxa"/>
        <w:jc w:val="center"/>
        <w:tblInd w:w="94" w:type="dxa"/>
        <w:tblLayout w:type="fixed"/>
        <w:tblLook w:val="04A0"/>
      </w:tblPr>
      <w:tblGrid>
        <w:gridCol w:w="1574"/>
        <w:gridCol w:w="850"/>
        <w:gridCol w:w="992"/>
        <w:gridCol w:w="1701"/>
        <w:gridCol w:w="1134"/>
        <w:gridCol w:w="1134"/>
        <w:gridCol w:w="1075"/>
        <w:gridCol w:w="1276"/>
      </w:tblGrid>
      <w:tr w:rsidR="001C03B1" w:rsidRPr="00794CE3" w:rsidTr="00794CE3">
        <w:trPr>
          <w:trHeight w:val="799"/>
          <w:jc w:val="center"/>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3B1" w:rsidRPr="00794CE3" w:rsidRDefault="001C03B1" w:rsidP="00794CE3">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Diagnoze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03B1" w:rsidRPr="00794CE3" w:rsidRDefault="001C03B1" w:rsidP="00794CE3">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Kods (SSK-10)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03B1" w:rsidRPr="00794CE3" w:rsidRDefault="001C03B1" w:rsidP="00794CE3">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Pacientu skaits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C03B1" w:rsidRPr="00794CE3" w:rsidRDefault="001C03B1" w:rsidP="00794CE3">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Zāles / medicīniskais uzturs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03B1" w:rsidRPr="00794CE3" w:rsidRDefault="00794CE3" w:rsidP="00794CE3">
            <w:pPr>
              <w:spacing w:after="0" w:line="240" w:lineRule="auto"/>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D</w:t>
            </w:r>
            <w:r w:rsidR="001C03B1" w:rsidRPr="00794CE3">
              <w:rPr>
                <w:rFonts w:ascii="Times New Roman" w:eastAsia="Times New Roman" w:hAnsi="Times New Roman" w:cs="Times New Roman"/>
                <w:sz w:val="20"/>
                <w:szCs w:val="20"/>
                <w:lang w:val="lv-LV" w:eastAsia="lv-LV"/>
              </w:rPr>
              <w:t xml:space="preserve">audzums 2014. </w:t>
            </w:r>
            <w:r w:rsidRPr="00794CE3">
              <w:rPr>
                <w:rFonts w:ascii="Times New Roman" w:eastAsia="Times New Roman" w:hAnsi="Times New Roman" w:cs="Times New Roman"/>
                <w:sz w:val="20"/>
                <w:szCs w:val="20"/>
                <w:lang w:val="lv-LV" w:eastAsia="lv-LV"/>
              </w:rPr>
              <w:t>G</w:t>
            </w:r>
            <w:r w:rsidR="001C03B1" w:rsidRPr="00794CE3">
              <w:rPr>
                <w:rFonts w:ascii="Times New Roman" w:eastAsia="Times New Roman" w:hAnsi="Times New Roman" w:cs="Times New Roman"/>
                <w:sz w:val="20"/>
                <w:szCs w:val="20"/>
                <w:lang w:val="lv-LV" w:eastAsia="lv-LV"/>
              </w:rPr>
              <w:t>adā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03B1" w:rsidRPr="00794CE3" w:rsidRDefault="001C03B1" w:rsidP="00794CE3">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 xml:space="preserve">Plānotās izmaksas 2014. </w:t>
            </w:r>
            <w:r w:rsidR="00794CE3" w:rsidRPr="00794CE3">
              <w:rPr>
                <w:rFonts w:ascii="Times New Roman" w:eastAsia="Times New Roman" w:hAnsi="Times New Roman" w:cs="Times New Roman"/>
                <w:sz w:val="20"/>
                <w:szCs w:val="20"/>
                <w:lang w:val="lv-LV" w:eastAsia="lv-LV"/>
              </w:rPr>
              <w:t>G</w:t>
            </w:r>
            <w:r w:rsidRPr="00794CE3">
              <w:rPr>
                <w:rFonts w:ascii="Times New Roman" w:eastAsia="Times New Roman" w:hAnsi="Times New Roman" w:cs="Times New Roman"/>
                <w:sz w:val="20"/>
                <w:szCs w:val="20"/>
                <w:lang w:val="lv-LV" w:eastAsia="lv-LV"/>
              </w:rPr>
              <w:t>adam (Ls)</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1C03B1" w:rsidRPr="00794CE3" w:rsidRDefault="00794CE3" w:rsidP="00794CE3">
            <w:pPr>
              <w:spacing w:after="0" w:line="240" w:lineRule="auto"/>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D</w:t>
            </w:r>
            <w:r w:rsidR="001C03B1" w:rsidRPr="00794CE3">
              <w:rPr>
                <w:rFonts w:ascii="Times New Roman" w:eastAsia="Times New Roman" w:hAnsi="Times New Roman" w:cs="Times New Roman"/>
                <w:sz w:val="20"/>
                <w:szCs w:val="20"/>
                <w:lang w:val="lv-LV" w:eastAsia="lv-LV"/>
              </w:rPr>
              <w:t xml:space="preserve">audzums 2015. </w:t>
            </w:r>
            <w:r w:rsidRPr="00794CE3">
              <w:rPr>
                <w:rFonts w:ascii="Times New Roman" w:eastAsia="Times New Roman" w:hAnsi="Times New Roman" w:cs="Times New Roman"/>
                <w:sz w:val="20"/>
                <w:szCs w:val="20"/>
                <w:lang w:val="lv-LV" w:eastAsia="lv-LV"/>
              </w:rPr>
              <w:t>G</w:t>
            </w:r>
            <w:r w:rsidR="001C03B1" w:rsidRPr="00794CE3">
              <w:rPr>
                <w:rFonts w:ascii="Times New Roman" w:eastAsia="Times New Roman" w:hAnsi="Times New Roman" w:cs="Times New Roman"/>
                <w:sz w:val="20"/>
                <w:szCs w:val="20"/>
                <w:lang w:val="lv-LV" w:eastAsia="lv-LV"/>
              </w:rPr>
              <w:t>adā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03B1" w:rsidRPr="00794CE3" w:rsidRDefault="001C03B1" w:rsidP="00794CE3">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 xml:space="preserve">Plānotās izmaksas 2015. </w:t>
            </w:r>
            <w:r w:rsidR="00794CE3" w:rsidRPr="00794CE3">
              <w:rPr>
                <w:rFonts w:ascii="Times New Roman" w:eastAsia="Times New Roman" w:hAnsi="Times New Roman" w:cs="Times New Roman"/>
                <w:sz w:val="20"/>
                <w:szCs w:val="20"/>
                <w:lang w:val="lv-LV" w:eastAsia="lv-LV"/>
              </w:rPr>
              <w:t>G</w:t>
            </w:r>
            <w:r w:rsidRPr="00794CE3">
              <w:rPr>
                <w:rFonts w:ascii="Times New Roman" w:eastAsia="Times New Roman" w:hAnsi="Times New Roman" w:cs="Times New Roman"/>
                <w:sz w:val="20"/>
                <w:szCs w:val="20"/>
                <w:lang w:val="lv-LV" w:eastAsia="lv-LV"/>
              </w:rPr>
              <w:t>adam (Ls)</w:t>
            </w:r>
          </w:p>
        </w:tc>
      </w:tr>
      <w:tr w:rsidR="001C03B1" w:rsidRPr="00794CE3" w:rsidTr="001C03B1">
        <w:trPr>
          <w:trHeight w:val="255"/>
          <w:jc w:val="center"/>
        </w:trPr>
        <w:tc>
          <w:tcPr>
            <w:tcW w:w="1574" w:type="dxa"/>
            <w:tcBorders>
              <w:top w:val="nil"/>
              <w:left w:val="single" w:sz="4" w:space="0" w:color="auto"/>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Gošē slimība</w:t>
            </w:r>
          </w:p>
        </w:tc>
        <w:tc>
          <w:tcPr>
            <w:tcW w:w="850"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E 75.2</w:t>
            </w:r>
          </w:p>
        </w:tc>
        <w:tc>
          <w:tcPr>
            <w:tcW w:w="992"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1</w:t>
            </w:r>
          </w:p>
        </w:tc>
        <w:tc>
          <w:tcPr>
            <w:tcW w:w="1701"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Imiglucerase (Cerezyme) 400IU</w:t>
            </w:r>
          </w:p>
        </w:tc>
        <w:tc>
          <w:tcPr>
            <w:tcW w:w="1134"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center"/>
              <w:rPr>
                <w:rFonts w:ascii="Times New Roman" w:hAnsi="Times New Roman" w:cs="Times New Roman"/>
                <w:sz w:val="20"/>
                <w:szCs w:val="20"/>
                <w:lang w:val="lv-LV"/>
              </w:rPr>
            </w:pPr>
            <w:r w:rsidRPr="00794CE3">
              <w:rPr>
                <w:rFonts w:ascii="Times New Roman" w:hAnsi="Times New Roman" w:cs="Times New Roman"/>
                <w:sz w:val="20"/>
                <w:szCs w:val="20"/>
                <w:lang w:val="lv-LV"/>
              </w:rPr>
              <w:t>157</w:t>
            </w:r>
          </w:p>
        </w:tc>
        <w:tc>
          <w:tcPr>
            <w:tcW w:w="1134"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230 453</w:t>
            </w:r>
          </w:p>
        </w:tc>
        <w:tc>
          <w:tcPr>
            <w:tcW w:w="1075"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193</w:t>
            </w:r>
          </w:p>
        </w:tc>
        <w:tc>
          <w:tcPr>
            <w:tcW w:w="1276"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283 295</w:t>
            </w:r>
          </w:p>
        </w:tc>
      </w:tr>
      <w:tr w:rsidR="001C03B1" w:rsidRPr="00794CE3" w:rsidTr="001C03B1">
        <w:trPr>
          <w:trHeight w:val="255"/>
          <w:jc w:val="center"/>
        </w:trPr>
        <w:tc>
          <w:tcPr>
            <w:tcW w:w="1574" w:type="dxa"/>
            <w:vMerge w:val="restart"/>
            <w:tcBorders>
              <w:top w:val="nil"/>
              <w:left w:val="single" w:sz="4" w:space="0" w:color="auto"/>
              <w:bottom w:val="single" w:sz="4" w:space="0" w:color="000000"/>
              <w:right w:val="single" w:sz="4" w:space="0" w:color="auto"/>
            </w:tcBorders>
            <w:shd w:val="clear" w:color="auto" w:fill="auto"/>
            <w:vAlign w:val="center"/>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 xml:space="preserve">Mukopolisaharidoze 2. </w:t>
            </w:r>
            <w:r w:rsidR="00794CE3" w:rsidRPr="00794CE3">
              <w:rPr>
                <w:rFonts w:ascii="Times New Roman" w:eastAsia="Times New Roman" w:hAnsi="Times New Roman" w:cs="Times New Roman"/>
                <w:sz w:val="20"/>
                <w:szCs w:val="20"/>
                <w:lang w:val="lv-LV" w:eastAsia="lv-LV"/>
              </w:rPr>
              <w:t>T</w:t>
            </w:r>
            <w:r w:rsidRPr="00794CE3">
              <w:rPr>
                <w:rFonts w:ascii="Times New Roman" w:eastAsia="Times New Roman" w:hAnsi="Times New Roman" w:cs="Times New Roman"/>
                <w:sz w:val="20"/>
                <w:szCs w:val="20"/>
                <w:lang w:val="lv-LV" w:eastAsia="lv-LV"/>
              </w:rPr>
              <w:t>ips</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E 76.1</w:t>
            </w:r>
          </w:p>
        </w:tc>
        <w:tc>
          <w:tcPr>
            <w:tcW w:w="992"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1</w:t>
            </w:r>
          </w:p>
        </w:tc>
        <w:tc>
          <w:tcPr>
            <w:tcW w:w="1701"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Elaprase (Idursulfase ) 6mg amp</w:t>
            </w:r>
          </w:p>
        </w:tc>
        <w:tc>
          <w:tcPr>
            <w:tcW w:w="1134"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center"/>
              <w:rPr>
                <w:rFonts w:ascii="Times New Roman" w:hAnsi="Times New Roman" w:cs="Times New Roman"/>
                <w:sz w:val="20"/>
                <w:szCs w:val="20"/>
                <w:lang w:val="lv-LV"/>
              </w:rPr>
            </w:pPr>
            <w:r w:rsidRPr="00794CE3">
              <w:rPr>
                <w:rFonts w:ascii="Times New Roman" w:hAnsi="Times New Roman" w:cs="Times New Roman"/>
                <w:sz w:val="20"/>
                <w:szCs w:val="20"/>
                <w:lang w:val="lv-LV"/>
              </w:rPr>
              <w:t>216</w:t>
            </w:r>
          </w:p>
        </w:tc>
        <w:tc>
          <w:tcPr>
            <w:tcW w:w="1134"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444 029</w:t>
            </w:r>
          </w:p>
        </w:tc>
        <w:tc>
          <w:tcPr>
            <w:tcW w:w="1075"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234</w:t>
            </w:r>
          </w:p>
        </w:tc>
        <w:tc>
          <w:tcPr>
            <w:tcW w:w="1276"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481 031</w:t>
            </w:r>
          </w:p>
        </w:tc>
      </w:tr>
      <w:tr w:rsidR="001C03B1" w:rsidRPr="00794CE3" w:rsidTr="001C03B1">
        <w:trPr>
          <w:trHeight w:val="510"/>
          <w:jc w:val="center"/>
        </w:trPr>
        <w:tc>
          <w:tcPr>
            <w:tcW w:w="1574" w:type="dxa"/>
            <w:vMerge/>
            <w:tcBorders>
              <w:top w:val="nil"/>
              <w:left w:val="single" w:sz="4" w:space="0" w:color="auto"/>
              <w:bottom w:val="single" w:sz="4" w:space="0" w:color="000000"/>
              <w:right w:val="single" w:sz="4" w:space="0" w:color="auto"/>
            </w:tcBorders>
            <w:vAlign w:val="center"/>
            <w:hideMark/>
          </w:tcPr>
          <w:p w:rsidR="001C03B1" w:rsidRPr="00794CE3" w:rsidRDefault="001C03B1" w:rsidP="001C03B1">
            <w:pPr>
              <w:spacing w:after="0" w:line="240" w:lineRule="auto"/>
              <w:rPr>
                <w:rFonts w:ascii="Times New Roman" w:eastAsia="Times New Roman" w:hAnsi="Times New Roman" w:cs="Times New Roman"/>
                <w:sz w:val="20"/>
                <w:szCs w:val="20"/>
                <w:lang w:val="lv-LV" w:eastAsia="lv-LV"/>
              </w:rPr>
            </w:pPr>
          </w:p>
        </w:tc>
        <w:tc>
          <w:tcPr>
            <w:tcW w:w="850" w:type="dxa"/>
            <w:vMerge/>
            <w:tcBorders>
              <w:top w:val="nil"/>
              <w:left w:val="single" w:sz="4" w:space="0" w:color="auto"/>
              <w:bottom w:val="single" w:sz="4" w:space="0" w:color="000000"/>
              <w:right w:val="single" w:sz="4" w:space="0" w:color="auto"/>
            </w:tcBorders>
            <w:vAlign w:val="center"/>
            <w:hideMark/>
          </w:tcPr>
          <w:p w:rsidR="001C03B1" w:rsidRPr="00794CE3" w:rsidRDefault="001C03B1" w:rsidP="001C03B1">
            <w:pPr>
              <w:spacing w:after="0" w:line="240" w:lineRule="auto"/>
              <w:rPr>
                <w:rFonts w:ascii="Times New Roman" w:eastAsia="Times New Roman" w:hAnsi="Times New Roman" w:cs="Times New Roman"/>
                <w:sz w:val="20"/>
                <w:szCs w:val="20"/>
                <w:lang w:val="lv-LV" w:eastAsia="lv-LV"/>
              </w:rPr>
            </w:pPr>
          </w:p>
        </w:tc>
        <w:tc>
          <w:tcPr>
            <w:tcW w:w="992"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1</w:t>
            </w:r>
          </w:p>
        </w:tc>
        <w:tc>
          <w:tcPr>
            <w:tcW w:w="1701"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Sodium phenylbutyrate 500mg tabl</w:t>
            </w:r>
          </w:p>
        </w:tc>
        <w:tc>
          <w:tcPr>
            <w:tcW w:w="1134"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8750 tabl/ 35 orģ</w:t>
            </w:r>
          </w:p>
        </w:tc>
        <w:tc>
          <w:tcPr>
            <w:tcW w:w="1134"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20 629</w:t>
            </w:r>
          </w:p>
        </w:tc>
        <w:tc>
          <w:tcPr>
            <w:tcW w:w="1075"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8750 tabl/ 35 orģ</w:t>
            </w:r>
          </w:p>
        </w:tc>
        <w:tc>
          <w:tcPr>
            <w:tcW w:w="1276"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20 629</w:t>
            </w:r>
          </w:p>
        </w:tc>
      </w:tr>
      <w:tr w:rsidR="001C03B1" w:rsidRPr="00794CE3" w:rsidTr="001C03B1">
        <w:trPr>
          <w:trHeight w:val="570"/>
          <w:jc w:val="center"/>
        </w:trPr>
        <w:tc>
          <w:tcPr>
            <w:tcW w:w="1574" w:type="dxa"/>
            <w:vMerge w:val="restart"/>
            <w:tcBorders>
              <w:top w:val="nil"/>
              <w:left w:val="single" w:sz="4" w:space="0" w:color="auto"/>
              <w:bottom w:val="single" w:sz="4" w:space="0" w:color="000000"/>
              <w:right w:val="single" w:sz="4" w:space="0" w:color="auto"/>
            </w:tcBorders>
            <w:shd w:val="clear" w:color="auto" w:fill="auto"/>
            <w:vAlign w:val="center"/>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Primārs IGF-1 deficīts</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E 34.3</w:t>
            </w:r>
          </w:p>
        </w:tc>
        <w:tc>
          <w:tcPr>
            <w:tcW w:w="992"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Mecaserminum (Increlex) 10mg/ml</w:t>
            </w:r>
          </w:p>
        </w:tc>
        <w:tc>
          <w:tcPr>
            <w:tcW w:w="1134"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center"/>
              <w:rPr>
                <w:rFonts w:ascii="Times New Roman" w:hAnsi="Times New Roman" w:cs="Times New Roman"/>
                <w:sz w:val="20"/>
                <w:szCs w:val="20"/>
                <w:lang w:val="lv-LV"/>
              </w:rPr>
            </w:pPr>
            <w:r w:rsidRPr="00794CE3">
              <w:rPr>
                <w:rFonts w:ascii="Times New Roman" w:hAnsi="Times New Roman" w:cs="Times New Roman"/>
                <w:sz w:val="20"/>
                <w:szCs w:val="20"/>
                <w:lang w:val="lv-LV"/>
              </w:rPr>
              <w:t>1120mg/ 36 amp</w:t>
            </w:r>
          </w:p>
        </w:tc>
        <w:tc>
          <w:tcPr>
            <w:tcW w:w="1134"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17 932</w:t>
            </w:r>
          </w:p>
        </w:tc>
        <w:tc>
          <w:tcPr>
            <w:tcW w:w="1075"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center"/>
              <w:rPr>
                <w:rFonts w:ascii="Times New Roman" w:hAnsi="Times New Roman" w:cs="Times New Roman"/>
                <w:sz w:val="20"/>
                <w:szCs w:val="20"/>
                <w:lang w:val="lv-LV"/>
              </w:rPr>
            </w:pPr>
            <w:r w:rsidRPr="00794CE3">
              <w:rPr>
                <w:rFonts w:ascii="Times New Roman" w:hAnsi="Times New Roman" w:cs="Times New Roman"/>
                <w:sz w:val="20"/>
                <w:szCs w:val="20"/>
                <w:lang w:val="lv-LV"/>
              </w:rPr>
              <w:t>1120mg/ 36 amp</w:t>
            </w:r>
          </w:p>
        </w:tc>
        <w:tc>
          <w:tcPr>
            <w:tcW w:w="1276"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17 932</w:t>
            </w:r>
          </w:p>
        </w:tc>
      </w:tr>
      <w:tr w:rsidR="001C03B1" w:rsidRPr="00794CE3" w:rsidTr="001C03B1">
        <w:trPr>
          <w:trHeight w:val="600"/>
          <w:jc w:val="center"/>
        </w:trPr>
        <w:tc>
          <w:tcPr>
            <w:tcW w:w="1574" w:type="dxa"/>
            <w:vMerge/>
            <w:tcBorders>
              <w:top w:val="nil"/>
              <w:left w:val="single" w:sz="4" w:space="0" w:color="auto"/>
              <w:bottom w:val="single" w:sz="4" w:space="0" w:color="000000"/>
              <w:right w:val="single" w:sz="4" w:space="0" w:color="auto"/>
            </w:tcBorders>
            <w:vAlign w:val="center"/>
            <w:hideMark/>
          </w:tcPr>
          <w:p w:rsidR="001C03B1" w:rsidRPr="00794CE3" w:rsidRDefault="001C03B1" w:rsidP="001C03B1">
            <w:pPr>
              <w:spacing w:after="0" w:line="240" w:lineRule="auto"/>
              <w:rPr>
                <w:rFonts w:ascii="Times New Roman" w:eastAsia="Times New Roman" w:hAnsi="Times New Roman" w:cs="Times New Roman"/>
                <w:sz w:val="20"/>
                <w:szCs w:val="20"/>
                <w:lang w:val="lv-LV" w:eastAsia="lv-LV"/>
              </w:rPr>
            </w:pPr>
          </w:p>
        </w:tc>
        <w:tc>
          <w:tcPr>
            <w:tcW w:w="850" w:type="dxa"/>
            <w:vMerge/>
            <w:tcBorders>
              <w:top w:val="nil"/>
              <w:left w:val="single" w:sz="4" w:space="0" w:color="auto"/>
              <w:bottom w:val="single" w:sz="4" w:space="0" w:color="000000"/>
              <w:right w:val="single" w:sz="4" w:space="0" w:color="auto"/>
            </w:tcBorders>
            <w:vAlign w:val="center"/>
            <w:hideMark/>
          </w:tcPr>
          <w:p w:rsidR="001C03B1" w:rsidRPr="00794CE3" w:rsidRDefault="001C03B1" w:rsidP="001C03B1">
            <w:pPr>
              <w:spacing w:after="0" w:line="240" w:lineRule="auto"/>
              <w:rPr>
                <w:rFonts w:ascii="Times New Roman" w:eastAsia="Times New Roman" w:hAnsi="Times New Roman" w:cs="Times New Roman"/>
                <w:sz w:val="20"/>
                <w:szCs w:val="20"/>
                <w:lang w:val="lv-LV" w:eastAsia="lv-LV"/>
              </w:rPr>
            </w:pPr>
          </w:p>
        </w:tc>
        <w:tc>
          <w:tcPr>
            <w:tcW w:w="992"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1</w:t>
            </w:r>
          </w:p>
        </w:tc>
        <w:tc>
          <w:tcPr>
            <w:tcW w:w="1701" w:type="dxa"/>
            <w:vMerge/>
            <w:tcBorders>
              <w:top w:val="nil"/>
              <w:left w:val="single" w:sz="4" w:space="0" w:color="auto"/>
              <w:bottom w:val="single" w:sz="4" w:space="0" w:color="000000"/>
              <w:right w:val="single" w:sz="4" w:space="0" w:color="auto"/>
            </w:tcBorders>
            <w:vAlign w:val="center"/>
            <w:hideMark/>
          </w:tcPr>
          <w:p w:rsidR="001C03B1" w:rsidRPr="00794CE3" w:rsidRDefault="001C03B1" w:rsidP="001C03B1">
            <w:pPr>
              <w:spacing w:after="0" w:line="240" w:lineRule="auto"/>
              <w:rPr>
                <w:rFonts w:ascii="Times New Roman" w:eastAsia="Times New Roman" w:hAnsi="Times New Roman" w:cs="Times New Roman"/>
                <w:sz w:val="20"/>
                <w:szCs w:val="20"/>
                <w:lang w:val="lv-LV" w:eastAsia="lv-LV"/>
              </w:rPr>
            </w:pPr>
          </w:p>
        </w:tc>
        <w:tc>
          <w:tcPr>
            <w:tcW w:w="1134"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center"/>
              <w:rPr>
                <w:rFonts w:ascii="Times New Roman" w:hAnsi="Times New Roman" w:cs="Times New Roman"/>
                <w:sz w:val="20"/>
                <w:szCs w:val="20"/>
                <w:lang w:val="lv-LV"/>
              </w:rPr>
            </w:pPr>
            <w:r w:rsidRPr="00794CE3">
              <w:rPr>
                <w:rFonts w:ascii="Times New Roman" w:hAnsi="Times New Roman" w:cs="Times New Roman"/>
                <w:sz w:val="20"/>
                <w:szCs w:val="20"/>
                <w:lang w:val="lv-LV"/>
              </w:rPr>
              <w:t>3520mg/ 96 amp</w:t>
            </w:r>
          </w:p>
        </w:tc>
        <w:tc>
          <w:tcPr>
            <w:tcW w:w="1134"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47 820</w:t>
            </w:r>
          </w:p>
        </w:tc>
        <w:tc>
          <w:tcPr>
            <w:tcW w:w="1075"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center"/>
              <w:rPr>
                <w:rFonts w:ascii="Times New Roman" w:hAnsi="Times New Roman" w:cs="Times New Roman"/>
                <w:sz w:val="20"/>
                <w:szCs w:val="20"/>
                <w:lang w:val="lv-LV"/>
              </w:rPr>
            </w:pPr>
            <w:r w:rsidRPr="00794CE3">
              <w:rPr>
                <w:rFonts w:ascii="Times New Roman" w:hAnsi="Times New Roman" w:cs="Times New Roman"/>
                <w:sz w:val="20"/>
                <w:szCs w:val="20"/>
                <w:lang w:val="lv-LV"/>
              </w:rPr>
              <w:t>3520mg /96 amp</w:t>
            </w:r>
          </w:p>
        </w:tc>
        <w:tc>
          <w:tcPr>
            <w:tcW w:w="1276"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47 820</w:t>
            </w:r>
          </w:p>
        </w:tc>
      </w:tr>
      <w:tr w:rsidR="001C03B1" w:rsidRPr="00794CE3" w:rsidTr="001C03B1">
        <w:trPr>
          <w:trHeight w:val="510"/>
          <w:jc w:val="center"/>
        </w:trPr>
        <w:tc>
          <w:tcPr>
            <w:tcW w:w="1574" w:type="dxa"/>
            <w:vMerge/>
            <w:tcBorders>
              <w:top w:val="nil"/>
              <w:left w:val="single" w:sz="4" w:space="0" w:color="auto"/>
              <w:bottom w:val="single" w:sz="4" w:space="0" w:color="000000"/>
              <w:right w:val="single" w:sz="4" w:space="0" w:color="auto"/>
            </w:tcBorders>
            <w:vAlign w:val="center"/>
            <w:hideMark/>
          </w:tcPr>
          <w:p w:rsidR="001C03B1" w:rsidRPr="00794CE3" w:rsidRDefault="001C03B1" w:rsidP="001C03B1">
            <w:pPr>
              <w:spacing w:after="0" w:line="240" w:lineRule="auto"/>
              <w:rPr>
                <w:rFonts w:ascii="Times New Roman" w:eastAsia="Times New Roman" w:hAnsi="Times New Roman" w:cs="Times New Roman"/>
                <w:sz w:val="20"/>
                <w:szCs w:val="20"/>
                <w:lang w:val="lv-LV" w:eastAsia="lv-LV"/>
              </w:rPr>
            </w:pPr>
          </w:p>
        </w:tc>
        <w:tc>
          <w:tcPr>
            <w:tcW w:w="850" w:type="dxa"/>
            <w:vMerge/>
            <w:tcBorders>
              <w:top w:val="nil"/>
              <w:left w:val="single" w:sz="4" w:space="0" w:color="auto"/>
              <w:bottom w:val="single" w:sz="4" w:space="0" w:color="000000"/>
              <w:right w:val="single" w:sz="4" w:space="0" w:color="auto"/>
            </w:tcBorders>
            <w:vAlign w:val="center"/>
            <w:hideMark/>
          </w:tcPr>
          <w:p w:rsidR="001C03B1" w:rsidRPr="00794CE3" w:rsidRDefault="001C03B1" w:rsidP="001C03B1">
            <w:pPr>
              <w:spacing w:after="0" w:line="240" w:lineRule="auto"/>
              <w:rPr>
                <w:rFonts w:ascii="Times New Roman" w:eastAsia="Times New Roman" w:hAnsi="Times New Roman" w:cs="Times New Roman"/>
                <w:sz w:val="20"/>
                <w:szCs w:val="20"/>
                <w:lang w:val="lv-LV" w:eastAsia="lv-LV"/>
              </w:rPr>
            </w:pPr>
          </w:p>
        </w:tc>
        <w:tc>
          <w:tcPr>
            <w:tcW w:w="992"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1</w:t>
            </w:r>
          </w:p>
        </w:tc>
        <w:tc>
          <w:tcPr>
            <w:tcW w:w="1701"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Betaine anhydrous (Cystadane)1.0 paciņā</w:t>
            </w:r>
          </w:p>
        </w:tc>
        <w:tc>
          <w:tcPr>
            <w:tcW w:w="1134"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center"/>
              <w:rPr>
                <w:rFonts w:ascii="Times New Roman" w:hAnsi="Times New Roman" w:cs="Times New Roman"/>
                <w:sz w:val="20"/>
                <w:szCs w:val="20"/>
                <w:lang w:val="lv-LV"/>
              </w:rPr>
            </w:pPr>
            <w:r w:rsidRPr="00794CE3">
              <w:rPr>
                <w:rFonts w:ascii="Times New Roman" w:hAnsi="Times New Roman" w:cs="Times New Roman"/>
                <w:sz w:val="20"/>
                <w:szCs w:val="20"/>
                <w:lang w:val="lv-LV"/>
              </w:rPr>
              <w:t>2160 gr/  12 orģ.</w:t>
            </w:r>
          </w:p>
        </w:tc>
        <w:tc>
          <w:tcPr>
            <w:tcW w:w="1134"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4 403</w:t>
            </w:r>
          </w:p>
        </w:tc>
        <w:tc>
          <w:tcPr>
            <w:tcW w:w="1075"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center"/>
              <w:rPr>
                <w:rFonts w:ascii="Times New Roman" w:hAnsi="Times New Roman" w:cs="Times New Roman"/>
                <w:sz w:val="20"/>
                <w:szCs w:val="20"/>
                <w:lang w:val="lv-LV"/>
              </w:rPr>
            </w:pPr>
            <w:r w:rsidRPr="00794CE3">
              <w:rPr>
                <w:rFonts w:ascii="Times New Roman" w:hAnsi="Times New Roman" w:cs="Times New Roman"/>
                <w:sz w:val="20"/>
                <w:szCs w:val="20"/>
                <w:lang w:val="lv-LV"/>
              </w:rPr>
              <w:t>2160 gr /12 orģ.</w:t>
            </w:r>
          </w:p>
        </w:tc>
        <w:tc>
          <w:tcPr>
            <w:tcW w:w="1276"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4 403</w:t>
            </w:r>
          </w:p>
        </w:tc>
      </w:tr>
      <w:tr w:rsidR="001C03B1" w:rsidRPr="00794CE3" w:rsidTr="001C03B1">
        <w:trPr>
          <w:trHeight w:val="600"/>
          <w:jc w:val="center"/>
        </w:trPr>
        <w:tc>
          <w:tcPr>
            <w:tcW w:w="1574" w:type="dxa"/>
            <w:vMerge w:val="restart"/>
            <w:tcBorders>
              <w:top w:val="nil"/>
              <w:left w:val="single" w:sz="4" w:space="0" w:color="auto"/>
              <w:bottom w:val="single" w:sz="4" w:space="0" w:color="000000"/>
              <w:right w:val="single" w:sz="4" w:space="0" w:color="auto"/>
            </w:tcBorders>
            <w:shd w:val="clear" w:color="auto" w:fill="auto"/>
            <w:vAlign w:val="center"/>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Fenilketonūrija (klasiskā forma)</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E70.1</w:t>
            </w:r>
          </w:p>
        </w:tc>
        <w:tc>
          <w:tcPr>
            <w:tcW w:w="992"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Sapropterini dihydrochloridum(Kuvan)</w:t>
            </w:r>
          </w:p>
        </w:tc>
        <w:tc>
          <w:tcPr>
            <w:tcW w:w="1134"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center"/>
              <w:rPr>
                <w:rFonts w:ascii="Times New Roman" w:hAnsi="Times New Roman" w:cs="Times New Roman"/>
                <w:sz w:val="20"/>
                <w:szCs w:val="20"/>
                <w:lang w:val="lv-LV"/>
              </w:rPr>
            </w:pPr>
            <w:r w:rsidRPr="00794CE3">
              <w:rPr>
                <w:rFonts w:ascii="Times New Roman" w:hAnsi="Times New Roman" w:cs="Times New Roman"/>
                <w:sz w:val="20"/>
                <w:szCs w:val="20"/>
                <w:lang w:val="lv-LV"/>
              </w:rPr>
              <w:t>13tabl- dienā/ 36 orģ</w:t>
            </w:r>
          </w:p>
        </w:tc>
        <w:tc>
          <w:tcPr>
            <w:tcW w:w="1134"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73 108</w:t>
            </w:r>
          </w:p>
        </w:tc>
        <w:tc>
          <w:tcPr>
            <w:tcW w:w="1075"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center"/>
              <w:rPr>
                <w:rFonts w:ascii="Times New Roman" w:hAnsi="Times New Roman" w:cs="Times New Roman"/>
                <w:sz w:val="20"/>
                <w:szCs w:val="20"/>
                <w:lang w:val="lv-LV"/>
              </w:rPr>
            </w:pPr>
            <w:r w:rsidRPr="00794CE3">
              <w:rPr>
                <w:rFonts w:ascii="Times New Roman" w:hAnsi="Times New Roman" w:cs="Times New Roman"/>
                <w:sz w:val="20"/>
                <w:szCs w:val="20"/>
                <w:lang w:val="lv-LV"/>
              </w:rPr>
              <w:t>13,5tabl- dienā/ 38 orģ</w:t>
            </w:r>
          </w:p>
        </w:tc>
        <w:tc>
          <w:tcPr>
            <w:tcW w:w="1276"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77 170</w:t>
            </w:r>
          </w:p>
        </w:tc>
      </w:tr>
      <w:tr w:rsidR="001C03B1" w:rsidRPr="00794CE3" w:rsidTr="001C03B1">
        <w:trPr>
          <w:trHeight w:val="600"/>
          <w:jc w:val="center"/>
        </w:trPr>
        <w:tc>
          <w:tcPr>
            <w:tcW w:w="1574" w:type="dxa"/>
            <w:vMerge/>
            <w:tcBorders>
              <w:top w:val="nil"/>
              <w:left w:val="single" w:sz="4" w:space="0" w:color="auto"/>
              <w:bottom w:val="single" w:sz="4" w:space="0" w:color="000000"/>
              <w:right w:val="single" w:sz="4" w:space="0" w:color="auto"/>
            </w:tcBorders>
            <w:vAlign w:val="center"/>
            <w:hideMark/>
          </w:tcPr>
          <w:p w:rsidR="001C03B1" w:rsidRPr="00794CE3" w:rsidRDefault="001C03B1" w:rsidP="001C03B1">
            <w:pPr>
              <w:spacing w:after="0" w:line="240" w:lineRule="auto"/>
              <w:rPr>
                <w:rFonts w:ascii="Times New Roman" w:eastAsia="Times New Roman" w:hAnsi="Times New Roman" w:cs="Times New Roman"/>
                <w:sz w:val="20"/>
                <w:szCs w:val="20"/>
                <w:lang w:val="lv-LV" w:eastAsia="lv-LV"/>
              </w:rPr>
            </w:pPr>
          </w:p>
        </w:tc>
        <w:tc>
          <w:tcPr>
            <w:tcW w:w="850" w:type="dxa"/>
            <w:vMerge/>
            <w:tcBorders>
              <w:top w:val="nil"/>
              <w:left w:val="single" w:sz="4" w:space="0" w:color="auto"/>
              <w:bottom w:val="single" w:sz="4" w:space="0" w:color="000000"/>
              <w:right w:val="single" w:sz="4" w:space="0" w:color="auto"/>
            </w:tcBorders>
            <w:vAlign w:val="center"/>
            <w:hideMark/>
          </w:tcPr>
          <w:p w:rsidR="001C03B1" w:rsidRPr="00794CE3" w:rsidRDefault="001C03B1" w:rsidP="001C03B1">
            <w:pPr>
              <w:spacing w:after="0" w:line="240" w:lineRule="auto"/>
              <w:rPr>
                <w:rFonts w:ascii="Times New Roman" w:eastAsia="Times New Roman" w:hAnsi="Times New Roman" w:cs="Times New Roman"/>
                <w:sz w:val="20"/>
                <w:szCs w:val="20"/>
                <w:lang w:val="lv-LV" w:eastAsia="lv-LV"/>
              </w:rPr>
            </w:pPr>
          </w:p>
        </w:tc>
        <w:tc>
          <w:tcPr>
            <w:tcW w:w="992"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1</w:t>
            </w:r>
          </w:p>
        </w:tc>
        <w:tc>
          <w:tcPr>
            <w:tcW w:w="1701" w:type="dxa"/>
            <w:vMerge/>
            <w:tcBorders>
              <w:top w:val="nil"/>
              <w:left w:val="single" w:sz="4" w:space="0" w:color="auto"/>
              <w:bottom w:val="single" w:sz="4" w:space="0" w:color="000000"/>
              <w:right w:val="single" w:sz="4" w:space="0" w:color="auto"/>
            </w:tcBorders>
            <w:vAlign w:val="center"/>
            <w:hideMark/>
          </w:tcPr>
          <w:p w:rsidR="001C03B1" w:rsidRPr="00794CE3" w:rsidRDefault="001C03B1" w:rsidP="001C03B1">
            <w:pPr>
              <w:spacing w:after="0" w:line="240" w:lineRule="auto"/>
              <w:rPr>
                <w:rFonts w:ascii="Times New Roman" w:eastAsia="Times New Roman" w:hAnsi="Times New Roman" w:cs="Times New Roman"/>
                <w:sz w:val="20"/>
                <w:szCs w:val="20"/>
                <w:lang w:val="lv-LV" w:eastAsia="lv-LV"/>
              </w:rPr>
            </w:pPr>
          </w:p>
        </w:tc>
        <w:tc>
          <w:tcPr>
            <w:tcW w:w="1134"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center"/>
              <w:rPr>
                <w:rFonts w:ascii="Times New Roman" w:hAnsi="Times New Roman" w:cs="Times New Roman"/>
                <w:sz w:val="20"/>
                <w:szCs w:val="20"/>
                <w:lang w:val="lv-LV"/>
              </w:rPr>
            </w:pPr>
            <w:r w:rsidRPr="00794CE3">
              <w:rPr>
                <w:rFonts w:ascii="Times New Roman" w:hAnsi="Times New Roman" w:cs="Times New Roman"/>
                <w:sz w:val="20"/>
                <w:szCs w:val="20"/>
                <w:lang w:val="lv-LV"/>
              </w:rPr>
              <w:t>41/3 tabl-dienā /14orģ</w:t>
            </w:r>
          </w:p>
        </w:tc>
        <w:tc>
          <w:tcPr>
            <w:tcW w:w="1134"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28 431</w:t>
            </w:r>
          </w:p>
        </w:tc>
        <w:tc>
          <w:tcPr>
            <w:tcW w:w="1075"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center"/>
              <w:rPr>
                <w:rFonts w:ascii="Times New Roman" w:hAnsi="Times New Roman" w:cs="Times New Roman"/>
                <w:sz w:val="20"/>
                <w:szCs w:val="20"/>
                <w:lang w:val="lv-LV"/>
              </w:rPr>
            </w:pPr>
            <w:r w:rsidRPr="00794CE3">
              <w:rPr>
                <w:rFonts w:ascii="Times New Roman" w:hAnsi="Times New Roman" w:cs="Times New Roman"/>
                <w:sz w:val="20"/>
                <w:szCs w:val="20"/>
                <w:lang w:val="lv-LV"/>
              </w:rPr>
              <w:t>4,5 tabl-dienā/ 16orģ</w:t>
            </w:r>
          </w:p>
        </w:tc>
        <w:tc>
          <w:tcPr>
            <w:tcW w:w="1276"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32 493</w:t>
            </w:r>
          </w:p>
        </w:tc>
      </w:tr>
      <w:tr w:rsidR="001C03B1" w:rsidRPr="00794CE3" w:rsidTr="001C03B1">
        <w:trPr>
          <w:trHeight w:val="600"/>
          <w:jc w:val="center"/>
        </w:trPr>
        <w:tc>
          <w:tcPr>
            <w:tcW w:w="1574" w:type="dxa"/>
            <w:vMerge/>
            <w:tcBorders>
              <w:top w:val="nil"/>
              <w:left w:val="single" w:sz="4" w:space="0" w:color="auto"/>
              <w:bottom w:val="single" w:sz="4" w:space="0" w:color="000000"/>
              <w:right w:val="single" w:sz="4" w:space="0" w:color="auto"/>
            </w:tcBorders>
            <w:vAlign w:val="center"/>
            <w:hideMark/>
          </w:tcPr>
          <w:p w:rsidR="001C03B1" w:rsidRPr="00794CE3" w:rsidRDefault="001C03B1" w:rsidP="001C03B1">
            <w:pPr>
              <w:spacing w:after="0" w:line="240" w:lineRule="auto"/>
              <w:rPr>
                <w:rFonts w:ascii="Times New Roman" w:eastAsia="Times New Roman" w:hAnsi="Times New Roman" w:cs="Times New Roman"/>
                <w:sz w:val="20"/>
                <w:szCs w:val="20"/>
                <w:lang w:val="lv-LV" w:eastAsia="lv-LV"/>
              </w:rPr>
            </w:pPr>
          </w:p>
        </w:tc>
        <w:tc>
          <w:tcPr>
            <w:tcW w:w="850" w:type="dxa"/>
            <w:vMerge/>
            <w:tcBorders>
              <w:top w:val="nil"/>
              <w:left w:val="single" w:sz="4" w:space="0" w:color="auto"/>
              <w:bottom w:val="single" w:sz="4" w:space="0" w:color="000000"/>
              <w:right w:val="single" w:sz="4" w:space="0" w:color="auto"/>
            </w:tcBorders>
            <w:vAlign w:val="center"/>
            <w:hideMark/>
          </w:tcPr>
          <w:p w:rsidR="001C03B1" w:rsidRPr="00794CE3" w:rsidRDefault="001C03B1" w:rsidP="001C03B1">
            <w:pPr>
              <w:spacing w:after="0" w:line="240" w:lineRule="auto"/>
              <w:rPr>
                <w:rFonts w:ascii="Times New Roman" w:eastAsia="Times New Roman" w:hAnsi="Times New Roman" w:cs="Times New Roman"/>
                <w:sz w:val="20"/>
                <w:szCs w:val="20"/>
                <w:lang w:val="lv-LV" w:eastAsia="lv-LV"/>
              </w:rPr>
            </w:pPr>
          </w:p>
        </w:tc>
        <w:tc>
          <w:tcPr>
            <w:tcW w:w="992"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1</w:t>
            </w:r>
          </w:p>
        </w:tc>
        <w:tc>
          <w:tcPr>
            <w:tcW w:w="1701" w:type="dxa"/>
            <w:vMerge/>
            <w:tcBorders>
              <w:top w:val="nil"/>
              <w:left w:val="single" w:sz="4" w:space="0" w:color="auto"/>
              <w:bottom w:val="single" w:sz="4" w:space="0" w:color="000000"/>
              <w:right w:val="single" w:sz="4" w:space="0" w:color="auto"/>
            </w:tcBorders>
            <w:vAlign w:val="center"/>
            <w:hideMark/>
          </w:tcPr>
          <w:p w:rsidR="001C03B1" w:rsidRPr="00794CE3" w:rsidRDefault="001C03B1" w:rsidP="001C03B1">
            <w:pPr>
              <w:spacing w:after="0" w:line="240" w:lineRule="auto"/>
              <w:rPr>
                <w:rFonts w:ascii="Times New Roman" w:eastAsia="Times New Roman" w:hAnsi="Times New Roman" w:cs="Times New Roman"/>
                <w:sz w:val="20"/>
                <w:szCs w:val="20"/>
                <w:lang w:val="lv-LV" w:eastAsia="lv-LV"/>
              </w:rPr>
            </w:pPr>
          </w:p>
        </w:tc>
        <w:tc>
          <w:tcPr>
            <w:tcW w:w="1134"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center"/>
              <w:rPr>
                <w:rFonts w:ascii="Times New Roman" w:hAnsi="Times New Roman" w:cs="Times New Roman"/>
                <w:sz w:val="20"/>
                <w:szCs w:val="20"/>
                <w:lang w:val="lv-LV"/>
              </w:rPr>
            </w:pPr>
            <w:r w:rsidRPr="00794CE3">
              <w:rPr>
                <w:rFonts w:ascii="Times New Roman" w:hAnsi="Times New Roman" w:cs="Times New Roman"/>
                <w:sz w:val="20"/>
                <w:szCs w:val="20"/>
                <w:lang w:val="lv-LV"/>
              </w:rPr>
              <w:t>41/3 tabl-dienā/ 14orģ</w:t>
            </w:r>
          </w:p>
        </w:tc>
        <w:tc>
          <w:tcPr>
            <w:tcW w:w="1134"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28 431</w:t>
            </w:r>
          </w:p>
        </w:tc>
        <w:tc>
          <w:tcPr>
            <w:tcW w:w="1075"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jc w:val="center"/>
              <w:rPr>
                <w:rFonts w:ascii="Times New Roman" w:hAnsi="Times New Roman" w:cs="Times New Roman"/>
                <w:sz w:val="20"/>
                <w:szCs w:val="20"/>
                <w:lang w:val="lv-LV"/>
              </w:rPr>
            </w:pPr>
            <w:r w:rsidRPr="00794CE3">
              <w:rPr>
                <w:rFonts w:ascii="Times New Roman" w:hAnsi="Times New Roman" w:cs="Times New Roman"/>
                <w:sz w:val="20"/>
                <w:szCs w:val="20"/>
                <w:lang w:val="lv-LV"/>
              </w:rPr>
              <w:t>4,5 tabl-dienā/ 16orģ</w:t>
            </w:r>
          </w:p>
        </w:tc>
        <w:tc>
          <w:tcPr>
            <w:tcW w:w="1276"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32 493</w:t>
            </w:r>
          </w:p>
        </w:tc>
      </w:tr>
      <w:tr w:rsidR="001C03B1" w:rsidRPr="00794CE3" w:rsidTr="001C03B1">
        <w:trPr>
          <w:trHeight w:val="600"/>
          <w:jc w:val="center"/>
        </w:trPr>
        <w:tc>
          <w:tcPr>
            <w:tcW w:w="1574" w:type="dxa"/>
            <w:vMerge/>
            <w:tcBorders>
              <w:top w:val="nil"/>
              <w:left w:val="single" w:sz="4" w:space="0" w:color="auto"/>
              <w:bottom w:val="single" w:sz="4" w:space="0" w:color="000000"/>
              <w:right w:val="single" w:sz="4" w:space="0" w:color="auto"/>
            </w:tcBorders>
            <w:vAlign w:val="center"/>
            <w:hideMark/>
          </w:tcPr>
          <w:p w:rsidR="001C03B1" w:rsidRPr="00794CE3" w:rsidRDefault="001C03B1" w:rsidP="001C03B1">
            <w:pPr>
              <w:spacing w:after="0" w:line="240" w:lineRule="auto"/>
              <w:rPr>
                <w:rFonts w:ascii="Times New Roman" w:eastAsia="Times New Roman" w:hAnsi="Times New Roman" w:cs="Times New Roman"/>
                <w:sz w:val="20"/>
                <w:szCs w:val="20"/>
                <w:lang w:val="lv-LV" w:eastAsia="lv-LV"/>
              </w:rPr>
            </w:pPr>
          </w:p>
        </w:tc>
        <w:tc>
          <w:tcPr>
            <w:tcW w:w="850" w:type="dxa"/>
            <w:vMerge/>
            <w:tcBorders>
              <w:top w:val="nil"/>
              <w:left w:val="single" w:sz="4" w:space="0" w:color="auto"/>
              <w:bottom w:val="single" w:sz="4" w:space="0" w:color="000000"/>
              <w:right w:val="single" w:sz="4" w:space="0" w:color="auto"/>
            </w:tcBorders>
            <w:vAlign w:val="center"/>
            <w:hideMark/>
          </w:tcPr>
          <w:p w:rsidR="001C03B1" w:rsidRPr="00794CE3" w:rsidRDefault="001C03B1" w:rsidP="001C03B1">
            <w:pPr>
              <w:spacing w:after="0" w:line="240" w:lineRule="auto"/>
              <w:rPr>
                <w:rFonts w:ascii="Times New Roman" w:eastAsia="Times New Roman" w:hAnsi="Times New Roman" w:cs="Times New Roman"/>
                <w:sz w:val="20"/>
                <w:szCs w:val="20"/>
                <w:lang w:val="lv-LV" w:eastAsia="lv-LV"/>
              </w:rPr>
            </w:pPr>
          </w:p>
        </w:tc>
        <w:tc>
          <w:tcPr>
            <w:tcW w:w="992" w:type="dxa"/>
            <w:tcBorders>
              <w:top w:val="nil"/>
              <w:left w:val="nil"/>
              <w:bottom w:val="single" w:sz="4" w:space="0" w:color="auto"/>
              <w:right w:val="single" w:sz="4" w:space="0" w:color="auto"/>
            </w:tcBorders>
            <w:shd w:val="clear" w:color="000000" w:fill="FFFFFF"/>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1</w:t>
            </w:r>
          </w:p>
        </w:tc>
        <w:tc>
          <w:tcPr>
            <w:tcW w:w="1701" w:type="dxa"/>
            <w:vMerge/>
            <w:tcBorders>
              <w:top w:val="nil"/>
              <w:left w:val="single" w:sz="4" w:space="0" w:color="auto"/>
              <w:bottom w:val="single" w:sz="4" w:space="0" w:color="000000"/>
              <w:right w:val="single" w:sz="4" w:space="0" w:color="auto"/>
            </w:tcBorders>
            <w:vAlign w:val="center"/>
            <w:hideMark/>
          </w:tcPr>
          <w:p w:rsidR="001C03B1" w:rsidRPr="00794CE3" w:rsidRDefault="001C03B1" w:rsidP="001C03B1">
            <w:pPr>
              <w:spacing w:after="0" w:line="240" w:lineRule="auto"/>
              <w:rPr>
                <w:rFonts w:ascii="Times New Roman" w:eastAsia="Times New Roman" w:hAnsi="Times New Roman" w:cs="Times New Roman"/>
                <w:sz w:val="20"/>
                <w:szCs w:val="20"/>
                <w:lang w:val="lv-LV" w:eastAsia="lv-LV"/>
              </w:rPr>
            </w:pPr>
          </w:p>
        </w:tc>
        <w:tc>
          <w:tcPr>
            <w:tcW w:w="1134" w:type="dxa"/>
            <w:tcBorders>
              <w:top w:val="nil"/>
              <w:left w:val="nil"/>
              <w:bottom w:val="single" w:sz="4" w:space="0" w:color="auto"/>
              <w:right w:val="single" w:sz="4" w:space="0" w:color="auto"/>
            </w:tcBorders>
            <w:shd w:val="clear" w:color="000000" w:fill="FFFFFF"/>
            <w:vAlign w:val="bottom"/>
            <w:hideMark/>
          </w:tcPr>
          <w:p w:rsidR="001C03B1" w:rsidRPr="00794CE3" w:rsidRDefault="001C03B1" w:rsidP="001C03B1">
            <w:pPr>
              <w:jc w:val="center"/>
              <w:rPr>
                <w:rFonts w:ascii="Times New Roman" w:hAnsi="Times New Roman" w:cs="Times New Roman"/>
                <w:sz w:val="20"/>
                <w:szCs w:val="20"/>
                <w:lang w:val="lv-LV"/>
              </w:rPr>
            </w:pPr>
            <w:r w:rsidRPr="00794CE3">
              <w:rPr>
                <w:rFonts w:ascii="Times New Roman" w:hAnsi="Times New Roman" w:cs="Times New Roman"/>
                <w:sz w:val="20"/>
                <w:szCs w:val="20"/>
                <w:lang w:val="lv-LV"/>
              </w:rPr>
              <w:t>3,5 tabl-dienā/ 10orģ</w:t>
            </w:r>
          </w:p>
        </w:tc>
        <w:tc>
          <w:tcPr>
            <w:tcW w:w="1134" w:type="dxa"/>
            <w:tcBorders>
              <w:top w:val="nil"/>
              <w:left w:val="nil"/>
              <w:bottom w:val="single" w:sz="4" w:space="0" w:color="auto"/>
              <w:right w:val="single" w:sz="4" w:space="0" w:color="auto"/>
            </w:tcBorders>
            <w:shd w:val="clear" w:color="000000" w:fill="FFFFFF"/>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20 308</w:t>
            </w:r>
          </w:p>
        </w:tc>
        <w:tc>
          <w:tcPr>
            <w:tcW w:w="1075" w:type="dxa"/>
            <w:tcBorders>
              <w:top w:val="nil"/>
              <w:left w:val="nil"/>
              <w:bottom w:val="single" w:sz="4" w:space="0" w:color="auto"/>
              <w:right w:val="single" w:sz="4" w:space="0" w:color="auto"/>
            </w:tcBorders>
            <w:shd w:val="clear" w:color="000000" w:fill="FFFFFF"/>
            <w:vAlign w:val="bottom"/>
            <w:hideMark/>
          </w:tcPr>
          <w:p w:rsidR="001C03B1" w:rsidRPr="00794CE3" w:rsidRDefault="001C03B1" w:rsidP="001C03B1">
            <w:pPr>
              <w:jc w:val="center"/>
              <w:rPr>
                <w:rFonts w:ascii="Times New Roman" w:hAnsi="Times New Roman" w:cs="Times New Roman"/>
                <w:sz w:val="20"/>
                <w:szCs w:val="20"/>
                <w:lang w:val="lv-LV"/>
              </w:rPr>
            </w:pPr>
            <w:r w:rsidRPr="00794CE3">
              <w:rPr>
                <w:rFonts w:ascii="Times New Roman" w:hAnsi="Times New Roman" w:cs="Times New Roman"/>
                <w:sz w:val="20"/>
                <w:szCs w:val="20"/>
                <w:lang w:val="lv-LV"/>
              </w:rPr>
              <w:t>4tabl-dienā/ 12orģ</w:t>
            </w:r>
          </w:p>
        </w:tc>
        <w:tc>
          <w:tcPr>
            <w:tcW w:w="1276" w:type="dxa"/>
            <w:tcBorders>
              <w:top w:val="nil"/>
              <w:left w:val="nil"/>
              <w:bottom w:val="single" w:sz="4" w:space="0" w:color="auto"/>
              <w:right w:val="single" w:sz="4" w:space="0" w:color="auto"/>
            </w:tcBorders>
            <w:shd w:val="clear" w:color="000000" w:fill="FFFFFF"/>
            <w:noWrap/>
            <w:vAlign w:val="bottom"/>
            <w:hideMark/>
          </w:tcPr>
          <w:p w:rsidR="001C03B1" w:rsidRPr="00794CE3" w:rsidRDefault="001C03B1" w:rsidP="001C03B1">
            <w:pPr>
              <w:jc w:val="right"/>
              <w:rPr>
                <w:rFonts w:ascii="Times New Roman" w:hAnsi="Times New Roman" w:cs="Times New Roman"/>
                <w:sz w:val="20"/>
                <w:szCs w:val="20"/>
                <w:lang w:val="lv-LV"/>
              </w:rPr>
            </w:pPr>
            <w:r w:rsidRPr="00794CE3">
              <w:rPr>
                <w:rFonts w:ascii="Times New Roman" w:hAnsi="Times New Roman" w:cs="Times New Roman"/>
                <w:sz w:val="20"/>
                <w:szCs w:val="20"/>
                <w:lang w:val="lv-LV"/>
              </w:rPr>
              <w:t>24 369</w:t>
            </w:r>
          </w:p>
        </w:tc>
      </w:tr>
      <w:tr w:rsidR="001C03B1" w:rsidRPr="00794CE3" w:rsidTr="001C03B1">
        <w:trPr>
          <w:trHeight w:val="600"/>
          <w:jc w:val="center"/>
        </w:trPr>
        <w:tc>
          <w:tcPr>
            <w:tcW w:w="1574" w:type="dxa"/>
            <w:tcBorders>
              <w:top w:val="nil"/>
              <w:left w:val="single" w:sz="4" w:space="0" w:color="auto"/>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b/>
                <w:bCs/>
                <w:i/>
                <w:sz w:val="20"/>
                <w:szCs w:val="20"/>
                <w:lang w:val="lv-LV" w:eastAsia="lv-LV"/>
              </w:rPr>
            </w:pPr>
            <w:r w:rsidRPr="00794CE3">
              <w:rPr>
                <w:rFonts w:ascii="Times New Roman" w:eastAsia="Times New Roman" w:hAnsi="Times New Roman" w:cs="Times New Roman"/>
                <w:b/>
                <w:bCs/>
                <w:i/>
                <w:sz w:val="20"/>
                <w:szCs w:val="20"/>
                <w:lang w:val="lv-LV" w:eastAsia="lv-LV"/>
              </w:rPr>
              <w:t>KOPĀ</w:t>
            </w:r>
            <w:r w:rsidR="00794CE3">
              <w:rPr>
                <w:rFonts w:ascii="Times New Roman" w:eastAsia="Times New Roman" w:hAnsi="Times New Roman" w:cs="Times New Roman"/>
                <w:b/>
                <w:bCs/>
                <w:i/>
                <w:sz w:val="20"/>
                <w:szCs w:val="20"/>
                <w:lang w:val="lv-LV" w:eastAsia="lv-LV"/>
              </w:rPr>
              <w:t>:</w:t>
            </w:r>
          </w:p>
        </w:tc>
        <w:tc>
          <w:tcPr>
            <w:tcW w:w="850"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sz w:val="20"/>
                <w:szCs w:val="20"/>
                <w:lang w:val="lv-LV" w:eastAsia="lv-LV"/>
              </w:rPr>
            </w:pPr>
            <w:r w:rsidRPr="00794CE3">
              <w:rPr>
                <w:rFonts w:ascii="Times New Roman" w:eastAsia="Times New Roman" w:hAnsi="Times New Roman" w:cs="Times New Roman"/>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b/>
                <w:bCs/>
                <w:sz w:val="20"/>
                <w:szCs w:val="20"/>
                <w:lang w:val="lv-LV" w:eastAsia="lv-LV"/>
              </w:rPr>
            </w:pPr>
            <w:r w:rsidRPr="00794CE3">
              <w:rPr>
                <w:rFonts w:ascii="Times New Roman" w:eastAsia="Times New Roman" w:hAnsi="Times New Roman" w:cs="Times New Roman"/>
                <w:b/>
                <w:bCs/>
                <w:sz w:val="20"/>
                <w:szCs w:val="20"/>
                <w:lang w:val="lv-LV" w:eastAsia="lv-LV"/>
              </w:rPr>
              <w:t>10</w:t>
            </w:r>
          </w:p>
        </w:tc>
        <w:tc>
          <w:tcPr>
            <w:tcW w:w="1701" w:type="dxa"/>
            <w:tcBorders>
              <w:top w:val="nil"/>
              <w:left w:val="nil"/>
              <w:bottom w:val="single" w:sz="4" w:space="0" w:color="auto"/>
              <w:right w:val="single" w:sz="4" w:space="0" w:color="auto"/>
            </w:tcBorders>
            <w:shd w:val="clear" w:color="auto" w:fill="auto"/>
            <w:vAlign w:val="bottom"/>
            <w:hideMark/>
          </w:tcPr>
          <w:p w:rsidR="001C03B1" w:rsidRPr="00794CE3" w:rsidRDefault="001C03B1" w:rsidP="001C03B1">
            <w:pPr>
              <w:spacing w:after="0" w:line="240" w:lineRule="auto"/>
              <w:jc w:val="center"/>
              <w:rPr>
                <w:rFonts w:ascii="Times New Roman" w:eastAsia="Times New Roman" w:hAnsi="Times New Roman" w:cs="Times New Roman"/>
                <w:b/>
                <w:bCs/>
                <w:sz w:val="20"/>
                <w:szCs w:val="20"/>
                <w:lang w:val="lv-LV" w:eastAsia="lv-LV"/>
              </w:rPr>
            </w:pPr>
            <w:r w:rsidRPr="00794CE3">
              <w:rPr>
                <w:rFonts w:ascii="Times New Roman" w:eastAsia="Times New Roman" w:hAnsi="Times New Roman" w:cs="Times New Roman"/>
                <w:b/>
                <w:bCs/>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rPr>
                <w:rFonts w:ascii="Times New Roman" w:hAnsi="Times New Roman" w:cs="Times New Roman"/>
                <w:sz w:val="20"/>
                <w:szCs w:val="20"/>
                <w:lang w:val="lv-LV"/>
              </w:rPr>
            </w:pPr>
            <w:r w:rsidRPr="00794CE3">
              <w:rPr>
                <w:rFonts w:ascii="Times New Roman" w:hAnsi="Times New Roman" w:cs="Times New Roman"/>
                <w:sz w:val="20"/>
                <w:szCs w:val="20"/>
                <w:lang w:val="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b/>
                <w:bCs/>
                <w:sz w:val="20"/>
                <w:szCs w:val="20"/>
                <w:highlight w:val="yellow"/>
                <w:lang w:val="lv-LV"/>
              </w:rPr>
            </w:pPr>
            <w:r w:rsidRPr="00794CE3">
              <w:rPr>
                <w:rFonts w:ascii="Times New Roman" w:hAnsi="Times New Roman" w:cs="Times New Roman"/>
                <w:b/>
                <w:bCs/>
                <w:sz w:val="20"/>
                <w:szCs w:val="20"/>
                <w:lang w:val="lv-LV"/>
              </w:rPr>
              <w:t>915 544</w:t>
            </w:r>
          </w:p>
        </w:tc>
        <w:tc>
          <w:tcPr>
            <w:tcW w:w="1075"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rPr>
                <w:rFonts w:ascii="Times New Roman" w:hAnsi="Times New Roman" w:cs="Times New Roman"/>
                <w:sz w:val="20"/>
                <w:szCs w:val="20"/>
                <w:highlight w:val="yellow"/>
                <w:lang w:val="lv-LV"/>
              </w:rPr>
            </w:pPr>
            <w:r w:rsidRPr="00794CE3">
              <w:rPr>
                <w:rFonts w:ascii="Times New Roman" w:hAnsi="Times New Roman" w:cs="Times New Roman"/>
                <w:sz w:val="20"/>
                <w:szCs w:val="20"/>
                <w:lang w:val="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1C03B1" w:rsidRPr="00794CE3" w:rsidRDefault="001C03B1" w:rsidP="001C03B1">
            <w:pPr>
              <w:jc w:val="right"/>
              <w:rPr>
                <w:rFonts w:ascii="Times New Roman" w:hAnsi="Times New Roman" w:cs="Times New Roman"/>
                <w:b/>
                <w:bCs/>
                <w:sz w:val="20"/>
                <w:szCs w:val="20"/>
                <w:highlight w:val="yellow"/>
                <w:lang w:val="lv-LV"/>
              </w:rPr>
            </w:pPr>
            <w:r w:rsidRPr="00794CE3">
              <w:rPr>
                <w:rFonts w:ascii="Times New Roman" w:hAnsi="Times New Roman" w:cs="Times New Roman"/>
                <w:b/>
                <w:bCs/>
                <w:sz w:val="20"/>
                <w:szCs w:val="20"/>
                <w:lang w:val="lv-LV"/>
              </w:rPr>
              <w:t>1 021 635</w:t>
            </w:r>
          </w:p>
        </w:tc>
      </w:tr>
    </w:tbl>
    <w:p w:rsidR="00791244" w:rsidRPr="00A2740E" w:rsidRDefault="00791244" w:rsidP="00A2740E">
      <w:pPr>
        <w:pStyle w:val="NoSpacing"/>
        <w:ind w:firstLine="720"/>
        <w:jc w:val="both"/>
        <w:rPr>
          <w:rFonts w:ascii="Times New Roman" w:hAnsi="Times New Roman"/>
          <w:i/>
          <w:sz w:val="20"/>
          <w:szCs w:val="20"/>
        </w:rPr>
      </w:pPr>
      <w:r w:rsidRPr="002040D7">
        <w:rPr>
          <w:rFonts w:ascii="Times New Roman" w:hAnsi="Times New Roman"/>
          <w:i/>
          <w:sz w:val="20"/>
          <w:szCs w:val="20"/>
        </w:rPr>
        <w:t xml:space="preserve">Avots: </w:t>
      </w:r>
      <w:r>
        <w:rPr>
          <w:rFonts w:ascii="Times New Roman" w:hAnsi="Times New Roman"/>
          <w:i/>
          <w:sz w:val="20"/>
          <w:szCs w:val="20"/>
        </w:rPr>
        <w:t>Nacionālais veselības dienests</w:t>
      </w:r>
      <w:r w:rsidRPr="002040D7">
        <w:rPr>
          <w:rFonts w:ascii="Times New Roman" w:hAnsi="Times New Roman"/>
          <w:i/>
          <w:sz w:val="20"/>
          <w:szCs w:val="20"/>
        </w:rPr>
        <w:t xml:space="preserve">    </w:t>
      </w:r>
    </w:p>
    <w:p w:rsidR="00FF6C50" w:rsidRDefault="00794CE3" w:rsidP="00A2740E">
      <w:pPr>
        <w:pStyle w:val="NoSpacing"/>
        <w:spacing w:before="240"/>
        <w:ind w:left="340"/>
        <w:jc w:val="both"/>
        <w:rPr>
          <w:rFonts w:ascii="Times New Roman" w:hAnsi="Times New Roman"/>
          <w:b/>
          <w:sz w:val="28"/>
          <w:szCs w:val="28"/>
        </w:rPr>
      </w:pPr>
      <w:r w:rsidRPr="00FC5F33">
        <w:rPr>
          <w:rFonts w:ascii="Times New Roman" w:hAnsi="Times New Roman"/>
          <w:b/>
          <w:sz w:val="28"/>
          <w:szCs w:val="28"/>
        </w:rPr>
        <w:t xml:space="preserve"> </w:t>
      </w:r>
    </w:p>
    <w:p w:rsidR="00FF6C50" w:rsidRDefault="00FF6C50" w:rsidP="00A2740E">
      <w:pPr>
        <w:pStyle w:val="NoSpacing"/>
        <w:spacing w:before="240"/>
        <w:ind w:left="340"/>
        <w:jc w:val="both"/>
        <w:rPr>
          <w:rFonts w:ascii="Times New Roman" w:hAnsi="Times New Roman"/>
          <w:b/>
          <w:sz w:val="28"/>
          <w:szCs w:val="28"/>
        </w:rPr>
      </w:pPr>
    </w:p>
    <w:p w:rsidR="00794CE3" w:rsidRPr="00FC5F33" w:rsidRDefault="00794CE3" w:rsidP="00A2740E">
      <w:pPr>
        <w:pStyle w:val="NoSpacing"/>
        <w:spacing w:before="240"/>
        <w:ind w:left="340"/>
        <w:jc w:val="both"/>
        <w:rPr>
          <w:rFonts w:ascii="Times New Roman" w:eastAsiaTheme="minorHAnsi" w:hAnsi="Times New Roman" w:cstheme="minorBidi"/>
          <w:i/>
          <w:sz w:val="24"/>
          <w:szCs w:val="24"/>
        </w:rPr>
      </w:pPr>
      <w:r w:rsidRPr="00FC5F33">
        <w:rPr>
          <w:rFonts w:ascii="Times New Roman" w:hAnsi="Times New Roman"/>
          <w:b/>
          <w:sz w:val="28"/>
          <w:szCs w:val="28"/>
        </w:rPr>
        <w:lastRenderedPageBreak/>
        <w:t xml:space="preserve"> 5. </w:t>
      </w:r>
      <w:r w:rsidRPr="00FC5F33">
        <w:rPr>
          <w:rFonts w:ascii="Times New Roman" w:hAnsi="Times New Roman"/>
          <w:b/>
          <w:color w:val="000000"/>
          <w:sz w:val="28"/>
          <w:szCs w:val="28"/>
        </w:rPr>
        <w:t>Veselības aprūpes pakalpojumu pieejamības uzlabošanai</w:t>
      </w:r>
      <w:r w:rsidR="008A32A1" w:rsidRPr="00FC5F33">
        <w:rPr>
          <w:rFonts w:ascii="Times New Roman" w:hAnsi="Times New Roman"/>
          <w:b/>
          <w:color w:val="000000"/>
          <w:sz w:val="28"/>
          <w:szCs w:val="28"/>
        </w:rPr>
        <w:t xml:space="preserve"> (</w:t>
      </w:r>
      <w:r w:rsidR="008A32A1" w:rsidRPr="00FC5F33">
        <w:rPr>
          <w:rFonts w:ascii="Times New Roman" w:hAnsi="Times New Roman"/>
          <w:b/>
          <w:sz w:val="28"/>
          <w:szCs w:val="28"/>
        </w:rPr>
        <w:t>gaidīšanas</w:t>
      </w:r>
      <w:r w:rsidRPr="00FC5F33">
        <w:rPr>
          <w:rFonts w:ascii="Times New Roman" w:hAnsi="Times New Roman"/>
          <w:b/>
          <w:sz w:val="28"/>
          <w:szCs w:val="28"/>
        </w:rPr>
        <w:t xml:space="preserve"> </w:t>
      </w:r>
      <w:r w:rsidR="008A32A1" w:rsidRPr="00FC5F33">
        <w:rPr>
          <w:rFonts w:ascii="Times New Roman" w:hAnsi="Times New Roman"/>
          <w:b/>
          <w:sz w:val="28"/>
          <w:szCs w:val="28"/>
        </w:rPr>
        <w:t xml:space="preserve">laika </w:t>
      </w:r>
      <w:r w:rsidRPr="00FC5F33">
        <w:rPr>
          <w:rFonts w:ascii="Times New Roman" w:hAnsi="Times New Roman"/>
          <w:b/>
          <w:sz w:val="28"/>
          <w:szCs w:val="28"/>
        </w:rPr>
        <w:t>samazināšanai</w:t>
      </w:r>
      <w:r w:rsidR="00FC5F33" w:rsidRPr="00FC5F33">
        <w:rPr>
          <w:rFonts w:ascii="Times New Roman" w:hAnsi="Times New Roman"/>
          <w:b/>
          <w:sz w:val="28"/>
          <w:szCs w:val="28"/>
        </w:rPr>
        <w:t>)</w:t>
      </w:r>
      <w:r w:rsidRPr="00FC5F33">
        <w:rPr>
          <w:rFonts w:ascii="Times New Roman" w:eastAsiaTheme="minorHAnsi" w:hAnsi="Times New Roman" w:cstheme="minorBidi"/>
          <w:i/>
          <w:sz w:val="24"/>
          <w:szCs w:val="24"/>
        </w:rPr>
        <w:t xml:space="preserve"> </w:t>
      </w:r>
    </w:p>
    <w:p w:rsidR="008A32A1" w:rsidRPr="004D6C02" w:rsidRDefault="008A32A1" w:rsidP="008A32A1">
      <w:pPr>
        <w:spacing w:before="120"/>
        <w:jc w:val="both"/>
        <w:rPr>
          <w:rFonts w:ascii="Times New Roman" w:hAnsi="Times New Roman"/>
          <w:i/>
          <w:sz w:val="24"/>
          <w:szCs w:val="24"/>
          <w:lang w:val="lv-LV"/>
        </w:rPr>
      </w:pPr>
      <w:r w:rsidRPr="004D6C02">
        <w:rPr>
          <w:rFonts w:ascii="Times New Roman" w:hAnsi="Times New Roman"/>
          <w:i/>
          <w:sz w:val="24"/>
          <w:szCs w:val="24"/>
          <w:lang w:val="lv-LV"/>
        </w:rPr>
        <w:t>5.1. Papildus nepieciešamie līdzekļi ambulatoro pakalpojumu gaidīšanas laika samazināšanai</w:t>
      </w:r>
    </w:p>
    <w:p w:rsidR="00973F91" w:rsidRDefault="008A32A1" w:rsidP="008A32A1">
      <w:pPr>
        <w:spacing w:after="0" w:line="240" w:lineRule="auto"/>
        <w:ind w:firstLine="720"/>
        <w:jc w:val="both"/>
        <w:rPr>
          <w:rFonts w:ascii="Times New Roman" w:hAnsi="Times New Roman"/>
          <w:sz w:val="24"/>
          <w:szCs w:val="24"/>
          <w:lang w:val="lv-LV"/>
        </w:rPr>
      </w:pPr>
      <w:r w:rsidRPr="003D576E">
        <w:rPr>
          <w:rFonts w:ascii="Times New Roman" w:hAnsi="Times New Roman"/>
          <w:sz w:val="24"/>
          <w:szCs w:val="24"/>
          <w:lang w:val="lv-LV"/>
        </w:rPr>
        <w:t>Lai sekmētu ekonomisku veselības aprūpes budžeta izlietošanu</w:t>
      </w:r>
      <w:r>
        <w:rPr>
          <w:rFonts w:ascii="Times New Roman" w:hAnsi="Times New Roman"/>
          <w:sz w:val="24"/>
          <w:szCs w:val="24"/>
          <w:lang w:val="lv-LV"/>
        </w:rPr>
        <w:t>,</w:t>
      </w:r>
      <w:r w:rsidRPr="003D576E">
        <w:rPr>
          <w:rFonts w:ascii="Times New Roman" w:hAnsi="Times New Roman"/>
          <w:sz w:val="24"/>
          <w:szCs w:val="24"/>
          <w:lang w:val="lv-LV"/>
        </w:rPr>
        <w:t xml:space="preserve"> </w:t>
      </w:r>
      <w:r>
        <w:rPr>
          <w:rFonts w:ascii="Times New Roman" w:hAnsi="Times New Roman"/>
          <w:sz w:val="24"/>
          <w:szCs w:val="24"/>
          <w:lang w:val="lv-LV"/>
        </w:rPr>
        <w:t>2013.gadā tiek turpināti</w:t>
      </w:r>
      <w:r w:rsidRPr="003D576E">
        <w:rPr>
          <w:rFonts w:ascii="Times New Roman" w:hAnsi="Times New Roman"/>
          <w:sz w:val="24"/>
          <w:szCs w:val="24"/>
          <w:lang w:val="lv-LV"/>
        </w:rPr>
        <w:t xml:space="preserve"> 2010.gadā uzsāktie pasākumi ar mērķi veicināt ambulatorā sektora attīstību, paplašinot pakalpojumu skaitu, apjomu un aprūpes kvalitāti. </w:t>
      </w:r>
    </w:p>
    <w:p w:rsidR="00973F91" w:rsidRPr="004D6C02" w:rsidRDefault="00973F91" w:rsidP="00791244">
      <w:pPr>
        <w:spacing w:after="0" w:line="240" w:lineRule="auto"/>
        <w:ind w:firstLine="720"/>
        <w:jc w:val="both"/>
        <w:rPr>
          <w:rFonts w:ascii="Times New Roman" w:hAnsi="Times New Roman"/>
          <w:sz w:val="24"/>
          <w:szCs w:val="24"/>
          <w:lang w:val="lv-LV"/>
        </w:rPr>
      </w:pPr>
      <w:r w:rsidRPr="004D6C02">
        <w:rPr>
          <w:rFonts w:ascii="Times New Roman" w:hAnsi="Times New Roman"/>
          <w:sz w:val="24"/>
          <w:szCs w:val="24"/>
          <w:lang w:val="lv-LV"/>
        </w:rPr>
        <w:t xml:space="preserve">Veselības aprūpes pakalpojumu gaidīšanas laika jēdziens </w:t>
      </w:r>
      <w:r w:rsidR="00AB4552" w:rsidRPr="004D6C02">
        <w:rPr>
          <w:rFonts w:ascii="Times New Roman" w:hAnsi="Times New Roman"/>
          <w:sz w:val="24"/>
          <w:szCs w:val="24"/>
          <w:lang w:val="lv-LV"/>
        </w:rPr>
        <w:t xml:space="preserve">pamatā ir </w:t>
      </w:r>
      <w:r w:rsidRPr="004D6C02">
        <w:rPr>
          <w:rFonts w:ascii="Times New Roman" w:hAnsi="Times New Roman"/>
          <w:sz w:val="24"/>
          <w:szCs w:val="24"/>
          <w:lang w:val="lv-LV"/>
        </w:rPr>
        <w:t xml:space="preserve">attiecināms uz plānveida pakalpojumiem. </w:t>
      </w:r>
      <w:r w:rsidR="00791244" w:rsidRPr="004D6C02">
        <w:rPr>
          <w:rFonts w:ascii="Times New Roman" w:hAnsi="Times New Roman"/>
          <w:sz w:val="24"/>
          <w:szCs w:val="24"/>
          <w:lang w:val="lv-LV"/>
        </w:rPr>
        <w:t xml:space="preserve">Gaidīšanas laiks ir laika periods starp  pacienta reģistrēšanās datumu konkrētā ārstniecības iestādē pakalpojuma saņemšanai  un  nozīmētā  pakalpojuma sniegšanas uzsākšanas datumu, tādējādi tas ir izmērāms. </w:t>
      </w:r>
      <w:r w:rsidRPr="004D6C02">
        <w:rPr>
          <w:rFonts w:ascii="Times New Roman" w:hAnsi="Times New Roman"/>
          <w:sz w:val="24"/>
          <w:szCs w:val="24"/>
          <w:lang w:val="lv-LV"/>
        </w:rPr>
        <w:t>Pacienta vajadzības un pakalpojuma saņemšanas steidzamību (gaidīšanas laiks un pacientu sadalījums gaidīšanas sarakstos) jānosaka saskaņā ar  medicīniskiem kritērijiem, salīdzinot pacientu veselības stāvokli un riska faktoru</w:t>
      </w:r>
      <w:r w:rsidR="00791244" w:rsidRPr="004D6C02">
        <w:rPr>
          <w:rFonts w:ascii="Times New Roman" w:hAnsi="Times New Roman"/>
          <w:sz w:val="24"/>
          <w:szCs w:val="24"/>
          <w:lang w:val="lv-LV"/>
        </w:rPr>
        <w:t xml:space="preserve"> izvērtējumu. </w:t>
      </w:r>
      <w:r w:rsidRPr="004D6C02">
        <w:rPr>
          <w:rFonts w:ascii="Times New Roman" w:hAnsi="Times New Roman"/>
          <w:sz w:val="24"/>
          <w:szCs w:val="24"/>
          <w:lang w:val="lv-LV"/>
        </w:rPr>
        <w:t>Akūtu saslimšanu gadījumos pakalpojumus jāsniedz iespējami ātri,  neveidojot pacientu gaidīšanas sarakstus.</w:t>
      </w:r>
      <w:r w:rsidR="00791244" w:rsidRPr="004D6C02">
        <w:rPr>
          <w:rFonts w:ascii="Times New Roman" w:hAnsi="Times New Roman"/>
          <w:sz w:val="24"/>
          <w:szCs w:val="24"/>
          <w:lang w:val="lv-LV"/>
        </w:rPr>
        <w:t xml:space="preserve"> </w:t>
      </w:r>
    </w:p>
    <w:p w:rsidR="00973F91" w:rsidRDefault="00973F91" w:rsidP="00973F91">
      <w:pPr>
        <w:spacing w:after="0" w:line="240" w:lineRule="auto"/>
        <w:ind w:firstLine="720"/>
        <w:jc w:val="both"/>
        <w:rPr>
          <w:rFonts w:ascii="Times New Roman" w:hAnsi="Times New Roman"/>
          <w:sz w:val="24"/>
          <w:szCs w:val="24"/>
        </w:rPr>
      </w:pPr>
      <w:r>
        <w:rPr>
          <w:rFonts w:ascii="Times New Roman" w:hAnsi="Times New Roman"/>
          <w:sz w:val="24"/>
          <w:szCs w:val="24"/>
        </w:rPr>
        <w:t xml:space="preserve">Gaidīšanas laika garantijas neattiecas uz gadījumiem, </w:t>
      </w:r>
      <w:proofErr w:type="gramStart"/>
      <w:r>
        <w:rPr>
          <w:rFonts w:ascii="Times New Roman" w:hAnsi="Times New Roman"/>
          <w:sz w:val="24"/>
          <w:szCs w:val="24"/>
        </w:rPr>
        <w:t>ja</w:t>
      </w:r>
      <w:proofErr w:type="gramEnd"/>
      <w:r>
        <w:rPr>
          <w:rFonts w:ascii="Times New Roman" w:hAnsi="Times New Roman"/>
          <w:sz w:val="24"/>
          <w:szCs w:val="24"/>
        </w:rPr>
        <w:t>:</w:t>
      </w:r>
    </w:p>
    <w:p w:rsidR="00973F91" w:rsidRDefault="00973F91" w:rsidP="00973F91">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pacients pats atsakās no viņam piedāvātā pakalpojuma saņemšanas datuma vai ārstniecības iestādes;</w:t>
      </w:r>
    </w:p>
    <w:p w:rsidR="00973F91" w:rsidRDefault="00973F91" w:rsidP="00973F91">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pacients ir izvēlējies konkrētu ārstu un nevēlas saņemt cita ārsta pakalpojumu;</w:t>
      </w:r>
    </w:p>
    <w:p w:rsidR="00973F91" w:rsidRDefault="00973F91" w:rsidP="00973F91">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slimnieka dinamiskās novērošanas standartā ir paredzēts cits pakalpojuma saņemšanas periodiskums;</w:t>
      </w:r>
    </w:p>
    <w:p w:rsidR="00D70A6F" w:rsidRPr="00973F91" w:rsidRDefault="00973F91" w:rsidP="00973F91">
      <w:pPr>
        <w:pStyle w:val="ListParagraph"/>
        <w:numPr>
          <w:ilvl w:val="0"/>
          <w:numId w:val="9"/>
        </w:numPr>
        <w:spacing w:after="0" w:line="240" w:lineRule="auto"/>
        <w:jc w:val="both"/>
        <w:rPr>
          <w:rFonts w:ascii="Times New Roman" w:hAnsi="Times New Roman"/>
          <w:sz w:val="24"/>
          <w:szCs w:val="24"/>
        </w:rPr>
      </w:pPr>
      <w:proofErr w:type="gramStart"/>
      <w:r>
        <w:rPr>
          <w:rFonts w:ascii="Times New Roman" w:hAnsi="Times New Roman"/>
          <w:sz w:val="24"/>
          <w:szCs w:val="24"/>
        </w:rPr>
        <w:t>pirms</w:t>
      </w:r>
      <w:proofErr w:type="gramEnd"/>
      <w:r>
        <w:rPr>
          <w:rFonts w:ascii="Times New Roman" w:hAnsi="Times New Roman"/>
          <w:sz w:val="24"/>
          <w:szCs w:val="24"/>
        </w:rPr>
        <w:t xml:space="preserve"> nepieciešamā plānveida pakalpojuma saņemšanas pacientam nepieciešams saņemt  citus veselības aprūpes pakalpojumus.</w:t>
      </w:r>
    </w:p>
    <w:p w:rsidR="00D70A6F" w:rsidRDefault="00D70A6F" w:rsidP="00973F91">
      <w:pPr>
        <w:spacing w:before="120" w:after="0" w:line="240" w:lineRule="auto"/>
        <w:ind w:firstLine="720"/>
        <w:jc w:val="both"/>
        <w:rPr>
          <w:rFonts w:ascii="Times New Roman" w:hAnsi="Times New Roman"/>
          <w:sz w:val="24"/>
          <w:szCs w:val="24"/>
        </w:rPr>
      </w:pPr>
      <w:proofErr w:type="gramStart"/>
      <w:r>
        <w:rPr>
          <w:rFonts w:ascii="Times New Roman" w:hAnsi="Times New Roman"/>
          <w:sz w:val="24"/>
          <w:szCs w:val="24"/>
        </w:rPr>
        <w:t>Veselības ministrijas valsts budžeta a</w:t>
      </w:r>
      <w:r w:rsidRPr="008A32A1">
        <w:rPr>
          <w:rFonts w:ascii="Times New Roman" w:hAnsi="Times New Roman"/>
          <w:sz w:val="24"/>
          <w:szCs w:val="24"/>
        </w:rPr>
        <w:t>pakšprogrammas 33.01.00.</w:t>
      </w:r>
      <w:proofErr w:type="gramEnd"/>
      <w:r w:rsidRPr="008A32A1">
        <w:rPr>
          <w:rFonts w:ascii="Times New Roman" w:hAnsi="Times New Roman"/>
          <w:sz w:val="24"/>
          <w:szCs w:val="24"/>
        </w:rPr>
        <w:t xml:space="preserve"> “Ārstniecība” ietvaros </w:t>
      </w:r>
      <w:r>
        <w:rPr>
          <w:rFonts w:ascii="Times New Roman" w:hAnsi="Times New Roman"/>
          <w:sz w:val="24"/>
          <w:szCs w:val="24"/>
        </w:rPr>
        <w:t>tiek nodrošināta</w:t>
      </w:r>
      <w:r w:rsidRPr="008A32A1">
        <w:rPr>
          <w:rFonts w:ascii="Times New Roman" w:hAnsi="Times New Roman"/>
          <w:sz w:val="24"/>
          <w:szCs w:val="24"/>
        </w:rPr>
        <w:t xml:space="preserve"> ārstniecības iestādēm, kuras sniedz ambulatoros un stacionāros veselīb</w:t>
      </w:r>
      <w:r>
        <w:rPr>
          <w:rFonts w:ascii="Times New Roman" w:hAnsi="Times New Roman"/>
          <w:sz w:val="24"/>
          <w:szCs w:val="24"/>
        </w:rPr>
        <w:t>as aprūpes pakalpojumus, samaksa par sniegtajiem</w:t>
      </w:r>
      <w:r w:rsidRPr="008A32A1">
        <w:rPr>
          <w:rFonts w:ascii="Times New Roman" w:hAnsi="Times New Roman"/>
          <w:sz w:val="24"/>
          <w:szCs w:val="24"/>
        </w:rPr>
        <w:t xml:space="preserve"> </w:t>
      </w:r>
      <w:r>
        <w:rPr>
          <w:rFonts w:ascii="Times New Roman" w:hAnsi="Times New Roman"/>
          <w:sz w:val="24"/>
          <w:szCs w:val="24"/>
        </w:rPr>
        <w:t>veselības aprūpes pakalpojumiem, tai skaitā</w:t>
      </w:r>
      <w:r w:rsidRPr="008A32A1">
        <w:rPr>
          <w:rFonts w:ascii="Times New Roman" w:hAnsi="Times New Roman"/>
          <w:sz w:val="24"/>
          <w:szCs w:val="24"/>
        </w:rPr>
        <w:t xml:space="preserve"> tiek veikti arī  starpvalstu norēķini ar Eiropas Savienības, Eiropas Ekonomiskās zonas dalībvalstīm un Šveices Konfederāciju, kā arī norēķini prasību izpildei, kuras noteiktas veselības aprūpi regulējošos starptautiskajos līgumos. </w:t>
      </w:r>
      <w:r w:rsidRPr="00C354F7">
        <w:rPr>
          <w:rFonts w:ascii="Times New Roman" w:hAnsi="Times New Roman"/>
          <w:color w:val="000000"/>
          <w:sz w:val="24"/>
          <w:szCs w:val="24"/>
        </w:rPr>
        <w:t xml:space="preserve">Samaksa </w:t>
      </w:r>
      <w:r w:rsidRPr="00C354F7">
        <w:rPr>
          <w:rFonts w:ascii="Times New Roman" w:hAnsi="Times New Roman"/>
          <w:sz w:val="24"/>
          <w:szCs w:val="24"/>
        </w:rPr>
        <w:t xml:space="preserve">par ambulatorās </w:t>
      </w:r>
      <w:proofErr w:type="gramStart"/>
      <w:r w:rsidRPr="00C354F7">
        <w:rPr>
          <w:rFonts w:ascii="Times New Roman" w:hAnsi="Times New Roman"/>
          <w:sz w:val="24"/>
          <w:szCs w:val="24"/>
        </w:rPr>
        <w:t>un</w:t>
      </w:r>
      <w:proofErr w:type="gramEnd"/>
      <w:r w:rsidRPr="00C354F7">
        <w:rPr>
          <w:rFonts w:ascii="Times New Roman" w:hAnsi="Times New Roman"/>
          <w:sz w:val="24"/>
          <w:szCs w:val="24"/>
        </w:rPr>
        <w:t xml:space="preserve"> stacionārās veselības aprūpes pakalpojumiem tiek veikta saskaņā ar M</w:t>
      </w:r>
      <w:r>
        <w:rPr>
          <w:rFonts w:ascii="Times New Roman" w:hAnsi="Times New Roman"/>
          <w:sz w:val="24"/>
          <w:szCs w:val="24"/>
        </w:rPr>
        <w:t xml:space="preserve">inistru kabineta 2006. </w:t>
      </w:r>
      <w:proofErr w:type="gramStart"/>
      <w:r>
        <w:rPr>
          <w:rFonts w:ascii="Times New Roman" w:hAnsi="Times New Roman"/>
          <w:sz w:val="24"/>
          <w:szCs w:val="24"/>
        </w:rPr>
        <w:t>gada</w:t>
      </w:r>
      <w:proofErr w:type="gramEnd"/>
      <w:r>
        <w:rPr>
          <w:rFonts w:ascii="Times New Roman" w:hAnsi="Times New Roman"/>
          <w:sz w:val="24"/>
          <w:szCs w:val="24"/>
        </w:rPr>
        <w:t xml:space="preserve"> 19.</w:t>
      </w:r>
      <w:r w:rsidRPr="00C354F7">
        <w:rPr>
          <w:rFonts w:ascii="Times New Roman" w:hAnsi="Times New Roman"/>
          <w:sz w:val="24"/>
          <w:szCs w:val="24"/>
        </w:rPr>
        <w:t xml:space="preserve">decembra noteikumos Nr.1046 „Veselības aprūpes organizēšanas un finansēšanas kārtība” (turpmāk – Noteikumi Nr.1046.) </w:t>
      </w:r>
      <w:r>
        <w:rPr>
          <w:rFonts w:ascii="Times New Roman" w:hAnsi="Times New Roman"/>
          <w:sz w:val="24"/>
          <w:szCs w:val="24"/>
        </w:rPr>
        <w:t>paredzētajiem</w:t>
      </w:r>
      <w:r w:rsidRPr="00C354F7">
        <w:rPr>
          <w:rFonts w:ascii="Times New Roman" w:hAnsi="Times New Roman"/>
          <w:sz w:val="24"/>
          <w:szCs w:val="24"/>
        </w:rPr>
        <w:t xml:space="preserve"> tarifiem un apmaksas nosacījumiem un par starpvalstu norēķiniem Eiropas Savienības un Latvijas Republikas normatīvajos aktos </w:t>
      </w:r>
      <w:r>
        <w:rPr>
          <w:rFonts w:ascii="Times New Roman" w:hAnsi="Times New Roman"/>
          <w:sz w:val="24"/>
          <w:szCs w:val="24"/>
        </w:rPr>
        <w:t xml:space="preserve"> paredzētajā  kārtībā un apjomā</w:t>
      </w:r>
      <w:r w:rsidR="00AB4552">
        <w:rPr>
          <w:rFonts w:ascii="Times New Roman" w:hAnsi="Times New Roman"/>
          <w:sz w:val="24"/>
          <w:szCs w:val="24"/>
        </w:rPr>
        <w:t>.</w:t>
      </w:r>
    </w:p>
    <w:p w:rsidR="00D70A6F" w:rsidRPr="00C354F7" w:rsidRDefault="00D70A6F" w:rsidP="00D70A6F">
      <w:pPr>
        <w:spacing w:after="0" w:line="240" w:lineRule="auto"/>
        <w:ind w:firstLine="720"/>
        <w:jc w:val="both"/>
        <w:rPr>
          <w:rFonts w:ascii="Times New Roman" w:hAnsi="Times New Roman"/>
          <w:sz w:val="24"/>
          <w:szCs w:val="24"/>
        </w:rPr>
      </w:pPr>
      <w:r w:rsidRPr="00C354F7">
        <w:rPr>
          <w:rFonts w:ascii="Times New Roman" w:hAnsi="Times New Roman"/>
          <w:sz w:val="24"/>
          <w:szCs w:val="24"/>
        </w:rPr>
        <w:t xml:space="preserve">Noteikumi Nr.1046 paredz, ka līdzekļu sadalījumu </w:t>
      </w:r>
      <w:r>
        <w:rPr>
          <w:rFonts w:ascii="Times New Roman" w:hAnsi="Times New Roman"/>
          <w:sz w:val="24"/>
          <w:szCs w:val="24"/>
        </w:rPr>
        <w:t>veselības aprūpes pakalpojumu ap</w:t>
      </w:r>
      <w:r w:rsidRPr="00C354F7">
        <w:rPr>
          <w:rFonts w:ascii="Times New Roman" w:hAnsi="Times New Roman"/>
          <w:sz w:val="24"/>
          <w:szCs w:val="24"/>
        </w:rPr>
        <w:t xml:space="preserve">maksai </w:t>
      </w:r>
      <w:r>
        <w:rPr>
          <w:rFonts w:ascii="Times New Roman" w:hAnsi="Times New Roman"/>
          <w:sz w:val="24"/>
          <w:szCs w:val="24"/>
        </w:rPr>
        <w:t xml:space="preserve">Nacionālais veselības dienests </w:t>
      </w:r>
      <w:proofErr w:type="gramStart"/>
      <w:r>
        <w:rPr>
          <w:rFonts w:ascii="Times New Roman" w:hAnsi="Times New Roman"/>
          <w:sz w:val="24"/>
          <w:szCs w:val="24"/>
        </w:rPr>
        <w:t>plāno</w:t>
      </w:r>
      <w:proofErr w:type="gramEnd"/>
      <w:r w:rsidRPr="00C354F7">
        <w:rPr>
          <w:rFonts w:ascii="Times New Roman" w:hAnsi="Times New Roman"/>
          <w:sz w:val="24"/>
          <w:szCs w:val="24"/>
        </w:rPr>
        <w:t>:</w:t>
      </w:r>
    </w:p>
    <w:p w:rsidR="00D70A6F" w:rsidRPr="00AB4552" w:rsidRDefault="00D70A6F" w:rsidP="00AB4552">
      <w:pPr>
        <w:pStyle w:val="ListParagraph"/>
        <w:numPr>
          <w:ilvl w:val="0"/>
          <w:numId w:val="9"/>
        </w:numPr>
        <w:spacing w:after="0" w:line="240" w:lineRule="auto"/>
        <w:jc w:val="both"/>
        <w:rPr>
          <w:rFonts w:ascii="Times New Roman" w:hAnsi="Times New Roman"/>
          <w:sz w:val="24"/>
          <w:szCs w:val="24"/>
        </w:rPr>
      </w:pPr>
      <w:r w:rsidRPr="00AB4552">
        <w:rPr>
          <w:rFonts w:ascii="Times New Roman" w:hAnsi="Times New Roman"/>
          <w:sz w:val="24"/>
          <w:szCs w:val="24"/>
        </w:rPr>
        <w:t>samaksai par ambulatorajiem veselības aprūpes pakalpojumiem – ne mazāk kā 45 % apmērā;</w:t>
      </w:r>
    </w:p>
    <w:p w:rsidR="00AB4552" w:rsidRDefault="00D70A6F" w:rsidP="00AB4552">
      <w:pPr>
        <w:pStyle w:val="ListParagraph"/>
        <w:numPr>
          <w:ilvl w:val="0"/>
          <w:numId w:val="9"/>
        </w:numPr>
        <w:spacing w:after="0" w:line="240" w:lineRule="auto"/>
        <w:jc w:val="both"/>
        <w:rPr>
          <w:rFonts w:ascii="Times New Roman" w:hAnsi="Times New Roman"/>
          <w:sz w:val="24"/>
          <w:szCs w:val="24"/>
        </w:rPr>
      </w:pPr>
      <w:r w:rsidRPr="00AB4552">
        <w:rPr>
          <w:rFonts w:ascii="Times New Roman" w:hAnsi="Times New Roman"/>
          <w:sz w:val="24"/>
          <w:szCs w:val="24"/>
        </w:rPr>
        <w:t xml:space="preserve">samaksai par stacionārajiem veselības aprūpes pakalpojumiem – ne vairāk kā 53 % apmērā; </w:t>
      </w:r>
    </w:p>
    <w:p w:rsidR="00D70A6F" w:rsidRPr="00AB4552" w:rsidRDefault="00D70A6F" w:rsidP="00AB4552">
      <w:pPr>
        <w:pStyle w:val="ListParagraph"/>
        <w:numPr>
          <w:ilvl w:val="0"/>
          <w:numId w:val="9"/>
        </w:numPr>
        <w:spacing w:after="0" w:line="240" w:lineRule="auto"/>
        <w:jc w:val="both"/>
        <w:rPr>
          <w:rFonts w:ascii="Times New Roman" w:hAnsi="Times New Roman"/>
          <w:sz w:val="24"/>
          <w:szCs w:val="24"/>
        </w:rPr>
      </w:pPr>
      <w:proofErr w:type="gramStart"/>
      <w:r w:rsidRPr="00AB4552">
        <w:rPr>
          <w:rFonts w:ascii="Times New Roman" w:hAnsi="Times New Roman"/>
          <w:sz w:val="24"/>
          <w:szCs w:val="24"/>
        </w:rPr>
        <w:t>samaksai</w:t>
      </w:r>
      <w:proofErr w:type="gramEnd"/>
      <w:r w:rsidRPr="00AB4552">
        <w:rPr>
          <w:rFonts w:ascii="Times New Roman" w:hAnsi="Times New Roman"/>
          <w:sz w:val="24"/>
          <w:szCs w:val="24"/>
        </w:rPr>
        <w:t xml:space="preserve"> par starpvalstu norēķiniem ar Eiropas Savienības un Eiropas Ekonomikas zonas (turpmāk – EEZ) dalībvalstīm un Šveices Konfederāciju (turpmāk – Šveice), ar ārstniecības iestādēm par ES un EEZ dalībvalstu un Šveices iedzīvotāju Latvijas Republikā saņemtajiem veselības aprūpes pakalpojumiem, kā arī prasību izpildei, kuras noteiktas veselības aprūpes jomu regulējošajos starptautiskajos līgumos – ne vairāk kā 2 % apmērā.</w:t>
      </w:r>
    </w:p>
    <w:p w:rsidR="00D70A6F" w:rsidRPr="00D70A6F" w:rsidRDefault="00D70A6F" w:rsidP="00791244">
      <w:pPr>
        <w:spacing w:before="120" w:after="0" w:line="240" w:lineRule="auto"/>
        <w:ind w:firstLine="357"/>
        <w:jc w:val="both"/>
        <w:rPr>
          <w:rFonts w:ascii="Times New Roman" w:eastAsia="Times New Roman" w:hAnsi="Times New Roman"/>
          <w:bCs/>
          <w:color w:val="000000"/>
          <w:sz w:val="24"/>
          <w:szCs w:val="24"/>
          <w:lang w:eastAsia="lv-LV"/>
        </w:rPr>
      </w:pPr>
      <w:r w:rsidRPr="00AB4552">
        <w:rPr>
          <w:rFonts w:ascii="Times New Roman" w:hAnsi="Times New Roman"/>
          <w:sz w:val="24"/>
          <w:szCs w:val="24"/>
        </w:rPr>
        <w:t>2012</w:t>
      </w:r>
      <w:proofErr w:type="gramStart"/>
      <w:r w:rsidRPr="00AB4552">
        <w:rPr>
          <w:rFonts w:ascii="Times New Roman" w:hAnsi="Times New Roman"/>
          <w:sz w:val="24"/>
          <w:szCs w:val="24"/>
        </w:rPr>
        <w:t>.gadā</w:t>
      </w:r>
      <w:proofErr w:type="gramEnd"/>
      <w:r w:rsidRPr="00AB4552">
        <w:rPr>
          <w:rFonts w:ascii="Times New Roman" w:hAnsi="Times New Roman"/>
          <w:sz w:val="24"/>
          <w:szCs w:val="24"/>
        </w:rPr>
        <w:t xml:space="preserve"> apmaksa par veselības aprūpes pakalpojumiem tika veikta divās apakšprogrammās: 33.01.00 „Ārstniecība” un 33.13.00 „</w:t>
      </w:r>
      <w:r w:rsidRPr="00AB4552">
        <w:rPr>
          <w:rFonts w:ascii="Times New Roman" w:eastAsia="Times New Roman" w:hAnsi="Times New Roman"/>
          <w:bCs/>
          <w:color w:val="000000"/>
          <w:sz w:val="24"/>
          <w:szCs w:val="24"/>
          <w:lang w:eastAsia="lv-LV"/>
        </w:rPr>
        <w:t>Sociālās drošības tīkla stratēģijas pasākumu īstenošana”.  2013</w:t>
      </w:r>
      <w:proofErr w:type="gramStart"/>
      <w:r w:rsidRPr="00AB4552">
        <w:rPr>
          <w:rFonts w:ascii="Times New Roman" w:eastAsia="Times New Roman" w:hAnsi="Times New Roman"/>
          <w:bCs/>
          <w:color w:val="000000"/>
          <w:sz w:val="24"/>
          <w:szCs w:val="24"/>
          <w:lang w:eastAsia="lv-LV"/>
        </w:rPr>
        <w:t>.gadā</w:t>
      </w:r>
      <w:proofErr w:type="gramEnd"/>
      <w:r w:rsidRPr="00AB4552">
        <w:rPr>
          <w:rFonts w:ascii="Times New Roman" w:eastAsia="Times New Roman" w:hAnsi="Times New Roman"/>
          <w:bCs/>
          <w:color w:val="000000"/>
          <w:sz w:val="24"/>
          <w:szCs w:val="24"/>
          <w:lang w:eastAsia="lv-LV"/>
        </w:rPr>
        <w:t xml:space="preserve"> finansējums apakšprogrammai 33.13.00 vairs netiek plānots atsevišķi, </w:t>
      </w:r>
      <w:r w:rsidRPr="00AB4552">
        <w:rPr>
          <w:rFonts w:ascii="Times New Roman" w:hAnsi="Times New Roman"/>
          <w:sz w:val="24"/>
          <w:szCs w:val="24"/>
        </w:rPr>
        <w:t>finansējumu plānojot apakšprogrammā 33.01.00 „Ārstniecība”</w:t>
      </w:r>
      <w:r w:rsidR="00973F91" w:rsidRPr="00AB4552">
        <w:rPr>
          <w:rFonts w:ascii="Times New Roman" w:hAnsi="Times New Roman"/>
          <w:sz w:val="24"/>
          <w:szCs w:val="24"/>
        </w:rPr>
        <w:t xml:space="preserve"> (Ministru kab</w:t>
      </w:r>
      <w:r w:rsidR="00AB4552">
        <w:rPr>
          <w:rFonts w:ascii="Times New Roman" w:hAnsi="Times New Roman"/>
          <w:sz w:val="24"/>
          <w:szCs w:val="24"/>
        </w:rPr>
        <w:t>ienta 2012.gada 16.augsta protok</w:t>
      </w:r>
      <w:r w:rsidR="00973F91" w:rsidRPr="00AB4552">
        <w:rPr>
          <w:rFonts w:ascii="Times New Roman" w:hAnsi="Times New Roman"/>
          <w:sz w:val="24"/>
          <w:szCs w:val="24"/>
        </w:rPr>
        <w:t>ols Nr.46, 24.</w:t>
      </w:r>
      <w:r w:rsidR="00973F91" w:rsidRPr="00AB4552">
        <w:rPr>
          <w:rFonts w:ascii="Times New Roman" w:hAnsi="Times New Roman" w:cs="Times New Roman"/>
          <w:sz w:val="24"/>
          <w:szCs w:val="24"/>
        </w:rPr>
        <w:t>§</w:t>
      </w:r>
      <w:r w:rsidR="00973F91" w:rsidRPr="00AB4552">
        <w:rPr>
          <w:rFonts w:ascii="Times New Roman" w:hAnsi="Times New Roman"/>
          <w:sz w:val="24"/>
          <w:szCs w:val="24"/>
        </w:rPr>
        <w:t>)</w:t>
      </w:r>
      <w:r w:rsidRPr="00AB4552">
        <w:rPr>
          <w:rFonts w:ascii="Times New Roman" w:hAnsi="Times New Roman"/>
          <w:sz w:val="24"/>
          <w:szCs w:val="24"/>
        </w:rPr>
        <w:t>. 2012.gadā apropriācijas pārdales kārtībā apakšpr</w:t>
      </w:r>
      <w:r w:rsidR="00AB4552">
        <w:rPr>
          <w:rFonts w:ascii="Times New Roman" w:hAnsi="Times New Roman"/>
          <w:sz w:val="24"/>
          <w:szCs w:val="24"/>
        </w:rPr>
        <w:t xml:space="preserve">ogrammai 33.01.00 ,,Ārstniecība” </w:t>
      </w:r>
      <w:r w:rsidRPr="00AB4552">
        <w:rPr>
          <w:rFonts w:ascii="Times New Roman" w:hAnsi="Times New Roman"/>
          <w:sz w:val="24"/>
          <w:szCs w:val="24"/>
        </w:rPr>
        <w:t xml:space="preserve">tika </w:t>
      </w:r>
      <w:r w:rsidRPr="00AB4552">
        <w:rPr>
          <w:rFonts w:ascii="Times New Roman" w:hAnsi="Times New Roman"/>
          <w:sz w:val="24"/>
          <w:szCs w:val="24"/>
        </w:rPr>
        <w:lastRenderedPageBreak/>
        <w:t>palielināta dotācija no vispārējiem ieņēmumiem, pārdalot līdzekļus no apakšprogrammas 39.01.00 „Infekcijas slimību specifiskā</w:t>
      </w:r>
      <w:r w:rsidRPr="00455D63">
        <w:rPr>
          <w:rFonts w:ascii="Times New Roman" w:hAnsi="Times New Roman"/>
          <w:sz w:val="24"/>
          <w:szCs w:val="24"/>
        </w:rPr>
        <w:t xml:space="preserve"> diagnostika, ārstēš</w:t>
      </w:r>
      <w:r>
        <w:rPr>
          <w:rFonts w:ascii="Times New Roman" w:hAnsi="Times New Roman"/>
          <w:sz w:val="24"/>
          <w:szCs w:val="24"/>
        </w:rPr>
        <w:t>ana un profil</w:t>
      </w:r>
      <w:r w:rsidRPr="00455D63">
        <w:rPr>
          <w:rFonts w:ascii="Times New Roman" w:hAnsi="Times New Roman"/>
          <w:sz w:val="24"/>
          <w:szCs w:val="24"/>
        </w:rPr>
        <w:t xml:space="preserve">akse”, lai nodrošinātu no valsts aģentūras „Latvijas infektoloģijas centrs” pārņemto infekcijas slimību specifiskās diagnostikas, ārstēšanas, profilakses, metodoloģijas un klīnisko pētījumu funkciju īstenošanu SIA „Rīgas Austrumu klīniskā universitātes slimnīca” saistībā ar valsts aģentūras „Latvijas infektoloģijas centrs” reorganizāciju (izdevumu palielinājums 8 145 045 latu apmērā 9 mēnešu periodam). </w:t>
      </w:r>
    </w:p>
    <w:p w:rsidR="00AB4552" w:rsidRDefault="00AB4552" w:rsidP="00AB4552">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Atbilstoši citu valstu pieredzei, gaidīšanas sarakstus var veidot detalizētus (katram pakalpojumu veidam vai to grupām) vai vispārīgus - tikai pamatgrupām (ģimenes ārstiem, ambulatorajiem, stacionārajiem pakalpojumiem).</w:t>
      </w:r>
      <w:proofErr w:type="gramEnd"/>
      <w:r>
        <w:rPr>
          <w:rFonts w:ascii="Times New Roman" w:hAnsi="Times New Roman"/>
          <w:sz w:val="24"/>
          <w:szCs w:val="24"/>
        </w:rPr>
        <w:t xml:space="preserve"> Maksimālā gaidīšanas laika noteikšana nozīmē, ka valsts garantē, ka vismaz 90% pacientu sev nepieciešamo plānveida pakalpojumu saņems Latvijas ārstniecības iestādēs līdz maksimālā gaidīšanas laika beigām. Ja pacients pakalpojumu nesaņem vai ir pamatotas bažas, ka pakalpojumu šai laikā izvēlētajā iestādē nevarēs saņemt,  kompetentai valsts institūcijai pēc pacienta iesnieguma ir jānodrošina pakalpojuma saņemšana, vai nu iesakot  citu ārstniecības iestādi, kurā nav rindas, vai  piešķirot papildus līdzekļus pakalpojumu saņemšanai Latvijā, ja pakalpojumu nevar saņemt finanšu līdzekļu trūkuma dēļ. Vienlaicīgi maksimālā gaidīšanas laika pārsniegšana lielākā skaitā gadījumu nekā pieļaujams</w:t>
      </w:r>
      <w:proofErr w:type="gramStart"/>
      <w:r>
        <w:rPr>
          <w:rFonts w:ascii="Times New Roman" w:hAnsi="Times New Roman"/>
          <w:sz w:val="24"/>
          <w:szCs w:val="24"/>
        </w:rPr>
        <w:t>,  ir</w:t>
      </w:r>
      <w:proofErr w:type="gramEnd"/>
      <w:r>
        <w:rPr>
          <w:rFonts w:ascii="Times New Roman" w:hAnsi="Times New Roman"/>
          <w:sz w:val="24"/>
          <w:szCs w:val="24"/>
        </w:rPr>
        <w:t xml:space="preserve"> pamats papildus finansējuma pieprasīšanai, lai valsts pildītu savas deklarētās saistības attiecībā uz pacientu aprūpi. Jāatzīmē, ka konkrēta gaidīšanas laika noteikšana veselības aprūpes pakalpojuma saņemšanai </w:t>
      </w:r>
      <w:proofErr w:type="gramStart"/>
      <w:r>
        <w:rPr>
          <w:rFonts w:ascii="Times New Roman" w:hAnsi="Times New Roman"/>
          <w:sz w:val="24"/>
          <w:szCs w:val="24"/>
        </w:rPr>
        <w:t>dod</w:t>
      </w:r>
      <w:proofErr w:type="gramEnd"/>
      <w:r>
        <w:rPr>
          <w:rFonts w:ascii="Times New Roman" w:hAnsi="Times New Roman"/>
          <w:sz w:val="24"/>
          <w:szCs w:val="24"/>
        </w:rPr>
        <w:t xml:space="preserve"> pacientiem skaidru priekšstatu par valsts iespējām nodrošināt veselības apūpi. </w:t>
      </w:r>
    </w:p>
    <w:p w:rsidR="00AB4552" w:rsidRPr="009109BE" w:rsidRDefault="00AB4552" w:rsidP="00AB4552">
      <w:pPr>
        <w:spacing w:after="0" w:line="240" w:lineRule="auto"/>
        <w:ind w:firstLine="357"/>
        <w:jc w:val="both"/>
        <w:rPr>
          <w:rFonts w:ascii="Times New Roman" w:hAnsi="Times New Roman"/>
          <w:sz w:val="24"/>
          <w:szCs w:val="24"/>
        </w:rPr>
      </w:pPr>
      <w:r w:rsidRPr="009109BE">
        <w:rPr>
          <w:rFonts w:ascii="Times New Roman" w:hAnsi="Times New Roman"/>
          <w:sz w:val="24"/>
          <w:szCs w:val="24"/>
        </w:rPr>
        <w:t>M</w:t>
      </w:r>
      <w:r>
        <w:rPr>
          <w:rFonts w:ascii="Times New Roman" w:hAnsi="Times New Roman"/>
          <w:sz w:val="24"/>
          <w:szCs w:val="24"/>
        </w:rPr>
        <w:t>inistru kabineta Noteikumos Nr.</w:t>
      </w:r>
      <w:r w:rsidRPr="009109BE">
        <w:rPr>
          <w:rFonts w:ascii="Times New Roman" w:hAnsi="Times New Roman"/>
          <w:sz w:val="24"/>
          <w:szCs w:val="24"/>
        </w:rPr>
        <w:t xml:space="preserve">1046 jau ir noteikti </w:t>
      </w:r>
      <w:proofErr w:type="gramStart"/>
      <w:r w:rsidRPr="009109BE">
        <w:rPr>
          <w:rFonts w:ascii="Times New Roman" w:hAnsi="Times New Roman"/>
          <w:sz w:val="24"/>
          <w:szCs w:val="24"/>
        </w:rPr>
        <w:t>maksimālie  gaidīšanas</w:t>
      </w:r>
      <w:proofErr w:type="gramEnd"/>
      <w:r w:rsidRPr="009109BE">
        <w:rPr>
          <w:rFonts w:ascii="Times New Roman" w:hAnsi="Times New Roman"/>
          <w:sz w:val="24"/>
          <w:szCs w:val="24"/>
        </w:rPr>
        <w:t xml:space="preserve"> laiki atsevišķu pakalpojumu saņemšanai:</w:t>
      </w:r>
    </w:p>
    <w:p w:rsidR="00AB4552" w:rsidRPr="0065302E" w:rsidRDefault="00AB4552" w:rsidP="00AB4552">
      <w:pPr>
        <w:pStyle w:val="NoSpacing"/>
        <w:numPr>
          <w:ilvl w:val="0"/>
          <w:numId w:val="8"/>
        </w:numPr>
        <w:rPr>
          <w:rFonts w:ascii="Times New Roman" w:hAnsi="Times New Roman"/>
          <w:sz w:val="24"/>
          <w:szCs w:val="24"/>
        </w:rPr>
      </w:pPr>
      <w:r w:rsidRPr="0065302E">
        <w:rPr>
          <w:rFonts w:ascii="Times New Roman" w:hAnsi="Times New Roman"/>
          <w:sz w:val="24"/>
          <w:szCs w:val="24"/>
        </w:rPr>
        <w:t>Pieņemšana pie ģimenes ārsta – 5 darba dienas;</w:t>
      </w:r>
    </w:p>
    <w:p w:rsidR="00AB4552" w:rsidRPr="0065302E" w:rsidRDefault="00AB4552" w:rsidP="00AB4552">
      <w:pPr>
        <w:pStyle w:val="NoSpacing"/>
        <w:numPr>
          <w:ilvl w:val="0"/>
          <w:numId w:val="8"/>
        </w:numPr>
        <w:rPr>
          <w:rFonts w:ascii="Times New Roman" w:hAnsi="Times New Roman"/>
          <w:sz w:val="24"/>
          <w:szCs w:val="24"/>
        </w:rPr>
      </w:pPr>
      <w:r w:rsidRPr="0065302E">
        <w:rPr>
          <w:rFonts w:ascii="Times New Roman" w:hAnsi="Times New Roman"/>
          <w:sz w:val="24"/>
          <w:szCs w:val="24"/>
        </w:rPr>
        <w:t>Paātrinātā lielo locītavu endoprotezēšana ar konsīlija lēmumu – 1 gads;</w:t>
      </w:r>
    </w:p>
    <w:p w:rsidR="00AB4552" w:rsidRPr="0065302E" w:rsidRDefault="00AB4552" w:rsidP="00AB4552">
      <w:pPr>
        <w:pStyle w:val="NoSpacing"/>
        <w:numPr>
          <w:ilvl w:val="0"/>
          <w:numId w:val="8"/>
        </w:numPr>
        <w:rPr>
          <w:rFonts w:ascii="Times New Roman" w:hAnsi="Times New Roman"/>
          <w:sz w:val="24"/>
          <w:szCs w:val="24"/>
        </w:rPr>
      </w:pPr>
      <w:r w:rsidRPr="0065302E">
        <w:rPr>
          <w:rFonts w:ascii="Times New Roman" w:hAnsi="Times New Roman"/>
          <w:sz w:val="24"/>
          <w:szCs w:val="24"/>
        </w:rPr>
        <w:t>Personām ar prognozējamo invaliditāti:</w:t>
      </w:r>
    </w:p>
    <w:p w:rsidR="00AB4552" w:rsidRPr="009109BE" w:rsidRDefault="00AB4552" w:rsidP="00AB4552">
      <w:pPr>
        <w:pStyle w:val="NoSpacing"/>
        <w:numPr>
          <w:ilvl w:val="0"/>
          <w:numId w:val="7"/>
        </w:numPr>
        <w:rPr>
          <w:rFonts w:ascii="Times New Roman" w:hAnsi="Times New Roman"/>
          <w:sz w:val="24"/>
          <w:szCs w:val="24"/>
        </w:rPr>
      </w:pPr>
      <w:r>
        <w:rPr>
          <w:rFonts w:ascii="Times New Roman" w:hAnsi="Times New Roman"/>
          <w:sz w:val="24"/>
          <w:szCs w:val="24"/>
        </w:rPr>
        <w:t xml:space="preserve"> ambulatorajiem</w:t>
      </w:r>
      <w:r w:rsidRPr="009109BE">
        <w:rPr>
          <w:rFonts w:ascii="Times New Roman" w:hAnsi="Times New Roman"/>
          <w:sz w:val="24"/>
          <w:szCs w:val="24"/>
        </w:rPr>
        <w:t xml:space="preserve"> veselības aprūpes pakalpojum</w:t>
      </w:r>
      <w:r>
        <w:rPr>
          <w:rFonts w:ascii="Times New Roman" w:hAnsi="Times New Roman"/>
          <w:sz w:val="24"/>
          <w:szCs w:val="24"/>
        </w:rPr>
        <w:t>iem</w:t>
      </w:r>
      <w:r w:rsidRPr="009109BE">
        <w:rPr>
          <w:rFonts w:ascii="Times New Roman" w:hAnsi="Times New Roman"/>
          <w:sz w:val="24"/>
          <w:szCs w:val="24"/>
        </w:rPr>
        <w:t xml:space="preserve"> – 15 darb</w:t>
      </w:r>
      <w:r>
        <w:rPr>
          <w:rFonts w:ascii="Times New Roman" w:hAnsi="Times New Roman"/>
          <w:sz w:val="24"/>
          <w:szCs w:val="24"/>
        </w:rPr>
        <w:t>a dienas</w:t>
      </w:r>
      <w:r w:rsidRPr="009109BE">
        <w:rPr>
          <w:rFonts w:ascii="Times New Roman" w:hAnsi="Times New Roman"/>
          <w:sz w:val="24"/>
          <w:szCs w:val="24"/>
        </w:rPr>
        <w:t xml:space="preserve">; </w:t>
      </w:r>
    </w:p>
    <w:p w:rsidR="00AB4552" w:rsidRPr="009109BE" w:rsidRDefault="00AB4552" w:rsidP="00AB4552">
      <w:pPr>
        <w:pStyle w:val="NoSpacing"/>
        <w:numPr>
          <w:ilvl w:val="0"/>
          <w:numId w:val="7"/>
        </w:numPr>
        <w:rPr>
          <w:rFonts w:ascii="Times New Roman" w:hAnsi="Times New Roman"/>
          <w:sz w:val="24"/>
          <w:szCs w:val="24"/>
        </w:rPr>
      </w:pPr>
      <w:r w:rsidRPr="009109BE">
        <w:rPr>
          <w:rFonts w:ascii="Times New Roman" w:hAnsi="Times New Roman"/>
          <w:sz w:val="24"/>
          <w:szCs w:val="24"/>
        </w:rPr>
        <w:t>plānveida ambulatorās un stacionārās medicīniskās rehabilitācijas pakalpojum</w:t>
      </w:r>
      <w:r>
        <w:rPr>
          <w:rFonts w:ascii="Times New Roman" w:hAnsi="Times New Roman"/>
          <w:sz w:val="24"/>
          <w:szCs w:val="24"/>
        </w:rPr>
        <w:t>iem</w:t>
      </w:r>
      <w:r w:rsidRPr="009109BE">
        <w:rPr>
          <w:rFonts w:ascii="Times New Roman" w:hAnsi="Times New Roman"/>
          <w:sz w:val="24"/>
          <w:szCs w:val="24"/>
        </w:rPr>
        <w:t xml:space="preserve"> – 15 darb</w:t>
      </w:r>
      <w:r>
        <w:rPr>
          <w:rFonts w:ascii="Times New Roman" w:hAnsi="Times New Roman"/>
          <w:sz w:val="24"/>
          <w:szCs w:val="24"/>
        </w:rPr>
        <w:t>a dienas</w:t>
      </w:r>
      <w:r w:rsidRPr="009109BE">
        <w:rPr>
          <w:rFonts w:ascii="Times New Roman" w:hAnsi="Times New Roman"/>
          <w:sz w:val="24"/>
          <w:szCs w:val="24"/>
        </w:rPr>
        <w:t xml:space="preserve">; </w:t>
      </w:r>
    </w:p>
    <w:p w:rsidR="00AB4552" w:rsidRPr="000E75EB" w:rsidRDefault="00AB4552" w:rsidP="00AB4552">
      <w:pPr>
        <w:pStyle w:val="NoSpacing"/>
        <w:numPr>
          <w:ilvl w:val="0"/>
          <w:numId w:val="7"/>
        </w:numPr>
        <w:rPr>
          <w:rFonts w:ascii="Times New Roman" w:hAnsi="Times New Roman"/>
          <w:sz w:val="24"/>
          <w:szCs w:val="24"/>
        </w:rPr>
      </w:pPr>
      <w:r w:rsidRPr="000E75EB">
        <w:rPr>
          <w:rFonts w:ascii="Times New Roman" w:hAnsi="Times New Roman"/>
          <w:sz w:val="24"/>
          <w:szCs w:val="24"/>
        </w:rPr>
        <w:t>plānveida operācijām – 5  mēneši;</w:t>
      </w:r>
    </w:p>
    <w:p w:rsidR="00AB4552" w:rsidRPr="000E75EB" w:rsidRDefault="00AB4552" w:rsidP="00AB4552">
      <w:pPr>
        <w:pStyle w:val="NoSpacing"/>
        <w:rPr>
          <w:rFonts w:ascii="Times New Roman" w:hAnsi="Times New Roman"/>
          <w:sz w:val="24"/>
          <w:szCs w:val="24"/>
        </w:rPr>
      </w:pPr>
      <w:r>
        <w:rPr>
          <w:rFonts w:ascii="Times New Roman" w:hAnsi="Times New Roman"/>
          <w:sz w:val="24"/>
          <w:szCs w:val="24"/>
        </w:rPr>
        <w:t xml:space="preserve">      4. </w:t>
      </w:r>
      <w:r w:rsidRPr="000E75EB">
        <w:rPr>
          <w:rFonts w:ascii="Times New Roman" w:hAnsi="Times New Roman"/>
          <w:sz w:val="24"/>
          <w:szCs w:val="24"/>
        </w:rPr>
        <w:t>Neatliekamās medicīniskās palīdzības izsaukumiem 75 % gadījumu:</w:t>
      </w:r>
    </w:p>
    <w:p w:rsidR="00AB4552" w:rsidRDefault="00AB4552" w:rsidP="00AB4552">
      <w:pPr>
        <w:pStyle w:val="NoSpacing"/>
        <w:rPr>
          <w:rFonts w:ascii="Times New Roman" w:eastAsia="Times New Roman" w:hAnsi="Times New Roman"/>
          <w:sz w:val="24"/>
          <w:szCs w:val="24"/>
          <w:lang w:eastAsia="lv-LV"/>
        </w:rPr>
      </w:pPr>
      <w:r>
        <w:rPr>
          <w:rFonts w:ascii="Times New Roman" w:hAnsi="Times New Roman"/>
          <w:sz w:val="24"/>
          <w:szCs w:val="24"/>
        </w:rPr>
        <w:t xml:space="preserve">      </w:t>
      </w:r>
      <w:r w:rsidRPr="000E75EB">
        <w:rPr>
          <w:rFonts w:ascii="Times New Roman" w:hAnsi="Times New Roman"/>
          <w:sz w:val="24"/>
          <w:szCs w:val="24"/>
        </w:rPr>
        <w:t xml:space="preserve">- </w:t>
      </w:r>
      <w:r w:rsidRPr="000E75EB">
        <w:rPr>
          <w:rFonts w:ascii="Times New Roman" w:eastAsia="Times New Roman" w:hAnsi="Times New Roman"/>
          <w:sz w:val="24"/>
          <w:szCs w:val="24"/>
          <w:lang w:eastAsia="lv-LV"/>
        </w:rPr>
        <w:t xml:space="preserve"> republikas pilsētās un novadu pilsētās - ne vēlāk kā 15 minūšu laikā no izsaukuma </w:t>
      </w:r>
      <w:r>
        <w:rPr>
          <w:rFonts w:ascii="Times New Roman" w:eastAsia="Times New Roman" w:hAnsi="Times New Roman"/>
          <w:sz w:val="24"/>
          <w:szCs w:val="24"/>
          <w:lang w:eastAsia="lv-LV"/>
        </w:rPr>
        <w:t xml:space="preserve">     </w:t>
      </w:r>
    </w:p>
    <w:p w:rsidR="00AB4552" w:rsidRPr="000E75EB" w:rsidRDefault="00AB4552" w:rsidP="00AB4552">
      <w:pPr>
        <w:pStyle w:val="No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0E75EB">
        <w:rPr>
          <w:rFonts w:ascii="Times New Roman" w:eastAsia="Times New Roman" w:hAnsi="Times New Roman"/>
          <w:sz w:val="24"/>
          <w:szCs w:val="24"/>
          <w:lang w:eastAsia="lv-LV"/>
        </w:rPr>
        <w:t xml:space="preserve">saņemšanas brīža; </w:t>
      </w:r>
    </w:p>
    <w:p w:rsidR="00AB4552" w:rsidRDefault="00AB4552" w:rsidP="00AB4552">
      <w:pPr>
        <w:pStyle w:val="NoSpacing"/>
        <w:numPr>
          <w:ilvl w:val="0"/>
          <w:numId w:val="7"/>
        </w:numPr>
        <w:rPr>
          <w:rFonts w:ascii="Times New Roman" w:eastAsia="Times New Roman" w:hAnsi="Times New Roman"/>
          <w:sz w:val="24"/>
          <w:szCs w:val="24"/>
          <w:lang w:eastAsia="lv-LV"/>
        </w:rPr>
      </w:pPr>
      <w:r w:rsidRPr="000E75EB">
        <w:rPr>
          <w:rFonts w:ascii="Times New Roman" w:eastAsia="Times New Roman" w:hAnsi="Times New Roman"/>
          <w:sz w:val="24"/>
          <w:szCs w:val="24"/>
          <w:lang w:eastAsia="lv-LV"/>
        </w:rPr>
        <w:t>pārējās teritorijās - ne vēlāk kā 25 minūšu laikā no izsaukuma saņemšanas brīža.</w:t>
      </w:r>
    </w:p>
    <w:p w:rsidR="00AB4552" w:rsidRPr="00A71FF1" w:rsidRDefault="00AB4552" w:rsidP="00AB4552">
      <w:pPr>
        <w:pStyle w:val="Default"/>
        <w:rPr>
          <w:bCs/>
          <w:sz w:val="23"/>
          <w:szCs w:val="23"/>
        </w:rPr>
      </w:pPr>
      <w:r w:rsidRPr="000E75EB">
        <w:rPr>
          <w:rFonts w:eastAsia="Times New Roman"/>
          <w:lang w:eastAsia="lv-LV"/>
        </w:rPr>
        <w:t xml:space="preserve">     5.</w:t>
      </w:r>
      <w:r>
        <w:rPr>
          <w:rFonts w:eastAsia="Times New Roman"/>
          <w:lang w:eastAsia="lv-LV"/>
        </w:rPr>
        <w:t xml:space="preserve"> </w:t>
      </w:r>
      <w:r w:rsidRPr="000E75EB">
        <w:rPr>
          <w:bCs/>
          <w:sz w:val="23"/>
          <w:szCs w:val="23"/>
        </w:rPr>
        <w:t>Neatliekam</w:t>
      </w:r>
      <w:r>
        <w:rPr>
          <w:bCs/>
          <w:sz w:val="23"/>
          <w:szCs w:val="23"/>
        </w:rPr>
        <w:t>ās</w:t>
      </w:r>
      <w:r w:rsidRPr="000E75EB">
        <w:rPr>
          <w:bCs/>
          <w:sz w:val="23"/>
          <w:szCs w:val="23"/>
        </w:rPr>
        <w:t xml:space="preserve"> medicīnisk</w:t>
      </w:r>
      <w:r>
        <w:rPr>
          <w:bCs/>
          <w:sz w:val="23"/>
          <w:szCs w:val="23"/>
        </w:rPr>
        <w:t>ās</w:t>
      </w:r>
      <w:r w:rsidRPr="000E75EB">
        <w:rPr>
          <w:bCs/>
          <w:sz w:val="23"/>
          <w:szCs w:val="23"/>
        </w:rPr>
        <w:t xml:space="preserve"> </w:t>
      </w:r>
      <w:r>
        <w:rPr>
          <w:bCs/>
          <w:sz w:val="23"/>
          <w:szCs w:val="23"/>
        </w:rPr>
        <w:t xml:space="preserve">palīdzības sniegšanai stacionāru uzņemšanas nodaļās atbilstoši pacienta veselības stāvoklim </w:t>
      </w:r>
      <w:r w:rsidRPr="000E75EB">
        <w:rPr>
          <w:bCs/>
          <w:sz w:val="23"/>
          <w:szCs w:val="23"/>
        </w:rPr>
        <w:t>(1.līmenis – nekavējoties, 2.līmenis – 10</w:t>
      </w:r>
      <w:r>
        <w:rPr>
          <w:bCs/>
          <w:sz w:val="23"/>
          <w:szCs w:val="23"/>
        </w:rPr>
        <w:t xml:space="preserve">, </w:t>
      </w:r>
      <w:r w:rsidRPr="000E75EB">
        <w:rPr>
          <w:bCs/>
          <w:sz w:val="23"/>
          <w:szCs w:val="23"/>
        </w:rPr>
        <w:t>minūšu laikā, 3.līmenis – 30 minūšu laikā</w:t>
      </w:r>
      <w:r>
        <w:rPr>
          <w:bCs/>
          <w:sz w:val="23"/>
          <w:szCs w:val="23"/>
        </w:rPr>
        <w:t>, 4.līmenis – 60 minūšu laikā)</w:t>
      </w:r>
      <w:r w:rsidRPr="000E75EB">
        <w:rPr>
          <w:bCs/>
          <w:sz w:val="23"/>
          <w:szCs w:val="23"/>
        </w:rPr>
        <w:t>.</w:t>
      </w:r>
    </w:p>
    <w:p w:rsidR="00805205" w:rsidRPr="00805205" w:rsidRDefault="00B6544E" w:rsidP="00805205">
      <w:pPr>
        <w:spacing w:after="0" w:line="240" w:lineRule="auto"/>
        <w:ind w:firstLine="720"/>
        <w:jc w:val="both"/>
        <w:rPr>
          <w:rFonts w:ascii="Times New Roman" w:eastAsia="Times New Roman" w:hAnsi="Times New Roman"/>
          <w:bCs/>
          <w:sz w:val="24"/>
          <w:szCs w:val="24"/>
          <w:lang w:val="lv-LV" w:eastAsia="lv-LV"/>
        </w:rPr>
      </w:pPr>
      <w:r w:rsidRPr="004D6C02">
        <w:rPr>
          <w:rFonts w:ascii="Times New Roman" w:hAnsi="Times New Roman"/>
          <w:sz w:val="24"/>
          <w:szCs w:val="24"/>
          <w:lang w:val="lv-LV"/>
        </w:rPr>
        <w:t xml:space="preserve">Nepieciešamo līdzekļu aprēķins ambulatoro pakalpojumu pieejamības uzlabošanai ir balstīts uz reālo pakalpojumu pieprasījumu atbilstoši ārstniecības iestāžu sagatavotajiem pārskatiem par pacientu skaitu gaidīšanas rindās un gaidīšanas ilgumiem. Gaidīšanas laika ilgums uz ambulatorajiem veselības aprūpes pakalpojumiem svārstās no 20 dienām </w:t>
      </w:r>
      <w:r w:rsidRPr="004D6C02">
        <w:rPr>
          <w:rFonts w:ascii="Times New Roman" w:eastAsia="Times New Roman" w:hAnsi="Times New Roman"/>
          <w:lang w:val="lv-LV" w:eastAsia="lv-LV"/>
        </w:rPr>
        <w:t xml:space="preserve">izmeklējumiem vidējā ģenētiskā riska grūtniecības gadījumā pie ginekologa - eksperta līdz pat 680 dienām uz </w:t>
      </w:r>
      <w:r w:rsidRPr="004D6C02">
        <w:rPr>
          <w:rFonts w:ascii="Times New Roman" w:eastAsia="Times New Roman" w:hAnsi="Times New Roman"/>
          <w:iCs/>
          <w:lang w:val="lv-LV" w:eastAsia="lv-LV"/>
        </w:rPr>
        <w:t>oftalmoloģiskām  operācijām dienas stacionārā. A</w:t>
      </w:r>
      <w:r w:rsidRPr="004D6C02">
        <w:rPr>
          <w:rFonts w:ascii="Times New Roman" w:hAnsi="Times New Roman"/>
          <w:sz w:val="24"/>
          <w:szCs w:val="24"/>
          <w:lang w:val="lv-LV"/>
        </w:rPr>
        <w:t xml:space="preserve">mbulatoro pakalpojumu pieejamības uzlabošanai nepieciešams  gaidīšanas laiku saaīsināt. Atbilstoši 10.tabulā ietvertajam priekšlikumam, gaidīšanas laika samazināšanai </w:t>
      </w:r>
      <w:r w:rsidRPr="004D6C02">
        <w:rPr>
          <w:rFonts w:ascii="Times New Roman" w:hAnsi="Times New Roman"/>
          <w:sz w:val="24"/>
          <w:szCs w:val="24"/>
          <w:u w:val="single"/>
          <w:lang w:val="lv-LV"/>
        </w:rPr>
        <w:t>2013.gada pusgadam</w:t>
      </w:r>
      <w:r w:rsidRPr="004D6C02">
        <w:rPr>
          <w:rFonts w:ascii="Times New Roman" w:hAnsi="Times New Roman"/>
          <w:sz w:val="24"/>
          <w:szCs w:val="24"/>
          <w:lang w:val="lv-LV"/>
        </w:rPr>
        <w:t xml:space="preserve"> nepieciešams papildus finansējums </w:t>
      </w:r>
      <w:r w:rsidRPr="004D6C02">
        <w:rPr>
          <w:rFonts w:ascii="Times New Roman" w:hAnsi="Times New Roman"/>
          <w:b/>
          <w:sz w:val="24"/>
          <w:szCs w:val="24"/>
          <w:lang w:val="lv-LV"/>
        </w:rPr>
        <w:t>4 069 502 lati</w:t>
      </w:r>
      <w:r w:rsidRPr="004D6C02">
        <w:rPr>
          <w:rFonts w:ascii="Times New Roman" w:hAnsi="Times New Roman"/>
          <w:sz w:val="24"/>
          <w:szCs w:val="24"/>
          <w:lang w:val="lv-LV"/>
        </w:rPr>
        <w:t xml:space="preserve">, </w:t>
      </w:r>
      <w:r w:rsidRPr="00805205">
        <w:rPr>
          <w:rFonts w:ascii="Times New Roman" w:hAnsi="Times New Roman"/>
          <w:sz w:val="24"/>
          <w:szCs w:val="24"/>
          <w:u w:val="single"/>
          <w:lang w:val="lv-LV"/>
        </w:rPr>
        <w:t>2014.gadā</w:t>
      </w:r>
      <w:r w:rsidRPr="004D6C02">
        <w:rPr>
          <w:rFonts w:ascii="Times New Roman" w:hAnsi="Times New Roman"/>
          <w:sz w:val="24"/>
          <w:szCs w:val="24"/>
          <w:lang w:val="lv-LV"/>
        </w:rPr>
        <w:t xml:space="preserve"> nepieciešams papildus </w:t>
      </w:r>
      <w:r w:rsidRPr="004D6C02">
        <w:rPr>
          <w:rFonts w:ascii="Times New Roman" w:eastAsia="Times New Roman" w:hAnsi="Times New Roman"/>
          <w:b/>
          <w:bCs/>
          <w:sz w:val="24"/>
          <w:szCs w:val="24"/>
          <w:lang w:val="lv-LV" w:eastAsia="lv-LV"/>
        </w:rPr>
        <w:t>8 139 004 lati</w:t>
      </w:r>
      <w:r w:rsidRPr="004D6C02">
        <w:rPr>
          <w:rFonts w:ascii="Times New Roman" w:eastAsia="Times New Roman" w:hAnsi="Times New Roman"/>
          <w:bCs/>
          <w:sz w:val="24"/>
          <w:szCs w:val="24"/>
          <w:lang w:val="lv-LV" w:eastAsia="lv-LV"/>
        </w:rPr>
        <w:t xml:space="preserve"> (skat.10.tab.).</w:t>
      </w:r>
    </w:p>
    <w:p w:rsidR="00805205" w:rsidRDefault="00805205" w:rsidP="00B6544E">
      <w:pPr>
        <w:spacing w:before="120" w:after="0" w:line="240" w:lineRule="auto"/>
        <w:ind w:firstLine="720"/>
        <w:jc w:val="right"/>
        <w:rPr>
          <w:rFonts w:ascii="Times New Roman" w:hAnsi="Times New Roman"/>
          <w:sz w:val="24"/>
          <w:szCs w:val="24"/>
          <w:lang w:val="lv-LV"/>
        </w:rPr>
      </w:pPr>
    </w:p>
    <w:p w:rsidR="00FF6C50" w:rsidRDefault="00FF6C50" w:rsidP="00B6544E">
      <w:pPr>
        <w:spacing w:before="120" w:after="0" w:line="240" w:lineRule="auto"/>
        <w:ind w:firstLine="720"/>
        <w:jc w:val="right"/>
        <w:rPr>
          <w:rFonts w:ascii="Times New Roman" w:hAnsi="Times New Roman"/>
          <w:sz w:val="24"/>
          <w:szCs w:val="24"/>
          <w:lang w:val="lv-LV"/>
        </w:rPr>
      </w:pPr>
    </w:p>
    <w:p w:rsidR="00FF6C50" w:rsidRDefault="00FF6C50" w:rsidP="00B6544E">
      <w:pPr>
        <w:spacing w:before="120" w:after="0" w:line="240" w:lineRule="auto"/>
        <w:ind w:firstLine="720"/>
        <w:jc w:val="right"/>
        <w:rPr>
          <w:rFonts w:ascii="Times New Roman" w:hAnsi="Times New Roman"/>
          <w:sz w:val="24"/>
          <w:szCs w:val="24"/>
          <w:lang w:val="lv-LV"/>
        </w:rPr>
      </w:pPr>
    </w:p>
    <w:p w:rsidR="003B7D2D" w:rsidRPr="004D6C02" w:rsidRDefault="00A71FF1" w:rsidP="00B6544E">
      <w:pPr>
        <w:spacing w:before="120" w:after="0" w:line="240" w:lineRule="auto"/>
        <w:ind w:firstLine="720"/>
        <w:jc w:val="right"/>
        <w:rPr>
          <w:rFonts w:ascii="Times New Roman" w:hAnsi="Times New Roman"/>
          <w:sz w:val="24"/>
          <w:szCs w:val="24"/>
          <w:lang w:val="lv-LV"/>
        </w:rPr>
      </w:pPr>
      <w:r w:rsidRPr="004D6C02">
        <w:rPr>
          <w:rFonts w:ascii="Times New Roman" w:hAnsi="Times New Roman"/>
          <w:sz w:val="24"/>
          <w:szCs w:val="24"/>
          <w:lang w:val="lv-LV"/>
        </w:rPr>
        <w:lastRenderedPageBreak/>
        <w:t>10</w:t>
      </w:r>
      <w:r w:rsidR="003B7D2D" w:rsidRPr="004D6C02">
        <w:rPr>
          <w:rFonts w:ascii="Times New Roman" w:hAnsi="Times New Roman"/>
          <w:sz w:val="24"/>
          <w:szCs w:val="24"/>
          <w:lang w:val="lv-LV"/>
        </w:rPr>
        <w:t>.tabula</w:t>
      </w:r>
    </w:p>
    <w:p w:rsidR="003B7D2D" w:rsidRDefault="003B7D2D" w:rsidP="003B7D2D">
      <w:pPr>
        <w:pStyle w:val="NoSpacing"/>
        <w:ind w:left="720"/>
        <w:jc w:val="center"/>
        <w:rPr>
          <w:rFonts w:ascii="Times New Roman" w:hAnsi="Times New Roman"/>
          <w:b/>
          <w:sz w:val="24"/>
          <w:szCs w:val="24"/>
        </w:rPr>
      </w:pPr>
    </w:p>
    <w:p w:rsidR="00805205" w:rsidRDefault="003B7D2D" w:rsidP="00805205">
      <w:pPr>
        <w:pStyle w:val="NoSpacing"/>
        <w:ind w:left="720"/>
        <w:jc w:val="center"/>
        <w:rPr>
          <w:rFonts w:ascii="Times New Roman" w:hAnsi="Times New Roman"/>
          <w:b/>
          <w:sz w:val="24"/>
          <w:szCs w:val="24"/>
        </w:rPr>
      </w:pPr>
      <w:r>
        <w:rPr>
          <w:rFonts w:ascii="Times New Roman" w:hAnsi="Times New Roman"/>
          <w:b/>
          <w:sz w:val="24"/>
          <w:szCs w:val="24"/>
        </w:rPr>
        <w:t>Papildus nepieciešamā finansējuma aprēķins ambulatoro pakalpojumu gaidīšanas laika samazinājumam</w:t>
      </w:r>
      <w:r w:rsidR="00FE37FB">
        <w:rPr>
          <w:rFonts w:ascii="Times New Roman" w:hAnsi="Times New Roman"/>
          <w:b/>
          <w:sz w:val="24"/>
          <w:szCs w:val="24"/>
        </w:rPr>
        <w:t xml:space="preserve"> gadā</w:t>
      </w:r>
    </w:p>
    <w:p w:rsidR="00805205" w:rsidRPr="00EC058D" w:rsidRDefault="00805205" w:rsidP="00805205">
      <w:pPr>
        <w:pStyle w:val="NoSpacing"/>
        <w:ind w:left="720"/>
        <w:jc w:val="center"/>
        <w:rPr>
          <w:rFonts w:ascii="Times New Roman" w:hAnsi="Times New Roman"/>
          <w:b/>
          <w:sz w:val="24"/>
          <w:szCs w:val="24"/>
        </w:rPr>
      </w:pPr>
    </w:p>
    <w:tbl>
      <w:tblPr>
        <w:tblW w:w="9471" w:type="dxa"/>
        <w:jc w:val="center"/>
        <w:tblInd w:w="-3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1"/>
        <w:gridCol w:w="851"/>
        <w:gridCol w:w="1134"/>
        <w:gridCol w:w="1275"/>
        <w:gridCol w:w="993"/>
        <w:gridCol w:w="850"/>
        <w:gridCol w:w="851"/>
        <w:gridCol w:w="1134"/>
        <w:gridCol w:w="992"/>
      </w:tblGrid>
      <w:tr w:rsidR="00FE0574" w:rsidRPr="00EC058D" w:rsidTr="00F57303">
        <w:trPr>
          <w:trHeight w:val="1620"/>
          <w:jc w:val="center"/>
        </w:trPr>
        <w:tc>
          <w:tcPr>
            <w:tcW w:w="1391" w:type="dxa"/>
            <w:shd w:val="clear" w:color="auto" w:fill="auto"/>
            <w:vAlign w:val="center"/>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Veselības aprūpes pakalpojums</w:t>
            </w:r>
          </w:p>
        </w:tc>
        <w:tc>
          <w:tcPr>
            <w:tcW w:w="851" w:type="dxa"/>
            <w:shd w:val="clear" w:color="auto" w:fill="auto"/>
            <w:vAlign w:val="center"/>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Vidē-jais gaidī-šanas laiks (darba dienas)</w:t>
            </w:r>
          </w:p>
        </w:tc>
        <w:tc>
          <w:tcPr>
            <w:tcW w:w="1134" w:type="dxa"/>
            <w:shd w:val="clear" w:color="auto" w:fill="auto"/>
            <w:vAlign w:val="center"/>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Izlietotie finanšu līdzekļi 2012.gadā/</w:t>
            </w:r>
          </w:p>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prognoze 2013.gadā (Ls)</w:t>
            </w:r>
          </w:p>
        </w:tc>
        <w:tc>
          <w:tcPr>
            <w:tcW w:w="1275" w:type="dxa"/>
            <w:shd w:val="clear" w:color="auto" w:fill="auto"/>
            <w:vAlign w:val="center"/>
          </w:tcPr>
          <w:p w:rsidR="00FE0574" w:rsidRPr="00EC058D" w:rsidRDefault="00410DA5" w:rsidP="00F57303">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Vidējās</w:t>
            </w:r>
            <w:r w:rsidR="00FE0574">
              <w:rPr>
                <w:rFonts w:ascii="Times New Roman" w:eastAsia="Times New Roman" w:hAnsi="Times New Roman"/>
                <w:b/>
                <w:bCs/>
                <w:sz w:val="20"/>
                <w:szCs w:val="20"/>
                <w:lang w:eastAsia="lv-LV"/>
              </w:rPr>
              <w:t xml:space="preserve"> izmaksa</w:t>
            </w:r>
            <w:r>
              <w:rPr>
                <w:rFonts w:ascii="Times New Roman" w:eastAsia="Times New Roman" w:hAnsi="Times New Roman"/>
                <w:b/>
                <w:bCs/>
                <w:sz w:val="20"/>
                <w:szCs w:val="20"/>
                <w:lang w:eastAsia="lv-LV"/>
              </w:rPr>
              <w:t>s</w:t>
            </w:r>
            <w:r w:rsidR="00FE0574">
              <w:rPr>
                <w:rFonts w:ascii="Times New Roman" w:eastAsia="Times New Roman" w:hAnsi="Times New Roman"/>
                <w:b/>
                <w:bCs/>
                <w:sz w:val="20"/>
                <w:szCs w:val="20"/>
                <w:lang w:eastAsia="lv-LV"/>
              </w:rPr>
              <w:t xml:space="preserve"> (Ls)</w:t>
            </w:r>
          </w:p>
        </w:tc>
        <w:tc>
          <w:tcPr>
            <w:tcW w:w="993" w:type="dxa"/>
            <w:shd w:val="clear" w:color="auto" w:fill="auto"/>
            <w:vAlign w:val="center"/>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Nepiecie-šamie finanšu līdzekļi pakalpo-jumu sniegša-nai vienā darba dienā (Ls)</w:t>
            </w:r>
          </w:p>
        </w:tc>
        <w:tc>
          <w:tcPr>
            <w:tcW w:w="850" w:type="dxa"/>
            <w:shd w:val="clear" w:color="auto" w:fill="auto"/>
            <w:vAlign w:val="center"/>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Sama-zinā-tais gaidī-šanas laiks (darba dienas)</w:t>
            </w:r>
          </w:p>
        </w:tc>
        <w:tc>
          <w:tcPr>
            <w:tcW w:w="851" w:type="dxa"/>
            <w:shd w:val="clear" w:color="auto" w:fill="auto"/>
            <w:vAlign w:val="center"/>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Gaidī-šanas laika sama-zinā-jums</w:t>
            </w:r>
          </w:p>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(darba dienas)</w:t>
            </w:r>
          </w:p>
        </w:tc>
        <w:tc>
          <w:tcPr>
            <w:tcW w:w="1134" w:type="dxa"/>
            <w:shd w:val="clear" w:color="auto" w:fill="auto"/>
            <w:vAlign w:val="center"/>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Gaidīša-nas laika samazi-nājumamnepiecie-šamais papildus finansē-jums (Ls)</w:t>
            </w:r>
          </w:p>
        </w:tc>
        <w:tc>
          <w:tcPr>
            <w:tcW w:w="992" w:type="dxa"/>
            <w:shd w:val="clear" w:color="auto" w:fill="auto"/>
            <w:vAlign w:val="center"/>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Pacientu/pakalpojumu skaits, kurus nodroši-nās par papildus finansē-jumu</w:t>
            </w:r>
          </w:p>
        </w:tc>
      </w:tr>
      <w:tr w:rsidR="00FE0574" w:rsidRPr="00EC058D" w:rsidTr="00F57303">
        <w:trPr>
          <w:trHeight w:val="765"/>
          <w:jc w:val="center"/>
        </w:trPr>
        <w:tc>
          <w:tcPr>
            <w:tcW w:w="1391" w:type="dxa"/>
            <w:shd w:val="clear" w:color="auto" w:fill="auto"/>
            <w:hideMark/>
          </w:tcPr>
          <w:p w:rsidR="00FE0574" w:rsidRPr="00EC058D" w:rsidRDefault="00FE0574" w:rsidP="00F57303">
            <w:pPr>
              <w:spacing w:after="0" w:line="240" w:lineRule="auto"/>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Ambulatorās veselības aprūpes pakalpojumi  (speciālista konsultācija vai izmeklējums)</w:t>
            </w:r>
          </w:p>
        </w:tc>
        <w:tc>
          <w:tcPr>
            <w:tcW w:w="851"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p>
        </w:tc>
        <w:tc>
          <w:tcPr>
            <w:tcW w:w="1134"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43 561 942</w:t>
            </w:r>
          </w:p>
        </w:tc>
        <w:tc>
          <w:tcPr>
            <w:tcW w:w="1275" w:type="dxa"/>
            <w:shd w:val="clear" w:color="auto" w:fill="auto"/>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p>
        </w:tc>
        <w:tc>
          <w:tcPr>
            <w:tcW w:w="993" w:type="dxa"/>
            <w:shd w:val="clear" w:color="auto" w:fill="auto"/>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172 865</w:t>
            </w:r>
          </w:p>
        </w:tc>
        <w:tc>
          <w:tcPr>
            <w:tcW w:w="850"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p>
        </w:tc>
        <w:tc>
          <w:tcPr>
            <w:tcW w:w="851"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p>
        </w:tc>
        <w:tc>
          <w:tcPr>
            <w:tcW w:w="1134"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3 830 555</w:t>
            </w:r>
          </w:p>
        </w:tc>
        <w:tc>
          <w:tcPr>
            <w:tcW w:w="992" w:type="dxa"/>
            <w:shd w:val="clear" w:color="auto" w:fill="auto"/>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368 922</w:t>
            </w:r>
          </w:p>
        </w:tc>
      </w:tr>
      <w:tr w:rsidR="00FE0574" w:rsidRPr="00EC058D" w:rsidTr="00F57303">
        <w:trPr>
          <w:trHeight w:val="510"/>
          <w:jc w:val="center"/>
        </w:trPr>
        <w:tc>
          <w:tcPr>
            <w:tcW w:w="1391" w:type="dxa"/>
            <w:shd w:val="clear" w:color="auto" w:fill="auto"/>
            <w:hideMark/>
          </w:tcPr>
          <w:p w:rsidR="00FE0574" w:rsidRPr="00EC058D" w:rsidRDefault="00FE0574" w:rsidP="00F57303">
            <w:pPr>
              <w:spacing w:after="0" w:line="240" w:lineRule="auto"/>
              <w:jc w:val="right"/>
              <w:rPr>
                <w:rFonts w:ascii="Times New Roman" w:eastAsia="Times New Roman" w:hAnsi="Times New Roman"/>
                <w:i/>
                <w:iCs/>
                <w:sz w:val="20"/>
                <w:szCs w:val="20"/>
                <w:lang w:eastAsia="lv-LV"/>
              </w:rPr>
            </w:pPr>
            <w:r w:rsidRPr="00EC058D">
              <w:rPr>
                <w:rFonts w:ascii="Times New Roman" w:eastAsia="Times New Roman" w:hAnsi="Times New Roman"/>
                <w:i/>
                <w:iCs/>
                <w:sz w:val="20"/>
                <w:szCs w:val="20"/>
                <w:lang w:eastAsia="lv-LV"/>
              </w:rPr>
              <w:t>Ambulatorās veselības aprūpes pakalpojumi pieaugušie</w:t>
            </w:r>
          </w:p>
        </w:tc>
        <w:tc>
          <w:tcPr>
            <w:tcW w:w="851"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60</w:t>
            </w:r>
          </w:p>
        </w:tc>
        <w:tc>
          <w:tcPr>
            <w:tcW w:w="1134"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34 363 325</w:t>
            </w:r>
          </w:p>
        </w:tc>
        <w:tc>
          <w:tcPr>
            <w:tcW w:w="1275"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10,38</w:t>
            </w:r>
          </w:p>
        </w:tc>
        <w:tc>
          <w:tcPr>
            <w:tcW w:w="993"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136 362</w:t>
            </w:r>
          </w:p>
        </w:tc>
        <w:tc>
          <w:tcPr>
            <w:tcW w:w="850"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40</w:t>
            </w:r>
          </w:p>
        </w:tc>
        <w:tc>
          <w:tcPr>
            <w:tcW w:w="851"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20</w:t>
            </w:r>
          </w:p>
        </w:tc>
        <w:tc>
          <w:tcPr>
            <w:tcW w:w="1134"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2 727 248</w:t>
            </w:r>
          </w:p>
        </w:tc>
        <w:tc>
          <w:tcPr>
            <w:tcW w:w="992"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262 662</w:t>
            </w:r>
          </w:p>
        </w:tc>
      </w:tr>
      <w:tr w:rsidR="00FE0574" w:rsidRPr="00EC058D" w:rsidTr="00F57303">
        <w:trPr>
          <w:trHeight w:val="510"/>
          <w:jc w:val="center"/>
        </w:trPr>
        <w:tc>
          <w:tcPr>
            <w:tcW w:w="1391" w:type="dxa"/>
            <w:shd w:val="clear" w:color="auto" w:fill="auto"/>
            <w:hideMark/>
          </w:tcPr>
          <w:p w:rsidR="00FE0574" w:rsidRPr="00EC058D" w:rsidRDefault="00FE0574" w:rsidP="00F57303">
            <w:pPr>
              <w:spacing w:after="0" w:line="240" w:lineRule="auto"/>
              <w:jc w:val="right"/>
              <w:rPr>
                <w:rFonts w:ascii="Times New Roman" w:eastAsia="Times New Roman" w:hAnsi="Times New Roman"/>
                <w:i/>
                <w:iCs/>
                <w:sz w:val="20"/>
                <w:szCs w:val="20"/>
                <w:lang w:eastAsia="lv-LV"/>
              </w:rPr>
            </w:pPr>
            <w:r w:rsidRPr="00EC058D">
              <w:rPr>
                <w:rFonts w:ascii="Times New Roman" w:eastAsia="Times New Roman" w:hAnsi="Times New Roman"/>
                <w:i/>
                <w:iCs/>
                <w:sz w:val="20"/>
                <w:szCs w:val="20"/>
                <w:lang w:eastAsia="lv-LV"/>
              </w:rPr>
              <w:t>Ambulatorās veselības aprūpes pakalpojumi bērni</w:t>
            </w:r>
          </w:p>
        </w:tc>
        <w:tc>
          <w:tcPr>
            <w:tcW w:w="851"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60</w:t>
            </w:r>
          </w:p>
        </w:tc>
        <w:tc>
          <w:tcPr>
            <w:tcW w:w="1134"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9 118 663</w:t>
            </w:r>
          </w:p>
        </w:tc>
        <w:tc>
          <w:tcPr>
            <w:tcW w:w="1275"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10,38</w:t>
            </w:r>
          </w:p>
        </w:tc>
        <w:tc>
          <w:tcPr>
            <w:tcW w:w="993"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36 185</w:t>
            </w:r>
          </w:p>
        </w:tc>
        <w:tc>
          <w:tcPr>
            <w:tcW w:w="850"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30</w:t>
            </w:r>
          </w:p>
        </w:tc>
        <w:tc>
          <w:tcPr>
            <w:tcW w:w="851"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30</w:t>
            </w:r>
          </w:p>
        </w:tc>
        <w:tc>
          <w:tcPr>
            <w:tcW w:w="1134"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1 085 555</w:t>
            </w:r>
          </w:p>
        </w:tc>
        <w:tc>
          <w:tcPr>
            <w:tcW w:w="992"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104 550</w:t>
            </w:r>
          </w:p>
        </w:tc>
      </w:tr>
      <w:tr w:rsidR="00FE0574" w:rsidRPr="00EC058D" w:rsidTr="00F57303">
        <w:trPr>
          <w:trHeight w:val="255"/>
          <w:jc w:val="center"/>
        </w:trPr>
        <w:tc>
          <w:tcPr>
            <w:tcW w:w="1391" w:type="dxa"/>
            <w:shd w:val="clear" w:color="auto" w:fill="auto"/>
            <w:hideMark/>
          </w:tcPr>
          <w:p w:rsidR="00FE0574" w:rsidRPr="00EC058D" w:rsidRDefault="00FE0574" w:rsidP="00F57303">
            <w:pPr>
              <w:spacing w:after="0" w:line="240" w:lineRule="auto"/>
              <w:jc w:val="right"/>
              <w:rPr>
                <w:rFonts w:ascii="Times New Roman" w:eastAsia="Times New Roman" w:hAnsi="Times New Roman"/>
                <w:i/>
                <w:iCs/>
                <w:sz w:val="20"/>
                <w:szCs w:val="20"/>
                <w:lang w:eastAsia="lv-LV"/>
              </w:rPr>
            </w:pPr>
            <w:r w:rsidRPr="00EC058D">
              <w:rPr>
                <w:rFonts w:ascii="Times New Roman" w:eastAsia="Times New Roman" w:hAnsi="Times New Roman"/>
                <w:i/>
                <w:iCs/>
                <w:sz w:val="20"/>
                <w:szCs w:val="20"/>
                <w:lang w:eastAsia="lv-LV"/>
              </w:rPr>
              <w:t>Reimatologa konsultācijas</w:t>
            </w:r>
          </w:p>
        </w:tc>
        <w:tc>
          <w:tcPr>
            <w:tcW w:w="851"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86</w:t>
            </w:r>
          </w:p>
        </w:tc>
        <w:tc>
          <w:tcPr>
            <w:tcW w:w="1134" w:type="dxa"/>
            <w:shd w:val="clear" w:color="auto" w:fill="auto"/>
            <w:hideMark/>
          </w:tcPr>
          <w:p w:rsidR="00FE0574" w:rsidRPr="004D6C02" w:rsidRDefault="00FE0574" w:rsidP="00F57303">
            <w:pPr>
              <w:spacing w:after="0" w:line="240" w:lineRule="auto"/>
              <w:jc w:val="center"/>
              <w:rPr>
                <w:rFonts w:ascii="Times New Roman" w:eastAsia="Times New Roman" w:hAnsi="Times New Roman"/>
                <w:bCs/>
                <w:sz w:val="20"/>
                <w:szCs w:val="20"/>
                <w:lang w:eastAsia="lv-LV"/>
              </w:rPr>
            </w:pPr>
            <w:r w:rsidRPr="004D6C02">
              <w:rPr>
                <w:rFonts w:ascii="Times New Roman" w:eastAsia="Times New Roman" w:hAnsi="Times New Roman"/>
                <w:bCs/>
                <w:sz w:val="20"/>
                <w:szCs w:val="20"/>
                <w:lang w:eastAsia="lv-LV"/>
              </w:rPr>
              <w:t>79 954</w:t>
            </w:r>
          </w:p>
        </w:tc>
        <w:tc>
          <w:tcPr>
            <w:tcW w:w="1275" w:type="dxa"/>
            <w:shd w:val="clear" w:color="auto" w:fill="auto"/>
          </w:tcPr>
          <w:p w:rsidR="00FE0574" w:rsidRPr="004D6C02" w:rsidRDefault="00FE0574" w:rsidP="00F57303">
            <w:pPr>
              <w:spacing w:after="0" w:line="240" w:lineRule="auto"/>
              <w:jc w:val="center"/>
              <w:rPr>
                <w:rFonts w:ascii="Times New Roman" w:eastAsia="Times New Roman" w:hAnsi="Times New Roman"/>
                <w:bCs/>
                <w:sz w:val="20"/>
                <w:szCs w:val="20"/>
                <w:lang w:eastAsia="lv-LV"/>
              </w:rPr>
            </w:pPr>
            <w:r w:rsidRPr="004D6C02">
              <w:rPr>
                <w:rFonts w:ascii="Times New Roman" w:eastAsia="Times New Roman" w:hAnsi="Times New Roman"/>
                <w:bCs/>
                <w:sz w:val="20"/>
                <w:szCs w:val="20"/>
                <w:lang w:eastAsia="lv-LV"/>
              </w:rPr>
              <w:t>10,38</w:t>
            </w:r>
          </w:p>
        </w:tc>
        <w:tc>
          <w:tcPr>
            <w:tcW w:w="993" w:type="dxa"/>
            <w:shd w:val="clear" w:color="auto" w:fill="auto"/>
          </w:tcPr>
          <w:p w:rsidR="00FE0574" w:rsidRPr="004D6C02" w:rsidRDefault="00FE0574" w:rsidP="00F57303">
            <w:pPr>
              <w:spacing w:after="0" w:line="240" w:lineRule="auto"/>
              <w:jc w:val="center"/>
              <w:rPr>
                <w:rFonts w:ascii="Times New Roman" w:eastAsia="Times New Roman" w:hAnsi="Times New Roman"/>
                <w:bCs/>
                <w:sz w:val="20"/>
                <w:szCs w:val="20"/>
                <w:lang w:eastAsia="lv-LV"/>
              </w:rPr>
            </w:pPr>
            <w:r w:rsidRPr="004D6C02">
              <w:rPr>
                <w:rFonts w:ascii="Times New Roman" w:eastAsia="Times New Roman" w:hAnsi="Times New Roman"/>
                <w:bCs/>
                <w:sz w:val="20"/>
                <w:szCs w:val="20"/>
                <w:lang w:eastAsia="lv-LV"/>
              </w:rPr>
              <w:t>317</w:t>
            </w:r>
          </w:p>
        </w:tc>
        <w:tc>
          <w:tcPr>
            <w:tcW w:w="850" w:type="dxa"/>
            <w:shd w:val="clear" w:color="auto" w:fill="auto"/>
            <w:hideMark/>
          </w:tcPr>
          <w:p w:rsidR="00FE0574" w:rsidRPr="004D6C02" w:rsidRDefault="00FE0574" w:rsidP="00F57303">
            <w:pPr>
              <w:spacing w:after="0" w:line="240" w:lineRule="auto"/>
              <w:jc w:val="center"/>
              <w:rPr>
                <w:rFonts w:ascii="Times New Roman" w:eastAsia="Times New Roman" w:hAnsi="Times New Roman"/>
                <w:bCs/>
                <w:sz w:val="20"/>
                <w:szCs w:val="20"/>
                <w:lang w:eastAsia="lv-LV"/>
              </w:rPr>
            </w:pPr>
            <w:r w:rsidRPr="004D6C02">
              <w:rPr>
                <w:rFonts w:ascii="Times New Roman" w:eastAsia="Times New Roman" w:hAnsi="Times New Roman"/>
                <w:bCs/>
                <w:sz w:val="20"/>
                <w:szCs w:val="20"/>
                <w:lang w:eastAsia="lv-LV"/>
              </w:rPr>
              <w:t>30</w:t>
            </w:r>
          </w:p>
        </w:tc>
        <w:tc>
          <w:tcPr>
            <w:tcW w:w="851" w:type="dxa"/>
            <w:shd w:val="clear" w:color="auto" w:fill="auto"/>
            <w:noWrap/>
            <w:hideMark/>
          </w:tcPr>
          <w:p w:rsidR="00FE0574" w:rsidRPr="004D6C02" w:rsidRDefault="00FE0574" w:rsidP="00F57303">
            <w:pPr>
              <w:spacing w:after="0" w:line="240" w:lineRule="auto"/>
              <w:jc w:val="center"/>
              <w:rPr>
                <w:rFonts w:ascii="Times New Roman" w:eastAsia="Times New Roman" w:hAnsi="Times New Roman"/>
                <w:sz w:val="20"/>
                <w:szCs w:val="20"/>
                <w:lang w:eastAsia="lv-LV"/>
              </w:rPr>
            </w:pPr>
            <w:r w:rsidRPr="004D6C02">
              <w:rPr>
                <w:rFonts w:ascii="Times New Roman" w:eastAsia="Times New Roman" w:hAnsi="Times New Roman"/>
                <w:sz w:val="20"/>
                <w:szCs w:val="20"/>
                <w:lang w:eastAsia="lv-LV"/>
              </w:rPr>
              <w:t>56</w:t>
            </w:r>
          </w:p>
        </w:tc>
        <w:tc>
          <w:tcPr>
            <w:tcW w:w="1134" w:type="dxa"/>
            <w:shd w:val="clear" w:color="auto" w:fill="auto"/>
            <w:noWrap/>
            <w:hideMark/>
          </w:tcPr>
          <w:p w:rsidR="00FE0574" w:rsidRPr="004D6C02" w:rsidRDefault="00FE0574" w:rsidP="00F57303">
            <w:pPr>
              <w:spacing w:after="0" w:line="240" w:lineRule="auto"/>
              <w:jc w:val="center"/>
              <w:rPr>
                <w:rFonts w:ascii="Times New Roman" w:eastAsia="Times New Roman" w:hAnsi="Times New Roman"/>
                <w:sz w:val="20"/>
                <w:szCs w:val="20"/>
                <w:lang w:eastAsia="lv-LV"/>
              </w:rPr>
            </w:pPr>
            <w:r w:rsidRPr="004D6C02">
              <w:rPr>
                <w:rFonts w:ascii="Times New Roman" w:eastAsia="Times New Roman" w:hAnsi="Times New Roman"/>
                <w:sz w:val="20"/>
                <w:szCs w:val="20"/>
                <w:lang w:eastAsia="lv-LV"/>
              </w:rPr>
              <w:t>17 752</w:t>
            </w:r>
          </w:p>
        </w:tc>
        <w:tc>
          <w:tcPr>
            <w:tcW w:w="992" w:type="dxa"/>
            <w:shd w:val="clear" w:color="auto" w:fill="auto"/>
          </w:tcPr>
          <w:p w:rsidR="00FE0574" w:rsidRPr="004D6C02" w:rsidRDefault="00FE0574" w:rsidP="00F57303">
            <w:pPr>
              <w:spacing w:after="0" w:line="240" w:lineRule="auto"/>
              <w:jc w:val="center"/>
              <w:rPr>
                <w:rFonts w:ascii="Times New Roman" w:eastAsia="Times New Roman" w:hAnsi="Times New Roman"/>
                <w:sz w:val="20"/>
                <w:szCs w:val="20"/>
                <w:lang w:eastAsia="lv-LV"/>
              </w:rPr>
            </w:pPr>
            <w:r w:rsidRPr="004D6C02">
              <w:rPr>
                <w:rFonts w:ascii="Times New Roman" w:eastAsia="Times New Roman" w:hAnsi="Times New Roman"/>
                <w:sz w:val="20"/>
                <w:szCs w:val="20"/>
                <w:lang w:eastAsia="lv-LV"/>
              </w:rPr>
              <w:t>1 710</w:t>
            </w:r>
          </w:p>
        </w:tc>
      </w:tr>
      <w:tr w:rsidR="00FE0574" w:rsidRPr="00EC058D" w:rsidTr="00F57303">
        <w:trPr>
          <w:trHeight w:val="810"/>
          <w:jc w:val="center"/>
        </w:trPr>
        <w:tc>
          <w:tcPr>
            <w:tcW w:w="1391" w:type="dxa"/>
            <w:shd w:val="clear" w:color="auto" w:fill="auto"/>
            <w:hideMark/>
          </w:tcPr>
          <w:p w:rsidR="00FE0574" w:rsidRPr="00EC058D" w:rsidRDefault="00FE0574" w:rsidP="00F57303">
            <w:pPr>
              <w:spacing w:after="0" w:line="240" w:lineRule="auto"/>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 xml:space="preserve">Pēcskrīninga izmeklējumi pozitīva dzemdes kakla vēža, krūts vēža un resno zarnu vēža skrīninga gadījumā </w:t>
            </w:r>
          </w:p>
        </w:tc>
        <w:tc>
          <w:tcPr>
            <w:tcW w:w="851"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30</w:t>
            </w:r>
          </w:p>
        </w:tc>
        <w:tc>
          <w:tcPr>
            <w:tcW w:w="1134"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sz w:val="20"/>
                <w:szCs w:val="20"/>
                <w:lang w:eastAsia="lv-LV"/>
              </w:rPr>
            </w:pPr>
            <w:r w:rsidRPr="00EC058D">
              <w:rPr>
                <w:rFonts w:ascii="Times New Roman" w:eastAsia="Times New Roman" w:hAnsi="Times New Roman"/>
                <w:b/>
                <w:sz w:val="20"/>
                <w:szCs w:val="20"/>
                <w:lang w:eastAsia="lv-LV"/>
              </w:rPr>
              <w:t>66 932</w:t>
            </w:r>
          </w:p>
        </w:tc>
        <w:tc>
          <w:tcPr>
            <w:tcW w:w="1275" w:type="dxa"/>
            <w:shd w:val="clear" w:color="auto" w:fill="auto"/>
          </w:tcPr>
          <w:p w:rsidR="00FE0574" w:rsidRPr="00EC058D" w:rsidRDefault="00FE0574" w:rsidP="00F57303">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10,02</w:t>
            </w:r>
          </w:p>
        </w:tc>
        <w:tc>
          <w:tcPr>
            <w:tcW w:w="993" w:type="dxa"/>
            <w:shd w:val="clear" w:color="auto" w:fill="auto"/>
          </w:tcPr>
          <w:p w:rsidR="00FE0574" w:rsidRPr="00EC058D" w:rsidRDefault="00FE0574" w:rsidP="00F57303">
            <w:pPr>
              <w:spacing w:after="0" w:line="240" w:lineRule="auto"/>
              <w:jc w:val="center"/>
              <w:rPr>
                <w:rFonts w:ascii="Times New Roman" w:eastAsia="Times New Roman" w:hAnsi="Times New Roman"/>
                <w:b/>
                <w:sz w:val="20"/>
                <w:szCs w:val="20"/>
                <w:lang w:eastAsia="lv-LV"/>
              </w:rPr>
            </w:pPr>
            <w:r w:rsidRPr="00EC058D">
              <w:rPr>
                <w:rFonts w:ascii="Times New Roman" w:eastAsia="Times New Roman" w:hAnsi="Times New Roman"/>
                <w:b/>
                <w:sz w:val="20"/>
                <w:szCs w:val="20"/>
                <w:lang w:eastAsia="lv-LV"/>
              </w:rPr>
              <w:t>266</w:t>
            </w:r>
          </w:p>
        </w:tc>
        <w:tc>
          <w:tcPr>
            <w:tcW w:w="850"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20</w:t>
            </w:r>
          </w:p>
        </w:tc>
        <w:tc>
          <w:tcPr>
            <w:tcW w:w="851"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b/>
                <w:sz w:val="20"/>
                <w:szCs w:val="20"/>
                <w:lang w:eastAsia="lv-LV"/>
              </w:rPr>
            </w:pPr>
            <w:r w:rsidRPr="00EC058D">
              <w:rPr>
                <w:rFonts w:ascii="Times New Roman" w:eastAsia="Times New Roman" w:hAnsi="Times New Roman"/>
                <w:b/>
                <w:sz w:val="20"/>
                <w:szCs w:val="20"/>
                <w:lang w:eastAsia="lv-LV"/>
              </w:rPr>
              <w:t>10</w:t>
            </w:r>
          </w:p>
        </w:tc>
        <w:tc>
          <w:tcPr>
            <w:tcW w:w="1134"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2 656</w:t>
            </w:r>
          </w:p>
        </w:tc>
        <w:tc>
          <w:tcPr>
            <w:tcW w:w="992" w:type="dxa"/>
            <w:shd w:val="clear" w:color="auto" w:fill="auto"/>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265</w:t>
            </w:r>
          </w:p>
        </w:tc>
      </w:tr>
      <w:tr w:rsidR="00FE0574" w:rsidRPr="00EC058D" w:rsidTr="00F57303">
        <w:trPr>
          <w:trHeight w:val="765"/>
          <w:jc w:val="center"/>
        </w:trPr>
        <w:tc>
          <w:tcPr>
            <w:tcW w:w="1391" w:type="dxa"/>
            <w:shd w:val="clear" w:color="auto" w:fill="auto"/>
            <w:hideMark/>
          </w:tcPr>
          <w:p w:rsidR="00FE0574" w:rsidRPr="00EC058D" w:rsidRDefault="00FE0574" w:rsidP="00F57303">
            <w:pPr>
              <w:spacing w:after="0" w:line="240" w:lineRule="auto"/>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 xml:space="preserve">Izmeklējums vidējā ģenētiskā riska grūtniecības gadījumā pie ginekologa-eksperta  </w:t>
            </w:r>
          </w:p>
        </w:tc>
        <w:tc>
          <w:tcPr>
            <w:tcW w:w="851"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20</w:t>
            </w:r>
          </w:p>
        </w:tc>
        <w:tc>
          <w:tcPr>
            <w:tcW w:w="1134"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i/>
                <w:iCs/>
                <w:sz w:val="20"/>
                <w:szCs w:val="20"/>
                <w:lang w:eastAsia="lv-LV"/>
              </w:rPr>
            </w:pPr>
            <w:r w:rsidRPr="00EC058D">
              <w:rPr>
                <w:rFonts w:ascii="Times New Roman" w:eastAsia="Times New Roman" w:hAnsi="Times New Roman"/>
                <w:b/>
                <w:sz w:val="20"/>
                <w:szCs w:val="20"/>
                <w:lang w:eastAsia="lv-LV"/>
              </w:rPr>
              <w:t>218 785                        (</w:t>
            </w:r>
            <w:r w:rsidRPr="00EC058D">
              <w:rPr>
                <w:rFonts w:ascii="Times New Roman" w:eastAsia="Times New Roman" w:hAnsi="Times New Roman"/>
                <w:b/>
                <w:i/>
                <w:iCs/>
                <w:sz w:val="20"/>
                <w:szCs w:val="20"/>
                <w:lang w:eastAsia="lv-LV"/>
              </w:rPr>
              <w:t>prognoze 2013.ga</w:t>
            </w:r>
            <w:r>
              <w:rPr>
                <w:rFonts w:ascii="Times New Roman" w:eastAsia="Times New Roman" w:hAnsi="Times New Roman"/>
                <w:b/>
                <w:i/>
                <w:iCs/>
                <w:sz w:val="20"/>
                <w:szCs w:val="20"/>
                <w:lang w:eastAsia="lv-LV"/>
              </w:rPr>
              <w:t>-</w:t>
            </w:r>
            <w:r w:rsidRPr="00EC058D">
              <w:rPr>
                <w:rFonts w:ascii="Times New Roman" w:eastAsia="Times New Roman" w:hAnsi="Times New Roman"/>
                <w:b/>
                <w:i/>
                <w:iCs/>
                <w:sz w:val="20"/>
                <w:szCs w:val="20"/>
                <w:lang w:eastAsia="lv-LV"/>
              </w:rPr>
              <w:t>dam)</w:t>
            </w:r>
          </w:p>
        </w:tc>
        <w:tc>
          <w:tcPr>
            <w:tcW w:w="1275" w:type="dxa"/>
            <w:shd w:val="clear" w:color="auto" w:fill="auto"/>
          </w:tcPr>
          <w:p w:rsidR="00FE0574" w:rsidRPr="00EC058D" w:rsidRDefault="00FE0574" w:rsidP="00F57303">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94,82</w:t>
            </w:r>
          </w:p>
        </w:tc>
        <w:tc>
          <w:tcPr>
            <w:tcW w:w="993" w:type="dxa"/>
            <w:shd w:val="clear" w:color="auto" w:fill="auto"/>
          </w:tcPr>
          <w:p w:rsidR="00FE0574" w:rsidRPr="00EC058D" w:rsidRDefault="00FE0574" w:rsidP="00F57303">
            <w:pPr>
              <w:spacing w:after="0" w:line="240" w:lineRule="auto"/>
              <w:jc w:val="center"/>
              <w:rPr>
                <w:rFonts w:ascii="Times New Roman" w:eastAsia="Times New Roman" w:hAnsi="Times New Roman"/>
                <w:b/>
                <w:sz w:val="20"/>
                <w:szCs w:val="20"/>
                <w:lang w:eastAsia="lv-LV"/>
              </w:rPr>
            </w:pPr>
            <w:r w:rsidRPr="00EC058D">
              <w:rPr>
                <w:rFonts w:ascii="Times New Roman" w:eastAsia="Times New Roman" w:hAnsi="Times New Roman"/>
                <w:b/>
                <w:sz w:val="20"/>
                <w:szCs w:val="20"/>
                <w:lang w:eastAsia="lv-LV"/>
              </w:rPr>
              <w:t>868</w:t>
            </w:r>
          </w:p>
        </w:tc>
        <w:tc>
          <w:tcPr>
            <w:tcW w:w="850"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7</w:t>
            </w:r>
          </w:p>
        </w:tc>
        <w:tc>
          <w:tcPr>
            <w:tcW w:w="851"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b/>
                <w:sz w:val="20"/>
                <w:szCs w:val="20"/>
                <w:lang w:eastAsia="lv-LV"/>
              </w:rPr>
            </w:pPr>
            <w:r w:rsidRPr="00EC058D">
              <w:rPr>
                <w:rFonts w:ascii="Times New Roman" w:eastAsia="Times New Roman" w:hAnsi="Times New Roman"/>
                <w:b/>
                <w:sz w:val="20"/>
                <w:szCs w:val="20"/>
                <w:lang w:eastAsia="lv-LV"/>
              </w:rPr>
              <w:t>13</w:t>
            </w:r>
          </w:p>
        </w:tc>
        <w:tc>
          <w:tcPr>
            <w:tcW w:w="1134"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11 284</w:t>
            </w:r>
          </w:p>
        </w:tc>
        <w:tc>
          <w:tcPr>
            <w:tcW w:w="992" w:type="dxa"/>
            <w:shd w:val="clear" w:color="auto" w:fill="auto"/>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119</w:t>
            </w:r>
          </w:p>
        </w:tc>
      </w:tr>
      <w:tr w:rsidR="00FE0574" w:rsidRPr="00EC058D" w:rsidTr="00F57303">
        <w:trPr>
          <w:trHeight w:val="945"/>
          <w:jc w:val="center"/>
        </w:trPr>
        <w:tc>
          <w:tcPr>
            <w:tcW w:w="1391" w:type="dxa"/>
            <w:shd w:val="clear" w:color="auto" w:fill="auto"/>
            <w:hideMark/>
          </w:tcPr>
          <w:p w:rsidR="00FE0574" w:rsidRPr="00EC058D" w:rsidRDefault="00FE0574" w:rsidP="00F57303">
            <w:pPr>
              <w:spacing w:after="0" w:line="240" w:lineRule="auto"/>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lastRenderedPageBreak/>
              <w:t>Ārstēšanas uzsākšana ļaundabīgā audzēja diagnosticēšanas  gadījumā (ķīmijterapija, staru terapija) ambulatori</w:t>
            </w:r>
          </w:p>
        </w:tc>
        <w:tc>
          <w:tcPr>
            <w:tcW w:w="851"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25</w:t>
            </w:r>
          </w:p>
        </w:tc>
        <w:tc>
          <w:tcPr>
            <w:tcW w:w="1134"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3 292 442</w:t>
            </w:r>
          </w:p>
        </w:tc>
        <w:tc>
          <w:tcPr>
            <w:tcW w:w="1275" w:type="dxa"/>
            <w:shd w:val="clear" w:color="auto" w:fill="auto"/>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23,93</w:t>
            </w:r>
          </w:p>
        </w:tc>
        <w:tc>
          <w:tcPr>
            <w:tcW w:w="993" w:type="dxa"/>
            <w:shd w:val="clear" w:color="auto" w:fill="auto"/>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13 065</w:t>
            </w:r>
          </w:p>
        </w:tc>
        <w:tc>
          <w:tcPr>
            <w:tcW w:w="850"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10</w:t>
            </w:r>
          </w:p>
        </w:tc>
        <w:tc>
          <w:tcPr>
            <w:tcW w:w="851"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15</w:t>
            </w:r>
          </w:p>
        </w:tc>
        <w:tc>
          <w:tcPr>
            <w:tcW w:w="1134"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196 045</w:t>
            </w:r>
          </w:p>
        </w:tc>
        <w:tc>
          <w:tcPr>
            <w:tcW w:w="992" w:type="dxa"/>
            <w:shd w:val="clear" w:color="auto" w:fill="auto"/>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8 192</w:t>
            </w:r>
          </w:p>
        </w:tc>
      </w:tr>
      <w:tr w:rsidR="00FE0574" w:rsidRPr="00EC058D" w:rsidTr="00F57303">
        <w:trPr>
          <w:trHeight w:val="885"/>
          <w:jc w:val="center"/>
        </w:trPr>
        <w:tc>
          <w:tcPr>
            <w:tcW w:w="1391" w:type="dxa"/>
            <w:shd w:val="clear" w:color="auto" w:fill="auto"/>
            <w:hideMark/>
          </w:tcPr>
          <w:p w:rsidR="00FE0574" w:rsidRPr="00EC058D" w:rsidRDefault="00FE0574" w:rsidP="00F57303">
            <w:pPr>
              <w:spacing w:after="0" w:line="240" w:lineRule="auto"/>
              <w:jc w:val="right"/>
              <w:rPr>
                <w:rFonts w:ascii="Times New Roman" w:eastAsia="Times New Roman" w:hAnsi="Times New Roman"/>
                <w:i/>
                <w:iCs/>
                <w:sz w:val="20"/>
                <w:szCs w:val="20"/>
                <w:lang w:eastAsia="lv-LV"/>
              </w:rPr>
            </w:pPr>
            <w:r w:rsidRPr="00EC058D">
              <w:rPr>
                <w:rFonts w:ascii="Times New Roman" w:eastAsia="Times New Roman" w:hAnsi="Times New Roman"/>
                <w:i/>
                <w:iCs/>
                <w:sz w:val="20"/>
                <w:szCs w:val="20"/>
                <w:lang w:eastAsia="lv-LV"/>
              </w:rPr>
              <w:t>Ārstēšanas uzsākšana ļaundabīgā audzēja diagnosticēšanas  gadījumā pieaugušie</w:t>
            </w:r>
          </w:p>
        </w:tc>
        <w:tc>
          <w:tcPr>
            <w:tcW w:w="851"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25</w:t>
            </w:r>
          </w:p>
        </w:tc>
        <w:tc>
          <w:tcPr>
            <w:tcW w:w="1134"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3 289 092</w:t>
            </w:r>
          </w:p>
        </w:tc>
        <w:tc>
          <w:tcPr>
            <w:tcW w:w="1275"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23,93</w:t>
            </w:r>
          </w:p>
        </w:tc>
        <w:tc>
          <w:tcPr>
            <w:tcW w:w="993"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13 052</w:t>
            </w:r>
          </w:p>
        </w:tc>
        <w:tc>
          <w:tcPr>
            <w:tcW w:w="850"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10</w:t>
            </w:r>
          </w:p>
        </w:tc>
        <w:tc>
          <w:tcPr>
            <w:tcW w:w="851"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15</w:t>
            </w:r>
          </w:p>
        </w:tc>
        <w:tc>
          <w:tcPr>
            <w:tcW w:w="1134"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195 779</w:t>
            </w:r>
          </w:p>
        </w:tc>
        <w:tc>
          <w:tcPr>
            <w:tcW w:w="992"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8 182</w:t>
            </w:r>
          </w:p>
        </w:tc>
      </w:tr>
      <w:tr w:rsidR="00FE0574" w:rsidRPr="00EC058D" w:rsidTr="00F57303">
        <w:trPr>
          <w:trHeight w:val="795"/>
          <w:jc w:val="center"/>
        </w:trPr>
        <w:tc>
          <w:tcPr>
            <w:tcW w:w="1391" w:type="dxa"/>
            <w:shd w:val="clear" w:color="auto" w:fill="auto"/>
            <w:hideMark/>
          </w:tcPr>
          <w:p w:rsidR="00FE0574" w:rsidRPr="00EC058D" w:rsidRDefault="00FE0574" w:rsidP="00F57303">
            <w:pPr>
              <w:spacing w:after="0" w:line="240" w:lineRule="auto"/>
              <w:jc w:val="right"/>
              <w:rPr>
                <w:rFonts w:ascii="Times New Roman" w:eastAsia="Times New Roman" w:hAnsi="Times New Roman"/>
                <w:i/>
                <w:iCs/>
                <w:sz w:val="20"/>
                <w:szCs w:val="20"/>
                <w:lang w:eastAsia="lv-LV"/>
              </w:rPr>
            </w:pPr>
            <w:r w:rsidRPr="00EC058D">
              <w:rPr>
                <w:rFonts w:ascii="Times New Roman" w:eastAsia="Times New Roman" w:hAnsi="Times New Roman"/>
                <w:i/>
                <w:iCs/>
                <w:sz w:val="20"/>
                <w:szCs w:val="20"/>
                <w:lang w:eastAsia="lv-LV"/>
              </w:rPr>
              <w:t>Ārstēšanas uzsākšana ļaundabīgā audzēja diagnosticēšanas  gadījumā bērni</w:t>
            </w:r>
          </w:p>
        </w:tc>
        <w:tc>
          <w:tcPr>
            <w:tcW w:w="851"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25</w:t>
            </w:r>
          </w:p>
        </w:tc>
        <w:tc>
          <w:tcPr>
            <w:tcW w:w="1134"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3 350</w:t>
            </w:r>
          </w:p>
        </w:tc>
        <w:tc>
          <w:tcPr>
            <w:tcW w:w="1275"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26,6</w:t>
            </w:r>
          </w:p>
        </w:tc>
        <w:tc>
          <w:tcPr>
            <w:tcW w:w="993"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13</w:t>
            </w:r>
          </w:p>
        </w:tc>
        <w:tc>
          <w:tcPr>
            <w:tcW w:w="850"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5</w:t>
            </w:r>
          </w:p>
        </w:tc>
        <w:tc>
          <w:tcPr>
            <w:tcW w:w="851"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20</w:t>
            </w:r>
          </w:p>
        </w:tc>
        <w:tc>
          <w:tcPr>
            <w:tcW w:w="1134"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266</w:t>
            </w:r>
          </w:p>
        </w:tc>
        <w:tc>
          <w:tcPr>
            <w:tcW w:w="992"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10</w:t>
            </w:r>
          </w:p>
        </w:tc>
      </w:tr>
      <w:tr w:rsidR="00FE0574" w:rsidRPr="00EC058D" w:rsidTr="00F57303">
        <w:trPr>
          <w:trHeight w:val="510"/>
          <w:jc w:val="center"/>
        </w:trPr>
        <w:tc>
          <w:tcPr>
            <w:tcW w:w="1391" w:type="dxa"/>
            <w:shd w:val="clear" w:color="auto" w:fill="auto"/>
            <w:hideMark/>
          </w:tcPr>
          <w:p w:rsidR="00FE0574" w:rsidRPr="00EC058D" w:rsidRDefault="00FE0574" w:rsidP="00F57303">
            <w:pPr>
              <w:spacing w:after="0" w:line="240" w:lineRule="auto"/>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Operācijas dienas stacionārā, izņemot oftalmoloģis</w:t>
            </w:r>
            <w:r>
              <w:rPr>
                <w:rFonts w:ascii="Times New Roman" w:eastAsia="Times New Roman" w:hAnsi="Times New Roman"/>
                <w:sz w:val="20"/>
                <w:szCs w:val="20"/>
                <w:lang w:eastAsia="lv-LV"/>
              </w:rPr>
              <w:t>-</w:t>
            </w:r>
            <w:r w:rsidRPr="00EC058D">
              <w:rPr>
                <w:rFonts w:ascii="Times New Roman" w:eastAsia="Times New Roman" w:hAnsi="Times New Roman"/>
                <w:sz w:val="20"/>
                <w:szCs w:val="20"/>
                <w:lang w:eastAsia="lv-LV"/>
              </w:rPr>
              <w:t>kās operācijas</w:t>
            </w:r>
          </w:p>
        </w:tc>
        <w:tc>
          <w:tcPr>
            <w:tcW w:w="851"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p>
        </w:tc>
        <w:tc>
          <w:tcPr>
            <w:tcW w:w="1134"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15 606 393</w:t>
            </w:r>
          </w:p>
        </w:tc>
        <w:tc>
          <w:tcPr>
            <w:tcW w:w="1275" w:type="dxa"/>
            <w:shd w:val="clear" w:color="auto" w:fill="auto"/>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113,96</w:t>
            </w:r>
          </w:p>
        </w:tc>
        <w:tc>
          <w:tcPr>
            <w:tcW w:w="993" w:type="dxa"/>
            <w:shd w:val="clear" w:color="auto" w:fill="auto"/>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61 930</w:t>
            </w:r>
          </w:p>
        </w:tc>
        <w:tc>
          <w:tcPr>
            <w:tcW w:w="850"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p>
        </w:tc>
        <w:tc>
          <w:tcPr>
            <w:tcW w:w="851"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p>
        </w:tc>
        <w:tc>
          <w:tcPr>
            <w:tcW w:w="1134"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1 918 264</w:t>
            </w:r>
          </w:p>
        </w:tc>
        <w:tc>
          <w:tcPr>
            <w:tcW w:w="992" w:type="dxa"/>
            <w:shd w:val="clear" w:color="auto" w:fill="auto"/>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16 833</w:t>
            </w:r>
          </w:p>
        </w:tc>
      </w:tr>
      <w:tr w:rsidR="00FE0574" w:rsidRPr="00EC058D" w:rsidTr="00F57303">
        <w:trPr>
          <w:trHeight w:val="510"/>
          <w:jc w:val="center"/>
        </w:trPr>
        <w:tc>
          <w:tcPr>
            <w:tcW w:w="1391" w:type="dxa"/>
            <w:shd w:val="clear" w:color="auto" w:fill="auto"/>
            <w:hideMark/>
          </w:tcPr>
          <w:p w:rsidR="00FE0574" w:rsidRPr="00EC058D" w:rsidRDefault="00FE0574" w:rsidP="00F57303">
            <w:pPr>
              <w:spacing w:after="0" w:line="240" w:lineRule="auto"/>
              <w:jc w:val="right"/>
              <w:rPr>
                <w:rFonts w:ascii="Times New Roman" w:eastAsia="Times New Roman" w:hAnsi="Times New Roman"/>
                <w:i/>
                <w:iCs/>
                <w:sz w:val="20"/>
                <w:szCs w:val="20"/>
                <w:lang w:eastAsia="lv-LV"/>
              </w:rPr>
            </w:pPr>
            <w:r w:rsidRPr="00EC058D">
              <w:rPr>
                <w:rFonts w:ascii="Times New Roman" w:eastAsia="Times New Roman" w:hAnsi="Times New Roman"/>
                <w:i/>
                <w:iCs/>
                <w:sz w:val="20"/>
                <w:szCs w:val="20"/>
                <w:lang w:eastAsia="lv-LV"/>
              </w:rPr>
              <w:t>Operācijas dienas stacionārā pieaugušie</w:t>
            </w:r>
          </w:p>
        </w:tc>
        <w:tc>
          <w:tcPr>
            <w:tcW w:w="851"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90</w:t>
            </w:r>
          </w:p>
        </w:tc>
        <w:tc>
          <w:tcPr>
            <w:tcW w:w="1134"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15 099 367</w:t>
            </w:r>
          </w:p>
        </w:tc>
        <w:tc>
          <w:tcPr>
            <w:tcW w:w="1275"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113,96</w:t>
            </w:r>
          </w:p>
        </w:tc>
        <w:tc>
          <w:tcPr>
            <w:tcW w:w="993"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59 918</w:t>
            </w:r>
          </w:p>
        </w:tc>
        <w:tc>
          <w:tcPr>
            <w:tcW w:w="850"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60</w:t>
            </w:r>
          </w:p>
        </w:tc>
        <w:tc>
          <w:tcPr>
            <w:tcW w:w="851"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30</w:t>
            </w:r>
          </w:p>
        </w:tc>
        <w:tc>
          <w:tcPr>
            <w:tcW w:w="1134"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1 797 544</w:t>
            </w:r>
          </w:p>
        </w:tc>
        <w:tc>
          <w:tcPr>
            <w:tcW w:w="992"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15 774</w:t>
            </w:r>
          </w:p>
        </w:tc>
      </w:tr>
      <w:tr w:rsidR="00FE0574" w:rsidRPr="00EC058D" w:rsidTr="00F57303">
        <w:trPr>
          <w:trHeight w:val="255"/>
          <w:jc w:val="center"/>
        </w:trPr>
        <w:tc>
          <w:tcPr>
            <w:tcW w:w="1391" w:type="dxa"/>
            <w:shd w:val="clear" w:color="auto" w:fill="auto"/>
            <w:hideMark/>
          </w:tcPr>
          <w:p w:rsidR="00FE0574" w:rsidRPr="00EC058D" w:rsidRDefault="00FE0574" w:rsidP="00F57303">
            <w:pPr>
              <w:spacing w:after="0" w:line="240" w:lineRule="auto"/>
              <w:jc w:val="right"/>
              <w:rPr>
                <w:rFonts w:ascii="Times New Roman" w:eastAsia="Times New Roman" w:hAnsi="Times New Roman"/>
                <w:i/>
                <w:iCs/>
                <w:sz w:val="20"/>
                <w:szCs w:val="20"/>
                <w:lang w:eastAsia="lv-LV"/>
              </w:rPr>
            </w:pPr>
            <w:r w:rsidRPr="00EC058D">
              <w:rPr>
                <w:rFonts w:ascii="Times New Roman" w:eastAsia="Times New Roman" w:hAnsi="Times New Roman"/>
                <w:i/>
                <w:iCs/>
                <w:sz w:val="20"/>
                <w:szCs w:val="20"/>
                <w:lang w:eastAsia="lv-LV"/>
              </w:rPr>
              <w:t>Operācijas dienas stacionārā bērni</w:t>
            </w:r>
          </w:p>
        </w:tc>
        <w:tc>
          <w:tcPr>
            <w:tcW w:w="851"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90</w:t>
            </w:r>
          </w:p>
        </w:tc>
        <w:tc>
          <w:tcPr>
            <w:tcW w:w="1134"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507 026</w:t>
            </w:r>
          </w:p>
        </w:tc>
        <w:tc>
          <w:tcPr>
            <w:tcW w:w="1275"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113,96</w:t>
            </w:r>
          </w:p>
        </w:tc>
        <w:tc>
          <w:tcPr>
            <w:tcW w:w="993"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2 012</w:t>
            </w:r>
          </w:p>
        </w:tc>
        <w:tc>
          <w:tcPr>
            <w:tcW w:w="850"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30</w:t>
            </w:r>
          </w:p>
        </w:tc>
        <w:tc>
          <w:tcPr>
            <w:tcW w:w="851"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60</w:t>
            </w:r>
          </w:p>
        </w:tc>
        <w:tc>
          <w:tcPr>
            <w:tcW w:w="1134"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120 720</w:t>
            </w:r>
          </w:p>
        </w:tc>
        <w:tc>
          <w:tcPr>
            <w:tcW w:w="992"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1 059</w:t>
            </w:r>
          </w:p>
        </w:tc>
      </w:tr>
      <w:tr w:rsidR="00FE0574" w:rsidRPr="00EC058D" w:rsidTr="00F57303">
        <w:trPr>
          <w:trHeight w:val="510"/>
          <w:jc w:val="center"/>
        </w:trPr>
        <w:tc>
          <w:tcPr>
            <w:tcW w:w="1391" w:type="dxa"/>
            <w:shd w:val="clear" w:color="auto" w:fill="auto"/>
            <w:hideMark/>
          </w:tcPr>
          <w:p w:rsidR="00FE0574" w:rsidRPr="00EC058D" w:rsidRDefault="00FE0574" w:rsidP="00F57303">
            <w:pPr>
              <w:spacing w:after="0" w:line="240" w:lineRule="auto"/>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Oftalmoloģis</w:t>
            </w:r>
            <w:r>
              <w:rPr>
                <w:rFonts w:ascii="Times New Roman" w:eastAsia="Times New Roman" w:hAnsi="Times New Roman"/>
                <w:sz w:val="20"/>
                <w:szCs w:val="20"/>
                <w:lang w:eastAsia="lv-LV"/>
              </w:rPr>
              <w:t>-</w:t>
            </w:r>
            <w:r w:rsidRPr="00EC058D">
              <w:rPr>
                <w:rFonts w:ascii="Times New Roman" w:eastAsia="Times New Roman" w:hAnsi="Times New Roman"/>
                <w:sz w:val="20"/>
                <w:szCs w:val="20"/>
                <w:lang w:eastAsia="lv-LV"/>
              </w:rPr>
              <w:t>kās  operācijas dienas stacionārā</w:t>
            </w:r>
          </w:p>
        </w:tc>
        <w:tc>
          <w:tcPr>
            <w:tcW w:w="851"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p>
        </w:tc>
        <w:tc>
          <w:tcPr>
            <w:tcW w:w="1134"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sz w:val="20"/>
                <w:szCs w:val="20"/>
                <w:lang w:eastAsia="lv-LV"/>
              </w:rPr>
            </w:pPr>
            <w:r w:rsidRPr="00EC058D">
              <w:rPr>
                <w:rFonts w:ascii="Times New Roman" w:eastAsia="Times New Roman" w:hAnsi="Times New Roman"/>
                <w:b/>
                <w:sz w:val="20"/>
                <w:szCs w:val="20"/>
                <w:lang w:eastAsia="lv-LV"/>
              </w:rPr>
              <w:t>1 737 480</w:t>
            </w:r>
          </w:p>
        </w:tc>
        <w:tc>
          <w:tcPr>
            <w:tcW w:w="1275" w:type="dxa"/>
            <w:shd w:val="clear" w:color="auto" w:fill="auto"/>
          </w:tcPr>
          <w:p w:rsidR="00FE0574" w:rsidRPr="00EC058D" w:rsidRDefault="00FE0574" w:rsidP="00F57303">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158,17</w:t>
            </w:r>
          </w:p>
        </w:tc>
        <w:tc>
          <w:tcPr>
            <w:tcW w:w="993" w:type="dxa"/>
            <w:shd w:val="clear" w:color="auto" w:fill="auto"/>
          </w:tcPr>
          <w:p w:rsidR="00FE0574" w:rsidRPr="00EC058D" w:rsidRDefault="00FE0574" w:rsidP="00F57303">
            <w:pPr>
              <w:spacing w:after="0" w:line="240" w:lineRule="auto"/>
              <w:jc w:val="center"/>
              <w:rPr>
                <w:rFonts w:ascii="Times New Roman" w:eastAsia="Times New Roman" w:hAnsi="Times New Roman"/>
                <w:b/>
                <w:sz w:val="20"/>
                <w:szCs w:val="20"/>
                <w:lang w:eastAsia="lv-LV"/>
              </w:rPr>
            </w:pPr>
            <w:r w:rsidRPr="00EC058D">
              <w:rPr>
                <w:rFonts w:ascii="Times New Roman" w:eastAsia="Times New Roman" w:hAnsi="Times New Roman"/>
                <w:b/>
                <w:sz w:val="20"/>
                <w:szCs w:val="20"/>
                <w:lang w:eastAsia="lv-LV"/>
              </w:rPr>
              <w:t>6 895</w:t>
            </w:r>
          </w:p>
        </w:tc>
        <w:tc>
          <w:tcPr>
            <w:tcW w:w="850"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252</w:t>
            </w:r>
          </w:p>
        </w:tc>
        <w:tc>
          <w:tcPr>
            <w:tcW w:w="851"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p>
        </w:tc>
        <w:tc>
          <w:tcPr>
            <w:tcW w:w="1134"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2 180 200</w:t>
            </w:r>
          </w:p>
        </w:tc>
        <w:tc>
          <w:tcPr>
            <w:tcW w:w="992" w:type="dxa"/>
            <w:shd w:val="clear" w:color="auto" w:fill="auto"/>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13 784</w:t>
            </w:r>
          </w:p>
        </w:tc>
      </w:tr>
      <w:tr w:rsidR="00FE0574" w:rsidRPr="00EC058D" w:rsidTr="00F57303">
        <w:trPr>
          <w:trHeight w:val="510"/>
          <w:jc w:val="center"/>
        </w:trPr>
        <w:tc>
          <w:tcPr>
            <w:tcW w:w="1391" w:type="dxa"/>
            <w:shd w:val="clear" w:color="auto" w:fill="auto"/>
            <w:hideMark/>
          </w:tcPr>
          <w:p w:rsidR="00FE0574" w:rsidRPr="00EC058D" w:rsidRDefault="00FE0574" w:rsidP="00F57303">
            <w:pPr>
              <w:spacing w:after="0" w:line="240" w:lineRule="auto"/>
              <w:jc w:val="right"/>
              <w:rPr>
                <w:rFonts w:ascii="Times New Roman" w:eastAsia="Times New Roman" w:hAnsi="Times New Roman"/>
                <w:i/>
                <w:iCs/>
                <w:sz w:val="20"/>
                <w:szCs w:val="20"/>
                <w:lang w:eastAsia="lv-LV"/>
              </w:rPr>
            </w:pPr>
            <w:r w:rsidRPr="00EC058D">
              <w:rPr>
                <w:rFonts w:ascii="Times New Roman" w:eastAsia="Times New Roman" w:hAnsi="Times New Roman"/>
                <w:i/>
                <w:iCs/>
                <w:sz w:val="20"/>
                <w:szCs w:val="20"/>
                <w:lang w:eastAsia="lv-LV"/>
              </w:rPr>
              <w:t>Oftalmoloģis</w:t>
            </w:r>
            <w:r>
              <w:rPr>
                <w:rFonts w:ascii="Times New Roman" w:eastAsia="Times New Roman" w:hAnsi="Times New Roman"/>
                <w:i/>
                <w:iCs/>
                <w:sz w:val="20"/>
                <w:szCs w:val="20"/>
                <w:lang w:eastAsia="lv-LV"/>
              </w:rPr>
              <w:t>-</w:t>
            </w:r>
            <w:r w:rsidRPr="00EC058D">
              <w:rPr>
                <w:rFonts w:ascii="Times New Roman" w:eastAsia="Times New Roman" w:hAnsi="Times New Roman"/>
                <w:i/>
                <w:iCs/>
                <w:sz w:val="20"/>
                <w:szCs w:val="20"/>
                <w:lang w:eastAsia="lv-LV"/>
              </w:rPr>
              <w:t>kās  operācijas dienas stacionārā pieaugušie</w:t>
            </w:r>
          </w:p>
        </w:tc>
        <w:tc>
          <w:tcPr>
            <w:tcW w:w="851"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680</w:t>
            </w:r>
          </w:p>
        </w:tc>
        <w:tc>
          <w:tcPr>
            <w:tcW w:w="1134"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1 711 147</w:t>
            </w:r>
          </w:p>
        </w:tc>
        <w:tc>
          <w:tcPr>
            <w:tcW w:w="1275"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158,18</w:t>
            </w:r>
          </w:p>
        </w:tc>
        <w:tc>
          <w:tcPr>
            <w:tcW w:w="993"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6 790</w:t>
            </w:r>
          </w:p>
        </w:tc>
        <w:tc>
          <w:tcPr>
            <w:tcW w:w="850"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360</w:t>
            </w:r>
          </w:p>
        </w:tc>
        <w:tc>
          <w:tcPr>
            <w:tcW w:w="851"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320</w:t>
            </w:r>
          </w:p>
        </w:tc>
        <w:tc>
          <w:tcPr>
            <w:tcW w:w="1134"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2 172 885</w:t>
            </w:r>
          </w:p>
        </w:tc>
        <w:tc>
          <w:tcPr>
            <w:tcW w:w="992"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13 737</w:t>
            </w:r>
          </w:p>
        </w:tc>
      </w:tr>
      <w:tr w:rsidR="00FE0574" w:rsidRPr="00EC058D" w:rsidTr="00F57303">
        <w:trPr>
          <w:trHeight w:val="510"/>
          <w:jc w:val="center"/>
        </w:trPr>
        <w:tc>
          <w:tcPr>
            <w:tcW w:w="1391" w:type="dxa"/>
            <w:shd w:val="clear" w:color="auto" w:fill="auto"/>
            <w:hideMark/>
          </w:tcPr>
          <w:p w:rsidR="00FE0574" w:rsidRPr="00EC058D" w:rsidRDefault="00FE0574" w:rsidP="00F57303">
            <w:pPr>
              <w:spacing w:after="0" w:line="240" w:lineRule="auto"/>
              <w:jc w:val="right"/>
              <w:rPr>
                <w:rFonts w:ascii="Times New Roman" w:eastAsia="Times New Roman" w:hAnsi="Times New Roman"/>
                <w:i/>
                <w:iCs/>
                <w:sz w:val="20"/>
                <w:szCs w:val="20"/>
                <w:lang w:eastAsia="lv-LV"/>
              </w:rPr>
            </w:pPr>
            <w:r w:rsidRPr="00EC058D">
              <w:rPr>
                <w:rFonts w:ascii="Times New Roman" w:eastAsia="Times New Roman" w:hAnsi="Times New Roman"/>
                <w:i/>
                <w:iCs/>
                <w:sz w:val="20"/>
                <w:szCs w:val="20"/>
                <w:lang w:eastAsia="lv-LV"/>
              </w:rPr>
              <w:t>Oftalmoloģis</w:t>
            </w:r>
            <w:r>
              <w:rPr>
                <w:rFonts w:ascii="Times New Roman" w:eastAsia="Times New Roman" w:hAnsi="Times New Roman"/>
                <w:i/>
                <w:iCs/>
                <w:sz w:val="20"/>
                <w:szCs w:val="20"/>
                <w:lang w:eastAsia="lv-LV"/>
              </w:rPr>
              <w:t>-</w:t>
            </w:r>
            <w:r w:rsidRPr="00EC058D">
              <w:rPr>
                <w:rFonts w:ascii="Times New Roman" w:eastAsia="Times New Roman" w:hAnsi="Times New Roman"/>
                <w:i/>
                <w:iCs/>
                <w:sz w:val="20"/>
                <w:szCs w:val="20"/>
                <w:lang w:eastAsia="lv-LV"/>
              </w:rPr>
              <w:t>kās  operācijas dienas stacionārā bērni</w:t>
            </w:r>
          </w:p>
        </w:tc>
        <w:tc>
          <w:tcPr>
            <w:tcW w:w="851"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100</w:t>
            </w:r>
          </w:p>
        </w:tc>
        <w:tc>
          <w:tcPr>
            <w:tcW w:w="1134" w:type="dxa"/>
            <w:shd w:val="clear" w:color="auto" w:fill="auto"/>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26 333</w:t>
            </w:r>
          </w:p>
        </w:tc>
        <w:tc>
          <w:tcPr>
            <w:tcW w:w="1275"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155,64</w:t>
            </w:r>
          </w:p>
        </w:tc>
        <w:tc>
          <w:tcPr>
            <w:tcW w:w="993"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104</w:t>
            </w:r>
          </w:p>
        </w:tc>
        <w:tc>
          <w:tcPr>
            <w:tcW w:w="850" w:type="dxa"/>
            <w:shd w:val="clear" w:color="auto" w:fill="auto"/>
            <w:hideMark/>
          </w:tcPr>
          <w:p w:rsidR="00FE0574" w:rsidRPr="00EC058D" w:rsidRDefault="00FE0574" w:rsidP="00F57303">
            <w:pPr>
              <w:spacing w:after="0" w:line="240" w:lineRule="auto"/>
              <w:jc w:val="center"/>
              <w:rPr>
                <w:rFonts w:ascii="Times New Roman" w:eastAsia="Times New Roman" w:hAnsi="Times New Roman"/>
                <w:b/>
                <w:bCs/>
                <w:sz w:val="20"/>
                <w:szCs w:val="20"/>
                <w:lang w:eastAsia="lv-LV"/>
              </w:rPr>
            </w:pPr>
            <w:r w:rsidRPr="00EC058D">
              <w:rPr>
                <w:rFonts w:ascii="Times New Roman" w:eastAsia="Times New Roman" w:hAnsi="Times New Roman"/>
                <w:b/>
                <w:bCs/>
                <w:sz w:val="20"/>
                <w:szCs w:val="20"/>
                <w:lang w:eastAsia="lv-LV"/>
              </w:rPr>
              <w:t>30</w:t>
            </w:r>
          </w:p>
        </w:tc>
        <w:tc>
          <w:tcPr>
            <w:tcW w:w="851"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70</w:t>
            </w:r>
          </w:p>
        </w:tc>
        <w:tc>
          <w:tcPr>
            <w:tcW w:w="1134" w:type="dxa"/>
            <w:shd w:val="clear" w:color="auto" w:fill="auto"/>
            <w:noWrap/>
            <w:hideMark/>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7 315</w:t>
            </w:r>
          </w:p>
        </w:tc>
        <w:tc>
          <w:tcPr>
            <w:tcW w:w="992" w:type="dxa"/>
            <w:shd w:val="clear" w:color="auto" w:fill="auto"/>
          </w:tcPr>
          <w:p w:rsidR="00FE0574" w:rsidRPr="00EC058D" w:rsidRDefault="00FE0574" w:rsidP="00F57303">
            <w:pPr>
              <w:spacing w:after="0" w:line="240" w:lineRule="auto"/>
              <w:jc w:val="center"/>
              <w:rPr>
                <w:rFonts w:ascii="Times New Roman" w:eastAsia="Times New Roman" w:hAnsi="Times New Roman"/>
                <w:sz w:val="20"/>
                <w:szCs w:val="20"/>
                <w:lang w:eastAsia="lv-LV"/>
              </w:rPr>
            </w:pPr>
            <w:r w:rsidRPr="00EC058D">
              <w:rPr>
                <w:rFonts w:ascii="Times New Roman" w:eastAsia="Times New Roman" w:hAnsi="Times New Roman"/>
                <w:sz w:val="20"/>
                <w:szCs w:val="20"/>
                <w:lang w:eastAsia="lv-LV"/>
              </w:rPr>
              <w:t>47</w:t>
            </w:r>
          </w:p>
        </w:tc>
      </w:tr>
      <w:tr w:rsidR="00FE0574" w:rsidRPr="00410DA5" w:rsidTr="00F57303">
        <w:trPr>
          <w:trHeight w:val="510"/>
          <w:jc w:val="center"/>
        </w:trPr>
        <w:tc>
          <w:tcPr>
            <w:tcW w:w="7345" w:type="dxa"/>
            <w:gridSpan w:val="7"/>
            <w:shd w:val="clear" w:color="auto" w:fill="auto"/>
            <w:hideMark/>
          </w:tcPr>
          <w:p w:rsidR="00FE0574" w:rsidRPr="009C27FD" w:rsidRDefault="00FE0574" w:rsidP="00F57303">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 xml:space="preserve">                                                                           </w:t>
            </w:r>
            <w:r w:rsidRPr="009C27FD">
              <w:rPr>
                <w:rFonts w:ascii="Times New Roman" w:eastAsia="Times New Roman" w:hAnsi="Times New Roman"/>
                <w:b/>
                <w:sz w:val="20"/>
                <w:szCs w:val="20"/>
                <w:lang w:eastAsia="lv-LV"/>
              </w:rPr>
              <w:t>Kopā ambulatorajiem pakalpojumiem</w:t>
            </w:r>
            <w:r>
              <w:rPr>
                <w:rFonts w:ascii="Times New Roman" w:eastAsia="Times New Roman" w:hAnsi="Times New Roman"/>
                <w:b/>
                <w:sz w:val="20"/>
                <w:szCs w:val="20"/>
                <w:lang w:eastAsia="lv-LV"/>
              </w:rPr>
              <w:t>:</w:t>
            </w:r>
          </w:p>
        </w:tc>
        <w:tc>
          <w:tcPr>
            <w:tcW w:w="1134" w:type="dxa"/>
            <w:shd w:val="clear" w:color="auto" w:fill="auto"/>
            <w:noWrap/>
            <w:hideMark/>
          </w:tcPr>
          <w:p w:rsidR="00FE0574" w:rsidRPr="009C27FD" w:rsidRDefault="00FE0574" w:rsidP="00F57303">
            <w:pPr>
              <w:spacing w:after="0" w:line="240" w:lineRule="auto"/>
              <w:jc w:val="center"/>
              <w:rPr>
                <w:rFonts w:ascii="Times New Roman" w:eastAsia="Times New Roman" w:hAnsi="Times New Roman"/>
                <w:b/>
                <w:sz w:val="20"/>
                <w:szCs w:val="20"/>
                <w:lang w:eastAsia="lv-LV"/>
              </w:rPr>
            </w:pPr>
            <w:r w:rsidRPr="009C27FD">
              <w:rPr>
                <w:rFonts w:ascii="Times New Roman" w:eastAsia="Times New Roman" w:hAnsi="Times New Roman"/>
                <w:b/>
                <w:sz w:val="20"/>
                <w:szCs w:val="20"/>
                <w:lang w:eastAsia="lv-LV"/>
              </w:rPr>
              <w:t>8 139 004</w:t>
            </w:r>
          </w:p>
        </w:tc>
        <w:tc>
          <w:tcPr>
            <w:tcW w:w="992" w:type="dxa"/>
            <w:shd w:val="clear" w:color="auto" w:fill="auto"/>
          </w:tcPr>
          <w:p w:rsidR="00FE0574" w:rsidRPr="00410DA5" w:rsidRDefault="00410DA5" w:rsidP="00F57303">
            <w:pPr>
              <w:spacing w:after="0" w:line="240" w:lineRule="auto"/>
              <w:jc w:val="center"/>
              <w:rPr>
                <w:rFonts w:ascii="Times New Roman" w:eastAsia="Times New Roman" w:hAnsi="Times New Roman"/>
                <w:b/>
                <w:sz w:val="20"/>
                <w:szCs w:val="20"/>
                <w:lang w:eastAsia="lv-LV"/>
              </w:rPr>
            </w:pPr>
            <w:r w:rsidRPr="00410DA5">
              <w:rPr>
                <w:rFonts w:ascii="Times New Roman" w:eastAsia="Times New Roman" w:hAnsi="Times New Roman"/>
                <w:b/>
                <w:sz w:val="20"/>
                <w:szCs w:val="20"/>
                <w:lang w:eastAsia="lv-LV"/>
              </w:rPr>
              <w:t>408 115</w:t>
            </w:r>
          </w:p>
        </w:tc>
      </w:tr>
    </w:tbl>
    <w:p w:rsidR="001B6174" w:rsidRDefault="00FE0574" w:rsidP="001B6174">
      <w:pPr>
        <w:spacing w:before="120" w:after="0" w:line="240" w:lineRule="auto"/>
        <w:jc w:val="both"/>
        <w:rPr>
          <w:rFonts w:ascii="Times New Roman" w:hAnsi="Times New Roman"/>
          <w:i/>
          <w:sz w:val="20"/>
          <w:szCs w:val="20"/>
        </w:rPr>
      </w:pPr>
      <w:r>
        <w:rPr>
          <w:rFonts w:ascii="Times New Roman" w:hAnsi="Times New Roman"/>
          <w:i/>
          <w:sz w:val="20"/>
          <w:szCs w:val="20"/>
        </w:rPr>
        <w:lastRenderedPageBreak/>
        <w:t xml:space="preserve">         </w:t>
      </w:r>
    </w:p>
    <w:p w:rsidR="002403F1" w:rsidRDefault="002403F1" w:rsidP="001B6174">
      <w:pPr>
        <w:spacing w:before="120" w:after="0" w:line="240" w:lineRule="auto"/>
        <w:jc w:val="both"/>
        <w:rPr>
          <w:rFonts w:ascii="Times New Roman" w:hAnsi="Times New Roman"/>
          <w:i/>
          <w:sz w:val="20"/>
          <w:szCs w:val="20"/>
        </w:rPr>
      </w:pPr>
    </w:p>
    <w:p w:rsidR="00FE0574" w:rsidRDefault="00FE0574" w:rsidP="001B6174">
      <w:pPr>
        <w:spacing w:before="120" w:after="0" w:line="240" w:lineRule="auto"/>
        <w:jc w:val="both"/>
        <w:rPr>
          <w:rFonts w:ascii="Times New Roman" w:hAnsi="Times New Roman"/>
          <w:color w:val="FF0000"/>
          <w:sz w:val="24"/>
          <w:szCs w:val="24"/>
          <w:lang w:val="lv-LV"/>
        </w:rPr>
      </w:pPr>
    </w:p>
    <w:p w:rsidR="00805205" w:rsidRDefault="00805205" w:rsidP="001B6174">
      <w:pPr>
        <w:spacing w:before="120" w:after="0" w:line="240" w:lineRule="auto"/>
        <w:jc w:val="both"/>
        <w:rPr>
          <w:rFonts w:ascii="Times New Roman" w:hAnsi="Times New Roman"/>
          <w:sz w:val="24"/>
          <w:szCs w:val="24"/>
          <w:lang w:val="lv-LV"/>
        </w:rPr>
      </w:pPr>
    </w:p>
    <w:tbl>
      <w:tblPr>
        <w:tblW w:w="9660" w:type="dxa"/>
        <w:jc w:val="center"/>
        <w:tblInd w:w="93" w:type="dxa"/>
        <w:tblLook w:val="04A0"/>
      </w:tblPr>
      <w:tblGrid>
        <w:gridCol w:w="1784"/>
        <w:gridCol w:w="860"/>
        <w:gridCol w:w="886"/>
        <w:gridCol w:w="894"/>
        <w:gridCol w:w="960"/>
        <w:gridCol w:w="860"/>
        <w:gridCol w:w="940"/>
        <w:gridCol w:w="780"/>
        <w:gridCol w:w="876"/>
        <w:gridCol w:w="820"/>
      </w:tblGrid>
      <w:tr w:rsidR="001B6174" w:rsidRPr="00956308" w:rsidTr="001B6174">
        <w:trPr>
          <w:trHeight w:val="945"/>
          <w:jc w:val="center"/>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Pakalpojums</w:t>
            </w:r>
          </w:p>
        </w:tc>
        <w:tc>
          <w:tcPr>
            <w:tcW w:w="2640" w:type="dxa"/>
            <w:gridSpan w:val="3"/>
            <w:tcBorders>
              <w:top w:val="single" w:sz="4" w:space="0" w:color="auto"/>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Nepieciešamais papildus finansēj</w:t>
            </w:r>
            <w:r w:rsidR="005E51F2">
              <w:rPr>
                <w:rFonts w:ascii="Times New Roman" w:eastAsia="Times New Roman" w:hAnsi="Times New Roman" w:cs="Times New Roman"/>
                <w:sz w:val="16"/>
                <w:szCs w:val="16"/>
              </w:rPr>
              <w:t>ums pakalpojumu nodrošināšanai p</w:t>
            </w:r>
            <w:r w:rsidRPr="00956308">
              <w:rPr>
                <w:rFonts w:ascii="Times New Roman" w:eastAsia="Times New Roman" w:hAnsi="Times New Roman" w:cs="Times New Roman"/>
                <w:sz w:val="16"/>
                <w:szCs w:val="16"/>
              </w:rPr>
              <w:t>rojektā plānotajā periodā, Ls</w:t>
            </w:r>
          </w:p>
        </w:tc>
        <w:tc>
          <w:tcPr>
            <w:tcW w:w="5236" w:type="dxa"/>
            <w:gridSpan w:val="6"/>
            <w:tcBorders>
              <w:top w:val="single" w:sz="4" w:space="0" w:color="auto"/>
              <w:left w:val="double" w:sz="6" w:space="0" w:color="auto"/>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Finansējuma apjoms, palielinot atalgojumu par 17% un netiešo izmaksu U, Np, A, elementu koeficientus līdz faktam, Ls</w:t>
            </w:r>
          </w:p>
        </w:tc>
      </w:tr>
      <w:tr w:rsidR="001B6174" w:rsidRPr="00956308" w:rsidTr="001B6174">
        <w:trPr>
          <w:trHeight w:val="300"/>
          <w:jc w:val="center"/>
        </w:trPr>
        <w:tc>
          <w:tcPr>
            <w:tcW w:w="1784" w:type="dxa"/>
            <w:vMerge/>
            <w:tcBorders>
              <w:top w:val="single" w:sz="4" w:space="0" w:color="auto"/>
              <w:left w:val="single" w:sz="4" w:space="0" w:color="auto"/>
              <w:bottom w:val="single" w:sz="4" w:space="0" w:color="auto"/>
              <w:right w:val="single" w:sz="4" w:space="0" w:color="auto"/>
            </w:tcBorders>
            <w:vAlign w:val="center"/>
            <w:hideMark/>
          </w:tcPr>
          <w:p w:rsidR="001B6174" w:rsidRPr="00956308" w:rsidRDefault="001B6174" w:rsidP="001B6174">
            <w:pPr>
              <w:spacing w:after="0" w:line="240" w:lineRule="auto"/>
              <w:rPr>
                <w:rFonts w:ascii="Times New Roman" w:eastAsia="Times New Roman" w:hAnsi="Times New Roman" w:cs="Times New Roman"/>
                <w:sz w:val="16"/>
                <w:szCs w:val="16"/>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b/>
                <w:bCs/>
                <w:sz w:val="16"/>
                <w:szCs w:val="16"/>
              </w:rPr>
            </w:pPr>
            <w:r w:rsidRPr="00956308">
              <w:rPr>
                <w:rFonts w:ascii="Times New Roman" w:eastAsia="Times New Roman" w:hAnsi="Times New Roman" w:cs="Times New Roman"/>
                <w:b/>
                <w:bCs/>
                <w:sz w:val="16"/>
                <w:szCs w:val="16"/>
              </w:rPr>
              <w:t>Summa kopā</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tajā skaita</w:t>
            </w:r>
          </w:p>
        </w:tc>
        <w:tc>
          <w:tcPr>
            <w:tcW w:w="960" w:type="dxa"/>
            <w:vMerge w:val="restart"/>
            <w:tcBorders>
              <w:top w:val="nil"/>
              <w:left w:val="double" w:sz="6" w:space="0" w:color="auto"/>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b/>
                <w:bCs/>
                <w:sz w:val="16"/>
                <w:szCs w:val="16"/>
              </w:rPr>
            </w:pPr>
            <w:r w:rsidRPr="00956308">
              <w:rPr>
                <w:rFonts w:ascii="Times New Roman" w:eastAsia="Times New Roman" w:hAnsi="Times New Roman" w:cs="Times New Roman"/>
                <w:b/>
                <w:bCs/>
                <w:sz w:val="16"/>
                <w:szCs w:val="16"/>
              </w:rPr>
              <w:t>Summa kopā</w:t>
            </w: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tajā skaita</w:t>
            </w:r>
          </w:p>
        </w:tc>
        <w:tc>
          <w:tcPr>
            <w:tcW w:w="2476" w:type="dxa"/>
            <w:gridSpan w:val="3"/>
            <w:tcBorders>
              <w:top w:val="single" w:sz="4" w:space="0" w:color="auto"/>
              <w:left w:val="double" w:sz="6" w:space="0" w:color="auto"/>
              <w:bottom w:val="single" w:sz="4" w:space="0" w:color="auto"/>
              <w:right w:val="single" w:sz="4" w:space="0" w:color="000000"/>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Papildus nepieciešamais finansējums</w:t>
            </w:r>
          </w:p>
        </w:tc>
      </w:tr>
      <w:tr w:rsidR="001B6174" w:rsidRPr="00956308" w:rsidTr="001B6174">
        <w:trPr>
          <w:trHeight w:val="840"/>
          <w:jc w:val="center"/>
        </w:trPr>
        <w:tc>
          <w:tcPr>
            <w:tcW w:w="1784" w:type="dxa"/>
            <w:vMerge/>
            <w:tcBorders>
              <w:top w:val="single" w:sz="4" w:space="0" w:color="auto"/>
              <w:left w:val="single" w:sz="4" w:space="0" w:color="auto"/>
              <w:bottom w:val="single" w:sz="4" w:space="0" w:color="auto"/>
              <w:right w:val="single" w:sz="4" w:space="0" w:color="auto"/>
            </w:tcBorders>
            <w:vAlign w:val="center"/>
            <w:hideMark/>
          </w:tcPr>
          <w:p w:rsidR="001B6174" w:rsidRPr="00956308" w:rsidRDefault="001B6174" w:rsidP="001B6174">
            <w:pPr>
              <w:spacing w:after="0" w:line="240" w:lineRule="auto"/>
              <w:rPr>
                <w:rFonts w:ascii="Times New Roman" w:eastAsia="Times New Roman" w:hAnsi="Times New Roman" w:cs="Times New Roman"/>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1B6174" w:rsidRPr="00956308" w:rsidRDefault="001B6174" w:rsidP="001B6174">
            <w:pPr>
              <w:spacing w:after="0" w:line="240" w:lineRule="auto"/>
              <w:rPr>
                <w:rFonts w:ascii="Times New Roman" w:eastAsia="Times New Roman" w:hAnsi="Times New Roman" w:cs="Times New Roman"/>
                <w:b/>
                <w:bCs/>
                <w:sz w:val="16"/>
                <w:szCs w:val="16"/>
              </w:rPr>
            </w:pPr>
          </w:p>
        </w:tc>
        <w:tc>
          <w:tcPr>
            <w:tcW w:w="886"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D+S daļa</w:t>
            </w:r>
          </w:p>
        </w:tc>
        <w:tc>
          <w:tcPr>
            <w:tcW w:w="894" w:type="dxa"/>
            <w:tcBorders>
              <w:top w:val="nil"/>
              <w:left w:val="nil"/>
              <w:bottom w:val="single" w:sz="4" w:space="0" w:color="auto"/>
              <w:right w:val="nil"/>
            </w:tcBorders>
            <w:shd w:val="clear" w:color="auto" w:fill="auto"/>
            <w:vAlign w:val="bottom"/>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pārējo elementu daļa</w:t>
            </w:r>
          </w:p>
        </w:tc>
        <w:tc>
          <w:tcPr>
            <w:tcW w:w="960" w:type="dxa"/>
            <w:vMerge/>
            <w:tcBorders>
              <w:top w:val="nil"/>
              <w:left w:val="double" w:sz="6" w:space="0" w:color="auto"/>
              <w:bottom w:val="single" w:sz="4" w:space="0" w:color="auto"/>
              <w:right w:val="single" w:sz="4" w:space="0" w:color="auto"/>
            </w:tcBorders>
            <w:vAlign w:val="center"/>
            <w:hideMark/>
          </w:tcPr>
          <w:p w:rsidR="001B6174" w:rsidRPr="00956308" w:rsidRDefault="001B6174" w:rsidP="001B6174">
            <w:pPr>
              <w:spacing w:after="0" w:line="240" w:lineRule="auto"/>
              <w:rPr>
                <w:rFonts w:ascii="Times New Roman" w:eastAsia="Times New Roman" w:hAnsi="Times New Roman" w:cs="Times New Roman"/>
                <w:b/>
                <w:bCs/>
                <w:sz w:val="16"/>
                <w:szCs w:val="16"/>
              </w:rPr>
            </w:pPr>
          </w:p>
        </w:tc>
        <w:tc>
          <w:tcPr>
            <w:tcW w:w="860"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D+S daļa</w:t>
            </w:r>
          </w:p>
        </w:tc>
        <w:tc>
          <w:tcPr>
            <w:tcW w:w="940" w:type="dxa"/>
            <w:tcBorders>
              <w:top w:val="nil"/>
              <w:left w:val="nil"/>
              <w:bottom w:val="single" w:sz="4" w:space="0" w:color="auto"/>
              <w:right w:val="nil"/>
            </w:tcBorders>
            <w:shd w:val="clear" w:color="auto" w:fill="auto"/>
            <w:vAlign w:val="bottom"/>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pārējo elementu daļa</w:t>
            </w:r>
          </w:p>
        </w:tc>
        <w:tc>
          <w:tcPr>
            <w:tcW w:w="780" w:type="dxa"/>
            <w:tcBorders>
              <w:top w:val="nil"/>
              <w:left w:val="double" w:sz="6" w:space="0" w:color="auto"/>
              <w:bottom w:val="single" w:sz="4" w:space="0" w:color="auto"/>
              <w:right w:val="single" w:sz="4" w:space="0" w:color="auto"/>
            </w:tcBorders>
            <w:shd w:val="clear" w:color="auto" w:fill="auto"/>
            <w:vAlign w:val="bottom"/>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 xml:space="preserve">D+S daļai </w:t>
            </w:r>
          </w:p>
        </w:tc>
        <w:tc>
          <w:tcPr>
            <w:tcW w:w="876" w:type="dxa"/>
            <w:tcBorders>
              <w:top w:val="nil"/>
              <w:left w:val="nil"/>
              <w:bottom w:val="single" w:sz="4" w:space="0" w:color="auto"/>
              <w:right w:val="single" w:sz="4" w:space="0" w:color="auto"/>
            </w:tcBorders>
            <w:shd w:val="clear" w:color="auto" w:fill="auto"/>
            <w:vAlign w:val="bottom"/>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pārējo elementu daļai</w:t>
            </w:r>
          </w:p>
        </w:tc>
        <w:tc>
          <w:tcPr>
            <w:tcW w:w="820" w:type="dxa"/>
            <w:tcBorders>
              <w:top w:val="nil"/>
              <w:left w:val="nil"/>
              <w:bottom w:val="single" w:sz="4" w:space="0" w:color="auto"/>
              <w:right w:val="single" w:sz="4" w:space="0" w:color="auto"/>
            </w:tcBorders>
            <w:shd w:val="clear" w:color="auto" w:fill="auto"/>
            <w:vAlign w:val="bottom"/>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Pav</w:t>
            </w:r>
            <w:r w:rsidR="00956308" w:rsidRPr="00956308">
              <w:rPr>
                <w:rFonts w:ascii="Times New Roman" w:eastAsia="Times New Roman" w:hAnsi="Times New Roman" w:cs="Times New Roman"/>
                <w:sz w:val="16"/>
                <w:szCs w:val="16"/>
              </w:rPr>
              <w:t>i</w:t>
            </w:r>
            <w:r w:rsidRPr="00956308">
              <w:rPr>
                <w:rFonts w:ascii="Times New Roman" w:eastAsia="Times New Roman" w:hAnsi="Times New Roman" w:cs="Times New Roman"/>
                <w:sz w:val="16"/>
                <w:szCs w:val="16"/>
              </w:rPr>
              <w:t>sam kopā</w:t>
            </w:r>
          </w:p>
        </w:tc>
      </w:tr>
      <w:tr w:rsidR="001B6174" w:rsidRPr="00956308" w:rsidTr="001B6174">
        <w:trPr>
          <w:trHeight w:val="1020"/>
          <w:jc w:val="center"/>
        </w:trPr>
        <w:tc>
          <w:tcPr>
            <w:tcW w:w="1784" w:type="dxa"/>
            <w:tcBorders>
              <w:top w:val="nil"/>
              <w:left w:val="single" w:sz="4" w:space="0" w:color="auto"/>
              <w:bottom w:val="single" w:sz="4" w:space="0" w:color="auto"/>
              <w:right w:val="single" w:sz="4" w:space="0" w:color="auto"/>
            </w:tcBorders>
            <w:shd w:val="clear" w:color="auto" w:fill="auto"/>
            <w:hideMark/>
          </w:tcPr>
          <w:p w:rsidR="001B6174" w:rsidRPr="00956308" w:rsidRDefault="001B6174" w:rsidP="001B6174">
            <w:pPr>
              <w:spacing w:after="0" w:line="240" w:lineRule="auto"/>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Ambulatorās veselības aprūpes pakalpojumi  (speciālista konsultācija vai izmeklējums)</w:t>
            </w:r>
          </w:p>
        </w:tc>
        <w:tc>
          <w:tcPr>
            <w:tcW w:w="860"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3 830 555</w:t>
            </w:r>
          </w:p>
        </w:tc>
        <w:tc>
          <w:tcPr>
            <w:tcW w:w="886"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2 172 337</w:t>
            </w:r>
          </w:p>
        </w:tc>
        <w:tc>
          <w:tcPr>
            <w:tcW w:w="894" w:type="dxa"/>
            <w:tcBorders>
              <w:top w:val="nil"/>
              <w:left w:val="nil"/>
              <w:bottom w:val="single" w:sz="4" w:space="0" w:color="auto"/>
              <w:right w:val="nil"/>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1 658 218</w:t>
            </w:r>
          </w:p>
        </w:tc>
        <w:tc>
          <w:tcPr>
            <w:tcW w:w="960" w:type="dxa"/>
            <w:tcBorders>
              <w:top w:val="nil"/>
              <w:left w:val="double" w:sz="6" w:space="0" w:color="auto"/>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4 353 074</w:t>
            </w:r>
          </w:p>
        </w:tc>
        <w:tc>
          <w:tcPr>
            <w:tcW w:w="860"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2 541 634</w:t>
            </w:r>
          </w:p>
        </w:tc>
        <w:tc>
          <w:tcPr>
            <w:tcW w:w="940" w:type="dxa"/>
            <w:tcBorders>
              <w:top w:val="nil"/>
              <w:left w:val="nil"/>
              <w:bottom w:val="single" w:sz="4" w:space="0" w:color="auto"/>
              <w:right w:val="nil"/>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1 811 440</w:t>
            </w:r>
          </w:p>
        </w:tc>
        <w:tc>
          <w:tcPr>
            <w:tcW w:w="780" w:type="dxa"/>
            <w:tcBorders>
              <w:top w:val="nil"/>
              <w:left w:val="double" w:sz="6" w:space="0" w:color="auto"/>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369 297</w:t>
            </w:r>
          </w:p>
        </w:tc>
        <w:tc>
          <w:tcPr>
            <w:tcW w:w="876"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153 222</w:t>
            </w:r>
          </w:p>
        </w:tc>
        <w:tc>
          <w:tcPr>
            <w:tcW w:w="820"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522 519</w:t>
            </w:r>
          </w:p>
        </w:tc>
      </w:tr>
      <w:tr w:rsidR="001B6174" w:rsidRPr="00956308" w:rsidTr="001B6174">
        <w:trPr>
          <w:trHeight w:val="720"/>
          <w:jc w:val="center"/>
        </w:trPr>
        <w:tc>
          <w:tcPr>
            <w:tcW w:w="1784" w:type="dxa"/>
            <w:tcBorders>
              <w:top w:val="nil"/>
              <w:left w:val="single" w:sz="4" w:space="0" w:color="auto"/>
              <w:bottom w:val="single" w:sz="4" w:space="0" w:color="auto"/>
              <w:right w:val="single" w:sz="4" w:space="0" w:color="auto"/>
            </w:tcBorders>
            <w:shd w:val="clear" w:color="auto" w:fill="auto"/>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Ambulatorās veselības aprūpes pakalpojumi pieaugušie</w:t>
            </w:r>
          </w:p>
        </w:tc>
        <w:tc>
          <w:tcPr>
            <w:tcW w:w="860" w:type="dxa"/>
            <w:tcBorders>
              <w:top w:val="nil"/>
              <w:left w:val="nil"/>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2 727 248</w:t>
            </w:r>
          </w:p>
        </w:tc>
        <w:tc>
          <w:tcPr>
            <w:tcW w:w="886"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1 472 714</w:t>
            </w:r>
          </w:p>
        </w:tc>
        <w:tc>
          <w:tcPr>
            <w:tcW w:w="894"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1 254 534</w:t>
            </w:r>
          </w:p>
        </w:tc>
        <w:tc>
          <w:tcPr>
            <w:tcW w:w="960" w:type="dxa"/>
            <w:tcBorders>
              <w:top w:val="nil"/>
              <w:left w:val="double" w:sz="6"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3 086 699</w:t>
            </w:r>
          </w:p>
        </w:tc>
        <w:tc>
          <w:tcPr>
            <w:tcW w:w="86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1 723 075</w:t>
            </w:r>
          </w:p>
        </w:tc>
        <w:tc>
          <w:tcPr>
            <w:tcW w:w="94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1 363 624</w:t>
            </w:r>
          </w:p>
        </w:tc>
        <w:tc>
          <w:tcPr>
            <w:tcW w:w="780" w:type="dxa"/>
            <w:tcBorders>
              <w:top w:val="nil"/>
              <w:left w:val="double" w:sz="6" w:space="0" w:color="auto"/>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250 361</w:t>
            </w:r>
          </w:p>
        </w:tc>
        <w:tc>
          <w:tcPr>
            <w:tcW w:w="876"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109 090</w:t>
            </w:r>
          </w:p>
        </w:tc>
        <w:tc>
          <w:tcPr>
            <w:tcW w:w="820"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359 451</w:t>
            </w:r>
          </w:p>
        </w:tc>
      </w:tr>
      <w:tr w:rsidR="001B6174" w:rsidRPr="00956308" w:rsidTr="001B6174">
        <w:trPr>
          <w:trHeight w:val="720"/>
          <w:jc w:val="center"/>
        </w:trPr>
        <w:tc>
          <w:tcPr>
            <w:tcW w:w="1784" w:type="dxa"/>
            <w:tcBorders>
              <w:top w:val="nil"/>
              <w:left w:val="single" w:sz="4" w:space="0" w:color="auto"/>
              <w:bottom w:val="single" w:sz="4" w:space="0" w:color="auto"/>
              <w:right w:val="single" w:sz="4" w:space="0" w:color="auto"/>
            </w:tcBorders>
            <w:shd w:val="clear" w:color="auto" w:fill="auto"/>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Ambulatorās veselības aprūpes pakalpojumi bērni</w:t>
            </w:r>
          </w:p>
        </w:tc>
        <w:tc>
          <w:tcPr>
            <w:tcW w:w="860" w:type="dxa"/>
            <w:tcBorders>
              <w:top w:val="nil"/>
              <w:left w:val="nil"/>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1 085 555</w:t>
            </w:r>
          </w:p>
        </w:tc>
        <w:tc>
          <w:tcPr>
            <w:tcW w:w="886"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689 327</w:t>
            </w:r>
          </w:p>
        </w:tc>
        <w:tc>
          <w:tcPr>
            <w:tcW w:w="894"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396 228</w:t>
            </w:r>
          </w:p>
        </w:tc>
        <w:tc>
          <w:tcPr>
            <w:tcW w:w="960" w:type="dxa"/>
            <w:tcBorders>
              <w:top w:val="nil"/>
              <w:left w:val="double" w:sz="6"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1 246 163</w:t>
            </w:r>
          </w:p>
        </w:tc>
        <w:tc>
          <w:tcPr>
            <w:tcW w:w="86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806 513</w:t>
            </w:r>
          </w:p>
        </w:tc>
        <w:tc>
          <w:tcPr>
            <w:tcW w:w="94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439 650</w:t>
            </w:r>
          </w:p>
        </w:tc>
        <w:tc>
          <w:tcPr>
            <w:tcW w:w="780" w:type="dxa"/>
            <w:tcBorders>
              <w:top w:val="nil"/>
              <w:left w:val="double" w:sz="6" w:space="0" w:color="auto"/>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117 186</w:t>
            </w:r>
          </w:p>
        </w:tc>
        <w:tc>
          <w:tcPr>
            <w:tcW w:w="876"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43 422</w:t>
            </w:r>
          </w:p>
        </w:tc>
        <w:tc>
          <w:tcPr>
            <w:tcW w:w="820"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160 608</w:t>
            </w:r>
          </w:p>
        </w:tc>
      </w:tr>
      <w:tr w:rsidR="001B6174" w:rsidRPr="00956308" w:rsidTr="001B6174">
        <w:trPr>
          <w:trHeight w:val="480"/>
          <w:jc w:val="center"/>
        </w:trPr>
        <w:tc>
          <w:tcPr>
            <w:tcW w:w="1784" w:type="dxa"/>
            <w:tcBorders>
              <w:top w:val="nil"/>
              <w:left w:val="single" w:sz="4" w:space="0" w:color="auto"/>
              <w:bottom w:val="single" w:sz="4" w:space="0" w:color="auto"/>
              <w:right w:val="single" w:sz="4" w:space="0" w:color="auto"/>
            </w:tcBorders>
            <w:shd w:val="clear" w:color="auto" w:fill="auto"/>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Reimatologa konsultācijas</w:t>
            </w:r>
          </w:p>
        </w:tc>
        <w:tc>
          <w:tcPr>
            <w:tcW w:w="860" w:type="dxa"/>
            <w:tcBorders>
              <w:top w:val="nil"/>
              <w:left w:val="nil"/>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17 752</w:t>
            </w:r>
          </w:p>
        </w:tc>
        <w:tc>
          <w:tcPr>
            <w:tcW w:w="886"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10 296</w:t>
            </w:r>
          </w:p>
        </w:tc>
        <w:tc>
          <w:tcPr>
            <w:tcW w:w="894"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7 456</w:t>
            </w:r>
          </w:p>
        </w:tc>
        <w:tc>
          <w:tcPr>
            <w:tcW w:w="960" w:type="dxa"/>
            <w:tcBorders>
              <w:top w:val="nil"/>
              <w:left w:val="double" w:sz="6"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20 212</w:t>
            </w:r>
          </w:p>
        </w:tc>
        <w:tc>
          <w:tcPr>
            <w:tcW w:w="86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12 046</w:t>
            </w:r>
          </w:p>
        </w:tc>
        <w:tc>
          <w:tcPr>
            <w:tcW w:w="94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8 166</w:t>
            </w:r>
          </w:p>
        </w:tc>
        <w:tc>
          <w:tcPr>
            <w:tcW w:w="780" w:type="dxa"/>
            <w:tcBorders>
              <w:top w:val="nil"/>
              <w:left w:val="double" w:sz="6" w:space="0" w:color="auto"/>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1 750</w:t>
            </w:r>
          </w:p>
        </w:tc>
        <w:tc>
          <w:tcPr>
            <w:tcW w:w="876"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710</w:t>
            </w:r>
          </w:p>
        </w:tc>
        <w:tc>
          <w:tcPr>
            <w:tcW w:w="820"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2 460</w:t>
            </w:r>
          </w:p>
        </w:tc>
      </w:tr>
      <w:tr w:rsidR="001B6174" w:rsidRPr="00956308" w:rsidTr="001B6174">
        <w:trPr>
          <w:trHeight w:val="1245"/>
          <w:jc w:val="center"/>
        </w:trPr>
        <w:tc>
          <w:tcPr>
            <w:tcW w:w="1784" w:type="dxa"/>
            <w:tcBorders>
              <w:top w:val="nil"/>
              <w:left w:val="single" w:sz="4" w:space="0" w:color="auto"/>
              <w:bottom w:val="single" w:sz="4" w:space="0" w:color="auto"/>
              <w:right w:val="single" w:sz="4" w:space="0" w:color="auto"/>
            </w:tcBorders>
            <w:shd w:val="clear" w:color="auto" w:fill="auto"/>
            <w:hideMark/>
          </w:tcPr>
          <w:p w:rsidR="001B6174" w:rsidRPr="00956308" w:rsidRDefault="001B6174" w:rsidP="001B6174">
            <w:pPr>
              <w:spacing w:after="0" w:line="240" w:lineRule="auto"/>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 xml:space="preserve">Pēcskrīninga izmeklējumi pozitīva dzemdes kakla vēža, krūts vēža un resno zarnu vēža skrīninga gadījumā </w:t>
            </w:r>
          </w:p>
        </w:tc>
        <w:tc>
          <w:tcPr>
            <w:tcW w:w="860" w:type="dxa"/>
            <w:tcBorders>
              <w:top w:val="nil"/>
              <w:left w:val="nil"/>
              <w:bottom w:val="single" w:sz="4" w:space="0" w:color="auto"/>
              <w:right w:val="nil"/>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2 656</w:t>
            </w:r>
          </w:p>
        </w:tc>
        <w:tc>
          <w:tcPr>
            <w:tcW w:w="886" w:type="dxa"/>
            <w:tcBorders>
              <w:top w:val="nil"/>
              <w:left w:val="single" w:sz="4" w:space="0" w:color="auto"/>
              <w:bottom w:val="single" w:sz="4" w:space="0" w:color="auto"/>
              <w:right w:val="nil"/>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1 594</w:t>
            </w:r>
          </w:p>
        </w:tc>
        <w:tc>
          <w:tcPr>
            <w:tcW w:w="894" w:type="dxa"/>
            <w:tcBorders>
              <w:top w:val="nil"/>
              <w:left w:val="single" w:sz="4" w:space="0" w:color="auto"/>
              <w:bottom w:val="single" w:sz="4" w:space="0" w:color="auto"/>
              <w:right w:val="nil"/>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1 062</w:t>
            </w:r>
          </w:p>
        </w:tc>
        <w:tc>
          <w:tcPr>
            <w:tcW w:w="960" w:type="dxa"/>
            <w:tcBorders>
              <w:top w:val="nil"/>
              <w:left w:val="double" w:sz="6" w:space="0" w:color="auto"/>
              <w:bottom w:val="single" w:sz="4" w:space="0" w:color="auto"/>
              <w:right w:val="nil"/>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3 033</w:t>
            </w:r>
          </w:p>
        </w:tc>
        <w:tc>
          <w:tcPr>
            <w:tcW w:w="860" w:type="dxa"/>
            <w:tcBorders>
              <w:top w:val="nil"/>
              <w:left w:val="single" w:sz="4" w:space="0" w:color="auto"/>
              <w:bottom w:val="single" w:sz="4" w:space="0" w:color="auto"/>
              <w:right w:val="nil"/>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1 865</w:t>
            </w:r>
          </w:p>
        </w:tc>
        <w:tc>
          <w:tcPr>
            <w:tcW w:w="940" w:type="dxa"/>
            <w:tcBorders>
              <w:top w:val="nil"/>
              <w:left w:val="single" w:sz="4" w:space="0" w:color="auto"/>
              <w:bottom w:val="single" w:sz="4" w:space="0" w:color="auto"/>
              <w:right w:val="nil"/>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1 168</w:t>
            </w:r>
          </w:p>
        </w:tc>
        <w:tc>
          <w:tcPr>
            <w:tcW w:w="780" w:type="dxa"/>
            <w:tcBorders>
              <w:top w:val="nil"/>
              <w:left w:val="double" w:sz="6" w:space="0" w:color="auto"/>
              <w:bottom w:val="single" w:sz="4" w:space="0" w:color="auto"/>
              <w:right w:val="single" w:sz="4" w:space="0" w:color="auto"/>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271</w:t>
            </w:r>
          </w:p>
        </w:tc>
        <w:tc>
          <w:tcPr>
            <w:tcW w:w="876" w:type="dxa"/>
            <w:tcBorders>
              <w:top w:val="nil"/>
              <w:left w:val="nil"/>
              <w:bottom w:val="single" w:sz="4" w:space="0" w:color="auto"/>
              <w:right w:val="single" w:sz="4" w:space="0" w:color="auto"/>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106</w:t>
            </w:r>
          </w:p>
        </w:tc>
        <w:tc>
          <w:tcPr>
            <w:tcW w:w="820" w:type="dxa"/>
            <w:tcBorders>
              <w:top w:val="nil"/>
              <w:left w:val="nil"/>
              <w:bottom w:val="single" w:sz="4" w:space="0" w:color="auto"/>
              <w:right w:val="single" w:sz="4" w:space="0" w:color="auto"/>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377</w:t>
            </w:r>
          </w:p>
        </w:tc>
      </w:tr>
      <w:tr w:rsidR="001B6174" w:rsidRPr="00956308" w:rsidTr="001B6174">
        <w:trPr>
          <w:trHeight w:val="1320"/>
          <w:jc w:val="center"/>
        </w:trPr>
        <w:tc>
          <w:tcPr>
            <w:tcW w:w="1784" w:type="dxa"/>
            <w:tcBorders>
              <w:top w:val="nil"/>
              <w:left w:val="single" w:sz="4" w:space="0" w:color="auto"/>
              <w:bottom w:val="single" w:sz="4" w:space="0" w:color="auto"/>
              <w:right w:val="single" w:sz="4" w:space="0" w:color="auto"/>
            </w:tcBorders>
            <w:shd w:val="clear" w:color="auto" w:fill="auto"/>
            <w:hideMark/>
          </w:tcPr>
          <w:p w:rsidR="001B6174" w:rsidRPr="00956308" w:rsidRDefault="001B6174" w:rsidP="001B6174">
            <w:pPr>
              <w:spacing w:after="0" w:line="240" w:lineRule="auto"/>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 xml:space="preserve">Izmeklējums vidējā ģenētiskā riska grūtniecības gadījumā pie ginekologa-eksperta  </w:t>
            </w:r>
          </w:p>
        </w:tc>
        <w:tc>
          <w:tcPr>
            <w:tcW w:w="860" w:type="dxa"/>
            <w:tcBorders>
              <w:top w:val="nil"/>
              <w:left w:val="nil"/>
              <w:bottom w:val="single" w:sz="4" w:space="0" w:color="auto"/>
              <w:right w:val="nil"/>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11 284</w:t>
            </w:r>
          </w:p>
        </w:tc>
        <w:tc>
          <w:tcPr>
            <w:tcW w:w="886" w:type="dxa"/>
            <w:tcBorders>
              <w:top w:val="nil"/>
              <w:left w:val="single" w:sz="4" w:space="0" w:color="auto"/>
              <w:bottom w:val="single" w:sz="4" w:space="0" w:color="auto"/>
              <w:right w:val="nil"/>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1 805</w:t>
            </w:r>
          </w:p>
        </w:tc>
        <w:tc>
          <w:tcPr>
            <w:tcW w:w="894" w:type="dxa"/>
            <w:tcBorders>
              <w:top w:val="nil"/>
              <w:left w:val="single" w:sz="4" w:space="0" w:color="auto"/>
              <w:bottom w:val="single" w:sz="4" w:space="0" w:color="auto"/>
              <w:right w:val="nil"/>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9 479</w:t>
            </w:r>
          </w:p>
        </w:tc>
        <w:tc>
          <w:tcPr>
            <w:tcW w:w="960" w:type="dxa"/>
            <w:tcBorders>
              <w:top w:val="nil"/>
              <w:left w:val="double" w:sz="6" w:space="0" w:color="auto"/>
              <w:bottom w:val="single" w:sz="4" w:space="0" w:color="auto"/>
              <w:right w:val="nil"/>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12 042</w:t>
            </w:r>
          </w:p>
        </w:tc>
        <w:tc>
          <w:tcPr>
            <w:tcW w:w="860" w:type="dxa"/>
            <w:tcBorders>
              <w:top w:val="nil"/>
              <w:left w:val="single" w:sz="4" w:space="0" w:color="auto"/>
              <w:bottom w:val="single" w:sz="4" w:space="0" w:color="auto"/>
              <w:right w:val="nil"/>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2 112</w:t>
            </w:r>
          </w:p>
        </w:tc>
        <w:tc>
          <w:tcPr>
            <w:tcW w:w="940" w:type="dxa"/>
            <w:tcBorders>
              <w:top w:val="nil"/>
              <w:left w:val="single" w:sz="4" w:space="0" w:color="auto"/>
              <w:bottom w:val="single" w:sz="4" w:space="0" w:color="auto"/>
              <w:right w:val="nil"/>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9 930</w:t>
            </w:r>
          </w:p>
        </w:tc>
        <w:tc>
          <w:tcPr>
            <w:tcW w:w="780" w:type="dxa"/>
            <w:tcBorders>
              <w:top w:val="nil"/>
              <w:left w:val="double" w:sz="6" w:space="0" w:color="auto"/>
              <w:bottom w:val="single" w:sz="4" w:space="0" w:color="auto"/>
              <w:right w:val="single" w:sz="4" w:space="0" w:color="auto"/>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307</w:t>
            </w:r>
          </w:p>
        </w:tc>
        <w:tc>
          <w:tcPr>
            <w:tcW w:w="876" w:type="dxa"/>
            <w:tcBorders>
              <w:top w:val="nil"/>
              <w:left w:val="nil"/>
              <w:bottom w:val="single" w:sz="4" w:space="0" w:color="auto"/>
              <w:right w:val="single" w:sz="4" w:space="0" w:color="auto"/>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451</w:t>
            </w:r>
          </w:p>
        </w:tc>
        <w:tc>
          <w:tcPr>
            <w:tcW w:w="820" w:type="dxa"/>
            <w:tcBorders>
              <w:top w:val="nil"/>
              <w:left w:val="nil"/>
              <w:bottom w:val="single" w:sz="4" w:space="0" w:color="auto"/>
              <w:right w:val="single" w:sz="4" w:space="0" w:color="auto"/>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758</w:t>
            </w:r>
          </w:p>
        </w:tc>
      </w:tr>
      <w:tr w:rsidR="001B6174" w:rsidRPr="00956308" w:rsidTr="001B6174">
        <w:trPr>
          <w:trHeight w:val="1320"/>
          <w:jc w:val="center"/>
        </w:trPr>
        <w:tc>
          <w:tcPr>
            <w:tcW w:w="1784" w:type="dxa"/>
            <w:tcBorders>
              <w:top w:val="nil"/>
              <w:left w:val="single" w:sz="4" w:space="0" w:color="auto"/>
              <w:bottom w:val="single" w:sz="4" w:space="0" w:color="auto"/>
              <w:right w:val="single" w:sz="4" w:space="0" w:color="auto"/>
            </w:tcBorders>
            <w:shd w:val="clear" w:color="auto" w:fill="auto"/>
            <w:hideMark/>
          </w:tcPr>
          <w:p w:rsidR="001B6174" w:rsidRPr="00956308" w:rsidRDefault="001B6174" w:rsidP="001B6174">
            <w:pPr>
              <w:spacing w:after="0" w:line="240" w:lineRule="auto"/>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Ārstēšanas uzsākšana ļaundabīgā audzēja diagnosticēšanas  gadījumā (ķīmijterapija, staru terapija) ambulatori</w:t>
            </w:r>
          </w:p>
        </w:tc>
        <w:tc>
          <w:tcPr>
            <w:tcW w:w="860"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196 045</w:t>
            </w:r>
          </w:p>
        </w:tc>
        <w:tc>
          <w:tcPr>
            <w:tcW w:w="886"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68 616</w:t>
            </w:r>
          </w:p>
        </w:tc>
        <w:tc>
          <w:tcPr>
            <w:tcW w:w="894" w:type="dxa"/>
            <w:tcBorders>
              <w:top w:val="nil"/>
              <w:left w:val="nil"/>
              <w:bottom w:val="single" w:sz="4" w:space="0" w:color="auto"/>
              <w:right w:val="nil"/>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127 429</w:t>
            </w:r>
          </w:p>
        </w:tc>
        <w:tc>
          <w:tcPr>
            <w:tcW w:w="960" w:type="dxa"/>
            <w:tcBorders>
              <w:top w:val="nil"/>
              <w:left w:val="double" w:sz="6" w:space="0" w:color="auto"/>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215 552</w:t>
            </w:r>
          </w:p>
        </w:tc>
        <w:tc>
          <w:tcPr>
            <w:tcW w:w="860"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80 281</w:t>
            </w:r>
          </w:p>
        </w:tc>
        <w:tc>
          <w:tcPr>
            <w:tcW w:w="940" w:type="dxa"/>
            <w:tcBorders>
              <w:top w:val="nil"/>
              <w:left w:val="nil"/>
              <w:bottom w:val="single" w:sz="4" w:space="0" w:color="auto"/>
              <w:right w:val="nil"/>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135 271</w:t>
            </w:r>
          </w:p>
        </w:tc>
        <w:tc>
          <w:tcPr>
            <w:tcW w:w="780" w:type="dxa"/>
            <w:tcBorders>
              <w:top w:val="nil"/>
              <w:left w:val="double" w:sz="6" w:space="0" w:color="auto"/>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11 665</w:t>
            </w:r>
          </w:p>
        </w:tc>
        <w:tc>
          <w:tcPr>
            <w:tcW w:w="876"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7 842</w:t>
            </w:r>
          </w:p>
        </w:tc>
        <w:tc>
          <w:tcPr>
            <w:tcW w:w="820"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19 507</w:t>
            </w:r>
          </w:p>
        </w:tc>
      </w:tr>
      <w:tr w:rsidR="001B6174" w:rsidRPr="00956308" w:rsidTr="001B6174">
        <w:trPr>
          <w:trHeight w:val="1005"/>
          <w:jc w:val="center"/>
        </w:trPr>
        <w:tc>
          <w:tcPr>
            <w:tcW w:w="1784" w:type="dxa"/>
            <w:tcBorders>
              <w:top w:val="nil"/>
              <w:left w:val="single" w:sz="4" w:space="0" w:color="auto"/>
              <w:bottom w:val="single" w:sz="4" w:space="0" w:color="auto"/>
              <w:right w:val="single" w:sz="4" w:space="0" w:color="auto"/>
            </w:tcBorders>
            <w:shd w:val="clear" w:color="auto" w:fill="auto"/>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Ārstēšanas uzsākšana ļaundabīgā audzēja diagnosticēšanas  gadījumā pieaugušie</w:t>
            </w:r>
          </w:p>
        </w:tc>
        <w:tc>
          <w:tcPr>
            <w:tcW w:w="860" w:type="dxa"/>
            <w:tcBorders>
              <w:top w:val="nil"/>
              <w:left w:val="nil"/>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195 779</w:t>
            </w:r>
          </w:p>
        </w:tc>
        <w:tc>
          <w:tcPr>
            <w:tcW w:w="886"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68 523</w:t>
            </w:r>
          </w:p>
        </w:tc>
        <w:tc>
          <w:tcPr>
            <w:tcW w:w="894"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127 256</w:t>
            </w:r>
          </w:p>
        </w:tc>
        <w:tc>
          <w:tcPr>
            <w:tcW w:w="960" w:type="dxa"/>
            <w:tcBorders>
              <w:top w:val="nil"/>
              <w:left w:val="double" w:sz="6"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215 259</w:t>
            </w:r>
          </w:p>
        </w:tc>
        <w:tc>
          <w:tcPr>
            <w:tcW w:w="86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80 172</w:t>
            </w:r>
          </w:p>
        </w:tc>
        <w:tc>
          <w:tcPr>
            <w:tcW w:w="94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135 087</w:t>
            </w:r>
          </w:p>
        </w:tc>
        <w:tc>
          <w:tcPr>
            <w:tcW w:w="780" w:type="dxa"/>
            <w:tcBorders>
              <w:top w:val="nil"/>
              <w:left w:val="double" w:sz="6" w:space="0" w:color="auto"/>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11 649</w:t>
            </w:r>
          </w:p>
        </w:tc>
        <w:tc>
          <w:tcPr>
            <w:tcW w:w="876"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7 831</w:t>
            </w:r>
          </w:p>
        </w:tc>
        <w:tc>
          <w:tcPr>
            <w:tcW w:w="820"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19 480</w:t>
            </w:r>
          </w:p>
        </w:tc>
      </w:tr>
      <w:tr w:rsidR="001B6174" w:rsidRPr="00956308" w:rsidTr="001B6174">
        <w:trPr>
          <w:trHeight w:val="990"/>
          <w:jc w:val="center"/>
        </w:trPr>
        <w:tc>
          <w:tcPr>
            <w:tcW w:w="1784" w:type="dxa"/>
            <w:tcBorders>
              <w:top w:val="nil"/>
              <w:left w:val="single" w:sz="4" w:space="0" w:color="auto"/>
              <w:bottom w:val="single" w:sz="4" w:space="0" w:color="auto"/>
              <w:right w:val="single" w:sz="4" w:space="0" w:color="auto"/>
            </w:tcBorders>
            <w:shd w:val="clear" w:color="auto" w:fill="auto"/>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Ārstēšanas uzsākšana ļaundabīgā audzēja diagnosticēšanas  gadījumā bērni</w:t>
            </w:r>
          </w:p>
        </w:tc>
        <w:tc>
          <w:tcPr>
            <w:tcW w:w="860" w:type="dxa"/>
            <w:tcBorders>
              <w:top w:val="nil"/>
              <w:left w:val="nil"/>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266</w:t>
            </w:r>
          </w:p>
        </w:tc>
        <w:tc>
          <w:tcPr>
            <w:tcW w:w="886"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93</w:t>
            </w:r>
          </w:p>
        </w:tc>
        <w:tc>
          <w:tcPr>
            <w:tcW w:w="894"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173</w:t>
            </w:r>
          </w:p>
        </w:tc>
        <w:tc>
          <w:tcPr>
            <w:tcW w:w="960" w:type="dxa"/>
            <w:tcBorders>
              <w:top w:val="nil"/>
              <w:left w:val="double" w:sz="6"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293</w:t>
            </w:r>
          </w:p>
        </w:tc>
        <w:tc>
          <w:tcPr>
            <w:tcW w:w="86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109</w:t>
            </w:r>
          </w:p>
        </w:tc>
        <w:tc>
          <w:tcPr>
            <w:tcW w:w="94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184</w:t>
            </w:r>
          </w:p>
        </w:tc>
        <w:tc>
          <w:tcPr>
            <w:tcW w:w="780" w:type="dxa"/>
            <w:tcBorders>
              <w:top w:val="nil"/>
              <w:left w:val="double" w:sz="6" w:space="0" w:color="auto"/>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16</w:t>
            </w:r>
          </w:p>
        </w:tc>
        <w:tc>
          <w:tcPr>
            <w:tcW w:w="876"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11</w:t>
            </w:r>
          </w:p>
        </w:tc>
        <w:tc>
          <w:tcPr>
            <w:tcW w:w="820"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27</w:t>
            </w:r>
          </w:p>
        </w:tc>
      </w:tr>
      <w:tr w:rsidR="001B6174" w:rsidRPr="00956308" w:rsidTr="001B6174">
        <w:trPr>
          <w:trHeight w:val="1005"/>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lastRenderedPageBreak/>
              <w:t>Operācijas dienas stacionārā, izņemot oftalmoloģiskās operācijas</w:t>
            </w:r>
          </w:p>
        </w:tc>
        <w:tc>
          <w:tcPr>
            <w:tcW w:w="860"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1 918 264</w:t>
            </w:r>
          </w:p>
        </w:tc>
        <w:tc>
          <w:tcPr>
            <w:tcW w:w="886"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314 595</w:t>
            </w:r>
          </w:p>
        </w:tc>
        <w:tc>
          <w:tcPr>
            <w:tcW w:w="894" w:type="dxa"/>
            <w:tcBorders>
              <w:top w:val="nil"/>
              <w:left w:val="nil"/>
              <w:bottom w:val="single" w:sz="4" w:space="0" w:color="auto"/>
              <w:right w:val="nil"/>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1 603 669</w:t>
            </w:r>
          </w:p>
        </w:tc>
        <w:tc>
          <w:tcPr>
            <w:tcW w:w="960" w:type="dxa"/>
            <w:tcBorders>
              <w:top w:val="nil"/>
              <w:left w:val="double" w:sz="6" w:space="0" w:color="auto"/>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2 048 476</w:t>
            </w:r>
          </w:p>
        </w:tc>
        <w:tc>
          <w:tcPr>
            <w:tcW w:w="860"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368 076</w:t>
            </w:r>
          </w:p>
        </w:tc>
        <w:tc>
          <w:tcPr>
            <w:tcW w:w="940" w:type="dxa"/>
            <w:tcBorders>
              <w:top w:val="nil"/>
              <w:left w:val="nil"/>
              <w:bottom w:val="single" w:sz="4" w:space="0" w:color="auto"/>
              <w:right w:val="nil"/>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1 680 400</w:t>
            </w:r>
          </w:p>
        </w:tc>
        <w:tc>
          <w:tcPr>
            <w:tcW w:w="780" w:type="dxa"/>
            <w:tcBorders>
              <w:top w:val="nil"/>
              <w:left w:val="double" w:sz="6" w:space="0" w:color="auto"/>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53 481</w:t>
            </w:r>
          </w:p>
        </w:tc>
        <w:tc>
          <w:tcPr>
            <w:tcW w:w="876"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76 731</w:t>
            </w:r>
          </w:p>
        </w:tc>
        <w:tc>
          <w:tcPr>
            <w:tcW w:w="820"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130 212</w:t>
            </w:r>
          </w:p>
        </w:tc>
      </w:tr>
      <w:tr w:rsidR="001B6174" w:rsidRPr="00956308" w:rsidTr="001B6174">
        <w:trPr>
          <w:trHeight w:val="540"/>
          <w:jc w:val="center"/>
        </w:trPr>
        <w:tc>
          <w:tcPr>
            <w:tcW w:w="1784" w:type="dxa"/>
            <w:tcBorders>
              <w:top w:val="nil"/>
              <w:left w:val="single" w:sz="4" w:space="0" w:color="auto"/>
              <w:bottom w:val="single" w:sz="4" w:space="0" w:color="auto"/>
              <w:right w:val="single" w:sz="4" w:space="0" w:color="auto"/>
            </w:tcBorders>
            <w:shd w:val="clear" w:color="auto" w:fill="auto"/>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Operācijas dienas stacionārā pieaugušie</w:t>
            </w:r>
          </w:p>
        </w:tc>
        <w:tc>
          <w:tcPr>
            <w:tcW w:w="860" w:type="dxa"/>
            <w:tcBorders>
              <w:top w:val="nil"/>
              <w:left w:val="nil"/>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1 797 544</w:t>
            </w:r>
          </w:p>
        </w:tc>
        <w:tc>
          <w:tcPr>
            <w:tcW w:w="886"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294 797</w:t>
            </w:r>
          </w:p>
        </w:tc>
        <w:tc>
          <w:tcPr>
            <w:tcW w:w="894"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1 502 747</w:t>
            </w:r>
          </w:p>
        </w:tc>
        <w:tc>
          <w:tcPr>
            <w:tcW w:w="960" w:type="dxa"/>
            <w:tcBorders>
              <w:top w:val="nil"/>
              <w:left w:val="double" w:sz="6"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1 919 561</w:t>
            </w:r>
          </w:p>
        </w:tc>
        <w:tc>
          <w:tcPr>
            <w:tcW w:w="86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344 913</w:t>
            </w:r>
          </w:p>
        </w:tc>
        <w:tc>
          <w:tcPr>
            <w:tcW w:w="94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1 574 649</w:t>
            </w:r>
          </w:p>
        </w:tc>
        <w:tc>
          <w:tcPr>
            <w:tcW w:w="780" w:type="dxa"/>
            <w:tcBorders>
              <w:top w:val="nil"/>
              <w:left w:val="double" w:sz="6" w:space="0" w:color="auto"/>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50 116</w:t>
            </w:r>
          </w:p>
        </w:tc>
        <w:tc>
          <w:tcPr>
            <w:tcW w:w="876"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71 902</w:t>
            </w:r>
          </w:p>
        </w:tc>
        <w:tc>
          <w:tcPr>
            <w:tcW w:w="820"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122 017</w:t>
            </w:r>
          </w:p>
        </w:tc>
      </w:tr>
      <w:tr w:rsidR="001B6174" w:rsidRPr="00956308" w:rsidTr="001B6174">
        <w:trPr>
          <w:trHeight w:val="555"/>
          <w:jc w:val="center"/>
        </w:trPr>
        <w:tc>
          <w:tcPr>
            <w:tcW w:w="1784" w:type="dxa"/>
            <w:tcBorders>
              <w:top w:val="nil"/>
              <w:left w:val="single" w:sz="4" w:space="0" w:color="auto"/>
              <w:bottom w:val="single" w:sz="4" w:space="0" w:color="auto"/>
              <w:right w:val="single" w:sz="4" w:space="0" w:color="auto"/>
            </w:tcBorders>
            <w:shd w:val="clear" w:color="auto" w:fill="auto"/>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Operācijas dienas stacionārā bērni</w:t>
            </w:r>
          </w:p>
        </w:tc>
        <w:tc>
          <w:tcPr>
            <w:tcW w:w="860" w:type="dxa"/>
            <w:tcBorders>
              <w:top w:val="nil"/>
              <w:left w:val="nil"/>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120 720</w:t>
            </w:r>
          </w:p>
        </w:tc>
        <w:tc>
          <w:tcPr>
            <w:tcW w:w="886"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19 798</w:t>
            </w:r>
          </w:p>
        </w:tc>
        <w:tc>
          <w:tcPr>
            <w:tcW w:w="894"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100 922</w:t>
            </w:r>
          </w:p>
        </w:tc>
        <w:tc>
          <w:tcPr>
            <w:tcW w:w="960" w:type="dxa"/>
            <w:tcBorders>
              <w:top w:val="nil"/>
              <w:left w:val="double" w:sz="6"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128 915</w:t>
            </w:r>
          </w:p>
        </w:tc>
        <w:tc>
          <w:tcPr>
            <w:tcW w:w="86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23 164</w:t>
            </w:r>
          </w:p>
        </w:tc>
        <w:tc>
          <w:tcPr>
            <w:tcW w:w="94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105 751</w:t>
            </w:r>
          </w:p>
        </w:tc>
        <w:tc>
          <w:tcPr>
            <w:tcW w:w="780" w:type="dxa"/>
            <w:tcBorders>
              <w:top w:val="nil"/>
              <w:left w:val="double" w:sz="6" w:space="0" w:color="auto"/>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3 366</w:t>
            </w:r>
          </w:p>
        </w:tc>
        <w:tc>
          <w:tcPr>
            <w:tcW w:w="876"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4 829</w:t>
            </w:r>
          </w:p>
        </w:tc>
        <w:tc>
          <w:tcPr>
            <w:tcW w:w="820"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8 195</w:t>
            </w:r>
          </w:p>
        </w:tc>
      </w:tr>
      <w:tr w:rsidR="001B6174" w:rsidRPr="00956308" w:rsidTr="001B6174">
        <w:trPr>
          <w:trHeight w:val="78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Oftalmoloģiskās  operācijas dienas stacionārā</w:t>
            </w:r>
          </w:p>
        </w:tc>
        <w:tc>
          <w:tcPr>
            <w:tcW w:w="860"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2 180 200</w:t>
            </w:r>
          </w:p>
        </w:tc>
        <w:tc>
          <w:tcPr>
            <w:tcW w:w="886"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361 914</w:t>
            </w:r>
          </w:p>
        </w:tc>
        <w:tc>
          <w:tcPr>
            <w:tcW w:w="894" w:type="dxa"/>
            <w:tcBorders>
              <w:top w:val="nil"/>
              <w:left w:val="nil"/>
              <w:bottom w:val="single" w:sz="4" w:space="0" w:color="auto"/>
              <w:right w:val="nil"/>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1 818 286</w:t>
            </w:r>
          </w:p>
        </w:tc>
        <w:tc>
          <w:tcPr>
            <w:tcW w:w="960" w:type="dxa"/>
            <w:tcBorders>
              <w:top w:val="nil"/>
              <w:left w:val="double" w:sz="6" w:space="0" w:color="auto"/>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2 328 933</w:t>
            </w:r>
          </w:p>
        </w:tc>
        <w:tc>
          <w:tcPr>
            <w:tcW w:w="860"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423 439</w:t>
            </w:r>
          </w:p>
        </w:tc>
        <w:tc>
          <w:tcPr>
            <w:tcW w:w="940" w:type="dxa"/>
            <w:tcBorders>
              <w:top w:val="nil"/>
              <w:left w:val="nil"/>
              <w:bottom w:val="single" w:sz="4" w:space="0" w:color="auto"/>
              <w:right w:val="nil"/>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1 905 494</w:t>
            </w:r>
          </w:p>
        </w:tc>
        <w:tc>
          <w:tcPr>
            <w:tcW w:w="780" w:type="dxa"/>
            <w:tcBorders>
              <w:top w:val="nil"/>
              <w:left w:val="double" w:sz="6" w:space="0" w:color="auto"/>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61 525</w:t>
            </w:r>
          </w:p>
        </w:tc>
        <w:tc>
          <w:tcPr>
            <w:tcW w:w="876"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87 208</w:t>
            </w:r>
          </w:p>
        </w:tc>
        <w:tc>
          <w:tcPr>
            <w:tcW w:w="820" w:type="dxa"/>
            <w:tcBorders>
              <w:top w:val="nil"/>
              <w:left w:val="nil"/>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148 733</w:t>
            </w:r>
          </w:p>
        </w:tc>
      </w:tr>
      <w:tr w:rsidR="001B6174" w:rsidRPr="00956308" w:rsidTr="001B6174">
        <w:trPr>
          <w:trHeight w:val="810"/>
          <w:jc w:val="center"/>
        </w:trPr>
        <w:tc>
          <w:tcPr>
            <w:tcW w:w="1784" w:type="dxa"/>
            <w:tcBorders>
              <w:top w:val="nil"/>
              <w:left w:val="single" w:sz="4" w:space="0" w:color="auto"/>
              <w:bottom w:val="single" w:sz="4" w:space="0" w:color="auto"/>
              <w:right w:val="single" w:sz="4" w:space="0" w:color="auto"/>
            </w:tcBorders>
            <w:shd w:val="clear" w:color="auto" w:fill="auto"/>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Oftalmoloģiskās  operācijas dienas stacionārā pieaugušie</w:t>
            </w:r>
          </w:p>
        </w:tc>
        <w:tc>
          <w:tcPr>
            <w:tcW w:w="860" w:type="dxa"/>
            <w:tcBorders>
              <w:top w:val="nil"/>
              <w:left w:val="nil"/>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2 172 885</w:t>
            </w:r>
          </w:p>
        </w:tc>
        <w:tc>
          <w:tcPr>
            <w:tcW w:w="886"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360 699</w:t>
            </w:r>
          </w:p>
        </w:tc>
        <w:tc>
          <w:tcPr>
            <w:tcW w:w="894"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1 812 186</w:t>
            </w:r>
          </w:p>
        </w:tc>
        <w:tc>
          <w:tcPr>
            <w:tcW w:w="960" w:type="dxa"/>
            <w:tcBorders>
              <w:top w:val="nil"/>
              <w:left w:val="double" w:sz="6"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2 321 119</w:t>
            </w:r>
          </w:p>
        </w:tc>
        <w:tc>
          <w:tcPr>
            <w:tcW w:w="86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422 018</w:t>
            </w:r>
          </w:p>
        </w:tc>
        <w:tc>
          <w:tcPr>
            <w:tcW w:w="94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1 899 101</w:t>
            </w:r>
          </w:p>
        </w:tc>
        <w:tc>
          <w:tcPr>
            <w:tcW w:w="780" w:type="dxa"/>
            <w:tcBorders>
              <w:top w:val="nil"/>
              <w:left w:val="double" w:sz="6" w:space="0" w:color="auto"/>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61 319</w:t>
            </w:r>
          </w:p>
        </w:tc>
        <w:tc>
          <w:tcPr>
            <w:tcW w:w="876"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86 915</w:t>
            </w:r>
          </w:p>
        </w:tc>
        <w:tc>
          <w:tcPr>
            <w:tcW w:w="820"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148 234</w:t>
            </w:r>
          </w:p>
        </w:tc>
      </w:tr>
      <w:tr w:rsidR="001B6174" w:rsidRPr="00956308" w:rsidTr="001B6174">
        <w:trPr>
          <w:trHeight w:val="690"/>
          <w:jc w:val="center"/>
        </w:trPr>
        <w:tc>
          <w:tcPr>
            <w:tcW w:w="1784" w:type="dxa"/>
            <w:tcBorders>
              <w:top w:val="nil"/>
              <w:left w:val="single" w:sz="4" w:space="0" w:color="auto"/>
              <w:bottom w:val="single" w:sz="4" w:space="0" w:color="auto"/>
              <w:right w:val="single" w:sz="4" w:space="0" w:color="auto"/>
            </w:tcBorders>
            <w:shd w:val="clear" w:color="auto" w:fill="auto"/>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Oftalmoloģiskās  operācijas dienas stacionārā bērni</w:t>
            </w:r>
          </w:p>
        </w:tc>
        <w:tc>
          <w:tcPr>
            <w:tcW w:w="860"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7 315</w:t>
            </w:r>
          </w:p>
        </w:tc>
        <w:tc>
          <w:tcPr>
            <w:tcW w:w="886" w:type="dxa"/>
            <w:tcBorders>
              <w:top w:val="nil"/>
              <w:left w:val="nil"/>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1 215</w:t>
            </w:r>
          </w:p>
        </w:tc>
        <w:tc>
          <w:tcPr>
            <w:tcW w:w="894" w:type="dxa"/>
            <w:tcBorders>
              <w:top w:val="nil"/>
              <w:left w:val="single" w:sz="4" w:space="0" w:color="auto"/>
              <w:bottom w:val="single" w:sz="4" w:space="0" w:color="auto"/>
              <w:right w:val="double" w:sz="6"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6 100</w:t>
            </w:r>
          </w:p>
        </w:tc>
        <w:tc>
          <w:tcPr>
            <w:tcW w:w="960" w:type="dxa"/>
            <w:tcBorders>
              <w:top w:val="nil"/>
              <w:left w:val="nil"/>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7 814</w:t>
            </w:r>
          </w:p>
        </w:tc>
        <w:tc>
          <w:tcPr>
            <w:tcW w:w="86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1 421</w:t>
            </w:r>
          </w:p>
        </w:tc>
        <w:tc>
          <w:tcPr>
            <w:tcW w:w="940" w:type="dxa"/>
            <w:tcBorders>
              <w:top w:val="nil"/>
              <w:left w:val="single" w:sz="4" w:space="0" w:color="auto"/>
              <w:bottom w:val="single" w:sz="4" w:space="0" w:color="auto"/>
              <w:right w:val="nil"/>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6 393</w:t>
            </w:r>
          </w:p>
        </w:tc>
        <w:tc>
          <w:tcPr>
            <w:tcW w:w="780" w:type="dxa"/>
            <w:tcBorders>
              <w:top w:val="nil"/>
              <w:left w:val="double" w:sz="6" w:space="0" w:color="auto"/>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206</w:t>
            </w:r>
          </w:p>
        </w:tc>
        <w:tc>
          <w:tcPr>
            <w:tcW w:w="876"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293</w:t>
            </w:r>
          </w:p>
        </w:tc>
        <w:tc>
          <w:tcPr>
            <w:tcW w:w="820"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right"/>
              <w:rPr>
                <w:rFonts w:ascii="Times New Roman" w:eastAsia="Times New Roman" w:hAnsi="Times New Roman" w:cs="Times New Roman"/>
                <w:i/>
                <w:iCs/>
                <w:sz w:val="16"/>
                <w:szCs w:val="16"/>
              </w:rPr>
            </w:pPr>
            <w:r w:rsidRPr="00956308">
              <w:rPr>
                <w:rFonts w:ascii="Times New Roman" w:eastAsia="Times New Roman" w:hAnsi="Times New Roman" w:cs="Times New Roman"/>
                <w:i/>
                <w:iCs/>
                <w:sz w:val="16"/>
                <w:szCs w:val="16"/>
              </w:rPr>
              <w:t>499</w:t>
            </w:r>
          </w:p>
        </w:tc>
      </w:tr>
      <w:tr w:rsidR="001B6174" w:rsidRPr="00956308" w:rsidTr="001B6174">
        <w:trPr>
          <w:trHeight w:val="84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center"/>
              <w:rPr>
                <w:rFonts w:ascii="Times New Roman" w:eastAsia="Times New Roman" w:hAnsi="Times New Roman" w:cs="Times New Roman"/>
                <w:b/>
                <w:bCs/>
                <w:sz w:val="16"/>
                <w:szCs w:val="16"/>
              </w:rPr>
            </w:pPr>
            <w:r w:rsidRPr="00956308">
              <w:rPr>
                <w:rFonts w:ascii="Times New Roman" w:eastAsia="Times New Roman" w:hAnsi="Times New Roman" w:cs="Times New Roman"/>
                <w:b/>
                <w:bCs/>
                <w:sz w:val="16"/>
                <w:szCs w:val="16"/>
              </w:rPr>
              <w:t xml:space="preserve">Kopā ambulatorajiem pakalpojumiem </w:t>
            </w:r>
            <w:r w:rsidRPr="00956308">
              <w:rPr>
                <w:rFonts w:ascii="Times New Roman" w:eastAsia="Times New Roman" w:hAnsi="Times New Roman" w:cs="Times New Roman"/>
                <w:b/>
                <w:bCs/>
                <w:sz w:val="16"/>
                <w:szCs w:val="16"/>
                <w:u w:val="single"/>
              </w:rPr>
              <w:t>gada</w:t>
            </w:r>
            <w:r w:rsidRPr="00956308">
              <w:rPr>
                <w:rFonts w:ascii="Times New Roman" w:eastAsia="Times New Roman" w:hAnsi="Times New Roman" w:cs="Times New Roman"/>
                <w:b/>
                <w:bCs/>
                <w:sz w:val="16"/>
                <w:szCs w:val="16"/>
              </w:rPr>
              <w:t xml:space="preserve"> apjoms</w:t>
            </w:r>
          </w:p>
        </w:tc>
        <w:tc>
          <w:tcPr>
            <w:tcW w:w="860" w:type="dxa"/>
            <w:tcBorders>
              <w:top w:val="nil"/>
              <w:left w:val="nil"/>
              <w:bottom w:val="single" w:sz="4" w:space="0" w:color="auto"/>
              <w:right w:val="single" w:sz="4" w:space="0" w:color="auto"/>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8 139 004</w:t>
            </w:r>
          </w:p>
        </w:tc>
        <w:tc>
          <w:tcPr>
            <w:tcW w:w="886" w:type="dxa"/>
            <w:tcBorders>
              <w:top w:val="nil"/>
              <w:left w:val="nil"/>
              <w:bottom w:val="single" w:sz="4" w:space="0" w:color="auto"/>
              <w:right w:val="single" w:sz="4" w:space="0" w:color="auto"/>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2 920 861</w:t>
            </w:r>
          </w:p>
        </w:tc>
        <w:tc>
          <w:tcPr>
            <w:tcW w:w="894" w:type="dxa"/>
            <w:tcBorders>
              <w:top w:val="nil"/>
              <w:left w:val="nil"/>
              <w:bottom w:val="single" w:sz="4" w:space="0" w:color="auto"/>
              <w:right w:val="double" w:sz="6" w:space="0" w:color="auto"/>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5 218 143</w:t>
            </w:r>
          </w:p>
        </w:tc>
        <w:tc>
          <w:tcPr>
            <w:tcW w:w="960" w:type="dxa"/>
            <w:tcBorders>
              <w:top w:val="nil"/>
              <w:left w:val="nil"/>
              <w:bottom w:val="single" w:sz="4" w:space="0" w:color="auto"/>
              <w:right w:val="single" w:sz="4" w:space="0" w:color="auto"/>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b/>
                <w:bCs/>
                <w:sz w:val="16"/>
                <w:szCs w:val="16"/>
              </w:rPr>
            </w:pPr>
            <w:r w:rsidRPr="00956308">
              <w:rPr>
                <w:rFonts w:ascii="Times New Roman" w:eastAsia="Times New Roman" w:hAnsi="Times New Roman" w:cs="Times New Roman"/>
                <w:b/>
                <w:bCs/>
                <w:sz w:val="16"/>
                <w:szCs w:val="16"/>
              </w:rPr>
              <w:t>8 961 110</w:t>
            </w:r>
          </w:p>
        </w:tc>
        <w:tc>
          <w:tcPr>
            <w:tcW w:w="860" w:type="dxa"/>
            <w:tcBorders>
              <w:top w:val="nil"/>
              <w:left w:val="nil"/>
              <w:bottom w:val="single" w:sz="4" w:space="0" w:color="auto"/>
              <w:right w:val="single" w:sz="4" w:space="0" w:color="auto"/>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3 417 407</w:t>
            </w:r>
          </w:p>
        </w:tc>
        <w:tc>
          <w:tcPr>
            <w:tcW w:w="940" w:type="dxa"/>
            <w:tcBorders>
              <w:top w:val="nil"/>
              <w:left w:val="nil"/>
              <w:bottom w:val="single" w:sz="4" w:space="0" w:color="auto"/>
              <w:right w:val="double" w:sz="6" w:space="0" w:color="auto"/>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5 543 703</w:t>
            </w:r>
          </w:p>
        </w:tc>
        <w:tc>
          <w:tcPr>
            <w:tcW w:w="780" w:type="dxa"/>
            <w:tcBorders>
              <w:top w:val="nil"/>
              <w:left w:val="nil"/>
              <w:bottom w:val="single" w:sz="4" w:space="0" w:color="auto"/>
              <w:right w:val="single" w:sz="4" w:space="0" w:color="auto"/>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496 546</w:t>
            </w:r>
          </w:p>
        </w:tc>
        <w:tc>
          <w:tcPr>
            <w:tcW w:w="876" w:type="dxa"/>
            <w:tcBorders>
              <w:top w:val="nil"/>
              <w:left w:val="nil"/>
              <w:bottom w:val="single" w:sz="4" w:space="0" w:color="auto"/>
              <w:right w:val="single" w:sz="4" w:space="0" w:color="auto"/>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325 560</w:t>
            </w:r>
          </w:p>
        </w:tc>
        <w:tc>
          <w:tcPr>
            <w:tcW w:w="820" w:type="dxa"/>
            <w:tcBorders>
              <w:top w:val="nil"/>
              <w:left w:val="nil"/>
              <w:bottom w:val="single" w:sz="4" w:space="0" w:color="auto"/>
              <w:right w:val="single" w:sz="4" w:space="0" w:color="auto"/>
            </w:tcBorders>
            <w:shd w:val="clear" w:color="auto" w:fill="auto"/>
            <w:noWrap/>
            <w:vAlign w:val="center"/>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822 106</w:t>
            </w:r>
          </w:p>
        </w:tc>
      </w:tr>
      <w:tr w:rsidR="001B6174" w:rsidRPr="00956308" w:rsidTr="001B6174">
        <w:trPr>
          <w:trHeight w:val="855"/>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1B6174" w:rsidRPr="00956308" w:rsidRDefault="001B6174" w:rsidP="001B6174">
            <w:pPr>
              <w:spacing w:after="0" w:line="240" w:lineRule="auto"/>
              <w:jc w:val="right"/>
              <w:rPr>
                <w:rFonts w:ascii="Times New Roman" w:eastAsia="Times New Roman" w:hAnsi="Times New Roman" w:cs="Times New Roman"/>
                <w:b/>
                <w:bCs/>
                <w:sz w:val="16"/>
                <w:szCs w:val="16"/>
              </w:rPr>
            </w:pPr>
            <w:r w:rsidRPr="00956308">
              <w:rPr>
                <w:rFonts w:ascii="Times New Roman" w:eastAsia="Times New Roman" w:hAnsi="Times New Roman" w:cs="Times New Roman"/>
                <w:b/>
                <w:bCs/>
                <w:sz w:val="16"/>
                <w:szCs w:val="16"/>
              </w:rPr>
              <w:t xml:space="preserve">Kopā ambulatorajiem pakalpojumiem </w:t>
            </w:r>
            <w:r w:rsidRPr="00956308">
              <w:rPr>
                <w:rFonts w:ascii="Times New Roman" w:eastAsia="Times New Roman" w:hAnsi="Times New Roman" w:cs="Times New Roman"/>
                <w:b/>
                <w:bCs/>
                <w:sz w:val="16"/>
                <w:szCs w:val="16"/>
                <w:u w:val="single"/>
              </w:rPr>
              <w:t>pusgada</w:t>
            </w:r>
            <w:r w:rsidRPr="00956308">
              <w:rPr>
                <w:rFonts w:ascii="Times New Roman" w:eastAsia="Times New Roman" w:hAnsi="Times New Roman" w:cs="Times New Roman"/>
                <w:b/>
                <w:bCs/>
                <w:sz w:val="16"/>
                <w:szCs w:val="16"/>
              </w:rPr>
              <w:t xml:space="preserve"> apjoms</w:t>
            </w:r>
          </w:p>
          <w:p w:rsidR="00956308" w:rsidRPr="00956308" w:rsidRDefault="00956308" w:rsidP="001B6174">
            <w:pPr>
              <w:spacing w:after="0" w:line="240" w:lineRule="auto"/>
              <w:jc w:val="right"/>
              <w:rPr>
                <w:rFonts w:ascii="Times New Roman" w:eastAsia="Times New Roman" w:hAnsi="Times New Roman" w:cs="Times New Roman"/>
                <w:b/>
                <w:bCs/>
                <w:sz w:val="16"/>
                <w:szCs w:val="16"/>
              </w:rPr>
            </w:pPr>
          </w:p>
        </w:tc>
        <w:tc>
          <w:tcPr>
            <w:tcW w:w="860"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4 069 502</w:t>
            </w:r>
          </w:p>
        </w:tc>
        <w:tc>
          <w:tcPr>
            <w:tcW w:w="886"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1 460 431</w:t>
            </w:r>
          </w:p>
        </w:tc>
        <w:tc>
          <w:tcPr>
            <w:tcW w:w="894" w:type="dxa"/>
            <w:tcBorders>
              <w:top w:val="nil"/>
              <w:left w:val="nil"/>
              <w:bottom w:val="single" w:sz="4" w:space="0" w:color="auto"/>
              <w:right w:val="double" w:sz="6" w:space="0" w:color="auto"/>
            </w:tcBorders>
            <w:shd w:val="clear" w:color="auto" w:fill="auto"/>
            <w:noWrap/>
            <w:vAlign w:val="bottom"/>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2 609 072</w:t>
            </w:r>
          </w:p>
        </w:tc>
        <w:tc>
          <w:tcPr>
            <w:tcW w:w="960"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center"/>
              <w:rPr>
                <w:rFonts w:ascii="Times New Roman" w:eastAsia="Times New Roman" w:hAnsi="Times New Roman" w:cs="Times New Roman"/>
                <w:b/>
                <w:bCs/>
                <w:sz w:val="16"/>
                <w:szCs w:val="16"/>
              </w:rPr>
            </w:pPr>
            <w:r w:rsidRPr="00956308">
              <w:rPr>
                <w:rFonts w:ascii="Times New Roman" w:eastAsia="Times New Roman" w:hAnsi="Times New Roman" w:cs="Times New Roman"/>
                <w:b/>
                <w:bCs/>
                <w:sz w:val="16"/>
                <w:szCs w:val="16"/>
              </w:rPr>
              <w:t>4 480 555</w:t>
            </w:r>
          </w:p>
        </w:tc>
        <w:tc>
          <w:tcPr>
            <w:tcW w:w="860"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1 708 704</w:t>
            </w:r>
          </w:p>
        </w:tc>
        <w:tc>
          <w:tcPr>
            <w:tcW w:w="940" w:type="dxa"/>
            <w:tcBorders>
              <w:top w:val="nil"/>
              <w:left w:val="nil"/>
              <w:bottom w:val="single" w:sz="4" w:space="0" w:color="auto"/>
              <w:right w:val="double" w:sz="6" w:space="0" w:color="auto"/>
            </w:tcBorders>
            <w:shd w:val="clear" w:color="auto" w:fill="auto"/>
            <w:noWrap/>
            <w:vAlign w:val="bottom"/>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2 771 851</w:t>
            </w:r>
          </w:p>
        </w:tc>
        <w:tc>
          <w:tcPr>
            <w:tcW w:w="780"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248 273</w:t>
            </w:r>
          </w:p>
        </w:tc>
        <w:tc>
          <w:tcPr>
            <w:tcW w:w="876" w:type="dxa"/>
            <w:tcBorders>
              <w:top w:val="nil"/>
              <w:left w:val="nil"/>
              <w:bottom w:val="single" w:sz="4" w:space="0" w:color="auto"/>
              <w:right w:val="single" w:sz="4" w:space="0" w:color="auto"/>
            </w:tcBorders>
            <w:shd w:val="clear" w:color="auto" w:fill="auto"/>
            <w:noWrap/>
            <w:vAlign w:val="bottom"/>
            <w:hideMark/>
          </w:tcPr>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162</w:t>
            </w:r>
            <w:r w:rsidR="00956308">
              <w:rPr>
                <w:rFonts w:ascii="Times New Roman" w:eastAsia="Times New Roman" w:hAnsi="Times New Roman" w:cs="Times New Roman"/>
                <w:sz w:val="16"/>
                <w:szCs w:val="16"/>
              </w:rPr>
              <w:t> </w:t>
            </w:r>
            <w:r w:rsidRPr="00956308">
              <w:rPr>
                <w:rFonts w:ascii="Times New Roman" w:eastAsia="Times New Roman" w:hAnsi="Times New Roman" w:cs="Times New Roman"/>
                <w:sz w:val="16"/>
                <w:szCs w:val="16"/>
              </w:rPr>
              <w:t>780</w:t>
            </w:r>
          </w:p>
        </w:tc>
        <w:tc>
          <w:tcPr>
            <w:tcW w:w="820" w:type="dxa"/>
            <w:tcBorders>
              <w:top w:val="nil"/>
              <w:left w:val="nil"/>
              <w:bottom w:val="single" w:sz="4" w:space="0" w:color="auto"/>
              <w:right w:val="single" w:sz="4" w:space="0" w:color="auto"/>
            </w:tcBorders>
            <w:shd w:val="clear" w:color="auto" w:fill="auto"/>
            <w:noWrap/>
            <w:vAlign w:val="bottom"/>
            <w:hideMark/>
          </w:tcPr>
          <w:p w:rsidR="00956308" w:rsidRDefault="00956308" w:rsidP="001B6174">
            <w:pPr>
              <w:spacing w:after="0" w:line="240" w:lineRule="auto"/>
              <w:jc w:val="center"/>
              <w:rPr>
                <w:rFonts w:ascii="Times New Roman" w:eastAsia="Times New Roman" w:hAnsi="Times New Roman" w:cs="Times New Roman"/>
                <w:sz w:val="16"/>
                <w:szCs w:val="16"/>
              </w:rPr>
            </w:pPr>
          </w:p>
          <w:p w:rsidR="001B6174" w:rsidRPr="00956308" w:rsidRDefault="001B6174" w:rsidP="001B6174">
            <w:pPr>
              <w:spacing w:after="0" w:line="240" w:lineRule="auto"/>
              <w:jc w:val="center"/>
              <w:rPr>
                <w:rFonts w:ascii="Times New Roman" w:eastAsia="Times New Roman" w:hAnsi="Times New Roman" w:cs="Times New Roman"/>
                <w:sz w:val="16"/>
                <w:szCs w:val="16"/>
              </w:rPr>
            </w:pPr>
            <w:r w:rsidRPr="00956308">
              <w:rPr>
                <w:rFonts w:ascii="Times New Roman" w:eastAsia="Times New Roman" w:hAnsi="Times New Roman" w:cs="Times New Roman"/>
                <w:sz w:val="16"/>
                <w:szCs w:val="16"/>
              </w:rPr>
              <w:t>411</w:t>
            </w:r>
            <w:r w:rsidR="00956308" w:rsidRPr="00956308">
              <w:rPr>
                <w:rFonts w:ascii="Times New Roman" w:eastAsia="Times New Roman" w:hAnsi="Times New Roman" w:cs="Times New Roman"/>
                <w:sz w:val="16"/>
                <w:szCs w:val="16"/>
              </w:rPr>
              <w:t> </w:t>
            </w:r>
            <w:r w:rsidRPr="00956308">
              <w:rPr>
                <w:rFonts w:ascii="Times New Roman" w:eastAsia="Times New Roman" w:hAnsi="Times New Roman" w:cs="Times New Roman"/>
                <w:sz w:val="16"/>
                <w:szCs w:val="16"/>
              </w:rPr>
              <w:t>053</w:t>
            </w:r>
          </w:p>
          <w:p w:rsidR="00956308" w:rsidRPr="00956308" w:rsidRDefault="00956308" w:rsidP="001B6174">
            <w:pPr>
              <w:spacing w:after="0" w:line="240" w:lineRule="auto"/>
              <w:jc w:val="center"/>
              <w:rPr>
                <w:rFonts w:ascii="Times New Roman" w:eastAsia="Times New Roman" w:hAnsi="Times New Roman" w:cs="Times New Roman"/>
                <w:sz w:val="16"/>
                <w:szCs w:val="16"/>
              </w:rPr>
            </w:pPr>
          </w:p>
        </w:tc>
      </w:tr>
    </w:tbl>
    <w:p w:rsidR="001B6174" w:rsidRPr="001B6174" w:rsidRDefault="001B6174" w:rsidP="001B6174">
      <w:pPr>
        <w:pStyle w:val="NoSpacing"/>
        <w:jc w:val="both"/>
        <w:rPr>
          <w:rFonts w:ascii="Times New Roman" w:hAnsi="Times New Roman"/>
          <w:i/>
          <w:sz w:val="20"/>
          <w:szCs w:val="20"/>
        </w:rPr>
      </w:pPr>
      <w:r>
        <w:rPr>
          <w:rFonts w:ascii="Times New Roman" w:hAnsi="Times New Roman"/>
          <w:i/>
          <w:sz w:val="20"/>
          <w:szCs w:val="20"/>
        </w:rPr>
        <w:t xml:space="preserve">              </w:t>
      </w:r>
      <w:r w:rsidRPr="002040D7">
        <w:rPr>
          <w:rFonts w:ascii="Times New Roman" w:hAnsi="Times New Roman"/>
          <w:i/>
          <w:sz w:val="20"/>
          <w:szCs w:val="20"/>
        </w:rPr>
        <w:t xml:space="preserve">Avots: </w:t>
      </w:r>
      <w:r>
        <w:rPr>
          <w:rFonts w:ascii="Times New Roman" w:hAnsi="Times New Roman"/>
          <w:i/>
          <w:sz w:val="20"/>
          <w:szCs w:val="20"/>
        </w:rPr>
        <w:t>Nacionālais veselības dienests</w:t>
      </w:r>
    </w:p>
    <w:p w:rsidR="00FC01A3" w:rsidRPr="004D6C02" w:rsidRDefault="00FE37FB" w:rsidP="00FE37FB">
      <w:pPr>
        <w:spacing w:before="120" w:after="0" w:line="240" w:lineRule="auto"/>
        <w:ind w:firstLine="720"/>
        <w:jc w:val="both"/>
        <w:rPr>
          <w:rFonts w:ascii="Times New Roman" w:hAnsi="Times New Roman"/>
          <w:sz w:val="24"/>
          <w:szCs w:val="24"/>
          <w:lang w:val="lv-LV"/>
        </w:rPr>
      </w:pPr>
      <w:r w:rsidRPr="004D6C02">
        <w:rPr>
          <w:rFonts w:ascii="Times New Roman" w:hAnsi="Times New Roman"/>
          <w:sz w:val="24"/>
          <w:szCs w:val="24"/>
          <w:lang w:val="lv-LV"/>
        </w:rPr>
        <w:t xml:space="preserve">Tā kā ziņojumā </w:t>
      </w:r>
      <w:r w:rsidR="00A34B14" w:rsidRPr="004D6C02">
        <w:rPr>
          <w:rFonts w:ascii="Times New Roman" w:hAnsi="Times New Roman"/>
          <w:sz w:val="24"/>
          <w:szCs w:val="24"/>
          <w:lang w:val="lv-LV"/>
        </w:rPr>
        <w:t>ir ietverta</w:t>
      </w:r>
      <w:r w:rsidRPr="004D6C02">
        <w:rPr>
          <w:rFonts w:ascii="Times New Roman" w:hAnsi="Times New Roman"/>
          <w:sz w:val="24"/>
          <w:szCs w:val="24"/>
          <w:lang w:val="lv-LV"/>
        </w:rPr>
        <w:t xml:space="preserve"> arī ārstniecības personu darba samaksas paaugstināšana un netiešo izmaksu koeficienta palielināšana, tad</w:t>
      </w:r>
      <w:r w:rsidR="002403F1">
        <w:rPr>
          <w:rFonts w:ascii="Times New Roman" w:hAnsi="Times New Roman"/>
          <w:sz w:val="24"/>
          <w:szCs w:val="24"/>
          <w:lang w:val="lv-LV"/>
        </w:rPr>
        <w:t xml:space="preserve"> pavisam kopā gaidīšanas laika uz ambulatorajiem pakalpojumiem samazināšanai nepieciešams </w:t>
      </w:r>
      <w:r w:rsidRPr="004D6C02">
        <w:rPr>
          <w:rFonts w:ascii="Times New Roman" w:hAnsi="Times New Roman"/>
          <w:sz w:val="24"/>
          <w:szCs w:val="24"/>
          <w:u w:val="single"/>
          <w:lang w:val="lv-LV"/>
        </w:rPr>
        <w:t>2013.gada pusgadā</w:t>
      </w:r>
      <w:r w:rsidRPr="004D6C02">
        <w:rPr>
          <w:rFonts w:ascii="Times New Roman" w:hAnsi="Times New Roman"/>
          <w:sz w:val="24"/>
          <w:szCs w:val="24"/>
          <w:lang w:val="lv-LV"/>
        </w:rPr>
        <w:t xml:space="preserve"> </w:t>
      </w:r>
      <w:r w:rsidRPr="004D6C02">
        <w:rPr>
          <w:rFonts w:ascii="Times New Roman" w:hAnsi="Times New Roman"/>
          <w:b/>
          <w:sz w:val="24"/>
          <w:szCs w:val="24"/>
          <w:lang w:val="lv-LV"/>
        </w:rPr>
        <w:t>4 480 555 lati</w:t>
      </w:r>
      <w:r w:rsidRPr="004D6C02">
        <w:rPr>
          <w:rFonts w:ascii="Times New Roman" w:hAnsi="Times New Roman"/>
          <w:sz w:val="24"/>
          <w:szCs w:val="24"/>
          <w:lang w:val="lv-LV"/>
        </w:rPr>
        <w:t xml:space="preserve"> (4 069 502 lati + 248 273 lati + 162 780 lati), </w:t>
      </w:r>
      <w:r w:rsidRPr="004D6C02">
        <w:rPr>
          <w:rFonts w:ascii="Times New Roman" w:hAnsi="Times New Roman"/>
          <w:sz w:val="24"/>
          <w:szCs w:val="24"/>
          <w:u w:val="single"/>
          <w:lang w:val="lv-LV"/>
        </w:rPr>
        <w:t>2014.gadā</w:t>
      </w:r>
      <w:r w:rsidRPr="004D6C02">
        <w:rPr>
          <w:rFonts w:ascii="Times New Roman" w:hAnsi="Times New Roman"/>
          <w:sz w:val="24"/>
          <w:szCs w:val="24"/>
          <w:lang w:val="lv-LV"/>
        </w:rPr>
        <w:t xml:space="preserve"> </w:t>
      </w:r>
      <w:r w:rsidR="00C7258C" w:rsidRPr="004D6C02">
        <w:rPr>
          <w:rFonts w:ascii="Times New Roman" w:hAnsi="Times New Roman"/>
          <w:b/>
          <w:sz w:val="24"/>
          <w:szCs w:val="24"/>
          <w:lang w:val="lv-LV"/>
        </w:rPr>
        <w:t>8 961 110 lati</w:t>
      </w:r>
      <w:r w:rsidR="00C7258C" w:rsidRPr="004D6C02">
        <w:rPr>
          <w:rFonts w:ascii="Times New Roman" w:hAnsi="Times New Roman"/>
          <w:sz w:val="24"/>
          <w:szCs w:val="24"/>
          <w:lang w:val="lv-LV"/>
        </w:rPr>
        <w:t xml:space="preserve"> (8 139 004 lati + 496 546 lati + 325 560 lati).</w:t>
      </w:r>
    </w:p>
    <w:p w:rsidR="00752C56" w:rsidRPr="004D6C02" w:rsidRDefault="00752C56" w:rsidP="00752C56">
      <w:pPr>
        <w:spacing w:before="120"/>
        <w:jc w:val="both"/>
        <w:rPr>
          <w:rFonts w:ascii="Times New Roman" w:hAnsi="Times New Roman"/>
          <w:i/>
          <w:sz w:val="24"/>
          <w:szCs w:val="24"/>
          <w:lang w:val="lv-LV"/>
        </w:rPr>
      </w:pPr>
      <w:r w:rsidRPr="004D6C02">
        <w:rPr>
          <w:rFonts w:ascii="Times New Roman" w:hAnsi="Times New Roman"/>
          <w:i/>
          <w:sz w:val="24"/>
          <w:szCs w:val="24"/>
          <w:lang w:val="lv-LV"/>
        </w:rPr>
        <w:t>5.2. Papildus nepieciešamie līdzekļi pakalpojumu gaidīšanas laika samazināšanai stacionāros</w:t>
      </w:r>
    </w:p>
    <w:p w:rsidR="00177306" w:rsidRPr="004D6C02" w:rsidRDefault="008A32A1" w:rsidP="00177306">
      <w:pPr>
        <w:spacing w:after="0" w:line="240" w:lineRule="auto"/>
        <w:ind w:firstLine="720"/>
        <w:jc w:val="both"/>
        <w:rPr>
          <w:rFonts w:ascii="Times New Roman" w:eastAsia="Times New Roman" w:hAnsi="Times New Roman"/>
          <w:lang w:val="lv-LV" w:eastAsia="lv-LV"/>
        </w:rPr>
      </w:pPr>
      <w:r w:rsidRPr="003D576E">
        <w:rPr>
          <w:rFonts w:ascii="Times New Roman" w:hAnsi="Times New Roman"/>
          <w:sz w:val="24"/>
          <w:szCs w:val="24"/>
          <w:lang w:val="lv-LV"/>
        </w:rPr>
        <w:t xml:space="preserve">Stacionārā sniegto pakalpojumu apjomā ir vērojams neliels samazinājums, par ko liecina </w:t>
      </w:r>
      <w:r>
        <w:rPr>
          <w:rFonts w:ascii="Times New Roman" w:hAnsi="Times New Roman"/>
          <w:sz w:val="24"/>
          <w:szCs w:val="24"/>
          <w:lang w:val="lv-LV"/>
        </w:rPr>
        <w:t xml:space="preserve">Nacionālā veselības dienesta </w:t>
      </w:r>
      <w:r w:rsidRPr="003D576E">
        <w:rPr>
          <w:rFonts w:ascii="Times New Roman" w:hAnsi="Times New Roman"/>
          <w:sz w:val="24"/>
          <w:szCs w:val="24"/>
          <w:lang w:val="lv-LV"/>
        </w:rPr>
        <w:t xml:space="preserve">veselības informācijas sistēmā esošie dati par </w:t>
      </w:r>
      <w:r w:rsidRPr="008A32A1">
        <w:rPr>
          <w:rFonts w:ascii="Times New Roman" w:hAnsi="Times New Roman"/>
          <w:bCs/>
          <w:sz w:val="24"/>
          <w:szCs w:val="24"/>
          <w:lang w:val="lv-LV"/>
        </w:rPr>
        <w:t>gultas dienu skaita samazināšanos</w:t>
      </w:r>
      <w:r>
        <w:rPr>
          <w:rFonts w:ascii="Times New Roman" w:hAnsi="Times New Roman"/>
          <w:sz w:val="24"/>
          <w:szCs w:val="24"/>
          <w:lang w:val="lv-LV"/>
        </w:rPr>
        <w:t>. S</w:t>
      </w:r>
      <w:r w:rsidRPr="003D576E">
        <w:rPr>
          <w:rFonts w:ascii="Times New Roman" w:hAnsi="Times New Roman"/>
          <w:sz w:val="24"/>
          <w:szCs w:val="24"/>
          <w:lang w:val="lv-LV"/>
        </w:rPr>
        <w:t xml:space="preserve">amazinājums liecina par mājas aprūpes lomas veselības aprūpes sistēmā palielināšanos, kas nodrošina pacientiem </w:t>
      </w:r>
      <w:r>
        <w:rPr>
          <w:rFonts w:ascii="Times New Roman" w:hAnsi="Times New Roman"/>
          <w:sz w:val="24"/>
          <w:szCs w:val="24"/>
          <w:lang w:val="lv-LV"/>
        </w:rPr>
        <w:t xml:space="preserve">iespēju </w:t>
      </w:r>
      <w:r w:rsidRPr="003D576E">
        <w:rPr>
          <w:rFonts w:ascii="Times New Roman" w:hAnsi="Times New Roman"/>
          <w:sz w:val="24"/>
          <w:szCs w:val="24"/>
          <w:lang w:val="lv-LV"/>
        </w:rPr>
        <w:t xml:space="preserve">saņemt veselības aprūpes pakalpojumu viņu dzīvesvietā, kā rezultātā samazinās pacientu uzturēšanās laiks stacionārā un </w:t>
      </w:r>
      <w:r w:rsidR="00752C56">
        <w:rPr>
          <w:rFonts w:ascii="Times New Roman" w:hAnsi="Times New Roman"/>
          <w:sz w:val="24"/>
          <w:szCs w:val="24"/>
          <w:lang w:val="lv-LV"/>
        </w:rPr>
        <w:t>izdevumi slimnīcām</w:t>
      </w:r>
      <w:r w:rsidRPr="003D576E">
        <w:rPr>
          <w:rFonts w:ascii="Times New Roman" w:hAnsi="Times New Roman"/>
          <w:sz w:val="24"/>
          <w:szCs w:val="24"/>
          <w:lang w:val="lv-LV"/>
        </w:rPr>
        <w:t>.</w:t>
      </w:r>
      <w:r w:rsidR="003B7D2D">
        <w:rPr>
          <w:rFonts w:ascii="Times New Roman" w:hAnsi="Times New Roman"/>
          <w:sz w:val="24"/>
          <w:szCs w:val="24"/>
          <w:lang w:val="lv-LV"/>
        </w:rPr>
        <w:t xml:space="preserve"> </w:t>
      </w:r>
      <w:r w:rsidR="00794CE3" w:rsidRPr="004D6C02">
        <w:rPr>
          <w:rFonts w:ascii="Times New Roman" w:hAnsi="Times New Roman"/>
          <w:sz w:val="24"/>
          <w:szCs w:val="24"/>
          <w:lang w:val="lv-LV"/>
        </w:rPr>
        <w:t xml:space="preserve">Šī brīža finanšu situācijā stacionāro pakalpojumu sniedzēji pārsvarā veselības aprūpes pakalpojumus nodrošina tikai pacientiem ar neatliekamām medicīniskām indikācijām. Plānveida veselības aprūpes pakalpojumu saņemšanai tiek veidotas rindas, kuru garumam dinamikā ir tendence pieaugt un atsevišķos pakalpojumu veidos rindas sasniedz vairāku gadu garumu, </w:t>
      </w:r>
      <w:r w:rsidR="003B7D2D" w:rsidRPr="004D6C02">
        <w:rPr>
          <w:rFonts w:ascii="Times New Roman" w:hAnsi="Times New Roman"/>
          <w:sz w:val="24"/>
          <w:szCs w:val="24"/>
          <w:lang w:val="lv-LV"/>
        </w:rPr>
        <w:t>ņemot vērā arī cilvēkresursu fak</w:t>
      </w:r>
      <w:r w:rsidR="00177306" w:rsidRPr="004D6C02">
        <w:rPr>
          <w:rFonts w:ascii="Times New Roman" w:hAnsi="Times New Roman"/>
          <w:sz w:val="24"/>
          <w:szCs w:val="24"/>
          <w:lang w:val="lv-LV"/>
        </w:rPr>
        <w:t xml:space="preserve">toru. Gaidīšanas laika ilgums uz stacionārajiem veselības aprūpes pakalpojumiem svārstās no 20 dienām </w:t>
      </w:r>
      <w:r w:rsidR="00177306" w:rsidRPr="004D6C02">
        <w:rPr>
          <w:rFonts w:ascii="Times New Roman" w:eastAsia="Times New Roman" w:hAnsi="Times New Roman"/>
          <w:sz w:val="24"/>
          <w:szCs w:val="24"/>
          <w:lang w:val="lv-LV" w:eastAsia="lv-LV"/>
        </w:rPr>
        <w:t xml:space="preserve">ārstēšanas uzsākšanai stacionārā ļaundabīgā audzēja diagnosticēšanas  gadījumā (ķirurģija)  </w:t>
      </w:r>
      <w:r w:rsidR="00177306" w:rsidRPr="004D6C02">
        <w:rPr>
          <w:rFonts w:ascii="Times New Roman" w:eastAsia="Times New Roman" w:hAnsi="Times New Roman"/>
          <w:lang w:val="lv-LV" w:eastAsia="lv-LV"/>
        </w:rPr>
        <w:t xml:space="preserve">līdz pat 3000 dienām uz </w:t>
      </w:r>
      <w:r w:rsidR="00177306" w:rsidRPr="004D6C02">
        <w:rPr>
          <w:rFonts w:ascii="Times New Roman" w:eastAsia="Times New Roman" w:hAnsi="Times New Roman"/>
          <w:sz w:val="24"/>
          <w:szCs w:val="24"/>
          <w:lang w:val="lv-LV" w:eastAsia="lv-LV"/>
        </w:rPr>
        <w:t>lielo locītavu endoprotezēšanu vispārējā kārtībā</w:t>
      </w:r>
      <w:r w:rsidR="00A71FF1" w:rsidRPr="004D6C02">
        <w:rPr>
          <w:rFonts w:ascii="Times New Roman" w:hAnsi="Times New Roman"/>
          <w:sz w:val="24"/>
          <w:szCs w:val="24"/>
          <w:lang w:val="lv-LV"/>
        </w:rPr>
        <w:t xml:space="preserve"> (skat.11</w:t>
      </w:r>
      <w:r w:rsidR="00177306" w:rsidRPr="004D6C02">
        <w:rPr>
          <w:rFonts w:ascii="Times New Roman" w:hAnsi="Times New Roman"/>
          <w:sz w:val="24"/>
          <w:szCs w:val="24"/>
          <w:lang w:val="lv-LV"/>
        </w:rPr>
        <w:t>.tab.)</w:t>
      </w:r>
      <w:r w:rsidR="00A34B14" w:rsidRPr="004D6C02">
        <w:rPr>
          <w:rFonts w:ascii="Times New Roman" w:hAnsi="Times New Roman"/>
          <w:sz w:val="24"/>
          <w:szCs w:val="24"/>
          <w:lang w:val="lv-LV"/>
        </w:rPr>
        <w:t>.</w:t>
      </w:r>
    </w:p>
    <w:p w:rsidR="00FF6C50" w:rsidRDefault="00FF6C50" w:rsidP="00794CE3">
      <w:pPr>
        <w:pStyle w:val="NoSpacing"/>
        <w:ind w:left="360"/>
        <w:jc w:val="right"/>
        <w:rPr>
          <w:rFonts w:ascii="Times New Roman" w:hAnsi="Times New Roman"/>
          <w:sz w:val="24"/>
          <w:szCs w:val="24"/>
        </w:rPr>
      </w:pPr>
    </w:p>
    <w:p w:rsidR="00FF6C50" w:rsidRDefault="00FF6C50" w:rsidP="00794CE3">
      <w:pPr>
        <w:pStyle w:val="NoSpacing"/>
        <w:ind w:left="360"/>
        <w:jc w:val="right"/>
        <w:rPr>
          <w:rFonts w:ascii="Times New Roman" w:hAnsi="Times New Roman"/>
          <w:sz w:val="24"/>
          <w:szCs w:val="24"/>
        </w:rPr>
      </w:pPr>
    </w:p>
    <w:p w:rsidR="00FF6C50" w:rsidRDefault="00FF6C50" w:rsidP="00794CE3">
      <w:pPr>
        <w:pStyle w:val="NoSpacing"/>
        <w:ind w:left="360"/>
        <w:jc w:val="right"/>
        <w:rPr>
          <w:rFonts w:ascii="Times New Roman" w:hAnsi="Times New Roman"/>
          <w:sz w:val="24"/>
          <w:szCs w:val="24"/>
        </w:rPr>
      </w:pPr>
    </w:p>
    <w:p w:rsidR="00FF6C50" w:rsidRDefault="00FF6C50" w:rsidP="00794CE3">
      <w:pPr>
        <w:pStyle w:val="NoSpacing"/>
        <w:ind w:left="360"/>
        <w:jc w:val="right"/>
        <w:rPr>
          <w:rFonts w:ascii="Times New Roman" w:hAnsi="Times New Roman"/>
          <w:sz w:val="24"/>
          <w:szCs w:val="24"/>
        </w:rPr>
      </w:pPr>
    </w:p>
    <w:p w:rsidR="00FF6C50" w:rsidRDefault="00FF6C50" w:rsidP="00794CE3">
      <w:pPr>
        <w:pStyle w:val="NoSpacing"/>
        <w:ind w:left="360"/>
        <w:jc w:val="right"/>
        <w:rPr>
          <w:rFonts w:ascii="Times New Roman" w:hAnsi="Times New Roman"/>
          <w:sz w:val="24"/>
          <w:szCs w:val="24"/>
        </w:rPr>
      </w:pPr>
    </w:p>
    <w:p w:rsidR="00794CE3" w:rsidRPr="00177306" w:rsidRDefault="00A71FF1" w:rsidP="00794CE3">
      <w:pPr>
        <w:pStyle w:val="NoSpacing"/>
        <w:ind w:left="360"/>
        <w:jc w:val="right"/>
        <w:rPr>
          <w:rFonts w:ascii="Times New Roman" w:hAnsi="Times New Roman"/>
          <w:sz w:val="24"/>
          <w:szCs w:val="24"/>
        </w:rPr>
      </w:pPr>
      <w:r>
        <w:rPr>
          <w:rFonts w:ascii="Times New Roman" w:hAnsi="Times New Roman"/>
          <w:sz w:val="24"/>
          <w:szCs w:val="24"/>
        </w:rPr>
        <w:lastRenderedPageBreak/>
        <w:t>11</w:t>
      </w:r>
      <w:r w:rsidR="00794CE3" w:rsidRPr="00177306">
        <w:rPr>
          <w:rFonts w:ascii="Times New Roman" w:hAnsi="Times New Roman"/>
          <w:sz w:val="24"/>
          <w:szCs w:val="24"/>
        </w:rPr>
        <w:t>.tabula</w:t>
      </w:r>
    </w:p>
    <w:p w:rsidR="00794CE3" w:rsidRPr="000E75EB" w:rsidRDefault="00794CE3" w:rsidP="00177306">
      <w:pPr>
        <w:pStyle w:val="NoSpacing"/>
        <w:ind w:left="360"/>
        <w:jc w:val="center"/>
        <w:rPr>
          <w:rFonts w:ascii="Times New Roman" w:eastAsia="Times New Roman" w:hAnsi="Times New Roman"/>
          <w:sz w:val="24"/>
          <w:szCs w:val="24"/>
          <w:lang w:eastAsia="lv-LV"/>
        </w:rPr>
      </w:pPr>
    </w:p>
    <w:p w:rsidR="00794CE3" w:rsidRPr="00E31C4C" w:rsidRDefault="00177306" w:rsidP="00177306">
      <w:pPr>
        <w:pStyle w:val="NoSpacing"/>
        <w:ind w:left="720"/>
        <w:jc w:val="center"/>
        <w:rPr>
          <w:rFonts w:ascii="Times New Roman" w:hAnsi="Times New Roman"/>
          <w:b/>
          <w:sz w:val="24"/>
          <w:szCs w:val="24"/>
        </w:rPr>
      </w:pPr>
      <w:r>
        <w:rPr>
          <w:rFonts w:ascii="Times New Roman" w:hAnsi="Times New Roman"/>
          <w:b/>
          <w:sz w:val="24"/>
          <w:szCs w:val="24"/>
        </w:rPr>
        <w:t>Ā</w:t>
      </w:r>
      <w:r w:rsidRPr="00E31C4C">
        <w:rPr>
          <w:rFonts w:ascii="Times New Roman" w:hAnsi="Times New Roman"/>
          <w:b/>
          <w:sz w:val="24"/>
          <w:szCs w:val="24"/>
        </w:rPr>
        <w:t xml:space="preserve">rstniecības iestāžu dati </w:t>
      </w:r>
      <w:r>
        <w:rPr>
          <w:rFonts w:ascii="Times New Roman" w:hAnsi="Times New Roman"/>
          <w:b/>
          <w:sz w:val="24"/>
          <w:szCs w:val="24"/>
        </w:rPr>
        <w:t>par g</w:t>
      </w:r>
      <w:r w:rsidR="00794CE3" w:rsidRPr="00E31C4C">
        <w:rPr>
          <w:rFonts w:ascii="Times New Roman" w:hAnsi="Times New Roman"/>
          <w:b/>
          <w:sz w:val="24"/>
          <w:szCs w:val="24"/>
        </w:rPr>
        <w:t>aidīšanas laik</w:t>
      </w:r>
      <w:r>
        <w:rPr>
          <w:rFonts w:ascii="Times New Roman" w:hAnsi="Times New Roman"/>
          <w:b/>
          <w:sz w:val="24"/>
          <w:szCs w:val="24"/>
        </w:rPr>
        <w:t>u</w:t>
      </w:r>
      <w:r w:rsidR="00794CE3" w:rsidRPr="00E31C4C">
        <w:rPr>
          <w:rFonts w:ascii="Times New Roman" w:hAnsi="Times New Roman"/>
          <w:b/>
          <w:sz w:val="24"/>
          <w:szCs w:val="24"/>
        </w:rPr>
        <w:t xml:space="preserve"> </w:t>
      </w:r>
      <w:r w:rsidR="00794CE3">
        <w:rPr>
          <w:rFonts w:ascii="Times New Roman" w:hAnsi="Times New Roman"/>
          <w:b/>
          <w:sz w:val="24"/>
          <w:szCs w:val="24"/>
        </w:rPr>
        <w:t>stacionāro</w:t>
      </w:r>
      <w:r w:rsidR="00794CE3" w:rsidRPr="00E31C4C">
        <w:rPr>
          <w:rFonts w:ascii="Times New Roman" w:hAnsi="Times New Roman"/>
          <w:b/>
          <w:sz w:val="24"/>
          <w:szCs w:val="24"/>
        </w:rPr>
        <w:t xml:space="preserve"> veselības aprūpes pakalpojumu saņemšanai</w:t>
      </w:r>
    </w:p>
    <w:p w:rsidR="00794CE3" w:rsidRPr="004D6C02" w:rsidRDefault="00794CE3" w:rsidP="00794CE3">
      <w:pPr>
        <w:spacing w:after="0" w:line="240" w:lineRule="auto"/>
        <w:jc w:val="both"/>
        <w:rPr>
          <w:rFonts w:ascii="Times New Roman" w:hAnsi="Times New Roman"/>
          <w:sz w:val="24"/>
          <w:szCs w:val="24"/>
          <w:lang w:val="lv-LV"/>
        </w:rPr>
      </w:pPr>
      <w:r w:rsidRPr="004D6C02">
        <w:rPr>
          <w:rFonts w:ascii="Times New Roman" w:hAnsi="Times New Roman"/>
          <w:sz w:val="24"/>
          <w:szCs w:val="24"/>
          <w:lang w:val="lv-LV"/>
        </w:rPr>
        <w:tab/>
      </w:r>
    </w:p>
    <w:tbl>
      <w:tblPr>
        <w:tblW w:w="6252" w:type="dxa"/>
        <w:jc w:val="center"/>
        <w:tblInd w:w="93" w:type="dxa"/>
        <w:tblLayout w:type="fixed"/>
        <w:tblLook w:val="04A0"/>
      </w:tblPr>
      <w:tblGrid>
        <w:gridCol w:w="3984"/>
        <w:gridCol w:w="2268"/>
      </w:tblGrid>
      <w:tr w:rsidR="00794CE3" w:rsidRPr="00177306" w:rsidTr="00177306">
        <w:trPr>
          <w:trHeight w:val="416"/>
          <w:jc w:val="center"/>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CE3" w:rsidRPr="00177306" w:rsidRDefault="00794CE3" w:rsidP="00177306">
            <w:pPr>
              <w:spacing w:after="0" w:line="240" w:lineRule="auto"/>
              <w:jc w:val="center"/>
              <w:rPr>
                <w:rFonts w:ascii="Times New Roman" w:eastAsia="Times New Roman" w:hAnsi="Times New Roman"/>
                <w:b/>
                <w:bCs/>
                <w:lang w:eastAsia="lv-LV"/>
              </w:rPr>
            </w:pPr>
            <w:r w:rsidRPr="00177306">
              <w:rPr>
                <w:rFonts w:ascii="Times New Roman" w:eastAsia="Times New Roman" w:hAnsi="Times New Roman"/>
                <w:b/>
                <w:bCs/>
                <w:lang w:eastAsia="lv-LV"/>
              </w:rPr>
              <w:t>Pakalpojums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94CE3" w:rsidRPr="00177306" w:rsidRDefault="00794CE3" w:rsidP="00177306">
            <w:pPr>
              <w:spacing w:after="0" w:line="240" w:lineRule="auto"/>
              <w:jc w:val="center"/>
              <w:rPr>
                <w:rFonts w:ascii="Times New Roman" w:eastAsia="Times New Roman" w:hAnsi="Times New Roman"/>
                <w:b/>
                <w:bCs/>
                <w:lang w:eastAsia="lv-LV"/>
              </w:rPr>
            </w:pPr>
            <w:r w:rsidRPr="00177306">
              <w:rPr>
                <w:rFonts w:ascii="Times New Roman" w:eastAsia="Times New Roman" w:hAnsi="Times New Roman"/>
                <w:b/>
                <w:bCs/>
                <w:lang w:eastAsia="lv-LV"/>
              </w:rPr>
              <w:t>Vidējais gaidīšanas laiks (darba dienas)</w:t>
            </w:r>
          </w:p>
        </w:tc>
      </w:tr>
      <w:tr w:rsidR="00794CE3" w:rsidRPr="00177306" w:rsidTr="00177306">
        <w:trPr>
          <w:trHeight w:val="70"/>
          <w:jc w:val="center"/>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94CE3" w:rsidRPr="00177306" w:rsidRDefault="00794CE3" w:rsidP="00177306">
            <w:pPr>
              <w:spacing w:after="0" w:line="240" w:lineRule="auto"/>
              <w:jc w:val="center"/>
              <w:rPr>
                <w:rFonts w:ascii="Times New Roman" w:eastAsia="Times New Roman" w:hAnsi="Times New Roman"/>
                <w:lang w:eastAsia="lv-LV"/>
              </w:rPr>
            </w:pPr>
            <w:r w:rsidRPr="00177306">
              <w:rPr>
                <w:rFonts w:ascii="Times New Roman" w:eastAsia="Times New Roman" w:hAnsi="Times New Roman"/>
                <w:lang w:eastAsia="lv-LV"/>
              </w:rPr>
              <w:t>Ārstēšanas uzsākšana ļaundabīgā audzēja diagnosticēšanas  gadījumā (ķirurģija) stacionārā</w:t>
            </w:r>
          </w:p>
        </w:tc>
        <w:tc>
          <w:tcPr>
            <w:tcW w:w="2268" w:type="dxa"/>
            <w:tcBorders>
              <w:top w:val="nil"/>
              <w:left w:val="nil"/>
              <w:bottom w:val="single" w:sz="4" w:space="0" w:color="auto"/>
              <w:right w:val="single" w:sz="4" w:space="0" w:color="auto"/>
            </w:tcBorders>
            <w:shd w:val="clear" w:color="auto" w:fill="auto"/>
            <w:noWrap/>
            <w:vAlign w:val="center"/>
            <w:hideMark/>
          </w:tcPr>
          <w:p w:rsidR="00794CE3" w:rsidRPr="00177306" w:rsidRDefault="00794CE3" w:rsidP="00177306">
            <w:pPr>
              <w:spacing w:after="0" w:line="240" w:lineRule="auto"/>
              <w:jc w:val="center"/>
              <w:rPr>
                <w:rFonts w:ascii="Times New Roman" w:eastAsia="Times New Roman" w:hAnsi="Times New Roman"/>
                <w:lang w:eastAsia="lv-LV"/>
              </w:rPr>
            </w:pPr>
            <w:r w:rsidRPr="00177306">
              <w:rPr>
                <w:rFonts w:ascii="Times New Roman" w:eastAsia="Times New Roman" w:hAnsi="Times New Roman"/>
                <w:lang w:eastAsia="lv-LV"/>
              </w:rPr>
              <w:t>20</w:t>
            </w:r>
          </w:p>
        </w:tc>
      </w:tr>
      <w:tr w:rsidR="00794CE3" w:rsidRPr="00177306" w:rsidTr="00177306">
        <w:trPr>
          <w:trHeight w:val="70"/>
          <w:jc w:val="center"/>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94CE3" w:rsidRPr="00177306" w:rsidRDefault="00794CE3" w:rsidP="00177306">
            <w:pPr>
              <w:spacing w:after="0" w:line="240" w:lineRule="auto"/>
              <w:jc w:val="center"/>
              <w:rPr>
                <w:rFonts w:ascii="Times New Roman" w:eastAsia="Times New Roman" w:hAnsi="Times New Roman"/>
                <w:lang w:eastAsia="lv-LV"/>
              </w:rPr>
            </w:pPr>
            <w:r w:rsidRPr="00177306">
              <w:rPr>
                <w:rFonts w:ascii="Times New Roman" w:eastAsia="Times New Roman" w:hAnsi="Times New Roman"/>
                <w:lang w:eastAsia="lv-LV"/>
              </w:rPr>
              <w:t>Lielo locītavu endoprotezēšana ar konsīlija lēmumu (70% no kopējā skaita)</w:t>
            </w:r>
          </w:p>
        </w:tc>
        <w:tc>
          <w:tcPr>
            <w:tcW w:w="2268" w:type="dxa"/>
            <w:tcBorders>
              <w:top w:val="nil"/>
              <w:left w:val="nil"/>
              <w:bottom w:val="single" w:sz="4" w:space="0" w:color="auto"/>
              <w:right w:val="single" w:sz="4" w:space="0" w:color="auto"/>
            </w:tcBorders>
            <w:shd w:val="clear" w:color="auto" w:fill="auto"/>
            <w:noWrap/>
            <w:vAlign w:val="center"/>
            <w:hideMark/>
          </w:tcPr>
          <w:p w:rsidR="00794CE3" w:rsidRPr="00177306" w:rsidRDefault="00794CE3" w:rsidP="00177306">
            <w:pPr>
              <w:spacing w:after="0" w:line="240" w:lineRule="auto"/>
              <w:jc w:val="center"/>
              <w:rPr>
                <w:rFonts w:ascii="Times New Roman" w:eastAsia="Times New Roman" w:hAnsi="Times New Roman"/>
                <w:lang w:eastAsia="lv-LV"/>
              </w:rPr>
            </w:pPr>
            <w:r w:rsidRPr="00177306">
              <w:rPr>
                <w:rFonts w:ascii="Times New Roman" w:eastAsia="Times New Roman" w:hAnsi="Times New Roman"/>
                <w:lang w:eastAsia="lv-LV"/>
              </w:rPr>
              <w:t>500</w:t>
            </w:r>
          </w:p>
        </w:tc>
      </w:tr>
      <w:tr w:rsidR="00794CE3" w:rsidRPr="00177306" w:rsidTr="00177306">
        <w:trPr>
          <w:trHeight w:val="664"/>
          <w:jc w:val="center"/>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94CE3" w:rsidRPr="00177306" w:rsidRDefault="00794CE3" w:rsidP="00177306">
            <w:pPr>
              <w:spacing w:after="0" w:line="240" w:lineRule="auto"/>
              <w:jc w:val="center"/>
              <w:rPr>
                <w:rFonts w:ascii="Times New Roman" w:eastAsia="Times New Roman" w:hAnsi="Times New Roman"/>
                <w:lang w:eastAsia="lv-LV"/>
              </w:rPr>
            </w:pPr>
            <w:r w:rsidRPr="00177306">
              <w:rPr>
                <w:rFonts w:ascii="Times New Roman" w:eastAsia="Times New Roman" w:hAnsi="Times New Roman"/>
                <w:lang w:eastAsia="lv-LV"/>
              </w:rPr>
              <w:t>Lielo locītavu endoprotezēšana vispārējā kārtībā (30% no kopējā skaita)</w:t>
            </w:r>
          </w:p>
        </w:tc>
        <w:tc>
          <w:tcPr>
            <w:tcW w:w="2268" w:type="dxa"/>
            <w:tcBorders>
              <w:top w:val="nil"/>
              <w:left w:val="nil"/>
              <w:bottom w:val="single" w:sz="4" w:space="0" w:color="auto"/>
              <w:right w:val="single" w:sz="4" w:space="0" w:color="auto"/>
            </w:tcBorders>
            <w:shd w:val="clear" w:color="auto" w:fill="auto"/>
            <w:noWrap/>
            <w:vAlign w:val="center"/>
            <w:hideMark/>
          </w:tcPr>
          <w:p w:rsidR="00794CE3" w:rsidRPr="00177306" w:rsidRDefault="00794CE3" w:rsidP="00177306">
            <w:pPr>
              <w:spacing w:after="0" w:line="240" w:lineRule="auto"/>
              <w:jc w:val="center"/>
              <w:rPr>
                <w:rFonts w:ascii="Times New Roman" w:eastAsia="Times New Roman" w:hAnsi="Times New Roman"/>
                <w:lang w:eastAsia="lv-LV"/>
              </w:rPr>
            </w:pPr>
            <w:r w:rsidRPr="00177306">
              <w:rPr>
                <w:rFonts w:ascii="Times New Roman" w:eastAsia="Times New Roman" w:hAnsi="Times New Roman"/>
                <w:lang w:eastAsia="lv-LV"/>
              </w:rPr>
              <w:t>3000</w:t>
            </w:r>
          </w:p>
        </w:tc>
      </w:tr>
      <w:tr w:rsidR="00794CE3" w:rsidRPr="00177306" w:rsidTr="00177306">
        <w:trPr>
          <w:trHeight w:val="765"/>
          <w:jc w:val="center"/>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94CE3" w:rsidRPr="00177306" w:rsidRDefault="00794CE3" w:rsidP="00177306">
            <w:pPr>
              <w:spacing w:after="0" w:line="240" w:lineRule="auto"/>
              <w:jc w:val="center"/>
              <w:rPr>
                <w:rFonts w:ascii="Times New Roman" w:eastAsia="Times New Roman" w:hAnsi="Times New Roman"/>
                <w:lang w:eastAsia="lv-LV"/>
              </w:rPr>
            </w:pPr>
            <w:r w:rsidRPr="00177306">
              <w:rPr>
                <w:rFonts w:ascii="Times New Roman" w:eastAsia="Times New Roman" w:hAnsi="Times New Roman"/>
                <w:lang w:eastAsia="lv-LV"/>
              </w:rPr>
              <w:t>Citas plānveida operācijas stacionārā</w:t>
            </w:r>
          </w:p>
        </w:tc>
        <w:tc>
          <w:tcPr>
            <w:tcW w:w="2268" w:type="dxa"/>
            <w:tcBorders>
              <w:top w:val="nil"/>
              <w:left w:val="nil"/>
              <w:bottom w:val="single" w:sz="4" w:space="0" w:color="auto"/>
              <w:right w:val="single" w:sz="4" w:space="0" w:color="auto"/>
            </w:tcBorders>
            <w:shd w:val="clear" w:color="auto" w:fill="auto"/>
            <w:noWrap/>
            <w:vAlign w:val="center"/>
            <w:hideMark/>
          </w:tcPr>
          <w:p w:rsidR="00794CE3" w:rsidRPr="00177306" w:rsidRDefault="00794CE3" w:rsidP="00177306">
            <w:pPr>
              <w:spacing w:after="0" w:line="240" w:lineRule="auto"/>
              <w:jc w:val="center"/>
              <w:rPr>
                <w:rFonts w:ascii="Times New Roman" w:eastAsia="Times New Roman" w:hAnsi="Times New Roman"/>
                <w:lang w:eastAsia="lv-LV"/>
              </w:rPr>
            </w:pPr>
            <w:r w:rsidRPr="00177306">
              <w:rPr>
                <w:rFonts w:ascii="Times New Roman" w:eastAsia="Times New Roman" w:hAnsi="Times New Roman"/>
                <w:lang w:eastAsia="lv-LV"/>
              </w:rPr>
              <w:t>252</w:t>
            </w:r>
          </w:p>
        </w:tc>
      </w:tr>
    </w:tbl>
    <w:p w:rsidR="00A71FF1" w:rsidRDefault="00A71FF1" w:rsidP="00A71FF1">
      <w:pPr>
        <w:pStyle w:val="NoSpacing"/>
        <w:ind w:firstLine="720"/>
        <w:jc w:val="both"/>
        <w:rPr>
          <w:rFonts w:ascii="Times New Roman" w:hAnsi="Times New Roman"/>
          <w:i/>
          <w:sz w:val="20"/>
          <w:szCs w:val="20"/>
        </w:rPr>
      </w:pPr>
      <w:r>
        <w:rPr>
          <w:rFonts w:ascii="Times New Roman" w:hAnsi="Times New Roman"/>
          <w:i/>
          <w:sz w:val="20"/>
          <w:szCs w:val="20"/>
        </w:rPr>
        <w:t xml:space="preserve">                             </w:t>
      </w:r>
      <w:r w:rsidRPr="002040D7">
        <w:rPr>
          <w:rFonts w:ascii="Times New Roman" w:hAnsi="Times New Roman"/>
          <w:i/>
          <w:sz w:val="20"/>
          <w:szCs w:val="20"/>
        </w:rPr>
        <w:t xml:space="preserve">Avots: </w:t>
      </w:r>
      <w:r>
        <w:rPr>
          <w:rFonts w:ascii="Times New Roman" w:hAnsi="Times New Roman"/>
          <w:i/>
          <w:sz w:val="20"/>
          <w:szCs w:val="20"/>
        </w:rPr>
        <w:t>Nacionālais veselības dienests</w:t>
      </w:r>
      <w:r w:rsidRPr="002040D7">
        <w:rPr>
          <w:rFonts w:ascii="Times New Roman" w:hAnsi="Times New Roman"/>
          <w:i/>
          <w:sz w:val="20"/>
          <w:szCs w:val="20"/>
        </w:rPr>
        <w:t xml:space="preserve">    </w:t>
      </w:r>
    </w:p>
    <w:p w:rsidR="00177306" w:rsidRDefault="00177306" w:rsidP="00177306">
      <w:pPr>
        <w:spacing w:after="0" w:line="240" w:lineRule="auto"/>
        <w:jc w:val="both"/>
        <w:rPr>
          <w:rFonts w:ascii="Times New Roman" w:hAnsi="Times New Roman"/>
          <w:b/>
          <w:sz w:val="28"/>
          <w:szCs w:val="28"/>
        </w:rPr>
      </w:pPr>
    </w:p>
    <w:p w:rsidR="00956308" w:rsidRDefault="00177306" w:rsidP="00783301">
      <w:pPr>
        <w:spacing w:after="0" w:line="240" w:lineRule="auto"/>
        <w:ind w:firstLine="720"/>
        <w:jc w:val="both"/>
        <w:rPr>
          <w:rFonts w:ascii="Times New Roman" w:eastAsia="Times New Roman" w:hAnsi="Times New Roman"/>
          <w:sz w:val="24"/>
          <w:szCs w:val="24"/>
          <w:lang w:eastAsia="lv-LV"/>
        </w:rPr>
      </w:pPr>
      <w:r w:rsidRPr="00A34B14">
        <w:rPr>
          <w:rFonts w:ascii="Times New Roman" w:eastAsia="Times New Roman" w:hAnsi="Times New Roman"/>
          <w:sz w:val="24"/>
          <w:szCs w:val="24"/>
          <w:lang w:eastAsia="lv-LV"/>
        </w:rPr>
        <w:t>Pasākumi, lai samazinātu gaidīšans laiku stacionāros</w:t>
      </w:r>
      <w:r w:rsidR="009138FC" w:rsidRPr="00A34B14">
        <w:rPr>
          <w:rFonts w:ascii="Times New Roman" w:eastAsia="Times New Roman" w:hAnsi="Times New Roman"/>
          <w:sz w:val="24"/>
          <w:szCs w:val="24"/>
          <w:lang w:eastAsia="lv-LV"/>
        </w:rPr>
        <w:t xml:space="preserve"> </w:t>
      </w:r>
      <w:proofErr w:type="gramStart"/>
      <w:r w:rsidR="000F188D" w:rsidRPr="00A34B14">
        <w:rPr>
          <w:rFonts w:ascii="Times New Roman" w:eastAsia="Times New Roman" w:hAnsi="Times New Roman"/>
          <w:sz w:val="24"/>
          <w:szCs w:val="24"/>
          <w:lang w:eastAsia="lv-LV"/>
        </w:rPr>
        <w:t>un</w:t>
      </w:r>
      <w:proofErr w:type="gramEnd"/>
      <w:r w:rsidR="000F188D" w:rsidRPr="00A34B14">
        <w:rPr>
          <w:rFonts w:ascii="Times New Roman" w:eastAsia="Times New Roman" w:hAnsi="Times New Roman"/>
          <w:sz w:val="24"/>
          <w:szCs w:val="24"/>
          <w:lang w:eastAsia="lv-LV"/>
        </w:rPr>
        <w:t xml:space="preserve"> </w:t>
      </w:r>
      <w:r w:rsidR="000F188D" w:rsidRPr="00A34B14">
        <w:rPr>
          <w:rFonts w:ascii="Times New Roman" w:hAnsi="Times New Roman" w:cs="Times New Roman"/>
          <w:sz w:val="24"/>
          <w:szCs w:val="24"/>
        </w:rPr>
        <w:t xml:space="preserve">turpinātu uzsāktos </w:t>
      </w:r>
      <w:r w:rsidR="000F188D" w:rsidRPr="00A34B14">
        <w:rPr>
          <w:rFonts w:ascii="Times New Roman" w:hAnsi="Times New Roman"/>
          <w:sz w:val="24"/>
          <w:szCs w:val="24"/>
        </w:rPr>
        <w:t>prognozējamās invaliditātes novēršanas pasākumus</w:t>
      </w:r>
      <w:r w:rsidR="000F188D" w:rsidRPr="00A34B14">
        <w:rPr>
          <w:rFonts w:ascii="Times New Roman" w:eastAsia="Times New Roman" w:hAnsi="Times New Roman"/>
          <w:sz w:val="24"/>
          <w:szCs w:val="24"/>
          <w:lang w:eastAsia="lv-LV"/>
        </w:rPr>
        <w:t xml:space="preserve"> </w:t>
      </w:r>
      <w:r w:rsidR="009138FC" w:rsidRPr="00A34B14">
        <w:rPr>
          <w:rFonts w:ascii="Times New Roman" w:eastAsia="Times New Roman" w:hAnsi="Times New Roman"/>
          <w:sz w:val="24"/>
          <w:szCs w:val="24"/>
          <w:lang w:eastAsia="lv-LV"/>
        </w:rPr>
        <w:t xml:space="preserve">veido </w:t>
      </w:r>
      <w:r w:rsidR="000F188D" w:rsidRPr="00A34B14">
        <w:rPr>
          <w:rFonts w:ascii="Times New Roman" w:eastAsia="Times New Roman" w:hAnsi="Times New Roman"/>
          <w:sz w:val="24"/>
          <w:szCs w:val="24"/>
          <w:u w:val="single"/>
          <w:lang w:eastAsia="lv-LV"/>
        </w:rPr>
        <w:t>2014.</w:t>
      </w:r>
      <w:r w:rsidR="009138FC" w:rsidRPr="00A34B14">
        <w:rPr>
          <w:rFonts w:ascii="Times New Roman" w:eastAsia="Times New Roman" w:hAnsi="Times New Roman"/>
          <w:sz w:val="24"/>
          <w:szCs w:val="24"/>
          <w:u w:val="single"/>
          <w:lang w:eastAsia="lv-LV"/>
        </w:rPr>
        <w:t>gadā</w:t>
      </w:r>
      <w:r w:rsidR="009138FC" w:rsidRPr="00A34B14">
        <w:rPr>
          <w:rFonts w:ascii="Times New Roman" w:eastAsia="Times New Roman" w:hAnsi="Times New Roman"/>
          <w:sz w:val="24"/>
          <w:szCs w:val="24"/>
          <w:lang w:eastAsia="lv-LV"/>
        </w:rPr>
        <w:t xml:space="preserve"> deficītu </w:t>
      </w:r>
      <w:r w:rsidR="00912D20" w:rsidRPr="00A34B14">
        <w:rPr>
          <w:rFonts w:ascii="Times New Roman" w:eastAsia="Times New Roman" w:hAnsi="Times New Roman"/>
          <w:b/>
          <w:sz w:val="24"/>
          <w:szCs w:val="24"/>
          <w:lang w:eastAsia="lv-LV"/>
        </w:rPr>
        <w:t xml:space="preserve">3 648 859 </w:t>
      </w:r>
      <w:r w:rsidR="009138FC" w:rsidRPr="00A34B14">
        <w:rPr>
          <w:rFonts w:ascii="Times New Roman" w:eastAsia="Times New Roman" w:hAnsi="Times New Roman"/>
          <w:b/>
          <w:sz w:val="24"/>
          <w:szCs w:val="24"/>
          <w:lang w:eastAsia="lv-LV"/>
        </w:rPr>
        <w:t xml:space="preserve">latu </w:t>
      </w:r>
      <w:r w:rsidR="009138FC" w:rsidRPr="00A34B14">
        <w:rPr>
          <w:rFonts w:ascii="Times New Roman" w:eastAsia="Times New Roman" w:hAnsi="Times New Roman"/>
          <w:sz w:val="24"/>
          <w:szCs w:val="24"/>
          <w:lang w:eastAsia="lv-LV"/>
        </w:rPr>
        <w:t>apmērā</w:t>
      </w:r>
      <w:r w:rsidR="00A71FF1" w:rsidRPr="00A34B14">
        <w:rPr>
          <w:rFonts w:ascii="Times New Roman" w:eastAsia="Times New Roman" w:hAnsi="Times New Roman"/>
          <w:sz w:val="24"/>
          <w:szCs w:val="24"/>
          <w:lang w:eastAsia="lv-LV"/>
        </w:rPr>
        <w:t xml:space="preserve">, </w:t>
      </w:r>
      <w:r w:rsidR="00A71FF1" w:rsidRPr="00A34B14">
        <w:rPr>
          <w:rFonts w:ascii="Times New Roman" w:eastAsia="Times New Roman" w:hAnsi="Times New Roman"/>
          <w:sz w:val="24"/>
          <w:szCs w:val="24"/>
          <w:u w:val="single"/>
          <w:lang w:eastAsia="lv-LV"/>
        </w:rPr>
        <w:t>2013.gada pusgadam</w:t>
      </w:r>
      <w:r w:rsidR="00A71FF1" w:rsidRPr="00A34B14">
        <w:rPr>
          <w:rFonts w:ascii="Times New Roman" w:eastAsia="Times New Roman" w:hAnsi="Times New Roman"/>
          <w:sz w:val="24"/>
          <w:szCs w:val="24"/>
          <w:lang w:eastAsia="lv-LV"/>
        </w:rPr>
        <w:t xml:space="preserve"> nepieciešami papildus </w:t>
      </w:r>
      <w:r w:rsidR="00A71FF1" w:rsidRPr="00A34B14">
        <w:rPr>
          <w:rFonts w:ascii="Times New Roman" w:eastAsia="Times New Roman" w:hAnsi="Times New Roman"/>
          <w:b/>
          <w:sz w:val="24"/>
          <w:szCs w:val="24"/>
          <w:lang w:eastAsia="lv-LV"/>
        </w:rPr>
        <w:t>1 824 430 lati</w:t>
      </w:r>
      <w:r w:rsidR="00956308">
        <w:rPr>
          <w:rFonts w:ascii="Times New Roman" w:eastAsia="Times New Roman" w:hAnsi="Times New Roman"/>
          <w:b/>
          <w:sz w:val="24"/>
          <w:szCs w:val="24"/>
          <w:lang w:eastAsia="lv-LV"/>
        </w:rPr>
        <w:t xml:space="preserve"> </w:t>
      </w:r>
      <w:r w:rsidR="00956308" w:rsidRPr="00956308">
        <w:rPr>
          <w:rFonts w:ascii="Times New Roman" w:eastAsia="Times New Roman" w:hAnsi="Times New Roman"/>
          <w:sz w:val="24"/>
          <w:szCs w:val="24"/>
          <w:lang w:eastAsia="lv-LV"/>
        </w:rPr>
        <w:t>(skat. 1</w:t>
      </w:r>
      <w:r w:rsidR="00956308">
        <w:rPr>
          <w:rFonts w:ascii="Times New Roman" w:eastAsia="Times New Roman" w:hAnsi="Times New Roman"/>
          <w:sz w:val="24"/>
          <w:szCs w:val="24"/>
          <w:lang w:eastAsia="lv-LV"/>
        </w:rPr>
        <w:t>2</w:t>
      </w:r>
      <w:proofErr w:type="gramStart"/>
      <w:r w:rsidR="00956308" w:rsidRPr="00956308">
        <w:rPr>
          <w:rFonts w:ascii="Times New Roman" w:eastAsia="Times New Roman" w:hAnsi="Times New Roman"/>
          <w:sz w:val="24"/>
          <w:szCs w:val="24"/>
          <w:lang w:eastAsia="lv-LV"/>
        </w:rPr>
        <w:t>.tabulu</w:t>
      </w:r>
      <w:proofErr w:type="gramEnd"/>
      <w:r w:rsidR="00956308" w:rsidRPr="00956308">
        <w:rPr>
          <w:rFonts w:ascii="Times New Roman" w:eastAsia="Times New Roman" w:hAnsi="Times New Roman"/>
          <w:sz w:val="24"/>
          <w:szCs w:val="24"/>
          <w:lang w:eastAsia="lv-LV"/>
        </w:rPr>
        <w:t>)</w:t>
      </w:r>
      <w:r w:rsidR="00956308">
        <w:rPr>
          <w:rFonts w:ascii="Times New Roman" w:eastAsia="Times New Roman" w:hAnsi="Times New Roman"/>
          <w:sz w:val="24"/>
          <w:szCs w:val="24"/>
          <w:lang w:eastAsia="lv-LV"/>
        </w:rPr>
        <w:t>.</w:t>
      </w:r>
    </w:p>
    <w:p w:rsidR="00956308" w:rsidRPr="00177306" w:rsidRDefault="00956308" w:rsidP="00956308">
      <w:pPr>
        <w:pStyle w:val="NoSpacing"/>
        <w:ind w:left="360"/>
        <w:jc w:val="right"/>
        <w:rPr>
          <w:rFonts w:ascii="Times New Roman" w:hAnsi="Times New Roman"/>
          <w:sz w:val="24"/>
          <w:szCs w:val="24"/>
        </w:rPr>
      </w:pPr>
      <w:r>
        <w:rPr>
          <w:rFonts w:ascii="Times New Roman" w:hAnsi="Times New Roman"/>
          <w:sz w:val="24"/>
          <w:szCs w:val="24"/>
        </w:rPr>
        <w:t>12</w:t>
      </w:r>
      <w:r w:rsidRPr="00177306">
        <w:rPr>
          <w:rFonts w:ascii="Times New Roman" w:hAnsi="Times New Roman"/>
          <w:sz w:val="24"/>
          <w:szCs w:val="24"/>
        </w:rPr>
        <w:t>.tabula</w:t>
      </w:r>
    </w:p>
    <w:p w:rsidR="00956308" w:rsidRDefault="00956308" w:rsidP="00177306">
      <w:pPr>
        <w:spacing w:after="0" w:line="240" w:lineRule="auto"/>
        <w:jc w:val="both"/>
        <w:rPr>
          <w:rFonts w:ascii="Times New Roman" w:eastAsia="Times New Roman" w:hAnsi="Times New Roman"/>
          <w:sz w:val="24"/>
          <w:szCs w:val="24"/>
          <w:lang w:eastAsia="lv-LV"/>
        </w:rPr>
      </w:pPr>
    </w:p>
    <w:tbl>
      <w:tblPr>
        <w:tblW w:w="10505" w:type="dxa"/>
        <w:jc w:val="center"/>
        <w:tblInd w:w="93" w:type="dxa"/>
        <w:tblLayout w:type="fixed"/>
        <w:tblLook w:val="04A0"/>
      </w:tblPr>
      <w:tblGrid>
        <w:gridCol w:w="1968"/>
        <w:gridCol w:w="993"/>
        <w:gridCol w:w="1023"/>
        <w:gridCol w:w="993"/>
        <w:gridCol w:w="992"/>
        <w:gridCol w:w="992"/>
        <w:gridCol w:w="992"/>
        <w:gridCol w:w="851"/>
        <w:gridCol w:w="850"/>
        <w:gridCol w:w="851"/>
      </w:tblGrid>
      <w:tr w:rsidR="00956308" w:rsidRPr="00956308" w:rsidTr="00783301">
        <w:trPr>
          <w:trHeight w:val="922"/>
          <w:jc w:val="center"/>
        </w:trPr>
        <w:tc>
          <w:tcPr>
            <w:tcW w:w="10505" w:type="dxa"/>
            <w:gridSpan w:val="10"/>
            <w:tcBorders>
              <w:top w:val="nil"/>
              <w:left w:val="nil"/>
              <w:bottom w:val="single" w:sz="4" w:space="0" w:color="auto"/>
              <w:right w:val="nil"/>
            </w:tcBorders>
            <w:shd w:val="clear" w:color="auto" w:fill="auto"/>
            <w:vAlign w:val="bottom"/>
            <w:hideMark/>
          </w:tcPr>
          <w:p w:rsidR="00956308" w:rsidRDefault="00956308" w:rsidP="00956308">
            <w:pPr>
              <w:spacing w:after="0" w:line="240" w:lineRule="auto"/>
              <w:jc w:val="center"/>
              <w:rPr>
                <w:rFonts w:ascii="Times New Roman" w:eastAsia="Times New Roman" w:hAnsi="Times New Roman" w:cs="Times New Roman"/>
                <w:b/>
                <w:sz w:val="24"/>
                <w:szCs w:val="24"/>
              </w:rPr>
            </w:pPr>
            <w:r w:rsidRPr="00956308">
              <w:rPr>
                <w:rFonts w:ascii="Times New Roman" w:eastAsia="Times New Roman" w:hAnsi="Times New Roman" w:cs="Times New Roman"/>
                <w:b/>
                <w:sz w:val="24"/>
                <w:szCs w:val="24"/>
              </w:rPr>
              <w:t>Gaidīšanas laika nodrošināšanai un prognozējamās invaliditātes novēršanas pasākumiem nepieciešamo līdzekļu apjoma prognoze stacionāriem  pakalpojumiem</w:t>
            </w:r>
          </w:p>
          <w:p w:rsidR="00956308" w:rsidRPr="00956308" w:rsidRDefault="00956308" w:rsidP="00956308">
            <w:pPr>
              <w:spacing w:after="0" w:line="240" w:lineRule="auto"/>
              <w:jc w:val="center"/>
              <w:rPr>
                <w:rFonts w:ascii="Times New Roman" w:eastAsia="Times New Roman" w:hAnsi="Times New Roman" w:cs="Times New Roman"/>
                <w:b/>
                <w:sz w:val="24"/>
                <w:szCs w:val="24"/>
              </w:rPr>
            </w:pPr>
          </w:p>
        </w:tc>
      </w:tr>
      <w:tr w:rsidR="00956308" w:rsidRPr="00956308" w:rsidTr="005E51F2">
        <w:trPr>
          <w:trHeight w:val="907"/>
          <w:jc w:val="center"/>
        </w:trPr>
        <w:tc>
          <w:tcPr>
            <w:tcW w:w="1968" w:type="dxa"/>
            <w:vMerge w:val="restart"/>
            <w:tcBorders>
              <w:top w:val="nil"/>
              <w:left w:val="single" w:sz="4" w:space="0" w:color="auto"/>
              <w:bottom w:val="single" w:sz="4" w:space="0" w:color="auto"/>
              <w:right w:val="single" w:sz="4" w:space="0" w:color="auto"/>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sz w:val="20"/>
                <w:szCs w:val="20"/>
              </w:rPr>
            </w:pPr>
            <w:r w:rsidRPr="00956308">
              <w:rPr>
                <w:rFonts w:ascii="Times New Roman" w:eastAsia="Times New Roman" w:hAnsi="Times New Roman" w:cs="Times New Roman"/>
                <w:sz w:val="20"/>
                <w:szCs w:val="20"/>
              </w:rPr>
              <w:t>Pakalpojums</w:t>
            </w:r>
          </w:p>
        </w:tc>
        <w:tc>
          <w:tcPr>
            <w:tcW w:w="3009" w:type="dxa"/>
            <w:gridSpan w:val="3"/>
            <w:tcBorders>
              <w:top w:val="single" w:sz="4" w:space="0" w:color="auto"/>
              <w:left w:val="nil"/>
              <w:bottom w:val="single" w:sz="4" w:space="0" w:color="auto"/>
              <w:right w:val="single" w:sz="4" w:space="0" w:color="auto"/>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sz w:val="20"/>
                <w:szCs w:val="20"/>
              </w:rPr>
            </w:pPr>
            <w:r w:rsidRPr="00956308">
              <w:rPr>
                <w:rFonts w:ascii="Times New Roman" w:eastAsia="Times New Roman" w:hAnsi="Times New Roman" w:cs="Times New Roman"/>
                <w:sz w:val="20"/>
                <w:szCs w:val="20"/>
              </w:rPr>
              <w:t>Nepieciešamais papildus finansēj</w:t>
            </w:r>
            <w:r w:rsidR="005E51F2">
              <w:rPr>
                <w:rFonts w:ascii="Times New Roman" w:eastAsia="Times New Roman" w:hAnsi="Times New Roman" w:cs="Times New Roman"/>
                <w:sz w:val="20"/>
                <w:szCs w:val="20"/>
              </w:rPr>
              <w:t>ums pakalpojumu nodrošināšanai p</w:t>
            </w:r>
            <w:r w:rsidRPr="00956308">
              <w:rPr>
                <w:rFonts w:ascii="Times New Roman" w:eastAsia="Times New Roman" w:hAnsi="Times New Roman" w:cs="Times New Roman"/>
                <w:sz w:val="20"/>
                <w:szCs w:val="20"/>
              </w:rPr>
              <w:t>rojektā plānotajā periodā, Ls</w:t>
            </w:r>
          </w:p>
        </w:tc>
        <w:tc>
          <w:tcPr>
            <w:tcW w:w="5528" w:type="dxa"/>
            <w:gridSpan w:val="6"/>
            <w:tcBorders>
              <w:top w:val="single" w:sz="4" w:space="0" w:color="auto"/>
              <w:left w:val="double" w:sz="6" w:space="0" w:color="auto"/>
              <w:bottom w:val="single" w:sz="4" w:space="0" w:color="auto"/>
              <w:right w:val="single" w:sz="4" w:space="0" w:color="auto"/>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sz w:val="20"/>
                <w:szCs w:val="20"/>
              </w:rPr>
            </w:pPr>
            <w:r w:rsidRPr="00956308">
              <w:rPr>
                <w:rFonts w:ascii="Times New Roman" w:eastAsia="Times New Roman" w:hAnsi="Times New Roman" w:cs="Times New Roman"/>
                <w:sz w:val="20"/>
                <w:szCs w:val="20"/>
              </w:rPr>
              <w:t>Finansējuma apjoms, palielinot atalgojumu par 17% un netiešo izmaksu U, Np, A, elementu koeficientus līdz faktam, Ls</w:t>
            </w:r>
          </w:p>
        </w:tc>
      </w:tr>
      <w:tr w:rsidR="00956308" w:rsidRPr="00956308" w:rsidTr="005E51F2">
        <w:trPr>
          <w:trHeight w:val="360"/>
          <w:jc w:val="center"/>
        </w:trPr>
        <w:tc>
          <w:tcPr>
            <w:tcW w:w="1968" w:type="dxa"/>
            <w:vMerge/>
            <w:tcBorders>
              <w:top w:val="nil"/>
              <w:left w:val="single" w:sz="4" w:space="0" w:color="auto"/>
              <w:bottom w:val="single" w:sz="4" w:space="0" w:color="auto"/>
              <w:right w:val="single" w:sz="4" w:space="0" w:color="auto"/>
            </w:tcBorders>
            <w:vAlign w:val="center"/>
            <w:hideMark/>
          </w:tcPr>
          <w:p w:rsidR="00956308" w:rsidRPr="00956308" w:rsidRDefault="00956308" w:rsidP="00956308">
            <w:pPr>
              <w:spacing w:after="0" w:line="240" w:lineRule="auto"/>
              <w:rPr>
                <w:rFonts w:ascii="Times New Roman" w:eastAsia="Times New Roman" w:hAnsi="Times New Roman" w:cs="Times New Roman"/>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sz w:val="20"/>
                <w:szCs w:val="20"/>
              </w:rPr>
            </w:pPr>
            <w:r w:rsidRPr="00956308">
              <w:rPr>
                <w:rFonts w:ascii="Times New Roman" w:eastAsia="Times New Roman" w:hAnsi="Times New Roman" w:cs="Times New Roman"/>
                <w:sz w:val="20"/>
                <w:szCs w:val="20"/>
              </w:rPr>
              <w:t>Summa kopā</w:t>
            </w:r>
          </w:p>
        </w:tc>
        <w:tc>
          <w:tcPr>
            <w:tcW w:w="2016" w:type="dxa"/>
            <w:gridSpan w:val="2"/>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center"/>
              <w:rPr>
                <w:rFonts w:ascii="Times New Roman" w:eastAsia="Times New Roman" w:hAnsi="Times New Roman" w:cs="Times New Roman"/>
                <w:sz w:val="20"/>
                <w:szCs w:val="20"/>
              </w:rPr>
            </w:pPr>
            <w:r w:rsidRPr="00956308">
              <w:rPr>
                <w:rFonts w:ascii="Times New Roman" w:eastAsia="Times New Roman" w:hAnsi="Times New Roman" w:cs="Times New Roman"/>
                <w:sz w:val="20"/>
                <w:szCs w:val="20"/>
              </w:rPr>
              <w:t>tajā skaita</w:t>
            </w:r>
          </w:p>
        </w:tc>
        <w:tc>
          <w:tcPr>
            <w:tcW w:w="992" w:type="dxa"/>
            <w:vMerge w:val="restart"/>
            <w:tcBorders>
              <w:top w:val="nil"/>
              <w:left w:val="double" w:sz="6" w:space="0" w:color="auto"/>
              <w:bottom w:val="single" w:sz="4" w:space="0" w:color="auto"/>
              <w:right w:val="single" w:sz="4" w:space="0" w:color="auto"/>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sz w:val="20"/>
                <w:szCs w:val="20"/>
              </w:rPr>
            </w:pPr>
            <w:r w:rsidRPr="00956308">
              <w:rPr>
                <w:rFonts w:ascii="Times New Roman" w:eastAsia="Times New Roman" w:hAnsi="Times New Roman" w:cs="Times New Roman"/>
                <w:sz w:val="20"/>
                <w:szCs w:val="20"/>
              </w:rPr>
              <w:t>Summa kopā</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center"/>
              <w:rPr>
                <w:rFonts w:ascii="Times New Roman" w:eastAsia="Times New Roman" w:hAnsi="Times New Roman" w:cs="Times New Roman"/>
                <w:sz w:val="20"/>
                <w:szCs w:val="20"/>
              </w:rPr>
            </w:pPr>
            <w:r w:rsidRPr="00956308">
              <w:rPr>
                <w:rFonts w:ascii="Times New Roman" w:eastAsia="Times New Roman" w:hAnsi="Times New Roman" w:cs="Times New Roman"/>
                <w:sz w:val="20"/>
                <w:szCs w:val="20"/>
              </w:rPr>
              <w:t>tajā skait</w:t>
            </w:r>
            <w:r>
              <w:rPr>
                <w:rFonts w:ascii="Times New Roman" w:eastAsia="Times New Roman" w:hAnsi="Times New Roman" w:cs="Times New Roman"/>
                <w:sz w:val="20"/>
                <w:szCs w:val="20"/>
              </w:rPr>
              <w:t>ā</w:t>
            </w:r>
          </w:p>
        </w:tc>
        <w:tc>
          <w:tcPr>
            <w:tcW w:w="2552" w:type="dxa"/>
            <w:gridSpan w:val="3"/>
            <w:tcBorders>
              <w:top w:val="single" w:sz="4" w:space="0" w:color="auto"/>
              <w:left w:val="double" w:sz="6" w:space="0" w:color="auto"/>
              <w:bottom w:val="single" w:sz="4" w:space="0" w:color="auto"/>
              <w:right w:val="single" w:sz="4" w:space="0" w:color="000000"/>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sz w:val="20"/>
                <w:szCs w:val="20"/>
              </w:rPr>
            </w:pPr>
            <w:r w:rsidRPr="00956308">
              <w:rPr>
                <w:rFonts w:ascii="Times New Roman" w:eastAsia="Times New Roman" w:hAnsi="Times New Roman" w:cs="Times New Roman"/>
                <w:sz w:val="20"/>
                <w:szCs w:val="20"/>
              </w:rPr>
              <w:t>Papildus nepieciešamais finansējums</w:t>
            </w:r>
          </w:p>
        </w:tc>
      </w:tr>
      <w:tr w:rsidR="00956308" w:rsidRPr="00956308" w:rsidTr="005E51F2">
        <w:trPr>
          <w:trHeight w:val="792"/>
          <w:jc w:val="center"/>
        </w:trPr>
        <w:tc>
          <w:tcPr>
            <w:tcW w:w="1968" w:type="dxa"/>
            <w:vMerge/>
            <w:tcBorders>
              <w:top w:val="nil"/>
              <w:left w:val="single" w:sz="4" w:space="0" w:color="auto"/>
              <w:bottom w:val="single" w:sz="4" w:space="0" w:color="auto"/>
              <w:right w:val="single" w:sz="4" w:space="0" w:color="auto"/>
            </w:tcBorders>
            <w:vAlign w:val="center"/>
            <w:hideMark/>
          </w:tcPr>
          <w:p w:rsidR="00956308" w:rsidRPr="00956308" w:rsidRDefault="00956308" w:rsidP="00956308">
            <w:pPr>
              <w:spacing w:after="0" w:line="240" w:lineRule="auto"/>
              <w:rPr>
                <w:rFonts w:ascii="Times New Roman" w:eastAsia="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56308" w:rsidRPr="00956308" w:rsidRDefault="00956308" w:rsidP="00956308">
            <w:pPr>
              <w:spacing w:after="0" w:line="240" w:lineRule="auto"/>
              <w:rPr>
                <w:rFonts w:ascii="Times New Roman" w:eastAsia="Times New Roman" w:hAnsi="Times New Roman" w:cs="Times New Roman"/>
                <w:sz w:val="20"/>
                <w:szCs w:val="20"/>
              </w:rPr>
            </w:pPr>
          </w:p>
        </w:tc>
        <w:tc>
          <w:tcPr>
            <w:tcW w:w="1023"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center"/>
              <w:rPr>
                <w:rFonts w:ascii="Times New Roman" w:eastAsia="Times New Roman" w:hAnsi="Times New Roman" w:cs="Times New Roman"/>
                <w:sz w:val="20"/>
                <w:szCs w:val="20"/>
              </w:rPr>
            </w:pPr>
            <w:r w:rsidRPr="00956308">
              <w:rPr>
                <w:rFonts w:ascii="Times New Roman" w:eastAsia="Times New Roman" w:hAnsi="Times New Roman" w:cs="Times New Roman"/>
                <w:sz w:val="20"/>
                <w:szCs w:val="20"/>
              </w:rPr>
              <w:t>D+S daļa</w:t>
            </w:r>
          </w:p>
        </w:tc>
        <w:tc>
          <w:tcPr>
            <w:tcW w:w="993" w:type="dxa"/>
            <w:tcBorders>
              <w:top w:val="nil"/>
              <w:left w:val="nil"/>
              <w:bottom w:val="single" w:sz="4" w:space="0" w:color="auto"/>
              <w:right w:val="nil"/>
            </w:tcBorders>
            <w:shd w:val="clear" w:color="auto" w:fill="auto"/>
            <w:vAlign w:val="bottom"/>
            <w:hideMark/>
          </w:tcPr>
          <w:p w:rsidR="00956308" w:rsidRPr="00956308" w:rsidRDefault="00956308" w:rsidP="00956308">
            <w:pPr>
              <w:spacing w:after="0" w:line="240" w:lineRule="auto"/>
              <w:jc w:val="center"/>
              <w:rPr>
                <w:rFonts w:ascii="Times New Roman" w:eastAsia="Times New Roman" w:hAnsi="Times New Roman" w:cs="Times New Roman"/>
                <w:sz w:val="20"/>
                <w:szCs w:val="20"/>
              </w:rPr>
            </w:pPr>
            <w:r w:rsidRPr="00956308">
              <w:rPr>
                <w:rFonts w:ascii="Times New Roman" w:eastAsia="Times New Roman" w:hAnsi="Times New Roman" w:cs="Times New Roman"/>
                <w:sz w:val="20"/>
                <w:szCs w:val="20"/>
              </w:rPr>
              <w:t>pārējo elementu daļa</w:t>
            </w:r>
          </w:p>
        </w:tc>
        <w:tc>
          <w:tcPr>
            <w:tcW w:w="992" w:type="dxa"/>
            <w:vMerge/>
            <w:tcBorders>
              <w:top w:val="nil"/>
              <w:left w:val="double" w:sz="6" w:space="0" w:color="auto"/>
              <w:bottom w:val="single" w:sz="4" w:space="0" w:color="auto"/>
              <w:right w:val="single" w:sz="4" w:space="0" w:color="auto"/>
            </w:tcBorders>
            <w:vAlign w:val="center"/>
            <w:hideMark/>
          </w:tcPr>
          <w:p w:rsidR="00956308" w:rsidRPr="00956308" w:rsidRDefault="00956308" w:rsidP="0095630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center"/>
              <w:rPr>
                <w:rFonts w:ascii="Times New Roman" w:eastAsia="Times New Roman" w:hAnsi="Times New Roman" w:cs="Times New Roman"/>
                <w:sz w:val="20"/>
                <w:szCs w:val="20"/>
              </w:rPr>
            </w:pPr>
            <w:r w:rsidRPr="00956308">
              <w:rPr>
                <w:rFonts w:ascii="Times New Roman" w:eastAsia="Times New Roman" w:hAnsi="Times New Roman" w:cs="Times New Roman"/>
                <w:sz w:val="20"/>
                <w:szCs w:val="20"/>
              </w:rPr>
              <w:t>D+S daļa</w:t>
            </w:r>
          </w:p>
        </w:tc>
        <w:tc>
          <w:tcPr>
            <w:tcW w:w="992" w:type="dxa"/>
            <w:tcBorders>
              <w:top w:val="nil"/>
              <w:left w:val="nil"/>
              <w:bottom w:val="single" w:sz="4" w:space="0" w:color="auto"/>
              <w:right w:val="nil"/>
            </w:tcBorders>
            <w:shd w:val="clear" w:color="auto" w:fill="auto"/>
            <w:vAlign w:val="bottom"/>
            <w:hideMark/>
          </w:tcPr>
          <w:p w:rsidR="00956308" w:rsidRPr="00956308" w:rsidRDefault="00956308" w:rsidP="00956308">
            <w:pPr>
              <w:spacing w:after="0" w:line="240" w:lineRule="auto"/>
              <w:jc w:val="center"/>
              <w:rPr>
                <w:rFonts w:ascii="Times New Roman" w:eastAsia="Times New Roman" w:hAnsi="Times New Roman" w:cs="Times New Roman"/>
                <w:sz w:val="20"/>
                <w:szCs w:val="20"/>
              </w:rPr>
            </w:pPr>
            <w:r w:rsidRPr="00956308">
              <w:rPr>
                <w:rFonts w:ascii="Times New Roman" w:eastAsia="Times New Roman" w:hAnsi="Times New Roman" w:cs="Times New Roman"/>
                <w:sz w:val="20"/>
                <w:szCs w:val="20"/>
              </w:rPr>
              <w:t>pārējo elementu daļa</w:t>
            </w:r>
          </w:p>
        </w:tc>
        <w:tc>
          <w:tcPr>
            <w:tcW w:w="851" w:type="dxa"/>
            <w:tcBorders>
              <w:top w:val="nil"/>
              <w:left w:val="double" w:sz="6" w:space="0" w:color="auto"/>
              <w:bottom w:val="single" w:sz="4" w:space="0" w:color="auto"/>
              <w:right w:val="single" w:sz="4" w:space="0" w:color="auto"/>
            </w:tcBorders>
            <w:shd w:val="clear" w:color="auto" w:fill="auto"/>
            <w:vAlign w:val="bottom"/>
            <w:hideMark/>
          </w:tcPr>
          <w:p w:rsidR="00956308" w:rsidRPr="00956308" w:rsidRDefault="00956308" w:rsidP="00956308">
            <w:pPr>
              <w:spacing w:after="0" w:line="240" w:lineRule="auto"/>
              <w:jc w:val="center"/>
              <w:rPr>
                <w:rFonts w:ascii="Times New Roman" w:eastAsia="Times New Roman" w:hAnsi="Times New Roman" w:cs="Times New Roman"/>
                <w:sz w:val="20"/>
                <w:szCs w:val="20"/>
              </w:rPr>
            </w:pPr>
            <w:r w:rsidRPr="00956308">
              <w:rPr>
                <w:rFonts w:ascii="Times New Roman" w:eastAsia="Times New Roman" w:hAnsi="Times New Roman" w:cs="Times New Roman"/>
                <w:sz w:val="20"/>
                <w:szCs w:val="20"/>
              </w:rPr>
              <w:t xml:space="preserve">D+S daļai </w:t>
            </w:r>
          </w:p>
        </w:tc>
        <w:tc>
          <w:tcPr>
            <w:tcW w:w="850" w:type="dxa"/>
            <w:tcBorders>
              <w:top w:val="nil"/>
              <w:left w:val="nil"/>
              <w:bottom w:val="single" w:sz="4" w:space="0" w:color="auto"/>
              <w:right w:val="single" w:sz="4" w:space="0" w:color="auto"/>
            </w:tcBorders>
            <w:shd w:val="clear" w:color="auto" w:fill="auto"/>
            <w:vAlign w:val="bottom"/>
            <w:hideMark/>
          </w:tcPr>
          <w:p w:rsidR="00956308" w:rsidRPr="00956308" w:rsidRDefault="00956308" w:rsidP="00956308">
            <w:pPr>
              <w:spacing w:after="0" w:line="240" w:lineRule="auto"/>
              <w:jc w:val="center"/>
              <w:rPr>
                <w:rFonts w:ascii="Times New Roman" w:eastAsia="Times New Roman" w:hAnsi="Times New Roman" w:cs="Times New Roman"/>
                <w:sz w:val="20"/>
                <w:szCs w:val="20"/>
              </w:rPr>
            </w:pPr>
            <w:r w:rsidRPr="00956308">
              <w:rPr>
                <w:rFonts w:ascii="Times New Roman" w:eastAsia="Times New Roman" w:hAnsi="Times New Roman" w:cs="Times New Roman"/>
                <w:sz w:val="20"/>
                <w:szCs w:val="20"/>
              </w:rPr>
              <w:t>pārējo elementu daļai</w:t>
            </w:r>
          </w:p>
        </w:tc>
        <w:tc>
          <w:tcPr>
            <w:tcW w:w="851" w:type="dxa"/>
            <w:tcBorders>
              <w:top w:val="nil"/>
              <w:left w:val="nil"/>
              <w:bottom w:val="single" w:sz="4" w:space="0" w:color="auto"/>
              <w:right w:val="single" w:sz="4" w:space="0" w:color="auto"/>
            </w:tcBorders>
            <w:shd w:val="clear" w:color="auto" w:fill="auto"/>
            <w:vAlign w:val="bottom"/>
            <w:hideMark/>
          </w:tcPr>
          <w:p w:rsidR="00956308" w:rsidRPr="00956308" w:rsidRDefault="00956308" w:rsidP="00956308">
            <w:pPr>
              <w:spacing w:after="0" w:line="240" w:lineRule="auto"/>
              <w:jc w:val="center"/>
              <w:rPr>
                <w:rFonts w:ascii="Times New Roman" w:eastAsia="Times New Roman" w:hAnsi="Times New Roman" w:cs="Times New Roman"/>
                <w:sz w:val="20"/>
                <w:szCs w:val="20"/>
              </w:rPr>
            </w:pPr>
            <w:r w:rsidRPr="00956308">
              <w:rPr>
                <w:rFonts w:ascii="Times New Roman" w:eastAsia="Times New Roman" w:hAnsi="Times New Roman" w:cs="Times New Roman"/>
                <w:sz w:val="20"/>
                <w:szCs w:val="20"/>
              </w:rPr>
              <w:t>Kopā</w:t>
            </w:r>
          </w:p>
        </w:tc>
      </w:tr>
      <w:tr w:rsidR="00956308" w:rsidRPr="00956308" w:rsidTr="005E51F2">
        <w:trPr>
          <w:trHeight w:val="633"/>
          <w:jc w:val="center"/>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956308" w:rsidRPr="00956308" w:rsidRDefault="00956308" w:rsidP="00956308">
            <w:pPr>
              <w:spacing w:after="0" w:line="240" w:lineRule="auto"/>
              <w:rPr>
                <w:rFonts w:ascii="Times New Roman" w:eastAsia="Times New Roman" w:hAnsi="Times New Roman" w:cs="Times New Roman"/>
                <w:b/>
                <w:bCs/>
                <w:sz w:val="20"/>
                <w:szCs w:val="20"/>
              </w:rPr>
            </w:pPr>
            <w:r w:rsidRPr="00956308">
              <w:rPr>
                <w:rFonts w:ascii="Times New Roman" w:eastAsia="Times New Roman" w:hAnsi="Times New Roman" w:cs="Times New Roman"/>
                <w:b/>
                <w:bCs/>
                <w:sz w:val="20"/>
                <w:szCs w:val="20"/>
              </w:rPr>
              <w:t xml:space="preserve">Gaidīšanas laika nodrošināšanai </w:t>
            </w:r>
          </w:p>
        </w:tc>
        <w:tc>
          <w:tcPr>
            <w:tcW w:w="993" w:type="dxa"/>
            <w:tcBorders>
              <w:top w:val="nil"/>
              <w:left w:val="nil"/>
              <w:bottom w:val="single" w:sz="4" w:space="0" w:color="auto"/>
              <w:right w:val="nil"/>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1 850 913</w:t>
            </w:r>
          </w:p>
        </w:tc>
        <w:tc>
          <w:tcPr>
            <w:tcW w:w="1023" w:type="dxa"/>
            <w:tcBorders>
              <w:top w:val="nil"/>
              <w:left w:val="single" w:sz="4" w:space="0" w:color="auto"/>
              <w:bottom w:val="single" w:sz="4" w:space="0" w:color="auto"/>
              <w:right w:val="nil"/>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668 939</w:t>
            </w:r>
          </w:p>
        </w:tc>
        <w:tc>
          <w:tcPr>
            <w:tcW w:w="993" w:type="dxa"/>
            <w:tcBorders>
              <w:top w:val="nil"/>
              <w:left w:val="single" w:sz="4" w:space="0" w:color="auto"/>
              <w:bottom w:val="single" w:sz="4" w:space="0" w:color="auto"/>
              <w:right w:val="nil"/>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1 181 974</w:t>
            </w:r>
          </w:p>
        </w:tc>
        <w:tc>
          <w:tcPr>
            <w:tcW w:w="992" w:type="dxa"/>
            <w:tcBorders>
              <w:top w:val="nil"/>
              <w:left w:val="double" w:sz="6" w:space="0" w:color="auto"/>
              <w:bottom w:val="single" w:sz="4" w:space="0" w:color="auto"/>
              <w:right w:val="nil"/>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2 022 072</w:t>
            </w:r>
          </w:p>
        </w:tc>
        <w:tc>
          <w:tcPr>
            <w:tcW w:w="992" w:type="dxa"/>
            <w:tcBorders>
              <w:top w:val="nil"/>
              <w:left w:val="single" w:sz="4" w:space="0" w:color="auto"/>
              <w:bottom w:val="single" w:sz="4" w:space="0" w:color="auto"/>
              <w:right w:val="nil"/>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782 659</w:t>
            </w:r>
          </w:p>
        </w:tc>
        <w:tc>
          <w:tcPr>
            <w:tcW w:w="992" w:type="dxa"/>
            <w:tcBorders>
              <w:top w:val="nil"/>
              <w:left w:val="single" w:sz="4" w:space="0" w:color="auto"/>
              <w:bottom w:val="single" w:sz="4" w:space="0" w:color="auto"/>
              <w:right w:val="nil"/>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1 239 413</w:t>
            </w:r>
          </w:p>
        </w:tc>
        <w:tc>
          <w:tcPr>
            <w:tcW w:w="851" w:type="dxa"/>
            <w:tcBorders>
              <w:top w:val="nil"/>
              <w:left w:val="double" w:sz="6" w:space="0" w:color="auto"/>
              <w:bottom w:val="single" w:sz="4" w:space="0" w:color="auto"/>
              <w:right w:val="nil"/>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113 720</w:t>
            </w:r>
          </w:p>
        </w:tc>
        <w:tc>
          <w:tcPr>
            <w:tcW w:w="850" w:type="dxa"/>
            <w:tcBorders>
              <w:top w:val="nil"/>
              <w:left w:val="single" w:sz="4" w:space="0" w:color="auto"/>
              <w:bottom w:val="single" w:sz="4" w:space="0" w:color="auto"/>
              <w:right w:val="nil"/>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57 439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171 159</w:t>
            </w:r>
          </w:p>
        </w:tc>
      </w:tr>
      <w:tr w:rsidR="00956308" w:rsidRPr="00956308" w:rsidTr="005E51F2">
        <w:trPr>
          <w:trHeight w:val="878"/>
          <w:jc w:val="center"/>
        </w:trPr>
        <w:tc>
          <w:tcPr>
            <w:tcW w:w="1968" w:type="dxa"/>
            <w:tcBorders>
              <w:top w:val="nil"/>
              <w:left w:val="single" w:sz="4" w:space="0" w:color="auto"/>
              <w:bottom w:val="single" w:sz="4" w:space="0" w:color="auto"/>
              <w:right w:val="single" w:sz="4" w:space="0" w:color="auto"/>
            </w:tcBorders>
            <w:shd w:val="clear" w:color="auto" w:fill="auto"/>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20"/>
                <w:szCs w:val="20"/>
              </w:rPr>
            </w:pPr>
            <w:r w:rsidRPr="00956308">
              <w:rPr>
                <w:rFonts w:ascii="Times New Roman" w:eastAsia="Times New Roman" w:hAnsi="Times New Roman" w:cs="Times New Roman"/>
                <w:i/>
                <w:iCs/>
                <w:sz w:val="20"/>
                <w:szCs w:val="20"/>
              </w:rPr>
              <w:t>Ārstēšanas uzsākšana ļaundabīgā audzēja diagnosticēšanas  gadījumā (ķirurģija) stacionārā</w:t>
            </w:r>
          </w:p>
        </w:tc>
        <w:tc>
          <w:tcPr>
            <w:tcW w:w="993" w:type="dxa"/>
            <w:tcBorders>
              <w:top w:val="nil"/>
              <w:left w:val="nil"/>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109 212</w:t>
            </w:r>
          </w:p>
        </w:tc>
        <w:tc>
          <w:tcPr>
            <w:tcW w:w="102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48 650</w:t>
            </w:r>
          </w:p>
        </w:tc>
        <w:tc>
          <w:tcPr>
            <w:tcW w:w="99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60 562</w:t>
            </w:r>
          </w:p>
        </w:tc>
        <w:tc>
          <w:tcPr>
            <w:tcW w:w="992" w:type="dxa"/>
            <w:tcBorders>
              <w:top w:val="nil"/>
              <w:left w:val="double" w:sz="6"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120 580</w:t>
            </w:r>
          </w:p>
        </w:tc>
        <w:tc>
          <w:tcPr>
            <w:tcW w:w="992"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56 920</w:t>
            </w:r>
          </w:p>
        </w:tc>
        <w:tc>
          <w:tcPr>
            <w:tcW w:w="992"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63 660</w:t>
            </w:r>
          </w:p>
        </w:tc>
        <w:tc>
          <w:tcPr>
            <w:tcW w:w="851" w:type="dxa"/>
            <w:tcBorders>
              <w:top w:val="nil"/>
              <w:left w:val="double" w:sz="6" w:space="0" w:color="auto"/>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8 270</w:t>
            </w:r>
          </w:p>
        </w:tc>
        <w:tc>
          <w:tcPr>
            <w:tcW w:w="850"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3 098</w:t>
            </w:r>
          </w:p>
        </w:tc>
        <w:tc>
          <w:tcPr>
            <w:tcW w:w="851"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11 368</w:t>
            </w:r>
          </w:p>
        </w:tc>
      </w:tr>
      <w:tr w:rsidR="00956308" w:rsidRPr="00956308" w:rsidTr="005E51F2">
        <w:trPr>
          <w:trHeight w:val="633"/>
          <w:jc w:val="center"/>
        </w:trPr>
        <w:tc>
          <w:tcPr>
            <w:tcW w:w="1968" w:type="dxa"/>
            <w:tcBorders>
              <w:top w:val="nil"/>
              <w:left w:val="single" w:sz="4" w:space="0" w:color="auto"/>
              <w:bottom w:val="single" w:sz="4" w:space="0" w:color="auto"/>
              <w:right w:val="single" w:sz="4" w:space="0" w:color="auto"/>
            </w:tcBorders>
            <w:shd w:val="clear" w:color="auto" w:fill="auto"/>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20"/>
                <w:szCs w:val="20"/>
              </w:rPr>
            </w:pPr>
            <w:r w:rsidRPr="00956308">
              <w:rPr>
                <w:rFonts w:ascii="Times New Roman" w:eastAsia="Times New Roman" w:hAnsi="Times New Roman" w:cs="Times New Roman"/>
                <w:i/>
                <w:iCs/>
                <w:sz w:val="20"/>
                <w:szCs w:val="20"/>
              </w:rPr>
              <w:t>Lielo locītavu endoprotezēšana ar konsīlija lēmumu (70% no kopējā skaita</w:t>
            </w:r>
          </w:p>
        </w:tc>
        <w:tc>
          <w:tcPr>
            <w:tcW w:w="993" w:type="dxa"/>
            <w:tcBorders>
              <w:top w:val="nil"/>
              <w:left w:val="nil"/>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818 048</w:t>
            </w:r>
          </w:p>
        </w:tc>
        <w:tc>
          <w:tcPr>
            <w:tcW w:w="102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248 678</w:t>
            </w:r>
          </w:p>
        </w:tc>
        <w:tc>
          <w:tcPr>
            <w:tcW w:w="99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569 370</w:t>
            </w:r>
          </w:p>
        </w:tc>
        <w:tc>
          <w:tcPr>
            <w:tcW w:w="992" w:type="dxa"/>
            <w:tcBorders>
              <w:top w:val="nil"/>
              <w:left w:val="double" w:sz="6"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885 846</w:t>
            </w:r>
          </w:p>
        </w:tc>
        <w:tc>
          <w:tcPr>
            <w:tcW w:w="992"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290 953</w:t>
            </w:r>
          </w:p>
        </w:tc>
        <w:tc>
          <w:tcPr>
            <w:tcW w:w="992"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594 893</w:t>
            </w:r>
          </w:p>
        </w:tc>
        <w:tc>
          <w:tcPr>
            <w:tcW w:w="851" w:type="dxa"/>
            <w:tcBorders>
              <w:top w:val="nil"/>
              <w:left w:val="double" w:sz="6" w:space="0" w:color="auto"/>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42 275</w:t>
            </w:r>
          </w:p>
        </w:tc>
        <w:tc>
          <w:tcPr>
            <w:tcW w:w="850"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25 523</w:t>
            </w:r>
          </w:p>
        </w:tc>
        <w:tc>
          <w:tcPr>
            <w:tcW w:w="851"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67 798</w:t>
            </w:r>
          </w:p>
        </w:tc>
      </w:tr>
      <w:tr w:rsidR="00956308" w:rsidRPr="00956308" w:rsidTr="005E51F2">
        <w:trPr>
          <w:trHeight w:val="576"/>
          <w:jc w:val="center"/>
        </w:trPr>
        <w:tc>
          <w:tcPr>
            <w:tcW w:w="1968" w:type="dxa"/>
            <w:tcBorders>
              <w:top w:val="nil"/>
              <w:left w:val="single" w:sz="4" w:space="0" w:color="auto"/>
              <w:bottom w:val="single" w:sz="4" w:space="0" w:color="auto"/>
              <w:right w:val="single" w:sz="4" w:space="0" w:color="auto"/>
            </w:tcBorders>
            <w:shd w:val="clear" w:color="auto" w:fill="auto"/>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20"/>
                <w:szCs w:val="20"/>
              </w:rPr>
            </w:pPr>
            <w:r w:rsidRPr="00956308">
              <w:rPr>
                <w:rFonts w:ascii="Times New Roman" w:eastAsia="Times New Roman" w:hAnsi="Times New Roman" w:cs="Times New Roman"/>
                <w:i/>
                <w:iCs/>
                <w:sz w:val="20"/>
                <w:szCs w:val="20"/>
              </w:rPr>
              <w:lastRenderedPageBreak/>
              <w:t>Lielo locītavu endoprotezēšana vispārējā kārtībā (30% no kopējā skaita)</w:t>
            </w:r>
          </w:p>
        </w:tc>
        <w:tc>
          <w:tcPr>
            <w:tcW w:w="993" w:type="dxa"/>
            <w:tcBorders>
              <w:top w:val="nil"/>
              <w:left w:val="nil"/>
              <w:bottom w:val="single" w:sz="4" w:space="0" w:color="auto"/>
              <w:right w:val="single" w:sz="4" w:space="0" w:color="auto"/>
            </w:tcBorders>
            <w:shd w:val="clear" w:color="auto" w:fill="auto"/>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90 413</w:t>
            </w:r>
          </w:p>
        </w:tc>
        <w:tc>
          <w:tcPr>
            <w:tcW w:w="1023" w:type="dxa"/>
            <w:tcBorders>
              <w:top w:val="nil"/>
              <w:left w:val="nil"/>
              <w:bottom w:val="single" w:sz="4" w:space="0" w:color="auto"/>
              <w:right w:val="single" w:sz="4" w:space="0" w:color="auto"/>
            </w:tcBorders>
            <w:shd w:val="clear" w:color="auto" w:fill="auto"/>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27 485</w:t>
            </w:r>
          </w:p>
        </w:tc>
        <w:tc>
          <w:tcPr>
            <w:tcW w:w="993" w:type="dxa"/>
            <w:tcBorders>
              <w:top w:val="nil"/>
              <w:left w:val="nil"/>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62 928</w:t>
            </w:r>
          </w:p>
        </w:tc>
        <w:tc>
          <w:tcPr>
            <w:tcW w:w="992" w:type="dxa"/>
            <w:tcBorders>
              <w:top w:val="nil"/>
              <w:left w:val="double" w:sz="6"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97 907</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32 158</w:t>
            </w:r>
          </w:p>
        </w:tc>
        <w:tc>
          <w:tcPr>
            <w:tcW w:w="992" w:type="dxa"/>
            <w:tcBorders>
              <w:top w:val="nil"/>
              <w:left w:val="nil"/>
              <w:bottom w:val="single" w:sz="4" w:space="0" w:color="auto"/>
              <w:right w:val="nil"/>
            </w:tcBorders>
            <w:shd w:val="clear" w:color="auto" w:fill="auto"/>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65 749</w:t>
            </w:r>
          </w:p>
        </w:tc>
        <w:tc>
          <w:tcPr>
            <w:tcW w:w="851" w:type="dxa"/>
            <w:tcBorders>
              <w:top w:val="nil"/>
              <w:left w:val="double" w:sz="6" w:space="0" w:color="auto"/>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4 673</w:t>
            </w:r>
          </w:p>
        </w:tc>
        <w:tc>
          <w:tcPr>
            <w:tcW w:w="850"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2 821</w:t>
            </w:r>
          </w:p>
        </w:tc>
        <w:tc>
          <w:tcPr>
            <w:tcW w:w="851"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7 494</w:t>
            </w:r>
          </w:p>
        </w:tc>
      </w:tr>
      <w:tr w:rsidR="00956308" w:rsidRPr="00956308" w:rsidTr="005E51F2">
        <w:trPr>
          <w:trHeight w:val="489"/>
          <w:jc w:val="center"/>
        </w:trPr>
        <w:tc>
          <w:tcPr>
            <w:tcW w:w="1968" w:type="dxa"/>
            <w:tcBorders>
              <w:top w:val="nil"/>
              <w:left w:val="single" w:sz="4" w:space="0" w:color="auto"/>
              <w:bottom w:val="single" w:sz="4" w:space="0" w:color="auto"/>
              <w:right w:val="single" w:sz="4" w:space="0" w:color="auto"/>
            </w:tcBorders>
            <w:shd w:val="clear" w:color="auto" w:fill="auto"/>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20"/>
                <w:szCs w:val="20"/>
              </w:rPr>
            </w:pPr>
            <w:r w:rsidRPr="00956308">
              <w:rPr>
                <w:rFonts w:ascii="Times New Roman" w:eastAsia="Times New Roman" w:hAnsi="Times New Roman" w:cs="Times New Roman"/>
                <w:i/>
                <w:iCs/>
                <w:sz w:val="20"/>
                <w:szCs w:val="20"/>
              </w:rPr>
              <w:t>Citas plānveida operācijas stacionārā</w:t>
            </w:r>
          </w:p>
        </w:tc>
        <w:tc>
          <w:tcPr>
            <w:tcW w:w="993" w:type="dxa"/>
            <w:tcBorders>
              <w:top w:val="nil"/>
              <w:left w:val="nil"/>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833 240</w:t>
            </w:r>
          </w:p>
        </w:tc>
        <w:tc>
          <w:tcPr>
            <w:tcW w:w="102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344 126</w:t>
            </w:r>
          </w:p>
        </w:tc>
        <w:tc>
          <w:tcPr>
            <w:tcW w:w="99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489 114</w:t>
            </w:r>
          </w:p>
        </w:tc>
        <w:tc>
          <w:tcPr>
            <w:tcW w:w="992" w:type="dxa"/>
            <w:tcBorders>
              <w:top w:val="nil"/>
              <w:left w:val="double" w:sz="6"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917 739</w:t>
            </w:r>
          </w:p>
        </w:tc>
        <w:tc>
          <w:tcPr>
            <w:tcW w:w="992"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402 628</w:t>
            </w:r>
          </w:p>
        </w:tc>
        <w:tc>
          <w:tcPr>
            <w:tcW w:w="992"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515 111</w:t>
            </w:r>
          </w:p>
        </w:tc>
        <w:tc>
          <w:tcPr>
            <w:tcW w:w="851" w:type="dxa"/>
            <w:tcBorders>
              <w:top w:val="nil"/>
              <w:left w:val="double" w:sz="6" w:space="0" w:color="auto"/>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58 502</w:t>
            </w:r>
          </w:p>
        </w:tc>
        <w:tc>
          <w:tcPr>
            <w:tcW w:w="850"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25 997</w:t>
            </w:r>
          </w:p>
        </w:tc>
        <w:tc>
          <w:tcPr>
            <w:tcW w:w="851"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84 499</w:t>
            </w:r>
          </w:p>
        </w:tc>
      </w:tr>
      <w:tr w:rsidR="00956308" w:rsidRPr="00956308" w:rsidTr="005E51F2">
        <w:trPr>
          <w:trHeight w:val="619"/>
          <w:jc w:val="center"/>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956308" w:rsidRPr="00956308" w:rsidRDefault="00956308" w:rsidP="00956308">
            <w:pPr>
              <w:spacing w:after="0" w:line="240" w:lineRule="auto"/>
              <w:rPr>
                <w:rFonts w:ascii="Times New Roman" w:eastAsia="Times New Roman" w:hAnsi="Times New Roman" w:cs="Times New Roman"/>
                <w:b/>
                <w:bCs/>
                <w:sz w:val="20"/>
                <w:szCs w:val="20"/>
              </w:rPr>
            </w:pPr>
            <w:r w:rsidRPr="00956308">
              <w:rPr>
                <w:rFonts w:ascii="Times New Roman" w:eastAsia="Times New Roman" w:hAnsi="Times New Roman" w:cs="Times New Roman"/>
                <w:b/>
                <w:bCs/>
                <w:sz w:val="20"/>
                <w:szCs w:val="20"/>
              </w:rPr>
              <w:t xml:space="preserve">Prognozējamās invaliditātes novēršanas pasākumi </w:t>
            </w:r>
          </w:p>
        </w:tc>
        <w:tc>
          <w:tcPr>
            <w:tcW w:w="993" w:type="dxa"/>
            <w:tcBorders>
              <w:top w:val="nil"/>
              <w:left w:val="nil"/>
              <w:bottom w:val="single" w:sz="4" w:space="0" w:color="auto"/>
              <w:right w:val="nil"/>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1 797 946</w:t>
            </w:r>
          </w:p>
        </w:tc>
        <w:tc>
          <w:tcPr>
            <w:tcW w:w="1023" w:type="dxa"/>
            <w:tcBorders>
              <w:top w:val="nil"/>
              <w:left w:val="single" w:sz="4" w:space="0" w:color="auto"/>
              <w:bottom w:val="single" w:sz="4" w:space="0" w:color="auto"/>
              <w:right w:val="nil"/>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649 923</w:t>
            </w:r>
          </w:p>
        </w:tc>
        <w:tc>
          <w:tcPr>
            <w:tcW w:w="993" w:type="dxa"/>
            <w:tcBorders>
              <w:top w:val="nil"/>
              <w:left w:val="single" w:sz="4" w:space="0" w:color="auto"/>
              <w:bottom w:val="single" w:sz="4" w:space="0" w:color="auto"/>
              <w:right w:val="nil"/>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1 148 023</w:t>
            </w:r>
          </w:p>
        </w:tc>
        <w:tc>
          <w:tcPr>
            <w:tcW w:w="992" w:type="dxa"/>
            <w:tcBorders>
              <w:top w:val="nil"/>
              <w:left w:val="double" w:sz="6" w:space="0" w:color="auto"/>
              <w:bottom w:val="single" w:sz="4" w:space="0" w:color="auto"/>
              <w:right w:val="nil"/>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1 949 350</w:t>
            </w:r>
          </w:p>
        </w:tc>
        <w:tc>
          <w:tcPr>
            <w:tcW w:w="992" w:type="dxa"/>
            <w:tcBorders>
              <w:top w:val="nil"/>
              <w:left w:val="single" w:sz="4" w:space="0" w:color="auto"/>
              <w:bottom w:val="single" w:sz="4" w:space="0" w:color="auto"/>
              <w:right w:val="nil"/>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760 410</w:t>
            </w:r>
          </w:p>
        </w:tc>
        <w:tc>
          <w:tcPr>
            <w:tcW w:w="992" w:type="dxa"/>
            <w:tcBorders>
              <w:top w:val="nil"/>
              <w:left w:val="single" w:sz="4" w:space="0" w:color="auto"/>
              <w:bottom w:val="single" w:sz="4" w:space="0" w:color="auto"/>
              <w:right w:val="nil"/>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1 188 940</w:t>
            </w:r>
          </w:p>
        </w:tc>
        <w:tc>
          <w:tcPr>
            <w:tcW w:w="851" w:type="dxa"/>
            <w:tcBorders>
              <w:top w:val="nil"/>
              <w:left w:val="double" w:sz="6" w:space="0" w:color="auto"/>
              <w:bottom w:val="single" w:sz="4" w:space="0" w:color="auto"/>
              <w:right w:val="nil"/>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110 487</w:t>
            </w:r>
          </w:p>
        </w:tc>
        <w:tc>
          <w:tcPr>
            <w:tcW w:w="850" w:type="dxa"/>
            <w:tcBorders>
              <w:top w:val="nil"/>
              <w:left w:val="single" w:sz="4" w:space="0" w:color="auto"/>
              <w:bottom w:val="single" w:sz="4" w:space="0" w:color="auto"/>
              <w:right w:val="nil"/>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40 917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18"/>
                <w:szCs w:val="18"/>
              </w:rPr>
            </w:pPr>
            <w:r w:rsidRPr="00956308">
              <w:rPr>
                <w:rFonts w:ascii="Times New Roman" w:eastAsia="Times New Roman" w:hAnsi="Times New Roman" w:cs="Times New Roman"/>
                <w:b/>
                <w:bCs/>
                <w:sz w:val="18"/>
                <w:szCs w:val="18"/>
              </w:rPr>
              <w:t>151 404</w:t>
            </w:r>
          </w:p>
        </w:tc>
      </w:tr>
      <w:tr w:rsidR="00956308" w:rsidRPr="00956308" w:rsidTr="005E51F2">
        <w:trPr>
          <w:trHeight w:val="619"/>
          <w:jc w:val="center"/>
        </w:trPr>
        <w:tc>
          <w:tcPr>
            <w:tcW w:w="1968" w:type="dxa"/>
            <w:tcBorders>
              <w:top w:val="nil"/>
              <w:left w:val="single" w:sz="4" w:space="0" w:color="auto"/>
              <w:bottom w:val="single" w:sz="4" w:space="0" w:color="auto"/>
              <w:right w:val="single" w:sz="4" w:space="0" w:color="auto"/>
            </w:tcBorders>
            <w:shd w:val="clear" w:color="auto" w:fill="auto"/>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20"/>
                <w:szCs w:val="20"/>
              </w:rPr>
            </w:pPr>
            <w:r w:rsidRPr="00956308">
              <w:rPr>
                <w:rFonts w:ascii="Times New Roman" w:eastAsia="Times New Roman" w:hAnsi="Times New Roman" w:cs="Times New Roman"/>
                <w:i/>
                <w:iCs/>
                <w:sz w:val="20"/>
                <w:szCs w:val="20"/>
              </w:rPr>
              <w:t>Kardioķirurģija pieaugušajiem</w:t>
            </w:r>
          </w:p>
        </w:tc>
        <w:tc>
          <w:tcPr>
            <w:tcW w:w="993" w:type="dxa"/>
            <w:tcBorders>
              <w:top w:val="nil"/>
              <w:left w:val="nil"/>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1 088 318</w:t>
            </w:r>
          </w:p>
        </w:tc>
        <w:tc>
          <w:tcPr>
            <w:tcW w:w="102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158 100</w:t>
            </w:r>
          </w:p>
        </w:tc>
        <w:tc>
          <w:tcPr>
            <w:tcW w:w="99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930 218</w:t>
            </w:r>
          </w:p>
        </w:tc>
        <w:tc>
          <w:tcPr>
            <w:tcW w:w="992" w:type="dxa"/>
            <w:tcBorders>
              <w:top w:val="nil"/>
              <w:left w:val="double" w:sz="6"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1 125 117</w:t>
            </w:r>
          </w:p>
        </w:tc>
        <w:tc>
          <w:tcPr>
            <w:tcW w:w="992"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184 977</w:t>
            </w:r>
          </w:p>
        </w:tc>
        <w:tc>
          <w:tcPr>
            <w:tcW w:w="992"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940 140</w:t>
            </w:r>
          </w:p>
        </w:tc>
        <w:tc>
          <w:tcPr>
            <w:tcW w:w="851" w:type="dxa"/>
            <w:tcBorders>
              <w:top w:val="nil"/>
              <w:left w:val="double" w:sz="6" w:space="0" w:color="auto"/>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26 877</w:t>
            </w:r>
          </w:p>
        </w:tc>
        <w:tc>
          <w:tcPr>
            <w:tcW w:w="850"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9 922</w:t>
            </w:r>
          </w:p>
        </w:tc>
        <w:tc>
          <w:tcPr>
            <w:tcW w:w="851"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36 799</w:t>
            </w:r>
          </w:p>
        </w:tc>
      </w:tr>
      <w:tr w:rsidR="00956308" w:rsidRPr="00956308" w:rsidTr="005E51F2">
        <w:trPr>
          <w:trHeight w:val="619"/>
          <w:jc w:val="center"/>
        </w:trPr>
        <w:tc>
          <w:tcPr>
            <w:tcW w:w="1968" w:type="dxa"/>
            <w:tcBorders>
              <w:top w:val="nil"/>
              <w:left w:val="single" w:sz="4" w:space="0" w:color="auto"/>
              <w:bottom w:val="single" w:sz="4" w:space="0" w:color="auto"/>
              <w:right w:val="single" w:sz="4" w:space="0" w:color="auto"/>
            </w:tcBorders>
            <w:shd w:val="clear" w:color="auto" w:fill="auto"/>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20"/>
                <w:szCs w:val="20"/>
              </w:rPr>
            </w:pPr>
            <w:r w:rsidRPr="00956308">
              <w:rPr>
                <w:rFonts w:ascii="Times New Roman" w:eastAsia="Times New Roman" w:hAnsi="Times New Roman" w:cs="Times New Roman"/>
                <w:i/>
                <w:iCs/>
                <w:sz w:val="20"/>
                <w:szCs w:val="20"/>
              </w:rPr>
              <w:t xml:space="preserve">Rehabilitācijas izmaksas pēc endoprotezēšanas </w:t>
            </w:r>
          </w:p>
        </w:tc>
        <w:tc>
          <w:tcPr>
            <w:tcW w:w="993" w:type="dxa"/>
            <w:tcBorders>
              <w:top w:val="nil"/>
              <w:left w:val="nil"/>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31 856</w:t>
            </w:r>
          </w:p>
        </w:tc>
        <w:tc>
          <w:tcPr>
            <w:tcW w:w="102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27 035</w:t>
            </w:r>
          </w:p>
        </w:tc>
        <w:tc>
          <w:tcPr>
            <w:tcW w:w="99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4 821</w:t>
            </w:r>
          </w:p>
        </w:tc>
        <w:tc>
          <w:tcPr>
            <w:tcW w:w="992" w:type="dxa"/>
            <w:tcBorders>
              <w:top w:val="nil"/>
              <w:left w:val="double" w:sz="6"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38 156</w:t>
            </w:r>
          </w:p>
        </w:tc>
        <w:tc>
          <w:tcPr>
            <w:tcW w:w="992"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31 631</w:t>
            </w:r>
          </w:p>
        </w:tc>
        <w:tc>
          <w:tcPr>
            <w:tcW w:w="992"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6 525</w:t>
            </w:r>
          </w:p>
        </w:tc>
        <w:tc>
          <w:tcPr>
            <w:tcW w:w="851" w:type="dxa"/>
            <w:tcBorders>
              <w:top w:val="nil"/>
              <w:left w:val="double" w:sz="6" w:space="0" w:color="auto"/>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4 596</w:t>
            </w:r>
          </w:p>
        </w:tc>
        <w:tc>
          <w:tcPr>
            <w:tcW w:w="850"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1 704</w:t>
            </w:r>
          </w:p>
        </w:tc>
        <w:tc>
          <w:tcPr>
            <w:tcW w:w="851"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6 300</w:t>
            </w:r>
          </w:p>
        </w:tc>
      </w:tr>
      <w:tr w:rsidR="00956308" w:rsidRPr="00956308" w:rsidTr="005E51F2">
        <w:trPr>
          <w:trHeight w:val="619"/>
          <w:jc w:val="center"/>
        </w:trPr>
        <w:tc>
          <w:tcPr>
            <w:tcW w:w="1968" w:type="dxa"/>
            <w:tcBorders>
              <w:top w:val="nil"/>
              <w:left w:val="single" w:sz="4" w:space="0" w:color="auto"/>
              <w:bottom w:val="single" w:sz="4" w:space="0" w:color="auto"/>
              <w:right w:val="single" w:sz="4" w:space="0" w:color="auto"/>
            </w:tcBorders>
            <w:shd w:val="clear" w:color="auto" w:fill="auto"/>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20"/>
                <w:szCs w:val="20"/>
              </w:rPr>
            </w:pPr>
            <w:r w:rsidRPr="00956308">
              <w:rPr>
                <w:rFonts w:ascii="Times New Roman" w:eastAsia="Times New Roman" w:hAnsi="Times New Roman" w:cs="Times New Roman"/>
                <w:i/>
                <w:iCs/>
                <w:sz w:val="20"/>
                <w:szCs w:val="20"/>
              </w:rPr>
              <w:t>Insulta slimnieku ārstēšana stacionārā</w:t>
            </w:r>
          </w:p>
        </w:tc>
        <w:tc>
          <w:tcPr>
            <w:tcW w:w="993" w:type="dxa"/>
            <w:tcBorders>
              <w:top w:val="nil"/>
              <w:left w:val="nil"/>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533 588</w:t>
            </w:r>
          </w:p>
        </w:tc>
        <w:tc>
          <w:tcPr>
            <w:tcW w:w="102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452 841</w:t>
            </w:r>
          </w:p>
        </w:tc>
        <w:tc>
          <w:tcPr>
            <w:tcW w:w="99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80 747</w:t>
            </w:r>
          </w:p>
        </w:tc>
        <w:tc>
          <w:tcPr>
            <w:tcW w:w="992" w:type="dxa"/>
            <w:tcBorders>
              <w:top w:val="nil"/>
              <w:left w:val="double" w:sz="6"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639 113</w:t>
            </w:r>
          </w:p>
        </w:tc>
        <w:tc>
          <w:tcPr>
            <w:tcW w:w="992"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529 824</w:t>
            </w:r>
          </w:p>
        </w:tc>
        <w:tc>
          <w:tcPr>
            <w:tcW w:w="992"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109 289</w:t>
            </w:r>
          </w:p>
        </w:tc>
        <w:tc>
          <w:tcPr>
            <w:tcW w:w="851" w:type="dxa"/>
            <w:tcBorders>
              <w:top w:val="nil"/>
              <w:left w:val="double" w:sz="6" w:space="0" w:color="auto"/>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76 983</w:t>
            </w:r>
          </w:p>
        </w:tc>
        <w:tc>
          <w:tcPr>
            <w:tcW w:w="850"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28 542</w:t>
            </w:r>
          </w:p>
        </w:tc>
        <w:tc>
          <w:tcPr>
            <w:tcW w:w="851"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105 525</w:t>
            </w:r>
          </w:p>
        </w:tc>
      </w:tr>
      <w:tr w:rsidR="00956308" w:rsidRPr="00956308" w:rsidTr="005E51F2">
        <w:trPr>
          <w:trHeight w:val="619"/>
          <w:jc w:val="center"/>
        </w:trPr>
        <w:tc>
          <w:tcPr>
            <w:tcW w:w="1968" w:type="dxa"/>
            <w:tcBorders>
              <w:top w:val="nil"/>
              <w:left w:val="single" w:sz="4" w:space="0" w:color="auto"/>
              <w:bottom w:val="nil"/>
              <w:right w:val="nil"/>
            </w:tcBorders>
            <w:shd w:val="clear" w:color="auto" w:fill="auto"/>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20"/>
                <w:szCs w:val="20"/>
              </w:rPr>
            </w:pPr>
            <w:r w:rsidRPr="00956308">
              <w:rPr>
                <w:rFonts w:ascii="Times New Roman" w:eastAsia="Times New Roman" w:hAnsi="Times New Roman" w:cs="Times New Roman"/>
                <w:i/>
                <w:iCs/>
                <w:sz w:val="20"/>
                <w:szCs w:val="20"/>
              </w:rPr>
              <w:t>Nieru transplantācija un slimnieku sagatavošana transplantācijai</w:t>
            </w:r>
          </w:p>
        </w:tc>
        <w:tc>
          <w:tcPr>
            <w:tcW w:w="99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60 612</w:t>
            </w:r>
          </w:p>
        </w:tc>
        <w:tc>
          <w:tcPr>
            <w:tcW w:w="102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9 876</w:t>
            </w:r>
          </w:p>
        </w:tc>
        <w:tc>
          <w:tcPr>
            <w:tcW w:w="99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50 736</w:t>
            </w:r>
          </w:p>
        </w:tc>
        <w:tc>
          <w:tcPr>
            <w:tcW w:w="992" w:type="dxa"/>
            <w:tcBorders>
              <w:top w:val="nil"/>
              <w:left w:val="double" w:sz="6"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62 910</w:t>
            </w:r>
          </w:p>
        </w:tc>
        <w:tc>
          <w:tcPr>
            <w:tcW w:w="992"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11 555</w:t>
            </w:r>
          </w:p>
        </w:tc>
        <w:tc>
          <w:tcPr>
            <w:tcW w:w="992"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51 355</w:t>
            </w:r>
          </w:p>
        </w:tc>
        <w:tc>
          <w:tcPr>
            <w:tcW w:w="851" w:type="dxa"/>
            <w:tcBorders>
              <w:top w:val="nil"/>
              <w:left w:val="double" w:sz="6" w:space="0" w:color="auto"/>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1 679</w:t>
            </w:r>
          </w:p>
        </w:tc>
        <w:tc>
          <w:tcPr>
            <w:tcW w:w="850"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619</w:t>
            </w:r>
          </w:p>
        </w:tc>
        <w:tc>
          <w:tcPr>
            <w:tcW w:w="851"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2 298</w:t>
            </w:r>
          </w:p>
        </w:tc>
      </w:tr>
      <w:tr w:rsidR="00956308" w:rsidRPr="00956308" w:rsidTr="005E51F2">
        <w:trPr>
          <w:trHeight w:val="619"/>
          <w:jc w:val="center"/>
        </w:trPr>
        <w:tc>
          <w:tcPr>
            <w:tcW w:w="1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20"/>
                <w:szCs w:val="20"/>
              </w:rPr>
            </w:pPr>
            <w:r w:rsidRPr="00956308">
              <w:rPr>
                <w:rFonts w:ascii="Times New Roman" w:eastAsia="Times New Roman" w:hAnsi="Times New Roman" w:cs="Times New Roman"/>
                <w:i/>
                <w:iCs/>
                <w:sz w:val="20"/>
                <w:szCs w:val="20"/>
              </w:rPr>
              <w:t>Kohleāro  implantu operācijas </w:t>
            </w:r>
          </w:p>
        </w:tc>
        <w:tc>
          <w:tcPr>
            <w:tcW w:w="993" w:type="dxa"/>
            <w:tcBorders>
              <w:top w:val="nil"/>
              <w:left w:val="nil"/>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83 572</w:t>
            </w:r>
          </w:p>
        </w:tc>
        <w:tc>
          <w:tcPr>
            <w:tcW w:w="102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2 071</w:t>
            </w:r>
          </w:p>
        </w:tc>
        <w:tc>
          <w:tcPr>
            <w:tcW w:w="993"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81 501</w:t>
            </w:r>
          </w:p>
        </w:tc>
        <w:tc>
          <w:tcPr>
            <w:tcW w:w="992" w:type="dxa"/>
            <w:tcBorders>
              <w:top w:val="nil"/>
              <w:left w:val="double" w:sz="6"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84 054</w:t>
            </w:r>
          </w:p>
        </w:tc>
        <w:tc>
          <w:tcPr>
            <w:tcW w:w="992"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2 423</w:t>
            </w:r>
          </w:p>
        </w:tc>
        <w:tc>
          <w:tcPr>
            <w:tcW w:w="992" w:type="dxa"/>
            <w:tcBorders>
              <w:top w:val="nil"/>
              <w:left w:val="single" w:sz="4" w:space="0" w:color="auto"/>
              <w:bottom w:val="single" w:sz="4" w:space="0" w:color="auto"/>
              <w:right w:val="nil"/>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81 631</w:t>
            </w:r>
          </w:p>
        </w:tc>
        <w:tc>
          <w:tcPr>
            <w:tcW w:w="851" w:type="dxa"/>
            <w:tcBorders>
              <w:top w:val="nil"/>
              <w:left w:val="double" w:sz="6" w:space="0" w:color="auto"/>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352</w:t>
            </w:r>
          </w:p>
        </w:tc>
        <w:tc>
          <w:tcPr>
            <w:tcW w:w="850"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130</w:t>
            </w:r>
          </w:p>
        </w:tc>
        <w:tc>
          <w:tcPr>
            <w:tcW w:w="851"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right"/>
              <w:rPr>
                <w:rFonts w:ascii="Times New Roman" w:eastAsia="Times New Roman" w:hAnsi="Times New Roman" w:cs="Times New Roman"/>
                <w:i/>
                <w:iCs/>
                <w:sz w:val="18"/>
                <w:szCs w:val="18"/>
              </w:rPr>
            </w:pPr>
            <w:r w:rsidRPr="00956308">
              <w:rPr>
                <w:rFonts w:ascii="Times New Roman" w:eastAsia="Times New Roman" w:hAnsi="Times New Roman" w:cs="Times New Roman"/>
                <w:i/>
                <w:iCs/>
                <w:sz w:val="18"/>
                <w:szCs w:val="18"/>
              </w:rPr>
              <w:t>482</w:t>
            </w:r>
          </w:p>
        </w:tc>
      </w:tr>
      <w:tr w:rsidR="00956308" w:rsidRPr="00956308" w:rsidTr="005E51F2">
        <w:trPr>
          <w:trHeight w:val="605"/>
          <w:jc w:val="center"/>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20"/>
                <w:szCs w:val="20"/>
              </w:rPr>
            </w:pPr>
            <w:r w:rsidRPr="00956308">
              <w:rPr>
                <w:rFonts w:ascii="Times New Roman" w:eastAsia="Times New Roman" w:hAnsi="Times New Roman" w:cs="Times New Roman"/>
                <w:b/>
                <w:bCs/>
                <w:sz w:val="20"/>
                <w:szCs w:val="20"/>
              </w:rPr>
              <w:t>Kopā stacionārajiem pakalpojumiem gada apjoms</w:t>
            </w:r>
          </w:p>
        </w:tc>
        <w:tc>
          <w:tcPr>
            <w:tcW w:w="993" w:type="dxa"/>
            <w:tcBorders>
              <w:top w:val="nil"/>
              <w:left w:val="nil"/>
              <w:bottom w:val="single" w:sz="4" w:space="0" w:color="auto"/>
              <w:right w:val="single" w:sz="4" w:space="0" w:color="auto"/>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sz w:val="18"/>
                <w:szCs w:val="18"/>
              </w:rPr>
            </w:pPr>
            <w:r w:rsidRPr="00956308">
              <w:rPr>
                <w:rFonts w:ascii="Times New Roman" w:eastAsia="Times New Roman" w:hAnsi="Times New Roman" w:cs="Times New Roman"/>
                <w:sz w:val="18"/>
                <w:szCs w:val="18"/>
              </w:rPr>
              <w:t>3 648 859</w:t>
            </w:r>
          </w:p>
        </w:tc>
        <w:tc>
          <w:tcPr>
            <w:tcW w:w="1023" w:type="dxa"/>
            <w:tcBorders>
              <w:top w:val="nil"/>
              <w:left w:val="nil"/>
              <w:bottom w:val="single" w:sz="4" w:space="0" w:color="auto"/>
              <w:right w:val="single" w:sz="4" w:space="0" w:color="auto"/>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sz w:val="18"/>
                <w:szCs w:val="18"/>
              </w:rPr>
            </w:pPr>
            <w:r w:rsidRPr="00956308">
              <w:rPr>
                <w:rFonts w:ascii="Times New Roman" w:eastAsia="Times New Roman" w:hAnsi="Times New Roman" w:cs="Times New Roman"/>
                <w:sz w:val="18"/>
                <w:szCs w:val="18"/>
              </w:rPr>
              <w:t>1 318 862</w:t>
            </w:r>
          </w:p>
        </w:tc>
        <w:tc>
          <w:tcPr>
            <w:tcW w:w="993" w:type="dxa"/>
            <w:tcBorders>
              <w:top w:val="nil"/>
              <w:left w:val="nil"/>
              <w:bottom w:val="single" w:sz="4" w:space="0" w:color="auto"/>
              <w:right w:val="nil"/>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sz w:val="18"/>
                <w:szCs w:val="18"/>
              </w:rPr>
            </w:pPr>
            <w:r w:rsidRPr="00956308">
              <w:rPr>
                <w:rFonts w:ascii="Times New Roman" w:eastAsia="Times New Roman" w:hAnsi="Times New Roman" w:cs="Times New Roman"/>
                <w:sz w:val="18"/>
                <w:szCs w:val="18"/>
              </w:rPr>
              <w:t>2 329 997</w:t>
            </w: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rsidR="00956308" w:rsidRPr="005E51F2" w:rsidRDefault="00956308" w:rsidP="00956308">
            <w:pPr>
              <w:spacing w:after="0" w:line="240" w:lineRule="auto"/>
              <w:jc w:val="center"/>
              <w:rPr>
                <w:rFonts w:ascii="Times New Roman" w:eastAsia="Times New Roman" w:hAnsi="Times New Roman" w:cs="Times New Roman"/>
                <w:b/>
                <w:sz w:val="18"/>
                <w:szCs w:val="18"/>
              </w:rPr>
            </w:pPr>
            <w:r w:rsidRPr="005E51F2">
              <w:rPr>
                <w:rFonts w:ascii="Times New Roman" w:eastAsia="Times New Roman" w:hAnsi="Times New Roman" w:cs="Times New Roman"/>
                <w:b/>
                <w:sz w:val="18"/>
                <w:szCs w:val="18"/>
              </w:rPr>
              <w:t>3 971 422</w:t>
            </w:r>
          </w:p>
        </w:tc>
        <w:tc>
          <w:tcPr>
            <w:tcW w:w="992" w:type="dxa"/>
            <w:tcBorders>
              <w:top w:val="nil"/>
              <w:left w:val="nil"/>
              <w:bottom w:val="single" w:sz="4" w:space="0" w:color="auto"/>
              <w:right w:val="single" w:sz="4" w:space="0" w:color="auto"/>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sz w:val="18"/>
                <w:szCs w:val="18"/>
              </w:rPr>
            </w:pPr>
            <w:r w:rsidRPr="00956308">
              <w:rPr>
                <w:rFonts w:ascii="Times New Roman" w:eastAsia="Times New Roman" w:hAnsi="Times New Roman" w:cs="Times New Roman"/>
                <w:sz w:val="18"/>
                <w:szCs w:val="18"/>
              </w:rPr>
              <w:t>1 543 069</w:t>
            </w:r>
          </w:p>
        </w:tc>
        <w:tc>
          <w:tcPr>
            <w:tcW w:w="992" w:type="dxa"/>
            <w:tcBorders>
              <w:top w:val="nil"/>
              <w:left w:val="nil"/>
              <w:bottom w:val="single" w:sz="4" w:space="0" w:color="auto"/>
              <w:right w:val="nil"/>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sz w:val="18"/>
                <w:szCs w:val="18"/>
              </w:rPr>
            </w:pPr>
            <w:r w:rsidRPr="00956308">
              <w:rPr>
                <w:rFonts w:ascii="Times New Roman" w:eastAsia="Times New Roman" w:hAnsi="Times New Roman" w:cs="Times New Roman"/>
                <w:sz w:val="18"/>
                <w:szCs w:val="18"/>
              </w:rPr>
              <w:t>2 428 353</w:t>
            </w:r>
          </w:p>
        </w:tc>
        <w:tc>
          <w:tcPr>
            <w:tcW w:w="851" w:type="dxa"/>
            <w:tcBorders>
              <w:top w:val="nil"/>
              <w:left w:val="double" w:sz="6" w:space="0" w:color="auto"/>
              <w:bottom w:val="single" w:sz="4" w:space="0" w:color="auto"/>
              <w:right w:val="single" w:sz="4" w:space="0" w:color="auto"/>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sz w:val="18"/>
                <w:szCs w:val="18"/>
              </w:rPr>
            </w:pPr>
            <w:r w:rsidRPr="00956308">
              <w:rPr>
                <w:rFonts w:ascii="Times New Roman" w:eastAsia="Times New Roman" w:hAnsi="Times New Roman" w:cs="Times New Roman"/>
                <w:sz w:val="18"/>
                <w:szCs w:val="18"/>
              </w:rPr>
              <w:t>224 207</w:t>
            </w:r>
          </w:p>
        </w:tc>
        <w:tc>
          <w:tcPr>
            <w:tcW w:w="850" w:type="dxa"/>
            <w:tcBorders>
              <w:top w:val="nil"/>
              <w:left w:val="nil"/>
              <w:bottom w:val="single" w:sz="4" w:space="0" w:color="auto"/>
              <w:right w:val="single" w:sz="4" w:space="0" w:color="auto"/>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sz w:val="18"/>
                <w:szCs w:val="18"/>
              </w:rPr>
            </w:pPr>
            <w:r w:rsidRPr="00956308">
              <w:rPr>
                <w:rFonts w:ascii="Times New Roman" w:eastAsia="Times New Roman" w:hAnsi="Times New Roman" w:cs="Times New Roman"/>
                <w:sz w:val="18"/>
                <w:szCs w:val="18"/>
              </w:rPr>
              <w:t>98 356</w:t>
            </w:r>
          </w:p>
        </w:tc>
        <w:tc>
          <w:tcPr>
            <w:tcW w:w="851" w:type="dxa"/>
            <w:tcBorders>
              <w:top w:val="nil"/>
              <w:left w:val="nil"/>
              <w:bottom w:val="single" w:sz="4" w:space="0" w:color="auto"/>
              <w:right w:val="single" w:sz="4" w:space="0" w:color="auto"/>
            </w:tcBorders>
            <w:shd w:val="clear" w:color="auto" w:fill="auto"/>
            <w:noWrap/>
            <w:vAlign w:val="center"/>
            <w:hideMark/>
          </w:tcPr>
          <w:p w:rsidR="00956308" w:rsidRPr="00956308" w:rsidRDefault="00956308" w:rsidP="00956308">
            <w:pPr>
              <w:spacing w:after="0" w:line="240" w:lineRule="auto"/>
              <w:jc w:val="center"/>
              <w:rPr>
                <w:rFonts w:ascii="Times New Roman" w:eastAsia="Times New Roman" w:hAnsi="Times New Roman" w:cs="Times New Roman"/>
                <w:sz w:val="18"/>
                <w:szCs w:val="18"/>
              </w:rPr>
            </w:pPr>
            <w:r w:rsidRPr="00956308">
              <w:rPr>
                <w:rFonts w:ascii="Times New Roman" w:eastAsia="Times New Roman" w:hAnsi="Times New Roman" w:cs="Times New Roman"/>
                <w:sz w:val="18"/>
                <w:szCs w:val="18"/>
              </w:rPr>
              <w:t>322 563</w:t>
            </w:r>
          </w:p>
        </w:tc>
      </w:tr>
      <w:tr w:rsidR="00956308" w:rsidRPr="00956308" w:rsidTr="005E51F2">
        <w:trPr>
          <w:trHeight w:val="547"/>
          <w:jc w:val="center"/>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956308" w:rsidRPr="00956308" w:rsidRDefault="00956308" w:rsidP="00956308">
            <w:pPr>
              <w:spacing w:after="0" w:line="240" w:lineRule="auto"/>
              <w:jc w:val="center"/>
              <w:rPr>
                <w:rFonts w:ascii="Times New Roman" w:eastAsia="Times New Roman" w:hAnsi="Times New Roman" w:cs="Times New Roman"/>
                <w:b/>
                <w:bCs/>
                <w:sz w:val="20"/>
                <w:szCs w:val="20"/>
              </w:rPr>
            </w:pPr>
            <w:r w:rsidRPr="00956308">
              <w:rPr>
                <w:rFonts w:ascii="Times New Roman" w:eastAsia="Times New Roman" w:hAnsi="Times New Roman" w:cs="Times New Roman"/>
                <w:b/>
                <w:bCs/>
                <w:sz w:val="20"/>
                <w:szCs w:val="20"/>
              </w:rPr>
              <w:t>Kopā stacionārajiem pakalpojumiem pusgada apjoms</w:t>
            </w:r>
          </w:p>
        </w:tc>
        <w:tc>
          <w:tcPr>
            <w:tcW w:w="993"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center"/>
              <w:rPr>
                <w:rFonts w:ascii="Times New Roman" w:eastAsia="Times New Roman" w:hAnsi="Times New Roman" w:cs="Times New Roman"/>
                <w:sz w:val="18"/>
                <w:szCs w:val="18"/>
              </w:rPr>
            </w:pPr>
            <w:r w:rsidRPr="00956308">
              <w:rPr>
                <w:rFonts w:ascii="Times New Roman" w:eastAsia="Times New Roman" w:hAnsi="Times New Roman" w:cs="Times New Roman"/>
                <w:sz w:val="18"/>
                <w:szCs w:val="18"/>
              </w:rPr>
              <w:t>1 824 430</w:t>
            </w:r>
          </w:p>
        </w:tc>
        <w:tc>
          <w:tcPr>
            <w:tcW w:w="1023"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center"/>
              <w:rPr>
                <w:rFonts w:ascii="Times New Roman" w:eastAsia="Times New Roman" w:hAnsi="Times New Roman" w:cs="Times New Roman"/>
                <w:sz w:val="18"/>
                <w:szCs w:val="18"/>
              </w:rPr>
            </w:pPr>
            <w:r w:rsidRPr="00956308">
              <w:rPr>
                <w:rFonts w:ascii="Times New Roman" w:eastAsia="Times New Roman" w:hAnsi="Times New Roman" w:cs="Times New Roman"/>
                <w:sz w:val="18"/>
                <w:szCs w:val="18"/>
              </w:rPr>
              <w:t>659 431</w:t>
            </w:r>
          </w:p>
        </w:tc>
        <w:tc>
          <w:tcPr>
            <w:tcW w:w="993" w:type="dxa"/>
            <w:tcBorders>
              <w:top w:val="nil"/>
              <w:left w:val="nil"/>
              <w:bottom w:val="single" w:sz="4" w:space="0" w:color="auto"/>
              <w:right w:val="nil"/>
            </w:tcBorders>
            <w:shd w:val="clear" w:color="auto" w:fill="auto"/>
            <w:noWrap/>
            <w:vAlign w:val="bottom"/>
            <w:hideMark/>
          </w:tcPr>
          <w:p w:rsidR="00956308" w:rsidRPr="00956308" w:rsidRDefault="00956308" w:rsidP="00956308">
            <w:pPr>
              <w:spacing w:after="0" w:line="240" w:lineRule="auto"/>
              <w:jc w:val="center"/>
              <w:rPr>
                <w:rFonts w:ascii="Times New Roman" w:eastAsia="Times New Roman" w:hAnsi="Times New Roman" w:cs="Times New Roman"/>
                <w:sz w:val="18"/>
                <w:szCs w:val="18"/>
              </w:rPr>
            </w:pPr>
            <w:r w:rsidRPr="00956308">
              <w:rPr>
                <w:rFonts w:ascii="Times New Roman" w:eastAsia="Times New Roman" w:hAnsi="Times New Roman" w:cs="Times New Roman"/>
                <w:sz w:val="18"/>
                <w:szCs w:val="18"/>
              </w:rPr>
              <w:t>1 164 998</w:t>
            </w:r>
          </w:p>
        </w:tc>
        <w:tc>
          <w:tcPr>
            <w:tcW w:w="992" w:type="dxa"/>
            <w:tcBorders>
              <w:top w:val="nil"/>
              <w:left w:val="double" w:sz="6" w:space="0" w:color="auto"/>
              <w:bottom w:val="single" w:sz="4" w:space="0" w:color="auto"/>
              <w:right w:val="single" w:sz="4" w:space="0" w:color="auto"/>
            </w:tcBorders>
            <w:shd w:val="clear" w:color="auto" w:fill="auto"/>
            <w:noWrap/>
            <w:vAlign w:val="bottom"/>
            <w:hideMark/>
          </w:tcPr>
          <w:p w:rsidR="00956308" w:rsidRPr="005E51F2" w:rsidRDefault="00956308" w:rsidP="00956308">
            <w:pPr>
              <w:spacing w:after="0" w:line="240" w:lineRule="auto"/>
              <w:jc w:val="center"/>
              <w:rPr>
                <w:rFonts w:ascii="Times New Roman" w:eastAsia="Times New Roman" w:hAnsi="Times New Roman" w:cs="Times New Roman"/>
                <w:b/>
                <w:sz w:val="18"/>
                <w:szCs w:val="18"/>
              </w:rPr>
            </w:pPr>
            <w:r w:rsidRPr="005E51F2">
              <w:rPr>
                <w:rFonts w:ascii="Times New Roman" w:eastAsia="Times New Roman" w:hAnsi="Times New Roman" w:cs="Times New Roman"/>
                <w:b/>
                <w:sz w:val="18"/>
                <w:szCs w:val="18"/>
              </w:rPr>
              <w:t>1 985 711</w:t>
            </w:r>
          </w:p>
        </w:tc>
        <w:tc>
          <w:tcPr>
            <w:tcW w:w="992"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center"/>
              <w:rPr>
                <w:rFonts w:ascii="Times New Roman" w:eastAsia="Times New Roman" w:hAnsi="Times New Roman" w:cs="Times New Roman"/>
                <w:sz w:val="18"/>
                <w:szCs w:val="18"/>
              </w:rPr>
            </w:pPr>
            <w:r w:rsidRPr="00956308">
              <w:rPr>
                <w:rFonts w:ascii="Times New Roman" w:eastAsia="Times New Roman" w:hAnsi="Times New Roman" w:cs="Times New Roman"/>
                <w:sz w:val="18"/>
                <w:szCs w:val="18"/>
              </w:rPr>
              <w:t>771 535</w:t>
            </w:r>
          </w:p>
        </w:tc>
        <w:tc>
          <w:tcPr>
            <w:tcW w:w="992" w:type="dxa"/>
            <w:tcBorders>
              <w:top w:val="nil"/>
              <w:left w:val="nil"/>
              <w:bottom w:val="single" w:sz="4" w:space="0" w:color="auto"/>
              <w:right w:val="nil"/>
            </w:tcBorders>
            <w:shd w:val="clear" w:color="auto" w:fill="auto"/>
            <w:noWrap/>
            <w:vAlign w:val="bottom"/>
            <w:hideMark/>
          </w:tcPr>
          <w:p w:rsidR="00956308" w:rsidRPr="00956308" w:rsidRDefault="00956308" w:rsidP="00956308">
            <w:pPr>
              <w:spacing w:after="0" w:line="240" w:lineRule="auto"/>
              <w:jc w:val="center"/>
              <w:rPr>
                <w:rFonts w:ascii="Times New Roman" w:eastAsia="Times New Roman" w:hAnsi="Times New Roman" w:cs="Times New Roman"/>
                <w:sz w:val="18"/>
                <w:szCs w:val="18"/>
              </w:rPr>
            </w:pPr>
            <w:r w:rsidRPr="00956308">
              <w:rPr>
                <w:rFonts w:ascii="Times New Roman" w:eastAsia="Times New Roman" w:hAnsi="Times New Roman" w:cs="Times New Roman"/>
                <w:sz w:val="18"/>
                <w:szCs w:val="18"/>
              </w:rPr>
              <w:t>1 214 177</w:t>
            </w:r>
          </w:p>
        </w:tc>
        <w:tc>
          <w:tcPr>
            <w:tcW w:w="851" w:type="dxa"/>
            <w:tcBorders>
              <w:top w:val="nil"/>
              <w:left w:val="double" w:sz="6" w:space="0" w:color="auto"/>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center"/>
              <w:rPr>
                <w:rFonts w:ascii="Times New Roman" w:eastAsia="Times New Roman" w:hAnsi="Times New Roman" w:cs="Times New Roman"/>
                <w:sz w:val="18"/>
                <w:szCs w:val="18"/>
              </w:rPr>
            </w:pPr>
            <w:r w:rsidRPr="00956308">
              <w:rPr>
                <w:rFonts w:ascii="Times New Roman" w:eastAsia="Times New Roman" w:hAnsi="Times New Roman" w:cs="Times New Roman"/>
                <w:sz w:val="18"/>
                <w:szCs w:val="18"/>
              </w:rPr>
              <w:t>112 103</w:t>
            </w:r>
          </w:p>
        </w:tc>
        <w:tc>
          <w:tcPr>
            <w:tcW w:w="850"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center"/>
              <w:rPr>
                <w:rFonts w:ascii="Times New Roman" w:eastAsia="Times New Roman" w:hAnsi="Times New Roman" w:cs="Times New Roman"/>
                <w:sz w:val="18"/>
                <w:szCs w:val="18"/>
              </w:rPr>
            </w:pPr>
            <w:r w:rsidRPr="00956308">
              <w:rPr>
                <w:rFonts w:ascii="Times New Roman" w:eastAsia="Times New Roman" w:hAnsi="Times New Roman" w:cs="Times New Roman"/>
                <w:sz w:val="18"/>
                <w:szCs w:val="18"/>
              </w:rPr>
              <w:t>49 178</w:t>
            </w:r>
          </w:p>
        </w:tc>
        <w:tc>
          <w:tcPr>
            <w:tcW w:w="851" w:type="dxa"/>
            <w:tcBorders>
              <w:top w:val="nil"/>
              <w:left w:val="nil"/>
              <w:bottom w:val="single" w:sz="4" w:space="0" w:color="auto"/>
              <w:right w:val="single" w:sz="4" w:space="0" w:color="auto"/>
            </w:tcBorders>
            <w:shd w:val="clear" w:color="auto" w:fill="auto"/>
            <w:noWrap/>
            <w:vAlign w:val="bottom"/>
            <w:hideMark/>
          </w:tcPr>
          <w:p w:rsidR="00956308" w:rsidRPr="00956308" w:rsidRDefault="00956308" w:rsidP="00956308">
            <w:pPr>
              <w:spacing w:after="0" w:line="240" w:lineRule="auto"/>
              <w:jc w:val="center"/>
              <w:rPr>
                <w:rFonts w:ascii="Times New Roman" w:eastAsia="Times New Roman" w:hAnsi="Times New Roman" w:cs="Times New Roman"/>
                <w:sz w:val="18"/>
                <w:szCs w:val="18"/>
              </w:rPr>
            </w:pPr>
            <w:r w:rsidRPr="00956308">
              <w:rPr>
                <w:rFonts w:ascii="Times New Roman" w:eastAsia="Times New Roman" w:hAnsi="Times New Roman" w:cs="Times New Roman"/>
                <w:sz w:val="18"/>
                <w:szCs w:val="18"/>
              </w:rPr>
              <w:t>161 282</w:t>
            </w:r>
          </w:p>
        </w:tc>
      </w:tr>
    </w:tbl>
    <w:p w:rsidR="00956308" w:rsidRDefault="00783301" w:rsidP="00177306">
      <w:pPr>
        <w:spacing w:after="0" w:line="240" w:lineRule="auto"/>
        <w:jc w:val="both"/>
        <w:rPr>
          <w:rFonts w:ascii="Times New Roman" w:hAnsi="Times New Roman"/>
          <w:i/>
          <w:sz w:val="20"/>
          <w:szCs w:val="20"/>
        </w:rPr>
      </w:pPr>
      <w:r w:rsidRPr="002040D7">
        <w:rPr>
          <w:rFonts w:ascii="Times New Roman" w:hAnsi="Times New Roman"/>
          <w:i/>
          <w:sz w:val="20"/>
          <w:szCs w:val="20"/>
        </w:rPr>
        <w:t xml:space="preserve">Avots: </w:t>
      </w:r>
      <w:r>
        <w:rPr>
          <w:rFonts w:ascii="Times New Roman" w:hAnsi="Times New Roman"/>
          <w:i/>
          <w:sz w:val="20"/>
          <w:szCs w:val="20"/>
        </w:rPr>
        <w:t>Nacionālais veselības dienests</w:t>
      </w:r>
      <w:r w:rsidRPr="002040D7">
        <w:rPr>
          <w:rFonts w:ascii="Times New Roman" w:hAnsi="Times New Roman"/>
          <w:i/>
          <w:sz w:val="20"/>
          <w:szCs w:val="20"/>
        </w:rPr>
        <w:t xml:space="preserve">    </w:t>
      </w:r>
    </w:p>
    <w:p w:rsidR="00783301" w:rsidRDefault="00783301" w:rsidP="00177306">
      <w:pPr>
        <w:spacing w:after="0" w:line="240" w:lineRule="auto"/>
        <w:jc w:val="both"/>
        <w:rPr>
          <w:rFonts w:ascii="Times New Roman" w:eastAsia="Times New Roman" w:hAnsi="Times New Roman"/>
          <w:sz w:val="24"/>
          <w:szCs w:val="24"/>
          <w:lang w:eastAsia="lv-LV"/>
        </w:rPr>
      </w:pPr>
    </w:p>
    <w:p w:rsidR="00177306" w:rsidRPr="00A34B14" w:rsidRDefault="00783301" w:rsidP="00783301">
      <w:pPr>
        <w:spacing w:after="0" w:line="240" w:lineRule="auto"/>
        <w:ind w:firstLine="720"/>
        <w:jc w:val="both"/>
        <w:rPr>
          <w:rFonts w:ascii="Times New Roman" w:eastAsia="Times New Roman" w:hAnsi="Times New Roman"/>
          <w:sz w:val="24"/>
          <w:szCs w:val="24"/>
          <w:lang w:eastAsia="lv-LV"/>
        </w:rPr>
      </w:pPr>
      <w:r w:rsidRPr="00A34B14">
        <w:rPr>
          <w:rFonts w:ascii="Times New Roman" w:eastAsia="Times New Roman" w:hAnsi="Times New Roman"/>
          <w:sz w:val="24"/>
          <w:szCs w:val="24"/>
          <w:u w:val="single"/>
          <w:lang w:eastAsia="lv-LV"/>
        </w:rPr>
        <w:t>2014</w:t>
      </w:r>
      <w:proofErr w:type="gramStart"/>
      <w:r w:rsidRPr="00A34B14">
        <w:rPr>
          <w:rFonts w:ascii="Times New Roman" w:eastAsia="Times New Roman" w:hAnsi="Times New Roman"/>
          <w:sz w:val="24"/>
          <w:szCs w:val="24"/>
          <w:u w:val="single"/>
          <w:lang w:eastAsia="lv-LV"/>
        </w:rPr>
        <w:t>.gadā</w:t>
      </w:r>
      <w:proofErr w:type="gramEnd"/>
      <w:r w:rsidRPr="00A34B14">
        <w:rPr>
          <w:rFonts w:ascii="Times New Roman" w:eastAsia="Times New Roman" w:hAnsi="Times New Roman"/>
          <w:sz w:val="24"/>
          <w:szCs w:val="24"/>
          <w:lang w:eastAsia="lv-LV"/>
        </w:rPr>
        <w:t xml:space="preserve"> deficīt</w:t>
      </w:r>
      <w:r>
        <w:rPr>
          <w:rFonts w:ascii="Times New Roman" w:eastAsia="Times New Roman" w:hAnsi="Times New Roman"/>
          <w:sz w:val="24"/>
          <w:szCs w:val="24"/>
          <w:lang w:eastAsia="lv-LV"/>
        </w:rPr>
        <w:t>s</w:t>
      </w:r>
      <w:r w:rsidRPr="00A34B14">
        <w:rPr>
          <w:rFonts w:ascii="Times New Roman" w:eastAsia="Times New Roman" w:hAnsi="Times New Roman"/>
          <w:sz w:val="24"/>
          <w:szCs w:val="24"/>
          <w:lang w:eastAsia="lv-LV"/>
        </w:rPr>
        <w:t xml:space="preserve"> </w:t>
      </w:r>
      <w:r w:rsidRPr="00A34B14">
        <w:rPr>
          <w:rFonts w:ascii="Times New Roman" w:eastAsia="Times New Roman" w:hAnsi="Times New Roman"/>
          <w:b/>
          <w:sz w:val="24"/>
          <w:szCs w:val="24"/>
          <w:lang w:eastAsia="lv-LV"/>
        </w:rPr>
        <w:t xml:space="preserve">3 648 859 latu </w:t>
      </w:r>
      <w:r w:rsidRPr="00A34B14">
        <w:rPr>
          <w:rFonts w:ascii="Times New Roman" w:eastAsia="Times New Roman" w:hAnsi="Times New Roman"/>
          <w:sz w:val="24"/>
          <w:szCs w:val="24"/>
          <w:lang w:eastAsia="lv-LV"/>
        </w:rPr>
        <w:t>apmērā</w:t>
      </w:r>
      <w:r>
        <w:rPr>
          <w:rFonts w:ascii="Times New Roman" w:eastAsia="Times New Roman" w:hAnsi="Times New Roman"/>
          <w:sz w:val="24"/>
          <w:szCs w:val="24"/>
          <w:lang w:eastAsia="lv-LV"/>
        </w:rPr>
        <w:t xml:space="preserve"> veidojas:</w:t>
      </w:r>
    </w:p>
    <w:p w:rsidR="00177306" w:rsidRPr="00177306" w:rsidRDefault="00177306" w:rsidP="00177306">
      <w:pPr>
        <w:pStyle w:val="ListParagraph"/>
        <w:numPr>
          <w:ilvl w:val="0"/>
          <w:numId w:val="17"/>
        </w:numPr>
        <w:spacing w:after="0" w:line="240" w:lineRule="auto"/>
        <w:jc w:val="both"/>
        <w:rPr>
          <w:rFonts w:ascii="Times New Roman" w:eastAsia="Times New Roman" w:hAnsi="Times New Roman"/>
          <w:i/>
          <w:sz w:val="24"/>
          <w:szCs w:val="24"/>
          <w:lang w:eastAsia="lv-LV"/>
        </w:rPr>
      </w:pPr>
      <w:r w:rsidRPr="00177306">
        <w:rPr>
          <w:rFonts w:ascii="Times New Roman" w:eastAsia="Times New Roman" w:hAnsi="Times New Roman"/>
          <w:i/>
          <w:sz w:val="24"/>
          <w:szCs w:val="24"/>
          <w:lang w:eastAsia="lv-LV"/>
        </w:rPr>
        <w:t>ārstēšanas uzsākšana ļaundabīgā audzēja diagnosticēšanas gadījumā (ķirurģija) stacionārā</w:t>
      </w:r>
    </w:p>
    <w:p w:rsidR="00177306" w:rsidRPr="00FC01A3" w:rsidRDefault="00FC01A3" w:rsidP="00FC01A3">
      <w:pPr>
        <w:spacing w:before="120" w:after="0" w:line="240" w:lineRule="auto"/>
        <w:jc w:val="both"/>
        <w:rPr>
          <w:rFonts w:ascii="Times New Roman" w:eastAsia="Times New Roman" w:hAnsi="Times New Roman" w:cs="Times New Roman"/>
          <w:sz w:val="24"/>
          <w:szCs w:val="24"/>
          <w:lang w:val="lv-LV"/>
        </w:rPr>
      </w:pPr>
      <w:r w:rsidRPr="00FC01A3">
        <w:rPr>
          <w:rFonts w:ascii="Times New Roman" w:eastAsia="Times New Roman" w:hAnsi="Times New Roman"/>
          <w:sz w:val="24"/>
          <w:szCs w:val="24"/>
          <w:lang w:eastAsia="lv-LV"/>
        </w:rPr>
        <w:t xml:space="preserve">Šajā sadaļā ietilpst pakalpojumu programmas – kardioķirurģija pieaugušajiem, </w:t>
      </w:r>
      <w:r w:rsidRPr="00FC01A3">
        <w:rPr>
          <w:rFonts w:ascii="Times New Roman" w:eastAsia="Times New Roman" w:hAnsi="Times New Roman" w:cs="Times New Roman"/>
          <w:sz w:val="24"/>
          <w:szCs w:val="24"/>
          <w:lang w:val="lv-LV"/>
        </w:rPr>
        <w:t>mugurkaulāja saslimšanu un traumu ķirurģiska ārstēšana, ķīmijterapija bērniem, stacionārā palīdzība bērniem īpaši smagos gadījumos, mikroķirurģija pieaugušiem</w:t>
      </w:r>
      <w:proofErr w:type="gramStart"/>
      <w:r w:rsidRPr="00FC01A3">
        <w:rPr>
          <w:rFonts w:ascii="Times New Roman" w:eastAsia="Times New Roman" w:hAnsi="Times New Roman" w:cs="Times New Roman"/>
          <w:sz w:val="24"/>
          <w:szCs w:val="24"/>
          <w:lang w:val="lv-LV"/>
        </w:rPr>
        <w:t>,torakālā</w:t>
      </w:r>
      <w:proofErr w:type="gramEnd"/>
      <w:r w:rsidRPr="00FC01A3">
        <w:rPr>
          <w:rFonts w:ascii="Times New Roman" w:eastAsia="Times New Roman" w:hAnsi="Times New Roman" w:cs="Times New Roman"/>
          <w:sz w:val="24"/>
          <w:szCs w:val="24"/>
          <w:lang w:val="lv-LV"/>
        </w:rPr>
        <w:t xml:space="preserve"> ķirurģija, staru terapija, hepatobiliārā ķirurģija, onkoloģijas programma, neiroonkoloģija.</w:t>
      </w:r>
      <w:r>
        <w:rPr>
          <w:rFonts w:ascii="Times New Roman" w:eastAsia="Times New Roman" w:hAnsi="Times New Roman" w:cs="Times New Roman"/>
          <w:sz w:val="24"/>
          <w:szCs w:val="24"/>
          <w:lang w:val="lv-LV"/>
        </w:rPr>
        <w:t xml:space="preserve"> </w:t>
      </w:r>
      <w:r w:rsidR="00177306" w:rsidRPr="004D6C02">
        <w:rPr>
          <w:rFonts w:ascii="Times New Roman" w:eastAsia="Times New Roman" w:hAnsi="Times New Roman"/>
          <w:sz w:val="24"/>
          <w:szCs w:val="24"/>
          <w:lang w:val="lv-LV" w:eastAsia="lv-LV"/>
        </w:rPr>
        <w:t xml:space="preserve">Saskaņā ar ārstniecības iestāžu datiem ārstēšanas uzsākšanai ļaundabīgā audzēja diagnosticēšanas gadījumā (ķirurģija) stacionārā izveidojusies rinda 20 darba dienu garumā, kurā gaida 200 pacienti. Katru gadu jaunpienākušo pacientu skaits veido ap 10% no kopējā rindā stāvošo pacientu skaita. 2012.gadā ļaundabīgā audzēja diagnosticēšanas gadījumā (ķirurģija) ārstēšanos stacionārā uzsāka 6599 pacienti, izlietotais finansējums Ls 3 275 906 (Ls 496,42 vidējās izmaksas 1 pacientam). Lai  samazinātu ārstēšanas uzsākšanai gaidīšanas laiku rindā, papildus nepieciešamais finansējums </w:t>
      </w:r>
      <w:r w:rsidR="008A1D20" w:rsidRPr="004D6C02">
        <w:rPr>
          <w:rFonts w:ascii="Times New Roman" w:eastAsia="Times New Roman" w:hAnsi="Times New Roman"/>
          <w:sz w:val="24"/>
          <w:szCs w:val="24"/>
          <w:lang w:val="lv-LV" w:eastAsia="lv-LV"/>
        </w:rPr>
        <w:t xml:space="preserve">gadā </w:t>
      </w:r>
      <w:r w:rsidR="00177306" w:rsidRPr="004D6C02">
        <w:rPr>
          <w:rFonts w:ascii="Times New Roman" w:eastAsia="Times New Roman" w:hAnsi="Times New Roman"/>
          <w:sz w:val="24"/>
          <w:szCs w:val="24"/>
          <w:lang w:val="lv-LV" w:eastAsia="lv-LV"/>
        </w:rPr>
        <w:t xml:space="preserve">ir </w:t>
      </w:r>
      <w:r w:rsidR="00337C60" w:rsidRPr="004D6C02">
        <w:rPr>
          <w:rFonts w:ascii="Times New Roman" w:eastAsia="Times New Roman" w:hAnsi="Times New Roman"/>
          <w:b/>
          <w:sz w:val="24"/>
          <w:szCs w:val="24"/>
          <w:lang w:val="lv-LV" w:eastAsia="lv-LV"/>
        </w:rPr>
        <w:t>109 212</w:t>
      </w:r>
      <w:r w:rsidR="00177306" w:rsidRPr="004D6C02">
        <w:rPr>
          <w:rFonts w:ascii="Times New Roman" w:eastAsia="Times New Roman" w:hAnsi="Times New Roman"/>
          <w:b/>
          <w:sz w:val="24"/>
          <w:szCs w:val="24"/>
          <w:lang w:val="lv-LV" w:eastAsia="lv-LV"/>
        </w:rPr>
        <w:t xml:space="preserve"> lati</w:t>
      </w:r>
      <w:r w:rsidR="00177306" w:rsidRPr="004D6C02">
        <w:rPr>
          <w:rFonts w:ascii="Times New Roman" w:eastAsia="Times New Roman" w:hAnsi="Times New Roman"/>
          <w:sz w:val="24"/>
          <w:szCs w:val="24"/>
          <w:lang w:val="lv-LV" w:eastAsia="lv-LV"/>
        </w:rPr>
        <w:t xml:space="preserve"> (Ls 496,42 x 220 pacienti);</w:t>
      </w:r>
    </w:p>
    <w:p w:rsidR="00177306" w:rsidRPr="004D6C02" w:rsidRDefault="00177306" w:rsidP="00177306">
      <w:pPr>
        <w:pStyle w:val="ListParagraph"/>
        <w:numPr>
          <w:ilvl w:val="0"/>
          <w:numId w:val="17"/>
        </w:numPr>
        <w:spacing w:after="0" w:line="240" w:lineRule="auto"/>
        <w:jc w:val="both"/>
        <w:rPr>
          <w:rFonts w:ascii="Times New Roman" w:eastAsia="Times New Roman" w:hAnsi="Times New Roman"/>
          <w:i/>
          <w:sz w:val="24"/>
          <w:szCs w:val="24"/>
          <w:lang w:val="lv-LV" w:eastAsia="lv-LV"/>
        </w:rPr>
      </w:pPr>
      <w:r w:rsidRPr="004D6C02">
        <w:rPr>
          <w:rFonts w:ascii="Times New Roman" w:eastAsia="Times New Roman" w:hAnsi="Times New Roman"/>
          <w:i/>
          <w:sz w:val="24"/>
          <w:szCs w:val="24"/>
          <w:lang w:val="lv-LV" w:eastAsia="lv-LV"/>
        </w:rPr>
        <w:t>lielo locītavu endoprotezēšana ar konsīlija lēmumu (70% no kopējā skaita)</w:t>
      </w:r>
    </w:p>
    <w:p w:rsidR="00177306" w:rsidRDefault="00177306" w:rsidP="00337C60">
      <w:pPr>
        <w:spacing w:after="0"/>
        <w:jc w:val="both"/>
        <w:rPr>
          <w:rFonts w:ascii="Times New Roman" w:eastAsia="Times New Roman" w:hAnsi="Times New Roman"/>
          <w:sz w:val="24"/>
          <w:szCs w:val="24"/>
          <w:lang w:eastAsia="lv-LV"/>
        </w:rPr>
      </w:pPr>
      <w:r w:rsidRPr="00177306">
        <w:rPr>
          <w:rFonts w:ascii="Times New Roman" w:eastAsia="Times New Roman" w:hAnsi="Times New Roman"/>
          <w:sz w:val="24"/>
          <w:szCs w:val="24"/>
          <w:lang w:eastAsia="lv-LV"/>
        </w:rPr>
        <w:t>Rindas garums</w:t>
      </w:r>
      <w:r w:rsidRPr="00177306">
        <w:rPr>
          <w:rFonts w:ascii="Times New Roman" w:eastAsia="Times New Roman" w:hAnsi="Times New Roman"/>
          <w:b/>
          <w:sz w:val="24"/>
          <w:szCs w:val="24"/>
          <w:lang w:eastAsia="lv-LV"/>
        </w:rPr>
        <w:t xml:space="preserve"> </w:t>
      </w:r>
      <w:r w:rsidRPr="00177306">
        <w:rPr>
          <w:rFonts w:ascii="Times New Roman" w:eastAsia="Times New Roman" w:hAnsi="Times New Roman"/>
          <w:sz w:val="24"/>
          <w:szCs w:val="24"/>
          <w:lang w:eastAsia="lv-LV"/>
        </w:rPr>
        <w:t xml:space="preserve">uz lielo locītavu endoprotezēšanu ar konsīlija lēmumu </w:t>
      </w:r>
      <w:r>
        <w:rPr>
          <w:rFonts w:ascii="Times New Roman" w:eastAsia="Times New Roman" w:hAnsi="Times New Roman"/>
          <w:sz w:val="24"/>
          <w:szCs w:val="24"/>
          <w:lang w:eastAsia="lv-LV"/>
        </w:rPr>
        <w:t>ir 7</w:t>
      </w:r>
      <w:r w:rsidRPr="00177306">
        <w:rPr>
          <w:rFonts w:ascii="Times New Roman" w:eastAsia="Times New Roman" w:hAnsi="Times New Roman"/>
          <w:sz w:val="24"/>
          <w:szCs w:val="24"/>
          <w:lang w:eastAsia="lv-LV"/>
        </w:rPr>
        <w:t>181 pacient</w:t>
      </w:r>
      <w:r>
        <w:rPr>
          <w:rFonts w:ascii="Times New Roman" w:eastAsia="Times New Roman" w:hAnsi="Times New Roman"/>
          <w:sz w:val="24"/>
          <w:szCs w:val="24"/>
          <w:lang w:eastAsia="lv-LV"/>
        </w:rPr>
        <w:t>s</w:t>
      </w:r>
      <w:r w:rsidRPr="00177306">
        <w:rPr>
          <w:rFonts w:ascii="Times New Roman" w:eastAsia="Times New Roman" w:hAnsi="Times New Roman"/>
          <w:sz w:val="24"/>
          <w:szCs w:val="24"/>
          <w:lang w:eastAsia="lv-LV"/>
        </w:rPr>
        <w:t xml:space="preserve"> un gaidīšanas laiks  rindā sasniedz 500 darba dienas, kas ir gandrīz divi gadi, jāņem vērā arī to, ka  katru gadu vajadzība pēc šī pakalpojuma rodas arvien jauniem pacientiem. 2012</w:t>
      </w:r>
      <w:proofErr w:type="gramStart"/>
      <w:r w:rsidRPr="00177306">
        <w:rPr>
          <w:rFonts w:ascii="Times New Roman" w:eastAsia="Times New Roman" w:hAnsi="Times New Roman"/>
          <w:sz w:val="24"/>
          <w:szCs w:val="24"/>
          <w:lang w:eastAsia="lv-LV"/>
        </w:rPr>
        <w:t>.gadā</w:t>
      </w:r>
      <w:proofErr w:type="gramEnd"/>
      <w:r>
        <w:rPr>
          <w:rFonts w:ascii="Times New Roman" w:eastAsia="Times New Roman" w:hAnsi="Times New Roman"/>
          <w:sz w:val="24"/>
          <w:szCs w:val="24"/>
          <w:lang w:eastAsia="lv-LV"/>
        </w:rPr>
        <w:t xml:space="preserve"> operēto pacientu skaits bija </w:t>
      </w:r>
      <w:r>
        <w:rPr>
          <w:rFonts w:ascii="Times New Roman" w:eastAsia="Times New Roman" w:hAnsi="Times New Roman"/>
          <w:sz w:val="24"/>
          <w:szCs w:val="24"/>
          <w:lang w:eastAsia="lv-LV"/>
        </w:rPr>
        <w:lastRenderedPageBreak/>
        <w:t>2</w:t>
      </w:r>
      <w:r w:rsidRPr="00177306">
        <w:rPr>
          <w:rFonts w:ascii="Times New Roman" w:eastAsia="Times New Roman" w:hAnsi="Times New Roman"/>
          <w:sz w:val="24"/>
          <w:szCs w:val="24"/>
          <w:lang w:eastAsia="lv-LV"/>
        </w:rPr>
        <w:t xml:space="preserve">189. Ņemot </w:t>
      </w:r>
      <w:proofErr w:type="gramStart"/>
      <w:r w:rsidRPr="00177306">
        <w:rPr>
          <w:rFonts w:ascii="Times New Roman" w:eastAsia="Times New Roman" w:hAnsi="Times New Roman"/>
          <w:sz w:val="24"/>
          <w:szCs w:val="24"/>
          <w:lang w:eastAsia="lv-LV"/>
        </w:rPr>
        <w:t>vērā</w:t>
      </w:r>
      <w:proofErr w:type="gramEnd"/>
      <w:r w:rsidRPr="00177306">
        <w:rPr>
          <w:rFonts w:ascii="Times New Roman" w:eastAsia="Times New Roman" w:hAnsi="Times New Roman"/>
          <w:sz w:val="24"/>
          <w:szCs w:val="24"/>
          <w:lang w:eastAsia="lv-LV"/>
        </w:rPr>
        <w:t xml:space="preserve"> ārstniecības iestāžu kapacitāti (cilvēkresursus un infrastruktūru), ārstniecības iestādes papildus var veikt līdz 35% </w:t>
      </w:r>
      <w:r>
        <w:rPr>
          <w:rFonts w:ascii="Times New Roman" w:eastAsia="Times New Roman" w:hAnsi="Times New Roman"/>
          <w:sz w:val="24"/>
          <w:szCs w:val="24"/>
          <w:lang w:eastAsia="lv-LV"/>
        </w:rPr>
        <w:t xml:space="preserve">no </w:t>
      </w:r>
      <w:r w:rsidRPr="00177306">
        <w:rPr>
          <w:rFonts w:ascii="Times New Roman" w:eastAsia="Times New Roman" w:hAnsi="Times New Roman"/>
          <w:sz w:val="24"/>
          <w:szCs w:val="24"/>
          <w:lang w:eastAsia="lv-LV"/>
        </w:rPr>
        <w:t>gadā veiktajām operācijām, t.i. ir 766 pacientiem.  Saskaņā ar Noteikumu Nr.1046 103.</w:t>
      </w:r>
      <w:r w:rsidRPr="00177306">
        <w:rPr>
          <w:rFonts w:ascii="Times New Roman" w:eastAsia="Times New Roman" w:hAnsi="Times New Roman"/>
          <w:sz w:val="24"/>
          <w:szCs w:val="24"/>
          <w:vertAlign w:val="superscript"/>
          <w:lang w:eastAsia="lv-LV"/>
        </w:rPr>
        <w:t xml:space="preserve">4 </w:t>
      </w:r>
      <w:r w:rsidRPr="00177306">
        <w:rPr>
          <w:rFonts w:ascii="Times New Roman" w:eastAsia="Times New Roman" w:hAnsi="Times New Roman"/>
          <w:sz w:val="24"/>
          <w:szCs w:val="24"/>
          <w:lang w:eastAsia="lv-LV"/>
        </w:rPr>
        <w:t>punktu</w:t>
      </w:r>
      <w:r>
        <w:rPr>
          <w:rFonts w:ascii="Times New Roman" w:eastAsia="Times New Roman" w:hAnsi="Times New Roman"/>
          <w:sz w:val="24"/>
          <w:szCs w:val="24"/>
          <w:lang w:eastAsia="lv-LV"/>
        </w:rPr>
        <w:t>,</w:t>
      </w:r>
      <w:r w:rsidRPr="00177306">
        <w:rPr>
          <w:rFonts w:ascii="Times New Roman" w:eastAsia="Times New Roman" w:hAnsi="Times New Roman"/>
          <w:sz w:val="24"/>
          <w:szCs w:val="24"/>
          <w:lang w:eastAsia="lv-LV"/>
        </w:rPr>
        <w:t xml:space="preserve"> plānojot plānveida gūžas endoprotezēšanai nepieciešamos līdzekļus paredz, ka 90% gadījumos endoprotezēšanai  pielieto cementējamās endoprotēzes un 10% gadījumu – bezcementa un hibrīdendoprotēzes. Papildus </w:t>
      </w:r>
      <w:r w:rsidRPr="00337C60">
        <w:rPr>
          <w:rFonts w:ascii="Times New Roman" w:eastAsia="Times New Roman" w:hAnsi="Times New Roman"/>
          <w:sz w:val="24"/>
          <w:szCs w:val="24"/>
          <w:lang w:eastAsia="lv-LV"/>
        </w:rPr>
        <w:t xml:space="preserve">nepieciešamais finansējums </w:t>
      </w:r>
      <w:r w:rsidR="00337C60" w:rsidRPr="00337C60">
        <w:rPr>
          <w:rFonts w:ascii="Times New Roman" w:eastAsia="Times New Roman" w:hAnsi="Times New Roman"/>
          <w:sz w:val="24"/>
          <w:szCs w:val="24"/>
          <w:lang w:eastAsia="lv-LV"/>
        </w:rPr>
        <w:t xml:space="preserve">gadā </w:t>
      </w:r>
      <w:r w:rsidRPr="00337C60">
        <w:rPr>
          <w:rFonts w:ascii="Times New Roman" w:eastAsia="Times New Roman" w:hAnsi="Times New Roman"/>
          <w:sz w:val="24"/>
          <w:szCs w:val="24"/>
          <w:lang w:eastAsia="lv-LV"/>
        </w:rPr>
        <w:t>ir</w:t>
      </w:r>
      <w:r w:rsidRPr="00177306">
        <w:rPr>
          <w:rFonts w:ascii="Times New Roman" w:eastAsia="Times New Roman" w:hAnsi="Times New Roman"/>
          <w:b/>
          <w:sz w:val="24"/>
          <w:szCs w:val="24"/>
          <w:lang w:eastAsia="lv-LV"/>
        </w:rPr>
        <w:t xml:space="preserve"> 818</w:t>
      </w:r>
      <w:r w:rsidR="00337C60">
        <w:rPr>
          <w:rFonts w:ascii="Times New Roman" w:eastAsia="Times New Roman" w:hAnsi="Times New Roman"/>
          <w:b/>
          <w:sz w:val="24"/>
          <w:szCs w:val="24"/>
          <w:lang w:eastAsia="lv-LV"/>
        </w:rPr>
        <w:t> 0</w:t>
      </w:r>
      <w:r w:rsidRPr="00177306">
        <w:rPr>
          <w:rFonts w:ascii="Times New Roman" w:eastAsia="Times New Roman" w:hAnsi="Times New Roman"/>
          <w:b/>
          <w:sz w:val="24"/>
          <w:szCs w:val="24"/>
          <w:lang w:eastAsia="lv-LV"/>
        </w:rPr>
        <w:t>48</w:t>
      </w:r>
      <w:r w:rsidR="00337C60">
        <w:rPr>
          <w:rFonts w:ascii="Times New Roman" w:eastAsia="Times New Roman" w:hAnsi="Times New Roman"/>
          <w:b/>
          <w:sz w:val="24"/>
          <w:szCs w:val="24"/>
          <w:lang w:eastAsia="lv-LV"/>
        </w:rPr>
        <w:t xml:space="preserve"> lati</w:t>
      </w:r>
      <w:r w:rsidRPr="00177306">
        <w:rPr>
          <w:rFonts w:ascii="Times New Roman" w:eastAsia="Times New Roman" w:hAnsi="Times New Roman"/>
          <w:sz w:val="24"/>
          <w:szCs w:val="24"/>
          <w:lang w:eastAsia="lv-LV"/>
        </w:rPr>
        <w:t>, tajā skaitā 90% gadījumiem Ls 1001 x 689 pacienti</w:t>
      </w:r>
      <w:r w:rsidR="00337C60">
        <w:rPr>
          <w:rFonts w:ascii="Times New Roman" w:eastAsia="Times New Roman" w:hAnsi="Times New Roman"/>
          <w:sz w:val="24"/>
          <w:szCs w:val="24"/>
          <w:lang w:eastAsia="lv-LV"/>
        </w:rPr>
        <w:t xml:space="preserve"> </w:t>
      </w:r>
      <w:r w:rsidRPr="00177306">
        <w:rPr>
          <w:rFonts w:ascii="Times New Roman" w:eastAsia="Times New Roman" w:hAnsi="Times New Roman"/>
          <w:sz w:val="24"/>
          <w:szCs w:val="24"/>
          <w:lang w:eastAsia="lv-LV"/>
        </w:rPr>
        <w:t xml:space="preserve">= Ls 689 689 </w:t>
      </w:r>
      <w:proofErr w:type="gramStart"/>
      <w:r w:rsidRPr="00177306">
        <w:rPr>
          <w:rFonts w:ascii="Times New Roman" w:eastAsia="Times New Roman" w:hAnsi="Times New Roman"/>
          <w:sz w:val="24"/>
          <w:szCs w:val="24"/>
          <w:lang w:eastAsia="lv-LV"/>
        </w:rPr>
        <w:t>un</w:t>
      </w:r>
      <w:proofErr w:type="gramEnd"/>
      <w:r w:rsidRPr="00177306">
        <w:rPr>
          <w:rFonts w:ascii="Times New Roman" w:eastAsia="Times New Roman" w:hAnsi="Times New Roman"/>
          <w:sz w:val="24"/>
          <w:szCs w:val="24"/>
          <w:lang w:eastAsia="lv-LV"/>
        </w:rPr>
        <w:t xml:space="preserve"> 10% ga</w:t>
      </w:r>
      <w:r w:rsidR="00337C60">
        <w:rPr>
          <w:rFonts w:ascii="Times New Roman" w:eastAsia="Times New Roman" w:hAnsi="Times New Roman"/>
          <w:sz w:val="24"/>
          <w:szCs w:val="24"/>
          <w:lang w:eastAsia="lv-LV"/>
        </w:rPr>
        <w:t>dījumiem Ls 1667 x 77 = Ls 128 359):</w:t>
      </w:r>
    </w:p>
    <w:p w:rsidR="00177306" w:rsidRPr="00337C60" w:rsidRDefault="00337C60" w:rsidP="00177306">
      <w:pPr>
        <w:pStyle w:val="ListParagraph"/>
        <w:numPr>
          <w:ilvl w:val="0"/>
          <w:numId w:val="17"/>
        </w:num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l</w:t>
      </w:r>
      <w:r w:rsidR="00177306" w:rsidRPr="00337C60">
        <w:rPr>
          <w:rFonts w:ascii="Times New Roman" w:eastAsia="Times New Roman" w:hAnsi="Times New Roman"/>
          <w:i/>
          <w:sz w:val="24"/>
          <w:szCs w:val="24"/>
          <w:lang w:eastAsia="lv-LV"/>
        </w:rPr>
        <w:t>ielo locītavu endoprotezēšana vispārējā kārtībā (30% no kopējā skaita)</w:t>
      </w:r>
    </w:p>
    <w:p w:rsidR="00177306" w:rsidRPr="00337C60" w:rsidRDefault="00177306" w:rsidP="00337C60">
      <w:pPr>
        <w:spacing w:after="0"/>
        <w:jc w:val="both"/>
        <w:rPr>
          <w:rFonts w:ascii="Times New Roman" w:eastAsia="Times New Roman" w:hAnsi="Times New Roman"/>
          <w:sz w:val="24"/>
          <w:szCs w:val="24"/>
          <w:lang w:eastAsia="lv-LV"/>
        </w:rPr>
      </w:pPr>
      <w:r w:rsidRPr="00337C60">
        <w:rPr>
          <w:rFonts w:ascii="Times New Roman" w:eastAsia="Times New Roman" w:hAnsi="Times New Roman"/>
          <w:sz w:val="24"/>
          <w:szCs w:val="24"/>
          <w:lang w:eastAsia="lv-LV"/>
        </w:rPr>
        <w:t>Rindas garums</w:t>
      </w:r>
      <w:r w:rsidRPr="00337C60">
        <w:rPr>
          <w:rFonts w:ascii="Times New Roman" w:eastAsia="Times New Roman" w:hAnsi="Times New Roman"/>
          <w:b/>
          <w:sz w:val="24"/>
          <w:szCs w:val="24"/>
          <w:lang w:eastAsia="lv-LV"/>
        </w:rPr>
        <w:t xml:space="preserve"> </w:t>
      </w:r>
      <w:r w:rsidRPr="00337C60">
        <w:rPr>
          <w:rFonts w:ascii="Times New Roman" w:eastAsia="Times New Roman" w:hAnsi="Times New Roman"/>
          <w:sz w:val="24"/>
          <w:szCs w:val="24"/>
          <w:lang w:eastAsia="lv-LV"/>
        </w:rPr>
        <w:t>uz lielo locītavu endoprotezēšanu vispārējā kārtībā ir 769 pacienti un gaidīšanas laiks  rindā sasniedz 3000 darba dienas, kas ir vairāk kā desmit gadi. 2012</w:t>
      </w:r>
      <w:proofErr w:type="gramStart"/>
      <w:r w:rsidRPr="00337C60">
        <w:rPr>
          <w:rFonts w:ascii="Times New Roman" w:eastAsia="Times New Roman" w:hAnsi="Times New Roman"/>
          <w:sz w:val="24"/>
          <w:szCs w:val="24"/>
          <w:lang w:eastAsia="lv-LV"/>
        </w:rPr>
        <w:t>.gadā</w:t>
      </w:r>
      <w:proofErr w:type="gramEnd"/>
      <w:r w:rsidRPr="00337C60">
        <w:rPr>
          <w:rFonts w:ascii="Times New Roman" w:eastAsia="Times New Roman" w:hAnsi="Times New Roman"/>
          <w:sz w:val="24"/>
          <w:szCs w:val="24"/>
          <w:lang w:eastAsia="lv-LV"/>
        </w:rPr>
        <w:t xml:space="preserve"> operēto pacientu skaits bija 243. Ņemot </w:t>
      </w:r>
      <w:proofErr w:type="gramStart"/>
      <w:r w:rsidRPr="00337C60">
        <w:rPr>
          <w:rFonts w:ascii="Times New Roman" w:eastAsia="Times New Roman" w:hAnsi="Times New Roman"/>
          <w:sz w:val="24"/>
          <w:szCs w:val="24"/>
          <w:lang w:eastAsia="lv-LV"/>
        </w:rPr>
        <w:t>vērā</w:t>
      </w:r>
      <w:proofErr w:type="gramEnd"/>
      <w:r w:rsidRPr="00337C60">
        <w:rPr>
          <w:rFonts w:ascii="Times New Roman" w:eastAsia="Times New Roman" w:hAnsi="Times New Roman"/>
          <w:sz w:val="24"/>
          <w:szCs w:val="24"/>
          <w:lang w:eastAsia="lv-LV"/>
        </w:rPr>
        <w:t xml:space="preserve"> ārstniecības iestāžu kapacitāti (cilvēkresursus un infrastruktūru), ārstniecības iestādes papildus var veikt līdz 35% gadā veiktajām operācijām, t.i.</w:t>
      </w:r>
      <w:r w:rsidR="00337C60">
        <w:rPr>
          <w:rFonts w:ascii="Times New Roman" w:eastAsia="Times New Roman" w:hAnsi="Times New Roman"/>
          <w:sz w:val="24"/>
          <w:szCs w:val="24"/>
          <w:lang w:eastAsia="lv-LV"/>
        </w:rPr>
        <w:t>,</w:t>
      </w:r>
      <w:r w:rsidRPr="00337C60">
        <w:rPr>
          <w:rFonts w:ascii="Times New Roman" w:eastAsia="Times New Roman" w:hAnsi="Times New Roman"/>
          <w:sz w:val="24"/>
          <w:szCs w:val="24"/>
          <w:lang w:eastAsia="lv-LV"/>
        </w:rPr>
        <w:t xml:space="preserve"> ir papildus 85 pacientiem. Saskaņā ar Noteikumu Nr.1046 103.</w:t>
      </w:r>
      <w:r w:rsidRPr="00337C60">
        <w:rPr>
          <w:rFonts w:ascii="Times New Roman" w:eastAsia="Times New Roman" w:hAnsi="Times New Roman"/>
          <w:sz w:val="24"/>
          <w:szCs w:val="24"/>
          <w:vertAlign w:val="superscript"/>
          <w:lang w:eastAsia="lv-LV"/>
        </w:rPr>
        <w:t xml:space="preserve">4 </w:t>
      </w:r>
      <w:r w:rsidRPr="00337C60">
        <w:rPr>
          <w:rFonts w:ascii="Times New Roman" w:eastAsia="Times New Roman" w:hAnsi="Times New Roman"/>
          <w:sz w:val="24"/>
          <w:szCs w:val="24"/>
          <w:lang w:eastAsia="lv-LV"/>
        </w:rPr>
        <w:t>punktu</w:t>
      </w:r>
      <w:r w:rsidR="00337C60">
        <w:rPr>
          <w:rFonts w:ascii="Times New Roman" w:eastAsia="Times New Roman" w:hAnsi="Times New Roman"/>
          <w:sz w:val="24"/>
          <w:szCs w:val="24"/>
          <w:lang w:eastAsia="lv-LV"/>
        </w:rPr>
        <w:t>,</w:t>
      </w:r>
      <w:r w:rsidRPr="00337C60">
        <w:rPr>
          <w:rFonts w:ascii="Times New Roman" w:eastAsia="Times New Roman" w:hAnsi="Times New Roman"/>
          <w:sz w:val="24"/>
          <w:szCs w:val="24"/>
          <w:lang w:eastAsia="lv-LV"/>
        </w:rPr>
        <w:t xml:space="preserve"> plānojot plānveida gūžas endoprotezēšanai nepieciešamos līdzekļus paredz, ka 90% gadījumos endoprotezēšanai  pielieto cementējamās endoprotēzes un 10% gadījumu – bezcementa un hibrīdendoprotēzes. Papildus nepieciešamais finansējums ir</w:t>
      </w:r>
      <w:r w:rsidRPr="00337C60">
        <w:rPr>
          <w:rFonts w:ascii="Times New Roman" w:eastAsia="Times New Roman" w:hAnsi="Times New Roman"/>
          <w:b/>
          <w:sz w:val="24"/>
          <w:szCs w:val="24"/>
          <w:lang w:eastAsia="lv-LV"/>
        </w:rPr>
        <w:t xml:space="preserve"> 90</w:t>
      </w:r>
      <w:r w:rsidR="00337C60">
        <w:rPr>
          <w:rFonts w:ascii="Times New Roman" w:eastAsia="Times New Roman" w:hAnsi="Times New Roman"/>
          <w:b/>
          <w:sz w:val="24"/>
          <w:szCs w:val="24"/>
          <w:lang w:eastAsia="lv-LV"/>
        </w:rPr>
        <w:t> </w:t>
      </w:r>
      <w:r w:rsidRPr="00337C60">
        <w:rPr>
          <w:rFonts w:ascii="Times New Roman" w:eastAsia="Times New Roman" w:hAnsi="Times New Roman"/>
          <w:b/>
          <w:sz w:val="24"/>
          <w:szCs w:val="24"/>
          <w:lang w:eastAsia="lv-LV"/>
        </w:rPr>
        <w:t>413</w:t>
      </w:r>
      <w:r w:rsidR="00337C60">
        <w:rPr>
          <w:rFonts w:ascii="Times New Roman" w:eastAsia="Times New Roman" w:hAnsi="Times New Roman"/>
          <w:b/>
          <w:sz w:val="24"/>
          <w:szCs w:val="24"/>
          <w:lang w:eastAsia="lv-LV"/>
        </w:rPr>
        <w:t xml:space="preserve"> lati</w:t>
      </w:r>
      <w:r w:rsidRPr="00337C60">
        <w:rPr>
          <w:rFonts w:ascii="Times New Roman" w:eastAsia="Times New Roman" w:hAnsi="Times New Roman"/>
          <w:sz w:val="24"/>
          <w:szCs w:val="24"/>
          <w:lang w:eastAsia="lv-LV"/>
        </w:rPr>
        <w:t>, tajā skaitā 90% gadījumiem Ls 1001 x 77</w:t>
      </w:r>
      <w:r w:rsidR="00337C60">
        <w:rPr>
          <w:rFonts w:ascii="Times New Roman" w:eastAsia="Times New Roman" w:hAnsi="Times New Roman"/>
          <w:sz w:val="24"/>
          <w:szCs w:val="24"/>
          <w:lang w:eastAsia="lv-LV"/>
        </w:rPr>
        <w:t xml:space="preserve"> </w:t>
      </w:r>
      <w:r w:rsidRPr="00337C60">
        <w:rPr>
          <w:rFonts w:ascii="Times New Roman" w:eastAsia="Times New Roman" w:hAnsi="Times New Roman"/>
          <w:sz w:val="24"/>
          <w:szCs w:val="24"/>
          <w:lang w:eastAsia="lv-LV"/>
        </w:rPr>
        <w:t xml:space="preserve">pacienti= Ls 77 077 </w:t>
      </w:r>
      <w:proofErr w:type="gramStart"/>
      <w:r w:rsidRPr="00337C60">
        <w:rPr>
          <w:rFonts w:ascii="Times New Roman" w:eastAsia="Times New Roman" w:hAnsi="Times New Roman"/>
          <w:sz w:val="24"/>
          <w:szCs w:val="24"/>
          <w:lang w:eastAsia="lv-LV"/>
        </w:rPr>
        <w:t>un</w:t>
      </w:r>
      <w:proofErr w:type="gramEnd"/>
      <w:r w:rsidRPr="00337C60">
        <w:rPr>
          <w:rFonts w:ascii="Times New Roman" w:eastAsia="Times New Roman" w:hAnsi="Times New Roman"/>
          <w:sz w:val="24"/>
          <w:szCs w:val="24"/>
          <w:lang w:eastAsia="lv-LV"/>
        </w:rPr>
        <w:t xml:space="preserve"> 10% gad</w:t>
      </w:r>
      <w:r w:rsidR="00F01879">
        <w:rPr>
          <w:rFonts w:ascii="Times New Roman" w:eastAsia="Times New Roman" w:hAnsi="Times New Roman"/>
          <w:sz w:val="24"/>
          <w:szCs w:val="24"/>
          <w:lang w:eastAsia="lv-LV"/>
        </w:rPr>
        <w:t>ījumiem Ls 1667 x 8 = Ls 13 336</w:t>
      </w:r>
      <w:r w:rsidR="00337C60">
        <w:rPr>
          <w:rFonts w:ascii="Times New Roman" w:eastAsia="Times New Roman" w:hAnsi="Times New Roman"/>
          <w:sz w:val="24"/>
          <w:szCs w:val="24"/>
          <w:lang w:eastAsia="lv-LV"/>
        </w:rPr>
        <w:t>;</w:t>
      </w:r>
    </w:p>
    <w:p w:rsidR="00177306" w:rsidRPr="00337C60" w:rsidRDefault="00337C60" w:rsidP="00177306">
      <w:pPr>
        <w:pStyle w:val="ListParagraph"/>
        <w:numPr>
          <w:ilvl w:val="0"/>
          <w:numId w:val="17"/>
        </w:num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c</w:t>
      </w:r>
      <w:r w:rsidR="00177306" w:rsidRPr="00337C60">
        <w:rPr>
          <w:rFonts w:ascii="Times New Roman" w:eastAsia="Times New Roman" w:hAnsi="Times New Roman"/>
          <w:i/>
          <w:sz w:val="24"/>
          <w:szCs w:val="24"/>
          <w:lang w:eastAsia="lv-LV"/>
        </w:rPr>
        <w:t>itas plānveida operācijas stacionārā</w:t>
      </w:r>
    </w:p>
    <w:p w:rsidR="00032E48" w:rsidRPr="004D6C02" w:rsidRDefault="00FC01A3" w:rsidP="00A657D4">
      <w:pPr>
        <w:spacing w:after="0" w:line="240" w:lineRule="auto"/>
        <w:jc w:val="both"/>
        <w:rPr>
          <w:rFonts w:ascii="Times New Roman" w:eastAsia="Times New Roman" w:hAnsi="Times New Roman" w:cs="Times New Roman"/>
          <w:sz w:val="24"/>
          <w:szCs w:val="24"/>
          <w:lang w:val="lv-LV" w:eastAsia="lv-LV"/>
        </w:rPr>
      </w:pPr>
      <w:r w:rsidRPr="00FC01A3">
        <w:rPr>
          <w:rFonts w:ascii="Times New Roman" w:eastAsia="Times New Roman" w:hAnsi="Times New Roman" w:cs="Times New Roman"/>
          <w:sz w:val="24"/>
          <w:szCs w:val="24"/>
          <w:lang w:eastAsia="lv-LV"/>
        </w:rPr>
        <w:t xml:space="preserve">Šajā sadaļā ietilpst pakalpojumu programmas - </w:t>
      </w:r>
      <w:r w:rsidRPr="00FC01A3">
        <w:rPr>
          <w:rFonts w:ascii="Times New Roman" w:hAnsi="Times New Roman" w:cs="Times New Roman"/>
          <w:sz w:val="24"/>
          <w:szCs w:val="24"/>
          <w:lang w:val="lv-LV"/>
        </w:rPr>
        <w:t>nieres transplantācija un pēcoperācijas periods, izgulējumu, tai skaitā komplicētu ar osteomielītu un ilgstoši nedzīstošu, hronisku ādas, mīksto audu čūlu (problēmbrūču) mikroķirurģiskā ārstēšana, vēdera aortas e</w:t>
      </w:r>
      <w:r w:rsidR="00A34B14">
        <w:rPr>
          <w:rFonts w:ascii="Times New Roman" w:hAnsi="Times New Roman" w:cs="Times New Roman"/>
          <w:sz w:val="24"/>
          <w:szCs w:val="24"/>
          <w:lang w:val="lv-LV"/>
        </w:rPr>
        <w:t>ndoprotezēšana, kardioķirurģija,</w:t>
      </w:r>
      <w:r w:rsidRPr="00FC01A3">
        <w:rPr>
          <w:rFonts w:ascii="Times New Roman" w:hAnsi="Times New Roman" w:cs="Times New Roman"/>
          <w:sz w:val="24"/>
          <w:szCs w:val="24"/>
          <w:lang w:val="lv-LV"/>
        </w:rPr>
        <w:t xml:space="preserve"> </w:t>
      </w:r>
      <w:r w:rsidR="00A34B14">
        <w:rPr>
          <w:rFonts w:ascii="Times New Roman" w:hAnsi="Times New Roman" w:cs="Times New Roman"/>
          <w:sz w:val="24"/>
          <w:szCs w:val="24"/>
          <w:lang w:val="lv-LV"/>
        </w:rPr>
        <w:t>k</w:t>
      </w:r>
      <w:r w:rsidRPr="00FC01A3">
        <w:rPr>
          <w:rFonts w:ascii="Times New Roman" w:hAnsi="Times New Roman" w:cs="Times New Roman"/>
          <w:sz w:val="24"/>
          <w:szCs w:val="24"/>
          <w:lang w:val="lv-LV"/>
        </w:rPr>
        <w:t xml:space="preserve">ardioķirurģija pieaugušajiem, kardioķirurģija bērniem, kaulā ievietojamā dzirdes aparāta (BAHA) implanta ievietošana bērniem, iedzimtu un iegūtu sirds defektu korekcija ar invazīvās kardioloģijas metodi bērniem, stacionārā palīdzība zīdaiņiem īpaši smagos gadījumos, iedzimtu un iegūtu sirds defektu korekcija ar invazīvās kardioloģijas metodi pieaugušajiem, koronārā angioplastija, lietojot ar zālēm pildītu stentu, skoliozes operācijas, koronārā angioplastija, lietojot stentu, mugurkaulāja saslimšanu un traumu ķirurģiska ārstēšana. </w:t>
      </w:r>
      <w:r w:rsidR="00177306" w:rsidRPr="004D6C02">
        <w:rPr>
          <w:rFonts w:ascii="Times New Roman" w:eastAsia="Times New Roman" w:hAnsi="Times New Roman" w:cs="Times New Roman"/>
          <w:sz w:val="24"/>
          <w:szCs w:val="24"/>
          <w:lang w:val="lv-LV" w:eastAsia="lv-LV"/>
        </w:rPr>
        <w:t>Uz citām plānveida operācijām stacionārā rindas garums ir  1000 pacienti ar vidējo gaidīšanas laiku rindā  252 darba dienas. 2012.gadā plānveida operācijas stacionārā saņēma 8 604 pacienti Ls 7 169 157 apmērā (</w:t>
      </w:r>
      <w:r w:rsidR="00337C60" w:rsidRPr="004D6C02">
        <w:rPr>
          <w:rFonts w:ascii="Times New Roman" w:eastAsia="Times New Roman" w:hAnsi="Times New Roman" w:cs="Times New Roman"/>
          <w:sz w:val="24"/>
          <w:szCs w:val="24"/>
          <w:lang w:val="lv-LV" w:eastAsia="lv-LV"/>
        </w:rPr>
        <w:t xml:space="preserve">izmaksas </w:t>
      </w:r>
      <w:r w:rsidR="00177306" w:rsidRPr="004D6C02">
        <w:rPr>
          <w:rFonts w:ascii="Times New Roman" w:eastAsia="Times New Roman" w:hAnsi="Times New Roman" w:cs="Times New Roman"/>
          <w:sz w:val="24"/>
          <w:szCs w:val="24"/>
          <w:lang w:val="lv-LV" w:eastAsia="lv-LV"/>
        </w:rPr>
        <w:t xml:space="preserve">Ls 833,24 vidēji </w:t>
      </w:r>
      <w:r w:rsidR="004D50CC" w:rsidRPr="004D6C02">
        <w:rPr>
          <w:rFonts w:ascii="Times New Roman" w:eastAsia="Times New Roman" w:hAnsi="Times New Roman" w:cs="Times New Roman"/>
          <w:sz w:val="24"/>
          <w:szCs w:val="24"/>
          <w:lang w:val="lv-LV" w:eastAsia="lv-LV"/>
        </w:rPr>
        <w:t>uz 1 pacientu</w:t>
      </w:r>
      <w:r w:rsidR="00177306" w:rsidRPr="004D6C02">
        <w:rPr>
          <w:rFonts w:ascii="Times New Roman" w:eastAsia="Times New Roman" w:hAnsi="Times New Roman" w:cs="Times New Roman"/>
          <w:sz w:val="24"/>
          <w:szCs w:val="24"/>
          <w:lang w:val="lv-LV" w:eastAsia="lv-LV"/>
        </w:rPr>
        <w:t>). Papildus nepieciešamais finansējums rindu samazināšanai citām plānveida operācijām s</w:t>
      </w:r>
      <w:r w:rsidR="004D50CC" w:rsidRPr="004D6C02">
        <w:rPr>
          <w:rFonts w:ascii="Times New Roman" w:eastAsia="Times New Roman" w:hAnsi="Times New Roman" w:cs="Times New Roman"/>
          <w:sz w:val="24"/>
          <w:szCs w:val="24"/>
          <w:lang w:val="lv-LV" w:eastAsia="lv-LV"/>
        </w:rPr>
        <w:t xml:space="preserve">tacionārā </w:t>
      </w:r>
      <w:r w:rsidR="009449E4" w:rsidRPr="004D6C02">
        <w:rPr>
          <w:rFonts w:ascii="Times New Roman" w:eastAsia="Times New Roman" w:hAnsi="Times New Roman" w:cs="Times New Roman"/>
          <w:sz w:val="24"/>
          <w:szCs w:val="24"/>
          <w:lang w:val="lv-LV" w:eastAsia="lv-LV"/>
        </w:rPr>
        <w:t xml:space="preserve">gadā </w:t>
      </w:r>
      <w:r w:rsidR="004D50CC" w:rsidRPr="004D6C02">
        <w:rPr>
          <w:rFonts w:ascii="Times New Roman" w:eastAsia="Times New Roman" w:hAnsi="Times New Roman" w:cs="Times New Roman"/>
          <w:sz w:val="24"/>
          <w:szCs w:val="24"/>
          <w:lang w:val="lv-LV" w:eastAsia="lv-LV"/>
        </w:rPr>
        <w:t>ir</w:t>
      </w:r>
      <w:r w:rsidR="00337C60" w:rsidRPr="004D6C02">
        <w:rPr>
          <w:rFonts w:ascii="Times New Roman" w:eastAsia="Times New Roman" w:hAnsi="Times New Roman" w:cs="Times New Roman"/>
          <w:sz w:val="24"/>
          <w:szCs w:val="24"/>
          <w:lang w:val="lv-LV" w:eastAsia="lv-LV"/>
        </w:rPr>
        <w:t xml:space="preserve"> </w:t>
      </w:r>
      <w:r w:rsidR="00337C60" w:rsidRPr="004D6C02">
        <w:rPr>
          <w:rFonts w:ascii="Times New Roman" w:eastAsia="Times New Roman" w:hAnsi="Times New Roman" w:cs="Times New Roman"/>
          <w:b/>
          <w:sz w:val="24"/>
          <w:szCs w:val="24"/>
          <w:lang w:val="lv-LV" w:eastAsia="lv-LV"/>
        </w:rPr>
        <w:t xml:space="preserve">833 240 </w:t>
      </w:r>
      <w:r w:rsidR="004D50CC" w:rsidRPr="004D6C02">
        <w:rPr>
          <w:rFonts w:ascii="Times New Roman" w:eastAsia="Times New Roman" w:hAnsi="Times New Roman" w:cs="Times New Roman"/>
          <w:b/>
          <w:sz w:val="24"/>
          <w:szCs w:val="24"/>
          <w:lang w:val="lv-LV" w:eastAsia="lv-LV"/>
        </w:rPr>
        <w:t>lati</w:t>
      </w:r>
      <w:r w:rsidR="004D50CC" w:rsidRPr="004D6C02">
        <w:rPr>
          <w:rFonts w:ascii="Times New Roman" w:eastAsia="Times New Roman" w:hAnsi="Times New Roman" w:cs="Times New Roman"/>
          <w:sz w:val="24"/>
          <w:szCs w:val="24"/>
          <w:lang w:val="lv-LV" w:eastAsia="lv-LV"/>
        </w:rPr>
        <w:t xml:space="preserve"> </w:t>
      </w:r>
      <w:r w:rsidR="00337C60" w:rsidRPr="004D6C02">
        <w:rPr>
          <w:rFonts w:ascii="Times New Roman" w:eastAsia="Times New Roman" w:hAnsi="Times New Roman" w:cs="Times New Roman"/>
          <w:sz w:val="24"/>
          <w:szCs w:val="24"/>
          <w:lang w:val="lv-LV" w:eastAsia="lv-LV"/>
        </w:rPr>
        <w:t>(Ls 833,</w:t>
      </w:r>
      <w:r w:rsidR="00177306" w:rsidRPr="004D6C02">
        <w:rPr>
          <w:rFonts w:ascii="Times New Roman" w:eastAsia="Times New Roman" w:hAnsi="Times New Roman" w:cs="Times New Roman"/>
          <w:sz w:val="24"/>
          <w:szCs w:val="24"/>
          <w:lang w:val="lv-LV" w:eastAsia="lv-LV"/>
        </w:rPr>
        <w:t>24 x 1000)</w:t>
      </w:r>
      <w:r w:rsidR="00912D20" w:rsidRPr="004D6C02">
        <w:rPr>
          <w:rFonts w:ascii="Times New Roman" w:eastAsia="Times New Roman" w:hAnsi="Times New Roman" w:cs="Times New Roman"/>
          <w:sz w:val="24"/>
          <w:szCs w:val="24"/>
          <w:lang w:val="lv-LV" w:eastAsia="lv-LV"/>
        </w:rPr>
        <w:t>.</w:t>
      </w:r>
    </w:p>
    <w:p w:rsidR="006F1EC9" w:rsidRPr="00FC01A3" w:rsidRDefault="006F1EC9" w:rsidP="00A657D4">
      <w:pPr>
        <w:spacing w:after="0" w:line="240" w:lineRule="auto"/>
        <w:ind w:firstLine="720"/>
        <w:jc w:val="both"/>
        <w:rPr>
          <w:rFonts w:ascii="Times New Roman" w:hAnsi="Times New Roman" w:cs="Times New Roman"/>
          <w:sz w:val="24"/>
          <w:szCs w:val="24"/>
          <w:lang w:val="lv-LV"/>
        </w:rPr>
      </w:pPr>
      <w:r w:rsidRPr="004D6C02">
        <w:rPr>
          <w:rFonts w:ascii="Times New Roman" w:eastAsia="Times New Roman" w:hAnsi="Times New Roman" w:cs="Times New Roman"/>
          <w:sz w:val="24"/>
          <w:szCs w:val="24"/>
          <w:u w:val="single"/>
          <w:lang w:val="lv-LV" w:eastAsia="lv-LV"/>
        </w:rPr>
        <w:t>Papildus</w:t>
      </w:r>
      <w:r w:rsidRPr="004D6C02">
        <w:rPr>
          <w:rFonts w:ascii="Times New Roman" w:eastAsia="Times New Roman" w:hAnsi="Times New Roman" w:cs="Times New Roman"/>
          <w:sz w:val="24"/>
          <w:szCs w:val="24"/>
          <w:lang w:val="lv-LV" w:eastAsia="lv-LV"/>
        </w:rPr>
        <w:t xml:space="preserve"> ziņojumā paredzētajam ārstniecības personu darba samaksas un netiešo izmaksu koeficientu palielinājumam nepieciešams </w:t>
      </w:r>
      <w:r w:rsidRPr="004D6C02">
        <w:rPr>
          <w:rFonts w:ascii="Times New Roman" w:eastAsia="Times New Roman" w:hAnsi="Times New Roman" w:cs="Times New Roman"/>
          <w:i/>
          <w:sz w:val="24"/>
          <w:szCs w:val="24"/>
          <w:lang w:val="lv-LV" w:eastAsia="lv-LV"/>
        </w:rPr>
        <w:t>2013.gada pusgadam</w:t>
      </w:r>
      <w:r w:rsidR="00A657D4" w:rsidRPr="004D6C02">
        <w:rPr>
          <w:rFonts w:ascii="Times New Roman" w:eastAsia="Times New Roman" w:hAnsi="Times New Roman" w:cs="Times New Roman"/>
          <w:i/>
          <w:sz w:val="24"/>
          <w:szCs w:val="24"/>
          <w:lang w:val="lv-LV" w:eastAsia="lv-LV"/>
        </w:rPr>
        <w:t xml:space="preserve"> </w:t>
      </w:r>
      <w:r w:rsidRPr="004D6C02">
        <w:rPr>
          <w:rFonts w:ascii="Times New Roman" w:eastAsia="Times New Roman" w:hAnsi="Times New Roman" w:cs="Times New Roman"/>
          <w:i/>
          <w:sz w:val="24"/>
          <w:szCs w:val="24"/>
          <w:lang w:val="lv-LV" w:eastAsia="lv-LV"/>
        </w:rPr>
        <w:t>85 580 lati, 2014.gadā 171 159 lati</w:t>
      </w:r>
      <w:r w:rsidRPr="004D6C02">
        <w:rPr>
          <w:rFonts w:ascii="Times New Roman" w:eastAsia="Times New Roman" w:hAnsi="Times New Roman" w:cs="Times New Roman"/>
          <w:sz w:val="24"/>
          <w:szCs w:val="24"/>
          <w:lang w:val="lv-LV" w:eastAsia="lv-LV"/>
        </w:rPr>
        <w:t xml:space="preserve">. </w:t>
      </w:r>
    </w:p>
    <w:p w:rsidR="00071635" w:rsidRPr="004D6C02" w:rsidRDefault="00A71FF1" w:rsidP="00912D20">
      <w:pPr>
        <w:spacing w:before="120" w:after="0" w:line="240" w:lineRule="auto"/>
        <w:ind w:firstLine="720"/>
        <w:jc w:val="both"/>
        <w:rPr>
          <w:rFonts w:ascii="Times New Roman" w:hAnsi="Times New Roman" w:cs="Times New Roman"/>
          <w:sz w:val="24"/>
          <w:szCs w:val="24"/>
          <w:lang w:val="lv-LV"/>
        </w:rPr>
      </w:pPr>
      <w:r w:rsidRPr="004D6C02">
        <w:rPr>
          <w:rFonts w:ascii="Times New Roman" w:hAnsi="Times New Roman" w:cs="Times New Roman"/>
          <w:sz w:val="24"/>
          <w:szCs w:val="24"/>
          <w:lang w:val="lv-LV"/>
        </w:rPr>
        <w:t>Noteikumi Nr.</w:t>
      </w:r>
      <w:r w:rsidR="009138FC" w:rsidRPr="004D6C02">
        <w:rPr>
          <w:rFonts w:ascii="Times New Roman" w:hAnsi="Times New Roman" w:cs="Times New Roman"/>
          <w:sz w:val="24"/>
          <w:szCs w:val="24"/>
          <w:lang w:val="lv-LV"/>
        </w:rPr>
        <w:t>1046 paredz pasākumu realizāciju, lai novērstu darbspējīgā vecuma pacientu veselības stāvokļa pasliktināšanos, darbspējas samazināšanos un invaliditātes iestāšanos. 2012.gadā tika piešķirti papildus līdzekļi 704 109 lati prog</w:t>
      </w:r>
      <w:r w:rsidRPr="004D6C02">
        <w:rPr>
          <w:rFonts w:ascii="Times New Roman" w:hAnsi="Times New Roman" w:cs="Times New Roman"/>
          <w:sz w:val="24"/>
          <w:szCs w:val="24"/>
          <w:lang w:val="lv-LV"/>
        </w:rPr>
        <w:t>nozējamās invaliditātes pasākum</w:t>
      </w:r>
      <w:r w:rsidR="009138FC" w:rsidRPr="004D6C02">
        <w:rPr>
          <w:rFonts w:ascii="Times New Roman" w:hAnsi="Times New Roman" w:cs="Times New Roman"/>
          <w:sz w:val="24"/>
          <w:szCs w:val="24"/>
          <w:lang w:val="lv-LV"/>
        </w:rPr>
        <w:t xml:space="preserve">u nodrošināšanai no pieprasītajiem 1 408 218 latiem pusgadā. Viena persona ar invaliditāti valstij gadā </w:t>
      </w:r>
      <w:r w:rsidR="00071635" w:rsidRPr="004D6C02">
        <w:rPr>
          <w:rFonts w:ascii="Times New Roman" w:hAnsi="Times New Roman" w:cs="Times New Roman"/>
          <w:sz w:val="24"/>
          <w:szCs w:val="24"/>
          <w:lang w:val="lv-LV"/>
        </w:rPr>
        <w:t>izmaksā aptuveni 2000 latu, nes</w:t>
      </w:r>
      <w:r w:rsidR="009138FC" w:rsidRPr="004D6C02">
        <w:rPr>
          <w:rFonts w:ascii="Times New Roman" w:hAnsi="Times New Roman" w:cs="Times New Roman"/>
          <w:sz w:val="24"/>
          <w:szCs w:val="24"/>
          <w:lang w:val="lv-LV"/>
        </w:rPr>
        <w:t>ka</w:t>
      </w:r>
      <w:r w:rsidR="00071635" w:rsidRPr="004D6C02">
        <w:rPr>
          <w:rFonts w:ascii="Times New Roman" w:hAnsi="Times New Roman" w:cs="Times New Roman"/>
          <w:sz w:val="24"/>
          <w:szCs w:val="24"/>
          <w:lang w:val="lv-LV"/>
        </w:rPr>
        <w:t>itot atbalstu invalīdiem no paš</w:t>
      </w:r>
      <w:r w:rsidR="009138FC" w:rsidRPr="004D6C02">
        <w:rPr>
          <w:rFonts w:ascii="Times New Roman" w:hAnsi="Times New Roman" w:cs="Times New Roman"/>
          <w:sz w:val="24"/>
          <w:szCs w:val="24"/>
          <w:lang w:val="lv-LV"/>
        </w:rPr>
        <w:t>v</w:t>
      </w:r>
      <w:r w:rsidR="00071635" w:rsidRPr="004D6C02">
        <w:rPr>
          <w:rFonts w:ascii="Times New Roman" w:hAnsi="Times New Roman" w:cs="Times New Roman"/>
          <w:sz w:val="24"/>
          <w:szCs w:val="24"/>
          <w:lang w:val="lv-LV"/>
        </w:rPr>
        <w:t>a</w:t>
      </w:r>
      <w:r w:rsidR="009138FC" w:rsidRPr="004D6C02">
        <w:rPr>
          <w:rFonts w:ascii="Times New Roman" w:hAnsi="Times New Roman" w:cs="Times New Roman"/>
          <w:sz w:val="24"/>
          <w:szCs w:val="24"/>
          <w:lang w:val="lv-LV"/>
        </w:rPr>
        <w:t>l</w:t>
      </w:r>
      <w:r w:rsidR="00071635" w:rsidRPr="004D6C02">
        <w:rPr>
          <w:rFonts w:ascii="Times New Roman" w:hAnsi="Times New Roman" w:cs="Times New Roman"/>
          <w:sz w:val="24"/>
          <w:szCs w:val="24"/>
          <w:lang w:val="lv-LV"/>
        </w:rPr>
        <w:t>dību budžetiem</w:t>
      </w:r>
      <w:r w:rsidR="009138FC" w:rsidRPr="004D6C02">
        <w:rPr>
          <w:rFonts w:ascii="Times New Roman" w:hAnsi="Times New Roman" w:cs="Times New Roman"/>
          <w:sz w:val="24"/>
          <w:szCs w:val="24"/>
          <w:lang w:val="lv-LV"/>
        </w:rPr>
        <w:t>.</w:t>
      </w:r>
    </w:p>
    <w:p w:rsidR="009138FC" w:rsidRPr="004D6C02" w:rsidRDefault="00A34B14" w:rsidP="00071635">
      <w:pPr>
        <w:spacing w:after="0" w:line="240" w:lineRule="auto"/>
        <w:ind w:firstLine="720"/>
        <w:jc w:val="both"/>
        <w:rPr>
          <w:rFonts w:ascii="Times New Roman" w:hAnsi="Times New Roman" w:cs="Times New Roman"/>
          <w:sz w:val="24"/>
          <w:szCs w:val="24"/>
          <w:lang w:val="lv-LV"/>
        </w:rPr>
      </w:pPr>
      <w:r w:rsidRPr="004D6C02">
        <w:rPr>
          <w:rFonts w:ascii="Times New Roman" w:hAnsi="Times New Roman" w:cs="Times New Roman"/>
          <w:sz w:val="24"/>
          <w:szCs w:val="24"/>
          <w:lang w:val="lv-LV"/>
        </w:rPr>
        <w:t xml:space="preserve">Lai turpinātu uzsāktos </w:t>
      </w:r>
      <w:r w:rsidRPr="004D6C02">
        <w:rPr>
          <w:rFonts w:ascii="Times New Roman" w:hAnsi="Times New Roman"/>
          <w:sz w:val="24"/>
          <w:szCs w:val="24"/>
          <w:lang w:val="lv-LV"/>
        </w:rPr>
        <w:t xml:space="preserve">prognozējamās invaliditātes novēršanas vai mazināšanas pasākumus un mazinātu valsts izdevumus nodrošinot atbalstu personām ar invaliditāti, </w:t>
      </w:r>
      <w:r w:rsidR="000F188D" w:rsidRPr="004D6C02">
        <w:rPr>
          <w:rFonts w:ascii="Times New Roman" w:hAnsi="Times New Roman"/>
          <w:sz w:val="24"/>
          <w:szCs w:val="24"/>
          <w:lang w:val="lv-LV"/>
        </w:rPr>
        <w:t>2013.gada pusgadam</w:t>
      </w:r>
      <w:r w:rsidR="00071635" w:rsidRPr="004D6C02">
        <w:rPr>
          <w:rFonts w:ascii="Times New Roman" w:hAnsi="Times New Roman"/>
          <w:sz w:val="24"/>
          <w:szCs w:val="24"/>
          <w:lang w:val="lv-LV"/>
        </w:rPr>
        <w:t xml:space="preserve"> nepieciešams papildus </w:t>
      </w:r>
      <w:r w:rsidR="000F188D" w:rsidRPr="004D6C02">
        <w:rPr>
          <w:rFonts w:ascii="Times New Roman" w:hAnsi="Times New Roman"/>
          <w:sz w:val="24"/>
          <w:szCs w:val="24"/>
          <w:lang w:val="lv-LV"/>
        </w:rPr>
        <w:t xml:space="preserve">898 973 lati, 2014.gadā nepieciešams papildus </w:t>
      </w:r>
      <w:r w:rsidR="00B358BC" w:rsidRPr="004D6C02">
        <w:rPr>
          <w:rFonts w:ascii="Times New Roman" w:hAnsi="Times New Roman"/>
          <w:sz w:val="24"/>
          <w:szCs w:val="24"/>
          <w:lang w:val="lv-LV"/>
        </w:rPr>
        <w:t>1</w:t>
      </w:r>
      <w:r w:rsidR="00F01879" w:rsidRPr="004D6C02">
        <w:rPr>
          <w:rFonts w:ascii="Times New Roman" w:hAnsi="Times New Roman"/>
          <w:sz w:val="24"/>
          <w:szCs w:val="24"/>
          <w:lang w:val="lv-LV"/>
        </w:rPr>
        <w:t> 797 946</w:t>
      </w:r>
      <w:r w:rsidR="00B358BC" w:rsidRPr="004D6C02">
        <w:rPr>
          <w:rFonts w:ascii="Times New Roman" w:hAnsi="Times New Roman"/>
          <w:sz w:val="24"/>
          <w:szCs w:val="24"/>
          <w:lang w:val="lv-LV"/>
        </w:rPr>
        <w:t xml:space="preserve"> </w:t>
      </w:r>
      <w:r w:rsidR="00071635" w:rsidRPr="004D6C02">
        <w:rPr>
          <w:rFonts w:ascii="Times New Roman" w:hAnsi="Times New Roman"/>
          <w:sz w:val="24"/>
          <w:szCs w:val="24"/>
          <w:lang w:val="lv-LV"/>
        </w:rPr>
        <w:t>lati, tai skaitā:</w:t>
      </w:r>
      <w:r w:rsidR="00071635" w:rsidRPr="004D6C02">
        <w:rPr>
          <w:rFonts w:ascii="Times New Roman" w:hAnsi="Times New Roman" w:cs="Times New Roman"/>
          <w:sz w:val="24"/>
          <w:szCs w:val="24"/>
          <w:lang w:val="lv-LV"/>
        </w:rPr>
        <w:t xml:space="preserve"> </w:t>
      </w:r>
      <w:r w:rsidR="009138FC" w:rsidRPr="004D6C02">
        <w:rPr>
          <w:rFonts w:ascii="Times New Roman" w:hAnsi="Times New Roman" w:cs="Times New Roman"/>
          <w:sz w:val="24"/>
          <w:szCs w:val="24"/>
          <w:lang w:val="lv-LV"/>
        </w:rPr>
        <w:t xml:space="preserve"> </w:t>
      </w:r>
    </w:p>
    <w:p w:rsidR="00A34B14" w:rsidRPr="00071635" w:rsidRDefault="00A34B14" w:rsidP="00A34B14">
      <w:pPr>
        <w:pStyle w:val="ListParagraph"/>
        <w:numPr>
          <w:ilvl w:val="0"/>
          <w:numId w:val="19"/>
        </w:numPr>
        <w:spacing w:after="0" w:line="240" w:lineRule="auto"/>
        <w:rPr>
          <w:rFonts w:ascii="Times New Roman" w:hAnsi="Times New Roman" w:cs="Times New Roman"/>
          <w:i/>
          <w:sz w:val="24"/>
          <w:szCs w:val="24"/>
        </w:rPr>
      </w:pPr>
      <w:r>
        <w:rPr>
          <w:rFonts w:ascii="Times New Roman" w:hAnsi="Times New Roman" w:cs="Times New Roman"/>
          <w:i/>
          <w:sz w:val="24"/>
          <w:szCs w:val="24"/>
        </w:rPr>
        <w:t>kardioķirurģija  pieaugušajiem</w:t>
      </w:r>
    </w:p>
    <w:p w:rsidR="00A34B14" w:rsidRPr="00071635" w:rsidRDefault="00A34B14" w:rsidP="00A34B14">
      <w:pPr>
        <w:spacing w:after="0" w:line="240" w:lineRule="auto"/>
        <w:jc w:val="both"/>
        <w:rPr>
          <w:rFonts w:ascii="Times New Roman" w:hAnsi="Times New Roman" w:cs="Times New Roman"/>
          <w:sz w:val="24"/>
          <w:szCs w:val="24"/>
        </w:rPr>
      </w:pPr>
      <w:proofErr w:type="gramStart"/>
      <w:r w:rsidRPr="00071635">
        <w:rPr>
          <w:rFonts w:ascii="Times New Roman" w:hAnsi="Times New Roman" w:cs="Times New Roman"/>
          <w:sz w:val="24"/>
          <w:szCs w:val="24"/>
        </w:rPr>
        <w:t xml:space="preserve">Kardioķirurģija tiek veikta tikai </w:t>
      </w:r>
      <w:r>
        <w:rPr>
          <w:rFonts w:ascii="Times New Roman" w:hAnsi="Times New Roman" w:cs="Times New Roman"/>
          <w:sz w:val="24"/>
          <w:szCs w:val="24"/>
        </w:rPr>
        <w:t xml:space="preserve">VSIA </w:t>
      </w:r>
      <w:r w:rsidRPr="00071635">
        <w:rPr>
          <w:rFonts w:ascii="Times New Roman" w:hAnsi="Times New Roman" w:cs="Times New Roman"/>
          <w:sz w:val="24"/>
          <w:szCs w:val="24"/>
        </w:rPr>
        <w:t>“</w:t>
      </w:r>
      <w:r w:rsidRPr="00071635">
        <w:rPr>
          <w:rStyle w:val="Strong"/>
          <w:rFonts w:ascii="Times New Roman" w:hAnsi="Times New Roman" w:cs="Times New Roman"/>
          <w:b w:val="0"/>
          <w:sz w:val="24"/>
          <w:szCs w:val="24"/>
          <w:lang w:val="lv-LV"/>
        </w:rPr>
        <w:t>Paula Stradiņa Klīniskā universitātes slimnīca</w:t>
      </w:r>
      <w:r w:rsidRPr="00071635">
        <w:rPr>
          <w:rFonts w:ascii="Times New Roman" w:hAnsi="Times New Roman" w:cs="Times New Roman"/>
          <w:sz w:val="24"/>
          <w:szCs w:val="24"/>
        </w:rPr>
        <w:t>”.</w:t>
      </w:r>
      <w:proofErr w:type="gramEnd"/>
      <w:r w:rsidRPr="00071635">
        <w:rPr>
          <w:rFonts w:ascii="Times New Roman" w:hAnsi="Times New Roman" w:cs="Times New Roman"/>
          <w:sz w:val="24"/>
          <w:szCs w:val="24"/>
        </w:rPr>
        <w:t xml:space="preserve"> </w:t>
      </w:r>
      <w:proofErr w:type="gramStart"/>
      <w:r w:rsidRPr="00071635">
        <w:rPr>
          <w:rFonts w:ascii="Times New Roman" w:hAnsi="Times New Roman" w:cs="Times New Roman"/>
          <w:sz w:val="24"/>
          <w:szCs w:val="24"/>
        </w:rPr>
        <w:t>Pašreiz rindā ir 240 pacienti, no kuriem 65%</w:t>
      </w:r>
      <w:r>
        <w:t xml:space="preserve"> </w:t>
      </w:r>
      <w:r w:rsidRPr="00071635">
        <w:rPr>
          <w:rFonts w:ascii="Times New Roman" w:hAnsi="Times New Roman" w:cs="Times New Roman"/>
          <w:sz w:val="24"/>
          <w:szCs w:val="24"/>
        </w:rPr>
        <w:t>(156)</w:t>
      </w:r>
      <w:r>
        <w:t xml:space="preserve"> </w:t>
      </w:r>
      <w:r w:rsidRPr="00071635">
        <w:rPr>
          <w:rFonts w:ascii="Times New Roman" w:hAnsi="Times New Roman" w:cs="Times New Roman"/>
          <w:sz w:val="24"/>
          <w:szCs w:val="24"/>
        </w:rPr>
        <w:t>ir darbspējas vecumā</w:t>
      </w:r>
      <w:r>
        <w:t>.</w:t>
      </w:r>
      <w:proofErr w:type="gramEnd"/>
      <w:r>
        <w:t xml:space="preserve"> </w:t>
      </w:r>
      <w:r w:rsidRPr="00071635">
        <w:rPr>
          <w:rFonts w:ascii="Times New Roman" w:hAnsi="Times New Roman" w:cs="Times New Roman"/>
          <w:sz w:val="24"/>
          <w:szCs w:val="24"/>
        </w:rPr>
        <w:t>Viena slimnieka kardioķirurģiskās ārstēšanas izmaksas sastāda 6578</w:t>
      </w:r>
      <w:proofErr w:type="gramStart"/>
      <w:r w:rsidRPr="00071635">
        <w:rPr>
          <w:rFonts w:ascii="Times New Roman" w:hAnsi="Times New Roman" w:cs="Times New Roman"/>
          <w:sz w:val="24"/>
          <w:szCs w:val="24"/>
        </w:rPr>
        <w:t>,20</w:t>
      </w:r>
      <w:proofErr w:type="gramEnd"/>
      <w:r w:rsidRPr="00071635">
        <w:rPr>
          <w:rFonts w:ascii="Times New Roman" w:hAnsi="Times New Roman" w:cs="Times New Roman"/>
          <w:sz w:val="24"/>
          <w:szCs w:val="24"/>
        </w:rPr>
        <w:t xml:space="preserve"> Ls</w:t>
      </w:r>
      <w:r>
        <w:rPr>
          <w:rFonts w:ascii="Times New Roman" w:hAnsi="Times New Roman" w:cs="Times New Roman"/>
          <w:sz w:val="24"/>
          <w:szCs w:val="24"/>
        </w:rPr>
        <w:t>,</w:t>
      </w:r>
      <w:r w:rsidRPr="00071635">
        <w:rPr>
          <w:rFonts w:ascii="Times New Roman" w:hAnsi="Times New Roman" w:cs="Times New Roman"/>
          <w:sz w:val="24"/>
          <w:szCs w:val="24"/>
        </w:rPr>
        <w:t xml:space="preserve"> kopā 156 slimnieku ārstēšanai nepieciešami papildus 1 026 199 lati</w:t>
      </w:r>
      <w:r>
        <w:rPr>
          <w:rFonts w:ascii="Times New Roman" w:hAnsi="Times New Roman" w:cs="Times New Roman"/>
          <w:sz w:val="24"/>
          <w:szCs w:val="24"/>
        </w:rPr>
        <w:t xml:space="preserve"> (6578,20 x 156)</w:t>
      </w:r>
      <w:r w:rsidRPr="00071635">
        <w:rPr>
          <w:rFonts w:ascii="Times New Roman" w:hAnsi="Times New Roman" w:cs="Times New Roman"/>
          <w:sz w:val="24"/>
          <w:szCs w:val="24"/>
        </w:rPr>
        <w:t xml:space="preserve">. </w:t>
      </w:r>
      <w:proofErr w:type="gramStart"/>
      <w:r w:rsidRPr="00071635">
        <w:rPr>
          <w:rFonts w:ascii="Times New Roman" w:hAnsi="Times New Roman" w:cs="Times New Roman"/>
          <w:sz w:val="24"/>
          <w:szCs w:val="24"/>
        </w:rPr>
        <w:t xml:space="preserve">Pilnīgākai ārstēšanas efekta sasniegšanai nepieciešama rehabilitācija stacionārā kā </w:t>
      </w:r>
      <w:r w:rsidRPr="00071635">
        <w:rPr>
          <w:rFonts w:ascii="Times New Roman" w:hAnsi="Times New Roman" w:cs="Times New Roman"/>
          <w:sz w:val="24"/>
          <w:szCs w:val="24"/>
        </w:rPr>
        <w:lastRenderedPageBreak/>
        <w:t>tiešs ārstniecības procesa turpinājums.</w:t>
      </w:r>
      <w:proofErr w:type="gramEnd"/>
      <w:r w:rsidRPr="00071635">
        <w:rPr>
          <w:rFonts w:ascii="Times New Roman" w:hAnsi="Times New Roman" w:cs="Times New Roman"/>
          <w:sz w:val="24"/>
          <w:szCs w:val="24"/>
        </w:rPr>
        <w:t xml:space="preserve"> Šo 156 pacientu rehabilitācijai pēc pašreizējiem tarifiem nepieciešami 62 119 </w:t>
      </w:r>
      <w:proofErr w:type="gramStart"/>
      <w:r w:rsidRPr="00071635">
        <w:rPr>
          <w:rFonts w:ascii="Times New Roman" w:hAnsi="Times New Roman" w:cs="Times New Roman"/>
          <w:sz w:val="24"/>
          <w:szCs w:val="24"/>
        </w:rPr>
        <w:t xml:space="preserve">lati </w:t>
      </w:r>
      <w:r>
        <w:rPr>
          <w:rFonts w:ascii="Times New Roman" w:hAnsi="Times New Roman" w:cs="Times New Roman"/>
          <w:sz w:val="24"/>
          <w:szCs w:val="24"/>
        </w:rPr>
        <w:t xml:space="preserve"> (</w:t>
      </w:r>
      <w:proofErr w:type="gramEnd"/>
      <w:r>
        <w:rPr>
          <w:rFonts w:ascii="Times New Roman" w:hAnsi="Times New Roman" w:cs="Times New Roman"/>
          <w:sz w:val="24"/>
          <w:szCs w:val="24"/>
        </w:rPr>
        <w:t>398,20 x 156)</w:t>
      </w:r>
      <w:r w:rsidRPr="00071635">
        <w:rPr>
          <w:rFonts w:ascii="Times New Roman" w:hAnsi="Times New Roman" w:cs="Times New Roman"/>
          <w:sz w:val="24"/>
          <w:szCs w:val="24"/>
        </w:rPr>
        <w:t xml:space="preserve">. Kopā darbspējas vecuma kardioķirurģisko slimnieku aprūpei nepieciešami </w:t>
      </w:r>
      <w:r>
        <w:rPr>
          <w:rFonts w:ascii="Times New Roman" w:hAnsi="Times New Roman" w:cs="Times New Roman"/>
          <w:sz w:val="24"/>
          <w:szCs w:val="24"/>
        </w:rPr>
        <w:t>(</w:t>
      </w:r>
      <w:r w:rsidRPr="00071635">
        <w:rPr>
          <w:rFonts w:ascii="Times New Roman" w:hAnsi="Times New Roman" w:cs="Times New Roman"/>
          <w:sz w:val="24"/>
          <w:szCs w:val="24"/>
        </w:rPr>
        <w:t>1 026 199</w:t>
      </w:r>
      <w:proofErr w:type="gramStart"/>
      <w:r w:rsidRPr="00071635">
        <w:rPr>
          <w:rFonts w:ascii="Times New Roman" w:hAnsi="Times New Roman" w:cs="Times New Roman"/>
          <w:sz w:val="24"/>
          <w:szCs w:val="24"/>
        </w:rPr>
        <w:t>,2</w:t>
      </w:r>
      <w:r>
        <w:rPr>
          <w:rFonts w:ascii="Times New Roman" w:hAnsi="Times New Roman" w:cs="Times New Roman"/>
          <w:sz w:val="24"/>
          <w:szCs w:val="24"/>
        </w:rPr>
        <w:t>0</w:t>
      </w:r>
      <w:proofErr w:type="gramEnd"/>
      <w:r>
        <w:rPr>
          <w:rFonts w:ascii="Times New Roman" w:hAnsi="Times New Roman" w:cs="Times New Roman"/>
          <w:sz w:val="24"/>
          <w:szCs w:val="24"/>
        </w:rPr>
        <w:t xml:space="preserve"> </w:t>
      </w:r>
      <w:r w:rsidRPr="00071635">
        <w:rPr>
          <w:rFonts w:ascii="Times New Roman" w:hAnsi="Times New Roman" w:cs="Times New Roman"/>
          <w:sz w:val="24"/>
          <w:szCs w:val="24"/>
        </w:rPr>
        <w:t>+</w:t>
      </w:r>
      <w:r>
        <w:rPr>
          <w:rFonts w:ascii="Times New Roman" w:hAnsi="Times New Roman" w:cs="Times New Roman"/>
          <w:sz w:val="24"/>
          <w:szCs w:val="24"/>
        </w:rPr>
        <w:t xml:space="preserve"> </w:t>
      </w:r>
      <w:r w:rsidRPr="00071635">
        <w:rPr>
          <w:rFonts w:ascii="Times New Roman" w:hAnsi="Times New Roman" w:cs="Times New Roman"/>
          <w:sz w:val="24"/>
          <w:szCs w:val="24"/>
        </w:rPr>
        <w:t>62 119,2</w:t>
      </w:r>
      <w:r>
        <w:rPr>
          <w:rFonts w:ascii="Times New Roman" w:hAnsi="Times New Roman" w:cs="Times New Roman"/>
          <w:sz w:val="24"/>
          <w:szCs w:val="24"/>
        </w:rPr>
        <w:t xml:space="preserve">0) </w:t>
      </w:r>
      <w:r>
        <w:rPr>
          <w:rFonts w:ascii="Times New Roman" w:hAnsi="Times New Roman" w:cs="Times New Roman"/>
          <w:b/>
          <w:sz w:val="24"/>
          <w:szCs w:val="24"/>
        </w:rPr>
        <w:t>1 088 318</w:t>
      </w:r>
      <w:r w:rsidRPr="00071635">
        <w:rPr>
          <w:rFonts w:ascii="Times New Roman" w:hAnsi="Times New Roman" w:cs="Times New Roman"/>
          <w:b/>
          <w:sz w:val="24"/>
          <w:szCs w:val="24"/>
        </w:rPr>
        <w:t xml:space="preserve"> lati</w:t>
      </w:r>
      <w:r>
        <w:rPr>
          <w:rFonts w:ascii="Times New Roman" w:hAnsi="Times New Roman" w:cs="Times New Roman"/>
          <w:sz w:val="24"/>
          <w:szCs w:val="24"/>
        </w:rPr>
        <w:t>;</w:t>
      </w:r>
    </w:p>
    <w:p w:rsidR="00A34B14" w:rsidRPr="00071635" w:rsidRDefault="00A34B14" w:rsidP="00A34B14">
      <w:pPr>
        <w:pStyle w:val="ListParagraph"/>
        <w:numPr>
          <w:ilvl w:val="0"/>
          <w:numId w:val="19"/>
        </w:numPr>
        <w:spacing w:after="0" w:line="240" w:lineRule="auto"/>
        <w:rPr>
          <w:rFonts w:ascii="Times New Roman" w:hAnsi="Times New Roman" w:cs="Times New Roman"/>
          <w:i/>
          <w:sz w:val="24"/>
          <w:szCs w:val="24"/>
        </w:rPr>
      </w:pPr>
      <w:r>
        <w:rPr>
          <w:rFonts w:ascii="Times New Roman" w:hAnsi="Times New Roman" w:cs="Times New Roman"/>
          <w:i/>
          <w:sz w:val="24"/>
          <w:szCs w:val="24"/>
        </w:rPr>
        <w:t>r</w:t>
      </w:r>
      <w:r w:rsidRPr="00071635">
        <w:rPr>
          <w:rFonts w:ascii="Times New Roman" w:hAnsi="Times New Roman" w:cs="Times New Roman"/>
          <w:i/>
          <w:sz w:val="24"/>
          <w:szCs w:val="24"/>
        </w:rPr>
        <w:t xml:space="preserve">ehabilitācijas izmaksas pēc endoprotezēšanas </w:t>
      </w:r>
    </w:p>
    <w:p w:rsidR="00A34B14" w:rsidRPr="00071635" w:rsidRDefault="00A34B14" w:rsidP="00A34B14">
      <w:pPr>
        <w:spacing w:after="0" w:line="240" w:lineRule="auto"/>
        <w:jc w:val="both"/>
        <w:rPr>
          <w:rFonts w:ascii="Times New Roman" w:hAnsi="Times New Roman" w:cs="Times New Roman"/>
          <w:sz w:val="24"/>
          <w:szCs w:val="24"/>
        </w:rPr>
      </w:pPr>
      <w:proofErr w:type="gramStart"/>
      <w:r w:rsidRPr="00071635">
        <w:rPr>
          <w:rFonts w:ascii="Times New Roman" w:hAnsi="Times New Roman" w:cs="Times New Roman"/>
          <w:sz w:val="24"/>
          <w:szCs w:val="24"/>
        </w:rPr>
        <w:t>Visu veidu lielo locītavu endoprotezēšanas operācijas ir plānveida operācijas ar lielu gaidīšanas rindās esošo pacientu skaitu – vairāk par 20 000.</w:t>
      </w:r>
      <w:proofErr w:type="gramEnd"/>
      <w:r w:rsidRPr="00071635">
        <w:rPr>
          <w:rFonts w:ascii="Times New Roman" w:hAnsi="Times New Roman" w:cs="Times New Roman"/>
          <w:sz w:val="24"/>
          <w:szCs w:val="24"/>
        </w:rPr>
        <w:t xml:space="preserve"> </w:t>
      </w:r>
      <w:proofErr w:type="gramStart"/>
      <w:r w:rsidRPr="00071635">
        <w:rPr>
          <w:rFonts w:ascii="Times New Roman" w:hAnsi="Times New Roman" w:cs="Times New Roman"/>
          <w:sz w:val="24"/>
          <w:szCs w:val="24"/>
        </w:rPr>
        <w:t>Ārstniecības iestādes spēj veikt tikai noteiktu operāciju skaitu gadā - pašreizējo operāciju apjomu iespējams palielināt par 30</w:t>
      </w:r>
      <w:r>
        <w:rPr>
          <w:rFonts w:ascii="Times New Roman" w:hAnsi="Times New Roman" w:cs="Times New Roman"/>
          <w:sz w:val="24"/>
          <w:szCs w:val="24"/>
        </w:rPr>
        <w:t>%</w:t>
      </w:r>
      <w:r w:rsidRPr="00071635">
        <w:rPr>
          <w:rFonts w:ascii="Times New Roman" w:hAnsi="Times New Roman" w:cs="Times New Roman"/>
          <w:sz w:val="24"/>
          <w:szCs w:val="24"/>
        </w:rPr>
        <w:t xml:space="preserve">-33%, kas sastāda 803 papildus hospitalizācijas, no kurām darbspējas </w:t>
      </w:r>
      <w:r>
        <w:rPr>
          <w:rFonts w:ascii="Times New Roman" w:hAnsi="Times New Roman" w:cs="Times New Roman"/>
          <w:sz w:val="24"/>
          <w:szCs w:val="24"/>
        </w:rPr>
        <w:t>vecuma pacienti sastāda 10% jeb</w:t>
      </w:r>
      <w:r w:rsidRPr="00071635">
        <w:rPr>
          <w:rFonts w:ascii="Times New Roman" w:hAnsi="Times New Roman" w:cs="Times New Roman"/>
          <w:sz w:val="24"/>
          <w:szCs w:val="24"/>
        </w:rPr>
        <w:t xml:space="preserve"> 80 pacientus.</w:t>
      </w:r>
      <w:proofErr w:type="gramEnd"/>
      <w:r w:rsidRPr="00071635">
        <w:rPr>
          <w:rFonts w:ascii="Times New Roman" w:hAnsi="Times New Roman" w:cs="Times New Roman"/>
          <w:sz w:val="24"/>
          <w:szCs w:val="24"/>
        </w:rPr>
        <w:t xml:space="preserve"> Rehabilitācijas izmaksas stacionārā sastādīs </w:t>
      </w:r>
      <w:r>
        <w:rPr>
          <w:rFonts w:ascii="Times New Roman" w:hAnsi="Times New Roman" w:cs="Times New Roman"/>
          <w:b/>
          <w:sz w:val="24"/>
          <w:szCs w:val="24"/>
        </w:rPr>
        <w:t>31 856</w:t>
      </w:r>
      <w:r w:rsidRPr="00071635">
        <w:rPr>
          <w:rFonts w:ascii="Times New Roman" w:hAnsi="Times New Roman" w:cs="Times New Roman"/>
          <w:b/>
          <w:sz w:val="24"/>
          <w:szCs w:val="24"/>
        </w:rPr>
        <w:t xml:space="preserve"> latus</w:t>
      </w:r>
      <w:r>
        <w:rPr>
          <w:rFonts w:ascii="Times New Roman" w:hAnsi="Times New Roman" w:cs="Times New Roman"/>
          <w:sz w:val="24"/>
          <w:szCs w:val="24"/>
        </w:rPr>
        <w:t xml:space="preserve"> (Ls </w:t>
      </w:r>
      <w:r w:rsidRPr="00071635">
        <w:rPr>
          <w:rFonts w:ascii="Times New Roman" w:hAnsi="Times New Roman" w:cs="Times New Roman"/>
          <w:sz w:val="24"/>
          <w:szCs w:val="24"/>
        </w:rPr>
        <w:t>398</w:t>
      </w:r>
      <w:proofErr w:type="gramStart"/>
      <w:r w:rsidRPr="00071635">
        <w:rPr>
          <w:rFonts w:ascii="Times New Roman" w:hAnsi="Times New Roman" w:cs="Times New Roman"/>
          <w:sz w:val="24"/>
          <w:szCs w:val="24"/>
        </w:rPr>
        <w:t>,20</w:t>
      </w:r>
      <w:proofErr w:type="gramEnd"/>
      <w:r>
        <w:rPr>
          <w:rFonts w:ascii="Times New Roman" w:hAnsi="Times New Roman" w:cs="Times New Roman"/>
          <w:sz w:val="24"/>
          <w:szCs w:val="24"/>
        </w:rPr>
        <w:t xml:space="preserve"> x 80);</w:t>
      </w:r>
    </w:p>
    <w:p w:rsidR="00A34B14" w:rsidRPr="00071635" w:rsidRDefault="00A34B14" w:rsidP="00A34B14">
      <w:pPr>
        <w:pStyle w:val="ListParagraph"/>
        <w:numPr>
          <w:ilvl w:val="0"/>
          <w:numId w:val="1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w:t>
      </w:r>
      <w:r w:rsidRPr="00071635">
        <w:rPr>
          <w:rFonts w:ascii="Times New Roman" w:hAnsi="Times New Roman" w:cs="Times New Roman"/>
          <w:i/>
          <w:sz w:val="24"/>
          <w:szCs w:val="24"/>
        </w:rPr>
        <w:t>nsulta</w:t>
      </w:r>
      <w:r>
        <w:rPr>
          <w:rFonts w:ascii="Times New Roman" w:hAnsi="Times New Roman" w:cs="Times New Roman"/>
          <w:i/>
          <w:sz w:val="24"/>
          <w:szCs w:val="24"/>
        </w:rPr>
        <w:t xml:space="preserve"> slimnieku ārstēšana stacionārā</w:t>
      </w:r>
    </w:p>
    <w:p w:rsidR="00A34B14" w:rsidRDefault="00A34B14" w:rsidP="00A34B14">
      <w:pPr>
        <w:spacing w:after="0" w:line="240" w:lineRule="auto"/>
        <w:jc w:val="both"/>
        <w:rPr>
          <w:rFonts w:ascii="Times New Roman" w:hAnsi="Times New Roman" w:cs="Times New Roman"/>
          <w:sz w:val="24"/>
          <w:szCs w:val="24"/>
        </w:rPr>
      </w:pPr>
      <w:proofErr w:type="gramStart"/>
      <w:r w:rsidRPr="00071635">
        <w:rPr>
          <w:rFonts w:ascii="Times New Roman" w:hAnsi="Times New Roman" w:cs="Times New Roman"/>
          <w:sz w:val="24"/>
          <w:szCs w:val="24"/>
        </w:rPr>
        <w:t>Darbspējas ve</w:t>
      </w:r>
      <w:r>
        <w:rPr>
          <w:rFonts w:ascii="Times New Roman" w:hAnsi="Times New Roman" w:cs="Times New Roman"/>
          <w:sz w:val="24"/>
          <w:szCs w:val="24"/>
        </w:rPr>
        <w:t>cuma slimnieku skaits sastāda 16</w:t>
      </w:r>
      <w:r w:rsidRPr="00071635">
        <w:rPr>
          <w:rFonts w:ascii="Times New Roman" w:hAnsi="Times New Roman" w:cs="Times New Roman"/>
          <w:sz w:val="24"/>
          <w:szCs w:val="24"/>
        </w:rPr>
        <w:t>% no kopējā akūtā insulta pacientu skaita.</w:t>
      </w:r>
      <w:proofErr w:type="gramEnd"/>
      <w:r w:rsidRPr="00071635">
        <w:rPr>
          <w:rFonts w:ascii="Times New Roman" w:hAnsi="Times New Roman" w:cs="Times New Roman"/>
          <w:sz w:val="24"/>
          <w:szCs w:val="24"/>
        </w:rPr>
        <w:t xml:space="preserve"> Samazināt slimības ietekmi uz dzīves kvalitāti iespējams ar agrīnu rehabilitāciju, kuru uzsāk insulta vienībā, turpinot </w:t>
      </w:r>
      <w:proofErr w:type="gramStart"/>
      <w:r w:rsidRPr="00071635">
        <w:rPr>
          <w:rFonts w:ascii="Times New Roman" w:hAnsi="Times New Roman" w:cs="Times New Roman"/>
          <w:sz w:val="24"/>
          <w:szCs w:val="24"/>
        </w:rPr>
        <w:t>to  diennakts</w:t>
      </w:r>
      <w:proofErr w:type="gramEnd"/>
      <w:r w:rsidRPr="00071635">
        <w:rPr>
          <w:rFonts w:ascii="Times New Roman" w:hAnsi="Times New Roman" w:cs="Times New Roman"/>
          <w:sz w:val="24"/>
          <w:szCs w:val="24"/>
        </w:rPr>
        <w:t xml:space="preserve">  stacionārā. Tā kā insulta gadījumā pacients nepieciešamo palīdzību saņem kā neatliekamu, papildus jānodrošina diennakts rehabilitācija pēc izrakstīšanās no insulta vienības vai neiroloģijas nodaļas. </w:t>
      </w:r>
      <w:proofErr w:type="gramStart"/>
      <w:r w:rsidRPr="00071635">
        <w:rPr>
          <w:rFonts w:ascii="Times New Roman" w:hAnsi="Times New Roman" w:cs="Times New Roman"/>
          <w:sz w:val="24"/>
          <w:szCs w:val="24"/>
        </w:rPr>
        <w:t>Insulta slimnieku skait</w:t>
      </w:r>
      <w:r>
        <w:rPr>
          <w:rFonts w:ascii="Times New Roman" w:hAnsi="Times New Roman" w:cs="Times New Roman"/>
          <w:sz w:val="24"/>
          <w:szCs w:val="24"/>
        </w:rPr>
        <w:t>s darbspējas vecumā sastāda 16</w:t>
      </w:r>
      <w:r w:rsidRPr="00071635">
        <w:rPr>
          <w:rFonts w:ascii="Times New Roman" w:hAnsi="Times New Roman" w:cs="Times New Roman"/>
          <w:sz w:val="24"/>
          <w:szCs w:val="24"/>
        </w:rPr>
        <w:t>% jeb 1460 no visu insulta slimnieku skaita.</w:t>
      </w:r>
      <w:proofErr w:type="gramEnd"/>
      <w:r w:rsidRPr="00071635">
        <w:rPr>
          <w:rFonts w:ascii="Times New Roman" w:hAnsi="Times New Roman" w:cs="Times New Roman"/>
          <w:sz w:val="24"/>
          <w:szCs w:val="24"/>
        </w:rPr>
        <w:t xml:space="preserve"> Pieņemot, ka r</w:t>
      </w:r>
      <w:r>
        <w:rPr>
          <w:rFonts w:ascii="Times New Roman" w:hAnsi="Times New Roman" w:cs="Times New Roman"/>
          <w:sz w:val="24"/>
          <w:szCs w:val="24"/>
        </w:rPr>
        <w:t>ehabilitācijas potenciāls būs 92</w:t>
      </w:r>
      <w:r w:rsidRPr="00071635">
        <w:rPr>
          <w:rFonts w:ascii="Times New Roman" w:hAnsi="Times New Roman" w:cs="Times New Roman"/>
          <w:sz w:val="24"/>
          <w:szCs w:val="24"/>
        </w:rPr>
        <w:t xml:space="preserve">% pacientu, rehabilitāciju </w:t>
      </w:r>
      <w:proofErr w:type="gramStart"/>
      <w:r w:rsidRPr="00071635">
        <w:rPr>
          <w:rFonts w:ascii="Times New Roman" w:hAnsi="Times New Roman" w:cs="Times New Roman"/>
          <w:sz w:val="24"/>
          <w:szCs w:val="24"/>
        </w:rPr>
        <w:t>jāsaņem  1340</w:t>
      </w:r>
      <w:proofErr w:type="gramEnd"/>
      <w:r w:rsidRPr="00071635">
        <w:rPr>
          <w:rFonts w:ascii="Times New Roman" w:hAnsi="Times New Roman" w:cs="Times New Roman"/>
          <w:sz w:val="24"/>
          <w:szCs w:val="24"/>
        </w:rPr>
        <w:t xml:space="preserve"> pacientiem. Tam nepieciešami </w:t>
      </w:r>
      <w:r w:rsidRPr="00B358BC">
        <w:rPr>
          <w:rFonts w:ascii="Times New Roman" w:hAnsi="Times New Roman" w:cs="Times New Roman"/>
          <w:b/>
          <w:sz w:val="24"/>
          <w:szCs w:val="24"/>
        </w:rPr>
        <w:t>533 588 lati</w:t>
      </w:r>
      <w:r w:rsidRPr="00071635">
        <w:rPr>
          <w:rFonts w:ascii="Times New Roman" w:hAnsi="Times New Roman" w:cs="Times New Roman"/>
          <w:sz w:val="24"/>
          <w:szCs w:val="24"/>
        </w:rPr>
        <w:t xml:space="preserve"> </w:t>
      </w:r>
      <w:r>
        <w:rPr>
          <w:rFonts w:ascii="Times New Roman" w:hAnsi="Times New Roman" w:cs="Times New Roman"/>
          <w:sz w:val="24"/>
          <w:szCs w:val="24"/>
        </w:rPr>
        <w:t xml:space="preserve">(Ls </w:t>
      </w:r>
      <w:r w:rsidRPr="00071635">
        <w:rPr>
          <w:rFonts w:ascii="Times New Roman" w:hAnsi="Times New Roman" w:cs="Times New Roman"/>
          <w:sz w:val="24"/>
          <w:szCs w:val="24"/>
        </w:rPr>
        <w:t>398</w:t>
      </w:r>
      <w:proofErr w:type="gramStart"/>
      <w:r w:rsidRPr="00071635">
        <w:rPr>
          <w:rFonts w:ascii="Times New Roman" w:hAnsi="Times New Roman" w:cs="Times New Roman"/>
          <w:sz w:val="24"/>
          <w:szCs w:val="24"/>
        </w:rPr>
        <w:t>,20</w:t>
      </w:r>
      <w:proofErr w:type="gramEnd"/>
      <w:r>
        <w:rPr>
          <w:rFonts w:ascii="Times New Roman" w:hAnsi="Times New Roman" w:cs="Times New Roman"/>
          <w:sz w:val="24"/>
          <w:szCs w:val="24"/>
        </w:rPr>
        <w:t xml:space="preserve"> x 1340);</w:t>
      </w:r>
    </w:p>
    <w:p w:rsidR="00A34B14" w:rsidRPr="004D50CC" w:rsidRDefault="00A34B14" w:rsidP="00A34B14">
      <w:pPr>
        <w:pStyle w:val="Default"/>
        <w:numPr>
          <w:ilvl w:val="0"/>
          <w:numId w:val="18"/>
        </w:numPr>
        <w:jc w:val="both"/>
        <w:rPr>
          <w:i/>
        </w:rPr>
      </w:pPr>
      <w:r>
        <w:rPr>
          <w:i/>
        </w:rPr>
        <w:t>n</w:t>
      </w:r>
      <w:r w:rsidRPr="004D50CC">
        <w:rPr>
          <w:i/>
        </w:rPr>
        <w:t>ieru transplantācijas programmas pacientu skaita palielināšana</w:t>
      </w:r>
    </w:p>
    <w:p w:rsidR="00A34B14" w:rsidRDefault="00A34B14" w:rsidP="00A34B14">
      <w:pPr>
        <w:pStyle w:val="Default"/>
        <w:jc w:val="both"/>
      </w:pPr>
      <w:r>
        <w:t xml:space="preserve">Gaidīšanas  rinda uz nieru transplantāciju ir 60 pacienti pie līgumos noteiktā  apjoma 55 transplantācijas gadā. Gaidīšanas rinda nesamazinās, jo papildinās ar jauniem pacientiem no nieru aizstājterapijas pakalpojumu saņēmējiem, kuru skaits ir vidēji 600 pacienti gadā. Tā kā pieejamo donornieru skaits gadā ir ap 70-75, transplantāciju skaitu ir iespējams palielināt. Papildus 5 transplantāciju veikšanai ir nepieciešami līdzekļi gadā </w:t>
      </w:r>
      <w:r w:rsidRPr="004D50CC">
        <w:rPr>
          <w:b/>
        </w:rPr>
        <w:t>60 612 lati</w:t>
      </w:r>
      <w:r>
        <w:rPr>
          <w:b/>
        </w:rPr>
        <w:t xml:space="preserve">, </w:t>
      </w:r>
      <w:r w:rsidRPr="004D50CC">
        <w:t>tai skaitā:</w:t>
      </w:r>
      <w:r>
        <w:t xml:space="preserve"> </w:t>
      </w:r>
      <w:r w:rsidRPr="004D50CC">
        <w:t xml:space="preserve">slimnieku sagatavošanai transplantācijai </w:t>
      </w:r>
      <w:r>
        <w:t>5489,50 Ls (</w:t>
      </w:r>
      <w:r w:rsidRPr="004D50CC">
        <w:t>Ls 1 097,</w:t>
      </w:r>
      <w:r>
        <w:t xml:space="preserve">90 izmaksas x </w:t>
      </w:r>
      <w:r w:rsidRPr="004D50CC">
        <w:t>5</w:t>
      </w:r>
      <w:r>
        <w:t xml:space="preserve">), </w:t>
      </w:r>
      <w:r w:rsidRPr="004D50CC">
        <w:t xml:space="preserve">transplantāciju veikšanai </w:t>
      </w:r>
      <w:r>
        <w:t>55122,</w:t>
      </w:r>
      <w:r w:rsidRPr="004D50CC">
        <w:t>50</w:t>
      </w:r>
      <w:r>
        <w:t xml:space="preserve"> lati</w:t>
      </w:r>
      <w:r w:rsidRPr="004D50CC">
        <w:t xml:space="preserve"> </w:t>
      </w:r>
      <w:r>
        <w:t>(Ls 11024,</w:t>
      </w:r>
      <w:r w:rsidRPr="004D50CC">
        <w:t>50</w:t>
      </w:r>
      <w:r>
        <w:t xml:space="preserve"> x 5);</w:t>
      </w:r>
    </w:p>
    <w:p w:rsidR="00A34B14" w:rsidRDefault="00A34B14" w:rsidP="00A34B14">
      <w:pPr>
        <w:pStyle w:val="ListParagraph"/>
        <w:numPr>
          <w:ilvl w:val="0"/>
          <w:numId w:val="18"/>
        </w:numPr>
        <w:spacing w:after="0" w:line="240" w:lineRule="auto"/>
        <w:ind w:left="714" w:hanging="357"/>
        <w:rPr>
          <w:rFonts w:ascii="Times New Roman" w:hAnsi="Times New Roman" w:cs="Times New Roman"/>
          <w:i/>
          <w:sz w:val="24"/>
          <w:szCs w:val="24"/>
        </w:rPr>
      </w:pPr>
      <w:r w:rsidRPr="004D50CC">
        <w:rPr>
          <w:rFonts w:ascii="Times New Roman" w:hAnsi="Times New Roman" w:cs="Times New Roman"/>
          <w:i/>
          <w:sz w:val="24"/>
          <w:szCs w:val="24"/>
        </w:rPr>
        <w:t>kohleāro  implantu operācijas  darbspējīgā vecumā</w:t>
      </w:r>
    </w:p>
    <w:p w:rsidR="00A34B14" w:rsidRDefault="00A34B14" w:rsidP="00A34B14">
      <w:pPr>
        <w:spacing w:after="0"/>
        <w:jc w:val="both"/>
        <w:rPr>
          <w:rFonts w:ascii="Times New Roman" w:hAnsi="Times New Roman" w:cs="Times New Roman"/>
          <w:i/>
          <w:sz w:val="24"/>
          <w:szCs w:val="24"/>
        </w:rPr>
      </w:pPr>
      <w:proofErr w:type="gramStart"/>
      <w:r>
        <w:rPr>
          <w:rFonts w:ascii="Times New Roman" w:hAnsi="Times New Roman" w:cs="Times New Roman"/>
          <w:sz w:val="24"/>
          <w:szCs w:val="24"/>
        </w:rPr>
        <w:t>Uz 2013.gada</w:t>
      </w:r>
      <w:r w:rsidRPr="004D50CC">
        <w:rPr>
          <w:rFonts w:ascii="Times New Roman" w:hAnsi="Times New Roman" w:cs="Times New Roman"/>
          <w:sz w:val="24"/>
          <w:szCs w:val="24"/>
        </w:rPr>
        <w:t xml:space="preserve"> 1.martu </w:t>
      </w:r>
      <w:r>
        <w:rPr>
          <w:rFonts w:ascii="Times New Roman" w:hAnsi="Times New Roman" w:cs="Times New Roman"/>
          <w:sz w:val="24"/>
          <w:szCs w:val="24"/>
        </w:rPr>
        <w:t xml:space="preserve">VSIA </w:t>
      </w:r>
      <w:r w:rsidRPr="00071635">
        <w:rPr>
          <w:rFonts w:ascii="Times New Roman" w:hAnsi="Times New Roman" w:cs="Times New Roman"/>
          <w:sz w:val="24"/>
          <w:szCs w:val="24"/>
        </w:rPr>
        <w:t>“</w:t>
      </w:r>
      <w:r w:rsidRPr="00071635">
        <w:rPr>
          <w:rStyle w:val="Strong"/>
          <w:rFonts w:ascii="Times New Roman" w:hAnsi="Times New Roman" w:cs="Times New Roman"/>
          <w:b w:val="0"/>
          <w:sz w:val="24"/>
          <w:szCs w:val="24"/>
          <w:lang w:val="lv-LV"/>
        </w:rPr>
        <w:t>Paula Stradiņa Klīniskā universitātes slimnīca</w:t>
      </w:r>
      <w:r w:rsidRPr="00071635">
        <w:rPr>
          <w:rFonts w:ascii="Times New Roman" w:hAnsi="Times New Roman" w:cs="Times New Roman"/>
          <w:sz w:val="24"/>
          <w:szCs w:val="24"/>
        </w:rPr>
        <w:t>”</w:t>
      </w:r>
      <w:r w:rsidRPr="004D50CC">
        <w:rPr>
          <w:rFonts w:ascii="Times New Roman" w:hAnsi="Times New Roman" w:cs="Times New Roman"/>
          <w:sz w:val="24"/>
          <w:szCs w:val="24"/>
        </w:rPr>
        <w:t xml:space="preserve"> uzskaitē ir 5 personas darbspējīgā vecumā ar dzirdes traucējumiem, kuriem pēc speciālistu slēdziena ir indicēta kohleārā implanta operācija.</w:t>
      </w:r>
      <w:proofErr w:type="gramEnd"/>
      <w:r w:rsidRPr="004D50CC">
        <w:rPr>
          <w:rFonts w:ascii="Times New Roman" w:hAnsi="Times New Roman" w:cs="Times New Roman"/>
          <w:sz w:val="24"/>
          <w:szCs w:val="24"/>
        </w:rPr>
        <w:t xml:space="preserve"> Ņemot vērā faktu, ka pavisam ir apzināti vēl vismaz 5 pacienti darbspējas vecumā, 2013.gadam nepieciešams plānot papildus izdevumus</w:t>
      </w:r>
      <w:proofErr w:type="gramStart"/>
      <w:r w:rsidRPr="004D50CC">
        <w:rPr>
          <w:rFonts w:ascii="Times New Roman" w:hAnsi="Times New Roman" w:cs="Times New Roman"/>
          <w:sz w:val="24"/>
          <w:szCs w:val="24"/>
        </w:rPr>
        <w:t xml:space="preserve">  </w:t>
      </w:r>
      <w:r w:rsidRPr="004D50CC">
        <w:rPr>
          <w:rFonts w:ascii="Times New Roman" w:hAnsi="Times New Roman" w:cs="Times New Roman"/>
          <w:b/>
          <w:sz w:val="24"/>
          <w:szCs w:val="24"/>
        </w:rPr>
        <w:t>83</w:t>
      </w:r>
      <w:proofErr w:type="gramEnd"/>
      <w:r>
        <w:rPr>
          <w:rFonts w:ascii="Times New Roman" w:hAnsi="Times New Roman" w:cs="Times New Roman"/>
          <w:b/>
          <w:sz w:val="24"/>
          <w:szCs w:val="24"/>
        </w:rPr>
        <w:t xml:space="preserve"> </w:t>
      </w:r>
      <w:r w:rsidRPr="004D50CC">
        <w:rPr>
          <w:rFonts w:ascii="Times New Roman" w:hAnsi="Times New Roman" w:cs="Times New Roman"/>
          <w:b/>
          <w:sz w:val="24"/>
          <w:szCs w:val="24"/>
        </w:rPr>
        <w:t>572 latu</w:t>
      </w:r>
      <w:r>
        <w:rPr>
          <w:rFonts w:ascii="Times New Roman" w:hAnsi="Times New Roman" w:cs="Times New Roman"/>
          <w:sz w:val="24"/>
          <w:szCs w:val="24"/>
        </w:rPr>
        <w:t xml:space="preserve"> apmērā </w:t>
      </w:r>
      <w:r w:rsidRPr="004D50CC">
        <w:rPr>
          <w:rFonts w:ascii="Times New Roman" w:hAnsi="Times New Roman" w:cs="Times New Roman"/>
          <w:sz w:val="24"/>
          <w:szCs w:val="24"/>
        </w:rPr>
        <w:t xml:space="preserve"> </w:t>
      </w:r>
      <w:r>
        <w:rPr>
          <w:rFonts w:ascii="Times New Roman" w:hAnsi="Times New Roman" w:cs="Times New Roman"/>
          <w:sz w:val="24"/>
          <w:szCs w:val="24"/>
        </w:rPr>
        <w:t>(16 714,50 x 5 ). </w:t>
      </w:r>
      <w:r w:rsidRPr="004D50CC">
        <w:rPr>
          <w:rFonts w:ascii="Times New Roman" w:hAnsi="Times New Roman" w:cs="Times New Roman"/>
          <w:sz w:val="24"/>
          <w:szCs w:val="24"/>
        </w:rPr>
        <w:t xml:space="preserve">Pasākums ir ar augstu efektivitāti novēršot dzirdes traucējumus </w:t>
      </w:r>
      <w:proofErr w:type="gramStart"/>
      <w:r w:rsidRPr="004D50CC">
        <w:rPr>
          <w:rFonts w:ascii="Times New Roman" w:hAnsi="Times New Roman" w:cs="Times New Roman"/>
          <w:sz w:val="24"/>
          <w:szCs w:val="24"/>
        </w:rPr>
        <w:t>un</w:t>
      </w:r>
      <w:proofErr w:type="gramEnd"/>
      <w:r w:rsidRPr="004D50CC">
        <w:rPr>
          <w:rFonts w:ascii="Times New Roman" w:hAnsi="Times New Roman" w:cs="Times New Roman"/>
          <w:sz w:val="24"/>
          <w:szCs w:val="24"/>
        </w:rPr>
        <w:t xml:space="preserve"> uzlabojot dzīves kvalitāti</w:t>
      </w:r>
      <w:r>
        <w:rPr>
          <w:rFonts w:ascii="Times New Roman" w:hAnsi="Times New Roman" w:cs="Times New Roman"/>
          <w:i/>
          <w:sz w:val="24"/>
          <w:szCs w:val="24"/>
        </w:rPr>
        <w:t>.</w:t>
      </w:r>
    </w:p>
    <w:p w:rsidR="00996D5B" w:rsidRDefault="00996D5B" w:rsidP="00996D5B">
      <w:pPr>
        <w:spacing w:after="0" w:line="240" w:lineRule="auto"/>
        <w:ind w:firstLine="720"/>
        <w:jc w:val="both"/>
        <w:rPr>
          <w:rFonts w:ascii="Times New Roman" w:eastAsia="Times New Roman" w:hAnsi="Times New Roman" w:cs="Times New Roman"/>
          <w:sz w:val="24"/>
          <w:szCs w:val="24"/>
          <w:lang w:eastAsia="lv-LV"/>
        </w:rPr>
      </w:pPr>
      <w:r w:rsidRPr="007427DB">
        <w:rPr>
          <w:rFonts w:ascii="Times New Roman" w:eastAsia="Times New Roman" w:hAnsi="Times New Roman" w:cs="Times New Roman"/>
          <w:sz w:val="24"/>
          <w:szCs w:val="24"/>
          <w:u w:val="single"/>
          <w:lang w:eastAsia="lv-LV"/>
        </w:rPr>
        <w:t>Papildus</w:t>
      </w:r>
      <w:r w:rsidRPr="007427DB">
        <w:rPr>
          <w:rFonts w:ascii="Times New Roman" w:eastAsia="Times New Roman" w:hAnsi="Times New Roman" w:cs="Times New Roman"/>
          <w:sz w:val="24"/>
          <w:szCs w:val="24"/>
          <w:lang w:eastAsia="lv-LV"/>
        </w:rPr>
        <w:t xml:space="preserve"> ziņojumā paredzētajam ārstniecības personu darba samaksas </w:t>
      </w:r>
      <w:proofErr w:type="gramStart"/>
      <w:r w:rsidRPr="007427DB">
        <w:rPr>
          <w:rFonts w:ascii="Times New Roman" w:eastAsia="Times New Roman" w:hAnsi="Times New Roman" w:cs="Times New Roman"/>
          <w:sz w:val="24"/>
          <w:szCs w:val="24"/>
          <w:lang w:eastAsia="lv-LV"/>
        </w:rPr>
        <w:t>un</w:t>
      </w:r>
      <w:proofErr w:type="gramEnd"/>
      <w:r w:rsidRPr="007427DB">
        <w:rPr>
          <w:rFonts w:ascii="Times New Roman" w:eastAsia="Times New Roman" w:hAnsi="Times New Roman" w:cs="Times New Roman"/>
          <w:sz w:val="24"/>
          <w:szCs w:val="24"/>
          <w:lang w:eastAsia="lv-LV"/>
        </w:rPr>
        <w:t xml:space="preserve"> netiešo izmaksu koeficientu palielinājumam nepieciešams </w:t>
      </w:r>
      <w:r w:rsidRPr="007427DB">
        <w:rPr>
          <w:rFonts w:ascii="Times New Roman" w:eastAsia="Times New Roman" w:hAnsi="Times New Roman" w:cs="Times New Roman"/>
          <w:i/>
          <w:sz w:val="24"/>
          <w:szCs w:val="24"/>
          <w:lang w:eastAsia="lv-LV"/>
        </w:rPr>
        <w:t>2013.gada pusgadam 75 702 lati, 2014.gadā 151 404 lati</w:t>
      </w:r>
      <w:r w:rsidRPr="007427DB">
        <w:rPr>
          <w:rFonts w:ascii="Times New Roman" w:eastAsia="Times New Roman" w:hAnsi="Times New Roman" w:cs="Times New Roman"/>
          <w:sz w:val="24"/>
          <w:szCs w:val="24"/>
          <w:lang w:eastAsia="lv-LV"/>
        </w:rPr>
        <w:t xml:space="preserve">. </w:t>
      </w:r>
    </w:p>
    <w:p w:rsidR="00C7258C" w:rsidRDefault="00996D5B" w:rsidP="00996D5B">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Jāatzīmē, ka sadaļā par </w:t>
      </w:r>
      <w:r w:rsidRPr="00071635">
        <w:rPr>
          <w:rFonts w:ascii="Times New Roman" w:hAnsi="Times New Roman" w:cs="Times New Roman"/>
          <w:sz w:val="24"/>
          <w:szCs w:val="24"/>
        </w:rPr>
        <w:t>darbspējīgā vecuma pacientu v</w:t>
      </w:r>
      <w:r>
        <w:rPr>
          <w:rFonts w:ascii="Times New Roman" w:hAnsi="Times New Roman" w:cs="Times New Roman"/>
          <w:sz w:val="24"/>
          <w:szCs w:val="24"/>
        </w:rPr>
        <w:t xml:space="preserve">eselības stāvokļa pasliktināšanās, darbspējas samazināšanās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invaliditātes iestāšanā</w:t>
      </w:r>
      <w:r w:rsidRPr="00071635">
        <w:rPr>
          <w:rFonts w:ascii="Times New Roman" w:hAnsi="Times New Roman" w:cs="Times New Roman"/>
          <w:sz w:val="24"/>
          <w:szCs w:val="24"/>
        </w:rPr>
        <w:t>s</w:t>
      </w:r>
      <w:r>
        <w:rPr>
          <w:rFonts w:ascii="Times New Roman" w:hAnsi="Times New Roman" w:cs="Times New Roman"/>
          <w:sz w:val="24"/>
          <w:szCs w:val="24"/>
        </w:rPr>
        <w:t xml:space="preserve"> novēršanu iekļautie pasākumi pēc būtības ir attiecināmi arī uz personām, kuras ir pārsniegušas darbspējas vecumu. Jebkura pacienta nepilnīga veselības aprūpe finanšu līdzekļu trūkuma </w:t>
      </w:r>
      <w:proofErr w:type="gramStart"/>
      <w:r>
        <w:rPr>
          <w:rFonts w:ascii="Times New Roman" w:hAnsi="Times New Roman" w:cs="Times New Roman"/>
          <w:sz w:val="24"/>
          <w:szCs w:val="24"/>
        </w:rPr>
        <w:t>dēļ</w:t>
      </w:r>
      <w:proofErr w:type="gramEnd"/>
      <w:r>
        <w:rPr>
          <w:rFonts w:ascii="Times New Roman" w:hAnsi="Times New Roman" w:cs="Times New Roman"/>
          <w:sz w:val="24"/>
          <w:szCs w:val="24"/>
        </w:rPr>
        <w:t xml:space="preserve"> noved pie tā, ka pacienta veselības stāvoklis pasliktinās un viņa tālāka aprūpe palielina slogu gan publiskajam finansējumam, gan tuviniekiem. Šo pacientu veselības aprūpes nodrošināšana tiks risināta ambulatoro pakalpojumu finansējuma ietvaros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Veselības ministrijas virzīto jauno politikas iniciatīvu ietvaros.</w:t>
      </w:r>
    </w:p>
    <w:p w:rsidR="005E51F2" w:rsidRPr="00996D5B" w:rsidRDefault="005E51F2" w:rsidP="00996D5B">
      <w:pPr>
        <w:spacing w:after="0" w:line="240" w:lineRule="auto"/>
        <w:ind w:firstLine="720"/>
        <w:jc w:val="both"/>
        <w:rPr>
          <w:rFonts w:ascii="Times New Roman" w:hAnsi="Times New Roman" w:cs="Times New Roman"/>
          <w:sz w:val="24"/>
          <w:szCs w:val="24"/>
          <w:lang w:val="lv-LV"/>
        </w:rPr>
      </w:pPr>
    </w:p>
    <w:p w:rsidR="00F952EB" w:rsidRPr="000F188D" w:rsidRDefault="00912D20" w:rsidP="00C7258C">
      <w:pPr>
        <w:pStyle w:val="NoSpacing"/>
        <w:numPr>
          <w:ilvl w:val="0"/>
          <w:numId w:val="16"/>
        </w:numPr>
        <w:spacing w:before="120"/>
        <w:ind w:left="1797"/>
        <w:rPr>
          <w:rFonts w:ascii="Times New Roman" w:hAnsi="Times New Roman"/>
          <w:b/>
          <w:color w:val="000000"/>
          <w:sz w:val="24"/>
          <w:szCs w:val="24"/>
          <w:u w:val="single"/>
        </w:rPr>
      </w:pPr>
      <w:r w:rsidRPr="000F188D">
        <w:rPr>
          <w:rFonts w:ascii="Times New Roman" w:hAnsi="Times New Roman"/>
          <w:b/>
          <w:color w:val="000000"/>
          <w:sz w:val="28"/>
          <w:szCs w:val="28"/>
          <w:u w:val="single"/>
        </w:rPr>
        <w:t>Veselības aprūpes p</w:t>
      </w:r>
      <w:r w:rsidR="00110857" w:rsidRPr="000F188D">
        <w:rPr>
          <w:rFonts w:ascii="Times New Roman" w:hAnsi="Times New Roman"/>
          <w:b/>
          <w:color w:val="000000"/>
          <w:sz w:val="28"/>
          <w:szCs w:val="28"/>
          <w:u w:val="single"/>
        </w:rPr>
        <w:t xml:space="preserve">akalpojumu pieejamības uzlabošanai </w:t>
      </w:r>
    </w:p>
    <w:p w:rsidR="005E51F2" w:rsidRDefault="00996D5B" w:rsidP="005E51F2">
      <w:pPr>
        <w:pStyle w:val="NoSpacing"/>
        <w:spacing w:before="120"/>
        <w:ind w:firstLine="720"/>
        <w:jc w:val="both"/>
        <w:rPr>
          <w:rFonts w:ascii="Times New Roman" w:hAnsi="Times New Roman"/>
          <w:sz w:val="24"/>
          <w:szCs w:val="24"/>
        </w:rPr>
      </w:pPr>
      <w:r>
        <w:rPr>
          <w:rFonts w:ascii="Times New Roman" w:hAnsi="Times New Roman"/>
          <w:sz w:val="24"/>
          <w:szCs w:val="24"/>
        </w:rPr>
        <w:t xml:space="preserve">Saskaņā ar Ministru kabineta 2012.gada 16.februāra rīkojumu Nr.84 apstiprināto „Valdības rīcības plānu Deklarācijas par Valda Dombrovska vadītā Ministru kabineta iecerēto darbību īstenošanai” Veselības ministrijai ir jāīsteno pasākumi, lai nodrošinātu veselības aprūpes pakalpojumu pieejamību. Veselības aprūpes nozares budžetā ir nepieciešams papildus finansējums, lai realizētu </w:t>
      </w:r>
      <w:r>
        <w:rPr>
          <w:rFonts w:ascii="Times New Roman" w:hAnsi="Times New Roman"/>
          <w:sz w:val="24"/>
          <w:szCs w:val="24"/>
        </w:rPr>
        <w:lastRenderedPageBreak/>
        <w:t xml:space="preserve">esošos veselības aprūpes pakalpojumus 2013.gada otrajā pusgadā un turpmākajos gados, kā arī nepieciešams papildus finansējums iepriekšējās situācijas atjaunošanai vai atsevišķu jaunu pasākumu nodrošināšanai 2014. un 2015.gadā. Tādējādi </w:t>
      </w:r>
      <w:r w:rsidRPr="00F952EB">
        <w:rPr>
          <w:rFonts w:ascii="Times New Roman" w:hAnsi="Times New Roman"/>
          <w:sz w:val="24"/>
          <w:szCs w:val="24"/>
        </w:rPr>
        <w:t xml:space="preserve">Veselības ministrija jaunās politikas iniciatīvas iesniegs Finanšu ministrijā 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prasībām un Ministru kabineta 2013.gada 5.februāra rīkojumā Nr.40 </w:t>
      </w:r>
      <w:r w:rsidR="002403F1">
        <w:rPr>
          <w:rFonts w:ascii="Times New Roman" w:hAnsi="Times New Roman"/>
          <w:sz w:val="24"/>
          <w:szCs w:val="24"/>
        </w:rPr>
        <w:t xml:space="preserve">„Par likumprojekta „Par </w:t>
      </w:r>
      <w:r w:rsidR="002403F1" w:rsidRPr="00F952EB">
        <w:rPr>
          <w:rFonts w:ascii="Times New Roman" w:hAnsi="Times New Roman"/>
          <w:sz w:val="24"/>
          <w:szCs w:val="24"/>
        </w:rPr>
        <w:t>vidēja termiņa budžeta ietvaru 2014.</w:t>
      </w:r>
      <w:r w:rsidR="002403F1">
        <w:rPr>
          <w:rFonts w:ascii="Times New Roman" w:hAnsi="Times New Roman"/>
          <w:sz w:val="24"/>
          <w:szCs w:val="24"/>
        </w:rPr>
        <w:t xml:space="preserve">, 2015. un </w:t>
      </w:r>
      <w:r w:rsidR="002403F1" w:rsidRPr="00F952EB">
        <w:rPr>
          <w:rFonts w:ascii="Times New Roman" w:hAnsi="Times New Roman"/>
          <w:sz w:val="24"/>
          <w:szCs w:val="24"/>
        </w:rPr>
        <w:t>2016.gadam</w:t>
      </w:r>
      <w:r w:rsidR="002403F1">
        <w:rPr>
          <w:rFonts w:ascii="Times New Roman" w:hAnsi="Times New Roman"/>
          <w:sz w:val="24"/>
          <w:szCs w:val="24"/>
        </w:rPr>
        <w:t>” un</w:t>
      </w:r>
      <w:r w:rsidRPr="00F952EB">
        <w:rPr>
          <w:rFonts w:ascii="Times New Roman" w:hAnsi="Times New Roman"/>
          <w:sz w:val="24"/>
          <w:szCs w:val="24"/>
        </w:rPr>
        <w:t xml:space="preserve"> </w:t>
      </w:r>
      <w:r w:rsidR="002403F1">
        <w:rPr>
          <w:rFonts w:ascii="Times New Roman" w:hAnsi="Times New Roman"/>
          <w:sz w:val="24"/>
          <w:szCs w:val="24"/>
        </w:rPr>
        <w:t xml:space="preserve">likumprojekta „Par </w:t>
      </w:r>
      <w:r w:rsidRPr="00F952EB">
        <w:rPr>
          <w:rFonts w:ascii="Times New Roman" w:hAnsi="Times New Roman"/>
          <w:sz w:val="24"/>
          <w:szCs w:val="24"/>
        </w:rPr>
        <w:t>valsts budžeta 2014.gadam</w:t>
      </w:r>
      <w:r w:rsidR="002403F1">
        <w:rPr>
          <w:rFonts w:ascii="Times New Roman" w:hAnsi="Times New Roman"/>
          <w:sz w:val="24"/>
          <w:szCs w:val="24"/>
        </w:rPr>
        <w:t xml:space="preserve">” </w:t>
      </w:r>
      <w:r w:rsidRPr="00F952EB">
        <w:rPr>
          <w:rFonts w:ascii="Times New Roman" w:hAnsi="Times New Roman"/>
          <w:sz w:val="24"/>
          <w:szCs w:val="24"/>
        </w:rPr>
        <w:t>sagatavošanas grafiku</w:t>
      </w:r>
      <w:r w:rsidR="002403F1">
        <w:rPr>
          <w:rFonts w:ascii="Times New Roman" w:hAnsi="Times New Roman"/>
          <w:sz w:val="24"/>
          <w:szCs w:val="24"/>
        </w:rPr>
        <w:t>”</w:t>
      </w:r>
      <w:r w:rsidRPr="00F952EB">
        <w:rPr>
          <w:rFonts w:ascii="Times New Roman" w:hAnsi="Times New Roman"/>
          <w:sz w:val="24"/>
          <w:szCs w:val="24"/>
        </w:rPr>
        <w:t xml:space="preserve"> noteiktajiem termiņiem.</w:t>
      </w:r>
    </w:p>
    <w:p w:rsidR="00110857" w:rsidRPr="00FC5F33" w:rsidRDefault="00912D20" w:rsidP="009860FE">
      <w:pPr>
        <w:pStyle w:val="NoSpacing"/>
        <w:numPr>
          <w:ilvl w:val="0"/>
          <w:numId w:val="21"/>
        </w:numPr>
        <w:spacing w:before="120"/>
        <w:ind w:left="714" w:hanging="357"/>
        <w:rPr>
          <w:rFonts w:ascii="Times New Roman" w:hAnsi="Times New Roman"/>
          <w:b/>
          <w:sz w:val="28"/>
          <w:szCs w:val="28"/>
        </w:rPr>
      </w:pPr>
      <w:r w:rsidRPr="00FC5F33">
        <w:rPr>
          <w:rFonts w:ascii="Times New Roman" w:hAnsi="Times New Roman"/>
          <w:b/>
          <w:sz w:val="28"/>
          <w:szCs w:val="28"/>
        </w:rPr>
        <w:t xml:space="preserve">Kompensācijas apmēra </w:t>
      </w:r>
      <w:r w:rsidR="00032E48" w:rsidRPr="00FC5F33">
        <w:rPr>
          <w:rFonts w:ascii="Times New Roman" w:hAnsi="Times New Roman"/>
          <w:b/>
          <w:sz w:val="28"/>
          <w:szCs w:val="28"/>
        </w:rPr>
        <w:t>atjaunošanai no 50% uz 75%</w:t>
      </w:r>
    </w:p>
    <w:p w:rsidR="00912D20" w:rsidRPr="00912D20" w:rsidRDefault="00912D20" w:rsidP="00912D20">
      <w:pPr>
        <w:pStyle w:val="NoSpacing"/>
        <w:ind w:firstLine="720"/>
        <w:rPr>
          <w:rFonts w:ascii="Times New Roman" w:hAnsi="Times New Roman"/>
          <w:b/>
          <w:sz w:val="24"/>
          <w:szCs w:val="24"/>
        </w:rPr>
      </w:pPr>
    </w:p>
    <w:p w:rsidR="00351EEB" w:rsidRDefault="00351EEB" w:rsidP="00912D20">
      <w:pPr>
        <w:pStyle w:val="tv213"/>
        <w:spacing w:before="0" w:beforeAutospacing="0" w:after="0" w:afterAutospacing="0"/>
        <w:ind w:firstLine="720"/>
        <w:jc w:val="both"/>
      </w:pPr>
      <w:r w:rsidRPr="00912D20">
        <w:t>Lai pacientiem sekmētu kompensējamo zāļu pieejamību un nodrošinātu zāļu kompensācijas apmēru atbilstoši Noteikumos Nr.899 noteiktajiem kritērijiem (II kategorija – kompensācija 75 % apmērā - ja pacientam konstatēta hroniska slimība, kuras ārstēšanā bez attiecīgo zāļu lietošanas ir apgrūtināta pacienta dzīvības funkciju uzturēšana vai kas izraisa smagu invaliditāti, III kategorija – kompensācija 50 % apmērā - ja pacientam konstatēta hroniska vai akūta slimība, kuras ārstēšanā ir nepieciešama attiecīgo zāļu lietošana, lai uzturētu vai uzlabotu pacienta veselības stāvokli, vai gadījumā, ja no</w:t>
      </w:r>
      <w:r w:rsidRPr="00351EEB">
        <w:t xml:space="preserve"> kompensācijai piešķirtajiem līdzekļiem apmaksā vakcīnas) un  atjaunotu  75% komp</w:t>
      </w:r>
      <w:r w:rsidR="00996D5B">
        <w:t>ensāci</w:t>
      </w:r>
      <w:r w:rsidR="00783301">
        <w:t>jas apmēru   diagnozēm (skat. 13</w:t>
      </w:r>
      <w:r w:rsidR="00912D20">
        <w:t>.tab.</w:t>
      </w:r>
      <w:r w:rsidRPr="00351EEB">
        <w:t xml:space="preserve">), kurām 2009.gadā  kompensācija tika samazināta no 75% uz 50% - nepieciešams </w:t>
      </w:r>
      <w:r w:rsidR="00912D20">
        <w:t>papildus gadā</w:t>
      </w:r>
      <w:r w:rsidRPr="00351EEB">
        <w:t xml:space="preserve"> </w:t>
      </w:r>
      <w:r w:rsidR="00361B55" w:rsidRPr="00912D20">
        <w:rPr>
          <w:rFonts w:eastAsia="Times New Roman"/>
          <w:b/>
          <w:bCs/>
          <w:color w:val="000000"/>
        </w:rPr>
        <w:t xml:space="preserve">1 868 186 </w:t>
      </w:r>
      <w:r w:rsidR="00912D20" w:rsidRPr="00912D20">
        <w:rPr>
          <w:rFonts w:eastAsia="Times New Roman"/>
          <w:b/>
          <w:bCs/>
          <w:color w:val="000000"/>
        </w:rPr>
        <w:t>lati</w:t>
      </w:r>
      <w:r w:rsidR="00D85844">
        <w:rPr>
          <w:rFonts w:eastAsia="Times New Roman"/>
          <w:bCs/>
          <w:color w:val="000000"/>
        </w:rPr>
        <w:t xml:space="preserve">, 2013.gada </w:t>
      </w:r>
      <w:r w:rsidR="00D85844" w:rsidRPr="00D85844">
        <w:rPr>
          <w:rFonts w:eastAsia="Times New Roman"/>
          <w:b/>
          <w:bCs/>
          <w:color w:val="000000"/>
        </w:rPr>
        <w:t>pusgadā 934 093 lati</w:t>
      </w:r>
      <w:r w:rsidR="00D85844">
        <w:rPr>
          <w:rFonts w:eastAsia="Times New Roman"/>
          <w:bCs/>
          <w:color w:val="000000"/>
        </w:rPr>
        <w:t xml:space="preserve"> ar atbilstīgiem grozījumiem noteikumos Nr.899 </w:t>
      </w:r>
      <w:r w:rsidR="00996D5B">
        <w:t xml:space="preserve">(skat. </w:t>
      </w:r>
      <w:r w:rsidR="00912D20">
        <w:t>1</w:t>
      </w:r>
      <w:r w:rsidR="00783301">
        <w:t>4</w:t>
      </w:r>
      <w:r w:rsidR="00996D5B">
        <w:t>.tab.).</w:t>
      </w:r>
    </w:p>
    <w:p w:rsidR="00351EEB" w:rsidRPr="00912D20" w:rsidRDefault="005E51F2" w:rsidP="005E51F2">
      <w:pPr>
        <w:autoSpaceDE w:val="0"/>
        <w:autoSpaceDN w:val="0"/>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912D20" w:rsidRPr="00912D20">
        <w:rPr>
          <w:rFonts w:ascii="Times New Roman" w:hAnsi="Times New Roman" w:cs="Times New Roman"/>
          <w:sz w:val="24"/>
          <w:szCs w:val="24"/>
        </w:rPr>
        <w:t>1</w:t>
      </w:r>
      <w:r w:rsidR="00783301">
        <w:rPr>
          <w:rFonts w:ascii="Times New Roman" w:hAnsi="Times New Roman" w:cs="Times New Roman"/>
          <w:sz w:val="24"/>
          <w:szCs w:val="24"/>
        </w:rPr>
        <w:t>3</w:t>
      </w:r>
      <w:proofErr w:type="gramStart"/>
      <w:r w:rsidR="00351EEB" w:rsidRPr="00912D20">
        <w:rPr>
          <w:rFonts w:ascii="Times New Roman" w:hAnsi="Times New Roman" w:cs="Times New Roman"/>
          <w:sz w:val="24"/>
          <w:szCs w:val="24"/>
        </w:rPr>
        <w:t>.tabula</w:t>
      </w:r>
      <w:proofErr w:type="gramEnd"/>
    </w:p>
    <w:tbl>
      <w:tblPr>
        <w:tblW w:w="12180" w:type="dxa"/>
        <w:tblCellMar>
          <w:left w:w="0" w:type="dxa"/>
          <w:right w:w="0" w:type="dxa"/>
        </w:tblCellMar>
        <w:tblLook w:val="04A0"/>
      </w:tblPr>
      <w:tblGrid>
        <w:gridCol w:w="1837"/>
        <w:gridCol w:w="4072"/>
        <w:gridCol w:w="1417"/>
        <w:gridCol w:w="1418"/>
        <w:gridCol w:w="3436"/>
      </w:tblGrid>
      <w:tr w:rsidR="00351EEB" w:rsidRPr="00912D20" w:rsidTr="005E51F2">
        <w:trPr>
          <w:trHeight w:val="315"/>
        </w:trPr>
        <w:tc>
          <w:tcPr>
            <w:tcW w:w="12180" w:type="dxa"/>
            <w:gridSpan w:val="5"/>
            <w:noWrap/>
            <w:tcMar>
              <w:top w:w="0" w:type="dxa"/>
              <w:left w:w="108" w:type="dxa"/>
              <w:bottom w:w="0" w:type="dxa"/>
              <w:right w:w="108" w:type="dxa"/>
            </w:tcMar>
            <w:vAlign w:val="center"/>
            <w:hideMark/>
          </w:tcPr>
          <w:p w:rsidR="00351EEB" w:rsidRPr="00912D20" w:rsidRDefault="00996D5B" w:rsidP="00996D5B">
            <w:pPr>
              <w:rPr>
                <w:rFonts w:ascii="Times New Roman" w:hAnsi="Times New Roman" w:cs="Times New Roman"/>
                <w:b/>
                <w:bCs/>
                <w:sz w:val="24"/>
                <w:szCs w:val="24"/>
              </w:rPr>
            </w:pPr>
            <w:r>
              <w:rPr>
                <w:rFonts w:ascii="Times New Roman" w:hAnsi="Times New Roman" w:cs="Times New Roman"/>
                <w:b/>
                <w:bCs/>
                <w:sz w:val="24"/>
                <w:szCs w:val="24"/>
              </w:rPr>
              <w:t xml:space="preserve">      Apmērā</w:t>
            </w:r>
            <w:r w:rsidR="00351EEB" w:rsidRPr="00912D20">
              <w:rPr>
                <w:rFonts w:ascii="Times New Roman" w:hAnsi="Times New Roman" w:cs="Times New Roman"/>
                <w:b/>
                <w:bCs/>
                <w:sz w:val="24"/>
                <w:szCs w:val="24"/>
              </w:rPr>
              <w:t xml:space="preserve"> izmaiņas </w:t>
            </w:r>
            <w:r>
              <w:rPr>
                <w:rFonts w:ascii="Times New Roman" w:hAnsi="Times New Roman" w:cs="Times New Roman"/>
                <w:b/>
                <w:bCs/>
                <w:sz w:val="24"/>
                <w:szCs w:val="24"/>
              </w:rPr>
              <w:t xml:space="preserve">kompensējamo zāļu sistēmā </w:t>
            </w:r>
            <w:r w:rsidR="00351EEB" w:rsidRPr="00912D20">
              <w:rPr>
                <w:rFonts w:ascii="Times New Roman" w:hAnsi="Times New Roman" w:cs="Times New Roman"/>
                <w:b/>
                <w:bCs/>
                <w:sz w:val="24"/>
                <w:szCs w:val="24"/>
              </w:rPr>
              <w:t>iekļautām diagnozēm un zālēm</w:t>
            </w:r>
          </w:p>
        </w:tc>
      </w:tr>
      <w:tr w:rsidR="00351EEB" w:rsidRPr="00912D20" w:rsidTr="005E51F2">
        <w:trPr>
          <w:gridAfter w:val="1"/>
          <w:wAfter w:w="3436" w:type="dxa"/>
          <w:trHeight w:val="600"/>
        </w:trPr>
        <w:tc>
          <w:tcPr>
            <w:tcW w:w="1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Diagnozes</w:t>
            </w:r>
            <w:r w:rsidRPr="00D85844">
              <w:rPr>
                <w:rFonts w:ascii="Times New Roman" w:hAnsi="Times New Roman" w:cs="Times New Roman"/>
                <w:sz w:val="20"/>
                <w:szCs w:val="20"/>
              </w:rPr>
              <w:br/>
              <w:t>kods</w:t>
            </w:r>
          </w:p>
        </w:tc>
        <w:tc>
          <w:tcPr>
            <w:tcW w:w="40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Diagnoze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Esošais apmērs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Jaunais apmērs</w:t>
            </w:r>
          </w:p>
        </w:tc>
      </w:tr>
      <w:tr w:rsidR="00351EEB" w:rsidRPr="00912D20" w:rsidTr="005E51F2">
        <w:trPr>
          <w:gridAfter w:val="1"/>
          <w:wAfter w:w="3436" w:type="dxa"/>
          <w:trHeight w:val="300"/>
        </w:trPr>
        <w:tc>
          <w:tcPr>
            <w:tcW w:w="5909"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351EEB" w:rsidRPr="00D85844" w:rsidRDefault="00351EEB" w:rsidP="00351EEB">
            <w:pPr>
              <w:rPr>
                <w:rFonts w:ascii="Times New Roman" w:hAnsi="Times New Roman" w:cs="Times New Roman"/>
                <w:b/>
                <w:bCs/>
                <w:sz w:val="20"/>
                <w:szCs w:val="20"/>
              </w:rPr>
            </w:pPr>
            <w:r w:rsidRPr="00D85844">
              <w:rPr>
                <w:rFonts w:ascii="Times New Roman" w:hAnsi="Times New Roman" w:cs="Times New Roman"/>
                <w:b/>
                <w:bCs/>
                <w:sz w:val="20"/>
                <w:szCs w:val="20"/>
              </w:rPr>
              <w:t>Acu un to palīgorgānu slimības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r>
      <w:tr w:rsidR="00351EEB" w:rsidRPr="00912D20" w:rsidTr="005E51F2">
        <w:trPr>
          <w:gridAfter w:val="1"/>
          <w:wAfter w:w="3436" w:type="dxa"/>
          <w:trHeight w:val="579"/>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H10</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Konjunktivīts (bērniem līdz 3 gadu vecumam)</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5909"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351EEB" w:rsidRPr="00D85844" w:rsidRDefault="00351EEB" w:rsidP="00351EEB">
            <w:pPr>
              <w:rPr>
                <w:rFonts w:ascii="Times New Roman" w:hAnsi="Times New Roman" w:cs="Times New Roman"/>
                <w:b/>
                <w:bCs/>
                <w:sz w:val="20"/>
                <w:szCs w:val="20"/>
              </w:rPr>
            </w:pPr>
            <w:r w:rsidRPr="00D85844">
              <w:rPr>
                <w:rFonts w:ascii="Times New Roman" w:hAnsi="Times New Roman" w:cs="Times New Roman"/>
                <w:b/>
                <w:bCs/>
                <w:sz w:val="20"/>
                <w:szCs w:val="20"/>
              </w:rPr>
              <w:t>Ausu un aizauss paugura slimības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r>
      <w:tr w:rsidR="00351EEB" w:rsidRPr="00912D20" w:rsidTr="005E51F2">
        <w:trPr>
          <w:gridAfter w:val="1"/>
          <w:wAfter w:w="3436" w:type="dxa"/>
          <w:trHeight w:val="6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H65</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Nestrutojošs vidusauss iekaisums (bērniem līdz 3 gadu vecumam)</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D86</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Sarkoidoze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5909"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351EEB" w:rsidRPr="00D85844" w:rsidRDefault="00351EEB" w:rsidP="00351EEB">
            <w:pPr>
              <w:rPr>
                <w:rFonts w:ascii="Times New Roman" w:hAnsi="Times New Roman" w:cs="Times New Roman"/>
                <w:b/>
                <w:bCs/>
                <w:sz w:val="20"/>
                <w:szCs w:val="20"/>
              </w:rPr>
            </w:pPr>
            <w:r w:rsidRPr="00D85844">
              <w:rPr>
                <w:rFonts w:ascii="Times New Roman" w:hAnsi="Times New Roman" w:cs="Times New Roman"/>
                <w:b/>
                <w:bCs/>
                <w:sz w:val="20"/>
                <w:szCs w:val="20"/>
              </w:rPr>
              <w:t>Ādas un zemādas slimības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L10</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Pemfiguss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L13.0</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Dīringa slimība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6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L20</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xml:space="preserve">Atopiskais dermatīts (bērniem līdz 18 gadu vecumam)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6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lastRenderedPageBreak/>
              <w:t xml:space="preserve">L27 </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Iekšķīgi lietotu vielu izraisīts dermatīts (bērniem līdz 3 gadu vecumam)</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L40</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xml:space="preserve">Psoriāze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5909"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351EEB" w:rsidRPr="00D85844" w:rsidRDefault="00351EEB" w:rsidP="00351EEB">
            <w:pPr>
              <w:rPr>
                <w:rFonts w:ascii="Times New Roman" w:hAnsi="Times New Roman" w:cs="Times New Roman"/>
                <w:b/>
                <w:bCs/>
                <w:sz w:val="20"/>
                <w:szCs w:val="20"/>
              </w:rPr>
            </w:pPr>
            <w:r w:rsidRPr="00D85844">
              <w:rPr>
                <w:rFonts w:ascii="Times New Roman" w:hAnsi="Times New Roman" w:cs="Times New Roman"/>
                <w:b/>
                <w:bCs/>
                <w:sz w:val="20"/>
                <w:szCs w:val="20"/>
              </w:rPr>
              <w:t>Elpošanas sistēmas slimības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r>
      <w:tr w:rsidR="00351EEB" w:rsidRPr="00912D20" w:rsidTr="005E51F2">
        <w:trPr>
          <w:gridAfter w:val="1"/>
          <w:wAfter w:w="3436" w:type="dxa"/>
          <w:trHeight w:val="9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xml:space="preserve">J00- J20 </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Akūtas augšējo elpceļu infekcijas, gripa, pneimonija, bronhīts (bērniem līdz 3 gadu vecumam)</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J44</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xml:space="preserve">HOPS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J47</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Bronhektāzes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xml:space="preserve">J67 </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Hipersensitivitātes pneimonīts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J84</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Citas intersticiālas plaušu slimības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6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J99</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Elpošanas orgānu bojājums citur klasificētu slimību dēļ</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5909"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351EEB" w:rsidRPr="00D85844" w:rsidRDefault="00351EEB" w:rsidP="00351EEB">
            <w:pPr>
              <w:rPr>
                <w:rFonts w:ascii="Times New Roman" w:hAnsi="Times New Roman" w:cs="Times New Roman"/>
                <w:b/>
                <w:bCs/>
                <w:sz w:val="20"/>
                <w:szCs w:val="20"/>
              </w:rPr>
            </w:pPr>
            <w:r w:rsidRPr="00D85844">
              <w:rPr>
                <w:rFonts w:ascii="Times New Roman" w:hAnsi="Times New Roman" w:cs="Times New Roman"/>
                <w:b/>
                <w:bCs/>
                <w:sz w:val="20"/>
                <w:szCs w:val="20"/>
              </w:rPr>
              <w:t>Endokrīnās, uztures un vielmaiņas slimības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E05</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Tireotoksikoze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E20</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Hipoparatireoze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E78</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Lipoproteīnu vielmaiņas traucējumi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5909"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351EEB" w:rsidRPr="00D85844" w:rsidRDefault="00351EEB" w:rsidP="00351EEB">
            <w:pPr>
              <w:rPr>
                <w:rFonts w:ascii="Times New Roman" w:hAnsi="Times New Roman" w:cs="Times New Roman"/>
                <w:b/>
                <w:bCs/>
                <w:sz w:val="20"/>
                <w:szCs w:val="20"/>
              </w:rPr>
            </w:pPr>
            <w:r w:rsidRPr="00D85844">
              <w:rPr>
                <w:rFonts w:ascii="Times New Roman" w:hAnsi="Times New Roman" w:cs="Times New Roman"/>
                <w:b/>
                <w:bCs/>
                <w:sz w:val="20"/>
                <w:szCs w:val="20"/>
              </w:rPr>
              <w:t>Gremošanas sistēmas slimības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K25- K28</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Kuņģa, duodēna u.c. čūlas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K86.1</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Cita veida hroniski pankreatīti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5909"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351EEB" w:rsidRPr="00D85844" w:rsidRDefault="00351EEB" w:rsidP="00351EEB">
            <w:pPr>
              <w:rPr>
                <w:rFonts w:ascii="Times New Roman" w:hAnsi="Times New Roman" w:cs="Times New Roman"/>
                <w:b/>
                <w:bCs/>
                <w:sz w:val="20"/>
                <w:szCs w:val="20"/>
              </w:rPr>
            </w:pPr>
            <w:r w:rsidRPr="00D85844">
              <w:rPr>
                <w:rFonts w:ascii="Times New Roman" w:hAnsi="Times New Roman" w:cs="Times New Roman"/>
                <w:b/>
                <w:bCs/>
                <w:sz w:val="20"/>
                <w:szCs w:val="20"/>
              </w:rPr>
              <w:t>Muskuļu, skeleta un saistaudu slimības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M02</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Reaktīvas artropātijas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M46, M47</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Spondilopātijas, spondilozes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6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M80, M81, M82</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xml:space="preserve">Osteoporoze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5909"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351EEB" w:rsidRPr="00D85844" w:rsidRDefault="00351EEB" w:rsidP="00351EEB">
            <w:pPr>
              <w:rPr>
                <w:rFonts w:ascii="Times New Roman" w:hAnsi="Times New Roman" w:cs="Times New Roman"/>
                <w:b/>
                <w:bCs/>
                <w:sz w:val="20"/>
                <w:szCs w:val="20"/>
              </w:rPr>
            </w:pPr>
            <w:r w:rsidRPr="00D85844">
              <w:rPr>
                <w:rFonts w:ascii="Times New Roman" w:hAnsi="Times New Roman" w:cs="Times New Roman"/>
                <w:b/>
                <w:bCs/>
                <w:sz w:val="20"/>
                <w:szCs w:val="20"/>
              </w:rPr>
              <w:t>Infekcijas un parazitārās slimības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A51</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Svaigs sifiliss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B02.2</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Jostas roze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5909"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351EEB" w:rsidRPr="00D85844" w:rsidRDefault="00351EEB" w:rsidP="00351EEB">
            <w:pPr>
              <w:rPr>
                <w:rFonts w:ascii="Times New Roman" w:hAnsi="Times New Roman" w:cs="Times New Roman"/>
                <w:b/>
                <w:bCs/>
                <w:sz w:val="20"/>
                <w:szCs w:val="20"/>
              </w:rPr>
            </w:pPr>
            <w:r w:rsidRPr="00D85844">
              <w:rPr>
                <w:rFonts w:ascii="Times New Roman" w:hAnsi="Times New Roman" w:cs="Times New Roman"/>
                <w:b/>
                <w:bCs/>
                <w:sz w:val="20"/>
                <w:szCs w:val="20"/>
              </w:rPr>
              <w:t>Nervu sistēmas slimības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r>
      <w:tr w:rsidR="00351EEB" w:rsidRPr="00912D20" w:rsidTr="005E51F2">
        <w:trPr>
          <w:gridAfter w:val="1"/>
          <w:wAfter w:w="3436" w:type="dxa"/>
          <w:trHeight w:val="6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lastRenderedPageBreak/>
              <w:t>G10, G11, G12.2</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Centrālās nervu sistēmas primāras sistēmiskas atrofijas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G12</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Motoriskā neirona slimība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G24</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Distonija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G30</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Alcheimera slimība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G45</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Cerbrāla transitoriska išēmiska lēkme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9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G50, G54, G56, G60- G63, G95</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Neiropātiskās sāpes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5909"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351EEB" w:rsidRPr="00D85844" w:rsidRDefault="00351EEB" w:rsidP="00351EEB">
            <w:pPr>
              <w:rPr>
                <w:rFonts w:ascii="Times New Roman" w:hAnsi="Times New Roman" w:cs="Times New Roman"/>
                <w:b/>
                <w:bCs/>
                <w:sz w:val="20"/>
                <w:szCs w:val="20"/>
              </w:rPr>
            </w:pPr>
            <w:r w:rsidRPr="00D85844">
              <w:rPr>
                <w:rFonts w:ascii="Times New Roman" w:hAnsi="Times New Roman" w:cs="Times New Roman"/>
                <w:b/>
                <w:bCs/>
                <w:sz w:val="20"/>
                <w:szCs w:val="20"/>
              </w:rPr>
              <w:t>Psihiski un uzvedības traucējumi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r>
      <w:tr w:rsidR="00351EEB" w:rsidRPr="00912D20" w:rsidTr="005E51F2">
        <w:trPr>
          <w:gridAfter w:val="1"/>
          <w:wAfter w:w="3436" w:type="dxa"/>
          <w:trHeight w:val="6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F00, F02, F06</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Demence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6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F21, F22, F25, F31</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xml:space="preserve">Šizotipiski traucējumi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F33</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xml:space="preserve">Rekurenti depresīvi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F71- F73</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Garīga atpalicība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F84</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Pervezīvi attīstības traucējumi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F98.0</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Neorganiska enurēze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5909"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351EEB" w:rsidRPr="00D85844" w:rsidRDefault="00351EEB" w:rsidP="00351EEB">
            <w:pPr>
              <w:rPr>
                <w:rFonts w:ascii="Times New Roman" w:hAnsi="Times New Roman" w:cs="Times New Roman"/>
                <w:b/>
                <w:bCs/>
                <w:sz w:val="20"/>
                <w:szCs w:val="20"/>
              </w:rPr>
            </w:pPr>
            <w:r w:rsidRPr="00D85844">
              <w:rPr>
                <w:rFonts w:ascii="Times New Roman" w:hAnsi="Times New Roman" w:cs="Times New Roman"/>
                <w:b/>
                <w:bCs/>
                <w:sz w:val="20"/>
                <w:szCs w:val="20"/>
              </w:rPr>
              <w:t>Uroģenitālās sistēmas slimības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N40</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Prostatas hiperplāzija</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N80</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 xml:space="preserve">Endometrioze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r w:rsidR="00351EEB" w:rsidRPr="00912D20" w:rsidTr="005E51F2">
        <w:trPr>
          <w:gridAfter w:val="1"/>
          <w:wAfter w:w="3436" w:type="dxa"/>
          <w:trHeight w:val="300"/>
        </w:trPr>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N92, N95</w:t>
            </w:r>
          </w:p>
        </w:tc>
        <w:tc>
          <w:tcPr>
            <w:tcW w:w="4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sz w:val="20"/>
                <w:szCs w:val="20"/>
              </w:rPr>
            </w:pPr>
            <w:r w:rsidRPr="00D85844">
              <w:rPr>
                <w:rFonts w:ascii="Times New Roman" w:hAnsi="Times New Roman" w:cs="Times New Roman"/>
                <w:sz w:val="20"/>
                <w:szCs w:val="20"/>
              </w:rPr>
              <w:t>Menstruāli traucējumi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1EEB" w:rsidRPr="00D85844" w:rsidRDefault="00351EEB" w:rsidP="00351EEB">
            <w:pPr>
              <w:jc w:val="center"/>
              <w:rPr>
                <w:rFonts w:ascii="Times New Roman" w:hAnsi="Times New Roman" w:cs="Times New Roman"/>
                <w:color w:val="000000"/>
                <w:sz w:val="20"/>
                <w:szCs w:val="20"/>
              </w:rPr>
            </w:pPr>
            <w:r w:rsidRPr="00D85844">
              <w:rPr>
                <w:rFonts w:ascii="Times New Roman" w:hAnsi="Times New Roman" w:cs="Times New Roman"/>
                <w:color w:val="000000"/>
                <w:sz w:val="20"/>
                <w:szCs w:val="20"/>
              </w:rPr>
              <w:t>75%</w:t>
            </w:r>
          </w:p>
        </w:tc>
      </w:tr>
    </w:tbl>
    <w:p w:rsidR="00351EEB" w:rsidRPr="00A2740E" w:rsidRDefault="000F188D" w:rsidP="00A2740E">
      <w:pPr>
        <w:pStyle w:val="NoSpacing"/>
        <w:jc w:val="both"/>
        <w:rPr>
          <w:rFonts w:ascii="Times New Roman" w:hAnsi="Times New Roman"/>
          <w:i/>
          <w:sz w:val="20"/>
          <w:szCs w:val="20"/>
        </w:rPr>
      </w:pPr>
      <w:r>
        <w:rPr>
          <w:rFonts w:ascii="Times New Roman" w:hAnsi="Times New Roman"/>
          <w:i/>
          <w:sz w:val="20"/>
          <w:szCs w:val="20"/>
        </w:rPr>
        <w:t xml:space="preserve">    </w:t>
      </w:r>
      <w:r w:rsidRPr="002040D7">
        <w:rPr>
          <w:rFonts w:ascii="Times New Roman" w:hAnsi="Times New Roman"/>
          <w:i/>
          <w:sz w:val="20"/>
          <w:szCs w:val="20"/>
        </w:rPr>
        <w:t xml:space="preserve">Avots: </w:t>
      </w:r>
      <w:r>
        <w:rPr>
          <w:rFonts w:ascii="Times New Roman" w:hAnsi="Times New Roman"/>
          <w:i/>
          <w:sz w:val="20"/>
          <w:szCs w:val="20"/>
        </w:rPr>
        <w:t>Nacionālais veselības dienests</w:t>
      </w:r>
      <w:r w:rsidR="00A2740E">
        <w:rPr>
          <w:rFonts w:ascii="Times New Roman" w:hAnsi="Times New Roman"/>
          <w:i/>
          <w:sz w:val="20"/>
          <w:szCs w:val="20"/>
        </w:rPr>
        <w:t xml:space="preserve"> </w:t>
      </w:r>
    </w:p>
    <w:p w:rsidR="00351EEB" w:rsidRPr="00D85844" w:rsidRDefault="005E51F2" w:rsidP="005E51F2">
      <w:pPr>
        <w:autoSpaceDE w:val="0"/>
        <w:autoSpaceDN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85844" w:rsidRPr="00D85844">
        <w:rPr>
          <w:rFonts w:ascii="Times New Roman" w:hAnsi="Times New Roman" w:cs="Times New Roman"/>
          <w:color w:val="000000"/>
          <w:sz w:val="24"/>
          <w:szCs w:val="24"/>
        </w:rPr>
        <w:t>1</w:t>
      </w:r>
      <w:r w:rsidR="00783301">
        <w:rPr>
          <w:rFonts w:ascii="Times New Roman" w:hAnsi="Times New Roman" w:cs="Times New Roman"/>
          <w:color w:val="000000"/>
          <w:sz w:val="24"/>
          <w:szCs w:val="24"/>
        </w:rPr>
        <w:t>4</w:t>
      </w:r>
      <w:proofErr w:type="gramStart"/>
      <w:r w:rsidR="00351EEB" w:rsidRPr="00D85844">
        <w:rPr>
          <w:rFonts w:ascii="Times New Roman" w:hAnsi="Times New Roman" w:cs="Times New Roman"/>
          <w:color w:val="000000"/>
          <w:sz w:val="24"/>
          <w:szCs w:val="24"/>
        </w:rPr>
        <w:t>.tabula</w:t>
      </w:r>
      <w:proofErr w:type="gramEnd"/>
    </w:p>
    <w:p w:rsidR="00351EEB" w:rsidRPr="00D85844" w:rsidRDefault="00351EEB" w:rsidP="00351EEB">
      <w:pPr>
        <w:autoSpaceDE w:val="0"/>
        <w:autoSpaceDN w:val="0"/>
        <w:spacing w:line="240" w:lineRule="auto"/>
        <w:jc w:val="center"/>
        <w:rPr>
          <w:rFonts w:ascii="Times New Roman" w:hAnsi="Times New Roman" w:cs="Times New Roman"/>
          <w:b/>
          <w:color w:val="000000"/>
          <w:sz w:val="24"/>
          <w:szCs w:val="24"/>
        </w:rPr>
      </w:pPr>
      <w:r w:rsidRPr="00D85844">
        <w:rPr>
          <w:rFonts w:ascii="Times New Roman" w:hAnsi="Times New Roman" w:cs="Times New Roman"/>
          <w:b/>
          <w:color w:val="000000"/>
          <w:sz w:val="24"/>
          <w:szCs w:val="24"/>
        </w:rPr>
        <w:t xml:space="preserve">Aprēķins par </w:t>
      </w:r>
      <w:r w:rsidRPr="00D85844">
        <w:rPr>
          <w:rFonts w:ascii="Times New Roman" w:hAnsi="Times New Roman" w:cs="Times New Roman"/>
          <w:b/>
          <w:bCs/>
          <w:iCs/>
          <w:color w:val="000000"/>
          <w:sz w:val="24"/>
          <w:szCs w:val="24"/>
        </w:rPr>
        <w:t>kompensācijas apmēra maiņu no 50% uz 75% (gads)</w:t>
      </w:r>
    </w:p>
    <w:tbl>
      <w:tblPr>
        <w:tblW w:w="9280" w:type="dxa"/>
        <w:tblInd w:w="94" w:type="dxa"/>
        <w:tblLook w:val="04A0"/>
      </w:tblPr>
      <w:tblGrid>
        <w:gridCol w:w="2440"/>
        <w:gridCol w:w="2620"/>
        <w:gridCol w:w="2320"/>
        <w:gridCol w:w="1900"/>
      </w:tblGrid>
      <w:tr w:rsidR="00351EEB" w:rsidRPr="00D85844" w:rsidTr="00D85844">
        <w:trPr>
          <w:trHeight w:val="63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EEB" w:rsidRPr="00D85844" w:rsidRDefault="00D85844" w:rsidP="00D8584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apmērs</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351EEB" w:rsidRPr="00D85844" w:rsidRDefault="00D85844" w:rsidP="00D8584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U</w:t>
            </w:r>
            <w:r w:rsidR="00351EEB" w:rsidRPr="00D85844">
              <w:rPr>
                <w:rFonts w:ascii="Times New Roman" w:eastAsia="Times New Roman" w:hAnsi="Times New Roman" w:cs="Times New Roman"/>
                <w:lang w:eastAsia="lv-LV"/>
              </w:rPr>
              <w:t>nikālo pacientu skaits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351EEB" w:rsidRPr="00D85844" w:rsidRDefault="00D85844" w:rsidP="00D8584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V</w:t>
            </w:r>
            <w:r w:rsidR="00351EEB" w:rsidRPr="00D85844">
              <w:rPr>
                <w:rFonts w:ascii="Times New Roman" w:eastAsia="Times New Roman" w:hAnsi="Times New Roman" w:cs="Times New Roman"/>
                <w:lang w:eastAsia="lv-LV"/>
              </w:rPr>
              <w:t xml:space="preserve">iena unikālā pacienta vidējās izmaksas </w:t>
            </w:r>
            <w:r>
              <w:rPr>
                <w:rFonts w:ascii="Times New Roman" w:eastAsia="Times New Roman" w:hAnsi="Times New Roman" w:cs="Times New Roman"/>
                <w:lang w:eastAsia="lv-LV"/>
              </w:rPr>
              <w:t>(</w:t>
            </w:r>
            <w:r w:rsidR="00351EEB" w:rsidRPr="00D85844">
              <w:rPr>
                <w:rFonts w:ascii="Times New Roman" w:eastAsia="Times New Roman" w:hAnsi="Times New Roman" w:cs="Times New Roman"/>
                <w:lang w:eastAsia="lv-LV"/>
              </w:rPr>
              <w:t>Ls</w:t>
            </w:r>
            <w:r>
              <w:rPr>
                <w:rFonts w:ascii="Times New Roman" w:eastAsia="Times New Roman" w:hAnsi="Times New Roman" w:cs="Times New Roman"/>
                <w:lang w:eastAsia="lv-LV"/>
              </w:rPr>
              <w:t>)</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51EEB" w:rsidRPr="00D85844" w:rsidRDefault="00D85844" w:rsidP="00D8584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Kopējās izmaksas</w:t>
            </w:r>
            <w:r w:rsidR="00351EEB" w:rsidRPr="00D85844">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w:t>
            </w:r>
            <w:r w:rsidR="00351EEB" w:rsidRPr="00D85844">
              <w:rPr>
                <w:rFonts w:ascii="Times New Roman" w:eastAsia="Times New Roman" w:hAnsi="Times New Roman" w:cs="Times New Roman"/>
                <w:lang w:eastAsia="lv-LV"/>
              </w:rPr>
              <w:t>Ls</w:t>
            </w:r>
            <w:r>
              <w:rPr>
                <w:rFonts w:ascii="Times New Roman" w:eastAsia="Times New Roman" w:hAnsi="Times New Roman" w:cs="Times New Roman"/>
                <w:lang w:eastAsia="lv-LV"/>
              </w:rPr>
              <w:t>)</w:t>
            </w:r>
          </w:p>
        </w:tc>
      </w:tr>
      <w:tr w:rsidR="00361B55" w:rsidRPr="00D85844" w:rsidTr="00351EEB">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361B55" w:rsidRPr="00D85844" w:rsidRDefault="00361B55" w:rsidP="00351EEB">
            <w:pPr>
              <w:spacing w:after="0" w:line="240" w:lineRule="auto"/>
              <w:rPr>
                <w:rFonts w:ascii="Times New Roman" w:eastAsia="Times New Roman" w:hAnsi="Times New Roman" w:cs="Times New Roman"/>
                <w:lang w:eastAsia="lv-LV"/>
              </w:rPr>
            </w:pPr>
            <w:r w:rsidRPr="00D85844">
              <w:rPr>
                <w:rFonts w:ascii="Times New Roman" w:eastAsia="Times New Roman" w:hAnsi="Times New Roman" w:cs="Times New Roman"/>
                <w:lang w:eastAsia="lv-LV"/>
              </w:rPr>
              <w:t>50% kompensācija</w:t>
            </w:r>
          </w:p>
        </w:tc>
        <w:tc>
          <w:tcPr>
            <w:tcW w:w="2620" w:type="dxa"/>
            <w:tcBorders>
              <w:top w:val="nil"/>
              <w:left w:val="nil"/>
              <w:bottom w:val="single" w:sz="4" w:space="0" w:color="auto"/>
              <w:right w:val="single" w:sz="4" w:space="0" w:color="auto"/>
            </w:tcBorders>
            <w:shd w:val="clear" w:color="000000" w:fill="FFFFFF"/>
            <w:noWrap/>
            <w:vAlign w:val="bottom"/>
            <w:hideMark/>
          </w:tcPr>
          <w:p w:rsidR="00361B55" w:rsidRPr="00D85844" w:rsidRDefault="00361B55" w:rsidP="00351EEB">
            <w:pPr>
              <w:spacing w:after="0" w:line="240" w:lineRule="auto"/>
              <w:jc w:val="right"/>
              <w:rPr>
                <w:rFonts w:ascii="Times New Roman" w:eastAsia="Times New Roman" w:hAnsi="Times New Roman" w:cs="Times New Roman"/>
                <w:lang w:eastAsia="lv-LV"/>
              </w:rPr>
            </w:pPr>
            <w:r w:rsidRPr="00D85844">
              <w:rPr>
                <w:rFonts w:ascii="Times New Roman" w:eastAsia="Times New Roman" w:hAnsi="Times New Roman" w:cs="Times New Roman"/>
                <w:lang w:eastAsia="lv-LV"/>
              </w:rPr>
              <w:t>147 566</w:t>
            </w:r>
          </w:p>
        </w:tc>
        <w:tc>
          <w:tcPr>
            <w:tcW w:w="2320" w:type="dxa"/>
            <w:tcBorders>
              <w:top w:val="nil"/>
              <w:left w:val="nil"/>
              <w:bottom w:val="single" w:sz="4" w:space="0" w:color="auto"/>
              <w:right w:val="single" w:sz="4" w:space="0" w:color="auto"/>
            </w:tcBorders>
            <w:shd w:val="clear" w:color="000000" w:fill="FFFFFF"/>
            <w:noWrap/>
            <w:vAlign w:val="bottom"/>
            <w:hideMark/>
          </w:tcPr>
          <w:p w:rsidR="00361B55" w:rsidRPr="00D85844" w:rsidRDefault="00361B55" w:rsidP="00351EEB">
            <w:pPr>
              <w:spacing w:after="0" w:line="240" w:lineRule="auto"/>
              <w:jc w:val="right"/>
              <w:rPr>
                <w:rFonts w:ascii="Times New Roman" w:eastAsia="Times New Roman" w:hAnsi="Times New Roman" w:cs="Times New Roman"/>
                <w:lang w:eastAsia="lv-LV"/>
              </w:rPr>
            </w:pPr>
            <w:r w:rsidRPr="00D85844">
              <w:rPr>
                <w:rFonts w:ascii="Times New Roman" w:eastAsia="Times New Roman" w:hAnsi="Times New Roman" w:cs="Times New Roman"/>
                <w:lang w:eastAsia="lv-LV"/>
              </w:rPr>
              <w:t>25,32</w:t>
            </w:r>
          </w:p>
        </w:tc>
        <w:tc>
          <w:tcPr>
            <w:tcW w:w="1900" w:type="dxa"/>
            <w:tcBorders>
              <w:top w:val="nil"/>
              <w:left w:val="nil"/>
              <w:bottom w:val="single" w:sz="4" w:space="0" w:color="auto"/>
              <w:right w:val="single" w:sz="4" w:space="0" w:color="auto"/>
            </w:tcBorders>
            <w:shd w:val="clear" w:color="000000" w:fill="FFFFFF"/>
            <w:noWrap/>
            <w:vAlign w:val="bottom"/>
            <w:hideMark/>
          </w:tcPr>
          <w:p w:rsidR="00361B55" w:rsidRPr="00D85844" w:rsidRDefault="00361B55" w:rsidP="00361B55">
            <w:pPr>
              <w:spacing w:after="0" w:line="240" w:lineRule="auto"/>
              <w:jc w:val="right"/>
              <w:rPr>
                <w:rFonts w:ascii="Times New Roman" w:eastAsia="Times New Roman" w:hAnsi="Times New Roman" w:cs="Times New Roman"/>
                <w:lang w:eastAsia="lv-LV"/>
              </w:rPr>
            </w:pPr>
            <w:r w:rsidRPr="00D85844">
              <w:rPr>
                <w:rFonts w:ascii="Times New Roman" w:eastAsia="Times New Roman" w:hAnsi="Times New Roman" w:cs="Times New Roman"/>
                <w:lang w:eastAsia="lv-LV"/>
              </w:rPr>
              <w:t>3 736 371</w:t>
            </w:r>
          </w:p>
        </w:tc>
      </w:tr>
      <w:tr w:rsidR="00361B55" w:rsidRPr="00D85844" w:rsidTr="00351EEB">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361B55" w:rsidRPr="00D85844" w:rsidRDefault="00361B55" w:rsidP="00351EEB">
            <w:pPr>
              <w:spacing w:after="0" w:line="240" w:lineRule="auto"/>
              <w:rPr>
                <w:rFonts w:ascii="Times New Roman" w:eastAsia="Times New Roman" w:hAnsi="Times New Roman" w:cs="Times New Roman"/>
                <w:lang w:eastAsia="lv-LV"/>
              </w:rPr>
            </w:pPr>
            <w:r w:rsidRPr="00D85844">
              <w:rPr>
                <w:rFonts w:ascii="Times New Roman" w:eastAsia="Times New Roman" w:hAnsi="Times New Roman" w:cs="Times New Roman"/>
                <w:lang w:eastAsia="lv-LV"/>
              </w:rPr>
              <w:t>75% kompensācija</w:t>
            </w:r>
          </w:p>
        </w:tc>
        <w:tc>
          <w:tcPr>
            <w:tcW w:w="2620" w:type="dxa"/>
            <w:tcBorders>
              <w:top w:val="nil"/>
              <w:left w:val="nil"/>
              <w:bottom w:val="single" w:sz="4" w:space="0" w:color="auto"/>
              <w:right w:val="single" w:sz="4" w:space="0" w:color="auto"/>
            </w:tcBorders>
            <w:shd w:val="clear" w:color="000000" w:fill="FFFFFF"/>
            <w:noWrap/>
            <w:vAlign w:val="bottom"/>
            <w:hideMark/>
          </w:tcPr>
          <w:p w:rsidR="00361B55" w:rsidRPr="00D85844" w:rsidRDefault="00361B55" w:rsidP="00351EEB">
            <w:pPr>
              <w:spacing w:after="0" w:line="240" w:lineRule="auto"/>
              <w:jc w:val="right"/>
              <w:rPr>
                <w:rFonts w:ascii="Times New Roman" w:eastAsia="Times New Roman" w:hAnsi="Times New Roman" w:cs="Times New Roman"/>
                <w:lang w:eastAsia="lv-LV"/>
              </w:rPr>
            </w:pPr>
            <w:r w:rsidRPr="00D85844">
              <w:rPr>
                <w:rFonts w:ascii="Times New Roman" w:eastAsia="Times New Roman" w:hAnsi="Times New Roman" w:cs="Times New Roman"/>
                <w:lang w:eastAsia="lv-LV"/>
              </w:rPr>
              <w:t>147 566</w:t>
            </w:r>
          </w:p>
        </w:tc>
        <w:tc>
          <w:tcPr>
            <w:tcW w:w="2320" w:type="dxa"/>
            <w:tcBorders>
              <w:top w:val="nil"/>
              <w:left w:val="nil"/>
              <w:bottom w:val="single" w:sz="4" w:space="0" w:color="auto"/>
              <w:right w:val="single" w:sz="4" w:space="0" w:color="auto"/>
            </w:tcBorders>
            <w:shd w:val="clear" w:color="000000" w:fill="FFFFFF"/>
            <w:noWrap/>
            <w:vAlign w:val="bottom"/>
            <w:hideMark/>
          </w:tcPr>
          <w:p w:rsidR="00361B55" w:rsidRPr="00D85844" w:rsidRDefault="00361B55" w:rsidP="00351EEB">
            <w:pPr>
              <w:spacing w:after="0" w:line="240" w:lineRule="auto"/>
              <w:jc w:val="right"/>
              <w:rPr>
                <w:rFonts w:ascii="Times New Roman" w:eastAsia="Times New Roman" w:hAnsi="Times New Roman" w:cs="Times New Roman"/>
                <w:lang w:eastAsia="lv-LV"/>
              </w:rPr>
            </w:pPr>
            <w:r w:rsidRPr="00D85844">
              <w:rPr>
                <w:rFonts w:ascii="Times New Roman" w:eastAsia="Times New Roman" w:hAnsi="Times New Roman" w:cs="Times New Roman"/>
                <w:lang w:eastAsia="lv-LV"/>
              </w:rPr>
              <w:t>37,98</w:t>
            </w:r>
          </w:p>
        </w:tc>
        <w:tc>
          <w:tcPr>
            <w:tcW w:w="1900" w:type="dxa"/>
            <w:tcBorders>
              <w:top w:val="nil"/>
              <w:left w:val="nil"/>
              <w:bottom w:val="single" w:sz="4" w:space="0" w:color="auto"/>
              <w:right w:val="single" w:sz="4" w:space="0" w:color="auto"/>
            </w:tcBorders>
            <w:shd w:val="clear" w:color="000000" w:fill="FFFFFF"/>
            <w:noWrap/>
            <w:vAlign w:val="bottom"/>
            <w:hideMark/>
          </w:tcPr>
          <w:p w:rsidR="00361B55" w:rsidRPr="00D85844" w:rsidRDefault="00361B55" w:rsidP="00361B55">
            <w:pPr>
              <w:spacing w:after="0" w:line="240" w:lineRule="auto"/>
              <w:jc w:val="right"/>
              <w:rPr>
                <w:rFonts w:ascii="Times New Roman" w:eastAsia="Times New Roman" w:hAnsi="Times New Roman" w:cs="Times New Roman"/>
                <w:lang w:eastAsia="lv-LV"/>
              </w:rPr>
            </w:pPr>
            <w:r w:rsidRPr="00D85844">
              <w:rPr>
                <w:rFonts w:ascii="Times New Roman" w:eastAsia="Times New Roman" w:hAnsi="Times New Roman" w:cs="Times New Roman"/>
                <w:lang w:eastAsia="lv-LV"/>
              </w:rPr>
              <w:t>5 604 557</w:t>
            </w:r>
          </w:p>
        </w:tc>
      </w:tr>
      <w:tr w:rsidR="00361B55" w:rsidRPr="00D85844" w:rsidTr="00351EEB">
        <w:trPr>
          <w:trHeight w:val="315"/>
        </w:trPr>
        <w:tc>
          <w:tcPr>
            <w:tcW w:w="73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1B55" w:rsidRPr="00D85844" w:rsidRDefault="00D85844" w:rsidP="00D85844">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w:t>
            </w:r>
            <w:r w:rsidR="00361B55" w:rsidRPr="00D85844">
              <w:rPr>
                <w:rFonts w:ascii="Times New Roman" w:eastAsia="Times New Roman" w:hAnsi="Times New Roman" w:cs="Times New Roman"/>
                <w:b/>
                <w:bCs/>
                <w:lang w:eastAsia="lv-LV"/>
              </w:rPr>
              <w:t>zmaksu palielinājums</w:t>
            </w:r>
            <w:r>
              <w:rPr>
                <w:rFonts w:ascii="Times New Roman" w:eastAsia="Times New Roman" w:hAnsi="Times New Roman" w:cs="Times New Roman"/>
                <w:b/>
                <w:bCs/>
                <w:lang w:eastAsia="lv-LV"/>
              </w:rPr>
              <w:t xml:space="preserve"> gadā</w:t>
            </w:r>
          </w:p>
        </w:tc>
        <w:tc>
          <w:tcPr>
            <w:tcW w:w="1900" w:type="dxa"/>
            <w:tcBorders>
              <w:top w:val="nil"/>
              <w:left w:val="nil"/>
              <w:bottom w:val="single" w:sz="4" w:space="0" w:color="auto"/>
              <w:right w:val="single" w:sz="4" w:space="0" w:color="auto"/>
            </w:tcBorders>
            <w:shd w:val="clear" w:color="auto" w:fill="auto"/>
            <w:noWrap/>
            <w:vAlign w:val="bottom"/>
            <w:hideMark/>
          </w:tcPr>
          <w:p w:rsidR="00361B55" w:rsidRPr="00D85844" w:rsidRDefault="00361B55" w:rsidP="00D85844">
            <w:pPr>
              <w:pStyle w:val="ListParagraph"/>
              <w:numPr>
                <w:ilvl w:val="0"/>
                <w:numId w:val="24"/>
              </w:numPr>
              <w:spacing w:after="0" w:line="240" w:lineRule="auto"/>
              <w:jc w:val="right"/>
              <w:rPr>
                <w:rFonts w:ascii="Times New Roman" w:eastAsia="Times New Roman" w:hAnsi="Times New Roman" w:cs="Times New Roman"/>
                <w:b/>
                <w:bCs/>
                <w:lang w:eastAsia="lv-LV"/>
              </w:rPr>
            </w:pPr>
            <w:r w:rsidRPr="00D85844">
              <w:rPr>
                <w:rFonts w:ascii="Times New Roman" w:eastAsia="Times New Roman" w:hAnsi="Times New Roman" w:cs="Times New Roman"/>
                <w:b/>
                <w:bCs/>
                <w:lang w:eastAsia="lv-LV"/>
              </w:rPr>
              <w:t>868 186</w:t>
            </w:r>
          </w:p>
        </w:tc>
      </w:tr>
    </w:tbl>
    <w:p w:rsidR="000F188D" w:rsidRDefault="000F188D" w:rsidP="000F188D">
      <w:pPr>
        <w:pStyle w:val="NoSpacing"/>
        <w:jc w:val="both"/>
        <w:rPr>
          <w:rFonts w:ascii="Times New Roman" w:hAnsi="Times New Roman"/>
          <w:i/>
          <w:sz w:val="20"/>
          <w:szCs w:val="20"/>
        </w:rPr>
      </w:pPr>
      <w:r>
        <w:rPr>
          <w:rFonts w:ascii="Times New Roman" w:hAnsi="Times New Roman"/>
          <w:i/>
          <w:sz w:val="20"/>
          <w:szCs w:val="20"/>
        </w:rPr>
        <w:t xml:space="preserve">    </w:t>
      </w:r>
      <w:r w:rsidRPr="002040D7">
        <w:rPr>
          <w:rFonts w:ascii="Times New Roman" w:hAnsi="Times New Roman"/>
          <w:i/>
          <w:sz w:val="20"/>
          <w:szCs w:val="20"/>
        </w:rPr>
        <w:t xml:space="preserve">Avots: </w:t>
      </w:r>
      <w:r>
        <w:rPr>
          <w:rFonts w:ascii="Times New Roman" w:hAnsi="Times New Roman"/>
          <w:i/>
          <w:sz w:val="20"/>
          <w:szCs w:val="20"/>
        </w:rPr>
        <w:t>Nacionālais veselības dienests</w:t>
      </w:r>
      <w:r w:rsidRPr="002040D7">
        <w:rPr>
          <w:rFonts w:ascii="Times New Roman" w:hAnsi="Times New Roman"/>
          <w:i/>
          <w:sz w:val="20"/>
          <w:szCs w:val="20"/>
        </w:rPr>
        <w:t xml:space="preserve">    </w:t>
      </w:r>
    </w:p>
    <w:p w:rsidR="00351EEB" w:rsidRDefault="00351EEB" w:rsidP="00351EEB">
      <w:pPr>
        <w:spacing w:line="240" w:lineRule="auto"/>
        <w:rPr>
          <w:rFonts w:ascii="Calibri" w:hAnsi="Calibri"/>
        </w:rPr>
      </w:pPr>
    </w:p>
    <w:p w:rsidR="00D85844" w:rsidRPr="00FC5F33" w:rsidRDefault="00D85844" w:rsidP="00D85844">
      <w:pPr>
        <w:pStyle w:val="ListParagraph"/>
        <w:numPr>
          <w:ilvl w:val="0"/>
          <w:numId w:val="21"/>
        </w:numPr>
        <w:spacing w:line="240" w:lineRule="auto"/>
        <w:jc w:val="both"/>
        <w:rPr>
          <w:rFonts w:ascii="Times New Roman" w:hAnsi="Times New Roman"/>
          <w:b/>
          <w:sz w:val="28"/>
          <w:szCs w:val="28"/>
        </w:rPr>
      </w:pPr>
      <w:r w:rsidRPr="00FC5F33">
        <w:rPr>
          <w:rFonts w:ascii="Times New Roman" w:hAnsi="Times New Roman"/>
          <w:b/>
          <w:sz w:val="28"/>
          <w:szCs w:val="28"/>
        </w:rPr>
        <w:lastRenderedPageBreak/>
        <w:t xml:space="preserve">Kompensācijas apmēra palielināšanai no 50% uz 100% </w:t>
      </w:r>
      <w:r w:rsidRPr="00FC5F33">
        <w:rPr>
          <w:rFonts w:ascii="Times New Roman" w:hAnsi="Times New Roman" w:cs="Times New Roman"/>
          <w:b/>
          <w:sz w:val="28"/>
          <w:szCs w:val="28"/>
        </w:rPr>
        <w:t>Krona slimībai un čūlainajam kolītam</w:t>
      </w:r>
      <w:r w:rsidRPr="00FC5F33">
        <w:rPr>
          <w:b/>
          <w:sz w:val="28"/>
          <w:szCs w:val="28"/>
        </w:rPr>
        <w:t xml:space="preserve"> </w:t>
      </w:r>
    </w:p>
    <w:p w:rsidR="00FC5F33" w:rsidRPr="00FF6C50" w:rsidRDefault="00D85844" w:rsidP="00FF6C50">
      <w:pPr>
        <w:spacing w:line="240" w:lineRule="auto"/>
        <w:ind w:firstLine="720"/>
        <w:jc w:val="both"/>
        <w:rPr>
          <w:rFonts w:ascii="Times New Roman" w:hAnsi="Times New Roman" w:cs="Times New Roman"/>
          <w:bCs/>
          <w:color w:val="000000"/>
          <w:sz w:val="24"/>
          <w:szCs w:val="24"/>
          <w:lang w:eastAsia="lv-LV"/>
        </w:rPr>
      </w:pPr>
      <w:r w:rsidRPr="00D85844">
        <w:rPr>
          <w:rFonts w:ascii="Times New Roman" w:hAnsi="Times New Roman" w:cs="Times New Roman"/>
          <w:bCs/>
          <w:sz w:val="24"/>
          <w:szCs w:val="24"/>
          <w:lang w:eastAsia="lv-LV"/>
        </w:rPr>
        <w:t>Pašlaik zāļu iegādes kompensācijas sistēmā jau tiek kompensēta  zāļu iegāde 100% apmērā pacientiem ar  citām autoimūnām saslimšanām</w:t>
      </w:r>
      <w:r>
        <w:rPr>
          <w:rFonts w:ascii="Times New Roman" w:hAnsi="Times New Roman" w:cs="Times New Roman"/>
          <w:bCs/>
          <w:sz w:val="24"/>
          <w:szCs w:val="24"/>
          <w:lang w:eastAsia="lv-LV"/>
        </w:rPr>
        <w:t xml:space="preserve">, </w:t>
      </w:r>
      <w:r w:rsidRPr="00D85844">
        <w:rPr>
          <w:rFonts w:ascii="Times New Roman" w:hAnsi="Times New Roman" w:cs="Times New Roman"/>
          <w:bCs/>
          <w:sz w:val="24"/>
          <w:szCs w:val="24"/>
          <w:lang w:eastAsia="lv-LV"/>
        </w:rPr>
        <w:t xml:space="preserve">piemēram, ar reimatoīdo artrītu, juvenilo artrītu, psoriātisko artrītu, ankilozējošo spondilītu. Tā kā arī Krona slimībai </w:t>
      </w:r>
      <w:proofErr w:type="gramStart"/>
      <w:r w:rsidRPr="00D85844">
        <w:rPr>
          <w:rFonts w:ascii="Times New Roman" w:hAnsi="Times New Roman" w:cs="Times New Roman"/>
          <w:bCs/>
          <w:sz w:val="24"/>
          <w:szCs w:val="24"/>
          <w:lang w:eastAsia="lv-LV"/>
        </w:rPr>
        <w:t>un</w:t>
      </w:r>
      <w:proofErr w:type="gramEnd"/>
      <w:r w:rsidRPr="00D85844">
        <w:rPr>
          <w:rFonts w:ascii="Times New Roman" w:hAnsi="Times New Roman" w:cs="Times New Roman"/>
          <w:bCs/>
          <w:sz w:val="24"/>
          <w:szCs w:val="24"/>
          <w:lang w:eastAsia="lv-LV"/>
        </w:rPr>
        <w:t xml:space="preserve"> čūlainajam kolītam ir līdzīga izcelsme (autoimūns process), palielinot kompensācijas apmēru līdz 100%, tiktu nodrošināta vienlīdzība zāļu pieejamībā pacientu vidū</w:t>
      </w:r>
      <w:r>
        <w:rPr>
          <w:rFonts w:ascii="Times New Roman" w:hAnsi="Times New Roman" w:cs="Times New Roman"/>
          <w:bCs/>
          <w:sz w:val="24"/>
          <w:szCs w:val="24"/>
          <w:lang w:eastAsia="lv-LV"/>
        </w:rPr>
        <w:t xml:space="preserve"> ar līdzīgām saslimšanām</w:t>
      </w:r>
      <w:r w:rsidRPr="00D85844">
        <w:rPr>
          <w:rFonts w:ascii="Times New Roman" w:hAnsi="Times New Roman" w:cs="Times New Roman"/>
          <w:bCs/>
          <w:sz w:val="24"/>
          <w:szCs w:val="24"/>
          <w:lang w:eastAsia="lv-LV"/>
        </w:rPr>
        <w:t>.</w:t>
      </w:r>
      <w:r>
        <w:rPr>
          <w:rFonts w:ascii="Times New Roman" w:hAnsi="Times New Roman" w:cs="Times New Roman"/>
          <w:bCs/>
          <w:color w:val="000000"/>
          <w:sz w:val="24"/>
          <w:szCs w:val="24"/>
          <w:lang w:eastAsia="lv-LV"/>
        </w:rPr>
        <w:t xml:space="preserve"> </w:t>
      </w:r>
      <w:r w:rsidRPr="00D85844">
        <w:rPr>
          <w:rFonts w:ascii="Times New Roman" w:hAnsi="Times New Roman" w:cs="Times New Roman"/>
          <w:bCs/>
          <w:color w:val="000000"/>
          <w:sz w:val="24"/>
          <w:szCs w:val="24"/>
          <w:lang w:eastAsia="lv-LV"/>
        </w:rPr>
        <w:t xml:space="preserve">Šobrīd </w:t>
      </w:r>
      <w:r w:rsidRPr="00D85844">
        <w:rPr>
          <w:rFonts w:ascii="Times New Roman" w:hAnsi="Times New Roman" w:cs="Times New Roman"/>
          <w:sz w:val="24"/>
          <w:szCs w:val="24"/>
        </w:rPr>
        <w:t xml:space="preserve">Krona slimības </w:t>
      </w:r>
      <w:proofErr w:type="gramStart"/>
      <w:r w:rsidRPr="00D85844">
        <w:rPr>
          <w:rFonts w:ascii="Times New Roman" w:hAnsi="Times New Roman" w:cs="Times New Roman"/>
          <w:sz w:val="24"/>
          <w:szCs w:val="24"/>
        </w:rPr>
        <w:t>un</w:t>
      </w:r>
      <w:proofErr w:type="gramEnd"/>
      <w:r w:rsidRPr="00D85844">
        <w:rPr>
          <w:rFonts w:ascii="Times New Roman" w:hAnsi="Times New Roman" w:cs="Times New Roman"/>
          <w:sz w:val="24"/>
          <w:szCs w:val="24"/>
        </w:rPr>
        <w:t xml:space="preserve"> čūlainajā kolīta ārstēšanai kompensējamo zāļu sarakstā iekļauti šādi medikamenti: Azathioprinum, Dexamethasonum, Mercaptopurinum, Mesalazinum, Methylprednisolonum, Prednisolonum, Sulfasalazinum.</w:t>
      </w:r>
      <w:r>
        <w:rPr>
          <w:rFonts w:ascii="Times New Roman" w:hAnsi="Times New Roman" w:cs="Times New Roman"/>
          <w:bCs/>
          <w:color w:val="000000"/>
          <w:sz w:val="24"/>
          <w:szCs w:val="24"/>
          <w:lang w:eastAsia="lv-LV"/>
        </w:rPr>
        <w:t xml:space="preserve"> </w:t>
      </w:r>
      <w:r w:rsidRPr="00D85844">
        <w:rPr>
          <w:rFonts w:ascii="Times New Roman" w:hAnsi="Times New Roman" w:cs="Times New Roman"/>
          <w:sz w:val="24"/>
          <w:szCs w:val="24"/>
        </w:rPr>
        <w:t xml:space="preserve">Lai </w:t>
      </w:r>
      <w:r w:rsidR="00351EEB" w:rsidRPr="00D85844">
        <w:rPr>
          <w:rFonts w:ascii="Times New Roman" w:hAnsi="Times New Roman" w:cs="Times New Roman"/>
          <w:sz w:val="24"/>
          <w:szCs w:val="24"/>
        </w:rPr>
        <w:t>palielināt</w:t>
      </w:r>
      <w:r>
        <w:rPr>
          <w:rFonts w:ascii="Times New Roman" w:hAnsi="Times New Roman" w:cs="Times New Roman"/>
          <w:sz w:val="24"/>
          <w:szCs w:val="24"/>
        </w:rPr>
        <w:t>u</w:t>
      </w:r>
      <w:r w:rsidR="00351EEB" w:rsidRPr="00D85844">
        <w:rPr>
          <w:rFonts w:ascii="Times New Roman" w:hAnsi="Times New Roman" w:cs="Times New Roman"/>
          <w:sz w:val="24"/>
          <w:szCs w:val="24"/>
        </w:rPr>
        <w:t xml:space="preserve"> kompensācijas </w:t>
      </w:r>
      <w:r>
        <w:rPr>
          <w:rFonts w:ascii="Times New Roman" w:hAnsi="Times New Roman" w:cs="Times New Roman"/>
          <w:sz w:val="24"/>
          <w:szCs w:val="24"/>
        </w:rPr>
        <w:t>apmēru</w:t>
      </w:r>
      <w:r w:rsidR="00351EEB" w:rsidRPr="00D85844">
        <w:rPr>
          <w:rFonts w:ascii="Times New Roman" w:hAnsi="Times New Roman" w:cs="Times New Roman"/>
          <w:sz w:val="24"/>
          <w:szCs w:val="24"/>
        </w:rPr>
        <w:t xml:space="preserve"> no 50% uz 100% Krona slimībai un čūlainajam kolītam kā autoimūnām </w:t>
      </w:r>
      <w:proofErr w:type="gramStart"/>
      <w:r w:rsidR="00351EEB" w:rsidRPr="00D85844">
        <w:rPr>
          <w:rFonts w:ascii="Times New Roman" w:hAnsi="Times New Roman" w:cs="Times New Roman"/>
          <w:sz w:val="24"/>
          <w:szCs w:val="24"/>
        </w:rPr>
        <w:t>saslimšanām  -</w:t>
      </w:r>
      <w:proofErr w:type="gramEnd"/>
      <w:r w:rsidR="00351EEB" w:rsidRPr="00D85844">
        <w:rPr>
          <w:rFonts w:ascii="Times New Roman" w:hAnsi="Times New Roman" w:cs="Times New Roman"/>
          <w:sz w:val="24"/>
          <w:szCs w:val="24"/>
        </w:rPr>
        <w:t xml:space="preserve"> nepieciešams </w:t>
      </w:r>
      <w:r>
        <w:rPr>
          <w:rFonts w:ascii="Times New Roman" w:hAnsi="Times New Roman" w:cs="Times New Roman"/>
          <w:sz w:val="24"/>
          <w:szCs w:val="24"/>
        </w:rPr>
        <w:t xml:space="preserve">papildus gadā </w:t>
      </w:r>
      <w:r w:rsidR="00351EEB" w:rsidRPr="00D85844">
        <w:rPr>
          <w:rFonts w:ascii="Times New Roman" w:hAnsi="Times New Roman" w:cs="Times New Roman"/>
          <w:b/>
          <w:bCs/>
          <w:color w:val="000000"/>
          <w:sz w:val="24"/>
          <w:szCs w:val="24"/>
          <w:lang w:eastAsia="lv-LV"/>
        </w:rPr>
        <w:t xml:space="preserve">122 266 </w:t>
      </w:r>
      <w:r w:rsidRPr="00D85844">
        <w:rPr>
          <w:rFonts w:ascii="Times New Roman" w:hAnsi="Times New Roman" w:cs="Times New Roman"/>
          <w:b/>
          <w:bCs/>
          <w:color w:val="000000"/>
          <w:sz w:val="24"/>
          <w:szCs w:val="24"/>
          <w:lang w:eastAsia="lv-LV"/>
        </w:rPr>
        <w:t>lati</w:t>
      </w:r>
      <w:r>
        <w:rPr>
          <w:rFonts w:ascii="Times New Roman" w:hAnsi="Times New Roman" w:cs="Times New Roman"/>
          <w:bCs/>
          <w:color w:val="000000"/>
          <w:sz w:val="24"/>
          <w:szCs w:val="24"/>
          <w:lang w:eastAsia="lv-LV"/>
        </w:rPr>
        <w:t xml:space="preserve">, </w:t>
      </w:r>
      <w:r w:rsidRPr="00D85844">
        <w:rPr>
          <w:rFonts w:ascii="Times New Roman" w:hAnsi="Times New Roman" w:cs="Times New Roman"/>
          <w:b/>
          <w:bCs/>
          <w:color w:val="000000"/>
          <w:sz w:val="24"/>
          <w:szCs w:val="24"/>
          <w:lang w:eastAsia="lv-LV"/>
        </w:rPr>
        <w:t>pusgadā 61 133 lati</w:t>
      </w:r>
      <w:r w:rsidR="000F188D">
        <w:rPr>
          <w:rFonts w:ascii="Times New Roman" w:hAnsi="Times New Roman" w:cs="Times New Roman"/>
          <w:bCs/>
          <w:color w:val="000000"/>
          <w:sz w:val="24"/>
          <w:szCs w:val="24"/>
          <w:lang w:eastAsia="lv-LV"/>
        </w:rPr>
        <w:t xml:space="preserve"> (</w:t>
      </w:r>
      <w:r w:rsidR="00996D5B">
        <w:rPr>
          <w:rFonts w:ascii="Times New Roman" w:hAnsi="Times New Roman" w:cs="Times New Roman"/>
          <w:bCs/>
          <w:color w:val="000000"/>
          <w:sz w:val="24"/>
          <w:szCs w:val="24"/>
          <w:lang w:eastAsia="lv-LV"/>
        </w:rPr>
        <w:t xml:space="preserve">skat. </w:t>
      </w:r>
      <w:r w:rsidR="00783301">
        <w:rPr>
          <w:rFonts w:ascii="Times New Roman" w:hAnsi="Times New Roman" w:cs="Times New Roman"/>
          <w:bCs/>
          <w:color w:val="000000"/>
          <w:sz w:val="24"/>
          <w:szCs w:val="24"/>
          <w:lang w:eastAsia="lv-LV"/>
        </w:rPr>
        <w:t>15</w:t>
      </w:r>
      <w:proofErr w:type="gramStart"/>
      <w:r>
        <w:rPr>
          <w:rFonts w:ascii="Times New Roman" w:hAnsi="Times New Roman" w:cs="Times New Roman"/>
          <w:bCs/>
          <w:color w:val="000000"/>
          <w:sz w:val="24"/>
          <w:szCs w:val="24"/>
          <w:lang w:eastAsia="lv-LV"/>
        </w:rPr>
        <w:t>.tab</w:t>
      </w:r>
      <w:proofErr w:type="gramEnd"/>
      <w:r>
        <w:rPr>
          <w:rFonts w:ascii="Times New Roman" w:hAnsi="Times New Roman" w:cs="Times New Roman"/>
          <w:bCs/>
          <w:color w:val="000000"/>
          <w:sz w:val="24"/>
          <w:szCs w:val="24"/>
          <w:lang w:eastAsia="lv-LV"/>
        </w:rPr>
        <w:t>.</w:t>
      </w:r>
      <w:r w:rsidR="00351EEB" w:rsidRPr="00D85844">
        <w:rPr>
          <w:rFonts w:ascii="Times New Roman" w:hAnsi="Times New Roman" w:cs="Times New Roman"/>
          <w:bCs/>
          <w:color w:val="000000"/>
          <w:sz w:val="24"/>
          <w:szCs w:val="24"/>
          <w:lang w:eastAsia="lv-LV"/>
        </w:rPr>
        <w:t>)</w:t>
      </w:r>
      <w:r w:rsidR="00FF6C50">
        <w:rPr>
          <w:rFonts w:ascii="Times New Roman" w:hAnsi="Times New Roman" w:cs="Times New Roman"/>
          <w:bCs/>
          <w:color w:val="000000"/>
          <w:sz w:val="24"/>
          <w:szCs w:val="24"/>
          <w:lang w:eastAsia="lv-LV"/>
        </w:rPr>
        <w:t>.</w:t>
      </w:r>
    </w:p>
    <w:p w:rsidR="00351EEB" w:rsidRPr="00D85844" w:rsidRDefault="00783301" w:rsidP="00351EEB">
      <w:pPr>
        <w:spacing w:line="240" w:lineRule="auto"/>
        <w:jc w:val="right"/>
        <w:rPr>
          <w:rFonts w:ascii="Times New Roman" w:hAnsi="Times New Roman" w:cs="Times New Roman"/>
          <w:sz w:val="24"/>
          <w:szCs w:val="24"/>
        </w:rPr>
      </w:pPr>
      <w:r>
        <w:rPr>
          <w:rFonts w:ascii="Times New Roman" w:hAnsi="Times New Roman" w:cs="Times New Roman"/>
          <w:sz w:val="24"/>
          <w:szCs w:val="24"/>
        </w:rPr>
        <w:t>15</w:t>
      </w:r>
      <w:proofErr w:type="gramStart"/>
      <w:r w:rsidR="00351EEB" w:rsidRPr="00D85844">
        <w:rPr>
          <w:rFonts w:ascii="Times New Roman" w:hAnsi="Times New Roman" w:cs="Times New Roman"/>
          <w:sz w:val="24"/>
          <w:szCs w:val="24"/>
        </w:rPr>
        <w:t>.tabula</w:t>
      </w:r>
      <w:proofErr w:type="gramEnd"/>
    </w:p>
    <w:p w:rsidR="00351EEB" w:rsidRPr="00D85844" w:rsidRDefault="00351EEB" w:rsidP="009C27FD">
      <w:pPr>
        <w:spacing w:line="240" w:lineRule="auto"/>
        <w:jc w:val="center"/>
        <w:rPr>
          <w:rFonts w:ascii="Times New Roman" w:hAnsi="Times New Roman" w:cs="Times New Roman"/>
          <w:b/>
          <w:sz w:val="24"/>
          <w:szCs w:val="24"/>
        </w:rPr>
      </w:pPr>
      <w:r w:rsidRPr="00D85844">
        <w:rPr>
          <w:rFonts w:ascii="Times New Roman" w:hAnsi="Times New Roman" w:cs="Times New Roman"/>
          <w:b/>
          <w:sz w:val="24"/>
          <w:szCs w:val="24"/>
        </w:rPr>
        <w:t>Kompensācijas apmēra izmaiņas no 50% uz 100% Krona</w:t>
      </w:r>
      <w:r w:rsidR="00D85844">
        <w:rPr>
          <w:rFonts w:ascii="Times New Roman" w:hAnsi="Times New Roman" w:cs="Times New Roman"/>
          <w:b/>
          <w:sz w:val="24"/>
          <w:szCs w:val="24"/>
        </w:rPr>
        <w:t xml:space="preserve"> slimībai </w:t>
      </w:r>
      <w:proofErr w:type="gramStart"/>
      <w:r w:rsidR="00D85844">
        <w:rPr>
          <w:rFonts w:ascii="Times New Roman" w:hAnsi="Times New Roman" w:cs="Times New Roman"/>
          <w:b/>
          <w:sz w:val="24"/>
          <w:szCs w:val="24"/>
        </w:rPr>
        <w:t>un</w:t>
      </w:r>
      <w:proofErr w:type="gramEnd"/>
      <w:r w:rsidR="00D85844">
        <w:rPr>
          <w:rFonts w:ascii="Times New Roman" w:hAnsi="Times New Roman" w:cs="Times New Roman"/>
          <w:b/>
          <w:sz w:val="24"/>
          <w:szCs w:val="24"/>
        </w:rPr>
        <w:t xml:space="preserve"> čūlainajam kolītam</w:t>
      </w:r>
    </w:p>
    <w:tbl>
      <w:tblPr>
        <w:tblW w:w="9280" w:type="dxa"/>
        <w:jc w:val="center"/>
        <w:tblInd w:w="94" w:type="dxa"/>
        <w:tblLook w:val="04A0"/>
      </w:tblPr>
      <w:tblGrid>
        <w:gridCol w:w="2440"/>
        <w:gridCol w:w="2620"/>
        <w:gridCol w:w="2320"/>
        <w:gridCol w:w="1900"/>
      </w:tblGrid>
      <w:tr w:rsidR="00351EEB" w:rsidRPr="00D85844" w:rsidTr="00D85844">
        <w:trPr>
          <w:trHeight w:val="630"/>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EEB" w:rsidRPr="00D85844" w:rsidRDefault="00D85844" w:rsidP="00D85844">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Apmērs</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351EEB" w:rsidRPr="00D85844" w:rsidRDefault="00D85844" w:rsidP="00D85844">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w:t>
            </w:r>
            <w:r w:rsidR="00351EEB" w:rsidRPr="00D85844">
              <w:rPr>
                <w:rFonts w:ascii="Times New Roman" w:eastAsia="Times New Roman" w:hAnsi="Times New Roman" w:cs="Times New Roman"/>
                <w:color w:val="000000"/>
                <w:sz w:val="24"/>
                <w:szCs w:val="24"/>
                <w:lang w:eastAsia="lv-LV"/>
              </w:rPr>
              <w:t>nikālo pacientu skaits</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351EEB" w:rsidRPr="00D85844" w:rsidRDefault="00D85844" w:rsidP="00D85844">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w:t>
            </w:r>
            <w:r w:rsidR="00351EEB" w:rsidRPr="00D85844">
              <w:rPr>
                <w:rFonts w:ascii="Times New Roman" w:eastAsia="Times New Roman" w:hAnsi="Times New Roman" w:cs="Times New Roman"/>
                <w:color w:val="000000"/>
                <w:sz w:val="24"/>
                <w:szCs w:val="24"/>
                <w:lang w:eastAsia="lv-LV"/>
              </w:rPr>
              <w:t>iena unikālā pacienta vidējās izmaksas, Ls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51EEB" w:rsidRPr="00D85844" w:rsidRDefault="00351EEB" w:rsidP="00D85844">
            <w:pPr>
              <w:spacing w:after="0" w:line="240" w:lineRule="auto"/>
              <w:jc w:val="center"/>
              <w:rPr>
                <w:rFonts w:ascii="Times New Roman" w:eastAsia="Times New Roman" w:hAnsi="Times New Roman" w:cs="Times New Roman"/>
                <w:color w:val="000000"/>
                <w:sz w:val="24"/>
                <w:szCs w:val="24"/>
                <w:lang w:eastAsia="lv-LV"/>
              </w:rPr>
            </w:pPr>
            <w:r w:rsidRPr="00D85844">
              <w:rPr>
                <w:rFonts w:ascii="Times New Roman" w:eastAsia="Times New Roman" w:hAnsi="Times New Roman" w:cs="Times New Roman"/>
                <w:color w:val="000000"/>
                <w:sz w:val="24"/>
                <w:szCs w:val="24"/>
                <w:lang w:eastAsia="lv-LV"/>
              </w:rPr>
              <w:t>Kopējās izmaksas, Ls</w:t>
            </w:r>
          </w:p>
        </w:tc>
      </w:tr>
      <w:tr w:rsidR="00351EEB" w:rsidRPr="00D85844" w:rsidTr="00D85844">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351EEB" w:rsidRPr="00D85844" w:rsidRDefault="00351EEB" w:rsidP="00351EEB">
            <w:pPr>
              <w:spacing w:after="0" w:line="240" w:lineRule="auto"/>
              <w:rPr>
                <w:rFonts w:ascii="Times New Roman" w:eastAsia="Times New Roman" w:hAnsi="Times New Roman" w:cs="Times New Roman"/>
                <w:color w:val="000000"/>
                <w:sz w:val="24"/>
                <w:szCs w:val="24"/>
                <w:lang w:eastAsia="lv-LV"/>
              </w:rPr>
            </w:pPr>
            <w:r w:rsidRPr="00D85844">
              <w:rPr>
                <w:rFonts w:ascii="Times New Roman" w:eastAsia="Times New Roman" w:hAnsi="Times New Roman" w:cs="Times New Roman"/>
                <w:color w:val="000000"/>
                <w:sz w:val="24"/>
                <w:szCs w:val="24"/>
                <w:lang w:eastAsia="lv-LV"/>
              </w:rPr>
              <w:t>50% kompensācija</w:t>
            </w:r>
          </w:p>
        </w:tc>
        <w:tc>
          <w:tcPr>
            <w:tcW w:w="2620" w:type="dxa"/>
            <w:tcBorders>
              <w:top w:val="nil"/>
              <w:left w:val="nil"/>
              <w:bottom w:val="single" w:sz="4" w:space="0" w:color="auto"/>
              <w:right w:val="single" w:sz="4" w:space="0" w:color="auto"/>
            </w:tcBorders>
            <w:shd w:val="clear" w:color="000000" w:fill="FFFFFF"/>
            <w:noWrap/>
            <w:vAlign w:val="bottom"/>
            <w:hideMark/>
          </w:tcPr>
          <w:p w:rsidR="00351EEB" w:rsidRPr="00D85844" w:rsidRDefault="00351EEB" w:rsidP="00D85844">
            <w:pPr>
              <w:spacing w:after="0" w:line="240" w:lineRule="auto"/>
              <w:jc w:val="center"/>
              <w:rPr>
                <w:rFonts w:ascii="Times New Roman" w:eastAsia="Times New Roman" w:hAnsi="Times New Roman" w:cs="Times New Roman"/>
                <w:sz w:val="24"/>
                <w:szCs w:val="24"/>
                <w:lang w:eastAsia="lv-LV"/>
              </w:rPr>
            </w:pPr>
            <w:r w:rsidRPr="00D85844">
              <w:rPr>
                <w:rFonts w:ascii="Times New Roman" w:eastAsia="Times New Roman" w:hAnsi="Times New Roman" w:cs="Times New Roman"/>
                <w:sz w:val="24"/>
                <w:szCs w:val="24"/>
                <w:lang w:eastAsia="lv-LV"/>
              </w:rPr>
              <w:t>1 576</w:t>
            </w:r>
          </w:p>
        </w:tc>
        <w:tc>
          <w:tcPr>
            <w:tcW w:w="2320" w:type="dxa"/>
            <w:tcBorders>
              <w:top w:val="nil"/>
              <w:left w:val="nil"/>
              <w:bottom w:val="single" w:sz="4" w:space="0" w:color="auto"/>
              <w:right w:val="single" w:sz="4" w:space="0" w:color="auto"/>
            </w:tcBorders>
            <w:shd w:val="clear" w:color="000000" w:fill="FFFFFF"/>
            <w:noWrap/>
            <w:vAlign w:val="bottom"/>
            <w:hideMark/>
          </w:tcPr>
          <w:p w:rsidR="00351EEB" w:rsidRPr="00D85844" w:rsidRDefault="00351EEB" w:rsidP="00D85844">
            <w:pPr>
              <w:spacing w:after="0" w:line="240" w:lineRule="auto"/>
              <w:jc w:val="center"/>
              <w:rPr>
                <w:rFonts w:ascii="Times New Roman" w:eastAsia="Times New Roman" w:hAnsi="Times New Roman" w:cs="Times New Roman"/>
                <w:sz w:val="24"/>
                <w:szCs w:val="24"/>
                <w:lang w:eastAsia="lv-LV"/>
              </w:rPr>
            </w:pPr>
            <w:r w:rsidRPr="00D85844">
              <w:rPr>
                <w:rFonts w:ascii="Times New Roman" w:eastAsia="Times New Roman" w:hAnsi="Times New Roman" w:cs="Times New Roman"/>
                <w:sz w:val="24"/>
                <w:szCs w:val="24"/>
                <w:lang w:eastAsia="lv-LV"/>
              </w:rPr>
              <w:t>77,58</w:t>
            </w:r>
          </w:p>
        </w:tc>
        <w:tc>
          <w:tcPr>
            <w:tcW w:w="1900" w:type="dxa"/>
            <w:tcBorders>
              <w:top w:val="nil"/>
              <w:left w:val="nil"/>
              <w:bottom w:val="single" w:sz="4" w:space="0" w:color="auto"/>
              <w:right w:val="single" w:sz="4" w:space="0" w:color="auto"/>
            </w:tcBorders>
            <w:shd w:val="clear" w:color="000000" w:fill="FFFFFF"/>
            <w:noWrap/>
            <w:vAlign w:val="bottom"/>
            <w:hideMark/>
          </w:tcPr>
          <w:p w:rsidR="00351EEB" w:rsidRPr="00D85844" w:rsidRDefault="00351EEB" w:rsidP="00D85844">
            <w:pPr>
              <w:spacing w:after="0" w:line="240" w:lineRule="auto"/>
              <w:jc w:val="center"/>
              <w:rPr>
                <w:rFonts w:ascii="Times New Roman" w:eastAsia="Times New Roman" w:hAnsi="Times New Roman" w:cs="Times New Roman"/>
                <w:sz w:val="24"/>
                <w:szCs w:val="24"/>
                <w:lang w:eastAsia="lv-LV"/>
              </w:rPr>
            </w:pPr>
            <w:r w:rsidRPr="00D85844">
              <w:rPr>
                <w:rFonts w:ascii="Times New Roman" w:eastAsia="Times New Roman" w:hAnsi="Times New Roman" w:cs="Times New Roman"/>
                <w:sz w:val="24"/>
                <w:szCs w:val="24"/>
                <w:lang w:eastAsia="lv-LV"/>
              </w:rPr>
              <w:t>122 266</w:t>
            </w:r>
          </w:p>
        </w:tc>
      </w:tr>
      <w:tr w:rsidR="00351EEB" w:rsidRPr="00D85844" w:rsidTr="00D85844">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351EEB" w:rsidRPr="00D85844" w:rsidRDefault="00351EEB" w:rsidP="00351EEB">
            <w:pPr>
              <w:spacing w:after="0" w:line="240" w:lineRule="auto"/>
              <w:rPr>
                <w:rFonts w:ascii="Times New Roman" w:eastAsia="Times New Roman" w:hAnsi="Times New Roman" w:cs="Times New Roman"/>
                <w:color w:val="000000"/>
                <w:sz w:val="24"/>
                <w:szCs w:val="24"/>
                <w:lang w:eastAsia="lv-LV"/>
              </w:rPr>
            </w:pPr>
            <w:r w:rsidRPr="00D85844">
              <w:rPr>
                <w:rFonts w:ascii="Times New Roman" w:eastAsia="Times New Roman" w:hAnsi="Times New Roman" w:cs="Times New Roman"/>
                <w:color w:val="000000"/>
                <w:sz w:val="24"/>
                <w:szCs w:val="24"/>
                <w:lang w:eastAsia="lv-LV"/>
              </w:rPr>
              <w:t>100% kompensācija</w:t>
            </w:r>
          </w:p>
        </w:tc>
        <w:tc>
          <w:tcPr>
            <w:tcW w:w="2620" w:type="dxa"/>
            <w:tcBorders>
              <w:top w:val="nil"/>
              <w:left w:val="nil"/>
              <w:bottom w:val="single" w:sz="4" w:space="0" w:color="auto"/>
              <w:right w:val="single" w:sz="4" w:space="0" w:color="auto"/>
            </w:tcBorders>
            <w:shd w:val="clear" w:color="000000" w:fill="FFFFFF"/>
            <w:noWrap/>
            <w:vAlign w:val="bottom"/>
            <w:hideMark/>
          </w:tcPr>
          <w:p w:rsidR="00351EEB" w:rsidRPr="00D85844" w:rsidRDefault="00351EEB" w:rsidP="00D85844">
            <w:pPr>
              <w:spacing w:after="0" w:line="240" w:lineRule="auto"/>
              <w:jc w:val="center"/>
              <w:rPr>
                <w:rFonts w:ascii="Times New Roman" w:eastAsia="Times New Roman" w:hAnsi="Times New Roman" w:cs="Times New Roman"/>
                <w:sz w:val="24"/>
                <w:szCs w:val="24"/>
                <w:lang w:eastAsia="lv-LV"/>
              </w:rPr>
            </w:pPr>
            <w:r w:rsidRPr="00D85844">
              <w:rPr>
                <w:rFonts w:ascii="Times New Roman" w:eastAsia="Times New Roman" w:hAnsi="Times New Roman" w:cs="Times New Roman"/>
                <w:sz w:val="24"/>
                <w:szCs w:val="24"/>
                <w:lang w:eastAsia="lv-LV"/>
              </w:rPr>
              <w:t>1 576</w:t>
            </w:r>
          </w:p>
        </w:tc>
        <w:tc>
          <w:tcPr>
            <w:tcW w:w="2320" w:type="dxa"/>
            <w:tcBorders>
              <w:top w:val="nil"/>
              <w:left w:val="nil"/>
              <w:bottom w:val="single" w:sz="4" w:space="0" w:color="auto"/>
              <w:right w:val="single" w:sz="4" w:space="0" w:color="auto"/>
            </w:tcBorders>
            <w:shd w:val="clear" w:color="000000" w:fill="FFFFFF"/>
            <w:noWrap/>
            <w:vAlign w:val="bottom"/>
            <w:hideMark/>
          </w:tcPr>
          <w:p w:rsidR="00351EEB" w:rsidRPr="00D85844" w:rsidRDefault="00351EEB" w:rsidP="00D85844">
            <w:pPr>
              <w:spacing w:after="0" w:line="240" w:lineRule="auto"/>
              <w:jc w:val="center"/>
              <w:rPr>
                <w:rFonts w:ascii="Times New Roman" w:eastAsia="Times New Roman" w:hAnsi="Times New Roman" w:cs="Times New Roman"/>
                <w:sz w:val="24"/>
                <w:szCs w:val="24"/>
                <w:lang w:eastAsia="lv-LV"/>
              </w:rPr>
            </w:pPr>
            <w:r w:rsidRPr="00D85844">
              <w:rPr>
                <w:rFonts w:ascii="Times New Roman" w:eastAsia="Times New Roman" w:hAnsi="Times New Roman" w:cs="Times New Roman"/>
                <w:sz w:val="24"/>
                <w:szCs w:val="24"/>
                <w:lang w:eastAsia="lv-LV"/>
              </w:rPr>
              <w:t>155,16</w:t>
            </w:r>
          </w:p>
        </w:tc>
        <w:tc>
          <w:tcPr>
            <w:tcW w:w="1900" w:type="dxa"/>
            <w:tcBorders>
              <w:top w:val="nil"/>
              <w:left w:val="nil"/>
              <w:bottom w:val="single" w:sz="4" w:space="0" w:color="auto"/>
              <w:right w:val="single" w:sz="4" w:space="0" w:color="auto"/>
            </w:tcBorders>
            <w:shd w:val="clear" w:color="000000" w:fill="FFFFFF"/>
            <w:noWrap/>
            <w:vAlign w:val="bottom"/>
            <w:hideMark/>
          </w:tcPr>
          <w:p w:rsidR="00351EEB" w:rsidRPr="00D85844" w:rsidRDefault="00351EEB" w:rsidP="00D85844">
            <w:pPr>
              <w:spacing w:after="0" w:line="240" w:lineRule="auto"/>
              <w:jc w:val="center"/>
              <w:rPr>
                <w:rFonts w:ascii="Times New Roman" w:eastAsia="Times New Roman" w:hAnsi="Times New Roman" w:cs="Times New Roman"/>
                <w:sz w:val="24"/>
                <w:szCs w:val="24"/>
                <w:lang w:eastAsia="lv-LV"/>
              </w:rPr>
            </w:pPr>
            <w:r w:rsidRPr="00D85844">
              <w:rPr>
                <w:rFonts w:ascii="Times New Roman" w:eastAsia="Times New Roman" w:hAnsi="Times New Roman" w:cs="Times New Roman"/>
                <w:sz w:val="24"/>
                <w:szCs w:val="24"/>
                <w:lang w:eastAsia="lv-LV"/>
              </w:rPr>
              <w:t>244 532</w:t>
            </w:r>
          </w:p>
        </w:tc>
      </w:tr>
      <w:tr w:rsidR="00351EEB" w:rsidRPr="00D85844" w:rsidTr="00D85844">
        <w:trPr>
          <w:trHeight w:val="315"/>
          <w:jc w:val="center"/>
        </w:trPr>
        <w:tc>
          <w:tcPr>
            <w:tcW w:w="73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1EEB" w:rsidRPr="00D85844" w:rsidRDefault="00D85844" w:rsidP="00D85844">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I</w:t>
            </w:r>
            <w:r w:rsidR="00351EEB" w:rsidRPr="00D85844">
              <w:rPr>
                <w:rFonts w:ascii="Times New Roman" w:eastAsia="Times New Roman" w:hAnsi="Times New Roman" w:cs="Times New Roman"/>
                <w:b/>
                <w:bCs/>
                <w:color w:val="000000"/>
                <w:sz w:val="24"/>
                <w:szCs w:val="24"/>
                <w:lang w:eastAsia="lv-LV"/>
              </w:rPr>
              <w:t>zmaksu palielinājums</w:t>
            </w:r>
            <w:r>
              <w:rPr>
                <w:rFonts w:ascii="Times New Roman" w:eastAsia="Times New Roman" w:hAnsi="Times New Roman" w:cs="Times New Roman"/>
                <w:b/>
                <w:bCs/>
                <w:color w:val="000000"/>
                <w:sz w:val="24"/>
                <w:szCs w:val="24"/>
                <w:lang w:eastAsia="lv-LV"/>
              </w:rPr>
              <w:t xml:space="preserve"> gadā</w:t>
            </w:r>
          </w:p>
        </w:tc>
        <w:tc>
          <w:tcPr>
            <w:tcW w:w="1900" w:type="dxa"/>
            <w:tcBorders>
              <w:top w:val="nil"/>
              <w:left w:val="nil"/>
              <w:bottom w:val="single" w:sz="4" w:space="0" w:color="auto"/>
              <w:right w:val="single" w:sz="4" w:space="0" w:color="auto"/>
            </w:tcBorders>
            <w:shd w:val="clear" w:color="auto" w:fill="auto"/>
            <w:noWrap/>
            <w:vAlign w:val="bottom"/>
            <w:hideMark/>
          </w:tcPr>
          <w:p w:rsidR="00351EEB" w:rsidRPr="00D85844" w:rsidRDefault="00D85844" w:rsidP="0055529E">
            <w:pPr>
              <w:numPr>
                <w:ilvl w:val="0"/>
                <w:numId w:val="4"/>
              </w:num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 </w:t>
            </w:r>
            <w:r w:rsidR="00FC5064" w:rsidRPr="00D85844">
              <w:rPr>
                <w:rFonts w:ascii="Times New Roman" w:eastAsia="Times New Roman" w:hAnsi="Times New Roman" w:cs="Times New Roman"/>
                <w:b/>
                <w:bCs/>
                <w:color w:val="000000"/>
                <w:sz w:val="24"/>
                <w:szCs w:val="24"/>
                <w:lang w:eastAsia="lv-LV"/>
              </w:rPr>
              <w:t>26</w:t>
            </w:r>
            <w:r w:rsidR="00351EEB" w:rsidRPr="00D85844">
              <w:rPr>
                <w:rFonts w:ascii="Times New Roman" w:eastAsia="Times New Roman" w:hAnsi="Times New Roman" w:cs="Times New Roman"/>
                <w:b/>
                <w:bCs/>
                <w:color w:val="000000"/>
                <w:sz w:val="24"/>
                <w:szCs w:val="24"/>
                <w:lang w:eastAsia="lv-LV"/>
              </w:rPr>
              <w:t>6</w:t>
            </w:r>
          </w:p>
        </w:tc>
      </w:tr>
    </w:tbl>
    <w:p w:rsidR="00F952EB" w:rsidRPr="000F188D" w:rsidRDefault="000F188D" w:rsidP="000F188D">
      <w:pPr>
        <w:pStyle w:val="NoSpacing"/>
        <w:jc w:val="both"/>
        <w:rPr>
          <w:rFonts w:ascii="Times New Roman" w:hAnsi="Times New Roman"/>
          <w:i/>
          <w:sz w:val="20"/>
          <w:szCs w:val="20"/>
        </w:rPr>
      </w:pPr>
      <w:r>
        <w:rPr>
          <w:rFonts w:ascii="Times New Roman" w:hAnsi="Times New Roman"/>
          <w:i/>
          <w:sz w:val="20"/>
          <w:szCs w:val="20"/>
        </w:rPr>
        <w:t xml:space="preserve">              </w:t>
      </w:r>
      <w:r w:rsidRPr="002040D7">
        <w:rPr>
          <w:rFonts w:ascii="Times New Roman" w:hAnsi="Times New Roman"/>
          <w:i/>
          <w:sz w:val="20"/>
          <w:szCs w:val="20"/>
        </w:rPr>
        <w:t xml:space="preserve">Avots: </w:t>
      </w:r>
      <w:r>
        <w:rPr>
          <w:rFonts w:ascii="Times New Roman" w:hAnsi="Times New Roman"/>
          <w:i/>
          <w:sz w:val="20"/>
          <w:szCs w:val="20"/>
        </w:rPr>
        <w:t xml:space="preserve">Nacionālais veselības dienests  </w:t>
      </w:r>
    </w:p>
    <w:p w:rsidR="00F952EB" w:rsidRDefault="00F952EB" w:rsidP="00351EEB">
      <w:pPr>
        <w:shd w:val="clear" w:color="auto" w:fill="FFFFFF"/>
        <w:spacing w:after="0" w:line="240" w:lineRule="auto"/>
        <w:ind w:firstLine="720"/>
        <w:jc w:val="both"/>
        <w:rPr>
          <w:b/>
        </w:rPr>
      </w:pPr>
    </w:p>
    <w:p w:rsidR="00F952EB" w:rsidRPr="00FC5F33" w:rsidRDefault="00F952EB" w:rsidP="00F952EB">
      <w:pPr>
        <w:spacing w:line="240" w:lineRule="auto"/>
        <w:ind w:left="360"/>
        <w:jc w:val="both"/>
        <w:rPr>
          <w:rFonts w:ascii="Times New Roman" w:hAnsi="Times New Roman" w:cs="Times New Roman"/>
          <w:b/>
          <w:color w:val="000000"/>
          <w:sz w:val="28"/>
          <w:szCs w:val="28"/>
        </w:rPr>
      </w:pPr>
      <w:r w:rsidRPr="00FC5F33">
        <w:rPr>
          <w:rFonts w:ascii="Times New Roman" w:hAnsi="Times New Roman" w:cs="Times New Roman"/>
          <w:b/>
          <w:color w:val="000000"/>
          <w:sz w:val="28"/>
          <w:szCs w:val="28"/>
        </w:rPr>
        <w:t>3</w:t>
      </w:r>
      <w:r w:rsidR="00351EEB" w:rsidRPr="00FC5F33">
        <w:rPr>
          <w:rFonts w:ascii="Times New Roman" w:hAnsi="Times New Roman" w:cs="Times New Roman"/>
          <w:b/>
          <w:color w:val="000000"/>
          <w:sz w:val="28"/>
          <w:szCs w:val="28"/>
        </w:rPr>
        <w:t>.</w:t>
      </w:r>
      <w:r w:rsidRPr="00FC5F33">
        <w:rPr>
          <w:rFonts w:ascii="Times New Roman" w:hAnsi="Times New Roman" w:cs="Times New Roman"/>
          <w:b/>
          <w:color w:val="000000"/>
          <w:sz w:val="28"/>
          <w:szCs w:val="28"/>
        </w:rPr>
        <w:t xml:space="preserve"> K</w:t>
      </w:r>
      <w:r w:rsidR="00351EEB" w:rsidRPr="00FC5F33">
        <w:rPr>
          <w:rFonts w:ascii="Times New Roman" w:hAnsi="Times New Roman" w:cs="Times New Roman"/>
          <w:b/>
          <w:color w:val="000000"/>
          <w:sz w:val="28"/>
          <w:szCs w:val="28"/>
        </w:rPr>
        <w:t xml:space="preserve">ompensācijas paplašināšana kompensējamo zāļu sarakstā </w:t>
      </w:r>
      <w:proofErr w:type="gramStart"/>
      <w:r w:rsidR="00351EEB" w:rsidRPr="00FC5F33">
        <w:rPr>
          <w:rFonts w:ascii="Times New Roman" w:hAnsi="Times New Roman" w:cs="Times New Roman"/>
          <w:b/>
          <w:color w:val="000000"/>
          <w:sz w:val="28"/>
          <w:szCs w:val="28"/>
        </w:rPr>
        <w:t>jau  esošām</w:t>
      </w:r>
      <w:proofErr w:type="gramEnd"/>
      <w:r w:rsidR="00351EEB" w:rsidRPr="00FC5F33">
        <w:rPr>
          <w:rFonts w:ascii="Times New Roman" w:hAnsi="Times New Roman" w:cs="Times New Roman"/>
          <w:b/>
          <w:color w:val="000000"/>
          <w:sz w:val="28"/>
          <w:szCs w:val="28"/>
        </w:rPr>
        <w:t xml:space="preserve"> diagnozēm un jaunām medicīniskām ierīcēm </w:t>
      </w:r>
    </w:p>
    <w:p w:rsidR="00FF6C50" w:rsidRDefault="00996D5B" w:rsidP="004F6498">
      <w:pPr>
        <w:spacing w:after="120" w:line="240" w:lineRule="auto"/>
        <w:ind w:left="357" w:firstLine="720"/>
        <w:jc w:val="both"/>
        <w:rPr>
          <w:rFonts w:ascii="Times New Roman" w:hAnsi="Times New Roman" w:cs="Times New Roman"/>
          <w:sz w:val="24"/>
          <w:szCs w:val="24"/>
        </w:rPr>
      </w:pPr>
      <w:r w:rsidRPr="00601AC8">
        <w:rPr>
          <w:rFonts w:ascii="Times New Roman" w:hAnsi="Times New Roman" w:cs="Times New Roman"/>
          <w:sz w:val="24"/>
          <w:szCs w:val="24"/>
        </w:rPr>
        <w:t xml:space="preserve">Latvijas endokrinologu biedrība </w:t>
      </w:r>
      <w:proofErr w:type="gramStart"/>
      <w:r w:rsidRPr="00601AC8">
        <w:rPr>
          <w:rFonts w:ascii="Times New Roman" w:hAnsi="Times New Roman" w:cs="Times New Roman"/>
          <w:sz w:val="24"/>
          <w:szCs w:val="24"/>
        </w:rPr>
        <w:t>un</w:t>
      </w:r>
      <w:proofErr w:type="gramEnd"/>
      <w:r w:rsidRPr="00601AC8">
        <w:rPr>
          <w:rFonts w:ascii="Times New Roman" w:hAnsi="Times New Roman" w:cs="Times New Roman"/>
          <w:sz w:val="24"/>
          <w:szCs w:val="24"/>
        </w:rPr>
        <w:t xml:space="preserve"> Pediatru endokrinologu asociācija </w:t>
      </w:r>
      <w:r>
        <w:rPr>
          <w:rFonts w:ascii="Times New Roman" w:hAnsi="Times New Roman" w:cs="Times New Roman"/>
          <w:sz w:val="24"/>
          <w:szCs w:val="24"/>
        </w:rPr>
        <w:t>jau ilgstoši ierosina paplašināt</w:t>
      </w:r>
      <w:r w:rsidRPr="00601AC8">
        <w:rPr>
          <w:rFonts w:ascii="Times New Roman" w:hAnsi="Times New Roman" w:cs="Times New Roman"/>
          <w:sz w:val="24"/>
          <w:szCs w:val="24"/>
        </w:rPr>
        <w:t xml:space="preserve"> kompensācij</w:t>
      </w:r>
      <w:r>
        <w:rPr>
          <w:rFonts w:ascii="Times New Roman" w:hAnsi="Times New Roman" w:cs="Times New Roman"/>
          <w:sz w:val="24"/>
          <w:szCs w:val="24"/>
        </w:rPr>
        <w:t>u</w:t>
      </w:r>
      <w:r w:rsidRPr="00601AC8">
        <w:rPr>
          <w:rFonts w:ascii="Times New Roman" w:hAnsi="Times New Roman" w:cs="Times New Roman"/>
          <w:sz w:val="24"/>
          <w:szCs w:val="24"/>
        </w:rPr>
        <w:t xml:space="preserve"> cukura diabēta pacientiem, lai uzlabotu gan insulīna ievadīšanu, gan glikozes līmeņa kontroli asinīs atbilstoši katra pacienta individuālajām vajadzībām. Adekvāta insulīna ievade, kā arī regulāra glikēmijas līmeņa paškontrole asinīs var nodrošināt ievērojami labāku glikozes līmeņa uzraudzību, līdz ar to arī novērst glikozes līmeņa nekontrolētas svārstības un ievērojami samazināt gan hospitalizāciju biežumu neadekvāta glikozes līmeņa gadījumā, gan ilgtermiņā attālināto komplikāciju (piemēram, nieru mazspējas, redzes pasliktināšanās, aterosklerotisku asinsvadu bojājumu utt.) attīstību,  saglabājot pacienta vispārējo veselības stāvokli. </w:t>
      </w:r>
      <w:r w:rsidRPr="00FE37FB">
        <w:rPr>
          <w:rFonts w:ascii="Times New Roman" w:hAnsi="Times New Roman" w:cs="Times New Roman"/>
          <w:sz w:val="24"/>
          <w:szCs w:val="24"/>
        </w:rPr>
        <w:t xml:space="preserve">Insulīna sūkņu lietošana nodrošina labāku glikēmijas kontroli </w:t>
      </w:r>
      <w:proofErr w:type="gramStart"/>
      <w:r w:rsidRPr="00FE37FB">
        <w:rPr>
          <w:rFonts w:ascii="Times New Roman" w:hAnsi="Times New Roman" w:cs="Times New Roman"/>
          <w:sz w:val="24"/>
          <w:szCs w:val="24"/>
        </w:rPr>
        <w:t>un</w:t>
      </w:r>
      <w:proofErr w:type="gramEnd"/>
      <w:r w:rsidRPr="00FE37FB">
        <w:rPr>
          <w:rFonts w:ascii="Times New Roman" w:hAnsi="Times New Roman" w:cs="Times New Roman"/>
          <w:sz w:val="24"/>
          <w:szCs w:val="24"/>
        </w:rPr>
        <w:t xml:space="preserve"> mērķa HbA1c līmeņa sasniegšanu, kā arī mazāku hipoglikēmijas epizožu skaitu noteiktām pacientu grupām ar insulīnatkarīgu cukura diabētu, salīdzinot ar daudzkārtēju insulīna ievadīšanu</w:t>
      </w:r>
      <w:r>
        <w:rPr>
          <w:rFonts w:ascii="Times New Roman" w:hAnsi="Times New Roman" w:cs="Times New Roman"/>
          <w:sz w:val="24"/>
          <w:szCs w:val="24"/>
        </w:rPr>
        <w:t>.</w:t>
      </w:r>
      <w:r w:rsidR="00AC1C8B">
        <w:rPr>
          <w:rFonts w:ascii="Times New Roman" w:hAnsi="Times New Roman" w:cs="Times New Roman"/>
          <w:sz w:val="24"/>
          <w:szCs w:val="24"/>
        </w:rPr>
        <w:t xml:space="preserve"> </w:t>
      </w:r>
      <w:r w:rsidRPr="00601AC8">
        <w:rPr>
          <w:rFonts w:ascii="Times New Roman" w:hAnsi="Times New Roman" w:cs="Times New Roman"/>
          <w:sz w:val="24"/>
          <w:szCs w:val="24"/>
        </w:rPr>
        <w:t>Kompensācijas paplašināšanai kompensējamo zāļu sarakstā jau esošām diagnozēm ar esošām un</w:t>
      </w:r>
      <w:r w:rsidRPr="004F2656">
        <w:rPr>
          <w:rFonts w:ascii="Times New Roman" w:hAnsi="Times New Roman" w:cs="Times New Roman"/>
          <w:color w:val="000000"/>
          <w:sz w:val="24"/>
          <w:szCs w:val="24"/>
        </w:rPr>
        <w:t xml:space="preserve"> jaunām medicīniskām ierīcēm nepieciešams papildus </w:t>
      </w:r>
      <w:r>
        <w:rPr>
          <w:rFonts w:ascii="Times New Roman" w:hAnsi="Times New Roman" w:cs="Times New Roman"/>
          <w:color w:val="000000"/>
          <w:sz w:val="24"/>
          <w:szCs w:val="24"/>
        </w:rPr>
        <w:t xml:space="preserve">2014.gadā </w:t>
      </w:r>
      <w:r w:rsidR="00B6544E">
        <w:rPr>
          <w:rFonts w:ascii="Times New Roman" w:hAnsi="Times New Roman" w:cs="Times New Roman"/>
          <w:b/>
          <w:color w:val="000000"/>
          <w:sz w:val="24"/>
          <w:szCs w:val="24"/>
        </w:rPr>
        <w:t xml:space="preserve">926 </w:t>
      </w:r>
      <w:r w:rsidRPr="0019659C">
        <w:rPr>
          <w:rFonts w:ascii="Times New Roman" w:hAnsi="Times New Roman" w:cs="Times New Roman"/>
          <w:b/>
          <w:color w:val="000000"/>
          <w:sz w:val="24"/>
          <w:szCs w:val="24"/>
        </w:rPr>
        <w:t>000 lati</w:t>
      </w:r>
      <w:r w:rsidRPr="004F2656">
        <w:rPr>
          <w:rFonts w:ascii="Times New Roman" w:hAnsi="Times New Roman" w:cs="Times New Roman"/>
          <w:color w:val="000000"/>
          <w:sz w:val="24"/>
          <w:szCs w:val="24"/>
        </w:rPr>
        <w:t>, tai skaitā,</w:t>
      </w:r>
      <w:r w:rsidRPr="004F2656">
        <w:rPr>
          <w:rFonts w:ascii="Times New Roman" w:hAnsi="Times New Roman" w:cs="Times New Roman"/>
          <w:sz w:val="24"/>
          <w:szCs w:val="24"/>
        </w:rPr>
        <w:t xml:space="preserve"> lai palielinātu teststrēmeļu kompensāciju </w:t>
      </w:r>
      <w:r w:rsidRPr="00F952EB">
        <w:rPr>
          <w:rFonts w:ascii="Times New Roman" w:hAnsi="Times New Roman" w:cs="Times New Roman"/>
          <w:sz w:val="24"/>
          <w:szCs w:val="24"/>
        </w:rPr>
        <w:t>diabēta pacientiem par 25%, papildus nepieciešams Ls 400 000</w:t>
      </w:r>
      <w:r w:rsidRPr="0019659C">
        <w:rPr>
          <w:rFonts w:ascii="Times New Roman" w:hAnsi="Times New Roman" w:cs="Times New Roman"/>
          <w:sz w:val="24"/>
          <w:szCs w:val="24"/>
        </w:rPr>
        <w:t>,</w:t>
      </w:r>
      <w:r w:rsidRPr="00F952EB">
        <w:rPr>
          <w:rFonts w:ascii="Times New Roman" w:hAnsi="Times New Roman" w:cs="Times New Roman"/>
          <w:b/>
          <w:sz w:val="24"/>
          <w:szCs w:val="24"/>
        </w:rPr>
        <w:t xml:space="preserve"> </w:t>
      </w:r>
      <w:r w:rsidRPr="00F952EB">
        <w:rPr>
          <w:rFonts w:ascii="Times New Roman" w:hAnsi="Times New Roman" w:cs="Times New Roman"/>
          <w:sz w:val="24"/>
          <w:szCs w:val="24"/>
        </w:rPr>
        <w:t xml:space="preserve"> lai nodrošinātu adatu iegādi insulīna lietotājiem, nepieciešams papildus Ls 246 000, subkutāna infūzijas komplekta nodr</w:t>
      </w:r>
      <w:r w:rsidR="00B6544E">
        <w:rPr>
          <w:rFonts w:ascii="Times New Roman" w:hAnsi="Times New Roman" w:cs="Times New Roman"/>
          <w:sz w:val="24"/>
          <w:szCs w:val="24"/>
        </w:rPr>
        <w:t>ošināšana diabēta pacientiem (1</w:t>
      </w:r>
      <w:r w:rsidRPr="00F952EB">
        <w:rPr>
          <w:rFonts w:ascii="Times New Roman" w:hAnsi="Times New Roman" w:cs="Times New Roman"/>
          <w:sz w:val="24"/>
          <w:szCs w:val="24"/>
        </w:rPr>
        <w:t>00 bērniem), gadā uz vienu pacientu – no Ls 2 700 līdz Ls 3 000 (ietilpst insulīna sūkņa vidējās vienreizējās izmaks</w:t>
      </w:r>
      <w:r>
        <w:rPr>
          <w:rFonts w:ascii="Times New Roman" w:hAnsi="Times New Roman" w:cs="Times New Roman"/>
          <w:sz w:val="24"/>
          <w:szCs w:val="24"/>
        </w:rPr>
        <w:t>as apmēram Ls 2 000, rezervuāru</w:t>
      </w:r>
      <w:r w:rsidRPr="00F952EB">
        <w:rPr>
          <w:rFonts w:ascii="Times New Roman" w:hAnsi="Times New Roman" w:cs="Times New Roman"/>
          <w:sz w:val="24"/>
          <w:szCs w:val="24"/>
        </w:rPr>
        <w:t>, katetru un sensoru vid</w:t>
      </w:r>
      <w:r>
        <w:rPr>
          <w:rFonts w:ascii="Times New Roman" w:hAnsi="Times New Roman" w:cs="Times New Roman"/>
          <w:sz w:val="24"/>
          <w:szCs w:val="24"/>
        </w:rPr>
        <w:t xml:space="preserve">ējās izmaksas no Ls 700-1000, </w:t>
      </w:r>
      <w:r w:rsidRPr="0019659C">
        <w:rPr>
          <w:rFonts w:ascii="Times New Roman" w:hAnsi="Times New Roman" w:cs="Times New Roman"/>
          <w:sz w:val="24"/>
          <w:szCs w:val="24"/>
          <w:u w:val="single"/>
        </w:rPr>
        <w:t>2013.gada pusgadam</w:t>
      </w:r>
      <w:r>
        <w:rPr>
          <w:rFonts w:ascii="Times New Roman" w:hAnsi="Times New Roman" w:cs="Times New Roman"/>
          <w:sz w:val="24"/>
          <w:szCs w:val="24"/>
        </w:rPr>
        <w:t xml:space="preserve"> nepieciešami papildus </w:t>
      </w:r>
      <w:r w:rsidR="00B6544E">
        <w:rPr>
          <w:rFonts w:ascii="Times New Roman" w:hAnsi="Times New Roman" w:cs="Times New Roman"/>
          <w:b/>
          <w:sz w:val="24"/>
          <w:szCs w:val="24"/>
        </w:rPr>
        <w:t xml:space="preserve">463 </w:t>
      </w:r>
      <w:r w:rsidRPr="0019659C">
        <w:rPr>
          <w:rFonts w:ascii="Times New Roman" w:hAnsi="Times New Roman" w:cs="Times New Roman"/>
          <w:b/>
          <w:sz w:val="24"/>
          <w:szCs w:val="24"/>
        </w:rPr>
        <w:t>000 lati</w:t>
      </w:r>
      <w:r>
        <w:rPr>
          <w:rFonts w:ascii="Times New Roman" w:hAnsi="Times New Roman" w:cs="Times New Roman"/>
          <w:sz w:val="24"/>
          <w:szCs w:val="24"/>
        </w:rPr>
        <w:t xml:space="preserve"> (skat.1</w:t>
      </w:r>
      <w:r w:rsidR="00783301">
        <w:rPr>
          <w:rFonts w:ascii="Times New Roman" w:hAnsi="Times New Roman" w:cs="Times New Roman"/>
          <w:sz w:val="24"/>
          <w:szCs w:val="24"/>
        </w:rPr>
        <w:t>6</w:t>
      </w:r>
      <w:r>
        <w:rPr>
          <w:rFonts w:ascii="Times New Roman" w:hAnsi="Times New Roman" w:cs="Times New Roman"/>
          <w:sz w:val="24"/>
          <w:szCs w:val="24"/>
        </w:rPr>
        <w:t>.tab.</w:t>
      </w:r>
      <w:r w:rsidRPr="00F952EB">
        <w:rPr>
          <w:rFonts w:ascii="Times New Roman" w:hAnsi="Times New Roman" w:cs="Times New Roman"/>
          <w:sz w:val="24"/>
          <w:szCs w:val="24"/>
        </w:rPr>
        <w:t>)</w:t>
      </w:r>
      <w:r>
        <w:rPr>
          <w:rFonts w:ascii="Times New Roman" w:hAnsi="Times New Roman" w:cs="Times New Roman"/>
          <w:sz w:val="24"/>
          <w:szCs w:val="24"/>
        </w:rPr>
        <w:t>.</w:t>
      </w:r>
    </w:p>
    <w:p w:rsidR="00351EEB" w:rsidRPr="004F2656" w:rsidRDefault="00783301" w:rsidP="00351EEB">
      <w:pPr>
        <w:jc w:val="right"/>
        <w:rPr>
          <w:rFonts w:ascii="Times New Roman" w:hAnsi="Times New Roman" w:cs="Times New Roman"/>
          <w:sz w:val="24"/>
          <w:szCs w:val="24"/>
        </w:rPr>
      </w:pPr>
      <w:r>
        <w:rPr>
          <w:rFonts w:ascii="Times New Roman" w:hAnsi="Times New Roman" w:cs="Times New Roman"/>
          <w:sz w:val="24"/>
          <w:szCs w:val="24"/>
        </w:rPr>
        <w:lastRenderedPageBreak/>
        <w:t>16</w:t>
      </w:r>
      <w:proofErr w:type="gramStart"/>
      <w:r w:rsidR="00351EEB" w:rsidRPr="004F2656">
        <w:rPr>
          <w:rFonts w:ascii="Times New Roman" w:hAnsi="Times New Roman" w:cs="Times New Roman"/>
          <w:sz w:val="24"/>
          <w:szCs w:val="24"/>
        </w:rPr>
        <w:t>.tabula</w:t>
      </w:r>
      <w:proofErr w:type="gramEnd"/>
    </w:p>
    <w:p w:rsidR="00351EEB" w:rsidRPr="004F2656" w:rsidRDefault="00351EEB" w:rsidP="00912D20">
      <w:pPr>
        <w:jc w:val="center"/>
        <w:rPr>
          <w:rFonts w:ascii="Times New Roman" w:hAnsi="Times New Roman" w:cs="Times New Roman"/>
          <w:b/>
          <w:color w:val="000000"/>
          <w:sz w:val="24"/>
          <w:szCs w:val="24"/>
        </w:rPr>
      </w:pPr>
      <w:r w:rsidRPr="004F2656">
        <w:rPr>
          <w:rFonts w:ascii="Times New Roman" w:hAnsi="Times New Roman" w:cs="Times New Roman"/>
          <w:b/>
          <w:color w:val="000000"/>
          <w:sz w:val="24"/>
          <w:szCs w:val="24"/>
        </w:rPr>
        <w:t xml:space="preserve">Kompensācijas paplašināšana jau esošām diagnozēm </w:t>
      </w:r>
      <w:r w:rsidR="00912D20" w:rsidRPr="004F2656">
        <w:rPr>
          <w:rFonts w:ascii="Times New Roman" w:hAnsi="Times New Roman" w:cs="Times New Roman"/>
          <w:b/>
          <w:color w:val="000000"/>
          <w:sz w:val="24"/>
          <w:szCs w:val="24"/>
        </w:rPr>
        <w:t>ar medicīn</w:t>
      </w:r>
      <w:r w:rsidR="004F2656">
        <w:rPr>
          <w:rFonts w:ascii="Times New Roman" w:hAnsi="Times New Roman" w:cs="Times New Roman"/>
          <w:b/>
          <w:color w:val="000000"/>
          <w:sz w:val="24"/>
          <w:szCs w:val="24"/>
        </w:rPr>
        <w:t>is</w:t>
      </w:r>
      <w:r w:rsidR="00912D20" w:rsidRPr="004F2656">
        <w:rPr>
          <w:rFonts w:ascii="Times New Roman" w:hAnsi="Times New Roman" w:cs="Times New Roman"/>
          <w:b/>
          <w:color w:val="000000"/>
          <w:sz w:val="24"/>
          <w:szCs w:val="24"/>
        </w:rPr>
        <w:t>kajām ierīcēm</w:t>
      </w:r>
      <w:r w:rsidRPr="004F2656">
        <w:rPr>
          <w:rFonts w:ascii="Times New Roman" w:hAnsi="Times New Roman" w:cs="Times New Roman"/>
          <w:b/>
          <w:color w:val="000000"/>
          <w:sz w:val="24"/>
          <w:szCs w:val="24"/>
        </w:rPr>
        <w:t xml:space="preserve"> (gads)</w:t>
      </w:r>
    </w:p>
    <w:tbl>
      <w:tblPr>
        <w:tblW w:w="9311" w:type="dxa"/>
        <w:jc w:val="center"/>
        <w:tblInd w:w="94" w:type="dxa"/>
        <w:tblLook w:val="04A0"/>
      </w:tblPr>
      <w:tblGrid>
        <w:gridCol w:w="1798"/>
        <w:gridCol w:w="1985"/>
        <w:gridCol w:w="1749"/>
        <w:gridCol w:w="2078"/>
        <w:gridCol w:w="1701"/>
      </w:tblGrid>
      <w:tr w:rsidR="00351EEB" w:rsidRPr="004F2656" w:rsidTr="004F2656">
        <w:trPr>
          <w:trHeight w:val="816"/>
          <w:jc w:val="center"/>
        </w:trPr>
        <w:tc>
          <w:tcPr>
            <w:tcW w:w="1798" w:type="dxa"/>
            <w:tcBorders>
              <w:top w:val="single" w:sz="8" w:space="0" w:color="auto"/>
              <w:left w:val="single" w:sz="8" w:space="0" w:color="auto"/>
              <w:bottom w:val="nil"/>
              <w:right w:val="single" w:sz="8" w:space="0" w:color="auto"/>
            </w:tcBorders>
            <w:shd w:val="clear" w:color="auto" w:fill="auto"/>
            <w:noWrap/>
            <w:vAlign w:val="center"/>
            <w:hideMark/>
          </w:tcPr>
          <w:p w:rsidR="00351EEB" w:rsidRPr="004F2656" w:rsidRDefault="00351EEB" w:rsidP="00351EEB">
            <w:pPr>
              <w:spacing w:after="0" w:line="240" w:lineRule="auto"/>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Diagnožu grupa</w:t>
            </w:r>
          </w:p>
        </w:tc>
        <w:tc>
          <w:tcPr>
            <w:tcW w:w="1985" w:type="dxa"/>
            <w:tcBorders>
              <w:top w:val="single" w:sz="8" w:space="0" w:color="auto"/>
              <w:left w:val="nil"/>
              <w:bottom w:val="nil"/>
              <w:right w:val="single" w:sz="8" w:space="0" w:color="auto"/>
            </w:tcBorders>
            <w:shd w:val="clear" w:color="auto" w:fill="auto"/>
            <w:noWrap/>
            <w:vAlign w:val="center"/>
            <w:hideMark/>
          </w:tcPr>
          <w:p w:rsidR="00351EEB" w:rsidRPr="004F2656" w:rsidRDefault="00351EEB" w:rsidP="00351EEB">
            <w:pPr>
              <w:spacing w:after="0" w:line="240" w:lineRule="auto"/>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Diagnoze</w:t>
            </w:r>
          </w:p>
        </w:tc>
        <w:tc>
          <w:tcPr>
            <w:tcW w:w="1749" w:type="dxa"/>
            <w:tcBorders>
              <w:top w:val="single" w:sz="8" w:space="0" w:color="auto"/>
              <w:left w:val="nil"/>
              <w:bottom w:val="nil"/>
              <w:right w:val="single" w:sz="8" w:space="0" w:color="auto"/>
            </w:tcBorders>
            <w:shd w:val="clear" w:color="auto" w:fill="auto"/>
            <w:vAlign w:val="center"/>
            <w:hideMark/>
          </w:tcPr>
          <w:p w:rsidR="00351EEB" w:rsidRPr="004F2656" w:rsidRDefault="00351EEB" w:rsidP="00351EEB">
            <w:pPr>
              <w:spacing w:after="0" w:line="240" w:lineRule="auto"/>
              <w:jc w:val="center"/>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Prognozējamais pacientu skaits</w:t>
            </w:r>
          </w:p>
        </w:tc>
        <w:tc>
          <w:tcPr>
            <w:tcW w:w="2078" w:type="dxa"/>
            <w:tcBorders>
              <w:top w:val="single" w:sz="8" w:space="0" w:color="auto"/>
              <w:left w:val="nil"/>
              <w:bottom w:val="nil"/>
              <w:right w:val="single" w:sz="8" w:space="0" w:color="auto"/>
            </w:tcBorders>
            <w:shd w:val="clear" w:color="auto" w:fill="auto"/>
            <w:vAlign w:val="center"/>
            <w:hideMark/>
          </w:tcPr>
          <w:p w:rsidR="00351EEB" w:rsidRPr="004F2656" w:rsidRDefault="00351EEB" w:rsidP="00351EEB">
            <w:pPr>
              <w:spacing w:after="0" w:line="240" w:lineRule="auto"/>
              <w:jc w:val="center"/>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Prognozējamās  viena pacienta izmaksas gadā, Ls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51EEB" w:rsidRPr="004F2656" w:rsidRDefault="00351EEB" w:rsidP="00B6544E">
            <w:pPr>
              <w:spacing w:after="0" w:line="240" w:lineRule="auto"/>
              <w:jc w:val="center"/>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Prognozētais nepieciešamais finansējums gadā, Ls</w:t>
            </w:r>
          </w:p>
        </w:tc>
      </w:tr>
      <w:tr w:rsidR="00351EEB" w:rsidRPr="004F2656" w:rsidTr="004F2656">
        <w:trPr>
          <w:trHeight w:val="615"/>
          <w:jc w:val="center"/>
        </w:trPr>
        <w:tc>
          <w:tcPr>
            <w:tcW w:w="179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51EEB" w:rsidRPr="004F2656" w:rsidRDefault="00351EEB" w:rsidP="00351EEB">
            <w:pPr>
              <w:spacing w:after="0" w:line="240" w:lineRule="auto"/>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Endokrinoloģija</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351EEB" w:rsidRPr="004F2656" w:rsidRDefault="00351EEB" w:rsidP="00351EEB">
            <w:pPr>
              <w:spacing w:after="0" w:line="240" w:lineRule="auto"/>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Injekciju adatas  insulīna lietotājiem</w:t>
            </w:r>
          </w:p>
        </w:tc>
        <w:tc>
          <w:tcPr>
            <w:tcW w:w="1749" w:type="dxa"/>
            <w:tcBorders>
              <w:top w:val="single" w:sz="8" w:space="0" w:color="auto"/>
              <w:left w:val="nil"/>
              <w:bottom w:val="single" w:sz="8" w:space="0" w:color="auto"/>
              <w:right w:val="single" w:sz="8" w:space="0" w:color="auto"/>
            </w:tcBorders>
            <w:shd w:val="clear" w:color="auto" w:fill="auto"/>
            <w:noWrap/>
            <w:vAlign w:val="center"/>
            <w:hideMark/>
          </w:tcPr>
          <w:p w:rsidR="00351EEB" w:rsidRPr="004F2656" w:rsidRDefault="00351EEB" w:rsidP="004F2656">
            <w:pPr>
              <w:spacing w:after="0" w:line="240" w:lineRule="auto"/>
              <w:jc w:val="center"/>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12 300</w:t>
            </w:r>
          </w:p>
        </w:tc>
        <w:tc>
          <w:tcPr>
            <w:tcW w:w="2078" w:type="dxa"/>
            <w:tcBorders>
              <w:top w:val="single" w:sz="8" w:space="0" w:color="auto"/>
              <w:left w:val="nil"/>
              <w:bottom w:val="single" w:sz="8" w:space="0" w:color="auto"/>
              <w:right w:val="single" w:sz="8" w:space="0" w:color="auto"/>
            </w:tcBorders>
            <w:shd w:val="clear" w:color="auto" w:fill="auto"/>
            <w:noWrap/>
            <w:vAlign w:val="center"/>
            <w:hideMark/>
          </w:tcPr>
          <w:p w:rsidR="00351EEB" w:rsidRPr="004F2656" w:rsidRDefault="00351EEB" w:rsidP="004F2656">
            <w:pPr>
              <w:spacing w:after="0" w:line="240" w:lineRule="auto"/>
              <w:jc w:val="center"/>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20</w:t>
            </w:r>
          </w:p>
        </w:tc>
        <w:tc>
          <w:tcPr>
            <w:tcW w:w="1701" w:type="dxa"/>
            <w:tcBorders>
              <w:top w:val="nil"/>
              <w:left w:val="nil"/>
              <w:bottom w:val="single" w:sz="8" w:space="0" w:color="auto"/>
              <w:right w:val="single" w:sz="8" w:space="0" w:color="auto"/>
            </w:tcBorders>
            <w:shd w:val="clear" w:color="auto" w:fill="auto"/>
            <w:noWrap/>
            <w:vAlign w:val="center"/>
            <w:hideMark/>
          </w:tcPr>
          <w:p w:rsidR="00351EEB" w:rsidRPr="004F2656" w:rsidRDefault="00351EEB" w:rsidP="004F2656">
            <w:pPr>
              <w:spacing w:after="0" w:line="240" w:lineRule="auto"/>
              <w:jc w:val="center"/>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246 000</w:t>
            </w:r>
          </w:p>
        </w:tc>
      </w:tr>
      <w:tr w:rsidR="00351EEB" w:rsidRPr="004F2656" w:rsidTr="004F2656">
        <w:trPr>
          <w:trHeight w:val="330"/>
          <w:jc w:val="center"/>
        </w:trPr>
        <w:tc>
          <w:tcPr>
            <w:tcW w:w="1798" w:type="dxa"/>
            <w:vMerge/>
            <w:tcBorders>
              <w:top w:val="single" w:sz="8" w:space="0" w:color="auto"/>
              <w:left w:val="single" w:sz="8" w:space="0" w:color="auto"/>
              <w:bottom w:val="single" w:sz="8" w:space="0" w:color="000000"/>
              <w:right w:val="single" w:sz="8" w:space="0" w:color="auto"/>
            </w:tcBorders>
            <w:vAlign w:val="center"/>
            <w:hideMark/>
          </w:tcPr>
          <w:p w:rsidR="00351EEB" w:rsidRPr="004F2656" w:rsidRDefault="00351EEB" w:rsidP="00351EEB">
            <w:pPr>
              <w:spacing w:after="0" w:line="240" w:lineRule="auto"/>
              <w:rPr>
                <w:rFonts w:ascii="Times New Roman" w:eastAsia="Times New Roman" w:hAnsi="Times New Roman" w:cs="Times New Roman"/>
                <w:color w:val="000000"/>
                <w:sz w:val="20"/>
                <w:szCs w:val="20"/>
                <w:lang w:eastAsia="lv-LV"/>
              </w:rPr>
            </w:pPr>
          </w:p>
        </w:tc>
        <w:tc>
          <w:tcPr>
            <w:tcW w:w="1985" w:type="dxa"/>
            <w:tcBorders>
              <w:top w:val="nil"/>
              <w:left w:val="nil"/>
              <w:bottom w:val="single" w:sz="8" w:space="0" w:color="auto"/>
              <w:right w:val="single" w:sz="8" w:space="0" w:color="auto"/>
            </w:tcBorders>
            <w:shd w:val="clear" w:color="auto" w:fill="auto"/>
            <w:vAlign w:val="center"/>
            <w:hideMark/>
          </w:tcPr>
          <w:p w:rsidR="00351EEB" w:rsidRPr="004F2656" w:rsidRDefault="00351EEB" w:rsidP="00351EEB">
            <w:pPr>
              <w:spacing w:after="0" w:line="240" w:lineRule="auto"/>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Insulīna sūkņi</w:t>
            </w:r>
          </w:p>
        </w:tc>
        <w:tc>
          <w:tcPr>
            <w:tcW w:w="1749" w:type="dxa"/>
            <w:tcBorders>
              <w:top w:val="nil"/>
              <w:left w:val="nil"/>
              <w:bottom w:val="single" w:sz="8" w:space="0" w:color="auto"/>
              <w:right w:val="single" w:sz="8" w:space="0" w:color="auto"/>
            </w:tcBorders>
            <w:shd w:val="clear" w:color="auto" w:fill="auto"/>
            <w:noWrap/>
            <w:vAlign w:val="center"/>
            <w:hideMark/>
          </w:tcPr>
          <w:p w:rsidR="00351EEB" w:rsidRPr="004F2656" w:rsidRDefault="00B6544E" w:rsidP="004F26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100</w:t>
            </w:r>
          </w:p>
        </w:tc>
        <w:tc>
          <w:tcPr>
            <w:tcW w:w="2078" w:type="dxa"/>
            <w:tcBorders>
              <w:top w:val="nil"/>
              <w:left w:val="nil"/>
              <w:bottom w:val="single" w:sz="8" w:space="0" w:color="auto"/>
              <w:right w:val="single" w:sz="8" w:space="0" w:color="auto"/>
            </w:tcBorders>
            <w:shd w:val="clear" w:color="auto" w:fill="auto"/>
            <w:noWrap/>
            <w:vAlign w:val="center"/>
            <w:hideMark/>
          </w:tcPr>
          <w:p w:rsidR="00351EEB" w:rsidRPr="004F2656" w:rsidRDefault="00351EEB" w:rsidP="004F2656">
            <w:pPr>
              <w:spacing w:after="0" w:line="240" w:lineRule="auto"/>
              <w:jc w:val="center"/>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2 000</w:t>
            </w:r>
          </w:p>
        </w:tc>
        <w:tc>
          <w:tcPr>
            <w:tcW w:w="1701" w:type="dxa"/>
            <w:tcBorders>
              <w:top w:val="nil"/>
              <w:left w:val="nil"/>
              <w:bottom w:val="single" w:sz="8" w:space="0" w:color="auto"/>
              <w:right w:val="single" w:sz="8" w:space="0" w:color="auto"/>
            </w:tcBorders>
            <w:shd w:val="clear" w:color="auto" w:fill="auto"/>
            <w:noWrap/>
            <w:vAlign w:val="center"/>
            <w:hideMark/>
          </w:tcPr>
          <w:p w:rsidR="00351EEB" w:rsidRPr="004F2656" w:rsidRDefault="00B6544E" w:rsidP="004F26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00351EEB" w:rsidRPr="004F2656">
              <w:rPr>
                <w:rFonts w:ascii="Times New Roman" w:eastAsia="Times New Roman" w:hAnsi="Times New Roman" w:cs="Times New Roman"/>
                <w:color w:val="000000"/>
                <w:sz w:val="20"/>
                <w:szCs w:val="20"/>
                <w:lang w:eastAsia="lv-LV"/>
              </w:rPr>
              <w:t>00 000</w:t>
            </w:r>
          </w:p>
        </w:tc>
      </w:tr>
      <w:tr w:rsidR="00351EEB" w:rsidRPr="004F2656" w:rsidTr="004F2656">
        <w:trPr>
          <w:trHeight w:val="615"/>
          <w:jc w:val="center"/>
        </w:trPr>
        <w:tc>
          <w:tcPr>
            <w:tcW w:w="1798" w:type="dxa"/>
            <w:vMerge/>
            <w:tcBorders>
              <w:top w:val="single" w:sz="8" w:space="0" w:color="auto"/>
              <w:left w:val="single" w:sz="8" w:space="0" w:color="auto"/>
              <w:bottom w:val="single" w:sz="8" w:space="0" w:color="000000"/>
              <w:right w:val="single" w:sz="8" w:space="0" w:color="auto"/>
            </w:tcBorders>
            <w:vAlign w:val="center"/>
            <w:hideMark/>
          </w:tcPr>
          <w:p w:rsidR="00351EEB" w:rsidRPr="004F2656" w:rsidRDefault="00351EEB" w:rsidP="00351EEB">
            <w:pPr>
              <w:spacing w:after="0" w:line="240" w:lineRule="auto"/>
              <w:rPr>
                <w:rFonts w:ascii="Times New Roman" w:eastAsia="Times New Roman" w:hAnsi="Times New Roman" w:cs="Times New Roman"/>
                <w:color w:val="000000"/>
                <w:sz w:val="20"/>
                <w:szCs w:val="20"/>
                <w:lang w:eastAsia="lv-LV"/>
              </w:rPr>
            </w:pPr>
          </w:p>
        </w:tc>
        <w:tc>
          <w:tcPr>
            <w:tcW w:w="1985" w:type="dxa"/>
            <w:tcBorders>
              <w:top w:val="nil"/>
              <w:left w:val="nil"/>
              <w:bottom w:val="single" w:sz="8" w:space="0" w:color="auto"/>
              <w:right w:val="single" w:sz="8" w:space="0" w:color="auto"/>
            </w:tcBorders>
            <w:shd w:val="clear" w:color="auto" w:fill="auto"/>
            <w:vAlign w:val="center"/>
            <w:hideMark/>
          </w:tcPr>
          <w:p w:rsidR="00351EEB" w:rsidRPr="004F2656" w:rsidRDefault="00351EEB" w:rsidP="00351EEB">
            <w:pPr>
              <w:spacing w:after="0" w:line="240" w:lineRule="auto"/>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Insulīna sūkņu katetri un rezervuāri</w:t>
            </w:r>
          </w:p>
        </w:tc>
        <w:tc>
          <w:tcPr>
            <w:tcW w:w="1749" w:type="dxa"/>
            <w:tcBorders>
              <w:top w:val="nil"/>
              <w:left w:val="nil"/>
              <w:bottom w:val="single" w:sz="8" w:space="0" w:color="auto"/>
              <w:right w:val="single" w:sz="8" w:space="0" w:color="auto"/>
            </w:tcBorders>
            <w:shd w:val="clear" w:color="auto" w:fill="auto"/>
            <w:noWrap/>
            <w:vAlign w:val="center"/>
            <w:hideMark/>
          </w:tcPr>
          <w:p w:rsidR="00351EEB" w:rsidRPr="004F2656" w:rsidRDefault="00B6544E" w:rsidP="004F26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100</w:t>
            </w:r>
          </w:p>
        </w:tc>
        <w:tc>
          <w:tcPr>
            <w:tcW w:w="2078" w:type="dxa"/>
            <w:tcBorders>
              <w:top w:val="nil"/>
              <w:left w:val="nil"/>
              <w:bottom w:val="single" w:sz="8" w:space="0" w:color="auto"/>
              <w:right w:val="single" w:sz="8" w:space="0" w:color="auto"/>
            </w:tcBorders>
            <w:shd w:val="clear" w:color="auto" w:fill="auto"/>
            <w:noWrap/>
            <w:vAlign w:val="center"/>
            <w:hideMark/>
          </w:tcPr>
          <w:p w:rsidR="00351EEB" w:rsidRPr="004F2656" w:rsidRDefault="00351EEB" w:rsidP="004F2656">
            <w:pPr>
              <w:spacing w:after="0" w:line="240" w:lineRule="auto"/>
              <w:jc w:val="center"/>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700-1000</w:t>
            </w:r>
          </w:p>
        </w:tc>
        <w:tc>
          <w:tcPr>
            <w:tcW w:w="1701" w:type="dxa"/>
            <w:tcBorders>
              <w:top w:val="nil"/>
              <w:left w:val="nil"/>
              <w:bottom w:val="single" w:sz="8" w:space="0" w:color="auto"/>
              <w:right w:val="single" w:sz="8" w:space="0" w:color="auto"/>
            </w:tcBorders>
            <w:shd w:val="clear" w:color="auto" w:fill="auto"/>
            <w:noWrap/>
            <w:vAlign w:val="center"/>
            <w:hideMark/>
          </w:tcPr>
          <w:p w:rsidR="00351EEB" w:rsidRPr="004F2656" w:rsidRDefault="00B6544E" w:rsidP="004F265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80</w:t>
            </w:r>
            <w:r w:rsidR="00351EEB" w:rsidRPr="004F2656">
              <w:rPr>
                <w:rFonts w:ascii="Times New Roman" w:eastAsia="Times New Roman" w:hAnsi="Times New Roman" w:cs="Times New Roman"/>
                <w:color w:val="000000"/>
                <w:sz w:val="20"/>
                <w:szCs w:val="20"/>
                <w:lang w:eastAsia="lv-LV"/>
              </w:rPr>
              <w:t xml:space="preserve"> 000</w:t>
            </w:r>
          </w:p>
        </w:tc>
      </w:tr>
      <w:tr w:rsidR="00351EEB" w:rsidRPr="004F2656" w:rsidTr="004F2656">
        <w:trPr>
          <w:trHeight w:val="915"/>
          <w:jc w:val="center"/>
        </w:trPr>
        <w:tc>
          <w:tcPr>
            <w:tcW w:w="1798" w:type="dxa"/>
            <w:vMerge/>
            <w:tcBorders>
              <w:top w:val="single" w:sz="8" w:space="0" w:color="auto"/>
              <w:left w:val="single" w:sz="8" w:space="0" w:color="auto"/>
              <w:bottom w:val="single" w:sz="8" w:space="0" w:color="000000"/>
              <w:right w:val="single" w:sz="8" w:space="0" w:color="auto"/>
            </w:tcBorders>
            <w:vAlign w:val="center"/>
            <w:hideMark/>
          </w:tcPr>
          <w:p w:rsidR="00351EEB" w:rsidRPr="004F2656" w:rsidRDefault="00351EEB" w:rsidP="00351EEB">
            <w:pPr>
              <w:spacing w:after="0" w:line="240" w:lineRule="auto"/>
              <w:rPr>
                <w:rFonts w:ascii="Times New Roman" w:eastAsia="Times New Roman" w:hAnsi="Times New Roman" w:cs="Times New Roman"/>
                <w:color w:val="000000"/>
                <w:sz w:val="20"/>
                <w:szCs w:val="20"/>
                <w:lang w:eastAsia="lv-LV"/>
              </w:rPr>
            </w:pPr>
          </w:p>
        </w:tc>
        <w:tc>
          <w:tcPr>
            <w:tcW w:w="1985" w:type="dxa"/>
            <w:tcBorders>
              <w:top w:val="nil"/>
              <w:left w:val="nil"/>
              <w:bottom w:val="single" w:sz="8" w:space="0" w:color="auto"/>
              <w:right w:val="single" w:sz="8" w:space="0" w:color="auto"/>
            </w:tcBorders>
            <w:shd w:val="clear" w:color="auto" w:fill="auto"/>
            <w:vAlign w:val="center"/>
            <w:hideMark/>
          </w:tcPr>
          <w:p w:rsidR="00351EEB" w:rsidRPr="004F2656" w:rsidRDefault="00351EEB" w:rsidP="00351EEB">
            <w:pPr>
              <w:spacing w:after="0" w:line="240" w:lineRule="auto"/>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Teststrēmeļu kompensācijas paplašināšana par 25%</w:t>
            </w:r>
          </w:p>
        </w:tc>
        <w:tc>
          <w:tcPr>
            <w:tcW w:w="1749" w:type="dxa"/>
            <w:tcBorders>
              <w:top w:val="nil"/>
              <w:left w:val="nil"/>
              <w:bottom w:val="single" w:sz="8" w:space="0" w:color="auto"/>
              <w:right w:val="single" w:sz="8" w:space="0" w:color="auto"/>
            </w:tcBorders>
            <w:shd w:val="clear" w:color="auto" w:fill="auto"/>
            <w:noWrap/>
            <w:vAlign w:val="center"/>
            <w:hideMark/>
          </w:tcPr>
          <w:p w:rsidR="00351EEB" w:rsidRPr="004F2656" w:rsidRDefault="00351EEB" w:rsidP="004F2656">
            <w:pPr>
              <w:spacing w:after="0" w:line="240" w:lineRule="auto"/>
              <w:jc w:val="center"/>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80</w:t>
            </w:r>
            <w:r w:rsidR="00B6544E">
              <w:rPr>
                <w:rFonts w:ascii="Times New Roman" w:eastAsia="Times New Roman" w:hAnsi="Times New Roman" w:cs="Times New Roman"/>
                <w:color w:val="000000"/>
                <w:sz w:val="20"/>
                <w:szCs w:val="20"/>
                <w:lang w:eastAsia="lv-LV"/>
              </w:rPr>
              <w:t xml:space="preserve"> </w:t>
            </w:r>
            <w:r w:rsidRPr="004F2656">
              <w:rPr>
                <w:rFonts w:ascii="Times New Roman" w:eastAsia="Times New Roman" w:hAnsi="Times New Roman" w:cs="Times New Roman"/>
                <w:color w:val="000000"/>
                <w:sz w:val="20"/>
                <w:szCs w:val="20"/>
                <w:lang w:eastAsia="lv-LV"/>
              </w:rPr>
              <w:t>000</w:t>
            </w:r>
          </w:p>
        </w:tc>
        <w:tc>
          <w:tcPr>
            <w:tcW w:w="2078" w:type="dxa"/>
            <w:tcBorders>
              <w:top w:val="nil"/>
              <w:left w:val="nil"/>
              <w:bottom w:val="single" w:sz="8" w:space="0" w:color="auto"/>
              <w:right w:val="single" w:sz="8" w:space="0" w:color="auto"/>
            </w:tcBorders>
            <w:shd w:val="clear" w:color="auto" w:fill="auto"/>
            <w:noWrap/>
            <w:vAlign w:val="center"/>
            <w:hideMark/>
          </w:tcPr>
          <w:p w:rsidR="00351EEB" w:rsidRPr="004F2656" w:rsidRDefault="00351EEB" w:rsidP="004F2656">
            <w:pPr>
              <w:spacing w:after="0" w:line="240" w:lineRule="auto"/>
              <w:jc w:val="center"/>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5</w:t>
            </w:r>
          </w:p>
        </w:tc>
        <w:tc>
          <w:tcPr>
            <w:tcW w:w="1701" w:type="dxa"/>
            <w:tcBorders>
              <w:top w:val="nil"/>
              <w:left w:val="nil"/>
              <w:bottom w:val="single" w:sz="8" w:space="0" w:color="auto"/>
              <w:right w:val="single" w:sz="8" w:space="0" w:color="auto"/>
            </w:tcBorders>
            <w:shd w:val="clear" w:color="auto" w:fill="auto"/>
            <w:noWrap/>
            <w:vAlign w:val="center"/>
            <w:hideMark/>
          </w:tcPr>
          <w:p w:rsidR="00351EEB" w:rsidRPr="004F2656" w:rsidRDefault="00351EEB" w:rsidP="004F2656">
            <w:pPr>
              <w:spacing w:after="0" w:line="240" w:lineRule="auto"/>
              <w:jc w:val="center"/>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400 000</w:t>
            </w:r>
          </w:p>
        </w:tc>
      </w:tr>
      <w:tr w:rsidR="00351EEB" w:rsidRPr="004F2656" w:rsidTr="004F2656">
        <w:trPr>
          <w:trHeight w:val="330"/>
          <w:jc w:val="center"/>
        </w:trPr>
        <w:tc>
          <w:tcPr>
            <w:tcW w:w="553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1EEB" w:rsidRPr="004F2656" w:rsidRDefault="004F2656" w:rsidP="00351EEB">
            <w:pPr>
              <w:spacing w:after="0" w:line="240" w:lineRule="auto"/>
              <w:rPr>
                <w:rFonts w:ascii="Times New Roman" w:eastAsia="Times New Roman" w:hAnsi="Times New Roman" w:cs="Times New Roman"/>
                <w:b/>
                <w:bCs/>
                <w:color w:val="000000"/>
                <w:sz w:val="20"/>
                <w:szCs w:val="20"/>
                <w:lang w:eastAsia="lv-LV"/>
              </w:rPr>
            </w:pPr>
            <w:r w:rsidRPr="004F2656">
              <w:rPr>
                <w:rFonts w:ascii="Times New Roman" w:eastAsia="Times New Roman" w:hAnsi="Times New Roman" w:cs="Times New Roman"/>
                <w:b/>
                <w:bCs/>
                <w:color w:val="000000"/>
                <w:sz w:val="20"/>
                <w:szCs w:val="20"/>
                <w:lang w:eastAsia="lv-LV"/>
              </w:rPr>
              <w:t>I</w:t>
            </w:r>
            <w:r w:rsidR="00351EEB" w:rsidRPr="004F2656">
              <w:rPr>
                <w:rFonts w:ascii="Times New Roman" w:eastAsia="Times New Roman" w:hAnsi="Times New Roman" w:cs="Times New Roman"/>
                <w:b/>
                <w:bCs/>
                <w:color w:val="000000"/>
                <w:sz w:val="20"/>
                <w:szCs w:val="20"/>
                <w:lang w:eastAsia="lv-LV"/>
              </w:rPr>
              <w:t>zmaksu palielinājums</w:t>
            </w:r>
            <w:r w:rsidRPr="004F2656">
              <w:rPr>
                <w:rFonts w:ascii="Times New Roman" w:eastAsia="Times New Roman" w:hAnsi="Times New Roman" w:cs="Times New Roman"/>
                <w:b/>
                <w:bCs/>
                <w:color w:val="000000"/>
                <w:sz w:val="20"/>
                <w:szCs w:val="20"/>
                <w:lang w:eastAsia="lv-LV"/>
              </w:rPr>
              <w:t xml:space="preserve"> gadā</w:t>
            </w:r>
          </w:p>
        </w:tc>
        <w:tc>
          <w:tcPr>
            <w:tcW w:w="2078" w:type="dxa"/>
            <w:tcBorders>
              <w:top w:val="nil"/>
              <w:left w:val="nil"/>
              <w:bottom w:val="single" w:sz="8" w:space="0" w:color="auto"/>
              <w:right w:val="single" w:sz="8" w:space="0" w:color="auto"/>
            </w:tcBorders>
            <w:shd w:val="clear" w:color="auto" w:fill="auto"/>
            <w:noWrap/>
            <w:vAlign w:val="center"/>
            <w:hideMark/>
          </w:tcPr>
          <w:p w:rsidR="00351EEB" w:rsidRPr="004F2656" w:rsidRDefault="00351EEB" w:rsidP="00351EEB">
            <w:pPr>
              <w:spacing w:after="0" w:line="240" w:lineRule="auto"/>
              <w:jc w:val="center"/>
              <w:rPr>
                <w:rFonts w:ascii="Times New Roman" w:eastAsia="Times New Roman" w:hAnsi="Times New Roman" w:cs="Times New Roman"/>
                <w:color w:val="000000"/>
                <w:sz w:val="20"/>
                <w:szCs w:val="20"/>
                <w:lang w:eastAsia="lv-LV"/>
              </w:rPr>
            </w:pPr>
            <w:r w:rsidRPr="004F2656">
              <w:rPr>
                <w:rFonts w:ascii="Times New Roman" w:eastAsia="Times New Roman" w:hAnsi="Times New Roman" w:cs="Times New Roman"/>
                <w:color w:val="000000"/>
                <w:sz w:val="20"/>
                <w:szCs w:val="20"/>
                <w:lang w:eastAsia="lv-LV"/>
              </w:rPr>
              <w:t> </w:t>
            </w:r>
          </w:p>
        </w:tc>
        <w:tc>
          <w:tcPr>
            <w:tcW w:w="1701" w:type="dxa"/>
            <w:tcBorders>
              <w:top w:val="nil"/>
              <w:left w:val="nil"/>
              <w:bottom w:val="single" w:sz="8" w:space="0" w:color="auto"/>
              <w:right w:val="single" w:sz="8" w:space="0" w:color="auto"/>
            </w:tcBorders>
            <w:shd w:val="clear" w:color="auto" w:fill="auto"/>
            <w:noWrap/>
            <w:vAlign w:val="center"/>
            <w:hideMark/>
          </w:tcPr>
          <w:p w:rsidR="00351EEB" w:rsidRPr="00B6544E" w:rsidRDefault="00351EEB" w:rsidP="00B6544E">
            <w:pPr>
              <w:pStyle w:val="ListParagraph"/>
              <w:numPr>
                <w:ilvl w:val="0"/>
                <w:numId w:val="30"/>
              </w:numPr>
              <w:spacing w:after="0" w:line="240" w:lineRule="auto"/>
              <w:rPr>
                <w:rFonts w:ascii="Times New Roman" w:eastAsia="Times New Roman" w:hAnsi="Times New Roman" w:cs="Times New Roman"/>
                <w:b/>
                <w:bCs/>
                <w:color w:val="000000"/>
                <w:sz w:val="20"/>
                <w:szCs w:val="20"/>
                <w:lang w:eastAsia="lv-LV"/>
              </w:rPr>
            </w:pPr>
            <w:r w:rsidRPr="00B6544E">
              <w:rPr>
                <w:rFonts w:ascii="Times New Roman" w:eastAsia="Times New Roman" w:hAnsi="Times New Roman" w:cs="Times New Roman"/>
                <w:b/>
                <w:bCs/>
                <w:color w:val="000000"/>
                <w:sz w:val="20"/>
                <w:szCs w:val="20"/>
                <w:lang w:eastAsia="lv-LV"/>
              </w:rPr>
              <w:t>000</w:t>
            </w:r>
          </w:p>
        </w:tc>
      </w:tr>
    </w:tbl>
    <w:p w:rsidR="00351EEB" w:rsidRPr="00A2740E" w:rsidRDefault="000F188D" w:rsidP="00A2740E">
      <w:pPr>
        <w:pStyle w:val="NoSpacing"/>
        <w:ind w:firstLine="720"/>
        <w:jc w:val="both"/>
        <w:rPr>
          <w:rFonts w:ascii="Times New Roman" w:hAnsi="Times New Roman"/>
          <w:i/>
          <w:sz w:val="20"/>
          <w:szCs w:val="20"/>
        </w:rPr>
      </w:pPr>
      <w:r>
        <w:rPr>
          <w:rFonts w:ascii="Times New Roman" w:hAnsi="Times New Roman"/>
          <w:i/>
          <w:sz w:val="20"/>
          <w:szCs w:val="20"/>
        </w:rPr>
        <w:t xml:space="preserve"> </w:t>
      </w:r>
      <w:r w:rsidRPr="002040D7">
        <w:rPr>
          <w:rFonts w:ascii="Times New Roman" w:hAnsi="Times New Roman"/>
          <w:i/>
          <w:sz w:val="20"/>
          <w:szCs w:val="20"/>
        </w:rPr>
        <w:t xml:space="preserve">Avots: </w:t>
      </w:r>
      <w:r>
        <w:rPr>
          <w:rFonts w:ascii="Times New Roman" w:hAnsi="Times New Roman"/>
          <w:i/>
          <w:sz w:val="20"/>
          <w:szCs w:val="20"/>
        </w:rPr>
        <w:t>Nacionālais veselības dienests</w:t>
      </w:r>
      <w:r w:rsidRPr="002040D7">
        <w:rPr>
          <w:rFonts w:ascii="Times New Roman" w:hAnsi="Times New Roman"/>
          <w:i/>
          <w:sz w:val="20"/>
          <w:szCs w:val="20"/>
        </w:rPr>
        <w:t xml:space="preserve">    </w:t>
      </w:r>
    </w:p>
    <w:p w:rsidR="004F2656" w:rsidRPr="00FC5F33" w:rsidRDefault="00F3393D" w:rsidP="00FC5F33">
      <w:pPr>
        <w:spacing w:before="240" w:line="240" w:lineRule="auto"/>
        <w:ind w:firstLine="720"/>
        <w:jc w:val="both"/>
        <w:rPr>
          <w:b/>
          <w:sz w:val="28"/>
          <w:szCs w:val="28"/>
          <w:lang w:val="lv-LV"/>
        </w:rPr>
      </w:pPr>
      <w:r w:rsidRPr="00FC5F33">
        <w:rPr>
          <w:rFonts w:ascii="Times New Roman" w:hAnsi="Times New Roman" w:cs="Times New Roman"/>
          <w:b/>
          <w:color w:val="000000"/>
          <w:sz w:val="28"/>
          <w:szCs w:val="28"/>
          <w:lang w:val="lv-LV"/>
        </w:rPr>
        <w:t>4</w:t>
      </w:r>
      <w:r w:rsidR="002F0BDE" w:rsidRPr="00FC5F33">
        <w:rPr>
          <w:rFonts w:ascii="Times New Roman" w:hAnsi="Times New Roman" w:cs="Times New Roman"/>
          <w:b/>
          <w:color w:val="000000"/>
          <w:sz w:val="28"/>
          <w:szCs w:val="28"/>
          <w:lang w:val="lv-LV"/>
        </w:rPr>
        <w:t xml:space="preserve">. C vīrushepatīta kompensācijas apmēra palielināšanai no 75% uz 90% un papildus 70 HIV/AIDS pacientiem </w:t>
      </w:r>
      <w:r w:rsidR="00A701FE" w:rsidRPr="00FC5F33">
        <w:rPr>
          <w:rFonts w:ascii="Times New Roman" w:hAnsi="Times New Roman" w:cs="Times New Roman"/>
          <w:b/>
          <w:color w:val="000000"/>
          <w:sz w:val="28"/>
          <w:szCs w:val="28"/>
          <w:lang w:val="lv-LV"/>
        </w:rPr>
        <w:t>ter</w:t>
      </w:r>
      <w:r w:rsidR="002F0BDE" w:rsidRPr="00FC5F33">
        <w:rPr>
          <w:rFonts w:ascii="Times New Roman" w:hAnsi="Times New Roman" w:cs="Times New Roman"/>
          <w:b/>
          <w:color w:val="000000"/>
          <w:sz w:val="28"/>
          <w:szCs w:val="28"/>
          <w:lang w:val="lv-LV"/>
        </w:rPr>
        <w:t>a</w:t>
      </w:r>
      <w:r w:rsidR="00A701FE" w:rsidRPr="00FC5F33">
        <w:rPr>
          <w:rFonts w:ascii="Times New Roman" w:hAnsi="Times New Roman" w:cs="Times New Roman"/>
          <w:b/>
          <w:color w:val="000000"/>
          <w:sz w:val="28"/>
          <w:szCs w:val="28"/>
          <w:lang w:val="lv-LV"/>
        </w:rPr>
        <w:t>p</w:t>
      </w:r>
      <w:r w:rsidR="002F0BDE" w:rsidRPr="00FC5F33">
        <w:rPr>
          <w:rFonts w:ascii="Times New Roman" w:hAnsi="Times New Roman" w:cs="Times New Roman"/>
          <w:b/>
          <w:color w:val="000000"/>
          <w:sz w:val="28"/>
          <w:szCs w:val="28"/>
          <w:lang w:val="lv-LV"/>
        </w:rPr>
        <w:t>ijas uzsākšanai</w:t>
      </w:r>
    </w:p>
    <w:p w:rsidR="00A701FE" w:rsidRPr="00A701FE" w:rsidRDefault="00F3393D" w:rsidP="00A701F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4</w:t>
      </w:r>
      <w:r w:rsidR="00A701FE" w:rsidRPr="00A701FE">
        <w:rPr>
          <w:rFonts w:ascii="Times New Roman" w:hAnsi="Times New Roman" w:cs="Times New Roman"/>
          <w:i/>
          <w:sz w:val="24"/>
          <w:szCs w:val="24"/>
        </w:rPr>
        <w:t>.1.</w:t>
      </w:r>
      <w:r w:rsidR="00A701FE">
        <w:rPr>
          <w:rFonts w:ascii="Times New Roman" w:hAnsi="Times New Roman" w:cs="Times New Roman"/>
          <w:sz w:val="24"/>
          <w:szCs w:val="24"/>
        </w:rPr>
        <w:t xml:space="preserve"> </w:t>
      </w:r>
      <w:r w:rsidR="00A701FE" w:rsidRPr="00A701FE">
        <w:rPr>
          <w:rFonts w:ascii="Times New Roman" w:hAnsi="Times New Roman" w:cs="Times New Roman"/>
          <w:i/>
          <w:color w:val="000000"/>
          <w:sz w:val="24"/>
          <w:szCs w:val="24"/>
        </w:rPr>
        <w:t>C vīrushepatīta kompensācijas apmēra palielināšanai no 75% uz 90%</w:t>
      </w:r>
    </w:p>
    <w:p w:rsidR="00996D5B" w:rsidRPr="002F0BDE" w:rsidRDefault="00996D5B" w:rsidP="00996D5B">
      <w:pPr>
        <w:spacing w:before="120" w:after="0" w:line="240" w:lineRule="auto"/>
        <w:ind w:firstLine="720"/>
        <w:jc w:val="both"/>
        <w:rPr>
          <w:rFonts w:ascii="Times New Roman" w:hAnsi="Times New Roman" w:cs="Times New Roman"/>
          <w:sz w:val="24"/>
          <w:szCs w:val="24"/>
        </w:rPr>
      </w:pPr>
      <w:r w:rsidRPr="002F0BDE">
        <w:rPr>
          <w:rFonts w:ascii="Times New Roman" w:hAnsi="Times New Roman" w:cs="Times New Roman"/>
          <w:sz w:val="24"/>
          <w:szCs w:val="24"/>
        </w:rPr>
        <w:t xml:space="preserve">Šobrīd C hepatīta </w:t>
      </w:r>
      <w:proofErr w:type="gramStart"/>
      <w:r w:rsidRPr="002F0BDE">
        <w:rPr>
          <w:rFonts w:ascii="Times New Roman" w:hAnsi="Times New Roman" w:cs="Times New Roman"/>
          <w:sz w:val="24"/>
          <w:szCs w:val="24"/>
        </w:rPr>
        <w:t>zāļu  kompensācijas</w:t>
      </w:r>
      <w:proofErr w:type="gramEnd"/>
      <w:r w:rsidRPr="002F0BDE">
        <w:rPr>
          <w:rFonts w:ascii="Times New Roman" w:hAnsi="Times New Roman" w:cs="Times New Roman"/>
          <w:sz w:val="24"/>
          <w:szCs w:val="24"/>
        </w:rPr>
        <w:t xml:space="preserve"> apjoms </w:t>
      </w:r>
      <w:r>
        <w:rPr>
          <w:rFonts w:ascii="Times New Roman" w:hAnsi="Times New Roman" w:cs="Times New Roman"/>
          <w:sz w:val="24"/>
          <w:szCs w:val="24"/>
        </w:rPr>
        <w:t>ir 75%. P</w:t>
      </w:r>
      <w:r w:rsidRPr="002F0BDE">
        <w:rPr>
          <w:rFonts w:ascii="Times New Roman" w:hAnsi="Times New Roman" w:cs="Times New Roman"/>
          <w:sz w:val="24"/>
          <w:szCs w:val="24"/>
        </w:rPr>
        <w:t xml:space="preserve">ie līdzšinējā kompensācijas </w:t>
      </w:r>
      <w:proofErr w:type="gramStart"/>
      <w:r w:rsidRPr="002F0BDE">
        <w:rPr>
          <w:rFonts w:ascii="Times New Roman" w:hAnsi="Times New Roman" w:cs="Times New Roman"/>
          <w:sz w:val="24"/>
          <w:szCs w:val="24"/>
        </w:rPr>
        <w:t>apjoma  pacientu</w:t>
      </w:r>
      <w:proofErr w:type="gramEnd"/>
      <w:r w:rsidRPr="002F0BDE">
        <w:rPr>
          <w:rFonts w:ascii="Times New Roman" w:hAnsi="Times New Roman" w:cs="Times New Roman"/>
          <w:sz w:val="24"/>
          <w:szCs w:val="24"/>
        </w:rPr>
        <w:t xml:space="preserve">  līdzmaksājums m</w:t>
      </w:r>
      <w:r>
        <w:rPr>
          <w:rFonts w:ascii="Times New Roman" w:hAnsi="Times New Roman" w:cs="Times New Roman"/>
          <w:sz w:val="24"/>
          <w:szCs w:val="24"/>
        </w:rPr>
        <w:t xml:space="preserve">ēnesī ir  no Ls 70 līdz Ls 209 </w:t>
      </w:r>
      <w:r w:rsidRPr="002F0BDE">
        <w:rPr>
          <w:rFonts w:ascii="Times New Roman" w:hAnsi="Times New Roman" w:cs="Times New Roman"/>
          <w:sz w:val="24"/>
          <w:szCs w:val="24"/>
        </w:rPr>
        <w:t xml:space="preserve">  ( vidējās terapijas izmaksas C hepatīta ārstēšanai  Ls 600 mēnesī, izmaksas   svārstās  no Ls 280 līdz Ls 835). </w:t>
      </w:r>
      <w:proofErr w:type="gramStart"/>
      <w:r w:rsidRPr="002F0BDE">
        <w:rPr>
          <w:rFonts w:ascii="Times New Roman" w:hAnsi="Times New Roman" w:cs="Times New Roman"/>
          <w:sz w:val="24"/>
          <w:szCs w:val="24"/>
        </w:rPr>
        <w:t>Šī summa ievērojami pārsniedz vidējo neto darba samaksu valstī.</w:t>
      </w:r>
      <w:proofErr w:type="gramEnd"/>
      <w:r w:rsidRPr="002F0BDE">
        <w:rPr>
          <w:rFonts w:ascii="Times New Roman" w:hAnsi="Times New Roman" w:cs="Times New Roman"/>
          <w:sz w:val="24"/>
          <w:szCs w:val="24"/>
        </w:rPr>
        <w:t xml:space="preserve"> Ņemot </w:t>
      </w:r>
      <w:proofErr w:type="gramStart"/>
      <w:r w:rsidRPr="002F0BDE">
        <w:rPr>
          <w:rFonts w:ascii="Times New Roman" w:hAnsi="Times New Roman" w:cs="Times New Roman"/>
          <w:sz w:val="24"/>
          <w:szCs w:val="24"/>
        </w:rPr>
        <w:t>vērā</w:t>
      </w:r>
      <w:proofErr w:type="gramEnd"/>
      <w:r w:rsidRPr="002F0BDE">
        <w:rPr>
          <w:rFonts w:ascii="Times New Roman" w:hAnsi="Times New Roman" w:cs="Times New Roman"/>
          <w:sz w:val="24"/>
          <w:szCs w:val="24"/>
        </w:rPr>
        <w:t xml:space="preserve"> minēto hroniska vīrushepatīta C pacienti nevar nodrošināt ārstēšanos, tādēļ viņi arī nav motivēti veikt izmeklējumus, lai savlaicīgi diagnosticētu inficēšanos ar hepatīta C vīrusu. Tā kā slimības simptomātika 70</w:t>
      </w:r>
      <w:r>
        <w:rPr>
          <w:rFonts w:ascii="Times New Roman" w:hAnsi="Times New Roman" w:cs="Times New Roman"/>
          <w:sz w:val="24"/>
          <w:szCs w:val="24"/>
        </w:rPr>
        <w:t xml:space="preserve">% </w:t>
      </w:r>
      <w:r w:rsidRPr="002F0BDE">
        <w:rPr>
          <w:rFonts w:ascii="Times New Roman" w:hAnsi="Times New Roman" w:cs="Times New Roman"/>
          <w:sz w:val="24"/>
          <w:szCs w:val="24"/>
        </w:rPr>
        <w:t>-</w:t>
      </w:r>
      <w:r>
        <w:rPr>
          <w:rFonts w:ascii="Times New Roman" w:hAnsi="Times New Roman" w:cs="Times New Roman"/>
          <w:sz w:val="24"/>
          <w:szCs w:val="24"/>
        </w:rPr>
        <w:t xml:space="preserve"> </w:t>
      </w:r>
      <w:r w:rsidRPr="002F0BDE">
        <w:rPr>
          <w:rFonts w:ascii="Times New Roman" w:hAnsi="Times New Roman" w:cs="Times New Roman"/>
          <w:sz w:val="24"/>
          <w:szCs w:val="24"/>
        </w:rPr>
        <w:t>90% gadījumu ir maz izteikta, inficētas personas, kas nav ārsta uzraudzībā, apdraud pārējo sabiedrību.</w:t>
      </w:r>
    </w:p>
    <w:p w:rsidR="00996D5B" w:rsidRPr="002F0BDE" w:rsidRDefault="00AC1C8B" w:rsidP="00996D5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Kā l</w:t>
      </w:r>
      <w:r w:rsidR="00996D5B" w:rsidRPr="002F0BDE">
        <w:rPr>
          <w:rFonts w:ascii="Times New Roman" w:hAnsi="Times New Roman" w:cs="Times New Roman"/>
          <w:sz w:val="24"/>
          <w:szCs w:val="24"/>
        </w:rPr>
        <w:t xml:space="preserve">iecina Slimību profilakses </w:t>
      </w:r>
      <w:proofErr w:type="gramStart"/>
      <w:r w:rsidR="00996D5B" w:rsidRPr="002F0BDE">
        <w:rPr>
          <w:rFonts w:ascii="Times New Roman" w:hAnsi="Times New Roman" w:cs="Times New Roman"/>
          <w:sz w:val="24"/>
          <w:szCs w:val="24"/>
        </w:rPr>
        <w:t>un</w:t>
      </w:r>
      <w:proofErr w:type="gramEnd"/>
      <w:r w:rsidR="00996D5B" w:rsidRPr="002F0BDE">
        <w:rPr>
          <w:rFonts w:ascii="Times New Roman" w:hAnsi="Times New Roman" w:cs="Times New Roman"/>
          <w:sz w:val="24"/>
          <w:szCs w:val="24"/>
        </w:rPr>
        <w:t xml:space="preserve"> kontroles centra dati šobrīd Latvijā vairāk kā 40 000 cilvēku ir inficēti ar C hepatīta vīrusu. 2012</w:t>
      </w:r>
      <w:proofErr w:type="gramStart"/>
      <w:r w:rsidR="00996D5B" w:rsidRPr="002F0BDE">
        <w:rPr>
          <w:rFonts w:ascii="Times New Roman" w:hAnsi="Times New Roman" w:cs="Times New Roman"/>
          <w:sz w:val="24"/>
          <w:szCs w:val="24"/>
        </w:rPr>
        <w:t>.gadā</w:t>
      </w:r>
      <w:proofErr w:type="gramEnd"/>
      <w:r w:rsidR="00996D5B" w:rsidRPr="002F0BDE">
        <w:rPr>
          <w:rFonts w:ascii="Times New Roman" w:hAnsi="Times New Roman" w:cs="Times New Roman"/>
          <w:sz w:val="24"/>
          <w:szCs w:val="24"/>
        </w:rPr>
        <w:t xml:space="preserve"> reģistrēti 1409 jauni vīrushepatīta C saslimšanas gadījumi</w:t>
      </w:r>
      <w:r w:rsidR="00996D5B">
        <w:rPr>
          <w:rFonts w:ascii="Times New Roman" w:hAnsi="Times New Roman" w:cs="Times New Roman"/>
          <w:sz w:val="24"/>
          <w:szCs w:val="24"/>
        </w:rPr>
        <w:t xml:space="preserve"> (3,5 % no kopējā skaita)</w:t>
      </w:r>
      <w:r w:rsidR="00996D5B" w:rsidRPr="002F0BDE">
        <w:rPr>
          <w:rFonts w:ascii="Times New Roman" w:hAnsi="Times New Roman" w:cs="Times New Roman"/>
          <w:sz w:val="24"/>
          <w:szCs w:val="24"/>
        </w:rPr>
        <w:t xml:space="preserve">. </w:t>
      </w:r>
      <w:proofErr w:type="gramStart"/>
      <w:r w:rsidR="00996D5B" w:rsidRPr="002F0BDE">
        <w:rPr>
          <w:rFonts w:ascii="Times New Roman" w:hAnsi="Times New Roman" w:cs="Times New Roman"/>
          <w:sz w:val="24"/>
          <w:szCs w:val="24"/>
        </w:rPr>
        <w:t>Vidēji katru gadu no 2010.gada saslimšanas gadījumi ar vīrushepatītu C pieaug par 21%.</w:t>
      </w:r>
      <w:proofErr w:type="gramEnd"/>
      <w:r w:rsidR="00996D5B">
        <w:rPr>
          <w:rFonts w:ascii="Times New Roman" w:hAnsi="Times New Roman" w:cs="Times New Roman"/>
          <w:sz w:val="24"/>
          <w:szCs w:val="24"/>
        </w:rPr>
        <w:t xml:space="preserve"> </w:t>
      </w:r>
      <w:proofErr w:type="gramStart"/>
      <w:r w:rsidR="00996D5B" w:rsidRPr="002F0BDE">
        <w:rPr>
          <w:rFonts w:ascii="Times New Roman" w:hAnsi="Times New Roman" w:cs="Times New Roman"/>
          <w:sz w:val="24"/>
          <w:szCs w:val="24"/>
        </w:rPr>
        <w:t>Papildus jānorāda, ka lielākais īpatsvars vīrushepatīta C pacientu ir vecumā no 18-50 gadiem, tātad personas darbspējīgā vecumā.</w:t>
      </w:r>
      <w:proofErr w:type="gramEnd"/>
      <w:r w:rsidR="00996D5B" w:rsidRPr="002F0BDE">
        <w:rPr>
          <w:rFonts w:ascii="Times New Roman" w:hAnsi="Times New Roman" w:cs="Times New Roman"/>
          <w:sz w:val="24"/>
          <w:szCs w:val="24"/>
        </w:rPr>
        <w:t xml:space="preserve"> </w:t>
      </w:r>
      <w:proofErr w:type="gramStart"/>
      <w:r w:rsidR="00996D5B" w:rsidRPr="002F0BDE">
        <w:rPr>
          <w:rFonts w:ascii="Times New Roman" w:hAnsi="Times New Roman" w:cs="Times New Roman"/>
          <w:sz w:val="24"/>
          <w:szCs w:val="24"/>
        </w:rPr>
        <w:t>Latvija ir viena no retām Eiropas valstīm, kur C hepatīta ārstēšana netiek pilnībā apmaksāta no valsts budžeta.</w:t>
      </w:r>
      <w:proofErr w:type="gramEnd"/>
      <w:r w:rsidR="00996D5B" w:rsidRPr="002F0BDE">
        <w:rPr>
          <w:rFonts w:ascii="Times New Roman" w:hAnsi="Times New Roman" w:cs="Times New Roman"/>
          <w:sz w:val="24"/>
          <w:szCs w:val="24"/>
        </w:rPr>
        <w:t xml:space="preserve"> Piemēram, Čehijā, Horvātijā, Lielbritānijā, Nīderlandē, Norvēģijā, Serbijā, Slovākijā, Somijā, Spānijā </w:t>
      </w:r>
      <w:proofErr w:type="gramStart"/>
      <w:r w:rsidR="00996D5B" w:rsidRPr="002F0BDE">
        <w:rPr>
          <w:rFonts w:ascii="Times New Roman" w:hAnsi="Times New Roman" w:cs="Times New Roman"/>
          <w:sz w:val="24"/>
          <w:szCs w:val="24"/>
        </w:rPr>
        <w:t>un</w:t>
      </w:r>
      <w:proofErr w:type="gramEnd"/>
      <w:r w:rsidR="00996D5B" w:rsidRPr="002F0BDE">
        <w:rPr>
          <w:rFonts w:ascii="Times New Roman" w:hAnsi="Times New Roman" w:cs="Times New Roman"/>
          <w:sz w:val="24"/>
          <w:szCs w:val="24"/>
        </w:rPr>
        <w:t xml:space="preserve"> Zviedrijā</w:t>
      </w:r>
      <w:r w:rsidR="00996D5B">
        <w:rPr>
          <w:rFonts w:ascii="Times New Roman" w:hAnsi="Times New Roman" w:cs="Times New Roman"/>
          <w:sz w:val="24"/>
          <w:szCs w:val="24"/>
        </w:rPr>
        <w:t>,</w:t>
      </w:r>
      <w:r w:rsidR="00996D5B" w:rsidRPr="002F0BDE">
        <w:rPr>
          <w:rFonts w:ascii="Times New Roman" w:hAnsi="Times New Roman" w:cs="Times New Roman"/>
          <w:sz w:val="24"/>
          <w:szCs w:val="24"/>
        </w:rPr>
        <w:t xml:space="preserve"> arī Igaunijā un Lietuvā C hepatīta ārstēšana 100% tiek apmaksāta no valsts budžeta. Beļģijā, Šveicē </w:t>
      </w:r>
      <w:proofErr w:type="gramStart"/>
      <w:r w:rsidR="00996D5B" w:rsidRPr="002F0BDE">
        <w:rPr>
          <w:rFonts w:ascii="Times New Roman" w:hAnsi="Times New Roman" w:cs="Times New Roman"/>
          <w:sz w:val="24"/>
          <w:szCs w:val="24"/>
        </w:rPr>
        <w:t>un</w:t>
      </w:r>
      <w:proofErr w:type="gramEnd"/>
      <w:r w:rsidR="00996D5B" w:rsidRPr="002F0BDE">
        <w:rPr>
          <w:rFonts w:ascii="Times New Roman" w:hAnsi="Times New Roman" w:cs="Times New Roman"/>
          <w:sz w:val="24"/>
          <w:szCs w:val="24"/>
        </w:rPr>
        <w:t xml:space="preserve"> Grieķijā daļu zāļu kompensācijas nodrošina no valsts budžeta un daļu no obligātās veselības apdrošināšanas. Ņemot </w:t>
      </w:r>
      <w:proofErr w:type="gramStart"/>
      <w:r w:rsidR="00996D5B" w:rsidRPr="002F0BDE">
        <w:rPr>
          <w:rFonts w:ascii="Times New Roman" w:hAnsi="Times New Roman" w:cs="Times New Roman"/>
          <w:sz w:val="24"/>
          <w:szCs w:val="24"/>
        </w:rPr>
        <w:t>vērā</w:t>
      </w:r>
      <w:proofErr w:type="gramEnd"/>
      <w:r w:rsidR="00996D5B" w:rsidRPr="002F0BDE">
        <w:rPr>
          <w:rFonts w:ascii="Times New Roman" w:hAnsi="Times New Roman" w:cs="Times New Roman"/>
          <w:sz w:val="24"/>
          <w:szCs w:val="24"/>
        </w:rPr>
        <w:t xml:space="preserve"> minēto</w:t>
      </w:r>
      <w:r w:rsidR="00996D5B">
        <w:rPr>
          <w:rFonts w:ascii="Times New Roman" w:hAnsi="Times New Roman" w:cs="Times New Roman"/>
          <w:sz w:val="24"/>
          <w:szCs w:val="24"/>
        </w:rPr>
        <w:t>,</w:t>
      </w:r>
      <w:r w:rsidR="00996D5B" w:rsidRPr="002F0BDE">
        <w:rPr>
          <w:rFonts w:ascii="Times New Roman" w:hAnsi="Times New Roman" w:cs="Times New Roman"/>
          <w:sz w:val="24"/>
          <w:szCs w:val="24"/>
        </w:rPr>
        <w:t xml:space="preserve"> Latvij</w:t>
      </w:r>
      <w:r w:rsidR="00996D5B">
        <w:rPr>
          <w:rFonts w:ascii="Times New Roman" w:hAnsi="Times New Roman" w:cs="Times New Roman"/>
          <w:sz w:val="24"/>
          <w:szCs w:val="24"/>
        </w:rPr>
        <w:t>as iedzīvotāji izmanto Eiropas S</w:t>
      </w:r>
      <w:r w:rsidR="00996D5B" w:rsidRPr="002F0BDE">
        <w:rPr>
          <w:rFonts w:ascii="Times New Roman" w:hAnsi="Times New Roman" w:cs="Times New Roman"/>
          <w:sz w:val="24"/>
          <w:szCs w:val="24"/>
        </w:rPr>
        <w:t>avienības pilsoņu tiesī</w:t>
      </w:r>
      <w:r w:rsidR="00996D5B">
        <w:rPr>
          <w:rFonts w:ascii="Times New Roman" w:hAnsi="Times New Roman" w:cs="Times New Roman"/>
          <w:sz w:val="24"/>
          <w:szCs w:val="24"/>
        </w:rPr>
        <w:t>bas un izceļo uz citām Eiropas S</w:t>
      </w:r>
      <w:r w:rsidR="00996D5B" w:rsidRPr="002F0BDE">
        <w:rPr>
          <w:rFonts w:ascii="Times New Roman" w:hAnsi="Times New Roman" w:cs="Times New Roman"/>
          <w:sz w:val="24"/>
          <w:szCs w:val="24"/>
        </w:rPr>
        <w:t>avienības valstīm, lai saņemtu nepieciešamo ārstēšanu.</w:t>
      </w:r>
    </w:p>
    <w:p w:rsidR="00996D5B" w:rsidRDefault="00996D5B" w:rsidP="00996D5B">
      <w:pPr>
        <w:spacing w:after="0" w:line="240" w:lineRule="auto"/>
        <w:ind w:firstLine="720"/>
        <w:jc w:val="both"/>
        <w:rPr>
          <w:rFonts w:ascii="Times New Roman" w:hAnsi="Times New Roman" w:cs="Times New Roman"/>
          <w:sz w:val="24"/>
          <w:szCs w:val="24"/>
        </w:rPr>
      </w:pPr>
      <w:r w:rsidRPr="002F0BDE">
        <w:rPr>
          <w:rFonts w:ascii="Times New Roman" w:hAnsi="Times New Roman" w:cs="Times New Roman"/>
          <w:sz w:val="24"/>
          <w:szCs w:val="24"/>
        </w:rPr>
        <w:t>Atbilstoši  ārstu profesionālo asociāciju priekšlikumiem (Latvijas Infektologu un hepatologu biedrības, Internistu biedrības, Gastroenterologu asociācijas</w:t>
      </w:r>
      <w:r>
        <w:rPr>
          <w:rFonts w:ascii="Times New Roman" w:hAnsi="Times New Roman" w:cs="Times New Roman"/>
          <w:sz w:val="24"/>
          <w:szCs w:val="24"/>
        </w:rPr>
        <w:t xml:space="preserve">, </w:t>
      </w:r>
      <w:r w:rsidRPr="002F0BDE">
        <w:rPr>
          <w:rFonts w:ascii="Times New Roman" w:hAnsi="Times New Roman" w:cs="Times New Roman"/>
          <w:sz w:val="24"/>
          <w:szCs w:val="24"/>
        </w:rPr>
        <w:t xml:space="preserve">u.c.) un pacientu organizāciju atkārtotajiem  priekšlikumiem par kompensācijas apmēra palielināšanu C hepatīta zāļu kompensācijai, palielinot kompensācijas apmēru līdz 90% </w:t>
      </w:r>
      <w:r>
        <w:rPr>
          <w:rFonts w:ascii="Times New Roman" w:hAnsi="Times New Roman" w:cs="Times New Roman"/>
          <w:sz w:val="24"/>
          <w:szCs w:val="24"/>
        </w:rPr>
        <w:t>(</w:t>
      </w:r>
      <w:r w:rsidRPr="002F0BDE">
        <w:rPr>
          <w:rFonts w:ascii="Times New Roman" w:hAnsi="Times New Roman" w:cs="Times New Roman"/>
          <w:sz w:val="24"/>
          <w:szCs w:val="24"/>
        </w:rPr>
        <w:t xml:space="preserve">pacientu  līdzmaksājums mēnesī  no Ls 28 līdz Ls 84), tiktu uzlabota ārstēšanas pieejamība, tajā pašā laikā 10% līdzmaksājums nodrošinātu pacientu iesaisti, </w:t>
      </w:r>
      <w:r w:rsidRPr="002F0BDE">
        <w:rPr>
          <w:rFonts w:ascii="Times New Roman" w:hAnsi="Times New Roman" w:cs="Times New Roman"/>
          <w:sz w:val="24"/>
          <w:szCs w:val="24"/>
        </w:rPr>
        <w:lastRenderedPageBreak/>
        <w:t xml:space="preserve">motivāciju un līdzestību, kas ir būtisks veiksmīgas terapijas nosacījums. </w:t>
      </w:r>
      <w:r>
        <w:rPr>
          <w:rFonts w:ascii="Times New Roman" w:hAnsi="Times New Roman" w:cs="Times New Roman"/>
          <w:sz w:val="24"/>
          <w:szCs w:val="24"/>
        </w:rPr>
        <w:t>Papildus nepiecieša</w:t>
      </w:r>
      <w:r w:rsidRPr="002F0BDE">
        <w:rPr>
          <w:rFonts w:ascii="Times New Roman" w:hAnsi="Times New Roman" w:cs="Times New Roman"/>
          <w:sz w:val="24"/>
          <w:szCs w:val="24"/>
        </w:rPr>
        <w:t>ms finansējums apmēra palielināšanai no 75% uz 90% un pap</w:t>
      </w:r>
      <w:r>
        <w:rPr>
          <w:rFonts w:ascii="Times New Roman" w:hAnsi="Times New Roman" w:cs="Times New Roman"/>
          <w:sz w:val="24"/>
          <w:szCs w:val="24"/>
        </w:rPr>
        <w:t>i</w:t>
      </w:r>
      <w:r w:rsidRPr="002F0BDE">
        <w:rPr>
          <w:rFonts w:ascii="Times New Roman" w:hAnsi="Times New Roman" w:cs="Times New Roman"/>
          <w:sz w:val="24"/>
          <w:szCs w:val="24"/>
        </w:rPr>
        <w:t xml:space="preserve">ldus 70 pacientiem </w:t>
      </w:r>
      <w:r w:rsidRPr="0019659C">
        <w:rPr>
          <w:rFonts w:ascii="Times New Roman" w:hAnsi="Times New Roman" w:cs="Times New Roman"/>
          <w:sz w:val="24"/>
          <w:szCs w:val="24"/>
          <w:u w:val="single"/>
        </w:rPr>
        <w:t>2013.gada pusgadam</w:t>
      </w:r>
      <w:r w:rsidRPr="002F0BDE">
        <w:rPr>
          <w:rFonts w:ascii="Times New Roman" w:hAnsi="Times New Roman" w:cs="Times New Roman"/>
          <w:sz w:val="24"/>
          <w:szCs w:val="24"/>
        </w:rPr>
        <w:t xml:space="preserve"> ar atbilstīgiem grozījumiem noteikumos Nr.899 ir </w:t>
      </w:r>
      <w:r w:rsidRPr="00654588">
        <w:rPr>
          <w:rFonts w:ascii="Times New Roman" w:hAnsi="Times New Roman" w:cs="Times New Roman"/>
          <w:b/>
          <w:sz w:val="24"/>
          <w:szCs w:val="24"/>
        </w:rPr>
        <w:t>1 515 130 lati</w:t>
      </w:r>
      <w:r w:rsidRPr="002F0BDE">
        <w:rPr>
          <w:rFonts w:ascii="Times New Roman" w:hAnsi="Times New Roman" w:cs="Times New Roman"/>
          <w:sz w:val="24"/>
          <w:szCs w:val="24"/>
        </w:rPr>
        <w:t xml:space="preserve">, </w:t>
      </w:r>
      <w:r w:rsidRPr="0019659C">
        <w:rPr>
          <w:rFonts w:ascii="Times New Roman" w:hAnsi="Times New Roman" w:cs="Times New Roman"/>
          <w:sz w:val="24"/>
          <w:szCs w:val="24"/>
          <w:u w:val="single"/>
        </w:rPr>
        <w:t>2014.gadā</w:t>
      </w:r>
      <w:r w:rsidRPr="002F0BDE">
        <w:rPr>
          <w:rFonts w:ascii="Times New Roman" w:hAnsi="Times New Roman" w:cs="Times New Roman"/>
          <w:sz w:val="24"/>
          <w:szCs w:val="24"/>
        </w:rPr>
        <w:t xml:space="preserve"> </w:t>
      </w:r>
      <w:r w:rsidRPr="00654588">
        <w:rPr>
          <w:rFonts w:ascii="Times New Roman" w:hAnsi="Times New Roman" w:cs="Times New Roman"/>
          <w:b/>
          <w:sz w:val="24"/>
          <w:szCs w:val="24"/>
        </w:rPr>
        <w:t>3 030 260 lati</w:t>
      </w:r>
      <w:r>
        <w:rPr>
          <w:rFonts w:ascii="Times New Roman" w:hAnsi="Times New Roman" w:cs="Times New Roman"/>
          <w:sz w:val="24"/>
          <w:szCs w:val="24"/>
        </w:rPr>
        <w:t xml:space="preserve"> (skat. 1</w:t>
      </w:r>
      <w:r w:rsidR="00783301">
        <w:rPr>
          <w:rFonts w:ascii="Times New Roman" w:hAnsi="Times New Roman" w:cs="Times New Roman"/>
          <w:sz w:val="24"/>
          <w:szCs w:val="24"/>
        </w:rPr>
        <w:t>7</w:t>
      </w:r>
      <w:proofErr w:type="gramStart"/>
      <w:r>
        <w:rPr>
          <w:rFonts w:ascii="Times New Roman" w:hAnsi="Times New Roman" w:cs="Times New Roman"/>
          <w:sz w:val="24"/>
          <w:szCs w:val="24"/>
        </w:rPr>
        <w:t>.tab</w:t>
      </w:r>
      <w:proofErr w:type="gramEnd"/>
      <w:r>
        <w:rPr>
          <w:rFonts w:ascii="Times New Roman" w:hAnsi="Times New Roman" w:cs="Times New Roman"/>
          <w:sz w:val="24"/>
          <w:szCs w:val="24"/>
        </w:rPr>
        <w:t>.).</w:t>
      </w:r>
    </w:p>
    <w:p w:rsidR="00351EEB" w:rsidRPr="002F0BDE" w:rsidRDefault="002F0BDE" w:rsidP="002F0BDE">
      <w:pPr>
        <w:spacing w:after="0" w:line="240" w:lineRule="auto"/>
        <w:ind w:firstLine="720"/>
        <w:jc w:val="both"/>
        <w:rPr>
          <w:rFonts w:ascii="Times New Roman" w:hAnsi="Times New Roman" w:cs="Times New Roman"/>
          <w:sz w:val="24"/>
          <w:szCs w:val="24"/>
        </w:rPr>
      </w:pPr>
      <w:r w:rsidRPr="002F0BDE">
        <w:rPr>
          <w:rFonts w:ascii="Times New Roman" w:hAnsi="Times New Roman" w:cs="Times New Roman"/>
          <w:sz w:val="24"/>
          <w:szCs w:val="24"/>
        </w:rPr>
        <w:t xml:space="preserve"> </w:t>
      </w:r>
    </w:p>
    <w:p w:rsidR="00351EEB" w:rsidRPr="002F0BDE" w:rsidRDefault="00351EEB" w:rsidP="002F0BDE">
      <w:pPr>
        <w:jc w:val="right"/>
        <w:rPr>
          <w:rFonts w:ascii="Times New Roman" w:hAnsi="Times New Roman" w:cs="Times New Roman"/>
          <w:sz w:val="24"/>
          <w:szCs w:val="24"/>
        </w:rPr>
      </w:pPr>
      <w:r w:rsidRPr="00870FB5">
        <w:tab/>
      </w:r>
      <w:r w:rsidRPr="00870FB5">
        <w:tab/>
      </w:r>
      <w:r w:rsidRPr="00870FB5">
        <w:tab/>
      </w:r>
      <w:r w:rsidRPr="00870FB5">
        <w:tab/>
      </w:r>
      <w:r w:rsidRPr="00870FB5">
        <w:tab/>
      </w:r>
      <w:r w:rsidRPr="00870FB5">
        <w:tab/>
      </w:r>
      <w:r w:rsidRPr="00870FB5">
        <w:tab/>
      </w:r>
      <w:r w:rsidRPr="00870FB5">
        <w:tab/>
      </w:r>
      <w:r w:rsidRPr="00870FB5">
        <w:tab/>
      </w:r>
      <w:r w:rsidRPr="00870FB5">
        <w:tab/>
      </w:r>
      <w:r w:rsidR="007519DC">
        <w:rPr>
          <w:rFonts w:ascii="Times New Roman" w:hAnsi="Times New Roman" w:cs="Times New Roman"/>
          <w:sz w:val="24"/>
          <w:szCs w:val="24"/>
        </w:rPr>
        <w:t>1</w:t>
      </w:r>
      <w:r w:rsidR="00783301">
        <w:rPr>
          <w:rFonts w:ascii="Times New Roman" w:hAnsi="Times New Roman" w:cs="Times New Roman"/>
          <w:sz w:val="24"/>
          <w:szCs w:val="24"/>
        </w:rPr>
        <w:t>7</w:t>
      </w:r>
      <w:proofErr w:type="gramStart"/>
      <w:r w:rsidRPr="002F0BDE">
        <w:rPr>
          <w:rFonts w:ascii="Times New Roman" w:hAnsi="Times New Roman" w:cs="Times New Roman"/>
          <w:sz w:val="24"/>
          <w:szCs w:val="24"/>
        </w:rPr>
        <w:t>.tabula</w:t>
      </w:r>
      <w:proofErr w:type="gramEnd"/>
    </w:p>
    <w:p w:rsidR="00351EEB" w:rsidRDefault="00351EEB" w:rsidP="002F0BDE">
      <w:pPr>
        <w:shd w:val="clear" w:color="auto" w:fill="FFFFFF"/>
        <w:spacing w:after="0" w:line="240" w:lineRule="auto"/>
        <w:jc w:val="center"/>
        <w:rPr>
          <w:rFonts w:ascii="Times New Roman" w:hAnsi="Times New Roman" w:cs="Times New Roman"/>
          <w:b/>
          <w:sz w:val="24"/>
          <w:szCs w:val="24"/>
        </w:rPr>
      </w:pPr>
      <w:r w:rsidRPr="002F0BDE">
        <w:rPr>
          <w:rFonts w:ascii="Times New Roman" w:hAnsi="Times New Roman" w:cs="Times New Roman"/>
          <w:b/>
          <w:sz w:val="24"/>
          <w:szCs w:val="24"/>
        </w:rPr>
        <w:t>C vīrushepatīta kompensācijas apmēr</w:t>
      </w:r>
      <w:r w:rsidR="002F0BDE">
        <w:rPr>
          <w:rFonts w:ascii="Times New Roman" w:hAnsi="Times New Roman" w:cs="Times New Roman"/>
          <w:b/>
          <w:sz w:val="24"/>
          <w:szCs w:val="24"/>
        </w:rPr>
        <w:t xml:space="preserve">a palielināšanai no 75% uz 90% </w:t>
      </w:r>
    </w:p>
    <w:p w:rsidR="002F0BDE" w:rsidRPr="002F0BDE" w:rsidRDefault="002F0BDE" w:rsidP="002F0BDE">
      <w:pPr>
        <w:shd w:val="clear" w:color="auto" w:fill="FFFFFF"/>
        <w:spacing w:after="0" w:line="240" w:lineRule="auto"/>
        <w:jc w:val="center"/>
        <w:rPr>
          <w:rFonts w:ascii="Times New Roman" w:hAnsi="Times New Roman" w:cs="Times New Roman"/>
          <w:b/>
          <w:sz w:val="24"/>
          <w:szCs w:val="24"/>
        </w:rPr>
      </w:pPr>
    </w:p>
    <w:tbl>
      <w:tblPr>
        <w:tblW w:w="9370" w:type="dxa"/>
        <w:jc w:val="center"/>
        <w:tblInd w:w="94" w:type="dxa"/>
        <w:tblLook w:val="04A0"/>
      </w:tblPr>
      <w:tblGrid>
        <w:gridCol w:w="1373"/>
        <w:gridCol w:w="1476"/>
        <w:gridCol w:w="1701"/>
        <w:gridCol w:w="1561"/>
        <w:gridCol w:w="1700"/>
        <w:gridCol w:w="1559"/>
      </w:tblGrid>
      <w:tr w:rsidR="00351EEB" w:rsidRPr="002F0BDE" w:rsidTr="002F0BDE">
        <w:trPr>
          <w:trHeight w:val="1275"/>
          <w:jc w:val="center"/>
        </w:trPr>
        <w:tc>
          <w:tcPr>
            <w:tcW w:w="1373" w:type="dxa"/>
            <w:tcBorders>
              <w:top w:val="single" w:sz="8" w:space="0" w:color="auto"/>
              <w:left w:val="single" w:sz="8" w:space="0" w:color="auto"/>
              <w:bottom w:val="nil"/>
              <w:right w:val="single" w:sz="8" w:space="0" w:color="auto"/>
            </w:tcBorders>
            <w:shd w:val="clear" w:color="auto" w:fill="auto"/>
            <w:noWrap/>
            <w:vAlign w:val="center"/>
            <w:hideMark/>
          </w:tcPr>
          <w:p w:rsidR="00351EEB" w:rsidRPr="002F0BDE" w:rsidRDefault="00351EEB" w:rsidP="00351EEB">
            <w:pPr>
              <w:spacing w:after="0" w:line="240" w:lineRule="auto"/>
              <w:rPr>
                <w:rFonts w:ascii="Times New Roman" w:eastAsia="Times New Roman" w:hAnsi="Times New Roman" w:cs="Times New Roman"/>
                <w:lang w:eastAsia="lv-LV"/>
              </w:rPr>
            </w:pPr>
            <w:r w:rsidRPr="002F0BDE">
              <w:rPr>
                <w:rFonts w:ascii="Times New Roman" w:eastAsia="Times New Roman" w:hAnsi="Times New Roman" w:cs="Times New Roman"/>
                <w:lang w:eastAsia="lv-LV"/>
              </w:rPr>
              <w:t>Diagnožu grupa</w:t>
            </w:r>
          </w:p>
        </w:tc>
        <w:tc>
          <w:tcPr>
            <w:tcW w:w="1476" w:type="dxa"/>
            <w:tcBorders>
              <w:top w:val="single" w:sz="8" w:space="0" w:color="auto"/>
              <w:left w:val="nil"/>
              <w:bottom w:val="nil"/>
              <w:right w:val="single" w:sz="8" w:space="0" w:color="auto"/>
            </w:tcBorders>
            <w:shd w:val="clear" w:color="auto" w:fill="auto"/>
            <w:noWrap/>
            <w:vAlign w:val="center"/>
            <w:hideMark/>
          </w:tcPr>
          <w:p w:rsidR="00351EEB" w:rsidRPr="002F0BDE" w:rsidRDefault="00351EEB" w:rsidP="00351EEB">
            <w:pPr>
              <w:spacing w:after="0" w:line="240" w:lineRule="auto"/>
              <w:rPr>
                <w:rFonts w:ascii="Times New Roman" w:eastAsia="Times New Roman" w:hAnsi="Times New Roman" w:cs="Times New Roman"/>
                <w:lang w:eastAsia="lv-LV"/>
              </w:rPr>
            </w:pPr>
            <w:r w:rsidRPr="002F0BDE">
              <w:rPr>
                <w:rFonts w:ascii="Times New Roman" w:eastAsia="Times New Roman" w:hAnsi="Times New Roman" w:cs="Times New Roman"/>
                <w:lang w:eastAsia="lv-LV"/>
              </w:rPr>
              <w:t>Diagnoze</w:t>
            </w:r>
          </w:p>
        </w:tc>
        <w:tc>
          <w:tcPr>
            <w:tcW w:w="1701" w:type="dxa"/>
            <w:tcBorders>
              <w:top w:val="single" w:sz="8" w:space="0" w:color="auto"/>
              <w:left w:val="nil"/>
              <w:bottom w:val="nil"/>
              <w:right w:val="single" w:sz="8" w:space="0" w:color="auto"/>
            </w:tcBorders>
            <w:shd w:val="clear" w:color="auto" w:fill="auto"/>
            <w:vAlign w:val="center"/>
            <w:hideMark/>
          </w:tcPr>
          <w:p w:rsidR="00351EEB" w:rsidRPr="002F0BDE" w:rsidRDefault="00351EEB" w:rsidP="00351EEB">
            <w:pPr>
              <w:spacing w:after="0" w:line="240" w:lineRule="auto"/>
              <w:jc w:val="center"/>
              <w:rPr>
                <w:rFonts w:ascii="Times New Roman" w:eastAsia="Times New Roman" w:hAnsi="Times New Roman" w:cs="Times New Roman"/>
                <w:lang w:eastAsia="lv-LV"/>
              </w:rPr>
            </w:pPr>
            <w:r w:rsidRPr="002F0BDE">
              <w:rPr>
                <w:rFonts w:ascii="Times New Roman" w:eastAsia="Times New Roman" w:hAnsi="Times New Roman" w:cs="Times New Roman"/>
                <w:lang w:eastAsia="lv-LV"/>
              </w:rPr>
              <w:t>Prognozējamais pacientu skaits</w:t>
            </w:r>
          </w:p>
        </w:tc>
        <w:tc>
          <w:tcPr>
            <w:tcW w:w="1561" w:type="dxa"/>
            <w:tcBorders>
              <w:top w:val="single" w:sz="8" w:space="0" w:color="auto"/>
              <w:left w:val="nil"/>
              <w:bottom w:val="nil"/>
              <w:right w:val="single" w:sz="8" w:space="0" w:color="auto"/>
            </w:tcBorders>
            <w:shd w:val="clear" w:color="auto" w:fill="auto"/>
            <w:vAlign w:val="center"/>
            <w:hideMark/>
          </w:tcPr>
          <w:p w:rsidR="00351EEB" w:rsidRPr="002F0BDE" w:rsidRDefault="00351EEB" w:rsidP="00351EEB">
            <w:pPr>
              <w:spacing w:after="0" w:line="240" w:lineRule="auto"/>
              <w:jc w:val="center"/>
              <w:rPr>
                <w:rFonts w:ascii="Times New Roman" w:eastAsia="Times New Roman" w:hAnsi="Times New Roman" w:cs="Times New Roman"/>
                <w:lang w:eastAsia="lv-LV"/>
              </w:rPr>
            </w:pPr>
            <w:r w:rsidRPr="002F0BDE">
              <w:rPr>
                <w:rFonts w:ascii="Times New Roman" w:eastAsia="Times New Roman" w:hAnsi="Times New Roman" w:cs="Times New Roman"/>
                <w:lang w:eastAsia="lv-LV"/>
              </w:rPr>
              <w:t>Prognozējamās  viena pacienta vidējās izmaksas gadā, Ls</w:t>
            </w:r>
          </w:p>
        </w:tc>
        <w:tc>
          <w:tcPr>
            <w:tcW w:w="1700" w:type="dxa"/>
            <w:tcBorders>
              <w:top w:val="single" w:sz="8" w:space="0" w:color="auto"/>
              <w:left w:val="nil"/>
              <w:bottom w:val="single" w:sz="8" w:space="0" w:color="auto"/>
              <w:right w:val="single" w:sz="8" w:space="0" w:color="auto"/>
            </w:tcBorders>
            <w:shd w:val="clear" w:color="auto" w:fill="auto"/>
            <w:vAlign w:val="bottom"/>
            <w:hideMark/>
          </w:tcPr>
          <w:p w:rsidR="00351EEB" w:rsidRPr="002F0BDE" w:rsidRDefault="00351EEB" w:rsidP="00351EEB">
            <w:pPr>
              <w:spacing w:after="0" w:line="240" w:lineRule="auto"/>
              <w:jc w:val="center"/>
              <w:rPr>
                <w:rFonts w:ascii="Times New Roman" w:eastAsia="Times New Roman" w:hAnsi="Times New Roman" w:cs="Times New Roman"/>
                <w:lang w:eastAsia="lv-LV"/>
              </w:rPr>
            </w:pPr>
            <w:r w:rsidRPr="002F0BDE">
              <w:rPr>
                <w:rFonts w:ascii="Times New Roman" w:eastAsia="Times New Roman" w:hAnsi="Times New Roman" w:cs="Times New Roman"/>
                <w:lang w:eastAsia="lv-LV"/>
              </w:rPr>
              <w:t>Kompensācijas %</w:t>
            </w:r>
          </w:p>
        </w:tc>
        <w:tc>
          <w:tcPr>
            <w:tcW w:w="1559" w:type="dxa"/>
            <w:tcBorders>
              <w:top w:val="single" w:sz="8" w:space="0" w:color="auto"/>
              <w:left w:val="nil"/>
              <w:bottom w:val="nil"/>
              <w:right w:val="single" w:sz="8" w:space="0" w:color="auto"/>
            </w:tcBorders>
            <w:shd w:val="clear" w:color="auto" w:fill="auto"/>
            <w:vAlign w:val="center"/>
            <w:hideMark/>
          </w:tcPr>
          <w:p w:rsidR="00351EEB" w:rsidRPr="002F0BDE" w:rsidRDefault="00351EEB" w:rsidP="00351EEB">
            <w:pPr>
              <w:spacing w:after="0" w:line="240" w:lineRule="auto"/>
              <w:rPr>
                <w:rFonts w:ascii="Times New Roman" w:eastAsia="Times New Roman" w:hAnsi="Times New Roman" w:cs="Times New Roman"/>
                <w:lang w:eastAsia="lv-LV"/>
              </w:rPr>
            </w:pPr>
            <w:r w:rsidRPr="002F0BDE">
              <w:rPr>
                <w:rFonts w:ascii="Times New Roman" w:eastAsia="Times New Roman" w:hAnsi="Times New Roman" w:cs="Times New Roman"/>
                <w:lang w:eastAsia="lv-LV"/>
              </w:rPr>
              <w:t>Prognozētais nepieciešamais finansējums gadā, Ls</w:t>
            </w:r>
          </w:p>
        </w:tc>
      </w:tr>
      <w:tr w:rsidR="00351EEB" w:rsidRPr="002F0BDE" w:rsidTr="002F0BDE">
        <w:trPr>
          <w:trHeight w:val="330"/>
          <w:jc w:val="center"/>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EB" w:rsidRPr="002F0BDE" w:rsidRDefault="00351EEB" w:rsidP="00351EEB">
            <w:pPr>
              <w:spacing w:after="0" w:line="240" w:lineRule="auto"/>
              <w:jc w:val="center"/>
              <w:rPr>
                <w:rFonts w:ascii="Times New Roman" w:eastAsia="Times New Roman" w:hAnsi="Times New Roman" w:cs="Times New Roman"/>
                <w:lang w:eastAsia="lv-LV"/>
              </w:rPr>
            </w:pPr>
            <w:r w:rsidRPr="002F0BDE">
              <w:rPr>
                <w:rFonts w:ascii="Times New Roman" w:eastAsia="Times New Roman" w:hAnsi="Times New Roman" w:cs="Times New Roman"/>
                <w:lang w:eastAsia="lv-LV"/>
              </w:rPr>
              <w:t>Infekcijas slimību grupa</w:t>
            </w:r>
          </w:p>
        </w:tc>
        <w:tc>
          <w:tcPr>
            <w:tcW w:w="1476" w:type="dxa"/>
            <w:vMerge w:val="restart"/>
            <w:tcBorders>
              <w:top w:val="single" w:sz="8" w:space="0" w:color="auto"/>
              <w:left w:val="nil"/>
              <w:bottom w:val="single" w:sz="8" w:space="0" w:color="000000"/>
              <w:right w:val="single" w:sz="8" w:space="0" w:color="auto"/>
            </w:tcBorders>
            <w:shd w:val="clear" w:color="auto" w:fill="auto"/>
            <w:noWrap/>
            <w:vAlign w:val="bottom"/>
            <w:hideMark/>
          </w:tcPr>
          <w:p w:rsidR="00351EEB" w:rsidRPr="002F0BDE" w:rsidRDefault="00351EEB" w:rsidP="00351EEB">
            <w:pPr>
              <w:spacing w:after="0" w:line="240" w:lineRule="auto"/>
              <w:jc w:val="center"/>
              <w:rPr>
                <w:rFonts w:ascii="Times New Roman" w:eastAsia="Times New Roman" w:hAnsi="Times New Roman" w:cs="Times New Roman"/>
                <w:lang w:eastAsia="lv-LV"/>
              </w:rPr>
            </w:pPr>
            <w:r w:rsidRPr="002F0BDE">
              <w:rPr>
                <w:rFonts w:ascii="Times New Roman" w:eastAsia="Times New Roman" w:hAnsi="Times New Roman" w:cs="Times New Roman"/>
                <w:lang w:eastAsia="lv-LV"/>
              </w:rPr>
              <w:t>Vīrushepatīts C</w:t>
            </w:r>
          </w:p>
        </w:tc>
        <w:tc>
          <w:tcPr>
            <w:tcW w:w="1701" w:type="dxa"/>
            <w:tcBorders>
              <w:top w:val="single" w:sz="8" w:space="0" w:color="auto"/>
              <w:left w:val="nil"/>
              <w:bottom w:val="nil"/>
              <w:right w:val="single" w:sz="8" w:space="0" w:color="auto"/>
            </w:tcBorders>
            <w:shd w:val="clear" w:color="auto" w:fill="auto"/>
            <w:vAlign w:val="bottom"/>
            <w:hideMark/>
          </w:tcPr>
          <w:p w:rsidR="00351EEB" w:rsidRPr="002F0BDE" w:rsidRDefault="00351EEB" w:rsidP="00351EEB">
            <w:pPr>
              <w:spacing w:after="0" w:line="240" w:lineRule="auto"/>
              <w:jc w:val="right"/>
              <w:rPr>
                <w:rFonts w:ascii="Times New Roman" w:eastAsia="Times New Roman" w:hAnsi="Times New Roman" w:cs="Times New Roman"/>
                <w:lang w:eastAsia="lv-LV"/>
              </w:rPr>
            </w:pPr>
            <w:r w:rsidRPr="002F0BDE">
              <w:rPr>
                <w:rFonts w:ascii="Times New Roman" w:eastAsia="Times New Roman" w:hAnsi="Times New Roman" w:cs="Times New Roman"/>
                <w:lang w:eastAsia="lv-LV"/>
              </w:rPr>
              <w:t>922</w:t>
            </w:r>
          </w:p>
        </w:tc>
        <w:tc>
          <w:tcPr>
            <w:tcW w:w="1561" w:type="dxa"/>
            <w:tcBorders>
              <w:top w:val="single" w:sz="8" w:space="0" w:color="auto"/>
              <w:left w:val="nil"/>
              <w:bottom w:val="nil"/>
              <w:right w:val="single" w:sz="8" w:space="0" w:color="auto"/>
            </w:tcBorders>
            <w:shd w:val="clear" w:color="auto" w:fill="auto"/>
            <w:noWrap/>
            <w:vAlign w:val="bottom"/>
            <w:hideMark/>
          </w:tcPr>
          <w:p w:rsidR="00351EEB" w:rsidRPr="002F0BDE" w:rsidRDefault="00351EEB" w:rsidP="00351EEB">
            <w:pPr>
              <w:spacing w:after="0" w:line="240" w:lineRule="auto"/>
              <w:jc w:val="right"/>
              <w:rPr>
                <w:rFonts w:ascii="Times New Roman" w:eastAsia="Times New Roman" w:hAnsi="Times New Roman" w:cs="Times New Roman"/>
                <w:lang w:eastAsia="lv-LV"/>
              </w:rPr>
            </w:pPr>
            <w:r w:rsidRPr="002F0BDE">
              <w:rPr>
                <w:rFonts w:ascii="Times New Roman" w:eastAsia="Times New Roman" w:hAnsi="Times New Roman" w:cs="Times New Roman"/>
                <w:lang w:eastAsia="lv-LV"/>
              </w:rPr>
              <w:t>2170</w:t>
            </w:r>
          </w:p>
        </w:tc>
        <w:tc>
          <w:tcPr>
            <w:tcW w:w="1700" w:type="dxa"/>
            <w:tcBorders>
              <w:top w:val="nil"/>
              <w:left w:val="nil"/>
              <w:bottom w:val="nil"/>
              <w:right w:val="single" w:sz="8" w:space="0" w:color="auto"/>
            </w:tcBorders>
            <w:shd w:val="clear" w:color="auto" w:fill="auto"/>
            <w:noWrap/>
            <w:vAlign w:val="bottom"/>
            <w:hideMark/>
          </w:tcPr>
          <w:p w:rsidR="00351EEB" w:rsidRPr="002F0BDE" w:rsidRDefault="00351EEB" w:rsidP="00351EEB">
            <w:pPr>
              <w:spacing w:after="0" w:line="240" w:lineRule="auto"/>
              <w:jc w:val="right"/>
              <w:rPr>
                <w:rFonts w:ascii="Times New Roman" w:eastAsia="Times New Roman" w:hAnsi="Times New Roman" w:cs="Times New Roman"/>
                <w:lang w:eastAsia="lv-LV"/>
              </w:rPr>
            </w:pPr>
            <w:r w:rsidRPr="002F0BDE">
              <w:rPr>
                <w:rFonts w:ascii="Times New Roman" w:eastAsia="Times New Roman" w:hAnsi="Times New Roman" w:cs="Times New Roman"/>
                <w:lang w:eastAsia="lv-LV"/>
              </w:rPr>
              <w:t>75</w:t>
            </w:r>
          </w:p>
        </w:tc>
        <w:tc>
          <w:tcPr>
            <w:tcW w:w="1559" w:type="dxa"/>
            <w:tcBorders>
              <w:top w:val="single" w:sz="8" w:space="0" w:color="auto"/>
              <w:left w:val="nil"/>
              <w:bottom w:val="nil"/>
              <w:right w:val="single" w:sz="8" w:space="0" w:color="auto"/>
            </w:tcBorders>
            <w:shd w:val="clear" w:color="auto" w:fill="auto"/>
            <w:vAlign w:val="center"/>
            <w:hideMark/>
          </w:tcPr>
          <w:p w:rsidR="00351EEB" w:rsidRPr="002F0BDE" w:rsidRDefault="00351EEB" w:rsidP="00351EEB">
            <w:pPr>
              <w:spacing w:after="0" w:line="240" w:lineRule="auto"/>
              <w:jc w:val="right"/>
              <w:rPr>
                <w:rFonts w:ascii="Times New Roman" w:eastAsia="Times New Roman" w:hAnsi="Times New Roman" w:cs="Times New Roman"/>
                <w:lang w:eastAsia="lv-LV"/>
              </w:rPr>
            </w:pPr>
            <w:r w:rsidRPr="002F0BDE">
              <w:rPr>
                <w:rFonts w:ascii="Times New Roman" w:eastAsia="Times New Roman" w:hAnsi="Times New Roman" w:cs="Times New Roman"/>
                <w:lang w:eastAsia="lv-LV"/>
              </w:rPr>
              <w:t>2 000 740</w:t>
            </w:r>
          </w:p>
        </w:tc>
      </w:tr>
      <w:tr w:rsidR="00351EEB" w:rsidRPr="002F0BDE" w:rsidTr="002F0BDE">
        <w:trPr>
          <w:trHeight w:val="330"/>
          <w:jc w:val="center"/>
        </w:trPr>
        <w:tc>
          <w:tcPr>
            <w:tcW w:w="1373" w:type="dxa"/>
            <w:vMerge/>
            <w:tcBorders>
              <w:top w:val="single" w:sz="4" w:space="0" w:color="auto"/>
              <w:left w:val="single" w:sz="4" w:space="0" w:color="auto"/>
              <w:bottom w:val="single" w:sz="4" w:space="0" w:color="auto"/>
              <w:right w:val="single" w:sz="4" w:space="0" w:color="auto"/>
            </w:tcBorders>
            <w:vAlign w:val="center"/>
            <w:hideMark/>
          </w:tcPr>
          <w:p w:rsidR="00351EEB" w:rsidRPr="002F0BDE" w:rsidRDefault="00351EEB" w:rsidP="00351EEB">
            <w:pPr>
              <w:spacing w:after="0" w:line="240" w:lineRule="auto"/>
              <w:rPr>
                <w:rFonts w:ascii="Times New Roman" w:eastAsia="Times New Roman" w:hAnsi="Times New Roman" w:cs="Times New Roman"/>
                <w:lang w:eastAsia="lv-LV"/>
              </w:rPr>
            </w:pPr>
          </w:p>
        </w:tc>
        <w:tc>
          <w:tcPr>
            <w:tcW w:w="1476" w:type="dxa"/>
            <w:vMerge/>
            <w:tcBorders>
              <w:top w:val="single" w:sz="8" w:space="0" w:color="auto"/>
              <w:left w:val="nil"/>
              <w:bottom w:val="single" w:sz="8" w:space="0" w:color="000000"/>
              <w:right w:val="single" w:sz="8" w:space="0" w:color="auto"/>
            </w:tcBorders>
            <w:vAlign w:val="center"/>
            <w:hideMark/>
          </w:tcPr>
          <w:p w:rsidR="00351EEB" w:rsidRPr="002F0BDE" w:rsidRDefault="00351EEB" w:rsidP="00351EEB">
            <w:pPr>
              <w:spacing w:after="0" w:line="240" w:lineRule="auto"/>
              <w:rPr>
                <w:rFonts w:ascii="Times New Roman" w:eastAsia="Times New Roman" w:hAnsi="Times New Roman" w:cs="Times New Roman"/>
                <w:lang w:eastAsia="lv-LV"/>
              </w:rPr>
            </w:pP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351EEB" w:rsidRPr="002F0BDE" w:rsidRDefault="00351EEB" w:rsidP="00351EEB">
            <w:pPr>
              <w:spacing w:after="0" w:line="240" w:lineRule="auto"/>
              <w:jc w:val="right"/>
              <w:rPr>
                <w:rFonts w:ascii="Times New Roman" w:eastAsia="Times New Roman" w:hAnsi="Times New Roman" w:cs="Times New Roman"/>
                <w:lang w:eastAsia="lv-LV"/>
              </w:rPr>
            </w:pPr>
            <w:r w:rsidRPr="002F0BDE">
              <w:rPr>
                <w:rFonts w:ascii="Times New Roman" w:eastAsia="Times New Roman" w:hAnsi="Times New Roman" w:cs="Times New Roman"/>
                <w:lang w:eastAsia="lv-LV"/>
              </w:rPr>
              <w:t>1300 *</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351EEB" w:rsidRPr="002F0BDE" w:rsidRDefault="00351EEB" w:rsidP="00351EEB">
            <w:pPr>
              <w:spacing w:after="0" w:line="240" w:lineRule="auto"/>
              <w:jc w:val="right"/>
              <w:rPr>
                <w:rFonts w:ascii="Times New Roman" w:eastAsia="Times New Roman" w:hAnsi="Times New Roman" w:cs="Times New Roman"/>
                <w:lang w:eastAsia="lv-LV"/>
              </w:rPr>
            </w:pPr>
            <w:r w:rsidRPr="002F0BDE">
              <w:rPr>
                <w:rFonts w:ascii="Times New Roman" w:eastAsia="Times New Roman" w:hAnsi="Times New Roman" w:cs="Times New Roman"/>
                <w:lang w:eastAsia="lv-LV"/>
              </w:rPr>
              <w:t>3870</w:t>
            </w:r>
          </w:p>
        </w:tc>
        <w:tc>
          <w:tcPr>
            <w:tcW w:w="1700" w:type="dxa"/>
            <w:tcBorders>
              <w:top w:val="single" w:sz="8" w:space="0" w:color="auto"/>
              <w:left w:val="nil"/>
              <w:bottom w:val="single" w:sz="8" w:space="0" w:color="auto"/>
              <w:right w:val="single" w:sz="8" w:space="0" w:color="auto"/>
            </w:tcBorders>
            <w:shd w:val="clear" w:color="auto" w:fill="auto"/>
            <w:noWrap/>
            <w:vAlign w:val="bottom"/>
            <w:hideMark/>
          </w:tcPr>
          <w:p w:rsidR="00351EEB" w:rsidRPr="002F0BDE" w:rsidRDefault="00351EEB" w:rsidP="00351EEB">
            <w:pPr>
              <w:spacing w:after="0" w:line="240" w:lineRule="auto"/>
              <w:jc w:val="right"/>
              <w:rPr>
                <w:rFonts w:ascii="Times New Roman" w:eastAsia="Times New Roman" w:hAnsi="Times New Roman" w:cs="Times New Roman"/>
                <w:lang w:eastAsia="lv-LV"/>
              </w:rPr>
            </w:pPr>
            <w:r w:rsidRPr="002F0BDE">
              <w:rPr>
                <w:rFonts w:ascii="Times New Roman" w:eastAsia="Times New Roman" w:hAnsi="Times New Roman" w:cs="Times New Roman"/>
                <w:lang w:eastAsia="lv-LV"/>
              </w:rPr>
              <w:t>90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51EEB" w:rsidRPr="002F0BDE" w:rsidRDefault="00351EEB" w:rsidP="00351EEB">
            <w:pPr>
              <w:spacing w:after="0" w:line="240" w:lineRule="auto"/>
              <w:jc w:val="right"/>
              <w:rPr>
                <w:rFonts w:ascii="Times New Roman" w:eastAsia="Times New Roman" w:hAnsi="Times New Roman" w:cs="Times New Roman"/>
                <w:lang w:eastAsia="lv-LV"/>
              </w:rPr>
            </w:pPr>
            <w:r w:rsidRPr="002F0BDE">
              <w:rPr>
                <w:rFonts w:ascii="Times New Roman" w:eastAsia="Times New Roman" w:hAnsi="Times New Roman" w:cs="Times New Roman"/>
                <w:lang w:eastAsia="lv-LV"/>
              </w:rPr>
              <w:t>5 031 000</w:t>
            </w:r>
          </w:p>
        </w:tc>
      </w:tr>
      <w:tr w:rsidR="00351EEB" w:rsidRPr="002F0BDE" w:rsidTr="002F0BDE">
        <w:trPr>
          <w:trHeight w:val="330"/>
          <w:jc w:val="center"/>
        </w:trPr>
        <w:tc>
          <w:tcPr>
            <w:tcW w:w="1373" w:type="dxa"/>
            <w:vMerge/>
            <w:tcBorders>
              <w:top w:val="single" w:sz="4" w:space="0" w:color="auto"/>
              <w:left w:val="single" w:sz="4" w:space="0" w:color="auto"/>
              <w:bottom w:val="single" w:sz="4" w:space="0" w:color="auto"/>
              <w:right w:val="single" w:sz="4" w:space="0" w:color="auto"/>
            </w:tcBorders>
            <w:vAlign w:val="center"/>
            <w:hideMark/>
          </w:tcPr>
          <w:p w:rsidR="00351EEB" w:rsidRPr="002F0BDE" w:rsidRDefault="00351EEB" w:rsidP="00351EEB">
            <w:pPr>
              <w:spacing w:after="0" w:line="240" w:lineRule="auto"/>
              <w:rPr>
                <w:rFonts w:ascii="Times New Roman" w:eastAsia="Times New Roman" w:hAnsi="Times New Roman" w:cs="Times New Roman"/>
                <w:lang w:eastAsia="lv-LV"/>
              </w:rPr>
            </w:pPr>
          </w:p>
        </w:tc>
        <w:tc>
          <w:tcPr>
            <w:tcW w:w="1476" w:type="dxa"/>
            <w:vMerge/>
            <w:tcBorders>
              <w:top w:val="single" w:sz="8" w:space="0" w:color="auto"/>
              <w:left w:val="nil"/>
              <w:bottom w:val="single" w:sz="8" w:space="0" w:color="000000"/>
              <w:right w:val="single" w:sz="8" w:space="0" w:color="auto"/>
            </w:tcBorders>
            <w:vAlign w:val="center"/>
            <w:hideMark/>
          </w:tcPr>
          <w:p w:rsidR="00351EEB" w:rsidRPr="002F0BDE" w:rsidRDefault="00351EEB" w:rsidP="00351EEB">
            <w:pPr>
              <w:spacing w:after="0" w:line="240" w:lineRule="auto"/>
              <w:rPr>
                <w:rFonts w:ascii="Times New Roman" w:eastAsia="Times New Roman" w:hAnsi="Times New Roman" w:cs="Times New Roman"/>
                <w:lang w:eastAsia="lv-LV"/>
              </w:rPr>
            </w:pPr>
          </w:p>
        </w:tc>
        <w:tc>
          <w:tcPr>
            <w:tcW w:w="49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1EEB" w:rsidRPr="002F0BDE" w:rsidRDefault="002F0BDE" w:rsidP="002F0BDE">
            <w:pPr>
              <w:spacing w:after="0" w:line="240" w:lineRule="auto"/>
              <w:jc w:val="right"/>
              <w:rPr>
                <w:rFonts w:ascii="Times New Roman" w:eastAsia="Times New Roman" w:hAnsi="Times New Roman" w:cs="Times New Roman"/>
                <w:b/>
                <w:lang w:eastAsia="lv-LV"/>
              </w:rPr>
            </w:pPr>
            <w:r w:rsidRPr="002F0BDE">
              <w:rPr>
                <w:rFonts w:ascii="Times New Roman" w:eastAsia="Times New Roman" w:hAnsi="Times New Roman" w:cs="Times New Roman"/>
                <w:b/>
                <w:lang w:eastAsia="lv-LV"/>
              </w:rPr>
              <w:t>I</w:t>
            </w:r>
            <w:r w:rsidR="00351EEB" w:rsidRPr="002F0BDE">
              <w:rPr>
                <w:rFonts w:ascii="Times New Roman" w:eastAsia="Times New Roman" w:hAnsi="Times New Roman" w:cs="Times New Roman"/>
                <w:b/>
                <w:lang w:eastAsia="lv-LV"/>
              </w:rPr>
              <w:t>zmaksu palielinājums</w:t>
            </w:r>
            <w:r w:rsidRPr="002F0BDE">
              <w:rPr>
                <w:rFonts w:ascii="Times New Roman" w:eastAsia="Times New Roman" w:hAnsi="Times New Roman" w:cs="Times New Roman"/>
                <w:b/>
                <w:lang w:eastAsia="lv-LV"/>
              </w:rPr>
              <w:t xml:space="preserve"> gadā</w:t>
            </w:r>
          </w:p>
        </w:tc>
        <w:tc>
          <w:tcPr>
            <w:tcW w:w="1559" w:type="dxa"/>
            <w:tcBorders>
              <w:top w:val="nil"/>
              <w:left w:val="nil"/>
              <w:bottom w:val="single" w:sz="8" w:space="0" w:color="auto"/>
              <w:right w:val="single" w:sz="8" w:space="0" w:color="auto"/>
            </w:tcBorders>
            <w:shd w:val="clear" w:color="auto" w:fill="auto"/>
            <w:vAlign w:val="center"/>
            <w:hideMark/>
          </w:tcPr>
          <w:p w:rsidR="00351EEB" w:rsidRPr="002F0BDE" w:rsidRDefault="00351EEB" w:rsidP="00351EEB">
            <w:pPr>
              <w:spacing w:after="0" w:line="240" w:lineRule="auto"/>
              <w:jc w:val="right"/>
              <w:rPr>
                <w:rFonts w:ascii="Times New Roman" w:eastAsia="Times New Roman" w:hAnsi="Times New Roman" w:cs="Times New Roman"/>
                <w:b/>
                <w:lang w:eastAsia="lv-LV"/>
              </w:rPr>
            </w:pPr>
            <w:r w:rsidRPr="002F0BDE">
              <w:rPr>
                <w:rFonts w:ascii="Times New Roman" w:eastAsia="Times New Roman" w:hAnsi="Times New Roman" w:cs="Times New Roman"/>
                <w:b/>
                <w:lang w:eastAsia="lv-LV"/>
              </w:rPr>
              <w:t>3 030 260</w:t>
            </w:r>
          </w:p>
        </w:tc>
      </w:tr>
    </w:tbl>
    <w:p w:rsidR="007519DC" w:rsidRDefault="007519DC" w:rsidP="007519DC">
      <w:pPr>
        <w:pStyle w:val="NoSpacing"/>
        <w:jc w:val="both"/>
        <w:rPr>
          <w:rFonts w:ascii="Times New Roman" w:hAnsi="Times New Roman"/>
          <w:i/>
          <w:sz w:val="20"/>
          <w:szCs w:val="20"/>
        </w:rPr>
      </w:pPr>
      <w:r>
        <w:rPr>
          <w:rFonts w:ascii="Times New Roman" w:hAnsi="Times New Roman"/>
          <w:i/>
          <w:sz w:val="20"/>
          <w:szCs w:val="20"/>
        </w:rPr>
        <w:t xml:space="preserve">           </w:t>
      </w:r>
      <w:r w:rsidRPr="002040D7">
        <w:rPr>
          <w:rFonts w:ascii="Times New Roman" w:hAnsi="Times New Roman"/>
          <w:i/>
          <w:sz w:val="20"/>
          <w:szCs w:val="20"/>
        </w:rPr>
        <w:t xml:space="preserve">Avots: </w:t>
      </w:r>
      <w:r>
        <w:rPr>
          <w:rFonts w:ascii="Times New Roman" w:hAnsi="Times New Roman"/>
          <w:i/>
          <w:sz w:val="20"/>
          <w:szCs w:val="20"/>
        </w:rPr>
        <w:t>Nacionālais veselības dienests</w:t>
      </w:r>
      <w:r w:rsidRPr="002040D7">
        <w:rPr>
          <w:rFonts w:ascii="Times New Roman" w:hAnsi="Times New Roman"/>
          <w:i/>
          <w:sz w:val="20"/>
          <w:szCs w:val="20"/>
        </w:rPr>
        <w:t xml:space="preserve">    </w:t>
      </w:r>
    </w:p>
    <w:p w:rsidR="00351EEB" w:rsidRPr="004D6C02" w:rsidRDefault="002F0BDE" w:rsidP="00351EEB">
      <w:pPr>
        <w:ind w:left="360"/>
        <w:jc w:val="both"/>
        <w:rPr>
          <w:rFonts w:ascii="Times New Roman" w:hAnsi="Times New Roman" w:cs="Times New Roman"/>
          <w:sz w:val="20"/>
          <w:szCs w:val="20"/>
          <w:lang w:val="lv-LV"/>
        </w:rPr>
      </w:pPr>
      <w:r w:rsidRPr="004D6C02">
        <w:rPr>
          <w:rFonts w:ascii="Times New Roman" w:hAnsi="Times New Roman" w:cs="Times New Roman"/>
          <w:sz w:val="20"/>
          <w:szCs w:val="20"/>
          <w:lang w:val="lv-LV"/>
        </w:rPr>
        <w:t>* s</w:t>
      </w:r>
      <w:r w:rsidR="00351EEB" w:rsidRPr="004D6C02">
        <w:rPr>
          <w:rFonts w:ascii="Times New Roman" w:hAnsi="Times New Roman" w:cs="Times New Roman"/>
          <w:sz w:val="20"/>
          <w:szCs w:val="20"/>
          <w:lang w:val="lv-LV"/>
        </w:rPr>
        <w:t>askaņā ar Slimību profila</w:t>
      </w:r>
      <w:r w:rsidRPr="004D6C02">
        <w:rPr>
          <w:rFonts w:ascii="Times New Roman" w:hAnsi="Times New Roman" w:cs="Times New Roman"/>
          <w:sz w:val="20"/>
          <w:szCs w:val="20"/>
          <w:lang w:val="lv-LV"/>
        </w:rPr>
        <w:t>kses un kontroles centra datiem</w:t>
      </w:r>
      <w:r w:rsidR="00351EEB" w:rsidRPr="004D6C02">
        <w:rPr>
          <w:rFonts w:ascii="Times New Roman" w:hAnsi="Times New Roman" w:cs="Times New Roman"/>
          <w:sz w:val="20"/>
          <w:szCs w:val="20"/>
          <w:lang w:val="lv-LV"/>
        </w:rPr>
        <w:t xml:space="preserve"> gadā tiek diagnosticēti aptuveni 1300 jauni C vīrushepatīta gadījumi.</w:t>
      </w:r>
    </w:p>
    <w:p w:rsidR="00351EEB" w:rsidRPr="00A701FE" w:rsidRDefault="00F3393D" w:rsidP="00351EEB">
      <w:pPr>
        <w:jc w:val="both"/>
        <w:rPr>
          <w:rFonts w:ascii="Times New Roman" w:hAnsi="Times New Roman" w:cs="Times New Roman"/>
          <w:i/>
          <w:sz w:val="24"/>
          <w:szCs w:val="24"/>
        </w:rPr>
      </w:pPr>
      <w:r>
        <w:rPr>
          <w:rFonts w:ascii="Times New Roman" w:hAnsi="Times New Roman" w:cs="Times New Roman"/>
          <w:i/>
          <w:sz w:val="24"/>
          <w:szCs w:val="24"/>
        </w:rPr>
        <w:t>4</w:t>
      </w:r>
      <w:r w:rsidR="00A701FE" w:rsidRPr="00A701FE">
        <w:rPr>
          <w:rFonts w:ascii="Times New Roman" w:hAnsi="Times New Roman" w:cs="Times New Roman"/>
          <w:i/>
          <w:sz w:val="24"/>
          <w:szCs w:val="24"/>
        </w:rPr>
        <w:t xml:space="preserve">.2. </w:t>
      </w:r>
      <w:proofErr w:type="gramStart"/>
      <w:r w:rsidR="00A701FE" w:rsidRPr="00A701FE">
        <w:rPr>
          <w:rFonts w:ascii="Times New Roman" w:hAnsi="Times New Roman" w:cs="Times New Roman"/>
          <w:i/>
          <w:color w:val="000000"/>
          <w:sz w:val="24"/>
          <w:szCs w:val="24"/>
        </w:rPr>
        <w:t>papildus</w:t>
      </w:r>
      <w:proofErr w:type="gramEnd"/>
      <w:r w:rsidR="00A701FE" w:rsidRPr="00A701FE">
        <w:rPr>
          <w:rFonts w:ascii="Times New Roman" w:hAnsi="Times New Roman" w:cs="Times New Roman"/>
          <w:i/>
          <w:color w:val="000000"/>
          <w:sz w:val="24"/>
          <w:szCs w:val="24"/>
        </w:rPr>
        <w:t xml:space="preserve"> 70 HIV/AIDS pacientiem terapijas uzsākšanai</w:t>
      </w:r>
    </w:p>
    <w:p w:rsidR="00351EEB" w:rsidRPr="00A701FE" w:rsidRDefault="00996D5B" w:rsidP="00996D5B">
      <w:pPr>
        <w:spacing w:after="0" w:line="240" w:lineRule="auto"/>
        <w:ind w:firstLine="720"/>
        <w:jc w:val="both"/>
        <w:rPr>
          <w:rFonts w:ascii="Times New Roman" w:hAnsi="Times New Roman" w:cs="Times New Roman"/>
          <w:sz w:val="24"/>
          <w:szCs w:val="24"/>
        </w:rPr>
      </w:pPr>
      <w:r w:rsidRPr="00A701FE">
        <w:rPr>
          <w:rFonts w:ascii="Times New Roman" w:hAnsi="Times New Roman" w:cs="Times New Roman"/>
          <w:sz w:val="24"/>
          <w:szCs w:val="24"/>
        </w:rPr>
        <w:t>Lai ierobežotu HIV infekcijas izplatību, samazinātu jaunu saslimšanas gadījumu skaitu un samazinātu AIDS slimnieku skaitu, atbilstoši Pasaules Veselības organizācijas (turpmāk – PVO)</w:t>
      </w:r>
      <w:r>
        <w:rPr>
          <w:rFonts w:ascii="Times New Roman" w:hAnsi="Times New Roman" w:cs="Times New Roman"/>
          <w:sz w:val="24"/>
          <w:szCs w:val="24"/>
        </w:rPr>
        <w:t xml:space="preserve"> rekomendācijām</w:t>
      </w:r>
      <w:r w:rsidRPr="00A701FE">
        <w:rPr>
          <w:rFonts w:ascii="Times New Roman" w:hAnsi="Times New Roman" w:cs="Times New Roman"/>
          <w:sz w:val="24"/>
          <w:szCs w:val="24"/>
        </w:rPr>
        <w:t xml:space="preserve"> ir jāuzsāk HIV inficēto pacientu ārstēšana ar antiretrovirālām zālēm (turpmāk – ARV) sākot no imūnšūnu skaita CD4&lt; 350 šūnas/mm3. Saskaņā ar Eiropas Slimību profilakses </w:t>
      </w:r>
      <w:proofErr w:type="gramStart"/>
      <w:r w:rsidRPr="00A701FE">
        <w:rPr>
          <w:rFonts w:ascii="Times New Roman" w:hAnsi="Times New Roman" w:cs="Times New Roman"/>
          <w:sz w:val="24"/>
          <w:szCs w:val="24"/>
        </w:rPr>
        <w:t>un</w:t>
      </w:r>
      <w:proofErr w:type="gramEnd"/>
      <w:r w:rsidRPr="00A701FE">
        <w:rPr>
          <w:rFonts w:ascii="Times New Roman" w:hAnsi="Times New Roman" w:cs="Times New Roman"/>
          <w:sz w:val="24"/>
          <w:szCs w:val="24"/>
        </w:rPr>
        <w:t xml:space="preserve"> kontro</w:t>
      </w:r>
      <w:r>
        <w:rPr>
          <w:rFonts w:ascii="Times New Roman" w:hAnsi="Times New Roman" w:cs="Times New Roman"/>
          <w:sz w:val="24"/>
          <w:szCs w:val="24"/>
        </w:rPr>
        <w:t>les centra apkopoto informāciju</w:t>
      </w:r>
      <w:r w:rsidRPr="00A701FE">
        <w:rPr>
          <w:rFonts w:ascii="Times New Roman" w:hAnsi="Times New Roman" w:cs="Times New Roman"/>
          <w:sz w:val="24"/>
          <w:szCs w:val="24"/>
        </w:rPr>
        <w:t xml:space="preserve"> Latvija ir 2.vietā jauno HIV infekcijas gadījumu un 1.vietā AIDS pacientu skaita ziņā Eiropas Savienībā.</w:t>
      </w:r>
    </w:p>
    <w:p w:rsidR="00351EEB" w:rsidRPr="00A701FE" w:rsidRDefault="00351EEB" w:rsidP="00A701FE">
      <w:pPr>
        <w:spacing w:after="0" w:line="240" w:lineRule="auto"/>
        <w:ind w:firstLine="720"/>
        <w:jc w:val="both"/>
        <w:rPr>
          <w:rFonts w:ascii="Times New Roman" w:hAnsi="Times New Roman" w:cs="Times New Roman"/>
          <w:sz w:val="24"/>
          <w:szCs w:val="24"/>
        </w:rPr>
      </w:pPr>
      <w:proofErr w:type="gramStart"/>
      <w:r w:rsidRPr="00A701FE">
        <w:rPr>
          <w:rFonts w:ascii="Times New Roman" w:hAnsi="Times New Roman" w:cs="Times New Roman"/>
          <w:sz w:val="24"/>
          <w:szCs w:val="24"/>
        </w:rPr>
        <w:t>Saskaņā ar PVO dokumentiem (Global HIV/AIDS Response.</w:t>
      </w:r>
      <w:proofErr w:type="gramEnd"/>
      <w:r w:rsidRPr="00A701FE">
        <w:rPr>
          <w:rFonts w:ascii="Times New Roman" w:hAnsi="Times New Roman" w:cs="Times New Roman"/>
          <w:sz w:val="24"/>
          <w:szCs w:val="24"/>
        </w:rPr>
        <w:t xml:space="preserve"> Epidemic update and health sector progress towards Universal Access. Progress Report </w:t>
      </w:r>
      <w:proofErr w:type="gramStart"/>
      <w:r w:rsidRPr="00A701FE">
        <w:rPr>
          <w:rFonts w:ascii="Times New Roman" w:hAnsi="Times New Roman" w:cs="Times New Roman"/>
          <w:sz w:val="24"/>
          <w:szCs w:val="24"/>
        </w:rPr>
        <w:t>2011.,</w:t>
      </w:r>
      <w:proofErr w:type="gramEnd"/>
      <w:r w:rsidRPr="00A701FE">
        <w:rPr>
          <w:rFonts w:ascii="Times New Roman" w:hAnsi="Times New Roman" w:cs="Times New Roman"/>
          <w:sz w:val="24"/>
          <w:szCs w:val="24"/>
        </w:rPr>
        <w:t xml:space="preserve"> 15.lpp. </w:t>
      </w:r>
      <w:proofErr w:type="gramStart"/>
      <w:r w:rsidRPr="00A701FE">
        <w:rPr>
          <w:rFonts w:ascii="Times New Roman" w:hAnsi="Times New Roman" w:cs="Times New Roman"/>
          <w:sz w:val="24"/>
          <w:szCs w:val="24"/>
        </w:rPr>
        <w:t>un</w:t>
      </w:r>
      <w:proofErr w:type="gramEnd"/>
      <w:r w:rsidRPr="00A701FE">
        <w:rPr>
          <w:rFonts w:ascii="Times New Roman" w:hAnsi="Times New Roman" w:cs="Times New Roman"/>
          <w:sz w:val="24"/>
          <w:szCs w:val="24"/>
        </w:rPr>
        <w:t xml:space="preserve"> Adapting WHO Normative HIV Guidelines for National Programmes. </w:t>
      </w:r>
      <w:proofErr w:type="gramStart"/>
      <w:r w:rsidRPr="00A701FE">
        <w:rPr>
          <w:rFonts w:ascii="Times New Roman" w:hAnsi="Times New Roman" w:cs="Times New Roman"/>
          <w:sz w:val="24"/>
          <w:szCs w:val="24"/>
        </w:rPr>
        <w:t>Essential principles and processes, July 2011, 41.lpp) no 93 pasaules valstīm (t.sk.</w:t>
      </w:r>
      <w:proofErr w:type="gramEnd"/>
      <w:r w:rsidRPr="00A701FE">
        <w:rPr>
          <w:rFonts w:ascii="Times New Roman" w:hAnsi="Times New Roman" w:cs="Times New Roman"/>
          <w:sz w:val="24"/>
          <w:szCs w:val="24"/>
        </w:rPr>
        <w:t xml:space="preserve"> </w:t>
      </w:r>
      <w:proofErr w:type="gramStart"/>
      <w:r w:rsidRPr="00A701FE">
        <w:rPr>
          <w:rFonts w:ascii="Times New Roman" w:hAnsi="Times New Roman" w:cs="Times New Roman"/>
          <w:sz w:val="24"/>
          <w:szCs w:val="24"/>
        </w:rPr>
        <w:t>Nigērija, Zimbabve) 95% ziņo par antiretrovirālās terapijas uzsākšanu HIV inficētajām pacientiem pie imūnšūnu skaita CD4&lt; 350 šūnas/mm3.</w:t>
      </w:r>
      <w:proofErr w:type="gramEnd"/>
      <w:r w:rsidRPr="00A701FE">
        <w:rPr>
          <w:rFonts w:ascii="Times New Roman" w:hAnsi="Times New Roman" w:cs="Times New Roman"/>
          <w:sz w:val="24"/>
          <w:szCs w:val="24"/>
        </w:rPr>
        <w:t xml:space="preserve"> </w:t>
      </w:r>
      <w:proofErr w:type="gramStart"/>
      <w:r w:rsidRPr="00A701FE">
        <w:rPr>
          <w:rFonts w:ascii="Times New Roman" w:hAnsi="Times New Roman" w:cs="Times New Roman"/>
          <w:sz w:val="24"/>
          <w:szCs w:val="24"/>
        </w:rPr>
        <w:t>Arī 19.</w:t>
      </w:r>
      <w:proofErr w:type="gramEnd"/>
      <w:r w:rsidRPr="00A701FE">
        <w:rPr>
          <w:rFonts w:ascii="Times New Roman" w:hAnsi="Times New Roman" w:cs="Times New Roman"/>
          <w:sz w:val="24"/>
          <w:szCs w:val="24"/>
        </w:rPr>
        <w:t xml:space="preserve"> Starptautiskajā AIDS konferencē (Vašingtona, 2012.gada 22.jūlijs) pieņemts aicinājums - visu HIV inficēto pacientu ARV terapiju </w:t>
      </w:r>
      <w:proofErr w:type="gramStart"/>
      <w:r w:rsidRPr="00A701FE">
        <w:rPr>
          <w:rFonts w:ascii="Times New Roman" w:hAnsi="Times New Roman" w:cs="Times New Roman"/>
          <w:sz w:val="24"/>
          <w:szCs w:val="24"/>
        </w:rPr>
        <w:t>uzsākt  no</w:t>
      </w:r>
      <w:proofErr w:type="gramEnd"/>
      <w:r w:rsidRPr="00A701FE">
        <w:rPr>
          <w:rFonts w:ascii="Times New Roman" w:hAnsi="Times New Roman" w:cs="Times New Roman"/>
          <w:sz w:val="24"/>
          <w:szCs w:val="24"/>
        </w:rPr>
        <w:t xml:space="preserve"> imūnšūnu skaita CD4&lt; 350 šūnas/mm3. </w:t>
      </w:r>
      <w:r w:rsidR="00A701FE">
        <w:rPr>
          <w:rFonts w:ascii="Times New Roman" w:hAnsi="Times New Roman" w:cs="Times New Roman"/>
          <w:sz w:val="24"/>
          <w:szCs w:val="24"/>
        </w:rPr>
        <w:t xml:space="preserve"> </w:t>
      </w:r>
      <w:r w:rsidRPr="00A701FE">
        <w:rPr>
          <w:rFonts w:ascii="Times New Roman" w:hAnsi="Times New Roman" w:cs="Times New Roman"/>
          <w:sz w:val="24"/>
          <w:szCs w:val="24"/>
        </w:rPr>
        <w:t xml:space="preserve">Kā rāda PVO dokumenti, tad iespējamie ieguvumi, uzsākot ārstēšanu no imūnšūnu skaita CD4&lt; 350 šūnas/mm3, ir ne tikai hronisko HIV inficēto pacientu (AIDS) gadījumu skaita samazinājums, bet samazinās arī risks saslimt ar citām HIV infekciju pavadošām slimībām, t.sk. </w:t>
      </w:r>
      <w:proofErr w:type="gramStart"/>
      <w:r w:rsidRPr="00A701FE">
        <w:rPr>
          <w:rFonts w:ascii="Times New Roman" w:hAnsi="Times New Roman" w:cs="Times New Roman"/>
          <w:sz w:val="24"/>
          <w:szCs w:val="24"/>
        </w:rPr>
        <w:t>ar</w:t>
      </w:r>
      <w:proofErr w:type="gramEnd"/>
      <w:r w:rsidRPr="00A701FE">
        <w:rPr>
          <w:rFonts w:ascii="Times New Roman" w:hAnsi="Times New Roman" w:cs="Times New Roman"/>
          <w:sz w:val="24"/>
          <w:szCs w:val="24"/>
        </w:rPr>
        <w:t xml:space="preserve"> vēzi, tuberkulozi, sirds asinsvadu slimībām, diabētu u.c. Jo ātrāk tiek uzsākta HIV inficēto pacientu ārstēšana, t.i., kad imūnsistēma vēl nav tik novājināta, jo rezultāti ir labāki. </w:t>
      </w:r>
    </w:p>
    <w:p w:rsidR="00351EEB" w:rsidRPr="00A701FE" w:rsidRDefault="00351EEB" w:rsidP="00A701FE">
      <w:pPr>
        <w:spacing w:after="0" w:line="240" w:lineRule="auto"/>
        <w:ind w:firstLine="720"/>
        <w:jc w:val="both"/>
        <w:rPr>
          <w:rFonts w:ascii="Times New Roman" w:hAnsi="Times New Roman" w:cs="Times New Roman"/>
          <w:sz w:val="24"/>
          <w:szCs w:val="24"/>
        </w:rPr>
      </w:pPr>
      <w:proofErr w:type="gramStart"/>
      <w:r w:rsidRPr="00A701FE">
        <w:rPr>
          <w:rFonts w:ascii="Times New Roman" w:hAnsi="Times New Roman" w:cs="Times New Roman"/>
          <w:sz w:val="24"/>
          <w:szCs w:val="24"/>
        </w:rPr>
        <w:t>Latvija šobrīd ir vienīg</w:t>
      </w:r>
      <w:r w:rsidR="00A701FE">
        <w:rPr>
          <w:rFonts w:ascii="Times New Roman" w:hAnsi="Times New Roman" w:cs="Times New Roman"/>
          <w:sz w:val="24"/>
          <w:szCs w:val="24"/>
        </w:rPr>
        <w:t>ā Eiropas Savienības dalībvalstīm</w:t>
      </w:r>
      <w:r w:rsidRPr="00A701FE">
        <w:rPr>
          <w:rFonts w:ascii="Times New Roman" w:hAnsi="Times New Roman" w:cs="Times New Roman"/>
          <w:sz w:val="24"/>
          <w:szCs w:val="24"/>
        </w:rPr>
        <w:t>, kas saskaņā ar „Racionālas farmakoterapijas rekomendācijām no valsts budžeta līdzekļiem apmaksātai antiretrovirālai terapijai HIV/AIDS infekcijas ārstēšanai” (2009.) uzsāk HIV inficēto pacientu antiretrovirālo (ARV) terapiju no imūnšūnu skaita CD4&lt; 200 šūnas/mm3.</w:t>
      </w:r>
      <w:proofErr w:type="gramEnd"/>
      <w:r w:rsidRPr="00A701FE">
        <w:rPr>
          <w:rFonts w:ascii="Times New Roman" w:hAnsi="Times New Roman" w:cs="Times New Roman"/>
          <w:sz w:val="24"/>
          <w:szCs w:val="24"/>
        </w:rPr>
        <w:t xml:space="preserve"> Kā rāda prakse ARV terapijas uzsākšana no imūnšūnu skaita CD4&lt; 200 šūnas/mm3 ir novēlota, </w:t>
      </w:r>
      <w:proofErr w:type="gramStart"/>
      <w:r w:rsidRPr="00A701FE">
        <w:rPr>
          <w:rFonts w:ascii="Times New Roman" w:hAnsi="Times New Roman" w:cs="Times New Roman"/>
          <w:sz w:val="24"/>
          <w:szCs w:val="24"/>
        </w:rPr>
        <w:t>jo</w:t>
      </w:r>
      <w:proofErr w:type="gramEnd"/>
      <w:r w:rsidRPr="00A701FE">
        <w:rPr>
          <w:rFonts w:ascii="Times New Roman" w:hAnsi="Times New Roman" w:cs="Times New Roman"/>
          <w:sz w:val="24"/>
          <w:szCs w:val="24"/>
        </w:rPr>
        <w:t xml:space="preserve"> lielai daļai HIV inficēto pacientu HIV infek</w:t>
      </w:r>
      <w:r w:rsidR="00A701FE">
        <w:rPr>
          <w:rFonts w:ascii="Times New Roman" w:hAnsi="Times New Roman" w:cs="Times New Roman"/>
          <w:sz w:val="24"/>
          <w:szCs w:val="24"/>
        </w:rPr>
        <w:t>cija ir pārgājusi AIDS stadijā.</w:t>
      </w:r>
      <w:r w:rsidRPr="00A701FE">
        <w:rPr>
          <w:rFonts w:ascii="Times New Roman" w:hAnsi="Times New Roman" w:cs="Times New Roman"/>
          <w:sz w:val="24"/>
          <w:szCs w:val="24"/>
        </w:rPr>
        <w:t xml:space="preserve"> Pacientu ārstēšanai AIDS stadijā ir nepieciešamas 3.rindas ARV terapijas zāles, </w:t>
      </w:r>
      <w:proofErr w:type="gramStart"/>
      <w:r w:rsidRPr="00A701FE">
        <w:rPr>
          <w:rFonts w:ascii="Times New Roman" w:hAnsi="Times New Roman" w:cs="Times New Roman"/>
          <w:sz w:val="24"/>
          <w:szCs w:val="24"/>
        </w:rPr>
        <w:t>kas  ir</w:t>
      </w:r>
      <w:proofErr w:type="gramEnd"/>
      <w:r w:rsidRPr="00A701FE">
        <w:rPr>
          <w:rFonts w:ascii="Times New Roman" w:hAnsi="Times New Roman" w:cs="Times New Roman"/>
          <w:sz w:val="24"/>
          <w:szCs w:val="24"/>
        </w:rPr>
        <w:t xml:space="preserve"> ievērojami dārgākas. Kā norāda speciālisti, savlaicīga ARV terapijas uzsākšana ir vienlaikus arī HIV </w:t>
      </w:r>
      <w:r w:rsidRPr="00A701FE">
        <w:rPr>
          <w:rFonts w:ascii="Times New Roman" w:hAnsi="Times New Roman" w:cs="Times New Roman"/>
          <w:sz w:val="24"/>
          <w:szCs w:val="24"/>
        </w:rPr>
        <w:lastRenderedPageBreak/>
        <w:t xml:space="preserve">infekcijas profilakses </w:t>
      </w:r>
      <w:proofErr w:type="gramStart"/>
      <w:r w:rsidRPr="00A701FE">
        <w:rPr>
          <w:rFonts w:ascii="Times New Roman" w:hAnsi="Times New Roman" w:cs="Times New Roman"/>
          <w:sz w:val="24"/>
          <w:szCs w:val="24"/>
        </w:rPr>
        <w:t>un</w:t>
      </w:r>
      <w:proofErr w:type="gramEnd"/>
      <w:r w:rsidRPr="00A701FE">
        <w:rPr>
          <w:rFonts w:ascii="Times New Roman" w:hAnsi="Times New Roman" w:cs="Times New Roman"/>
          <w:sz w:val="24"/>
          <w:szCs w:val="24"/>
        </w:rPr>
        <w:t xml:space="preserve"> izp</w:t>
      </w:r>
      <w:r w:rsidR="00A701FE">
        <w:rPr>
          <w:rFonts w:ascii="Times New Roman" w:hAnsi="Times New Roman" w:cs="Times New Roman"/>
          <w:sz w:val="24"/>
          <w:szCs w:val="24"/>
        </w:rPr>
        <w:t>latības samazināšanas pasākums.</w:t>
      </w:r>
      <w:r w:rsidRPr="00A701FE">
        <w:rPr>
          <w:rFonts w:ascii="Times New Roman" w:hAnsi="Times New Roman" w:cs="Times New Roman"/>
          <w:sz w:val="24"/>
          <w:szCs w:val="24"/>
        </w:rPr>
        <w:t xml:space="preserve"> Agrāk uzsākot HIV inficēto pacientu ārstēšanu, tiktu nodrošināta ne tikai HIV inficēto pacientu dzīves kvalitāte, bet arī pagarināta dzīvildze.</w:t>
      </w:r>
    </w:p>
    <w:p w:rsidR="00351EEB" w:rsidRPr="00A701FE" w:rsidRDefault="00351EEB" w:rsidP="00A701FE">
      <w:pPr>
        <w:spacing w:after="0" w:line="240" w:lineRule="auto"/>
        <w:ind w:firstLine="720"/>
        <w:jc w:val="both"/>
        <w:rPr>
          <w:rFonts w:ascii="Times New Roman" w:hAnsi="Times New Roman" w:cs="Times New Roman"/>
          <w:sz w:val="24"/>
          <w:szCs w:val="24"/>
        </w:rPr>
      </w:pPr>
      <w:r w:rsidRPr="00A701FE">
        <w:rPr>
          <w:rFonts w:ascii="Times New Roman" w:hAnsi="Times New Roman" w:cs="Times New Roman"/>
          <w:sz w:val="24"/>
          <w:szCs w:val="24"/>
        </w:rPr>
        <w:t>Saskaņā ar SIA „Rīgas Austrumu klīniskā universitātes slimnīca” datiem, ARV terapiju gadā  saņem apmēram 600 pacientu, bet apmēram 340 pacientu, kam ir indikācijas ARV terapijai, to nesaņem dažādu iemeslu dēļ (ir rakstiski atteikušies ārstēties, lieto atkarības vielas, izbraukuši no valsts u.c. iemeslu dēļ).</w:t>
      </w:r>
      <w:r w:rsidR="00A701FE">
        <w:rPr>
          <w:rFonts w:ascii="Times New Roman" w:hAnsi="Times New Roman" w:cs="Times New Roman"/>
          <w:sz w:val="24"/>
          <w:szCs w:val="24"/>
        </w:rPr>
        <w:t xml:space="preserve"> </w:t>
      </w:r>
      <w:r w:rsidRPr="00A701FE">
        <w:rPr>
          <w:rFonts w:ascii="Times New Roman" w:hAnsi="Times New Roman" w:cs="Times New Roman"/>
          <w:sz w:val="24"/>
          <w:szCs w:val="24"/>
        </w:rPr>
        <w:t>Pēc Nacionālā veselības dienesta sniegtās informācijas 2011.gadā 88 pacienti ar diagnozi Z21 (bezsimptomu inficēšanās ar cilvēka imūndeficīta vīrusu) ir saņēmuši valsts apmaksātus veselības aprūpes pakalpojumus, proti tie ir pacienti, kuriem  imūnšūnu skaits CD4 ir robežās no 201 līdz 350 šūnas/mm3 un kuri ir līdzestīgi ārstēšanas procesam.</w:t>
      </w:r>
    </w:p>
    <w:p w:rsidR="00351EEB" w:rsidRPr="00A701FE" w:rsidRDefault="00351EEB" w:rsidP="00A701FE">
      <w:pPr>
        <w:spacing w:after="0" w:line="240" w:lineRule="auto"/>
        <w:ind w:firstLine="720"/>
        <w:jc w:val="both"/>
        <w:rPr>
          <w:rFonts w:ascii="Times New Roman" w:hAnsi="Times New Roman" w:cs="Times New Roman"/>
          <w:sz w:val="24"/>
          <w:szCs w:val="24"/>
        </w:rPr>
      </w:pPr>
      <w:r w:rsidRPr="00A701FE">
        <w:rPr>
          <w:rFonts w:ascii="Times New Roman" w:hAnsi="Times New Roman" w:cs="Times New Roman"/>
          <w:sz w:val="24"/>
          <w:szCs w:val="24"/>
        </w:rPr>
        <w:t>Pamatojoties uz Slimību profilakses un kontroles centra datiem, 2011.gadā reģistrēti 299 jauni HIV inficēšanās gadījumi, 175 pacienti veica tālākos izmeklējumus, lai uzsāktu atbilstošu ārstēšanu, 33 no šiem pacientiem imūnšūnas CD4 bija robežās no 201 - 350 šūnas/mm3.</w:t>
      </w:r>
    </w:p>
    <w:p w:rsidR="00654588" w:rsidRDefault="00351EEB" w:rsidP="00996D5B">
      <w:pPr>
        <w:spacing w:after="0" w:line="240" w:lineRule="auto"/>
        <w:ind w:firstLine="720"/>
        <w:jc w:val="both"/>
        <w:rPr>
          <w:rFonts w:ascii="Times New Roman" w:hAnsi="Times New Roman" w:cs="Times New Roman"/>
          <w:sz w:val="24"/>
          <w:szCs w:val="24"/>
        </w:rPr>
      </w:pPr>
      <w:r w:rsidRPr="00A701FE">
        <w:rPr>
          <w:rFonts w:ascii="Times New Roman" w:hAnsi="Times New Roman" w:cs="Times New Roman"/>
          <w:sz w:val="24"/>
          <w:szCs w:val="24"/>
        </w:rPr>
        <w:t xml:space="preserve"> Ņemot vērā šos datus un SIA „Rīgas Austrumu klīniskās universitātes slimnīca” speciālistu sniegtos datus, kā arī biedrības „Apvienība HIV.LV” izteiktos ierosinājumus, 2013.gadā ARV terapija sākot no imūnšūnu skaita CD4&lt; 350 šūnas/mm3 būtu </w:t>
      </w:r>
      <w:proofErr w:type="gramStart"/>
      <w:r w:rsidRPr="00A701FE">
        <w:rPr>
          <w:rFonts w:ascii="Times New Roman" w:hAnsi="Times New Roman" w:cs="Times New Roman"/>
          <w:sz w:val="24"/>
          <w:szCs w:val="24"/>
        </w:rPr>
        <w:t>jāuzsāk  70</w:t>
      </w:r>
      <w:proofErr w:type="gramEnd"/>
      <w:r w:rsidRPr="00A701FE">
        <w:rPr>
          <w:rFonts w:ascii="Times New Roman" w:hAnsi="Times New Roman" w:cs="Times New Roman"/>
          <w:sz w:val="24"/>
          <w:szCs w:val="24"/>
        </w:rPr>
        <w:t xml:space="preserve"> HIV inficētiem pacientiem.</w:t>
      </w:r>
      <w:r w:rsidR="00996D5B">
        <w:rPr>
          <w:rFonts w:ascii="Times New Roman" w:hAnsi="Times New Roman" w:cs="Times New Roman"/>
          <w:sz w:val="24"/>
          <w:szCs w:val="24"/>
        </w:rPr>
        <w:t xml:space="preserve"> </w:t>
      </w:r>
      <w:r w:rsidRPr="00A701FE">
        <w:rPr>
          <w:rFonts w:ascii="Times New Roman" w:hAnsi="Times New Roman" w:cs="Times New Roman"/>
          <w:sz w:val="24"/>
          <w:szCs w:val="24"/>
        </w:rPr>
        <w:t>Ņemot vērā esošās zāļu cenas, lētākās 1.līnijas shēmas izmaksas vienam pacientam ir 3272 Ls gadā, dārgākās 1.līnijas shēmas izmaksas vienam pacientam ir 6966 Ls gadā</w:t>
      </w:r>
      <w:r w:rsidR="00996D5B">
        <w:rPr>
          <w:rFonts w:ascii="Times New Roman" w:hAnsi="Times New Roman" w:cs="Times New Roman"/>
          <w:sz w:val="24"/>
          <w:szCs w:val="24"/>
        </w:rPr>
        <w:t>,</w:t>
      </w:r>
      <w:r w:rsidRPr="00A701FE">
        <w:rPr>
          <w:rFonts w:ascii="Times New Roman" w:hAnsi="Times New Roman" w:cs="Times New Roman"/>
          <w:sz w:val="24"/>
          <w:szCs w:val="24"/>
        </w:rPr>
        <w:t xml:space="preserve"> vidējās 1.līnijas terapijas izmaksas sastāda 3 </w:t>
      </w:r>
      <w:r w:rsidR="005F4970">
        <w:rPr>
          <w:rFonts w:ascii="Times New Roman" w:hAnsi="Times New Roman" w:cs="Times New Roman"/>
          <w:sz w:val="24"/>
          <w:szCs w:val="24"/>
        </w:rPr>
        <w:t>775</w:t>
      </w:r>
      <w:r w:rsidRPr="00A701FE">
        <w:rPr>
          <w:rFonts w:ascii="Times New Roman" w:hAnsi="Times New Roman" w:cs="Times New Roman"/>
          <w:sz w:val="24"/>
          <w:szCs w:val="24"/>
        </w:rPr>
        <w:t xml:space="preserve">  Ls gadā (pēc VIS datiem), līdz ar to papildus nepieciešamais finansējums 2013.gadā </w:t>
      </w:r>
      <w:r w:rsidR="00A701FE">
        <w:rPr>
          <w:rFonts w:ascii="Times New Roman" w:hAnsi="Times New Roman" w:cs="Times New Roman"/>
          <w:sz w:val="24"/>
          <w:szCs w:val="24"/>
        </w:rPr>
        <w:t xml:space="preserve">(pusgadam) </w:t>
      </w:r>
      <w:r w:rsidRPr="00A701FE">
        <w:rPr>
          <w:rFonts w:ascii="Times New Roman" w:hAnsi="Times New Roman" w:cs="Times New Roman"/>
          <w:sz w:val="24"/>
          <w:szCs w:val="24"/>
        </w:rPr>
        <w:t xml:space="preserve">būtu </w:t>
      </w:r>
      <w:r w:rsidR="00A701FE" w:rsidRPr="00A701FE">
        <w:rPr>
          <w:rFonts w:ascii="Times New Roman" w:hAnsi="Times New Roman" w:cs="Times New Roman"/>
          <w:b/>
          <w:sz w:val="24"/>
          <w:szCs w:val="24"/>
        </w:rPr>
        <w:t>1</w:t>
      </w:r>
      <w:r w:rsidR="005F4970">
        <w:rPr>
          <w:rFonts w:ascii="Times New Roman" w:hAnsi="Times New Roman" w:cs="Times New Roman"/>
          <w:b/>
          <w:sz w:val="24"/>
          <w:szCs w:val="24"/>
        </w:rPr>
        <w:t xml:space="preserve">32 125 </w:t>
      </w:r>
      <w:r w:rsidR="00A701FE" w:rsidRPr="00A701FE">
        <w:rPr>
          <w:rFonts w:ascii="Times New Roman" w:hAnsi="Times New Roman" w:cs="Times New Roman"/>
          <w:b/>
          <w:sz w:val="24"/>
          <w:szCs w:val="24"/>
        </w:rPr>
        <w:t>lati</w:t>
      </w:r>
      <w:r w:rsidR="00A701FE">
        <w:rPr>
          <w:rFonts w:ascii="Times New Roman" w:hAnsi="Times New Roman" w:cs="Times New Roman"/>
          <w:sz w:val="24"/>
          <w:szCs w:val="24"/>
        </w:rPr>
        <w:t xml:space="preserve"> (</w:t>
      </w:r>
      <w:r w:rsidR="00A701FE" w:rsidRPr="00A701FE">
        <w:rPr>
          <w:rFonts w:ascii="Times New Roman" w:hAnsi="Times New Roman" w:cs="Times New Roman"/>
          <w:sz w:val="24"/>
          <w:szCs w:val="24"/>
        </w:rPr>
        <w:t xml:space="preserve">Ls </w:t>
      </w:r>
      <w:r w:rsidR="005F4970">
        <w:rPr>
          <w:rFonts w:ascii="Times New Roman" w:hAnsi="Times New Roman" w:cs="Times New Roman"/>
          <w:sz w:val="24"/>
          <w:szCs w:val="24"/>
        </w:rPr>
        <w:t xml:space="preserve">3775 </w:t>
      </w:r>
      <w:r w:rsidR="00A701FE">
        <w:rPr>
          <w:rFonts w:ascii="Times New Roman" w:hAnsi="Times New Roman" w:cs="Times New Roman"/>
          <w:sz w:val="24"/>
          <w:szCs w:val="24"/>
        </w:rPr>
        <w:t>Ls</w:t>
      </w:r>
      <w:r w:rsidR="005F4970">
        <w:rPr>
          <w:rFonts w:ascii="Times New Roman" w:hAnsi="Times New Roman" w:cs="Times New Roman"/>
          <w:sz w:val="24"/>
          <w:szCs w:val="24"/>
        </w:rPr>
        <w:t xml:space="preserve"> </w:t>
      </w:r>
      <w:r w:rsidR="00A701FE">
        <w:rPr>
          <w:rFonts w:ascii="Times New Roman" w:hAnsi="Times New Roman" w:cs="Times New Roman"/>
          <w:sz w:val="24"/>
          <w:szCs w:val="24"/>
        </w:rPr>
        <w:t xml:space="preserve">x </w:t>
      </w:r>
      <w:r w:rsidRPr="00A701FE">
        <w:rPr>
          <w:rFonts w:ascii="Times New Roman" w:hAnsi="Times New Roman" w:cs="Times New Roman"/>
          <w:sz w:val="24"/>
          <w:szCs w:val="24"/>
        </w:rPr>
        <w:t>70</w:t>
      </w:r>
      <w:r w:rsidR="00A701FE">
        <w:rPr>
          <w:rFonts w:ascii="Times New Roman" w:hAnsi="Times New Roman" w:cs="Times New Roman"/>
          <w:sz w:val="24"/>
          <w:szCs w:val="24"/>
        </w:rPr>
        <w:t>/</w:t>
      </w:r>
      <w:r w:rsidR="00601AC8">
        <w:rPr>
          <w:rFonts w:ascii="Times New Roman" w:hAnsi="Times New Roman" w:cs="Times New Roman"/>
          <w:sz w:val="24"/>
          <w:szCs w:val="24"/>
        </w:rPr>
        <w:t>2) (skat.1</w:t>
      </w:r>
      <w:r w:rsidR="00783301">
        <w:rPr>
          <w:rFonts w:ascii="Times New Roman" w:hAnsi="Times New Roman" w:cs="Times New Roman"/>
          <w:sz w:val="24"/>
          <w:szCs w:val="24"/>
        </w:rPr>
        <w:t>8</w:t>
      </w:r>
      <w:r w:rsidR="00601AC8">
        <w:rPr>
          <w:rFonts w:ascii="Times New Roman" w:hAnsi="Times New Roman" w:cs="Times New Roman"/>
          <w:sz w:val="24"/>
          <w:szCs w:val="24"/>
        </w:rPr>
        <w:t>.tab.). K</w:t>
      </w:r>
      <w:r w:rsidR="007519DC">
        <w:rPr>
          <w:rFonts w:ascii="Times New Roman" w:hAnsi="Times New Roman" w:cs="Times New Roman"/>
          <w:sz w:val="24"/>
          <w:szCs w:val="24"/>
        </w:rPr>
        <w:t>atru gadu šo ter</w:t>
      </w:r>
      <w:r w:rsidR="00A701FE">
        <w:rPr>
          <w:rFonts w:ascii="Times New Roman" w:hAnsi="Times New Roman" w:cs="Times New Roman"/>
          <w:sz w:val="24"/>
          <w:szCs w:val="24"/>
        </w:rPr>
        <w:t>a</w:t>
      </w:r>
      <w:r w:rsidR="007519DC">
        <w:rPr>
          <w:rFonts w:ascii="Times New Roman" w:hAnsi="Times New Roman" w:cs="Times New Roman"/>
          <w:sz w:val="24"/>
          <w:szCs w:val="24"/>
        </w:rPr>
        <w:t>p</w:t>
      </w:r>
      <w:r w:rsidR="00A701FE">
        <w:rPr>
          <w:rFonts w:ascii="Times New Roman" w:hAnsi="Times New Roman" w:cs="Times New Roman"/>
          <w:sz w:val="24"/>
          <w:szCs w:val="24"/>
        </w:rPr>
        <w:t xml:space="preserve">iju jāuzsāk papildus vēl 30 pacientiem, tātad 2014.gadā papildus nepieciešami – </w:t>
      </w:r>
      <w:r w:rsidR="00A701FE" w:rsidRPr="00654588">
        <w:rPr>
          <w:rFonts w:ascii="Times New Roman" w:hAnsi="Times New Roman" w:cs="Times New Roman"/>
          <w:b/>
          <w:sz w:val="24"/>
          <w:szCs w:val="24"/>
        </w:rPr>
        <w:t>377 500 lati</w:t>
      </w:r>
      <w:r w:rsidR="00A701FE">
        <w:rPr>
          <w:rFonts w:ascii="Times New Roman" w:hAnsi="Times New Roman" w:cs="Times New Roman"/>
          <w:sz w:val="24"/>
          <w:szCs w:val="24"/>
        </w:rPr>
        <w:t xml:space="preserve"> (Ls 3775 x 100 pacienti),</w:t>
      </w:r>
      <w:r w:rsidRPr="00A701FE">
        <w:rPr>
          <w:rFonts w:ascii="Times New Roman" w:hAnsi="Times New Roman" w:cs="Times New Roman"/>
          <w:sz w:val="24"/>
          <w:szCs w:val="24"/>
        </w:rPr>
        <w:t xml:space="preserve"> </w:t>
      </w:r>
      <w:r w:rsidR="00A701FE">
        <w:rPr>
          <w:rFonts w:ascii="Times New Roman" w:hAnsi="Times New Roman" w:cs="Times New Roman"/>
          <w:sz w:val="24"/>
          <w:szCs w:val="24"/>
        </w:rPr>
        <w:t xml:space="preserve">2015.gadā papildus nepieciešami – </w:t>
      </w:r>
      <w:r w:rsidR="00654588" w:rsidRPr="00654588">
        <w:rPr>
          <w:rFonts w:ascii="Times New Roman" w:hAnsi="Times New Roman" w:cs="Times New Roman"/>
          <w:b/>
          <w:sz w:val="24"/>
          <w:szCs w:val="24"/>
        </w:rPr>
        <w:t>490 750</w:t>
      </w:r>
      <w:r w:rsidR="00A701FE" w:rsidRPr="00654588">
        <w:rPr>
          <w:rFonts w:ascii="Times New Roman" w:hAnsi="Times New Roman" w:cs="Times New Roman"/>
          <w:b/>
          <w:sz w:val="24"/>
          <w:szCs w:val="24"/>
        </w:rPr>
        <w:t xml:space="preserve"> lati</w:t>
      </w:r>
      <w:r w:rsidR="00654588">
        <w:rPr>
          <w:rFonts w:ascii="Times New Roman" w:hAnsi="Times New Roman" w:cs="Times New Roman"/>
          <w:sz w:val="24"/>
          <w:szCs w:val="24"/>
        </w:rPr>
        <w:t xml:space="preserve"> (</w:t>
      </w:r>
      <w:r w:rsidR="00322C95">
        <w:rPr>
          <w:rFonts w:ascii="Times New Roman" w:hAnsi="Times New Roman" w:cs="Times New Roman"/>
          <w:sz w:val="24"/>
          <w:szCs w:val="24"/>
        </w:rPr>
        <w:t>Ls 3775 x 13</w:t>
      </w:r>
      <w:r w:rsidR="007519DC">
        <w:rPr>
          <w:rFonts w:ascii="Times New Roman" w:hAnsi="Times New Roman" w:cs="Times New Roman"/>
          <w:sz w:val="24"/>
          <w:szCs w:val="24"/>
        </w:rPr>
        <w:t>0 pacienti)</w:t>
      </w:r>
      <w:r w:rsidR="00996D5B">
        <w:rPr>
          <w:rFonts w:ascii="Times New Roman" w:hAnsi="Times New Roman" w:cs="Times New Roman"/>
          <w:sz w:val="24"/>
          <w:szCs w:val="24"/>
        </w:rPr>
        <w:t>.</w:t>
      </w:r>
      <w:r w:rsidR="00A701FE">
        <w:rPr>
          <w:rFonts w:ascii="Times New Roman" w:hAnsi="Times New Roman" w:cs="Times New Roman"/>
          <w:sz w:val="24"/>
          <w:szCs w:val="24"/>
        </w:rPr>
        <w:t xml:space="preserve"> </w:t>
      </w:r>
      <w:r w:rsidR="00A701FE" w:rsidRPr="00A701FE">
        <w:rPr>
          <w:rFonts w:ascii="Times New Roman" w:hAnsi="Times New Roman" w:cs="Times New Roman"/>
          <w:sz w:val="24"/>
          <w:szCs w:val="24"/>
        </w:rPr>
        <w:t xml:space="preserve"> </w:t>
      </w:r>
    </w:p>
    <w:p w:rsidR="00654588" w:rsidRDefault="00654588" w:rsidP="00654588">
      <w:pPr>
        <w:spacing w:after="0" w:line="240" w:lineRule="auto"/>
        <w:ind w:firstLine="720"/>
        <w:jc w:val="right"/>
        <w:rPr>
          <w:rFonts w:ascii="Times New Roman" w:hAnsi="Times New Roman" w:cs="Times New Roman"/>
          <w:sz w:val="24"/>
          <w:szCs w:val="24"/>
        </w:rPr>
      </w:pPr>
    </w:p>
    <w:p w:rsidR="00351EEB" w:rsidRPr="00A701FE" w:rsidRDefault="007519DC" w:rsidP="00654588">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783301">
        <w:rPr>
          <w:rFonts w:ascii="Times New Roman" w:hAnsi="Times New Roman" w:cs="Times New Roman"/>
          <w:sz w:val="24"/>
          <w:szCs w:val="24"/>
        </w:rPr>
        <w:t>8</w:t>
      </w:r>
      <w:proofErr w:type="gramStart"/>
      <w:r w:rsidR="00351EEB" w:rsidRPr="00A701FE">
        <w:rPr>
          <w:rFonts w:ascii="Times New Roman" w:hAnsi="Times New Roman" w:cs="Times New Roman"/>
          <w:sz w:val="24"/>
          <w:szCs w:val="24"/>
        </w:rPr>
        <w:t>.tabula</w:t>
      </w:r>
      <w:proofErr w:type="gramEnd"/>
    </w:p>
    <w:p w:rsidR="00351EEB" w:rsidRDefault="00351EEB" w:rsidP="00A701FE">
      <w:pPr>
        <w:spacing w:after="0" w:line="240" w:lineRule="auto"/>
        <w:ind w:firstLine="720"/>
        <w:jc w:val="center"/>
        <w:rPr>
          <w:rFonts w:ascii="Times New Roman" w:hAnsi="Times New Roman" w:cs="Times New Roman"/>
          <w:b/>
          <w:sz w:val="24"/>
          <w:szCs w:val="24"/>
        </w:rPr>
      </w:pPr>
      <w:r w:rsidRPr="00A701FE">
        <w:rPr>
          <w:rFonts w:ascii="Times New Roman" w:hAnsi="Times New Roman" w:cs="Times New Roman"/>
          <w:b/>
          <w:sz w:val="24"/>
          <w:szCs w:val="24"/>
        </w:rPr>
        <w:t>Papildus līdzekļi ARV terapijas uzsākšanai HIV inficētiem pacientiem</w:t>
      </w:r>
    </w:p>
    <w:p w:rsidR="00654588" w:rsidRPr="00A701FE" w:rsidRDefault="00654588" w:rsidP="00A701FE">
      <w:pPr>
        <w:spacing w:after="0" w:line="240" w:lineRule="auto"/>
        <w:ind w:firstLine="720"/>
        <w:jc w:val="center"/>
        <w:rPr>
          <w:rFonts w:ascii="Times New Roman" w:hAnsi="Times New Roman" w:cs="Times New Roman"/>
          <w:b/>
          <w:sz w:val="24"/>
          <w:szCs w:val="24"/>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1476"/>
        <w:gridCol w:w="1701"/>
        <w:gridCol w:w="1561"/>
        <w:gridCol w:w="1700"/>
        <w:gridCol w:w="1559"/>
      </w:tblGrid>
      <w:tr w:rsidR="00351EEB" w:rsidRPr="00654588" w:rsidTr="00654588">
        <w:trPr>
          <w:trHeight w:val="1275"/>
        </w:trPr>
        <w:tc>
          <w:tcPr>
            <w:tcW w:w="1373" w:type="dxa"/>
            <w:shd w:val="clear" w:color="auto" w:fill="auto"/>
            <w:noWrap/>
            <w:vAlign w:val="center"/>
            <w:hideMark/>
          </w:tcPr>
          <w:p w:rsidR="00351EEB" w:rsidRPr="00654588" w:rsidRDefault="00351EEB" w:rsidP="00654588">
            <w:pPr>
              <w:spacing w:after="0" w:line="240" w:lineRule="auto"/>
              <w:jc w:val="center"/>
              <w:rPr>
                <w:rFonts w:ascii="Times New Roman" w:eastAsia="Times New Roman" w:hAnsi="Times New Roman" w:cs="Times New Roman"/>
                <w:lang w:eastAsia="lv-LV"/>
              </w:rPr>
            </w:pPr>
            <w:r w:rsidRPr="00654588">
              <w:rPr>
                <w:rFonts w:ascii="Times New Roman" w:eastAsia="Times New Roman" w:hAnsi="Times New Roman" w:cs="Times New Roman"/>
                <w:lang w:eastAsia="lv-LV"/>
              </w:rPr>
              <w:t>Diagnožu grupa</w:t>
            </w:r>
          </w:p>
        </w:tc>
        <w:tc>
          <w:tcPr>
            <w:tcW w:w="1476" w:type="dxa"/>
            <w:shd w:val="clear" w:color="auto" w:fill="auto"/>
            <w:noWrap/>
            <w:vAlign w:val="center"/>
            <w:hideMark/>
          </w:tcPr>
          <w:p w:rsidR="00351EEB" w:rsidRPr="00654588" w:rsidRDefault="00351EEB" w:rsidP="00654588">
            <w:pPr>
              <w:spacing w:after="0" w:line="240" w:lineRule="auto"/>
              <w:jc w:val="center"/>
              <w:rPr>
                <w:rFonts w:ascii="Times New Roman" w:eastAsia="Times New Roman" w:hAnsi="Times New Roman" w:cs="Times New Roman"/>
                <w:lang w:eastAsia="lv-LV"/>
              </w:rPr>
            </w:pPr>
            <w:r w:rsidRPr="00654588">
              <w:rPr>
                <w:rFonts w:ascii="Times New Roman" w:eastAsia="Times New Roman" w:hAnsi="Times New Roman" w:cs="Times New Roman"/>
                <w:lang w:eastAsia="lv-LV"/>
              </w:rPr>
              <w:t>Diagnoze</w:t>
            </w:r>
          </w:p>
        </w:tc>
        <w:tc>
          <w:tcPr>
            <w:tcW w:w="1701" w:type="dxa"/>
            <w:shd w:val="clear" w:color="auto" w:fill="auto"/>
            <w:vAlign w:val="center"/>
            <w:hideMark/>
          </w:tcPr>
          <w:p w:rsidR="00351EEB" w:rsidRPr="00654588" w:rsidRDefault="00351EEB" w:rsidP="00654588">
            <w:pPr>
              <w:spacing w:after="0" w:line="240" w:lineRule="auto"/>
              <w:jc w:val="center"/>
              <w:rPr>
                <w:rFonts w:ascii="Times New Roman" w:eastAsia="Times New Roman" w:hAnsi="Times New Roman" w:cs="Times New Roman"/>
                <w:lang w:eastAsia="lv-LV"/>
              </w:rPr>
            </w:pPr>
            <w:r w:rsidRPr="00654588">
              <w:rPr>
                <w:rFonts w:ascii="Times New Roman" w:eastAsia="Times New Roman" w:hAnsi="Times New Roman" w:cs="Times New Roman"/>
                <w:lang w:eastAsia="lv-LV"/>
              </w:rPr>
              <w:t>Prognozējamais pacientu skaits</w:t>
            </w:r>
          </w:p>
        </w:tc>
        <w:tc>
          <w:tcPr>
            <w:tcW w:w="1561" w:type="dxa"/>
            <w:shd w:val="clear" w:color="auto" w:fill="auto"/>
            <w:vAlign w:val="center"/>
            <w:hideMark/>
          </w:tcPr>
          <w:p w:rsidR="00351EEB" w:rsidRPr="00654588" w:rsidRDefault="00351EEB" w:rsidP="00654588">
            <w:pPr>
              <w:spacing w:after="0" w:line="240" w:lineRule="auto"/>
              <w:jc w:val="center"/>
              <w:rPr>
                <w:rFonts w:ascii="Times New Roman" w:eastAsia="Times New Roman" w:hAnsi="Times New Roman" w:cs="Times New Roman"/>
                <w:lang w:eastAsia="lv-LV"/>
              </w:rPr>
            </w:pPr>
            <w:r w:rsidRPr="00654588">
              <w:rPr>
                <w:rFonts w:ascii="Times New Roman" w:eastAsia="Times New Roman" w:hAnsi="Times New Roman" w:cs="Times New Roman"/>
                <w:lang w:eastAsia="lv-LV"/>
              </w:rPr>
              <w:t>Prognozējamās  viena pacienta vidējās izmaksas gadā, Ls</w:t>
            </w:r>
          </w:p>
        </w:tc>
        <w:tc>
          <w:tcPr>
            <w:tcW w:w="1700" w:type="dxa"/>
            <w:shd w:val="clear" w:color="auto" w:fill="auto"/>
            <w:vAlign w:val="center"/>
            <w:hideMark/>
          </w:tcPr>
          <w:p w:rsidR="00351EEB" w:rsidRPr="00654588" w:rsidRDefault="00351EEB" w:rsidP="00654588">
            <w:pPr>
              <w:spacing w:after="0" w:line="240" w:lineRule="auto"/>
              <w:jc w:val="center"/>
              <w:rPr>
                <w:rFonts w:ascii="Times New Roman" w:eastAsia="Times New Roman" w:hAnsi="Times New Roman" w:cs="Times New Roman"/>
                <w:lang w:eastAsia="lv-LV"/>
              </w:rPr>
            </w:pPr>
            <w:r w:rsidRPr="00654588">
              <w:rPr>
                <w:rFonts w:ascii="Times New Roman" w:eastAsia="Times New Roman" w:hAnsi="Times New Roman" w:cs="Times New Roman"/>
                <w:lang w:eastAsia="lv-LV"/>
              </w:rPr>
              <w:t>Kompensācijas %</w:t>
            </w:r>
            <w:r w:rsidR="00654588" w:rsidRPr="00654588">
              <w:rPr>
                <w:rFonts w:ascii="Times New Roman" w:eastAsia="Times New Roman" w:hAnsi="Times New Roman" w:cs="Times New Roman"/>
                <w:lang w:eastAsia="lv-LV"/>
              </w:rPr>
              <w:t xml:space="preserve"> apmērš</w:t>
            </w:r>
          </w:p>
        </w:tc>
        <w:tc>
          <w:tcPr>
            <w:tcW w:w="1559" w:type="dxa"/>
            <w:shd w:val="clear" w:color="auto" w:fill="auto"/>
            <w:vAlign w:val="center"/>
            <w:hideMark/>
          </w:tcPr>
          <w:p w:rsidR="00351EEB" w:rsidRPr="00654588" w:rsidRDefault="00351EEB" w:rsidP="00654588">
            <w:pPr>
              <w:spacing w:after="0" w:line="240" w:lineRule="auto"/>
              <w:jc w:val="center"/>
              <w:rPr>
                <w:rFonts w:ascii="Times New Roman" w:eastAsia="Times New Roman" w:hAnsi="Times New Roman" w:cs="Times New Roman"/>
                <w:lang w:eastAsia="lv-LV"/>
              </w:rPr>
            </w:pPr>
            <w:r w:rsidRPr="00654588">
              <w:rPr>
                <w:rFonts w:ascii="Times New Roman" w:eastAsia="Times New Roman" w:hAnsi="Times New Roman" w:cs="Times New Roman"/>
                <w:lang w:eastAsia="lv-LV"/>
              </w:rPr>
              <w:t>Prognozētais nepieciešamais finansējums gadā, Ls</w:t>
            </w:r>
          </w:p>
        </w:tc>
      </w:tr>
      <w:tr w:rsidR="00351EEB" w:rsidRPr="00654588" w:rsidTr="00654588">
        <w:trPr>
          <w:trHeight w:val="330"/>
        </w:trPr>
        <w:tc>
          <w:tcPr>
            <w:tcW w:w="1373" w:type="dxa"/>
            <w:vMerge w:val="restart"/>
            <w:vAlign w:val="center"/>
            <w:hideMark/>
          </w:tcPr>
          <w:p w:rsidR="00351EEB" w:rsidRPr="00654588" w:rsidRDefault="00351EEB" w:rsidP="00A701FE">
            <w:pPr>
              <w:spacing w:after="0" w:line="240" w:lineRule="auto"/>
              <w:ind w:firstLine="720"/>
              <w:rPr>
                <w:rFonts w:ascii="Times New Roman" w:eastAsia="Times New Roman" w:hAnsi="Times New Roman" w:cs="Times New Roman"/>
                <w:lang w:eastAsia="lv-LV"/>
              </w:rPr>
            </w:pPr>
          </w:p>
        </w:tc>
        <w:tc>
          <w:tcPr>
            <w:tcW w:w="1476" w:type="dxa"/>
            <w:vMerge w:val="restart"/>
            <w:shd w:val="clear" w:color="auto" w:fill="auto"/>
            <w:noWrap/>
            <w:vAlign w:val="bottom"/>
            <w:hideMark/>
          </w:tcPr>
          <w:p w:rsidR="00351EEB" w:rsidRPr="00654588" w:rsidRDefault="00351EEB" w:rsidP="00A701FE">
            <w:pPr>
              <w:spacing w:after="0" w:line="240" w:lineRule="auto"/>
              <w:ind w:firstLine="720"/>
              <w:jc w:val="center"/>
              <w:rPr>
                <w:rFonts w:ascii="Times New Roman" w:eastAsia="Times New Roman" w:hAnsi="Times New Roman" w:cs="Times New Roman"/>
                <w:lang w:eastAsia="lv-LV"/>
              </w:rPr>
            </w:pPr>
            <w:r w:rsidRPr="00654588">
              <w:rPr>
                <w:rFonts w:ascii="Times New Roman" w:eastAsia="Times New Roman" w:hAnsi="Times New Roman" w:cs="Times New Roman"/>
                <w:lang w:eastAsia="lv-LV"/>
              </w:rPr>
              <w:t>HIV/AIDS</w:t>
            </w:r>
          </w:p>
        </w:tc>
        <w:tc>
          <w:tcPr>
            <w:tcW w:w="1701" w:type="dxa"/>
            <w:shd w:val="clear" w:color="auto" w:fill="auto"/>
            <w:noWrap/>
            <w:vAlign w:val="bottom"/>
            <w:hideMark/>
          </w:tcPr>
          <w:p w:rsidR="00351EEB" w:rsidRPr="00654588" w:rsidRDefault="00351EEB" w:rsidP="0028089E">
            <w:pPr>
              <w:spacing w:after="0" w:line="240" w:lineRule="auto"/>
              <w:ind w:firstLine="720"/>
              <w:jc w:val="center"/>
              <w:rPr>
                <w:rFonts w:ascii="Times New Roman" w:eastAsia="Times New Roman" w:hAnsi="Times New Roman" w:cs="Times New Roman"/>
                <w:lang w:eastAsia="lv-LV"/>
              </w:rPr>
            </w:pPr>
            <w:r w:rsidRPr="00654588">
              <w:rPr>
                <w:rFonts w:ascii="Times New Roman" w:eastAsia="Times New Roman" w:hAnsi="Times New Roman" w:cs="Times New Roman"/>
                <w:lang w:eastAsia="lv-LV"/>
              </w:rPr>
              <w:t>847</w:t>
            </w:r>
          </w:p>
        </w:tc>
        <w:tc>
          <w:tcPr>
            <w:tcW w:w="1561" w:type="dxa"/>
            <w:shd w:val="clear" w:color="auto" w:fill="auto"/>
            <w:noWrap/>
            <w:vAlign w:val="bottom"/>
            <w:hideMark/>
          </w:tcPr>
          <w:p w:rsidR="00351EEB" w:rsidRPr="00654588" w:rsidRDefault="0028089E" w:rsidP="0028089E">
            <w:pPr>
              <w:spacing w:after="0" w:line="240" w:lineRule="auto"/>
              <w:jc w:val="center"/>
              <w:rPr>
                <w:rFonts w:ascii="Times New Roman" w:eastAsia="Times New Roman" w:hAnsi="Times New Roman" w:cs="Times New Roman"/>
                <w:lang w:eastAsia="lv-LV"/>
              </w:rPr>
            </w:pPr>
            <w:r w:rsidRPr="00654588">
              <w:rPr>
                <w:rFonts w:ascii="Times New Roman" w:eastAsia="Times New Roman" w:hAnsi="Times New Roman" w:cs="Times New Roman"/>
                <w:lang w:eastAsia="lv-LV"/>
              </w:rPr>
              <w:t>3</w:t>
            </w:r>
            <w:r>
              <w:rPr>
                <w:rFonts w:ascii="Times New Roman" w:eastAsia="Times New Roman" w:hAnsi="Times New Roman" w:cs="Times New Roman"/>
                <w:lang w:eastAsia="lv-LV"/>
              </w:rPr>
              <w:t>775</w:t>
            </w:r>
          </w:p>
        </w:tc>
        <w:tc>
          <w:tcPr>
            <w:tcW w:w="1700" w:type="dxa"/>
            <w:shd w:val="clear" w:color="auto" w:fill="auto"/>
            <w:noWrap/>
            <w:vAlign w:val="bottom"/>
            <w:hideMark/>
          </w:tcPr>
          <w:p w:rsidR="00351EEB" w:rsidRPr="00654588" w:rsidRDefault="00351EEB" w:rsidP="0028089E">
            <w:pPr>
              <w:spacing w:after="0" w:line="240" w:lineRule="auto"/>
              <w:ind w:firstLine="720"/>
              <w:jc w:val="center"/>
              <w:rPr>
                <w:rFonts w:ascii="Times New Roman" w:eastAsia="Times New Roman" w:hAnsi="Times New Roman" w:cs="Times New Roman"/>
                <w:lang w:eastAsia="lv-LV"/>
              </w:rPr>
            </w:pPr>
            <w:r w:rsidRPr="00654588">
              <w:rPr>
                <w:rFonts w:ascii="Times New Roman" w:eastAsia="Times New Roman" w:hAnsi="Times New Roman" w:cs="Times New Roman"/>
                <w:lang w:eastAsia="lv-LV"/>
              </w:rPr>
              <w:t>100</w:t>
            </w:r>
          </w:p>
        </w:tc>
        <w:tc>
          <w:tcPr>
            <w:tcW w:w="1559" w:type="dxa"/>
            <w:shd w:val="clear" w:color="auto" w:fill="auto"/>
            <w:vAlign w:val="center"/>
            <w:hideMark/>
          </w:tcPr>
          <w:p w:rsidR="00351EEB" w:rsidRPr="00654588" w:rsidRDefault="0028089E" w:rsidP="0028089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3 197 425</w:t>
            </w:r>
          </w:p>
        </w:tc>
      </w:tr>
      <w:tr w:rsidR="00351EEB" w:rsidRPr="00654588" w:rsidTr="00654588">
        <w:trPr>
          <w:trHeight w:val="330"/>
        </w:trPr>
        <w:tc>
          <w:tcPr>
            <w:tcW w:w="1373" w:type="dxa"/>
            <w:vMerge/>
            <w:vAlign w:val="center"/>
            <w:hideMark/>
          </w:tcPr>
          <w:p w:rsidR="00351EEB" w:rsidRPr="00654588" w:rsidRDefault="00351EEB" w:rsidP="00A701FE">
            <w:pPr>
              <w:spacing w:after="0" w:line="240" w:lineRule="auto"/>
              <w:ind w:firstLine="720"/>
              <w:rPr>
                <w:rFonts w:ascii="Times New Roman" w:eastAsia="Times New Roman" w:hAnsi="Times New Roman" w:cs="Times New Roman"/>
                <w:lang w:eastAsia="lv-LV"/>
              </w:rPr>
            </w:pPr>
          </w:p>
        </w:tc>
        <w:tc>
          <w:tcPr>
            <w:tcW w:w="1476" w:type="dxa"/>
            <w:vMerge/>
            <w:vAlign w:val="center"/>
            <w:hideMark/>
          </w:tcPr>
          <w:p w:rsidR="00351EEB" w:rsidRPr="00654588" w:rsidRDefault="00351EEB" w:rsidP="00A701FE">
            <w:pPr>
              <w:spacing w:after="0" w:line="240" w:lineRule="auto"/>
              <w:ind w:firstLine="720"/>
              <w:rPr>
                <w:rFonts w:ascii="Times New Roman" w:eastAsia="Times New Roman" w:hAnsi="Times New Roman" w:cs="Times New Roman"/>
                <w:lang w:eastAsia="lv-LV"/>
              </w:rPr>
            </w:pPr>
          </w:p>
        </w:tc>
        <w:tc>
          <w:tcPr>
            <w:tcW w:w="1701" w:type="dxa"/>
            <w:shd w:val="clear" w:color="auto" w:fill="auto"/>
            <w:noWrap/>
            <w:vAlign w:val="bottom"/>
            <w:hideMark/>
          </w:tcPr>
          <w:p w:rsidR="00351EEB" w:rsidRPr="00654588" w:rsidRDefault="00351EEB" w:rsidP="0028089E">
            <w:pPr>
              <w:spacing w:after="0" w:line="240" w:lineRule="auto"/>
              <w:ind w:firstLine="720"/>
              <w:jc w:val="center"/>
              <w:rPr>
                <w:rFonts w:ascii="Times New Roman" w:eastAsia="Times New Roman" w:hAnsi="Times New Roman" w:cs="Times New Roman"/>
                <w:lang w:eastAsia="lv-LV"/>
              </w:rPr>
            </w:pPr>
            <w:r w:rsidRPr="00654588">
              <w:rPr>
                <w:rFonts w:ascii="Times New Roman" w:eastAsia="Times New Roman" w:hAnsi="Times New Roman" w:cs="Times New Roman"/>
                <w:lang w:eastAsia="lv-LV"/>
              </w:rPr>
              <w:t>917</w:t>
            </w:r>
          </w:p>
        </w:tc>
        <w:tc>
          <w:tcPr>
            <w:tcW w:w="1561" w:type="dxa"/>
            <w:shd w:val="clear" w:color="auto" w:fill="auto"/>
            <w:noWrap/>
            <w:vAlign w:val="bottom"/>
            <w:hideMark/>
          </w:tcPr>
          <w:p w:rsidR="00351EEB" w:rsidRPr="00654588" w:rsidRDefault="00351EEB" w:rsidP="0028089E">
            <w:pPr>
              <w:spacing w:after="0" w:line="240" w:lineRule="auto"/>
              <w:jc w:val="center"/>
              <w:rPr>
                <w:rFonts w:ascii="Times New Roman" w:eastAsia="Times New Roman" w:hAnsi="Times New Roman" w:cs="Times New Roman"/>
                <w:lang w:eastAsia="lv-LV"/>
              </w:rPr>
            </w:pPr>
            <w:r w:rsidRPr="00654588">
              <w:rPr>
                <w:rFonts w:ascii="Times New Roman" w:eastAsia="Times New Roman" w:hAnsi="Times New Roman" w:cs="Times New Roman"/>
                <w:lang w:eastAsia="lv-LV"/>
              </w:rPr>
              <w:t>3</w:t>
            </w:r>
            <w:r w:rsidR="0028089E">
              <w:rPr>
                <w:rFonts w:ascii="Times New Roman" w:eastAsia="Times New Roman" w:hAnsi="Times New Roman" w:cs="Times New Roman"/>
                <w:lang w:eastAsia="lv-LV"/>
              </w:rPr>
              <w:t>775</w:t>
            </w:r>
          </w:p>
        </w:tc>
        <w:tc>
          <w:tcPr>
            <w:tcW w:w="1700" w:type="dxa"/>
            <w:shd w:val="clear" w:color="auto" w:fill="auto"/>
            <w:noWrap/>
            <w:vAlign w:val="bottom"/>
            <w:hideMark/>
          </w:tcPr>
          <w:p w:rsidR="00351EEB" w:rsidRPr="00654588" w:rsidRDefault="00351EEB" w:rsidP="0028089E">
            <w:pPr>
              <w:spacing w:after="0" w:line="240" w:lineRule="auto"/>
              <w:ind w:firstLine="720"/>
              <w:jc w:val="center"/>
              <w:rPr>
                <w:rFonts w:ascii="Times New Roman" w:eastAsia="Times New Roman" w:hAnsi="Times New Roman" w:cs="Times New Roman"/>
                <w:lang w:eastAsia="lv-LV"/>
              </w:rPr>
            </w:pPr>
            <w:r w:rsidRPr="00654588">
              <w:rPr>
                <w:rFonts w:ascii="Times New Roman" w:eastAsia="Times New Roman" w:hAnsi="Times New Roman" w:cs="Times New Roman"/>
                <w:lang w:eastAsia="lv-LV"/>
              </w:rPr>
              <w:t>100</w:t>
            </w:r>
          </w:p>
        </w:tc>
        <w:tc>
          <w:tcPr>
            <w:tcW w:w="1559" w:type="dxa"/>
            <w:shd w:val="clear" w:color="auto" w:fill="auto"/>
            <w:vAlign w:val="center"/>
            <w:hideMark/>
          </w:tcPr>
          <w:p w:rsidR="00351EEB" w:rsidRPr="00654588" w:rsidRDefault="00351EEB" w:rsidP="0028089E">
            <w:pPr>
              <w:spacing w:after="0" w:line="240" w:lineRule="auto"/>
              <w:jc w:val="center"/>
              <w:rPr>
                <w:rFonts w:ascii="Times New Roman" w:eastAsia="Times New Roman" w:hAnsi="Times New Roman" w:cs="Times New Roman"/>
                <w:lang w:eastAsia="lv-LV"/>
              </w:rPr>
            </w:pPr>
            <w:r w:rsidRPr="00654588">
              <w:rPr>
                <w:rFonts w:ascii="Times New Roman" w:eastAsia="Times New Roman" w:hAnsi="Times New Roman" w:cs="Times New Roman"/>
                <w:lang w:eastAsia="lv-LV"/>
              </w:rPr>
              <w:t>3</w:t>
            </w:r>
            <w:r w:rsidR="0028089E">
              <w:rPr>
                <w:rFonts w:ascii="Times New Roman" w:eastAsia="Times New Roman" w:hAnsi="Times New Roman" w:cs="Times New Roman"/>
                <w:lang w:eastAsia="lv-LV"/>
              </w:rPr>
              <w:t> 461 675</w:t>
            </w:r>
          </w:p>
        </w:tc>
      </w:tr>
      <w:tr w:rsidR="00351EEB" w:rsidRPr="00654588" w:rsidTr="00654588">
        <w:trPr>
          <w:trHeight w:val="330"/>
        </w:trPr>
        <w:tc>
          <w:tcPr>
            <w:tcW w:w="1373" w:type="dxa"/>
            <w:vMerge/>
            <w:vAlign w:val="center"/>
            <w:hideMark/>
          </w:tcPr>
          <w:p w:rsidR="00351EEB" w:rsidRPr="00654588" w:rsidRDefault="00351EEB" w:rsidP="00A701FE">
            <w:pPr>
              <w:spacing w:after="0" w:line="240" w:lineRule="auto"/>
              <w:ind w:firstLine="720"/>
              <w:rPr>
                <w:rFonts w:ascii="Times New Roman" w:eastAsia="Times New Roman" w:hAnsi="Times New Roman" w:cs="Times New Roman"/>
                <w:lang w:eastAsia="lv-LV"/>
              </w:rPr>
            </w:pPr>
          </w:p>
        </w:tc>
        <w:tc>
          <w:tcPr>
            <w:tcW w:w="1476" w:type="dxa"/>
            <w:vMerge/>
            <w:vAlign w:val="center"/>
            <w:hideMark/>
          </w:tcPr>
          <w:p w:rsidR="00351EEB" w:rsidRPr="00654588" w:rsidRDefault="00351EEB" w:rsidP="00A701FE">
            <w:pPr>
              <w:spacing w:after="0" w:line="240" w:lineRule="auto"/>
              <w:ind w:firstLine="720"/>
              <w:rPr>
                <w:rFonts w:ascii="Times New Roman" w:eastAsia="Times New Roman" w:hAnsi="Times New Roman" w:cs="Times New Roman"/>
                <w:lang w:eastAsia="lv-LV"/>
              </w:rPr>
            </w:pPr>
          </w:p>
        </w:tc>
        <w:tc>
          <w:tcPr>
            <w:tcW w:w="4962" w:type="dxa"/>
            <w:gridSpan w:val="3"/>
            <w:shd w:val="clear" w:color="auto" w:fill="auto"/>
            <w:noWrap/>
            <w:vAlign w:val="bottom"/>
            <w:hideMark/>
          </w:tcPr>
          <w:p w:rsidR="00351EEB" w:rsidRPr="00654588" w:rsidRDefault="00654588" w:rsidP="00A701FE">
            <w:pPr>
              <w:spacing w:after="0" w:line="240" w:lineRule="auto"/>
              <w:ind w:firstLine="720"/>
              <w:rPr>
                <w:rFonts w:ascii="Times New Roman" w:eastAsia="Times New Roman" w:hAnsi="Times New Roman" w:cs="Times New Roman"/>
                <w:lang w:eastAsia="lv-LV"/>
              </w:rPr>
            </w:pPr>
            <w:r w:rsidRPr="00654588">
              <w:rPr>
                <w:rFonts w:ascii="Times New Roman" w:eastAsia="Times New Roman" w:hAnsi="Times New Roman" w:cs="Times New Roman"/>
                <w:lang w:eastAsia="lv-LV"/>
              </w:rPr>
              <w:t>I</w:t>
            </w:r>
            <w:r w:rsidR="00351EEB" w:rsidRPr="00654588">
              <w:rPr>
                <w:rFonts w:ascii="Times New Roman" w:eastAsia="Times New Roman" w:hAnsi="Times New Roman" w:cs="Times New Roman"/>
                <w:lang w:eastAsia="lv-LV"/>
              </w:rPr>
              <w:t>zmaksu palielinājums</w:t>
            </w:r>
            <w:r w:rsidRPr="00654588">
              <w:rPr>
                <w:rFonts w:ascii="Times New Roman" w:eastAsia="Times New Roman" w:hAnsi="Times New Roman" w:cs="Times New Roman"/>
                <w:lang w:eastAsia="lv-LV"/>
              </w:rPr>
              <w:t xml:space="preserve"> gadā</w:t>
            </w:r>
          </w:p>
        </w:tc>
        <w:tc>
          <w:tcPr>
            <w:tcW w:w="1559" w:type="dxa"/>
            <w:shd w:val="clear" w:color="auto" w:fill="auto"/>
            <w:noWrap/>
            <w:vAlign w:val="bottom"/>
            <w:hideMark/>
          </w:tcPr>
          <w:p w:rsidR="00351EEB" w:rsidRPr="00654588" w:rsidRDefault="0028089E" w:rsidP="0028089E">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264 250</w:t>
            </w:r>
          </w:p>
        </w:tc>
      </w:tr>
    </w:tbl>
    <w:p w:rsidR="00243AB3" w:rsidRDefault="007519DC" w:rsidP="00243AB3">
      <w:pPr>
        <w:pStyle w:val="NoSpacing"/>
        <w:jc w:val="both"/>
        <w:rPr>
          <w:rFonts w:ascii="Times New Roman" w:hAnsi="Times New Roman"/>
          <w:i/>
          <w:sz w:val="20"/>
          <w:szCs w:val="20"/>
        </w:rPr>
      </w:pPr>
      <w:r>
        <w:rPr>
          <w:rFonts w:ascii="Times New Roman" w:hAnsi="Times New Roman"/>
          <w:i/>
          <w:sz w:val="20"/>
          <w:szCs w:val="20"/>
        </w:rPr>
        <w:t xml:space="preserve">       </w:t>
      </w:r>
      <w:r w:rsidRPr="002040D7">
        <w:rPr>
          <w:rFonts w:ascii="Times New Roman" w:hAnsi="Times New Roman"/>
          <w:i/>
          <w:sz w:val="20"/>
          <w:szCs w:val="20"/>
        </w:rPr>
        <w:t xml:space="preserve">Avots: </w:t>
      </w:r>
      <w:r>
        <w:rPr>
          <w:rFonts w:ascii="Times New Roman" w:hAnsi="Times New Roman"/>
          <w:i/>
          <w:sz w:val="20"/>
          <w:szCs w:val="20"/>
        </w:rPr>
        <w:t>Nacionālais veselības dienests</w:t>
      </w:r>
      <w:r w:rsidRPr="002040D7">
        <w:rPr>
          <w:rFonts w:ascii="Times New Roman" w:hAnsi="Times New Roman"/>
          <w:i/>
          <w:sz w:val="20"/>
          <w:szCs w:val="20"/>
        </w:rPr>
        <w:t xml:space="preserve">    </w:t>
      </w:r>
    </w:p>
    <w:p w:rsidR="00D60642" w:rsidRPr="00243AB3" w:rsidRDefault="00074052" w:rsidP="00243AB3">
      <w:pPr>
        <w:pStyle w:val="NoSpacing"/>
        <w:jc w:val="both"/>
        <w:rPr>
          <w:rFonts w:ascii="Times New Roman" w:hAnsi="Times New Roman"/>
          <w:i/>
          <w:sz w:val="20"/>
          <w:szCs w:val="20"/>
        </w:rPr>
      </w:pPr>
      <w:r>
        <w:rPr>
          <w:rFonts w:ascii="Times New Roman" w:hAnsi="Times New Roman"/>
          <w:color w:val="000000"/>
          <w:sz w:val="24"/>
          <w:szCs w:val="24"/>
        </w:rPr>
        <w:t xml:space="preserve"> </w:t>
      </w:r>
    </w:p>
    <w:p w:rsidR="00D60642" w:rsidRDefault="00D60642" w:rsidP="00D60642">
      <w:pPr>
        <w:pStyle w:val="NormalWeb"/>
        <w:snapToGrid w:val="0"/>
        <w:spacing w:before="0" w:after="0"/>
        <w:rPr>
          <w:b/>
        </w:rPr>
      </w:pPr>
    </w:p>
    <w:p w:rsidR="00A809C0" w:rsidRPr="009067AB" w:rsidRDefault="00E64D99" w:rsidP="009067AB">
      <w:pPr>
        <w:pStyle w:val="NoSpacing"/>
        <w:ind w:firstLine="720"/>
        <w:jc w:val="center"/>
        <w:rPr>
          <w:rFonts w:ascii="Times New Roman" w:hAnsi="Times New Roman"/>
          <w:b/>
          <w:sz w:val="28"/>
          <w:szCs w:val="28"/>
          <w:u w:val="single"/>
        </w:rPr>
      </w:pPr>
      <w:r w:rsidRPr="009067AB">
        <w:rPr>
          <w:rFonts w:ascii="Times New Roman" w:hAnsi="Times New Roman"/>
          <w:b/>
          <w:sz w:val="28"/>
          <w:szCs w:val="28"/>
          <w:u w:val="single"/>
        </w:rPr>
        <w:t>III</w:t>
      </w:r>
      <w:r w:rsidR="00A809C0" w:rsidRPr="009067AB">
        <w:rPr>
          <w:rFonts w:ascii="Times New Roman" w:hAnsi="Times New Roman"/>
          <w:b/>
          <w:sz w:val="28"/>
          <w:szCs w:val="28"/>
          <w:u w:val="single"/>
        </w:rPr>
        <w:t>.</w:t>
      </w:r>
      <w:r w:rsidR="00654588" w:rsidRPr="009067AB">
        <w:rPr>
          <w:rFonts w:ascii="Times New Roman" w:hAnsi="Times New Roman"/>
          <w:b/>
          <w:sz w:val="28"/>
          <w:szCs w:val="28"/>
          <w:u w:val="single"/>
        </w:rPr>
        <w:t xml:space="preserve"> </w:t>
      </w:r>
      <w:r w:rsidR="00A809C0" w:rsidRPr="009067AB">
        <w:rPr>
          <w:rFonts w:ascii="Times New Roman" w:hAnsi="Times New Roman"/>
          <w:b/>
          <w:sz w:val="28"/>
          <w:szCs w:val="28"/>
          <w:u w:val="single"/>
        </w:rPr>
        <w:t>Ārstniecības personu darba samaksas pieaug</w:t>
      </w:r>
      <w:r w:rsidR="008A7E24" w:rsidRPr="009067AB">
        <w:rPr>
          <w:rFonts w:ascii="Times New Roman" w:hAnsi="Times New Roman"/>
          <w:b/>
          <w:sz w:val="28"/>
          <w:szCs w:val="28"/>
          <w:u w:val="single"/>
        </w:rPr>
        <w:t>u</w:t>
      </w:r>
      <w:r w:rsidR="00601AC8">
        <w:rPr>
          <w:rFonts w:ascii="Times New Roman" w:hAnsi="Times New Roman"/>
          <w:b/>
          <w:sz w:val="28"/>
          <w:szCs w:val="28"/>
          <w:u w:val="single"/>
        </w:rPr>
        <w:t>ma nodrošināšanai</w:t>
      </w:r>
    </w:p>
    <w:p w:rsidR="00654588" w:rsidRPr="008855C9" w:rsidRDefault="00654588" w:rsidP="00E64D99">
      <w:pPr>
        <w:pStyle w:val="NoSpacing"/>
        <w:jc w:val="both"/>
        <w:rPr>
          <w:rFonts w:ascii="Times New Roman" w:hAnsi="Times New Roman"/>
          <w:b/>
          <w:sz w:val="24"/>
          <w:szCs w:val="24"/>
        </w:rPr>
      </w:pPr>
    </w:p>
    <w:p w:rsidR="00654588" w:rsidRPr="004D6C02" w:rsidRDefault="00654588" w:rsidP="00654588">
      <w:pPr>
        <w:pStyle w:val="BodyText2"/>
        <w:spacing w:after="0" w:line="300" w:lineRule="exact"/>
        <w:ind w:firstLine="720"/>
        <w:jc w:val="both"/>
        <w:rPr>
          <w:rFonts w:eastAsiaTheme="minorHAnsi"/>
          <w:lang w:val="lv-LV"/>
        </w:rPr>
      </w:pPr>
      <w:r w:rsidRPr="004D6C02">
        <w:rPr>
          <w:rFonts w:eastAsiaTheme="minorHAnsi"/>
          <w:lang w:val="lv-LV"/>
        </w:rPr>
        <w:t xml:space="preserve">Viena no Veselības ministrijas prioritātēm 2013.gadam ir veselības aprūpes sistēmu stiprināšana, attīstot cilvēkresursu potenciālu veselības aprūpē. </w:t>
      </w:r>
    </w:p>
    <w:p w:rsidR="00654588" w:rsidRPr="004D6C02" w:rsidRDefault="00654588" w:rsidP="00654588">
      <w:pPr>
        <w:pStyle w:val="BodyText2"/>
        <w:spacing w:after="0" w:line="300" w:lineRule="exact"/>
        <w:ind w:firstLine="720"/>
        <w:jc w:val="both"/>
        <w:rPr>
          <w:rFonts w:eastAsiaTheme="minorHAnsi"/>
          <w:lang w:val="lv-LV"/>
        </w:rPr>
      </w:pPr>
      <w:r w:rsidRPr="004D6C02">
        <w:rPr>
          <w:rFonts w:eastAsiaTheme="minorHAnsi"/>
          <w:lang w:val="lv-LV"/>
        </w:rPr>
        <w:t>Ņemot vērā ekonomisko situāciju valstī, sākot no 2009.gada arī veselības nozarē ir veikts ievērojams budžeta izdevumu samazinājums (skat. 1 un 2.att.), kas ir skāris arī ārstniecības personu darba samaksu un tā ir ievērojami samazināta, nosakot neadekvāti zemu samaksu ārstniecības personālam pret vidējo algu tautsaimniecībā (šobrīd darba samaksas koeficients pret mēneša vidējo bruto darba samaksu 2012.gadā 477 lati ir: ārstiem - 1,10, ārstniecības un pacientu aprūpes personām - 0,66 un ārstniecības un pacientu aprūpes atbals</w:t>
      </w:r>
      <w:r w:rsidR="00A2740E" w:rsidRPr="004D6C02">
        <w:rPr>
          <w:rFonts w:eastAsiaTheme="minorHAnsi"/>
          <w:lang w:val="lv-LV"/>
        </w:rPr>
        <w:t>ta personām tikai 0,44) (skat.1</w:t>
      </w:r>
      <w:r w:rsidR="00783301">
        <w:rPr>
          <w:rFonts w:eastAsiaTheme="minorHAnsi"/>
          <w:lang w:val="lv-LV"/>
        </w:rPr>
        <w:t>9</w:t>
      </w:r>
      <w:r w:rsidRPr="004D6C02">
        <w:rPr>
          <w:rFonts w:eastAsiaTheme="minorHAnsi"/>
          <w:lang w:val="lv-LV"/>
        </w:rPr>
        <w:t>.tab.):</w:t>
      </w:r>
    </w:p>
    <w:p w:rsidR="00654588" w:rsidRDefault="00A2740E" w:rsidP="00654588">
      <w:pPr>
        <w:pStyle w:val="BodyText2"/>
        <w:spacing w:before="120" w:line="300" w:lineRule="exact"/>
        <w:ind w:firstLine="720"/>
        <w:jc w:val="right"/>
        <w:rPr>
          <w:rFonts w:eastAsiaTheme="minorHAnsi"/>
        </w:rPr>
      </w:pPr>
      <w:r>
        <w:rPr>
          <w:rFonts w:eastAsiaTheme="minorHAnsi"/>
        </w:rPr>
        <w:lastRenderedPageBreak/>
        <w:t>1</w:t>
      </w:r>
      <w:r w:rsidR="00783301">
        <w:rPr>
          <w:rFonts w:eastAsiaTheme="minorHAnsi"/>
        </w:rPr>
        <w:t>9</w:t>
      </w:r>
      <w:proofErr w:type="gramStart"/>
      <w:r w:rsidR="00654588">
        <w:rPr>
          <w:rFonts w:eastAsiaTheme="minorHAnsi"/>
        </w:rPr>
        <w:t>.tabula</w:t>
      </w:r>
      <w:proofErr w:type="gramEnd"/>
    </w:p>
    <w:p w:rsidR="00654588" w:rsidRPr="00654588" w:rsidRDefault="00654588" w:rsidP="00654588">
      <w:pPr>
        <w:pStyle w:val="BodyText2"/>
        <w:spacing w:before="120" w:line="300" w:lineRule="exact"/>
        <w:ind w:firstLine="720"/>
        <w:jc w:val="center"/>
        <w:rPr>
          <w:rFonts w:eastAsiaTheme="minorHAnsi"/>
          <w:b/>
        </w:rPr>
      </w:pPr>
      <w:r w:rsidRPr="00654588">
        <w:rPr>
          <w:rFonts w:eastAsiaTheme="minorHAnsi"/>
          <w:b/>
        </w:rPr>
        <w:t>Ārstniecības personu mēneša vidējā darba samaksa 2003.-2013.gadā</w:t>
      </w:r>
    </w:p>
    <w:tbl>
      <w:tblPr>
        <w:tblW w:w="9882" w:type="dxa"/>
        <w:jc w:val="center"/>
        <w:tblInd w:w="-276" w:type="dxa"/>
        <w:tblLayout w:type="fixed"/>
        <w:tblLook w:val="04A0"/>
      </w:tblPr>
      <w:tblGrid>
        <w:gridCol w:w="1373"/>
        <w:gridCol w:w="712"/>
        <w:gridCol w:w="567"/>
        <w:gridCol w:w="567"/>
        <w:gridCol w:w="709"/>
        <w:gridCol w:w="709"/>
        <w:gridCol w:w="709"/>
        <w:gridCol w:w="567"/>
        <w:gridCol w:w="567"/>
        <w:gridCol w:w="708"/>
        <w:gridCol w:w="709"/>
        <w:gridCol w:w="709"/>
        <w:gridCol w:w="709"/>
        <w:gridCol w:w="567"/>
      </w:tblGrid>
      <w:tr w:rsidR="00654588" w:rsidRPr="000B3642" w:rsidTr="000B3642">
        <w:trPr>
          <w:trHeight w:val="645"/>
          <w:jc w:val="center"/>
        </w:trPr>
        <w:tc>
          <w:tcPr>
            <w:tcW w:w="1373"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 </w:t>
            </w:r>
          </w:p>
        </w:tc>
        <w:tc>
          <w:tcPr>
            <w:tcW w:w="1846" w:type="dxa"/>
            <w:gridSpan w:val="3"/>
            <w:tcBorders>
              <w:top w:val="single" w:sz="8" w:space="0" w:color="auto"/>
              <w:left w:val="nil"/>
              <w:bottom w:val="single" w:sz="4" w:space="0" w:color="auto"/>
              <w:right w:val="single" w:sz="8" w:space="0" w:color="000000"/>
            </w:tcBorders>
            <w:shd w:val="clear" w:color="000000" w:fill="F2F2F2"/>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Faktiskā darba samaksa</w:t>
            </w:r>
          </w:p>
        </w:tc>
        <w:tc>
          <w:tcPr>
            <w:tcW w:w="709" w:type="dxa"/>
            <w:tcBorders>
              <w:top w:val="single" w:sz="8" w:space="0" w:color="auto"/>
              <w:left w:val="nil"/>
              <w:bottom w:val="single" w:sz="4" w:space="0" w:color="auto"/>
              <w:right w:val="single" w:sz="8" w:space="0" w:color="auto"/>
            </w:tcBorders>
            <w:shd w:val="clear" w:color="000000" w:fill="DBEEF3"/>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Pieaugums</w:t>
            </w:r>
          </w:p>
        </w:tc>
        <w:tc>
          <w:tcPr>
            <w:tcW w:w="1985" w:type="dxa"/>
            <w:gridSpan w:val="3"/>
            <w:tcBorders>
              <w:top w:val="single" w:sz="8" w:space="0" w:color="auto"/>
              <w:left w:val="nil"/>
              <w:bottom w:val="single" w:sz="4" w:space="0" w:color="auto"/>
              <w:right w:val="single" w:sz="8" w:space="0" w:color="000000"/>
            </w:tcBorders>
            <w:shd w:val="clear" w:color="000000" w:fill="DCFEDA"/>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Cilvēkresursu programma</w:t>
            </w:r>
          </w:p>
        </w:tc>
        <w:tc>
          <w:tcPr>
            <w:tcW w:w="1275" w:type="dxa"/>
            <w:gridSpan w:val="2"/>
            <w:tcBorders>
              <w:top w:val="single" w:sz="8" w:space="0" w:color="auto"/>
              <w:left w:val="nil"/>
              <w:bottom w:val="single" w:sz="4" w:space="0" w:color="auto"/>
              <w:right w:val="single" w:sz="8" w:space="0" w:color="000000"/>
            </w:tcBorders>
            <w:shd w:val="clear" w:color="000000" w:fill="E5E0E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MK not.1046</w:t>
            </w:r>
          </w:p>
        </w:tc>
        <w:tc>
          <w:tcPr>
            <w:tcW w:w="2694" w:type="dxa"/>
            <w:gridSpan w:val="4"/>
            <w:tcBorders>
              <w:top w:val="single" w:sz="8" w:space="0" w:color="auto"/>
              <w:left w:val="nil"/>
              <w:bottom w:val="single" w:sz="4" w:space="0" w:color="auto"/>
              <w:right w:val="single" w:sz="8" w:space="0" w:color="000000"/>
            </w:tcBorders>
            <w:shd w:val="clear" w:color="000000" w:fill="FFFFC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MK not.1046</w:t>
            </w:r>
          </w:p>
        </w:tc>
      </w:tr>
      <w:tr w:rsidR="00654588" w:rsidRPr="000B3642" w:rsidTr="000B3642">
        <w:trPr>
          <w:cantSplit/>
          <w:trHeight w:val="1134"/>
          <w:jc w:val="center"/>
        </w:trPr>
        <w:tc>
          <w:tcPr>
            <w:tcW w:w="1373" w:type="dxa"/>
            <w:vMerge/>
            <w:tcBorders>
              <w:top w:val="single" w:sz="8" w:space="0" w:color="auto"/>
              <w:left w:val="single" w:sz="8" w:space="0" w:color="auto"/>
              <w:bottom w:val="single" w:sz="4" w:space="0" w:color="auto"/>
              <w:right w:val="single" w:sz="8" w:space="0" w:color="auto"/>
            </w:tcBorders>
            <w:vAlign w:val="center"/>
            <w:hideMark/>
          </w:tcPr>
          <w:p w:rsidR="00654588" w:rsidRPr="000B3642" w:rsidRDefault="00654588" w:rsidP="000B3642">
            <w:pPr>
              <w:spacing w:after="0" w:line="240" w:lineRule="auto"/>
              <w:rPr>
                <w:rFonts w:ascii="Times New Roman" w:eastAsia="Times New Roman" w:hAnsi="Times New Roman" w:cs="Times New Roman"/>
                <w:bCs/>
              </w:rPr>
            </w:pPr>
          </w:p>
        </w:tc>
        <w:tc>
          <w:tcPr>
            <w:tcW w:w="712" w:type="dxa"/>
            <w:tcBorders>
              <w:top w:val="nil"/>
              <w:left w:val="single" w:sz="4" w:space="0" w:color="auto"/>
              <w:bottom w:val="single" w:sz="4" w:space="0" w:color="auto"/>
              <w:right w:val="single" w:sz="4" w:space="0" w:color="auto"/>
            </w:tcBorders>
            <w:shd w:val="clear" w:color="000000" w:fill="F2F2F2"/>
            <w:textDirection w:val="btLr"/>
            <w:vAlign w:val="center"/>
            <w:hideMark/>
          </w:tcPr>
          <w:p w:rsidR="00654588" w:rsidRPr="000B3642" w:rsidRDefault="00654588" w:rsidP="000B3642">
            <w:pPr>
              <w:spacing w:after="0" w:line="240" w:lineRule="auto"/>
              <w:ind w:left="113" w:right="113"/>
              <w:jc w:val="center"/>
              <w:rPr>
                <w:rFonts w:ascii="Times New Roman" w:eastAsia="Times New Roman" w:hAnsi="Times New Roman" w:cs="Times New Roman"/>
                <w:bCs/>
              </w:rPr>
            </w:pPr>
            <w:r w:rsidRPr="000B3642">
              <w:rPr>
                <w:rFonts w:ascii="Times New Roman" w:eastAsia="Times New Roman" w:hAnsi="Times New Roman" w:cs="Times New Roman"/>
                <w:bCs/>
              </w:rPr>
              <w:t>2003</w:t>
            </w:r>
          </w:p>
        </w:tc>
        <w:tc>
          <w:tcPr>
            <w:tcW w:w="567" w:type="dxa"/>
            <w:tcBorders>
              <w:top w:val="nil"/>
              <w:left w:val="nil"/>
              <w:bottom w:val="single" w:sz="4" w:space="0" w:color="auto"/>
              <w:right w:val="single" w:sz="4" w:space="0" w:color="auto"/>
            </w:tcBorders>
            <w:shd w:val="clear" w:color="000000" w:fill="F2F2F2"/>
            <w:textDirection w:val="btLr"/>
            <w:vAlign w:val="center"/>
            <w:hideMark/>
          </w:tcPr>
          <w:p w:rsidR="00654588" w:rsidRPr="000B3642" w:rsidRDefault="00654588" w:rsidP="000B3642">
            <w:pPr>
              <w:spacing w:after="0" w:line="240" w:lineRule="auto"/>
              <w:ind w:left="113" w:right="113"/>
              <w:jc w:val="center"/>
              <w:rPr>
                <w:rFonts w:ascii="Times New Roman" w:eastAsia="Times New Roman" w:hAnsi="Times New Roman" w:cs="Times New Roman"/>
                <w:bCs/>
              </w:rPr>
            </w:pPr>
            <w:r w:rsidRPr="000B3642">
              <w:rPr>
                <w:rFonts w:ascii="Times New Roman" w:eastAsia="Times New Roman" w:hAnsi="Times New Roman" w:cs="Times New Roman"/>
                <w:bCs/>
              </w:rPr>
              <w:t>2004</w:t>
            </w:r>
          </w:p>
        </w:tc>
        <w:tc>
          <w:tcPr>
            <w:tcW w:w="567" w:type="dxa"/>
            <w:tcBorders>
              <w:top w:val="nil"/>
              <w:left w:val="nil"/>
              <w:bottom w:val="single" w:sz="4" w:space="0" w:color="auto"/>
              <w:right w:val="single" w:sz="8" w:space="0" w:color="auto"/>
            </w:tcBorders>
            <w:shd w:val="clear" w:color="000000" w:fill="F2F2F2"/>
            <w:textDirection w:val="btLr"/>
            <w:vAlign w:val="center"/>
            <w:hideMark/>
          </w:tcPr>
          <w:p w:rsidR="00654588" w:rsidRPr="000B3642" w:rsidRDefault="00654588" w:rsidP="000B3642">
            <w:pPr>
              <w:spacing w:after="0" w:line="240" w:lineRule="auto"/>
              <w:ind w:left="113" w:right="113"/>
              <w:jc w:val="center"/>
              <w:rPr>
                <w:rFonts w:ascii="Times New Roman" w:eastAsia="Times New Roman" w:hAnsi="Times New Roman" w:cs="Times New Roman"/>
                <w:bCs/>
              </w:rPr>
            </w:pPr>
            <w:r w:rsidRPr="000B3642">
              <w:rPr>
                <w:rFonts w:ascii="Times New Roman" w:eastAsia="Times New Roman" w:hAnsi="Times New Roman" w:cs="Times New Roman"/>
                <w:bCs/>
              </w:rPr>
              <w:t>2005. 1.pusg.</w:t>
            </w:r>
          </w:p>
        </w:tc>
        <w:tc>
          <w:tcPr>
            <w:tcW w:w="709" w:type="dxa"/>
            <w:tcBorders>
              <w:top w:val="nil"/>
              <w:left w:val="nil"/>
              <w:bottom w:val="single" w:sz="4" w:space="0" w:color="auto"/>
              <w:right w:val="single" w:sz="8" w:space="0" w:color="auto"/>
            </w:tcBorders>
            <w:shd w:val="clear" w:color="000000" w:fill="DBEEF3"/>
            <w:textDirection w:val="btLr"/>
            <w:vAlign w:val="center"/>
            <w:hideMark/>
          </w:tcPr>
          <w:p w:rsidR="000B3642" w:rsidRDefault="00654588" w:rsidP="000B3642">
            <w:pPr>
              <w:spacing w:after="0" w:line="240" w:lineRule="auto"/>
              <w:ind w:left="113" w:right="113"/>
              <w:jc w:val="center"/>
              <w:rPr>
                <w:rFonts w:ascii="Times New Roman" w:eastAsia="Times New Roman" w:hAnsi="Times New Roman" w:cs="Times New Roman"/>
                <w:bCs/>
              </w:rPr>
            </w:pPr>
            <w:r w:rsidRPr="000B3642">
              <w:rPr>
                <w:rFonts w:ascii="Times New Roman" w:eastAsia="Times New Roman" w:hAnsi="Times New Roman" w:cs="Times New Roman"/>
                <w:bCs/>
              </w:rPr>
              <w:t>2005.</w:t>
            </w:r>
          </w:p>
          <w:p w:rsidR="00654588" w:rsidRPr="000B3642" w:rsidRDefault="00654588" w:rsidP="000B3642">
            <w:pPr>
              <w:spacing w:after="0" w:line="240" w:lineRule="auto"/>
              <w:ind w:left="113" w:right="113"/>
              <w:jc w:val="center"/>
              <w:rPr>
                <w:rFonts w:ascii="Times New Roman" w:eastAsia="Times New Roman" w:hAnsi="Times New Roman" w:cs="Times New Roman"/>
                <w:bCs/>
              </w:rPr>
            </w:pPr>
            <w:proofErr w:type="gramStart"/>
            <w:r w:rsidRPr="000B3642">
              <w:rPr>
                <w:rFonts w:ascii="Times New Roman" w:eastAsia="Times New Roman" w:hAnsi="Times New Roman" w:cs="Times New Roman"/>
                <w:bCs/>
              </w:rPr>
              <w:t>2.pusg</w:t>
            </w:r>
            <w:proofErr w:type="gramEnd"/>
            <w:r w:rsidRPr="000B3642">
              <w:rPr>
                <w:rFonts w:ascii="Times New Roman" w:eastAsia="Times New Roman" w:hAnsi="Times New Roman" w:cs="Times New Roman"/>
                <w:bCs/>
              </w:rPr>
              <w:t>.</w:t>
            </w:r>
          </w:p>
        </w:tc>
        <w:tc>
          <w:tcPr>
            <w:tcW w:w="709" w:type="dxa"/>
            <w:tcBorders>
              <w:top w:val="nil"/>
              <w:left w:val="nil"/>
              <w:bottom w:val="single" w:sz="4" w:space="0" w:color="auto"/>
              <w:right w:val="single" w:sz="4" w:space="0" w:color="auto"/>
            </w:tcBorders>
            <w:shd w:val="clear" w:color="000000" w:fill="DCFEDA"/>
            <w:textDirection w:val="btLr"/>
            <w:vAlign w:val="center"/>
            <w:hideMark/>
          </w:tcPr>
          <w:p w:rsidR="000B3642" w:rsidRDefault="00654588" w:rsidP="000B3642">
            <w:pPr>
              <w:spacing w:after="0" w:line="240" w:lineRule="auto"/>
              <w:ind w:left="113" w:right="113"/>
              <w:jc w:val="center"/>
              <w:rPr>
                <w:rFonts w:ascii="Times New Roman" w:eastAsia="Times New Roman" w:hAnsi="Times New Roman" w:cs="Times New Roman"/>
                <w:bCs/>
              </w:rPr>
            </w:pPr>
            <w:r w:rsidRPr="000B3642">
              <w:rPr>
                <w:rFonts w:ascii="Times New Roman" w:eastAsia="Times New Roman" w:hAnsi="Times New Roman" w:cs="Times New Roman"/>
                <w:bCs/>
              </w:rPr>
              <w:t>2006.</w:t>
            </w:r>
          </w:p>
          <w:p w:rsidR="00654588" w:rsidRPr="000B3642" w:rsidRDefault="00654588" w:rsidP="000B3642">
            <w:pPr>
              <w:spacing w:after="0" w:line="240" w:lineRule="auto"/>
              <w:ind w:left="113" w:right="113"/>
              <w:jc w:val="center"/>
              <w:rPr>
                <w:rFonts w:ascii="Times New Roman" w:eastAsia="Times New Roman" w:hAnsi="Times New Roman" w:cs="Times New Roman"/>
                <w:bCs/>
              </w:rPr>
            </w:pPr>
            <w:proofErr w:type="gramStart"/>
            <w:r w:rsidRPr="000B3642">
              <w:rPr>
                <w:rFonts w:ascii="Times New Roman" w:eastAsia="Times New Roman" w:hAnsi="Times New Roman" w:cs="Times New Roman"/>
                <w:bCs/>
              </w:rPr>
              <w:t>1.pusg</w:t>
            </w:r>
            <w:proofErr w:type="gramEnd"/>
            <w:r w:rsidRPr="000B3642">
              <w:rPr>
                <w:rFonts w:ascii="Times New Roman" w:eastAsia="Times New Roman" w:hAnsi="Times New Roman" w:cs="Times New Roman"/>
                <w:bCs/>
              </w:rPr>
              <w:t>.</w:t>
            </w:r>
          </w:p>
        </w:tc>
        <w:tc>
          <w:tcPr>
            <w:tcW w:w="709" w:type="dxa"/>
            <w:tcBorders>
              <w:top w:val="nil"/>
              <w:left w:val="nil"/>
              <w:bottom w:val="single" w:sz="4" w:space="0" w:color="auto"/>
              <w:right w:val="single" w:sz="4" w:space="0" w:color="auto"/>
            </w:tcBorders>
            <w:shd w:val="clear" w:color="000000" w:fill="DCFEDA"/>
            <w:textDirection w:val="btLr"/>
            <w:vAlign w:val="center"/>
            <w:hideMark/>
          </w:tcPr>
          <w:p w:rsidR="000B3642" w:rsidRDefault="00654588" w:rsidP="000B3642">
            <w:pPr>
              <w:spacing w:after="0" w:line="240" w:lineRule="auto"/>
              <w:ind w:left="113" w:right="113"/>
              <w:jc w:val="center"/>
              <w:rPr>
                <w:rFonts w:ascii="Times New Roman" w:eastAsia="Times New Roman" w:hAnsi="Times New Roman" w:cs="Times New Roman"/>
                <w:bCs/>
              </w:rPr>
            </w:pPr>
            <w:r w:rsidRPr="000B3642">
              <w:rPr>
                <w:rFonts w:ascii="Times New Roman" w:eastAsia="Times New Roman" w:hAnsi="Times New Roman" w:cs="Times New Roman"/>
                <w:bCs/>
              </w:rPr>
              <w:t>2006.2.</w:t>
            </w:r>
          </w:p>
          <w:p w:rsidR="00654588" w:rsidRPr="000B3642" w:rsidRDefault="00654588" w:rsidP="000B3642">
            <w:pPr>
              <w:spacing w:after="0" w:line="240" w:lineRule="auto"/>
              <w:ind w:left="113" w:right="113"/>
              <w:jc w:val="center"/>
              <w:rPr>
                <w:rFonts w:ascii="Times New Roman" w:eastAsia="Times New Roman" w:hAnsi="Times New Roman" w:cs="Times New Roman"/>
                <w:bCs/>
              </w:rPr>
            </w:pPr>
            <w:proofErr w:type="gramStart"/>
            <w:r w:rsidRPr="000B3642">
              <w:rPr>
                <w:rFonts w:ascii="Times New Roman" w:eastAsia="Times New Roman" w:hAnsi="Times New Roman" w:cs="Times New Roman"/>
                <w:bCs/>
              </w:rPr>
              <w:t>pusg</w:t>
            </w:r>
            <w:proofErr w:type="gramEnd"/>
            <w:r w:rsidRPr="000B3642">
              <w:rPr>
                <w:rFonts w:ascii="Times New Roman" w:eastAsia="Times New Roman" w:hAnsi="Times New Roman" w:cs="Times New Roman"/>
                <w:bCs/>
              </w:rPr>
              <w:t>.</w:t>
            </w:r>
          </w:p>
        </w:tc>
        <w:tc>
          <w:tcPr>
            <w:tcW w:w="567" w:type="dxa"/>
            <w:tcBorders>
              <w:top w:val="nil"/>
              <w:left w:val="nil"/>
              <w:bottom w:val="single" w:sz="4" w:space="0" w:color="auto"/>
              <w:right w:val="single" w:sz="8" w:space="0" w:color="auto"/>
            </w:tcBorders>
            <w:shd w:val="clear" w:color="000000" w:fill="DCFEDA"/>
            <w:textDirection w:val="btLr"/>
            <w:vAlign w:val="center"/>
            <w:hideMark/>
          </w:tcPr>
          <w:p w:rsidR="00654588" w:rsidRPr="000B3642" w:rsidRDefault="00654588" w:rsidP="000B3642">
            <w:pPr>
              <w:spacing w:after="0" w:line="240" w:lineRule="auto"/>
              <w:ind w:left="113" w:right="113"/>
              <w:jc w:val="center"/>
              <w:rPr>
                <w:rFonts w:ascii="Times New Roman" w:eastAsia="Times New Roman" w:hAnsi="Times New Roman" w:cs="Times New Roman"/>
                <w:bCs/>
              </w:rPr>
            </w:pPr>
            <w:r w:rsidRPr="000B3642">
              <w:rPr>
                <w:rFonts w:ascii="Times New Roman" w:eastAsia="Times New Roman" w:hAnsi="Times New Roman" w:cs="Times New Roman"/>
                <w:bCs/>
              </w:rPr>
              <w:t>2007.</w:t>
            </w:r>
          </w:p>
        </w:tc>
        <w:tc>
          <w:tcPr>
            <w:tcW w:w="567" w:type="dxa"/>
            <w:tcBorders>
              <w:top w:val="nil"/>
              <w:left w:val="nil"/>
              <w:bottom w:val="single" w:sz="4" w:space="0" w:color="auto"/>
              <w:right w:val="single" w:sz="4" w:space="0" w:color="auto"/>
            </w:tcBorders>
            <w:shd w:val="clear" w:color="000000" w:fill="E5E0EC"/>
            <w:textDirection w:val="btLr"/>
            <w:vAlign w:val="center"/>
            <w:hideMark/>
          </w:tcPr>
          <w:p w:rsidR="00654588" w:rsidRPr="000B3642" w:rsidRDefault="00654588" w:rsidP="000B3642">
            <w:pPr>
              <w:spacing w:after="0" w:line="240" w:lineRule="auto"/>
              <w:ind w:left="113" w:right="113"/>
              <w:jc w:val="center"/>
              <w:rPr>
                <w:rFonts w:ascii="Times New Roman" w:eastAsia="Times New Roman" w:hAnsi="Times New Roman" w:cs="Times New Roman"/>
                <w:bCs/>
              </w:rPr>
            </w:pPr>
            <w:r w:rsidRPr="000B3642">
              <w:rPr>
                <w:rFonts w:ascii="Times New Roman" w:eastAsia="Times New Roman" w:hAnsi="Times New Roman" w:cs="Times New Roman"/>
                <w:bCs/>
              </w:rPr>
              <w:t>2008.</w:t>
            </w:r>
          </w:p>
        </w:tc>
        <w:tc>
          <w:tcPr>
            <w:tcW w:w="708" w:type="dxa"/>
            <w:tcBorders>
              <w:top w:val="nil"/>
              <w:left w:val="nil"/>
              <w:bottom w:val="single" w:sz="4" w:space="0" w:color="auto"/>
              <w:right w:val="single" w:sz="8" w:space="0" w:color="auto"/>
            </w:tcBorders>
            <w:shd w:val="clear" w:color="000000" w:fill="E5E0EC"/>
            <w:textDirection w:val="btLr"/>
            <w:vAlign w:val="center"/>
            <w:hideMark/>
          </w:tcPr>
          <w:p w:rsidR="00654588" w:rsidRPr="000B3642" w:rsidRDefault="00654588" w:rsidP="000B3642">
            <w:pPr>
              <w:spacing w:after="0" w:line="240" w:lineRule="auto"/>
              <w:ind w:left="113" w:right="113"/>
              <w:jc w:val="center"/>
              <w:rPr>
                <w:rFonts w:ascii="Times New Roman" w:eastAsia="Times New Roman" w:hAnsi="Times New Roman" w:cs="Times New Roman"/>
                <w:bCs/>
              </w:rPr>
            </w:pPr>
            <w:r w:rsidRPr="000B3642">
              <w:rPr>
                <w:rFonts w:ascii="Times New Roman" w:eastAsia="Times New Roman" w:hAnsi="Times New Roman" w:cs="Times New Roman"/>
                <w:bCs/>
              </w:rPr>
              <w:t>2009</w:t>
            </w:r>
            <w:r w:rsidR="000B3642">
              <w:rPr>
                <w:rFonts w:ascii="Times New Roman" w:eastAsia="Times New Roman" w:hAnsi="Times New Roman" w:cs="Times New Roman"/>
                <w:bCs/>
              </w:rPr>
              <w:t>.</w:t>
            </w:r>
          </w:p>
        </w:tc>
        <w:tc>
          <w:tcPr>
            <w:tcW w:w="709" w:type="dxa"/>
            <w:tcBorders>
              <w:top w:val="nil"/>
              <w:left w:val="nil"/>
              <w:bottom w:val="single" w:sz="4" w:space="0" w:color="auto"/>
              <w:right w:val="single" w:sz="4" w:space="0" w:color="auto"/>
            </w:tcBorders>
            <w:shd w:val="clear" w:color="000000" w:fill="FFFFCC"/>
            <w:textDirection w:val="btLr"/>
            <w:vAlign w:val="center"/>
            <w:hideMark/>
          </w:tcPr>
          <w:p w:rsidR="00654588" w:rsidRPr="000B3642" w:rsidRDefault="00654588" w:rsidP="000B3642">
            <w:pPr>
              <w:spacing w:after="0" w:line="240" w:lineRule="auto"/>
              <w:ind w:left="113" w:right="113"/>
              <w:jc w:val="center"/>
              <w:rPr>
                <w:rFonts w:ascii="Times New Roman" w:eastAsia="Times New Roman" w:hAnsi="Times New Roman" w:cs="Times New Roman"/>
                <w:bCs/>
              </w:rPr>
            </w:pPr>
            <w:r w:rsidRPr="000B3642">
              <w:rPr>
                <w:rFonts w:ascii="Times New Roman" w:eastAsia="Times New Roman" w:hAnsi="Times New Roman" w:cs="Times New Roman"/>
                <w:bCs/>
              </w:rPr>
              <w:t>2010</w:t>
            </w:r>
            <w:r w:rsidR="000B3642">
              <w:rPr>
                <w:rFonts w:ascii="Times New Roman" w:eastAsia="Times New Roman" w:hAnsi="Times New Roman" w:cs="Times New Roman"/>
                <w:bCs/>
              </w:rPr>
              <w:t>.</w:t>
            </w:r>
          </w:p>
        </w:tc>
        <w:tc>
          <w:tcPr>
            <w:tcW w:w="709" w:type="dxa"/>
            <w:tcBorders>
              <w:top w:val="nil"/>
              <w:left w:val="nil"/>
              <w:bottom w:val="single" w:sz="4" w:space="0" w:color="auto"/>
              <w:right w:val="single" w:sz="4" w:space="0" w:color="auto"/>
            </w:tcBorders>
            <w:shd w:val="clear" w:color="000000" w:fill="FFFFCC"/>
            <w:textDirection w:val="btLr"/>
            <w:vAlign w:val="center"/>
            <w:hideMark/>
          </w:tcPr>
          <w:p w:rsidR="00654588" w:rsidRPr="000B3642" w:rsidRDefault="00654588" w:rsidP="000B3642">
            <w:pPr>
              <w:spacing w:after="0" w:line="240" w:lineRule="auto"/>
              <w:ind w:left="113" w:right="113"/>
              <w:jc w:val="center"/>
              <w:rPr>
                <w:rFonts w:ascii="Times New Roman" w:eastAsia="Times New Roman" w:hAnsi="Times New Roman" w:cs="Times New Roman"/>
                <w:bCs/>
              </w:rPr>
            </w:pPr>
            <w:r w:rsidRPr="000B3642">
              <w:rPr>
                <w:rFonts w:ascii="Times New Roman" w:eastAsia="Times New Roman" w:hAnsi="Times New Roman" w:cs="Times New Roman"/>
                <w:bCs/>
              </w:rPr>
              <w:t>2011</w:t>
            </w:r>
            <w:r w:rsidR="000B3642">
              <w:rPr>
                <w:rFonts w:ascii="Times New Roman" w:eastAsia="Times New Roman" w:hAnsi="Times New Roman" w:cs="Times New Roman"/>
                <w:bCs/>
              </w:rPr>
              <w:t>.</w:t>
            </w:r>
          </w:p>
        </w:tc>
        <w:tc>
          <w:tcPr>
            <w:tcW w:w="709" w:type="dxa"/>
            <w:tcBorders>
              <w:top w:val="nil"/>
              <w:left w:val="nil"/>
              <w:bottom w:val="single" w:sz="4" w:space="0" w:color="auto"/>
              <w:right w:val="single" w:sz="4" w:space="0" w:color="auto"/>
            </w:tcBorders>
            <w:shd w:val="clear" w:color="000000" w:fill="FFFFCC"/>
            <w:textDirection w:val="btLr"/>
            <w:vAlign w:val="center"/>
            <w:hideMark/>
          </w:tcPr>
          <w:p w:rsidR="00654588" w:rsidRPr="000B3642" w:rsidRDefault="00654588" w:rsidP="000B3642">
            <w:pPr>
              <w:spacing w:after="0" w:line="240" w:lineRule="auto"/>
              <w:ind w:left="113" w:right="113"/>
              <w:jc w:val="center"/>
              <w:rPr>
                <w:rFonts w:ascii="Times New Roman" w:eastAsia="Times New Roman" w:hAnsi="Times New Roman" w:cs="Times New Roman"/>
                <w:bCs/>
              </w:rPr>
            </w:pPr>
            <w:r w:rsidRPr="000B3642">
              <w:rPr>
                <w:rFonts w:ascii="Times New Roman" w:eastAsia="Times New Roman" w:hAnsi="Times New Roman" w:cs="Times New Roman"/>
                <w:bCs/>
              </w:rPr>
              <w:t>2012</w:t>
            </w:r>
            <w:r w:rsidR="000B3642">
              <w:rPr>
                <w:rFonts w:ascii="Times New Roman" w:eastAsia="Times New Roman" w:hAnsi="Times New Roman" w:cs="Times New Roman"/>
                <w:bCs/>
              </w:rPr>
              <w:t>.</w:t>
            </w:r>
          </w:p>
        </w:tc>
        <w:tc>
          <w:tcPr>
            <w:tcW w:w="567" w:type="dxa"/>
            <w:tcBorders>
              <w:top w:val="nil"/>
              <w:left w:val="nil"/>
              <w:bottom w:val="single" w:sz="4" w:space="0" w:color="auto"/>
              <w:right w:val="single" w:sz="8" w:space="0" w:color="auto"/>
            </w:tcBorders>
            <w:shd w:val="clear" w:color="000000" w:fill="FFFFCC"/>
            <w:textDirection w:val="btLr"/>
            <w:vAlign w:val="center"/>
            <w:hideMark/>
          </w:tcPr>
          <w:p w:rsidR="00654588" w:rsidRPr="000B3642" w:rsidRDefault="00654588" w:rsidP="000B3642">
            <w:pPr>
              <w:spacing w:after="0" w:line="240" w:lineRule="auto"/>
              <w:ind w:left="113" w:right="113"/>
              <w:jc w:val="center"/>
              <w:rPr>
                <w:rFonts w:ascii="Times New Roman" w:eastAsia="Times New Roman" w:hAnsi="Times New Roman" w:cs="Times New Roman"/>
                <w:bCs/>
              </w:rPr>
            </w:pPr>
            <w:r w:rsidRPr="000B3642">
              <w:rPr>
                <w:rFonts w:ascii="Times New Roman" w:eastAsia="Times New Roman" w:hAnsi="Times New Roman" w:cs="Times New Roman"/>
                <w:bCs/>
              </w:rPr>
              <w:t>2013</w:t>
            </w:r>
            <w:r w:rsidR="000B3642">
              <w:rPr>
                <w:rFonts w:ascii="Times New Roman" w:eastAsia="Times New Roman" w:hAnsi="Times New Roman" w:cs="Times New Roman"/>
                <w:bCs/>
              </w:rPr>
              <w:t>.</w:t>
            </w:r>
          </w:p>
        </w:tc>
      </w:tr>
      <w:tr w:rsidR="00654588" w:rsidRPr="000B3642" w:rsidTr="000B3642">
        <w:trPr>
          <w:trHeight w:val="435"/>
          <w:jc w:val="center"/>
        </w:trPr>
        <w:tc>
          <w:tcPr>
            <w:tcW w:w="1373" w:type="dxa"/>
            <w:tcBorders>
              <w:top w:val="nil"/>
              <w:left w:val="single" w:sz="8" w:space="0" w:color="auto"/>
              <w:bottom w:val="single" w:sz="4" w:space="0" w:color="auto"/>
              <w:right w:val="single" w:sz="8" w:space="0" w:color="auto"/>
            </w:tcBorders>
            <w:shd w:val="clear" w:color="auto" w:fill="auto"/>
            <w:vAlign w:val="center"/>
            <w:hideMark/>
          </w:tcPr>
          <w:p w:rsidR="00654588" w:rsidRPr="000B3642" w:rsidRDefault="00654588" w:rsidP="000B3642">
            <w:pPr>
              <w:spacing w:after="0" w:line="240" w:lineRule="auto"/>
              <w:rPr>
                <w:rFonts w:ascii="Times New Roman" w:eastAsia="Times New Roman" w:hAnsi="Times New Roman" w:cs="Times New Roman"/>
                <w:bCs/>
              </w:rPr>
            </w:pPr>
            <w:r w:rsidRPr="000B3642">
              <w:rPr>
                <w:rFonts w:ascii="Times New Roman" w:eastAsia="Times New Roman" w:hAnsi="Times New Roman" w:cs="Times New Roman"/>
                <w:bCs/>
              </w:rPr>
              <w:t>Ārsti</w:t>
            </w:r>
          </w:p>
        </w:tc>
        <w:tc>
          <w:tcPr>
            <w:tcW w:w="712" w:type="dxa"/>
            <w:tcBorders>
              <w:top w:val="nil"/>
              <w:left w:val="single" w:sz="4" w:space="0" w:color="auto"/>
              <w:bottom w:val="single" w:sz="4" w:space="0" w:color="auto"/>
              <w:right w:val="single" w:sz="4" w:space="0" w:color="auto"/>
            </w:tcBorders>
            <w:shd w:val="clear" w:color="000000" w:fill="F2F2F2"/>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265</w:t>
            </w:r>
          </w:p>
        </w:tc>
        <w:tc>
          <w:tcPr>
            <w:tcW w:w="567" w:type="dxa"/>
            <w:tcBorders>
              <w:top w:val="nil"/>
              <w:left w:val="nil"/>
              <w:bottom w:val="single" w:sz="4" w:space="0" w:color="auto"/>
              <w:right w:val="single" w:sz="4" w:space="0" w:color="auto"/>
            </w:tcBorders>
            <w:shd w:val="clear" w:color="000000" w:fill="F2F2F2"/>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291</w:t>
            </w:r>
          </w:p>
        </w:tc>
        <w:tc>
          <w:tcPr>
            <w:tcW w:w="567" w:type="dxa"/>
            <w:tcBorders>
              <w:top w:val="nil"/>
              <w:left w:val="nil"/>
              <w:bottom w:val="single" w:sz="4" w:space="0" w:color="auto"/>
              <w:right w:val="single" w:sz="8" w:space="0" w:color="auto"/>
            </w:tcBorders>
            <w:shd w:val="clear" w:color="000000" w:fill="F2F2F2"/>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291</w:t>
            </w:r>
          </w:p>
        </w:tc>
        <w:tc>
          <w:tcPr>
            <w:tcW w:w="709" w:type="dxa"/>
            <w:tcBorders>
              <w:top w:val="nil"/>
              <w:left w:val="nil"/>
              <w:bottom w:val="single" w:sz="4" w:space="0" w:color="auto"/>
              <w:right w:val="single" w:sz="8" w:space="0" w:color="auto"/>
            </w:tcBorders>
            <w:shd w:val="clear" w:color="000000" w:fill="DBEEF3"/>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364</w:t>
            </w:r>
          </w:p>
        </w:tc>
        <w:tc>
          <w:tcPr>
            <w:tcW w:w="709" w:type="dxa"/>
            <w:tcBorders>
              <w:top w:val="nil"/>
              <w:left w:val="nil"/>
              <w:bottom w:val="single" w:sz="4" w:space="0" w:color="auto"/>
              <w:right w:val="single" w:sz="4" w:space="0" w:color="auto"/>
            </w:tcBorders>
            <w:shd w:val="clear" w:color="000000" w:fill="DCFEDA"/>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418</w:t>
            </w:r>
          </w:p>
        </w:tc>
        <w:tc>
          <w:tcPr>
            <w:tcW w:w="709" w:type="dxa"/>
            <w:tcBorders>
              <w:top w:val="nil"/>
              <w:left w:val="nil"/>
              <w:bottom w:val="single" w:sz="4" w:space="0" w:color="auto"/>
              <w:right w:val="single" w:sz="4" w:space="0" w:color="auto"/>
            </w:tcBorders>
            <w:shd w:val="clear" w:color="000000" w:fill="DCFEDA"/>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440</w:t>
            </w:r>
          </w:p>
        </w:tc>
        <w:tc>
          <w:tcPr>
            <w:tcW w:w="567" w:type="dxa"/>
            <w:tcBorders>
              <w:top w:val="nil"/>
              <w:left w:val="nil"/>
              <w:bottom w:val="single" w:sz="4" w:space="0" w:color="auto"/>
              <w:right w:val="single" w:sz="8" w:space="0" w:color="auto"/>
            </w:tcBorders>
            <w:shd w:val="clear" w:color="000000" w:fill="DCFEDA"/>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574</w:t>
            </w:r>
          </w:p>
        </w:tc>
        <w:tc>
          <w:tcPr>
            <w:tcW w:w="567" w:type="dxa"/>
            <w:tcBorders>
              <w:top w:val="nil"/>
              <w:left w:val="nil"/>
              <w:bottom w:val="single" w:sz="4" w:space="0" w:color="auto"/>
              <w:right w:val="single" w:sz="4" w:space="0" w:color="auto"/>
            </w:tcBorders>
            <w:shd w:val="clear" w:color="000000" w:fill="E5E0E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654</w:t>
            </w:r>
          </w:p>
        </w:tc>
        <w:tc>
          <w:tcPr>
            <w:tcW w:w="708" w:type="dxa"/>
            <w:tcBorders>
              <w:top w:val="nil"/>
              <w:left w:val="nil"/>
              <w:bottom w:val="single" w:sz="4" w:space="0" w:color="auto"/>
              <w:right w:val="single" w:sz="8" w:space="0" w:color="auto"/>
            </w:tcBorders>
            <w:shd w:val="clear" w:color="000000" w:fill="E5E0E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524</w:t>
            </w:r>
          </w:p>
        </w:tc>
        <w:tc>
          <w:tcPr>
            <w:tcW w:w="709" w:type="dxa"/>
            <w:tcBorders>
              <w:top w:val="nil"/>
              <w:left w:val="nil"/>
              <w:bottom w:val="single" w:sz="4" w:space="0" w:color="auto"/>
              <w:right w:val="single" w:sz="4" w:space="0" w:color="auto"/>
            </w:tcBorders>
            <w:shd w:val="clear" w:color="000000" w:fill="FFFFC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524</w:t>
            </w:r>
          </w:p>
        </w:tc>
        <w:tc>
          <w:tcPr>
            <w:tcW w:w="709" w:type="dxa"/>
            <w:tcBorders>
              <w:top w:val="nil"/>
              <w:left w:val="nil"/>
              <w:bottom w:val="single" w:sz="4" w:space="0" w:color="auto"/>
              <w:right w:val="single" w:sz="4" w:space="0" w:color="auto"/>
            </w:tcBorders>
            <w:shd w:val="clear" w:color="000000" w:fill="FFFFC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524</w:t>
            </w:r>
          </w:p>
        </w:tc>
        <w:tc>
          <w:tcPr>
            <w:tcW w:w="709" w:type="dxa"/>
            <w:tcBorders>
              <w:top w:val="nil"/>
              <w:left w:val="nil"/>
              <w:bottom w:val="single" w:sz="4" w:space="0" w:color="auto"/>
              <w:right w:val="single" w:sz="4" w:space="0" w:color="auto"/>
            </w:tcBorders>
            <w:shd w:val="clear" w:color="000000" w:fill="FFFFC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524</w:t>
            </w:r>
          </w:p>
        </w:tc>
        <w:tc>
          <w:tcPr>
            <w:tcW w:w="567" w:type="dxa"/>
            <w:tcBorders>
              <w:top w:val="nil"/>
              <w:left w:val="nil"/>
              <w:bottom w:val="single" w:sz="4" w:space="0" w:color="auto"/>
              <w:right w:val="single" w:sz="8" w:space="0" w:color="auto"/>
            </w:tcBorders>
            <w:shd w:val="clear" w:color="000000" w:fill="FFFFC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524</w:t>
            </w:r>
          </w:p>
        </w:tc>
      </w:tr>
      <w:tr w:rsidR="00654588" w:rsidRPr="000B3642" w:rsidTr="000B3642">
        <w:trPr>
          <w:trHeight w:val="900"/>
          <w:jc w:val="center"/>
        </w:trPr>
        <w:tc>
          <w:tcPr>
            <w:tcW w:w="1373" w:type="dxa"/>
            <w:tcBorders>
              <w:top w:val="nil"/>
              <w:left w:val="single" w:sz="8" w:space="0" w:color="auto"/>
              <w:bottom w:val="single" w:sz="4" w:space="0" w:color="auto"/>
              <w:right w:val="single" w:sz="8" w:space="0" w:color="auto"/>
            </w:tcBorders>
            <w:shd w:val="clear" w:color="auto" w:fill="auto"/>
            <w:vAlign w:val="center"/>
            <w:hideMark/>
          </w:tcPr>
          <w:p w:rsidR="00654588" w:rsidRPr="000B3642" w:rsidRDefault="00654588" w:rsidP="000B3642">
            <w:pPr>
              <w:spacing w:after="0" w:line="240" w:lineRule="auto"/>
              <w:rPr>
                <w:rFonts w:ascii="Times New Roman" w:eastAsia="Times New Roman" w:hAnsi="Times New Roman" w:cs="Times New Roman"/>
                <w:bCs/>
              </w:rPr>
            </w:pPr>
            <w:r w:rsidRPr="000B3642">
              <w:rPr>
                <w:rFonts w:ascii="Times New Roman" w:eastAsia="Times New Roman" w:hAnsi="Times New Roman" w:cs="Times New Roman"/>
                <w:bCs/>
              </w:rPr>
              <w:t>Ārstniecības un pacientu aprūpes personas</w:t>
            </w:r>
          </w:p>
        </w:tc>
        <w:tc>
          <w:tcPr>
            <w:tcW w:w="712" w:type="dxa"/>
            <w:tcBorders>
              <w:top w:val="nil"/>
              <w:left w:val="single" w:sz="4" w:space="0" w:color="auto"/>
              <w:bottom w:val="single" w:sz="4" w:space="0" w:color="auto"/>
              <w:right w:val="single" w:sz="4" w:space="0" w:color="auto"/>
            </w:tcBorders>
            <w:shd w:val="clear" w:color="000000" w:fill="F2F2F2"/>
            <w:noWrap/>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155</w:t>
            </w:r>
          </w:p>
        </w:tc>
        <w:tc>
          <w:tcPr>
            <w:tcW w:w="567" w:type="dxa"/>
            <w:tcBorders>
              <w:top w:val="nil"/>
              <w:left w:val="nil"/>
              <w:bottom w:val="single" w:sz="4" w:space="0" w:color="auto"/>
              <w:right w:val="single" w:sz="4" w:space="0" w:color="auto"/>
            </w:tcBorders>
            <w:shd w:val="clear" w:color="000000" w:fill="F2F2F2"/>
            <w:noWrap/>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169</w:t>
            </w:r>
          </w:p>
        </w:tc>
        <w:tc>
          <w:tcPr>
            <w:tcW w:w="567" w:type="dxa"/>
            <w:tcBorders>
              <w:top w:val="nil"/>
              <w:left w:val="nil"/>
              <w:bottom w:val="single" w:sz="4" w:space="0" w:color="auto"/>
              <w:right w:val="single" w:sz="8" w:space="0" w:color="auto"/>
            </w:tcBorders>
            <w:shd w:val="clear" w:color="000000" w:fill="F2F2F2"/>
            <w:noWrap/>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169</w:t>
            </w:r>
          </w:p>
        </w:tc>
        <w:tc>
          <w:tcPr>
            <w:tcW w:w="709" w:type="dxa"/>
            <w:tcBorders>
              <w:top w:val="nil"/>
              <w:left w:val="nil"/>
              <w:bottom w:val="single" w:sz="4" w:space="0" w:color="auto"/>
              <w:right w:val="single" w:sz="8" w:space="0" w:color="auto"/>
            </w:tcBorders>
            <w:shd w:val="clear" w:color="000000" w:fill="DBEEF3"/>
            <w:noWrap/>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211</w:t>
            </w:r>
          </w:p>
        </w:tc>
        <w:tc>
          <w:tcPr>
            <w:tcW w:w="709" w:type="dxa"/>
            <w:tcBorders>
              <w:top w:val="nil"/>
              <w:left w:val="nil"/>
              <w:bottom w:val="single" w:sz="4" w:space="0" w:color="auto"/>
              <w:right w:val="single" w:sz="4" w:space="0" w:color="auto"/>
            </w:tcBorders>
            <w:shd w:val="clear" w:color="000000" w:fill="DCFEDA"/>
            <w:noWrap/>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251</w:t>
            </w:r>
          </w:p>
        </w:tc>
        <w:tc>
          <w:tcPr>
            <w:tcW w:w="709" w:type="dxa"/>
            <w:tcBorders>
              <w:top w:val="nil"/>
              <w:left w:val="nil"/>
              <w:bottom w:val="single" w:sz="4" w:space="0" w:color="auto"/>
              <w:right w:val="single" w:sz="4" w:space="0" w:color="auto"/>
            </w:tcBorders>
            <w:shd w:val="clear" w:color="000000" w:fill="DCFEDA"/>
            <w:noWrap/>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264</w:t>
            </w:r>
          </w:p>
        </w:tc>
        <w:tc>
          <w:tcPr>
            <w:tcW w:w="567" w:type="dxa"/>
            <w:tcBorders>
              <w:top w:val="nil"/>
              <w:left w:val="nil"/>
              <w:bottom w:val="single" w:sz="4" w:space="0" w:color="auto"/>
              <w:right w:val="single" w:sz="8" w:space="0" w:color="auto"/>
            </w:tcBorders>
            <w:shd w:val="clear" w:color="000000" w:fill="DCFEDA"/>
            <w:noWrap/>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344</w:t>
            </w:r>
          </w:p>
        </w:tc>
        <w:tc>
          <w:tcPr>
            <w:tcW w:w="567" w:type="dxa"/>
            <w:tcBorders>
              <w:top w:val="nil"/>
              <w:left w:val="nil"/>
              <w:bottom w:val="single" w:sz="4" w:space="0" w:color="auto"/>
              <w:right w:val="single" w:sz="4" w:space="0" w:color="auto"/>
            </w:tcBorders>
            <w:shd w:val="clear" w:color="000000" w:fill="E5E0EC"/>
            <w:noWrap/>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392</w:t>
            </w:r>
          </w:p>
        </w:tc>
        <w:tc>
          <w:tcPr>
            <w:tcW w:w="708" w:type="dxa"/>
            <w:tcBorders>
              <w:top w:val="nil"/>
              <w:left w:val="nil"/>
              <w:bottom w:val="single" w:sz="4" w:space="0" w:color="auto"/>
              <w:right w:val="single" w:sz="8" w:space="0" w:color="auto"/>
            </w:tcBorders>
            <w:shd w:val="clear" w:color="000000" w:fill="E5E0E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314</w:t>
            </w:r>
          </w:p>
        </w:tc>
        <w:tc>
          <w:tcPr>
            <w:tcW w:w="709" w:type="dxa"/>
            <w:tcBorders>
              <w:top w:val="nil"/>
              <w:left w:val="nil"/>
              <w:bottom w:val="single" w:sz="4" w:space="0" w:color="auto"/>
              <w:right w:val="single" w:sz="4" w:space="0" w:color="auto"/>
            </w:tcBorders>
            <w:shd w:val="clear" w:color="000000" w:fill="FFFFC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314</w:t>
            </w:r>
          </w:p>
        </w:tc>
        <w:tc>
          <w:tcPr>
            <w:tcW w:w="709" w:type="dxa"/>
            <w:tcBorders>
              <w:top w:val="nil"/>
              <w:left w:val="nil"/>
              <w:bottom w:val="single" w:sz="4" w:space="0" w:color="auto"/>
              <w:right w:val="single" w:sz="4" w:space="0" w:color="auto"/>
            </w:tcBorders>
            <w:shd w:val="clear" w:color="000000" w:fill="FFFFC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314</w:t>
            </w:r>
          </w:p>
        </w:tc>
        <w:tc>
          <w:tcPr>
            <w:tcW w:w="709" w:type="dxa"/>
            <w:tcBorders>
              <w:top w:val="nil"/>
              <w:left w:val="nil"/>
              <w:bottom w:val="single" w:sz="4" w:space="0" w:color="auto"/>
              <w:right w:val="single" w:sz="4" w:space="0" w:color="auto"/>
            </w:tcBorders>
            <w:shd w:val="clear" w:color="000000" w:fill="FFFFC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314</w:t>
            </w:r>
          </w:p>
        </w:tc>
        <w:tc>
          <w:tcPr>
            <w:tcW w:w="567" w:type="dxa"/>
            <w:tcBorders>
              <w:top w:val="nil"/>
              <w:left w:val="nil"/>
              <w:bottom w:val="single" w:sz="4" w:space="0" w:color="auto"/>
              <w:right w:val="single" w:sz="8" w:space="0" w:color="auto"/>
            </w:tcBorders>
            <w:shd w:val="clear" w:color="000000" w:fill="FFFFC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314</w:t>
            </w:r>
          </w:p>
        </w:tc>
      </w:tr>
      <w:tr w:rsidR="00654588" w:rsidRPr="000B3642" w:rsidTr="000B3642">
        <w:trPr>
          <w:trHeight w:val="915"/>
          <w:jc w:val="center"/>
        </w:trPr>
        <w:tc>
          <w:tcPr>
            <w:tcW w:w="1373" w:type="dxa"/>
            <w:tcBorders>
              <w:top w:val="nil"/>
              <w:left w:val="single" w:sz="8" w:space="0" w:color="auto"/>
              <w:bottom w:val="single" w:sz="8" w:space="0" w:color="auto"/>
              <w:right w:val="single" w:sz="8" w:space="0" w:color="auto"/>
            </w:tcBorders>
            <w:shd w:val="clear" w:color="auto" w:fill="auto"/>
            <w:vAlign w:val="center"/>
            <w:hideMark/>
          </w:tcPr>
          <w:p w:rsidR="00654588" w:rsidRPr="000B3642" w:rsidRDefault="00654588" w:rsidP="000B3642">
            <w:pPr>
              <w:spacing w:after="0" w:line="240" w:lineRule="auto"/>
              <w:rPr>
                <w:rFonts w:ascii="Times New Roman" w:eastAsia="Times New Roman" w:hAnsi="Times New Roman" w:cs="Times New Roman"/>
                <w:bCs/>
              </w:rPr>
            </w:pPr>
            <w:r w:rsidRPr="000B3642">
              <w:rPr>
                <w:rFonts w:ascii="Times New Roman" w:eastAsia="Times New Roman" w:hAnsi="Times New Roman" w:cs="Times New Roman"/>
                <w:bCs/>
              </w:rPr>
              <w:t>Ārstniecības un pacientu aprūpes atbalsta personas</w:t>
            </w:r>
          </w:p>
        </w:tc>
        <w:tc>
          <w:tcPr>
            <w:tcW w:w="712" w:type="dxa"/>
            <w:tcBorders>
              <w:top w:val="nil"/>
              <w:left w:val="single" w:sz="4" w:space="0" w:color="auto"/>
              <w:bottom w:val="single" w:sz="8" w:space="0" w:color="auto"/>
              <w:right w:val="single" w:sz="4" w:space="0" w:color="auto"/>
            </w:tcBorders>
            <w:shd w:val="clear" w:color="000000" w:fill="F2F2F2"/>
            <w:noWrap/>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118</w:t>
            </w:r>
          </w:p>
        </w:tc>
        <w:tc>
          <w:tcPr>
            <w:tcW w:w="567" w:type="dxa"/>
            <w:tcBorders>
              <w:top w:val="nil"/>
              <w:left w:val="nil"/>
              <w:bottom w:val="single" w:sz="8" w:space="0" w:color="auto"/>
              <w:right w:val="single" w:sz="4" w:space="0" w:color="auto"/>
            </w:tcBorders>
            <w:shd w:val="clear" w:color="000000" w:fill="F2F2F2"/>
            <w:noWrap/>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122</w:t>
            </w:r>
          </w:p>
        </w:tc>
        <w:tc>
          <w:tcPr>
            <w:tcW w:w="567" w:type="dxa"/>
            <w:tcBorders>
              <w:top w:val="nil"/>
              <w:left w:val="nil"/>
              <w:bottom w:val="single" w:sz="8" w:space="0" w:color="auto"/>
              <w:right w:val="single" w:sz="8" w:space="0" w:color="auto"/>
            </w:tcBorders>
            <w:shd w:val="clear" w:color="000000" w:fill="F2F2F2"/>
            <w:noWrap/>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122</w:t>
            </w:r>
          </w:p>
        </w:tc>
        <w:tc>
          <w:tcPr>
            <w:tcW w:w="709" w:type="dxa"/>
            <w:tcBorders>
              <w:top w:val="nil"/>
              <w:left w:val="nil"/>
              <w:bottom w:val="single" w:sz="8" w:space="0" w:color="auto"/>
              <w:right w:val="single" w:sz="8" w:space="0" w:color="auto"/>
            </w:tcBorders>
            <w:shd w:val="clear" w:color="000000" w:fill="DBEEF3"/>
            <w:noWrap/>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153</w:t>
            </w:r>
          </w:p>
        </w:tc>
        <w:tc>
          <w:tcPr>
            <w:tcW w:w="709" w:type="dxa"/>
            <w:tcBorders>
              <w:top w:val="nil"/>
              <w:left w:val="nil"/>
              <w:bottom w:val="single" w:sz="8" w:space="0" w:color="auto"/>
              <w:right w:val="single" w:sz="4" w:space="0" w:color="auto"/>
            </w:tcBorders>
            <w:shd w:val="clear" w:color="000000" w:fill="DCFEDA"/>
            <w:noWrap/>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167</w:t>
            </w:r>
          </w:p>
        </w:tc>
        <w:tc>
          <w:tcPr>
            <w:tcW w:w="709" w:type="dxa"/>
            <w:tcBorders>
              <w:top w:val="nil"/>
              <w:left w:val="nil"/>
              <w:bottom w:val="single" w:sz="8" w:space="0" w:color="auto"/>
              <w:right w:val="single" w:sz="4" w:space="0" w:color="auto"/>
            </w:tcBorders>
            <w:shd w:val="clear" w:color="000000" w:fill="DCFEDA"/>
            <w:noWrap/>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176</w:t>
            </w:r>
          </w:p>
        </w:tc>
        <w:tc>
          <w:tcPr>
            <w:tcW w:w="567" w:type="dxa"/>
            <w:tcBorders>
              <w:top w:val="nil"/>
              <w:left w:val="nil"/>
              <w:bottom w:val="single" w:sz="8" w:space="0" w:color="auto"/>
              <w:right w:val="single" w:sz="8" w:space="0" w:color="auto"/>
            </w:tcBorders>
            <w:shd w:val="clear" w:color="000000" w:fill="DCFEDA"/>
            <w:noWrap/>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230</w:t>
            </w:r>
          </w:p>
        </w:tc>
        <w:tc>
          <w:tcPr>
            <w:tcW w:w="567" w:type="dxa"/>
            <w:tcBorders>
              <w:top w:val="nil"/>
              <w:left w:val="nil"/>
              <w:bottom w:val="single" w:sz="8" w:space="0" w:color="auto"/>
              <w:right w:val="single" w:sz="4" w:space="0" w:color="auto"/>
            </w:tcBorders>
            <w:shd w:val="clear" w:color="000000" w:fill="E5E0EC"/>
            <w:noWrap/>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262</w:t>
            </w:r>
          </w:p>
        </w:tc>
        <w:tc>
          <w:tcPr>
            <w:tcW w:w="708" w:type="dxa"/>
            <w:tcBorders>
              <w:top w:val="nil"/>
              <w:left w:val="nil"/>
              <w:bottom w:val="single" w:sz="8" w:space="0" w:color="auto"/>
              <w:right w:val="single" w:sz="8" w:space="0" w:color="auto"/>
            </w:tcBorders>
            <w:shd w:val="clear" w:color="000000" w:fill="E5E0E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210</w:t>
            </w:r>
          </w:p>
        </w:tc>
        <w:tc>
          <w:tcPr>
            <w:tcW w:w="709" w:type="dxa"/>
            <w:tcBorders>
              <w:top w:val="nil"/>
              <w:left w:val="nil"/>
              <w:bottom w:val="single" w:sz="8" w:space="0" w:color="auto"/>
              <w:right w:val="single" w:sz="4" w:space="0" w:color="auto"/>
            </w:tcBorders>
            <w:shd w:val="clear" w:color="000000" w:fill="FFFFC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210</w:t>
            </w:r>
          </w:p>
        </w:tc>
        <w:tc>
          <w:tcPr>
            <w:tcW w:w="709" w:type="dxa"/>
            <w:tcBorders>
              <w:top w:val="nil"/>
              <w:left w:val="nil"/>
              <w:bottom w:val="single" w:sz="8" w:space="0" w:color="auto"/>
              <w:right w:val="single" w:sz="4" w:space="0" w:color="auto"/>
            </w:tcBorders>
            <w:shd w:val="clear" w:color="000000" w:fill="FFFFC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210</w:t>
            </w:r>
          </w:p>
        </w:tc>
        <w:tc>
          <w:tcPr>
            <w:tcW w:w="709" w:type="dxa"/>
            <w:tcBorders>
              <w:top w:val="nil"/>
              <w:left w:val="nil"/>
              <w:bottom w:val="single" w:sz="8" w:space="0" w:color="auto"/>
              <w:right w:val="single" w:sz="4" w:space="0" w:color="auto"/>
            </w:tcBorders>
            <w:shd w:val="clear" w:color="000000" w:fill="FFFFC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210</w:t>
            </w:r>
          </w:p>
        </w:tc>
        <w:tc>
          <w:tcPr>
            <w:tcW w:w="567" w:type="dxa"/>
            <w:tcBorders>
              <w:top w:val="nil"/>
              <w:left w:val="nil"/>
              <w:bottom w:val="single" w:sz="8" w:space="0" w:color="auto"/>
              <w:right w:val="single" w:sz="8" w:space="0" w:color="auto"/>
            </w:tcBorders>
            <w:shd w:val="clear" w:color="000000" w:fill="FFFFCC"/>
            <w:vAlign w:val="center"/>
            <w:hideMark/>
          </w:tcPr>
          <w:p w:rsidR="00654588" w:rsidRPr="000B3642" w:rsidRDefault="00654588" w:rsidP="000B3642">
            <w:pPr>
              <w:spacing w:after="0" w:line="240" w:lineRule="auto"/>
              <w:jc w:val="center"/>
              <w:rPr>
                <w:rFonts w:ascii="Times New Roman" w:eastAsia="Times New Roman" w:hAnsi="Times New Roman" w:cs="Times New Roman"/>
                <w:bCs/>
              </w:rPr>
            </w:pPr>
            <w:r w:rsidRPr="000B3642">
              <w:rPr>
                <w:rFonts w:ascii="Times New Roman" w:eastAsia="Times New Roman" w:hAnsi="Times New Roman" w:cs="Times New Roman"/>
                <w:bCs/>
              </w:rPr>
              <w:t>210</w:t>
            </w:r>
          </w:p>
        </w:tc>
      </w:tr>
    </w:tbl>
    <w:p w:rsidR="00A042E9" w:rsidRPr="00A042E9" w:rsidRDefault="00A042E9" w:rsidP="006F1067">
      <w:pPr>
        <w:pStyle w:val="BodyText2"/>
        <w:spacing w:before="120" w:line="300" w:lineRule="exact"/>
        <w:ind w:firstLine="720"/>
        <w:jc w:val="both"/>
        <w:rPr>
          <w:rFonts w:eastAsiaTheme="minorHAnsi"/>
          <w:i/>
          <w:sz w:val="22"/>
          <w:szCs w:val="22"/>
        </w:rPr>
      </w:pPr>
      <w:r w:rsidRPr="00A042E9">
        <w:rPr>
          <w:rFonts w:eastAsiaTheme="minorHAnsi"/>
          <w:i/>
          <w:sz w:val="22"/>
          <w:szCs w:val="22"/>
        </w:rPr>
        <w:t>Avots: Veselības ministri</w:t>
      </w:r>
      <w:r>
        <w:rPr>
          <w:rFonts w:eastAsiaTheme="minorHAnsi"/>
          <w:i/>
          <w:sz w:val="22"/>
          <w:szCs w:val="22"/>
        </w:rPr>
        <w:t>ja</w:t>
      </w:r>
    </w:p>
    <w:p w:rsidR="00480A13" w:rsidRDefault="00480A13" w:rsidP="00480A13">
      <w:pPr>
        <w:pStyle w:val="BodyText2"/>
        <w:spacing w:before="120" w:line="300" w:lineRule="exact"/>
        <w:ind w:firstLine="720"/>
        <w:jc w:val="both"/>
        <w:rPr>
          <w:rFonts w:eastAsiaTheme="minorHAnsi"/>
        </w:rPr>
      </w:pPr>
      <w:r>
        <w:rPr>
          <w:rFonts w:eastAsiaTheme="minorHAnsi"/>
        </w:rPr>
        <w:t>Š</w:t>
      </w:r>
      <w:r w:rsidRPr="00C233B3">
        <w:rPr>
          <w:rFonts w:eastAsiaTheme="minorHAnsi"/>
        </w:rPr>
        <w:t xml:space="preserve">obrīd notiek darbs pie Veselības aprūpes sistēmas cilvēkresursu attīstības plāna projekta 2013.-2015.gadam </w:t>
      </w:r>
      <w:r>
        <w:rPr>
          <w:rFonts w:eastAsiaTheme="minorHAnsi"/>
        </w:rPr>
        <w:t>izstrādes, kā rezultātā i</w:t>
      </w:r>
      <w:r w:rsidRPr="00C233B3">
        <w:rPr>
          <w:rFonts w:eastAsiaTheme="minorHAnsi"/>
        </w:rPr>
        <w:t>r veikta apjomīga veselības aprūpes cilvēkresursu (ārstniecības personas un ārstniecības atbalsta personas) datu analīze un prognozes līdz 2018.gadam, kā arī iezīmēti iespējamie risinājumi tādu aktuālu cilvēkresursu jautājumu risināšanai, kā speciālistu novecošanās, pieejamība reģionos, atsevišķu nozaru speciālistu trūkums</w:t>
      </w:r>
      <w:r>
        <w:rPr>
          <w:rFonts w:eastAsiaTheme="minorHAnsi"/>
        </w:rPr>
        <w:t>, bet šobrīd nav iespējams šo plāna projektu virzīt izskatīšanai Ministru kabinetā, jo veselības nozares sociālie partneri ir pauduši skaidru</w:t>
      </w:r>
      <w:r w:rsidRPr="00C233B3">
        <w:rPr>
          <w:rFonts w:eastAsiaTheme="minorHAnsi"/>
        </w:rPr>
        <w:t xml:space="preserve"> nostāju</w:t>
      </w:r>
      <w:r>
        <w:rPr>
          <w:rFonts w:eastAsiaTheme="minorHAnsi"/>
        </w:rPr>
        <w:t xml:space="preserve"> -</w:t>
      </w:r>
      <w:r w:rsidRPr="00C233B3">
        <w:rPr>
          <w:rFonts w:eastAsiaTheme="minorHAnsi"/>
        </w:rPr>
        <w:t xml:space="preserve"> neatbalstīt pamatnostādņu „Cilvēkresursu attīstība veselības aprūpē” un  programmas „Cilvēkresursu attīstība veselības aprūpē 2006. </w:t>
      </w:r>
      <w:proofErr w:type="gramStart"/>
      <w:r w:rsidRPr="00C233B3">
        <w:rPr>
          <w:rFonts w:eastAsiaTheme="minorHAnsi"/>
        </w:rPr>
        <w:t>– 2015.gadam” aktualizāciju, pirms nav atrisināts jautājums par darba algas palielināšanu ve</w:t>
      </w:r>
      <w:r>
        <w:rPr>
          <w:rFonts w:eastAsiaTheme="minorHAnsi"/>
        </w:rPr>
        <w:t>selības aprūpē nodarbinātajiem.</w:t>
      </w:r>
      <w:proofErr w:type="gramEnd"/>
      <w:r>
        <w:rPr>
          <w:rFonts w:eastAsiaTheme="minorHAnsi"/>
        </w:rPr>
        <w:t xml:space="preserve"> Jāatzīmē, ka ievērojami </w:t>
      </w:r>
      <w:proofErr w:type="gramStart"/>
      <w:r>
        <w:rPr>
          <w:rFonts w:eastAsiaTheme="minorHAnsi"/>
        </w:rPr>
        <w:t>atšķiras  reālā</w:t>
      </w:r>
      <w:proofErr w:type="gramEnd"/>
      <w:r>
        <w:rPr>
          <w:rFonts w:eastAsiaTheme="minorHAnsi"/>
        </w:rPr>
        <w:t xml:space="preserve"> darba samaksa no tās  darba samaksas , kas  bija plānota programmā </w:t>
      </w:r>
      <w:r w:rsidRPr="00043426">
        <w:rPr>
          <w:rFonts w:eastAsiaTheme="minorHAnsi"/>
        </w:rPr>
        <w:t xml:space="preserve">„Cilvēkresursu attīstība veselības aprūpē 2006. </w:t>
      </w:r>
      <w:proofErr w:type="gramStart"/>
      <w:r w:rsidRPr="00043426">
        <w:rPr>
          <w:rFonts w:eastAsiaTheme="minorHAnsi"/>
        </w:rPr>
        <w:t>–2015.gadam”</w:t>
      </w:r>
      <w:r>
        <w:rPr>
          <w:rFonts w:eastAsiaTheme="minorHAnsi"/>
        </w:rPr>
        <w:t xml:space="preserve"> (skat.</w:t>
      </w:r>
      <w:proofErr w:type="gramEnd"/>
      <w:r>
        <w:rPr>
          <w:rFonts w:eastAsiaTheme="minorHAnsi"/>
        </w:rPr>
        <w:t xml:space="preserve"> </w:t>
      </w:r>
      <w:proofErr w:type="gramStart"/>
      <w:r>
        <w:rPr>
          <w:rFonts w:eastAsiaTheme="minorHAnsi"/>
        </w:rPr>
        <w:t>6.</w:t>
      </w:r>
      <w:r w:rsidRPr="00E64D99">
        <w:rPr>
          <w:rFonts w:eastAsiaTheme="minorHAnsi"/>
        </w:rPr>
        <w:t>att</w:t>
      </w:r>
      <w:proofErr w:type="gramEnd"/>
      <w:r w:rsidRPr="00E64D99">
        <w:rPr>
          <w:rFonts w:eastAsiaTheme="minorHAnsi"/>
        </w:rPr>
        <w:t>.</w:t>
      </w:r>
      <w:r>
        <w:rPr>
          <w:rFonts w:eastAsiaTheme="minorHAnsi"/>
        </w:rPr>
        <w:t xml:space="preserve">). </w:t>
      </w:r>
    </w:p>
    <w:p w:rsidR="004F6498" w:rsidRDefault="004F6498" w:rsidP="000B3642">
      <w:pPr>
        <w:pStyle w:val="BodyText2"/>
        <w:spacing w:before="120" w:line="300" w:lineRule="exact"/>
        <w:ind w:firstLine="720"/>
        <w:jc w:val="right"/>
        <w:rPr>
          <w:rFonts w:eastAsiaTheme="minorHAnsi"/>
        </w:rPr>
      </w:pPr>
    </w:p>
    <w:p w:rsidR="004F6498" w:rsidRDefault="004F6498" w:rsidP="000B3642">
      <w:pPr>
        <w:pStyle w:val="BodyText2"/>
        <w:spacing w:before="120" w:line="300" w:lineRule="exact"/>
        <w:ind w:firstLine="720"/>
        <w:jc w:val="right"/>
        <w:rPr>
          <w:rFonts w:eastAsiaTheme="minorHAnsi"/>
        </w:rPr>
      </w:pPr>
    </w:p>
    <w:p w:rsidR="004F6498" w:rsidRDefault="004F6498" w:rsidP="000B3642">
      <w:pPr>
        <w:pStyle w:val="BodyText2"/>
        <w:spacing w:before="120" w:line="300" w:lineRule="exact"/>
        <w:ind w:firstLine="720"/>
        <w:jc w:val="right"/>
        <w:rPr>
          <w:rFonts w:eastAsiaTheme="minorHAnsi"/>
        </w:rPr>
      </w:pPr>
    </w:p>
    <w:p w:rsidR="004F6498" w:rsidRDefault="004F6498" w:rsidP="000B3642">
      <w:pPr>
        <w:pStyle w:val="BodyText2"/>
        <w:spacing w:before="120" w:line="300" w:lineRule="exact"/>
        <w:ind w:firstLine="720"/>
        <w:jc w:val="right"/>
        <w:rPr>
          <w:rFonts w:eastAsiaTheme="minorHAnsi"/>
        </w:rPr>
      </w:pPr>
    </w:p>
    <w:p w:rsidR="004F6498" w:rsidRDefault="004F6498" w:rsidP="000B3642">
      <w:pPr>
        <w:pStyle w:val="BodyText2"/>
        <w:spacing w:before="120" w:line="300" w:lineRule="exact"/>
        <w:ind w:firstLine="720"/>
        <w:jc w:val="right"/>
        <w:rPr>
          <w:rFonts w:eastAsiaTheme="minorHAnsi"/>
        </w:rPr>
      </w:pPr>
    </w:p>
    <w:p w:rsidR="004F6498" w:rsidRDefault="004F6498" w:rsidP="000B3642">
      <w:pPr>
        <w:pStyle w:val="BodyText2"/>
        <w:spacing w:before="120" w:line="300" w:lineRule="exact"/>
        <w:ind w:firstLine="720"/>
        <w:jc w:val="right"/>
        <w:rPr>
          <w:rFonts w:eastAsiaTheme="minorHAnsi"/>
        </w:rPr>
      </w:pPr>
    </w:p>
    <w:p w:rsidR="004F6498" w:rsidRDefault="004F6498" w:rsidP="000B3642">
      <w:pPr>
        <w:pStyle w:val="BodyText2"/>
        <w:spacing w:before="120" w:line="300" w:lineRule="exact"/>
        <w:ind w:firstLine="720"/>
        <w:jc w:val="right"/>
        <w:rPr>
          <w:rFonts w:eastAsiaTheme="minorHAnsi"/>
        </w:rPr>
      </w:pPr>
    </w:p>
    <w:p w:rsidR="004F6498" w:rsidRDefault="004F6498" w:rsidP="000B3642">
      <w:pPr>
        <w:pStyle w:val="BodyText2"/>
        <w:spacing w:before="120" w:line="300" w:lineRule="exact"/>
        <w:ind w:firstLine="720"/>
        <w:jc w:val="right"/>
        <w:rPr>
          <w:rFonts w:eastAsiaTheme="minorHAnsi"/>
        </w:rPr>
      </w:pPr>
    </w:p>
    <w:p w:rsidR="004F6498" w:rsidRDefault="004F6498" w:rsidP="000B3642">
      <w:pPr>
        <w:pStyle w:val="BodyText2"/>
        <w:spacing w:before="120" w:line="300" w:lineRule="exact"/>
        <w:ind w:firstLine="720"/>
        <w:jc w:val="right"/>
        <w:rPr>
          <w:rFonts w:eastAsiaTheme="minorHAnsi"/>
        </w:rPr>
      </w:pPr>
    </w:p>
    <w:p w:rsidR="00654588" w:rsidRDefault="000B3642" w:rsidP="000B3642">
      <w:pPr>
        <w:pStyle w:val="BodyText2"/>
        <w:spacing w:before="120" w:line="300" w:lineRule="exact"/>
        <w:ind w:firstLine="720"/>
        <w:jc w:val="right"/>
        <w:rPr>
          <w:rFonts w:eastAsiaTheme="minorHAnsi"/>
        </w:rPr>
      </w:pPr>
      <w:proofErr w:type="gramStart"/>
      <w:r>
        <w:rPr>
          <w:rFonts w:eastAsiaTheme="minorHAnsi"/>
        </w:rPr>
        <w:lastRenderedPageBreak/>
        <w:t>6.attēls</w:t>
      </w:r>
      <w:proofErr w:type="gramEnd"/>
    </w:p>
    <w:p w:rsidR="00A2740E" w:rsidRPr="009A04C0" w:rsidRDefault="00654588" w:rsidP="009A04C0">
      <w:pPr>
        <w:pStyle w:val="BodyText2"/>
        <w:spacing w:before="120" w:line="300" w:lineRule="exact"/>
        <w:ind w:firstLine="720"/>
        <w:jc w:val="center"/>
        <w:rPr>
          <w:b/>
          <w:bCs/>
        </w:rPr>
      </w:pPr>
      <w:r w:rsidRPr="00BF31D9">
        <w:rPr>
          <w:b/>
          <w:bCs/>
        </w:rPr>
        <w:t xml:space="preserve">Ārstniecības personu </w:t>
      </w:r>
      <w:proofErr w:type="gramStart"/>
      <w:r w:rsidRPr="00BF31D9">
        <w:rPr>
          <w:b/>
          <w:bCs/>
        </w:rPr>
        <w:t xml:space="preserve">vidējā </w:t>
      </w:r>
      <w:r w:rsidR="00FC5F33">
        <w:rPr>
          <w:b/>
          <w:bCs/>
        </w:rPr>
        <w:t xml:space="preserve"> </w:t>
      </w:r>
      <w:r w:rsidRPr="00BF31D9">
        <w:rPr>
          <w:b/>
          <w:bCs/>
        </w:rPr>
        <w:t>darba</w:t>
      </w:r>
      <w:proofErr w:type="gramEnd"/>
      <w:r w:rsidRPr="00BF31D9">
        <w:rPr>
          <w:b/>
          <w:bCs/>
        </w:rPr>
        <w:t xml:space="preserve"> samaksa 2005.-2014.g.  - </w:t>
      </w:r>
      <w:proofErr w:type="gramStart"/>
      <w:r w:rsidRPr="00BF31D9">
        <w:rPr>
          <w:b/>
          <w:bCs/>
        </w:rPr>
        <w:t>plānots</w:t>
      </w:r>
      <w:proofErr w:type="gramEnd"/>
      <w:r w:rsidRPr="00BF31D9">
        <w:rPr>
          <w:b/>
          <w:bCs/>
        </w:rPr>
        <w:t xml:space="preserve"> atbilstoši Cilvēkresursu programmai  un faktiski</w:t>
      </w:r>
    </w:p>
    <w:p w:rsidR="00654588" w:rsidRDefault="00654588" w:rsidP="00654588">
      <w:pPr>
        <w:spacing w:before="120"/>
        <w:jc w:val="both"/>
        <w:rPr>
          <w:rFonts w:ascii="Times New Roman" w:hAnsi="Times New Roman" w:cs="Times New Roman"/>
          <w:sz w:val="24"/>
          <w:szCs w:val="24"/>
          <w:lang w:val="lv-LV"/>
        </w:rPr>
      </w:pPr>
      <w:r w:rsidRPr="00671621">
        <w:rPr>
          <w:rFonts w:ascii="Times New Roman" w:hAnsi="Times New Roman" w:cs="Times New Roman"/>
          <w:noProof/>
          <w:sz w:val="24"/>
          <w:szCs w:val="24"/>
        </w:rPr>
        <w:drawing>
          <wp:inline distT="0" distB="0" distL="0" distR="0">
            <wp:extent cx="6262733" cy="3352800"/>
            <wp:effectExtent l="19050" t="0" r="2376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3642" w:rsidRPr="004D6C02" w:rsidRDefault="00A042E9" w:rsidP="00A042E9">
      <w:pPr>
        <w:pStyle w:val="BodyText2"/>
        <w:spacing w:line="300" w:lineRule="exact"/>
        <w:ind w:firstLine="720"/>
        <w:jc w:val="both"/>
        <w:rPr>
          <w:rFonts w:eastAsiaTheme="minorHAnsi"/>
          <w:i/>
          <w:sz w:val="22"/>
          <w:szCs w:val="22"/>
          <w:lang w:val="lv-LV"/>
        </w:rPr>
      </w:pPr>
      <w:r w:rsidRPr="004D6C02">
        <w:rPr>
          <w:rFonts w:eastAsiaTheme="minorHAnsi"/>
          <w:i/>
          <w:sz w:val="22"/>
          <w:szCs w:val="22"/>
          <w:lang w:val="lv-LV"/>
        </w:rPr>
        <w:t>Avots: Veselības ministrija</w:t>
      </w:r>
    </w:p>
    <w:p w:rsidR="0028089E" w:rsidRDefault="009701B0" w:rsidP="00A64BF4">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Atbilstoši Nacionālā veselības dienesta sniegtajai informācijai Veselības ministrijai saskaņā ar noteikumu Nr.1046 26.pielikumu (nav iekļauti ģimenes ārsti un pašnodarbinātās personas) atalgojums bez VSAOI ārstiem 2011.gadā 697 lati (2012.gadā – 681 lats), ārstniecības un pacientu aprūpes personām 402 lati (2012.gadā – 417 lati) un ārstniecības un pacientu aprūpes atbalsta personām 281 lats (2012.gadā – 283 lati). Pavisam Nacionālajam veselības dienestam ir noslēgti 1460 līgumu par primārās veselības</w:t>
      </w:r>
      <w:r w:rsidR="00A64BF4">
        <w:rPr>
          <w:rFonts w:ascii="Times New Roman" w:hAnsi="Times New Roman" w:cs="Times New Roman"/>
          <w:sz w:val="24"/>
          <w:szCs w:val="24"/>
          <w:lang w:val="lv-LV"/>
        </w:rPr>
        <w:t xml:space="preserve"> </w:t>
      </w:r>
      <w:r>
        <w:rPr>
          <w:rFonts w:ascii="Times New Roman" w:hAnsi="Times New Roman" w:cs="Times New Roman"/>
          <w:sz w:val="24"/>
          <w:szCs w:val="24"/>
          <w:lang w:val="lv-LV"/>
        </w:rPr>
        <w:t>aprūpes pakalpojumu sniegšanu, 420 līgumi par sekundārās ambulatorās veselībasaprūpes pakalpojumu sniegšanu un 311 līgumi par zobārstniecības pakalpoj</w:t>
      </w:r>
      <w:r w:rsidR="00A64BF4">
        <w:rPr>
          <w:rFonts w:ascii="Times New Roman" w:hAnsi="Times New Roman" w:cs="Times New Roman"/>
          <w:sz w:val="24"/>
          <w:szCs w:val="24"/>
          <w:lang w:val="lv-LV"/>
        </w:rPr>
        <w:t>um</w:t>
      </w:r>
      <w:r>
        <w:rPr>
          <w:rFonts w:ascii="Times New Roman" w:hAnsi="Times New Roman" w:cs="Times New Roman"/>
          <w:sz w:val="24"/>
          <w:szCs w:val="24"/>
          <w:lang w:val="lv-LV"/>
        </w:rPr>
        <w:t>iem.</w:t>
      </w:r>
      <w:r w:rsidR="009A04C0">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p>
    <w:p w:rsidR="009A04C0" w:rsidRPr="009A04C0" w:rsidRDefault="009A04C0" w:rsidP="00A64BF4">
      <w:pPr>
        <w:autoSpaceDE w:val="0"/>
        <w:autoSpaceDN w:val="0"/>
        <w:adjustRightInd w:val="0"/>
        <w:spacing w:after="0" w:line="240" w:lineRule="auto"/>
        <w:ind w:firstLine="720"/>
        <w:jc w:val="both"/>
        <w:rPr>
          <w:rFonts w:ascii="Times New Roman" w:hAnsi="Times New Roman" w:cs="Times New Roman"/>
          <w:color w:val="000000"/>
          <w:sz w:val="24"/>
          <w:szCs w:val="24"/>
          <w:lang w:val="lv-LV"/>
        </w:rPr>
      </w:pPr>
      <w:r w:rsidRPr="009A04C0">
        <w:rPr>
          <w:rFonts w:ascii="Times New Roman" w:hAnsi="Times New Roman" w:cs="Times New Roman"/>
          <w:color w:val="000000"/>
          <w:sz w:val="24"/>
          <w:szCs w:val="24"/>
          <w:lang w:val="lv-LV"/>
        </w:rPr>
        <w:t xml:space="preserve">Koncepcijas </w:t>
      </w:r>
      <w:r>
        <w:rPr>
          <w:rFonts w:ascii="Times New Roman" w:hAnsi="Times New Roman" w:cs="Times New Roman"/>
          <w:color w:val="000000"/>
          <w:sz w:val="24"/>
          <w:szCs w:val="24"/>
          <w:lang w:val="lv-LV"/>
        </w:rPr>
        <w:t>projektā „P</w:t>
      </w:r>
      <w:r w:rsidRPr="009A04C0">
        <w:rPr>
          <w:rFonts w:ascii="Times New Roman" w:hAnsi="Times New Roman" w:cs="Times New Roman"/>
          <w:color w:val="000000"/>
          <w:sz w:val="24"/>
          <w:szCs w:val="24"/>
          <w:lang w:val="lv-LV"/>
        </w:rPr>
        <w:t xml:space="preserve">ar veselības aprūpes sistēmas finansēšanas modeli” ir paredzēts, ka </w:t>
      </w:r>
      <w:r>
        <w:rPr>
          <w:rFonts w:ascii="Times New Roman" w:hAnsi="Times New Roman" w:cs="Times New Roman"/>
          <w:color w:val="000000"/>
          <w:sz w:val="24"/>
          <w:szCs w:val="24"/>
          <w:lang w:val="lv-LV"/>
        </w:rPr>
        <w:t xml:space="preserve">ārstniecības personu </w:t>
      </w:r>
      <w:r w:rsidRPr="009A04C0">
        <w:rPr>
          <w:rFonts w:ascii="Times New Roman" w:hAnsi="Times New Roman" w:cs="Times New Roman"/>
          <w:color w:val="000000"/>
          <w:sz w:val="24"/>
          <w:szCs w:val="24"/>
          <w:lang w:val="lv-LV"/>
        </w:rPr>
        <w:t>darba samaksa pieaugs:</w:t>
      </w:r>
    </w:p>
    <w:p w:rsidR="009A04C0" w:rsidRPr="009A04C0" w:rsidRDefault="009A04C0" w:rsidP="00A64BF4">
      <w:pPr>
        <w:autoSpaceDE w:val="0"/>
        <w:autoSpaceDN w:val="0"/>
        <w:adjustRightInd w:val="0"/>
        <w:spacing w:after="0" w:line="240" w:lineRule="auto"/>
        <w:rPr>
          <w:rFonts w:ascii="Times New Roman" w:hAnsi="Times New Roman" w:cs="Times New Roman"/>
          <w:color w:val="000000"/>
          <w:sz w:val="24"/>
          <w:szCs w:val="24"/>
          <w:lang w:val="lv-LV"/>
        </w:rPr>
      </w:pPr>
      <w:r w:rsidRPr="009A04C0">
        <w:rPr>
          <w:rFonts w:ascii="Times New Roman" w:hAnsi="Times New Roman" w:cs="Times New Roman"/>
          <w:color w:val="000000"/>
          <w:sz w:val="24"/>
          <w:szCs w:val="24"/>
          <w:lang w:val="lv-LV"/>
        </w:rPr>
        <w:t>1) 2014.gadā (pret 2013.gadu) par 24%;</w:t>
      </w:r>
    </w:p>
    <w:p w:rsidR="009A04C0" w:rsidRPr="009A04C0" w:rsidRDefault="009A04C0" w:rsidP="00A64BF4">
      <w:pPr>
        <w:autoSpaceDE w:val="0"/>
        <w:autoSpaceDN w:val="0"/>
        <w:adjustRightInd w:val="0"/>
        <w:spacing w:after="0" w:line="240" w:lineRule="auto"/>
        <w:rPr>
          <w:rFonts w:ascii="Times New Roman" w:hAnsi="Times New Roman" w:cs="Times New Roman"/>
          <w:color w:val="000000"/>
          <w:sz w:val="24"/>
          <w:szCs w:val="24"/>
          <w:lang w:val="lv-LV"/>
        </w:rPr>
      </w:pPr>
      <w:r w:rsidRPr="009A04C0">
        <w:rPr>
          <w:rFonts w:ascii="Times New Roman" w:hAnsi="Times New Roman" w:cs="Times New Roman"/>
          <w:color w:val="000000"/>
          <w:sz w:val="24"/>
          <w:szCs w:val="24"/>
          <w:lang w:val="lv-LV"/>
        </w:rPr>
        <w:t>2) 2015.gadā (pret 2014.gadu) par 16%;</w:t>
      </w:r>
    </w:p>
    <w:p w:rsidR="009A04C0" w:rsidRPr="009A04C0" w:rsidRDefault="009A04C0" w:rsidP="00A64BF4">
      <w:pPr>
        <w:autoSpaceDE w:val="0"/>
        <w:autoSpaceDN w:val="0"/>
        <w:adjustRightInd w:val="0"/>
        <w:spacing w:after="0" w:line="240" w:lineRule="auto"/>
        <w:rPr>
          <w:rFonts w:ascii="Times New Roman" w:hAnsi="Times New Roman" w:cs="Times New Roman"/>
          <w:color w:val="000000"/>
          <w:sz w:val="24"/>
          <w:szCs w:val="24"/>
          <w:lang w:val="lv-LV"/>
        </w:rPr>
      </w:pPr>
      <w:r w:rsidRPr="009A04C0">
        <w:rPr>
          <w:rFonts w:ascii="Times New Roman" w:hAnsi="Times New Roman" w:cs="Times New Roman"/>
          <w:color w:val="000000"/>
          <w:sz w:val="24"/>
          <w:szCs w:val="24"/>
          <w:lang w:val="lv-LV"/>
        </w:rPr>
        <w:t>3) 2016.gadā (pret 2015.gadu) par 15%.</w:t>
      </w:r>
    </w:p>
    <w:p w:rsidR="009A04C0" w:rsidRPr="009A04C0" w:rsidRDefault="009A04C0" w:rsidP="00A64BF4">
      <w:pPr>
        <w:autoSpaceDE w:val="0"/>
        <w:autoSpaceDN w:val="0"/>
        <w:adjustRightInd w:val="0"/>
        <w:spacing w:after="0" w:line="240" w:lineRule="auto"/>
        <w:ind w:firstLine="720"/>
        <w:jc w:val="both"/>
        <w:rPr>
          <w:rFonts w:ascii="Times New Roman" w:hAnsi="Times New Roman" w:cs="Times New Roman"/>
          <w:color w:val="000000"/>
          <w:sz w:val="24"/>
          <w:szCs w:val="24"/>
          <w:lang w:val="lv-LV"/>
        </w:rPr>
      </w:pPr>
      <w:r w:rsidRPr="009A04C0">
        <w:rPr>
          <w:rFonts w:ascii="Times New Roman" w:hAnsi="Times New Roman" w:cs="Times New Roman"/>
          <w:color w:val="000000"/>
          <w:sz w:val="24"/>
          <w:szCs w:val="24"/>
          <w:lang w:val="lv-LV"/>
        </w:rPr>
        <w:t>Koncepcijas ietvaros nav paredzēts, ka darba samaksas izmaiņas būs jau 2013.gadā līdz ar to, ja darba samaksu palielina jau 2013.gadā un pēc tam vēl par 10% 2014.gadā un 2015.gadā, tad darba samaksas pieaugums līdz 2016.gadam ir lēzenāks</w:t>
      </w:r>
      <w:r w:rsidR="00A64BF4">
        <w:rPr>
          <w:rFonts w:ascii="Times New Roman" w:hAnsi="Times New Roman" w:cs="Times New Roman"/>
          <w:color w:val="000000"/>
          <w:sz w:val="24"/>
          <w:szCs w:val="24"/>
          <w:lang w:val="lv-LV"/>
        </w:rPr>
        <w:t>, pieaug pakāpeniski</w:t>
      </w:r>
      <w:r w:rsidRPr="009A04C0">
        <w:rPr>
          <w:rFonts w:ascii="Times New Roman" w:hAnsi="Times New Roman" w:cs="Times New Roman"/>
          <w:color w:val="000000"/>
          <w:sz w:val="24"/>
          <w:szCs w:val="24"/>
          <w:lang w:val="lv-LV"/>
        </w:rPr>
        <w:t xml:space="preserve"> un kopējā starpība sanāk aptuveni 10% (pret 2013.gadu).</w:t>
      </w:r>
    </w:p>
    <w:p w:rsidR="00FF6C50" w:rsidRDefault="00654588" w:rsidP="004F6498">
      <w:pPr>
        <w:spacing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Veselības ministrija</w:t>
      </w:r>
      <w:r w:rsidR="00480A13">
        <w:rPr>
          <w:rFonts w:ascii="Times New Roman" w:hAnsi="Times New Roman" w:cs="Times New Roman"/>
          <w:sz w:val="24"/>
          <w:szCs w:val="24"/>
          <w:lang w:val="lv-LV"/>
        </w:rPr>
        <w:t>ir iekļāvusi ziņojumā</w:t>
      </w:r>
      <w:r>
        <w:rPr>
          <w:rFonts w:ascii="Times New Roman" w:hAnsi="Times New Roman" w:cs="Times New Roman"/>
          <w:sz w:val="24"/>
          <w:szCs w:val="24"/>
          <w:lang w:val="lv-LV"/>
        </w:rPr>
        <w:t xml:space="preserve"> ārstniecības personu darba samaksas paaugstinājumu no 2013.gada 2.pusgada par 17 % pret šobrīd noteikumos Nr.1046 noteikto (skat. </w:t>
      </w:r>
      <w:r w:rsidR="00783301">
        <w:rPr>
          <w:rFonts w:ascii="Times New Roman" w:hAnsi="Times New Roman" w:cs="Times New Roman"/>
          <w:sz w:val="24"/>
          <w:szCs w:val="24"/>
          <w:lang w:val="lv-LV"/>
        </w:rPr>
        <w:t>20</w:t>
      </w:r>
      <w:r w:rsidR="00480A13">
        <w:rPr>
          <w:rFonts w:ascii="Times New Roman" w:hAnsi="Times New Roman" w:cs="Times New Roman"/>
          <w:sz w:val="24"/>
          <w:szCs w:val="24"/>
          <w:lang w:val="lv-LV"/>
        </w:rPr>
        <w:t>.tab.).</w:t>
      </w:r>
    </w:p>
    <w:p w:rsidR="004F6498" w:rsidRDefault="004F6498" w:rsidP="004F6498">
      <w:pPr>
        <w:spacing w:line="240" w:lineRule="auto"/>
        <w:ind w:firstLine="720"/>
        <w:jc w:val="both"/>
        <w:rPr>
          <w:rFonts w:ascii="Times New Roman" w:hAnsi="Times New Roman" w:cs="Times New Roman"/>
          <w:sz w:val="24"/>
          <w:szCs w:val="24"/>
          <w:lang w:val="lv-LV"/>
        </w:rPr>
      </w:pPr>
    </w:p>
    <w:p w:rsidR="004F6498" w:rsidRDefault="004F6498" w:rsidP="004F6498">
      <w:pPr>
        <w:spacing w:line="240" w:lineRule="auto"/>
        <w:ind w:firstLine="720"/>
        <w:jc w:val="both"/>
        <w:rPr>
          <w:rFonts w:ascii="Times New Roman" w:hAnsi="Times New Roman" w:cs="Times New Roman"/>
          <w:sz w:val="24"/>
          <w:szCs w:val="24"/>
          <w:lang w:val="lv-LV"/>
        </w:rPr>
      </w:pPr>
    </w:p>
    <w:p w:rsidR="00654588" w:rsidRPr="008855C9" w:rsidRDefault="00783301" w:rsidP="00654588">
      <w:pPr>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20</w:t>
      </w:r>
      <w:r w:rsidR="00654588" w:rsidRPr="008855C9">
        <w:rPr>
          <w:rFonts w:ascii="Times New Roman" w:hAnsi="Times New Roman" w:cs="Times New Roman"/>
          <w:sz w:val="24"/>
          <w:szCs w:val="24"/>
          <w:lang w:val="lv-LV"/>
        </w:rPr>
        <w:t>.tabula</w:t>
      </w:r>
    </w:p>
    <w:p w:rsidR="00654588" w:rsidRPr="008855C9" w:rsidRDefault="00654588" w:rsidP="00654588">
      <w:pPr>
        <w:jc w:val="center"/>
        <w:rPr>
          <w:rFonts w:ascii="Times New Roman" w:hAnsi="Times New Roman" w:cs="Times New Roman"/>
          <w:b/>
          <w:sz w:val="24"/>
          <w:szCs w:val="24"/>
          <w:lang w:val="lv-LV"/>
        </w:rPr>
      </w:pPr>
      <w:r>
        <w:rPr>
          <w:rFonts w:ascii="Times New Roman" w:hAnsi="Times New Roman" w:cs="Times New Roman"/>
          <w:b/>
          <w:sz w:val="24"/>
          <w:szCs w:val="24"/>
          <w:lang w:val="lv-LV"/>
        </w:rPr>
        <w:t>Priekšlikums ārstniecības personu darba</w:t>
      </w:r>
      <w:r w:rsidRPr="008855C9">
        <w:rPr>
          <w:rFonts w:ascii="Times New Roman" w:hAnsi="Times New Roman" w:cs="Times New Roman"/>
          <w:b/>
          <w:sz w:val="24"/>
          <w:szCs w:val="24"/>
          <w:lang w:val="lv-LV"/>
        </w:rPr>
        <w:t xml:space="preserve"> samaksas palielinājums par 17%</w:t>
      </w:r>
      <w:r w:rsidR="00A042E9">
        <w:rPr>
          <w:rFonts w:ascii="Times New Roman" w:hAnsi="Times New Roman" w:cs="Times New Roman"/>
          <w:b/>
          <w:sz w:val="24"/>
          <w:szCs w:val="24"/>
          <w:lang w:val="lv-LV"/>
        </w:rPr>
        <w:t xml:space="preserve"> ar 2013.gada 1.jūliju</w:t>
      </w:r>
    </w:p>
    <w:tbl>
      <w:tblPr>
        <w:tblW w:w="9725" w:type="dxa"/>
        <w:jc w:val="center"/>
        <w:tblInd w:w="93" w:type="dxa"/>
        <w:tblLook w:val="04A0"/>
      </w:tblPr>
      <w:tblGrid>
        <w:gridCol w:w="3344"/>
        <w:gridCol w:w="1758"/>
        <w:gridCol w:w="2383"/>
        <w:gridCol w:w="2240"/>
      </w:tblGrid>
      <w:tr w:rsidR="00654588" w:rsidRPr="008855C9" w:rsidTr="00654588">
        <w:trPr>
          <w:trHeight w:val="1595"/>
          <w:jc w:val="center"/>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588" w:rsidRPr="00D17220" w:rsidRDefault="00654588" w:rsidP="00654588">
            <w:pPr>
              <w:jc w:val="center"/>
              <w:rPr>
                <w:rFonts w:ascii="Times New Roman" w:hAnsi="Times New Roman" w:cs="Times New Roman"/>
                <w:color w:val="000000"/>
                <w:sz w:val="20"/>
                <w:szCs w:val="20"/>
                <w:lang w:val="lv-LV"/>
              </w:rPr>
            </w:pPr>
            <w:r w:rsidRPr="00D17220">
              <w:rPr>
                <w:rFonts w:ascii="Times New Roman" w:hAnsi="Times New Roman" w:cs="Times New Roman"/>
                <w:color w:val="000000"/>
                <w:sz w:val="20"/>
                <w:szCs w:val="20"/>
                <w:lang w:val="lv-LV"/>
              </w:rPr>
              <w:t>Ārstniecības personas</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654588" w:rsidRPr="00D17220" w:rsidRDefault="00654588" w:rsidP="00654588">
            <w:pPr>
              <w:jc w:val="center"/>
              <w:rPr>
                <w:rFonts w:ascii="Times New Roman" w:hAnsi="Times New Roman" w:cs="Times New Roman"/>
                <w:color w:val="000000"/>
                <w:sz w:val="20"/>
                <w:szCs w:val="20"/>
                <w:lang w:val="lv-LV"/>
              </w:rPr>
            </w:pPr>
            <w:r w:rsidRPr="00D17220">
              <w:rPr>
                <w:rFonts w:ascii="Times New Roman" w:hAnsi="Times New Roman" w:cs="Times New Roman"/>
                <w:color w:val="000000"/>
                <w:sz w:val="20"/>
                <w:szCs w:val="20"/>
                <w:lang w:val="lv-LV"/>
              </w:rPr>
              <w:t>Noteiktā vidējā darba samaksa Noteikumos Nr. 1046, Ls</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654588" w:rsidRPr="00D17220" w:rsidRDefault="00654588" w:rsidP="00654588">
            <w:pPr>
              <w:jc w:val="center"/>
              <w:rPr>
                <w:rFonts w:ascii="Times New Roman" w:hAnsi="Times New Roman" w:cs="Times New Roman"/>
                <w:color w:val="000000"/>
                <w:sz w:val="20"/>
                <w:szCs w:val="20"/>
                <w:lang w:val="lv-LV"/>
              </w:rPr>
            </w:pPr>
            <w:r w:rsidRPr="00D17220">
              <w:rPr>
                <w:rFonts w:ascii="Times New Roman" w:hAnsi="Times New Roman" w:cs="Times New Roman"/>
                <w:color w:val="000000"/>
                <w:sz w:val="20"/>
                <w:szCs w:val="20"/>
                <w:lang w:val="lv-LV"/>
              </w:rPr>
              <w:t>Noteiktā vidējā darba samaksa Noteikumos Nr. 1046 ar 17% palielinājumu, Ls</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654588" w:rsidRPr="00D17220" w:rsidRDefault="00654588" w:rsidP="00654588">
            <w:pPr>
              <w:jc w:val="center"/>
              <w:rPr>
                <w:rFonts w:ascii="Times New Roman" w:hAnsi="Times New Roman" w:cs="Times New Roman"/>
                <w:color w:val="000000"/>
                <w:sz w:val="20"/>
                <w:szCs w:val="20"/>
                <w:lang w:val="lv-LV"/>
              </w:rPr>
            </w:pPr>
            <w:r w:rsidRPr="00D17220">
              <w:rPr>
                <w:rFonts w:ascii="Times New Roman" w:hAnsi="Times New Roman" w:cs="Times New Roman"/>
                <w:color w:val="000000"/>
                <w:sz w:val="20"/>
                <w:szCs w:val="20"/>
                <w:lang w:val="lv-LV"/>
              </w:rPr>
              <w:t>Darba samaksas pieaugums pret Noteikumos Nr. 1046 noteikto darba samaksu %</w:t>
            </w:r>
          </w:p>
        </w:tc>
      </w:tr>
      <w:tr w:rsidR="00654588" w:rsidRPr="008855C9" w:rsidTr="000B3642">
        <w:trPr>
          <w:trHeight w:val="315"/>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654588" w:rsidRPr="008C49EC" w:rsidRDefault="00654588" w:rsidP="00654588">
            <w:pPr>
              <w:rPr>
                <w:rFonts w:ascii="Times New Roman" w:hAnsi="Times New Roman" w:cs="Times New Roman"/>
                <w:color w:val="000000"/>
                <w:sz w:val="20"/>
                <w:szCs w:val="20"/>
                <w:lang w:val="lv-LV"/>
              </w:rPr>
            </w:pPr>
            <w:r w:rsidRPr="008C49EC">
              <w:rPr>
                <w:rFonts w:ascii="Times New Roman" w:hAnsi="Times New Roman" w:cs="Times New Roman"/>
                <w:color w:val="000000"/>
                <w:sz w:val="20"/>
                <w:szCs w:val="20"/>
                <w:lang w:val="lv-LV"/>
              </w:rPr>
              <w:t>Ārsti</w:t>
            </w:r>
          </w:p>
        </w:tc>
        <w:tc>
          <w:tcPr>
            <w:tcW w:w="1758" w:type="dxa"/>
            <w:tcBorders>
              <w:top w:val="nil"/>
              <w:left w:val="nil"/>
              <w:bottom w:val="single" w:sz="4" w:space="0" w:color="auto"/>
              <w:right w:val="single" w:sz="4" w:space="0" w:color="auto"/>
            </w:tcBorders>
            <w:shd w:val="clear" w:color="auto" w:fill="auto"/>
            <w:noWrap/>
            <w:vAlign w:val="center"/>
            <w:hideMark/>
          </w:tcPr>
          <w:p w:rsidR="00654588" w:rsidRPr="008C49EC" w:rsidRDefault="00654588" w:rsidP="000B3642">
            <w:pPr>
              <w:jc w:val="center"/>
              <w:rPr>
                <w:rFonts w:ascii="Times New Roman" w:hAnsi="Times New Roman" w:cs="Times New Roman"/>
                <w:color w:val="000000"/>
                <w:sz w:val="20"/>
                <w:szCs w:val="20"/>
                <w:lang w:val="lv-LV"/>
              </w:rPr>
            </w:pPr>
            <w:r w:rsidRPr="008C49EC">
              <w:rPr>
                <w:rFonts w:ascii="Times New Roman" w:hAnsi="Times New Roman" w:cs="Times New Roman"/>
                <w:color w:val="000000"/>
                <w:sz w:val="20"/>
                <w:szCs w:val="20"/>
                <w:lang w:val="lv-LV"/>
              </w:rPr>
              <w:t>524.00</w:t>
            </w:r>
          </w:p>
        </w:tc>
        <w:tc>
          <w:tcPr>
            <w:tcW w:w="2383" w:type="dxa"/>
            <w:tcBorders>
              <w:top w:val="nil"/>
              <w:left w:val="nil"/>
              <w:bottom w:val="single" w:sz="4" w:space="0" w:color="auto"/>
              <w:right w:val="single" w:sz="4" w:space="0" w:color="auto"/>
            </w:tcBorders>
            <w:shd w:val="clear" w:color="auto" w:fill="auto"/>
            <w:noWrap/>
            <w:vAlign w:val="center"/>
            <w:hideMark/>
          </w:tcPr>
          <w:p w:rsidR="00654588" w:rsidRPr="008C49EC" w:rsidRDefault="00654588" w:rsidP="000B3642">
            <w:pPr>
              <w:jc w:val="center"/>
              <w:rPr>
                <w:rFonts w:ascii="Times New Roman" w:hAnsi="Times New Roman" w:cs="Times New Roman"/>
                <w:color w:val="000000"/>
                <w:sz w:val="20"/>
                <w:szCs w:val="20"/>
                <w:lang w:val="lv-LV"/>
              </w:rPr>
            </w:pPr>
            <w:r w:rsidRPr="008C49EC">
              <w:rPr>
                <w:rFonts w:ascii="Times New Roman" w:hAnsi="Times New Roman" w:cs="Times New Roman"/>
                <w:color w:val="000000"/>
                <w:sz w:val="20"/>
                <w:szCs w:val="20"/>
                <w:lang w:val="lv-LV"/>
              </w:rPr>
              <w:t>613.00</w:t>
            </w:r>
          </w:p>
        </w:tc>
        <w:tc>
          <w:tcPr>
            <w:tcW w:w="2240" w:type="dxa"/>
            <w:tcBorders>
              <w:top w:val="nil"/>
              <w:left w:val="nil"/>
              <w:bottom w:val="single" w:sz="4" w:space="0" w:color="auto"/>
              <w:right w:val="single" w:sz="4" w:space="0" w:color="auto"/>
            </w:tcBorders>
            <w:shd w:val="clear" w:color="auto" w:fill="auto"/>
            <w:noWrap/>
            <w:vAlign w:val="center"/>
            <w:hideMark/>
          </w:tcPr>
          <w:p w:rsidR="00654588" w:rsidRPr="008C49EC" w:rsidRDefault="00654588" w:rsidP="000B3642">
            <w:pPr>
              <w:jc w:val="center"/>
              <w:rPr>
                <w:rFonts w:ascii="Times New Roman" w:hAnsi="Times New Roman" w:cs="Times New Roman"/>
                <w:color w:val="000000"/>
                <w:sz w:val="20"/>
                <w:szCs w:val="20"/>
                <w:lang w:val="lv-LV"/>
              </w:rPr>
            </w:pPr>
            <w:r w:rsidRPr="008C49EC">
              <w:rPr>
                <w:rFonts w:ascii="Times New Roman" w:hAnsi="Times New Roman" w:cs="Times New Roman"/>
                <w:color w:val="000000"/>
                <w:sz w:val="20"/>
                <w:szCs w:val="20"/>
                <w:lang w:val="lv-LV"/>
              </w:rPr>
              <w:t>17%</w:t>
            </w:r>
          </w:p>
        </w:tc>
      </w:tr>
      <w:tr w:rsidR="00654588" w:rsidRPr="008855C9" w:rsidTr="000B3642">
        <w:trPr>
          <w:trHeight w:val="630"/>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654588" w:rsidRPr="008C49EC" w:rsidRDefault="00654588" w:rsidP="00654588">
            <w:pPr>
              <w:rPr>
                <w:rFonts w:ascii="Times New Roman" w:hAnsi="Times New Roman" w:cs="Times New Roman"/>
                <w:color w:val="000000"/>
                <w:sz w:val="20"/>
                <w:szCs w:val="20"/>
                <w:lang w:val="lv-LV"/>
              </w:rPr>
            </w:pPr>
            <w:r w:rsidRPr="008C49EC">
              <w:rPr>
                <w:rFonts w:ascii="Times New Roman" w:hAnsi="Times New Roman" w:cs="Times New Roman"/>
                <w:color w:val="000000"/>
                <w:sz w:val="20"/>
                <w:szCs w:val="20"/>
                <w:lang w:val="lv-LV"/>
              </w:rPr>
              <w:t>Ārstniecības un pacientu aprūpes personas</w:t>
            </w:r>
          </w:p>
        </w:tc>
        <w:tc>
          <w:tcPr>
            <w:tcW w:w="1758" w:type="dxa"/>
            <w:tcBorders>
              <w:top w:val="nil"/>
              <w:left w:val="nil"/>
              <w:bottom w:val="single" w:sz="4" w:space="0" w:color="auto"/>
              <w:right w:val="single" w:sz="4" w:space="0" w:color="auto"/>
            </w:tcBorders>
            <w:shd w:val="clear" w:color="auto" w:fill="auto"/>
            <w:noWrap/>
            <w:vAlign w:val="center"/>
            <w:hideMark/>
          </w:tcPr>
          <w:p w:rsidR="00654588" w:rsidRPr="008C49EC" w:rsidRDefault="00654588" w:rsidP="000B3642">
            <w:pPr>
              <w:jc w:val="center"/>
              <w:rPr>
                <w:rFonts w:ascii="Times New Roman" w:hAnsi="Times New Roman" w:cs="Times New Roman"/>
                <w:color w:val="000000"/>
                <w:sz w:val="20"/>
                <w:szCs w:val="20"/>
                <w:lang w:val="lv-LV"/>
              </w:rPr>
            </w:pPr>
            <w:r w:rsidRPr="008C49EC">
              <w:rPr>
                <w:rFonts w:ascii="Times New Roman" w:hAnsi="Times New Roman" w:cs="Times New Roman"/>
                <w:color w:val="000000"/>
                <w:sz w:val="20"/>
                <w:szCs w:val="20"/>
                <w:lang w:val="lv-LV"/>
              </w:rPr>
              <w:t>314.00</w:t>
            </w:r>
          </w:p>
        </w:tc>
        <w:tc>
          <w:tcPr>
            <w:tcW w:w="2383" w:type="dxa"/>
            <w:tcBorders>
              <w:top w:val="nil"/>
              <w:left w:val="nil"/>
              <w:bottom w:val="single" w:sz="4" w:space="0" w:color="auto"/>
              <w:right w:val="single" w:sz="4" w:space="0" w:color="auto"/>
            </w:tcBorders>
            <w:shd w:val="clear" w:color="auto" w:fill="auto"/>
            <w:noWrap/>
            <w:vAlign w:val="center"/>
            <w:hideMark/>
          </w:tcPr>
          <w:p w:rsidR="00654588" w:rsidRPr="008C49EC" w:rsidRDefault="00654588" w:rsidP="000B3642">
            <w:pPr>
              <w:jc w:val="center"/>
              <w:rPr>
                <w:rFonts w:ascii="Times New Roman" w:hAnsi="Times New Roman" w:cs="Times New Roman"/>
                <w:color w:val="000000"/>
                <w:sz w:val="20"/>
                <w:szCs w:val="20"/>
                <w:lang w:val="lv-LV"/>
              </w:rPr>
            </w:pPr>
            <w:r w:rsidRPr="008C49EC">
              <w:rPr>
                <w:rFonts w:ascii="Times New Roman" w:hAnsi="Times New Roman" w:cs="Times New Roman"/>
                <w:color w:val="000000"/>
                <w:sz w:val="20"/>
                <w:szCs w:val="20"/>
                <w:lang w:val="lv-LV"/>
              </w:rPr>
              <w:t>367.00</w:t>
            </w:r>
          </w:p>
        </w:tc>
        <w:tc>
          <w:tcPr>
            <w:tcW w:w="2240" w:type="dxa"/>
            <w:tcBorders>
              <w:top w:val="nil"/>
              <w:left w:val="nil"/>
              <w:bottom w:val="single" w:sz="4" w:space="0" w:color="auto"/>
              <w:right w:val="single" w:sz="4" w:space="0" w:color="auto"/>
            </w:tcBorders>
            <w:shd w:val="clear" w:color="auto" w:fill="auto"/>
            <w:noWrap/>
            <w:vAlign w:val="center"/>
            <w:hideMark/>
          </w:tcPr>
          <w:p w:rsidR="00654588" w:rsidRPr="008C49EC" w:rsidRDefault="00654588" w:rsidP="000B3642">
            <w:pPr>
              <w:jc w:val="center"/>
              <w:rPr>
                <w:rFonts w:ascii="Times New Roman" w:hAnsi="Times New Roman" w:cs="Times New Roman"/>
                <w:color w:val="000000"/>
                <w:sz w:val="20"/>
                <w:szCs w:val="20"/>
                <w:lang w:val="lv-LV"/>
              </w:rPr>
            </w:pPr>
            <w:r w:rsidRPr="008C49EC">
              <w:rPr>
                <w:rFonts w:ascii="Times New Roman" w:hAnsi="Times New Roman" w:cs="Times New Roman"/>
                <w:color w:val="000000"/>
                <w:sz w:val="20"/>
                <w:szCs w:val="20"/>
                <w:lang w:val="lv-LV"/>
              </w:rPr>
              <w:t>17%</w:t>
            </w:r>
          </w:p>
        </w:tc>
      </w:tr>
      <w:tr w:rsidR="00654588" w:rsidRPr="008855C9" w:rsidTr="000B3642">
        <w:trPr>
          <w:trHeight w:val="630"/>
          <w:jc w:val="center"/>
        </w:trPr>
        <w:tc>
          <w:tcPr>
            <w:tcW w:w="3344" w:type="dxa"/>
            <w:tcBorders>
              <w:top w:val="nil"/>
              <w:left w:val="single" w:sz="4" w:space="0" w:color="auto"/>
              <w:bottom w:val="single" w:sz="4" w:space="0" w:color="auto"/>
              <w:right w:val="single" w:sz="4" w:space="0" w:color="auto"/>
            </w:tcBorders>
            <w:shd w:val="clear" w:color="auto" w:fill="auto"/>
            <w:vAlign w:val="center"/>
            <w:hideMark/>
          </w:tcPr>
          <w:p w:rsidR="00654588" w:rsidRPr="008C49EC" w:rsidRDefault="00654588" w:rsidP="00654588">
            <w:pPr>
              <w:rPr>
                <w:rFonts w:ascii="Times New Roman" w:hAnsi="Times New Roman" w:cs="Times New Roman"/>
                <w:color w:val="000000"/>
                <w:sz w:val="20"/>
                <w:szCs w:val="20"/>
                <w:lang w:val="lv-LV"/>
              </w:rPr>
            </w:pPr>
            <w:r w:rsidRPr="008C49EC">
              <w:rPr>
                <w:rFonts w:ascii="Times New Roman" w:hAnsi="Times New Roman" w:cs="Times New Roman"/>
                <w:color w:val="000000"/>
                <w:sz w:val="20"/>
                <w:szCs w:val="20"/>
                <w:lang w:val="lv-LV"/>
              </w:rPr>
              <w:t>Ārstniecības un pacientu aprūpes atbalsta personas</w:t>
            </w:r>
          </w:p>
        </w:tc>
        <w:tc>
          <w:tcPr>
            <w:tcW w:w="1758" w:type="dxa"/>
            <w:tcBorders>
              <w:top w:val="nil"/>
              <w:left w:val="nil"/>
              <w:bottom w:val="single" w:sz="4" w:space="0" w:color="auto"/>
              <w:right w:val="single" w:sz="4" w:space="0" w:color="auto"/>
            </w:tcBorders>
            <w:shd w:val="clear" w:color="auto" w:fill="auto"/>
            <w:noWrap/>
            <w:vAlign w:val="center"/>
            <w:hideMark/>
          </w:tcPr>
          <w:p w:rsidR="00654588" w:rsidRPr="008C49EC" w:rsidRDefault="00654588" w:rsidP="000B3642">
            <w:pPr>
              <w:jc w:val="center"/>
              <w:rPr>
                <w:rFonts w:ascii="Times New Roman" w:hAnsi="Times New Roman" w:cs="Times New Roman"/>
                <w:color w:val="000000"/>
                <w:sz w:val="20"/>
                <w:szCs w:val="20"/>
                <w:lang w:val="lv-LV"/>
              </w:rPr>
            </w:pPr>
            <w:r w:rsidRPr="008C49EC">
              <w:rPr>
                <w:rFonts w:ascii="Times New Roman" w:hAnsi="Times New Roman" w:cs="Times New Roman"/>
                <w:color w:val="000000"/>
                <w:sz w:val="20"/>
                <w:szCs w:val="20"/>
                <w:lang w:val="lv-LV"/>
              </w:rPr>
              <w:t>210.00</w:t>
            </w:r>
          </w:p>
        </w:tc>
        <w:tc>
          <w:tcPr>
            <w:tcW w:w="2383" w:type="dxa"/>
            <w:tcBorders>
              <w:top w:val="nil"/>
              <w:left w:val="nil"/>
              <w:bottom w:val="single" w:sz="4" w:space="0" w:color="auto"/>
              <w:right w:val="single" w:sz="4" w:space="0" w:color="auto"/>
            </w:tcBorders>
            <w:shd w:val="clear" w:color="auto" w:fill="auto"/>
            <w:noWrap/>
            <w:vAlign w:val="center"/>
            <w:hideMark/>
          </w:tcPr>
          <w:p w:rsidR="00654588" w:rsidRPr="008C49EC" w:rsidRDefault="00654588" w:rsidP="000B3642">
            <w:pPr>
              <w:jc w:val="center"/>
              <w:rPr>
                <w:rFonts w:ascii="Times New Roman" w:hAnsi="Times New Roman" w:cs="Times New Roman"/>
                <w:color w:val="000000"/>
                <w:sz w:val="20"/>
                <w:szCs w:val="20"/>
                <w:lang w:val="lv-LV"/>
              </w:rPr>
            </w:pPr>
            <w:r w:rsidRPr="008C49EC">
              <w:rPr>
                <w:rFonts w:ascii="Times New Roman" w:hAnsi="Times New Roman" w:cs="Times New Roman"/>
                <w:color w:val="000000"/>
                <w:sz w:val="20"/>
                <w:szCs w:val="20"/>
                <w:lang w:val="lv-LV"/>
              </w:rPr>
              <w:t>246.00</w:t>
            </w:r>
          </w:p>
        </w:tc>
        <w:tc>
          <w:tcPr>
            <w:tcW w:w="2240" w:type="dxa"/>
            <w:tcBorders>
              <w:top w:val="nil"/>
              <w:left w:val="nil"/>
              <w:bottom w:val="single" w:sz="4" w:space="0" w:color="auto"/>
              <w:right w:val="single" w:sz="4" w:space="0" w:color="auto"/>
            </w:tcBorders>
            <w:shd w:val="clear" w:color="auto" w:fill="auto"/>
            <w:noWrap/>
            <w:vAlign w:val="center"/>
            <w:hideMark/>
          </w:tcPr>
          <w:p w:rsidR="00654588" w:rsidRPr="008C49EC" w:rsidRDefault="00654588" w:rsidP="000B3642">
            <w:pPr>
              <w:jc w:val="center"/>
              <w:rPr>
                <w:rFonts w:ascii="Times New Roman" w:hAnsi="Times New Roman" w:cs="Times New Roman"/>
                <w:color w:val="000000"/>
                <w:sz w:val="20"/>
                <w:szCs w:val="20"/>
                <w:lang w:val="lv-LV"/>
              </w:rPr>
            </w:pPr>
            <w:r w:rsidRPr="008C49EC">
              <w:rPr>
                <w:rFonts w:ascii="Times New Roman" w:hAnsi="Times New Roman" w:cs="Times New Roman"/>
                <w:color w:val="000000"/>
                <w:sz w:val="20"/>
                <w:szCs w:val="20"/>
                <w:lang w:val="lv-LV"/>
              </w:rPr>
              <w:t>17%</w:t>
            </w:r>
          </w:p>
        </w:tc>
      </w:tr>
    </w:tbl>
    <w:p w:rsidR="00A042E9" w:rsidRPr="00A042E9" w:rsidRDefault="00A042E9" w:rsidP="00A042E9">
      <w:pPr>
        <w:pStyle w:val="BodyText2"/>
        <w:spacing w:line="300" w:lineRule="exact"/>
        <w:ind w:firstLine="720"/>
        <w:jc w:val="both"/>
        <w:rPr>
          <w:rFonts w:eastAsiaTheme="minorHAnsi"/>
          <w:i/>
          <w:sz w:val="22"/>
          <w:szCs w:val="22"/>
        </w:rPr>
      </w:pPr>
      <w:r w:rsidRPr="00A042E9">
        <w:rPr>
          <w:rFonts w:eastAsiaTheme="minorHAnsi"/>
          <w:i/>
          <w:sz w:val="22"/>
          <w:szCs w:val="22"/>
        </w:rPr>
        <w:t>Avots: Veselības ministri</w:t>
      </w:r>
      <w:r>
        <w:rPr>
          <w:rFonts w:eastAsiaTheme="minorHAnsi"/>
          <w:i/>
          <w:sz w:val="22"/>
          <w:szCs w:val="22"/>
        </w:rPr>
        <w:t>ja</w:t>
      </w:r>
    </w:p>
    <w:p w:rsidR="009C27FD" w:rsidRDefault="009C27FD" w:rsidP="00AC6A69">
      <w:pPr>
        <w:pStyle w:val="tv20787921"/>
        <w:spacing w:after="0" w:line="240" w:lineRule="auto"/>
        <w:ind w:firstLine="720"/>
        <w:jc w:val="both"/>
        <w:rPr>
          <w:rFonts w:ascii="Times New Roman" w:hAnsi="Times New Roman"/>
          <w:b w:val="0"/>
          <w:sz w:val="24"/>
          <w:szCs w:val="24"/>
          <w:lang w:val="lv-LV"/>
        </w:rPr>
      </w:pPr>
    </w:p>
    <w:p w:rsidR="00AC6A69" w:rsidRPr="004D6C02" w:rsidRDefault="00654588" w:rsidP="00AC6A69">
      <w:pPr>
        <w:pStyle w:val="tv20787921"/>
        <w:spacing w:after="0" w:line="240" w:lineRule="auto"/>
        <w:ind w:firstLine="720"/>
        <w:jc w:val="both"/>
        <w:rPr>
          <w:rFonts w:ascii="Times New Roman" w:hAnsi="Times New Roman"/>
          <w:b w:val="0"/>
          <w:bCs w:val="0"/>
          <w:color w:val="000000"/>
          <w:sz w:val="24"/>
          <w:szCs w:val="24"/>
          <w:lang w:val="lv-LV"/>
        </w:rPr>
      </w:pPr>
      <w:r w:rsidRPr="00AC6A69">
        <w:rPr>
          <w:rFonts w:ascii="Times New Roman" w:hAnsi="Times New Roman"/>
          <w:b w:val="0"/>
          <w:sz w:val="24"/>
          <w:szCs w:val="24"/>
          <w:lang w:val="lv-LV"/>
        </w:rPr>
        <w:t>Atbilstoši plānotajam palielinājumam ir veikts veselības aprūpes pakalpojumu tarifu pārrēķins, kur šobrīd spēkā esošo veselības aprūpes pakalpojumu tarifos ir iekļauts iepriekš minētais ārstniecības personu darba samaksas palielinājums. N</w:t>
      </w:r>
      <w:r w:rsidRPr="00AC6A69">
        <w:rPr>
          <w:rFonts w:ascii="Times New Roman" w:hAnsi="Times New Roman"/>
          <w:b w:val="0"/>
          <w:bCs w:val="0"/>
          <w:color w:val="000000"/>
          <w:sz w:val="24"/>
          <w:szCs w:val="24"/>
          <w:lang w:val="lv-LV"/>
        </w:rPr>
        <w:t>epieciešamais finansējums veselības aprūpes pakalpojumu nodrošināšanai</w:t>
      </w:r>
      <w:r w:rsidR="00E64D99" w:rsidRPr="00AC6A69">
        <w:rPr>
          <w:rFonts w:ascii="Times New Roman" w:hAnsi="Times New Roman"/>
          <w:b w:val="0"/>
          <w:bCs w:val="0"/>
          <w:color w:val="000000"/>
          <w:sz w:val="24"/>
          <w:szCs w:val="24"/>
          <w:lang w:val="lv-LV"/>
        </w:rPr>
        <w:t xml:space="preserve"> ar darba samaksas piea</w:t>
      </w:r>
      <w:r w:rsidR="00AC6A69" w:rsidRPr="00AC6A69">
        <w:rPr>
          <w:rFonts w:ascii="Times New Roman" w:hAnsi="Times New Roman"/>
          <w:b w:val="0"/>
          <w:bCs w:val="0"/>
          <w:color w:val="000000"/>
          <w:sz w:val="24"/>
          <w:szCs w:val="24"/>
          <w:lang w:val="lv-LV"/>
        </w:rPr>
        <w:t>u</w:t>
      </w:r>
      <w:r w:rsidR="00E64D99" w:rsidRPr="00AC6A69">
        <w:rPr>
          <w:rFonts w:ascii="Times New Roman" w:hAnsi="Times New Roman"/>
          <w:b w:val="0"/>
          <w:bCs w:val="0"/>
          <w:color w:val="000000"/>
          <w:sz w:val="24"/>
          <w:szCs w:val="24"/>
          <w:lang w:val="lv-LV"/>
        </w:rPr>
        <w:t>gumu 17%</w:t>
      </w:r>
      <w:r w:rsidRPr="00AC6A69">
        <w:rPr>
          <w:rFonts w:ascii="Times New Roman" w:hAnsi="Times New Roman"/>
          <w:b w:val="0"/>
          <w:bCs w:val="0"/>
          <w:color w:val="000000"/>
          <w:sz w:val="24"/>
          <w:szCs w:val="24"/>
          <w:lang w:val="lv-LV"/>
        </w:rPr>
        <w:t xml:space="preserve"> </w:t>
      </w:r>
      <w:r w:rsidRPr="00AC6A69">
        <w:rPr>
          <w:rFonts w:ascii="Times New Roman" w:hAnsi="Times New Roman"/>
          <w:b w:val="0"/>
          <w:bCs w:val="0"/>
          <w:sz w:val="24"/>
          <w:szCs w:val="24"/>
          <w:lang w:val="lv-LV"/>
        </w:rPr>
        <w:t xml:space="preserve">būtu </w:t>
      </w:r>
      <w:r w:rsidRPr="00AC6A69">
        <w:rPr>
          <w:rFonts w:ascii="Times New Roman" w:hAnsi="Times New Roman"/>
          <w:b w:val="0"/>
          <w:sz w:val="24"/>
          <w:szCs w:val="24"/>
          <w:lang w:val="lv-LV"/>
        </w:rPr>
        <w:t xml:space="preserve">333 591 723 </w:t>
      </w:r>
      <w:r w:rsidRPr="00AC6A69">
        <w:rPr>
          <w:rFonts w:ascii="Times New Roman" w:hAnsi="Times New Roman"/>
          <w:b w:val="0"/>
          <w:bCs w:val="0"/>
          <w:sz w:val="24"/>
          <w:szCs w:val="24"/>
          <w:lang w:val="lv-LV"/>
        </w:rPr>
        <w:t xml:space="preserve">lati, tai skaitā 143 155 549 lati darba samaksai un </w:t>
      </w:r>
      <w:r w:rsidRPr="00AC6A69">
        <w:rPr>
          <w:rFonts w:ascii="Times New Roman" w:hAnsi="Times New Roman"/>
          <w:b w:val="0"/>
          <w:sz w:val="24"/>
          <w:szCs w:val="24"/>
          <w:lang w:val="lv-LV"/>
        </w:rPr>
        <w:t xml:space="preserve">valsts sociālās apdrošināšanas obligātās iemaksām, papildus nepieciešamais finansējums izlīdzinātās darba samaksas palielinājumam par 17% </w:t>
      </w:r>
      <w:r w:rsidRPr="00AC6A69">
        <w:rPr>
          <w:rFonts w:ascii="Times New Roman" w:hAnsi="Times New Roman"/>
          <w:b w:val="0"/>
          <w:bCs w:val="0"/>
          <w:sz w:val="24"/>
          <w:szCs w:val="24"/>
          <w:lang w:val="lv-LV"/>
        </w:rPr>
        <w:t xml:space="preserve">20 881 926 lati (detalizētus aprēķinus skatīt </w:t>
      </w:r>
      <w:r w:rsidR="00FC01A3" w:rsidRPr="00AC6A69">
        <w:rPr>
          <w:rFonts w:ascii="Times New Roman" w:hAnsi="Times New Roman"/>
          <w:b w:val="0"/>
          <w:bCs w:val="0"/>
          <w:sz w:val="24"/>
          <w:szCs w:val="24"/>
          <w:lang w:val="lv-LV"/>
        </w:rPr>
        <w:t xml:space="preserve">ziņojuma </w:t>
      </w:r>
      <w:r w:rsidRPr="00AC6A69">
        <w:rPr>
          <w:rFonts w:ascii="Times New Roman" w:hAnsi="Times New Roman"/>
          <w:b w:val="0"/>
          <w:bCs w:val="0"/>
          <w:sz w:val="24"/>
          <w:szCs w:val="24"/>
          <w:lang w:val="lv-LV"/>
        </w:rPr>
        <w:t>pielikumā)</w:t>
      </w:r>
      <w:r w:rsidR="00E64D99" w:rsidRPr="00AC6A69">
        <w:rPr>
          <w:rFonts w:ascii="Times New Roman" w:hAnsi="Times New Roman"/>
          <w:b w:val="0"/>
          <w:bCs w:val="0"/>
          <w:sz w:val="24"/>
          <w:szCs w:val="24"/>
          <w:lang w:val="lv-LV"/>
        </w:rPr>
        <w:t xml:space="preserve">, </w:t>
      </w:r>
      <w:r w:rsidR="00E64D99" w:rsidRPr="00AC6A69">
        <w:rPr>
          <w:rFonts w:ascii="Times New Roman" w:hAnsi="Times New Roman"/>
          <w:b w:val="0"/>
          <w:bCs w:val="0"/>
          <w:sz w:val="24"/>
          <w:szCs w:val="24"/>
          <w:u w:val="single"/>
          <w:lang w:val="lv-LV"/>
        </w:rPr>
        <w:t>2013.gada pusgadā</w:t>
      </w:r>
      <w:r w:rsidR="00E64D99" w:rsidRPr="00AC6A69">
        <w:rPr>
          <w:rFonts w:ascii="Times New Roman" w:hAnsi="Times New Roman"/>
          <w:b w:val="0"/>
          <w:bCs w:val="0"/>
          <w:sz w:val="24"/>
          <w:szCs w:val="24"/>
          <w:lang w:val="lv-LV"/>
        </w:rPr>
        <w:t xml:space="preserve"> 10 440 963 lati</w:t>
      </w:r>
      <w:r w:rsidRPr="00AC6A69">
        <w:rPr>
          <w:rFonts w:ascii="Times New Roman" w:hAnsi="Times New Roman"/>
          <w:b w:val="0"/>
          <w:bCs w:val="0"/>
          <w:sz w:val="24"/>
          <w:szCs w:val="24"/>
          <w:lang w:val="lv-LV"/>
        </w:rPr>
        <w:t>.</w:t>
      </w:r>
      <w:r w:rsidR="00E64D99" w:rsidRPr="00AC6A69">
        <w:rPr>
          <w:rFonts w:ascii="Times New Roman" w:hAnsi="Times New Roman"/>
          <w:b w:val="0"/>
          <w:bCs w:val="0"/>
          <w:sz w:val="24"/>
          <w:szCs w:val="24"/>
          <w:lang w:val="lv-LV"/>
        </w:rPr>
        <w:t xml:space="preserve"> Veselības ministrijas padotības iestādēm </w:t>
      </w:r>
      <w:r w:rsidR="009067AB" w:rsidRPr="00AC6A69">
        <w:rPr>
          <w:rFonts w:ascii="Times New Roman" w:hAnsi="Times New Roman"/>
          <w:b w:val="0"/>
          <w:bCs w:val="0"/>
          <w:sz w:val="24"/>
          <w:szCs w:val="24"/>
          <w:lang w:val="lv-LV"/>
        </w:rPr>
        <w:t>(budžeta iestādēm) ārstniecības personu darba samaksas palielinājumam</w:t>
      </w:r>
      <w:r w:rsidR="00AC6A69" w:rsidRPr="00AC6A69">
        <w:rPr>
          <w:rFonts w:ascii="Times New Roman" w:hAnsi="Times New Roman"/>
          <w:b w:val="0"/>
          <w:bCs w:val="0"/>
          <w:sz w:val="24"/>
          <w:szCs w:val="24"/>
          <w:lang w:val="lv-LV"/>
        </w:rPr>
        <w:t>, ie</w:t>
      </w:r>
      <w:r w:rsidR="00480A13">
        <w:rPr>
          <w:rFonts w:ascii="Times New Roman" w:hAnsi="Times New Roman"/>
          <w:b w:val="0"/>
          <w:bCs w:val="0"/>
          <w:sz w:val="24"/>
          <w:szCs w:val="24"/>
          <w:lang w:val="lv-LV"/>
        </w:rPr>
        <w:t>vērojot Ministru kabineta 2009.</w:t>
      </w:r>
      <w:r w:rsidR="00AC6A69" w:rsidRPr="00AC6A69">
        <w:rPr>
          <w:rFonts w:ascii="Times New Roman" w:hAnsi="Times New Roman"/>
          <w:b w:val="0"/>
          <w:bCs w:val="0"/>
          <w:sz w:val="24"/>
          <w:szCs w:val="24"/>
          <w:lang w:val="lv-LV"/>
        </w:rPr>
        <w:t>gada 22.decembra noteikumu Nr.1651 „</w:t>
      </w:r>
      <w:r w:rsidR="00AC6A69" w:rsidRPr="004D6C02">
        <w:rPr>
          <w:rFonts w:ascii="Times New Roman" w:hAnsi="Times New Roman"/>
          <w:b w:val="0"/>
          <w:sz w:val="24"/>
          <w:szCs w:val="24"/>
          <w:lang w:val="lv-LV"/>
        </w:rPr>
        <w:t xml:space="preserve">Noteikumi par valsts un pašvaldību institūciju amatpersonu un darbinieku darba samaksu, kvalifikācijas pakāpēm un to noteikšanas kārtību”prasībām </w:t>
      </w:r>
      <w:r w:rsidR="009067AB" w:rsidRPr="00AC6A69">
        <w:rPr>
          <w:rFonts w:ascii="Times New Roman" w:hAnsi="Times New Roman"/>
          <w:b w:val="0"/>
          <w:bCs w:val="0"/>
          <w:sz w:val="24"/>
          <w:szCs w:val="24"/>
          <w:lang w:val="lv-LV"/>
        </w:rPr>
        <w:t xml:space="preserve">papildus nepieciešami </w:t>
      </w:r>
      <w:r w:rsidR="00E64D99" w:rsidRPr="00AC6A69">
        <w:rPr>
          <w:rFonts w:ascii="Times New Roman" w:hAnsi="Times New Roman"/>
          <w:b w:val="0"/>
          <w:bCs w:val="0"/>
          <w:sz w:val="24"/>
          <w:szCs w:val="24"/>
          <w:u w:val="single"/>
          <w:lang w:val="lv-LV"/>
        </w:rPr>
        <w:t>2013.gada pusgadā</w:t>
      </w:r>
      <w:r w:rsidR="00E64D99" w:rsidRPr="00AC6A69">
        <w:rPr>
          <w:rFonts w:ascii="Times New Roman" w:hAnsi="Times New Roman"/>
          <w:b w:val="0"/>
          <w:bCs w:val="0"/>
          <w:sz w:val="24"/>
          <w:szCs w:val="24"/>
          <w:lang w:val="lv-LV"/>
        </w:rPr>
        <w:t xml:space="preserve"> </w:t>
      </w:r>
      <w:r w:rsidR="009067AB" w:rsidRPr="00AC6A69">
        <w:rPr>
          <w:rFonts w:ascii="Times New Roman" w:hAnsi="Times New Roman"/>
          <w:b w:val="0"/>
          <w:bCs w:val="0"/>
          <w:sz w:val="24"/>
          <w:szCs w:val="24"/>
          <w:lang w:val="lv-LV"/>
        </w:rPr>
        <w:t xml:space="preserve">1 304 912 </w:t>
      </w:r>
      <w:r w:rsidR="00E64D99" w:rsidRPr="00AC6A69">
        <w:rPr>
          <w:rFonts w:ascii="Times New Roman" w:hAnsi="Times New Roman"/>
          <w:b w:val="0"/>
          <w:bCs w:val="0"/>
          <w:sz w:val="24"/>
          <w:szCs w:val="24"/>
          <w:lang w:val="lv-LV"/>
        </w:rPr>
        <w:t xml:space="preserve">lati, </w:t>
      </w:r>
      <w:r w:rsidR="00E64D99" w:rsidRPr="00AC6A69">
        <w:rPr>
          <w:rFonts w:ascii="Times New Roman" w:hAnsi="Times New Roman"/>
          <w:b w:val="0"/>
          <w:bCs w:val="0"/>
          <w:sz w:val="24"/>
          <w:szCs w:val="24"/>
          <w:u w:val="single"/>
          <w:lang w:val="lv-LV"/>
        </w:rPr>
        <w:t>2014.gadā</w:t>
      </w:r>
      <w:r w:rsidR="00E64D99" w:rsidRPr="00AC6A69">
        <w:rPr>
          <w:rFonts w:ascii="Times New Roman" w:hAnsi="Times New Roman"/>
          <w:b w:val="0"/>
          <w:bCs w:val="0"/>
          <w:sz w:val="24"/>
          <w:szCs w:val="24"/>
          <w:lang w:val="lv-LV"/>
        </w:rPr>
        <w:t xml:space="preserve"> </w:t>
      </w:r>
      <w:r w:rsidR="00AC6A69" w:rsidRPr="004D6C02">
        <w:rPr>
          <w:rFonts w:ascii="Times New Roman" w:hAnsi="Times New Roman"/>
          <w:b w:val="0"/>
          <w:sz w:val="24"/>
          <w:szCs w:val="24"/>
          <w:lang w:val="lv-LV"/>
        </w:rPr>
        <w:t>2 609 823 lati</w:t>
      </w:r>
      <w:r w:rsidR="00A64BF4">
        <w:rPr>
          <w:rFonts w:ascii="Times New Roman" w:hAnsi="Times New Roman"/>
          <w:b w:val="0"/>
          <w:sz w:val="24"/>
          <w:szCs w:val="24"/>
          <w:lang w:val="lv-LV"/>
        </w:rPr>
        <w:t xml:space="preserve"> (detalizētus parēķinus skat. pielikumā Nr.2 „</w:t>
      </w:r>
      <w:r w:rsidR="00A64BF4" w:rsidRPr="00A64BF4">
        <w:rPr>
          <w:rFonts w:ascii="Times New Roman" w:hAnsi="Times New Roman"/>
          <w:b w:val="0"/>
          <w:sz w:val="24"/>
          <w:szCs w:val="24"/>
          <w:lang w:val="lv-LV"/>
        </w:rPr>
        <w:t>Papildus nepieciešamie līdzekļi valsts tiešās pārvaldes iestādēs strādājošo ārstniecības personu darba samaksas pieauguma nodrošināšanai (ņemot vērā MK noteikumu Nr.1651 normas)</w:t>
      </w:r>
      <w:r w:rsidR="00A64BF4">
        <w:rPr>
          <w:rFonts w:ascii="Times New Roman" w:hAnsi="Times New Roman"/>
          <w:b w:val="0"/>
          <w:sz w:val="24"/>
          <w:szCs w:val="24"/>
          <w:lang w:val="lv-LV"/>
        </w:rPr>
        <w:t>”</w:t>
      </w:r>
      <w:r w:rsidR="009067AB" w:rsidRPr="004D6C02">
        <w:rPr>
          <w:rFonts w:ascii="Times New Roman" w:hAnsi="Times New Roman"/>
          <w:b w:val="0"/>
          <w:sz w:val="24"/>
          <w:szCs w:val="24"/>
          <w:lang w:val="lv-LV"/>
        </w:rPr>
        <w:t>.</w:t>
      </w:r>
      <w:r w:rsidR="00601AC8" w:rsidRPr="004D6C02">
        <w:rPr>
          <w:rFonts w:ascii="Times New Roman" w:hAnsi="Times New Roman"/>
          <w:b w:val="0"/>
          <w:sz w:val="24"/>
          <w:szCs w:val="24"/>
          <w:lang w:val="lv-LV"/>
        </w:rPr>
        <w:t xml:space="preserve"> Kopējais papildus nepieciešamais finansējuma apjoms darba samaksas palielinājumam par 17% un veselības aprūpes pakalpojumu tarifu </w:t>
      </w:r>
      <w:r w:rsidR="00601AC8" w:rsidRPr="004D6C02">
        <w:rPr>
          <w:rFonts w:ascii="Times New Roman" w:hAnsi="Times New Roman"/>
          <w:b w:val="0"/>
          <w:color w:val="000000"/>
          <w:sz w:val="24"/>
          <w:szCs w:val="24"/>
          <w:lang w:val="lv-LV"/>
        </w:rPr>
        <w:t>pastāvīgo izmaksu elementu vērtību (koefic</w:t>
      </w:r>
      <w:r w:rsidR="00AC6A69" w:rsidRPr="004D6C02">
        <w:rPr>
          <w:rFonts w:ascii="Times New Roman" w:hAnsi="Times New Roman"/>
          <w:b w:val="0"/>
          <w:color w:val="000000"/>
          <w:sz w:val="24"/>
          <w:szCs w:val="24"/>
          <w:lang w:val="lv-LV"/>
        </w:rPr>
        <w:t>i</w:t>
      </w:r>
      <w:r w:rsidR="00601AC8" w:rsidRPr="004D6C02">
        <w:rPr>
          <w:rFonts w:ascii="Times New Roman" w:hAnsi="Times New Roman"/>
          <w:b w:val="0"/>
          <w:color w:val="000000"/>
          <w:sz w:val="24"/>
          <w:szCs w:val="24"/>
          <w:lang w:val="lv-LV"/>
        </w:rPr>
        <w:t xml:space="preserve">entu) </w:t>
      </w:r>
      <w:r w:rsidR="00601AC8" w:rsidRPr="004D6C02">
        <w:rPr>
          <w:rFonts w:ascii="Times New Roman" w:hAnsi="Times New Roman"/>
          <w:b w:val="0"/>
          <w:sz w:val="24"/>
          <w:szCs w:val="24"/>
          <w:lang w:val="lv-LV"/>
        </w:rPr>
        <w:t xml:space="preserve">pārrēķinam sastāda 28 866 046 </w:t>
      </w:r>
      <w:r w:rsidR="00601AC8" w:rsidRPr="004D6C02">
        <w:rPr>
          <w:rFonts w:ascii="Times New Roman" w:hAnsi="Times New Roman"/>
          <w:b w:val="0"/>
          <w:bCs w:val="0"/>
          <w:sz w:val="24"/>
          <w:szCs w:val="24"/>
          <w:lang w:val="lv-LV"/>
        </w:rPr>
        <w:t>latus</w:t>
      </w:r>
      <w:r w:rsidR="00601AC8" w:rsidRPr="004D6C02">
        <w:rPr>
          <w:rFonts w:ascii="Times New Roman" w:hAnsi="Times New Roman"/>
          <w:b w:val="0"/>
          <w:sz w:val="24"/>
          <w:szCs w:val="24"/>
          <w:lang w:val="lv-LV"/>
        </w:rPr>
        <w:t xml:space="preserve"> jeb veselības aprūpes budžeta palielinājums par 9,23%, tai skaitā darba samaksu palielinājumam 20 881 926 lati </w:t>
      </w:r>
      <w:r w:rsidR="00601AC8" w:rsidRPr="004D6C02">
        <w:rPr>
          <w:rFonts w:ascii="Times New Roman" w:hAnsi="Times New Roman"/>
          <w:b w:val="0"/>
          <w:bCs w:val="0"/>
          <w:color w:val="000000"/>
          <w:sz w:val="24"/>
          <w:szCs w:val="24"/>
          <w:lang w:val="lv-LV"/>
        </w:rPr>
        <w:t xml:space="preserve">un </w:t>
      </w:r>
      <w:r w:rsidR="00601AC8" w:rsidRPr="004D6C02">
        <w:rPr>
          <w:rFonts w:ascii="Times New Roman" w:hAnsi="Times New Roman"/>
          <w:b w:val="0"/>
          <w:sz w:val="24"/>
          <w:szCs w:val="24"/>
          <w:lang w:val="lv-LV"/>
        </w:rPr>
        <w:t xml:space="preserve">veselības aprūpes pakalpojumu tarifu </w:t>
      </w:r>
      <w:r w:rsidR="00601AC8" w:rsidRPr="004D6C02">
        <w:rPr>
          <w:rFonts w:ascii="Times New Roman" w:hAnsi="Times New Roman"/>
          <w:b w:val="0"/>
          <w:color w:val="000000"/>
          <w:sz w:val="24"/>
          <w:szCs w:val="24"/>
          <w:lang w:val="lv-LV"/>
        </w:rPr>
        <w:t xml:space="preserve">pastāvīgo izmaksu elementu vērtību (koeficentu) </w:t>
      </w:r>
      <w:r w:rsidR="00601AC8" w:rsidRPr="004D6C02">
        <w:rPr>
          <w:rFonts w:ascii="Times New Roman" w:hAnsi="Times New Roman"/>
          <w:b w:val="0"/>
          <w:sz w:val="24"/>
          <w:szCs w:val="24"/>
          <w:lang w:val="lv-LV"/>
        </w:rPr>
        <w:t xml:space="preserve">pārrēķinam </w:t>
      </w:r>
      <w:r w:rsidR="00601AC8" w:rsidRPr="004D6C02">
        <w:rPr>
          <w:rFonts w:ascii="Times New Roman" w:hAnsi="Times New Roman"/>
          <w:b w:val="0"/>
          <w:bCs w:val="0"/>
          <w:color w:val="000000"/>
          <w:sz w:val="24"/>
          <w:szCs w:val="24"/>
          <w:lang w:val="lv-LV"/>
        </w:rPr>
        <w:t>7 984 120 lati</w:t>
      </w:r>
      <w:r w:rsidR="001E0456" w:rsidRPr="004D6C02">
        <w:rPr>
          <w:rFonts w:ascii="Times New Roman" w:hAnsi="Times New Roman"/>
          <w:b w:val="0"/>
          <w:bCs w:val="0"/>
          <w:color w:val="000000"/>
          <w:sz w:val="24"/>
          <w:szCs w:val="24"/>
          <w:lang w:val="lv-LV"/>
        </w:rPr>
        <w:t xml:space="preserve"> (skat. ziņojuma pielikumu)</w:t>
      </w:r>
      <w:r w:rsidR="00601AC8" w:rsidRPr="004D6C02">
        <w:rPr>
          <w:rFonts w:ascii="Times New Roman" w:hAnsi="Times New Roman"/>
          <w:b w:val="0"/>
          <w:bCs w:val="0"/>
          <w:color w:val="000000"/>
          <w:sz w:val="24"/>
          <w:szCs w:val="24"/>
          <w:lang w:val="lv-LV"/>
        </w:rPr>
        <w:t>.</w:t>
      </w:r>
    </w:p>
    <w:p w:rsidR="00AC6A69" w:rsidRDefault="00AC6A69" w:rsidP="00AC6A69">
      <w:pPr>
        <w:pStyle w:val="tv20787921"/>
        <w:spacing w:after="0" w:line="240" w:lineRule="auto"/>
        <w:ind w:firstLine="720"/>
        <w:jc w:val="both"/>
        <w:rPr>
          <w:rFonts w:ascii="Times New Roman" w:hAnsi="Times New Roman"/>
          <w:sz w:val="24"/>
          <w:szCs w:val="24"/>
        </w:rPr>
      </w:pPr>
      <w:r w:rsidRPr="00AC6A69">
        <w:rPr>
          <w:rFonts w:ascii="Times New Roman" w:hAnsi="Times New Roman"/>
          <w:b w:val="0"/>
          <w:sz w:val="24"/>
          <w:szCs w:val="24"/>
        </w:rPr>
        <w:t xml:space="preserve">Tātad pavisam kopā ārstniecības personu darba samaksas palielinājumam </w:t>
      </w:r>
      <w:r w:rsidR="001E0456">
        <w:rPr>
          <w:rFonts w:ascii="Times New Roman" w:hAnsi="Times New Roman"/>
          <w:b w:val="0"/>
          <w:sz w:val="24"/>
          <w:szCs w:val="24"/>
        </w:rPr>
        <w:t xml:space="preserve">(budžeta iestādēm un kapitālsabiedrībām, </w:t>
      </w:r>
      <w:r w:rsidR="00DB3DA5">
        <w:rPr>
          <w:rFonts w:ascii="Times New Roman" w:hAnsi="Times New Roman"/>
          <w:b w:val="0"/>
          <w:sz w:val="24"/>
          <w:szCs w:val="24"/>
        </w:rPr>
        <w:t>ārstniecības iestādēm, kas noslēgušas l</w:t>
      </w:r>
      <w:r w:rsidR="00480A13">
        <w:rPr>
          <w:rFonts w:ascii="Times New Roman" w:hAnsi="Times New Roman"/>
          <w:b w:val="0"/>
          <w:sz w:val="24"/>
          <w:szCs w:val="24"/>
        </w:rPr>
        <w:t>īgumus par no valsts budžeta apma</w:t>
      </w:r>
      <w:r w:rsidR="00DB3DA5">
        <w:rPr>
          <w:rFonts w:ascii="Times New Roman" w:hAnsi="Times New Roman"/>
          <w:b w:val="0"/>
          <w:sz w:val="24"/>
          <w:szCs w:val="24"/>
        </w:rPr>
        <w:t>k</w:t>
      </w:r>
      <w:r w:rsidR="00480A13">
        <w:rPr>
          <w:rFonts w:ascii="Times New Roman" w:hAnsi="Times New Roman"/>
          <w:b w:val="0"/>
          <w:sz w:val="24"/>
          <w:szCs w:val="24"/>
        </w:rPr>
        <w:t>s</w:t>
      </w:r>
      <w:r w:rsidR="00DB3DA5">
        <w:rPr>
          <w:rFonts w:ascii="Times New Roman" w:hAnsi="Times New Roman"/>
          <w:b w:val="0"/>
          <w:sz w:val="24"/>
          <w:szCs w:val="24"/>
        </w:rPr>
        <w:t>āto veselības aprūpes pakalpojumu sniegšanu</w:t>
      </w:r>
      <w:r w:rsidR="001E0456">
        <w:rPr>
          <w:rFonts w:ascii="Times New Roman" w:hAnsi="Times New Roman"/>
          <w:b w:val="0"/>
          <w:sz w:val="24"/>
          <w:szCs w:val="24"/>
        </w:rPr>
        <w:t xml:space="preserve">) </w:t>
      </w:r>
      <w:r w:rsidRPr="00AC6A69">
        <w:rPr>
          <w:rFonts w:ascii="Times New Roman" w:hAnsi="Times New Roman"/>
          <w:b w:val="0"/>
          <w:sz w:val="24"/>
          <w:szCs w:val="24"/>
        </w:rPr>
        <w:t xml:space="preserve">nepieciešami </w:t>
      </w:r>
      <w:r>
        <w:rPr>
          <w:rFonts w:ascii="Times New Roman" w:hAnsi="Times New Roman"/>
          <w:b w:val="0"/>
          <w:sz w:val="24"/>
          <w:szCs w:val="24"/>
        </w:rPr>
        <w:t xml:space="preserve">papildus </w:t>
      </w:r>
      <w:r w:rsidRPr="00F3393D">
        <w:rPr>
          <w:rFonts w:ascii="Times New Roman" w:hAnsi="Times New Roman"/>
          <w:b w:val="0"/>
          <w:sz w:val="24"/>
          <w:szCs w:val="24"/>
          <w:u w:val="single"/>
        </w:rPr>
        <w:t>2013.gada pusgadam</w:t>
      </w:r>
      <w:r w:rsidRPr="00AC6A69">
        <w:rPr>
          <w:rFonts w:ascii="Times New Roman" w:hAnsi="Times New Roman"/>
          <w:sz w:val="24"/>
          <w:szCs w:val="24"/>
        </w:rPr>
        <w:t xml:space="preserve"> </w:t>
      </w:r>
      <w:r w:rsidR="001E0456">
        <w:rPr>
          <w:rFonts w:ascii="Times New Roman" w:hAnsi="Times New Roman"/>
          <w:sz w:val="24"/>
          <w:szCs w:val="24"/>
        </w:rPr>
        <w:t>11 745 875</w:t>
      </w:r>
      <w:r w:rsidRPr="00AC6A69">
        <w:rPr>
          <w:rFonts w:ascii="Times New Roman" w:hAnsi="Times New Roman"/>
          <w:sz w:val="24"/>
          <w:szCs w:val="24"/>
        </w:rPr>
        <w:t xml:space="preserve"> lati</w:t>
      </w:r>
      <w:proofErr w:type="gramStart"/>
      <w:r w:rsidRPr="00AC6A69">
        <w:rPr>
          <w:rFonts w:ascii="Times New Roman" w:hAnsi="Times New Roman"/>
          <w:sz w:val="24"/>
          <w:szCs w:val="24"/>
        </w:rPr>
        <w:t>,</w:t>
      </w:r>
      <w:r>
        <w:rPr>
          <w:rFonts w:ascii="Times New Roman" w:hAnsi="Times New Roman"/>
          <w:b w:val="0"/>
          <w:sz w:val="24"/>
          <w:szCs w:val="24"/>
        </w:rPr>
        <w:t xml:space="preserve"> </w:t>
      </w:r>
      <w:r w:rsidRPr="00AC6A69">
        <w:rPr>
          <w:rFonts w:ascii="Times New Roman" w:hAnsi="Times New Roman"/>
          <w:b w:val="0"/>
          <w:sz w:val="24"/>
          <w:szCs w:val="24"/>
        </w:rPr>
        <w:t xml:space="preserve"> </w:t>
      </w:r>
      <w:r w:rsidR="001E0456" w:rsidRPr="00F3393D">
        <w:rPr>
          <w:rFonts w:ascii="Times New Roman" w:hAnsi="Times New Roman"/>
          <w:b w:val="0"/>
          <w:sz w:val="24"/>
          <w:szCs w:val="24"/>
          <w:u w:val="single"/>
        </w:rPr>
        <w:t>2014.gadā</w:t>
      </w:r>
      <w:proofErr w:type="gramEnd"/>
      <w:r w:rsidR="001E0456">
        <w:rPr>
          <w:rFonts w:ascii="Times New Roman" w:hAnsi="Times New Roman"/>
          <w:sz w:val="24"/>
          <w:szCs w:val="24"/>
        </w:rPr>
        <w:t xml:space="preserve"> 23 491 749</w:t>
      </w:r>
      <w:r w:rsidRPr="00AC6A69">
        <w:rPr>
          <w:rFonts w:ascii="Times New Roman" w:hAnsi="Times New Roman"/>
          <w:sz w:val="24"/>
          <w:szCs w:val="24"/>
        </w:rPr>
        <w:t xml:space="preserve"> lati.</w:t>
      </w:r>
    </w:p>
    <w:p w:rsidR="00885F2B" w:rsidRPr="00885F2B" w:rsidRDefault="00F57303" w:rsidP="00885F2B">
      <w:pPr>
        <w:pStyle w:val="tv20787921"/>
        <w:spacing w:before="120" w:after="0" w:line="240" w:lineRule="auto"/>
        <w:ind w:firstLine="720"/>
        <w:jc w:val="both"/>
        <w:rPr>
          <w:rFonts w:ascii="Times New Roman" w:hAnsi="Times New Roman"/>
          <w:b w:val="0"/>
          <w:sz w:val="24"/>
          <w:szCs w:val="24"/>
          <w:lang w:val="lv-LV"/>
        </w:rPr>
      </w:pPr>
      <w:r w:rsidRPr="00F57303">
        <w:rPr>
          <w:rFonts w:ascii="Times New Roman" w:hAnsi="Times New Roman"/>
          <w:b w:val="0"/>
          <w:sz w:val="24"/>
          <w:szCs w:val="24"/>
          <w:lang w:val="lv-LV"/>
        </w:rPr>
        <w:t xml:space="preserve">Tieslietu ministrijas Ieslodzījuma vietu pārvaldei </w:t>
      </w:r>
      <w:r w:rsidR="00885F2B" w:rsidRPr="00F57303">
        <w:rPr>
          <w:rFonts w:ascii="Times New Roman" w:hAnsi="Times New Roman"/>
          <w:b w:val="0"/>
          <w:sz w:val="24"/>
          <w:szCs w:val="24"/>
          <w:lang w:val="lv-LV"/>
        </w:rPr>
        <w:t xml:space="preserve">ārstniecības personu darba samaksas izlīdzināšanai un pieauguma nodrošināšanai 17% apmērā </w:t>
      </w:r>
      <w:r w:rsidR="00885F2B">
        <w:rPr>
          <w:rFonts w:ascii="Times New Roman" w:hAnsi="Times New Roman"/>
          <w:b w:val="0"/>
          <w:sz w:val="24"/>
          <w:szCs w:val="24"/>
          <w:lang w:val="lv-LV"/>
        </w:rPr>
        <w:t>papildus nepieciešami 2013.gadā 67 788 lati</w:t>
      </w:r>
      <w:r w:rsidRPr="00F57303">
        <w:rPr>
          <w:rFonts w:ascii="Times New Roman" w:hAnsi="Times New Roman"/>
          <w:b w:val="0"/>
          <w:sz w:val="24"/>
          <w:szCs w:val="24"/>
          <w:lang w:val="lv-LV"/>
        </w:rPr>
        <w:t xml:space="preserve"> </w:t>
      </w:r>
      <w:r w:rsidR="00885F2B">
        <w:rPr>
          <w:rFonts w:ascii="Times New Roman" w:hAnsi="Times New Roman"/>
          <w:b w:val="0"/>
          <w:sz w:val="24"/>
          <w:szCs w:val="24"/>
          <w:lang w:val="lv-LV"/>
        </w:rPr>
        <w:t>un 2014.</w:t>
      </w:r>
      <w:r w:rsidR="00885F2B" w:rsidRPr="00F57303">
        <w:rPr>
          <w:rFonts w:ascii="Times New Roman" w:hAnsi="Times New Roman"/>
          <w:b w:val="0"/>
          <w:sz w:val="24"/>
          <w:szCs w:val="24"/>
          <w:lang w:val="lv-LV"/>
        </w:rPr>
        <w:t>gadā un turpmāk ik gadu</w:t>
      </w:r>
      <w:r w:rsidR="00885F2B">
        <w:rPr>
          <w:rFonts w:ascii="Times New Roman" w:hAnsi="Times New Roman"/>
          <w:b w:val="0"/>
          <w:sz w:val="24"/>
          <w:szCs w:val="24"/>
          <w:lang w:val="lv-LV"/>
        </w:rPr>
        <w:t xml:space="preserve"> 135 </w:t>
      </w:r>
      <w:r w:rsidR="005E51F2">
        <w:rPr>
          <w:rFonts w:ascii="Times New Roman" w:hAnsi="Times New Roman"/>
          <w:b w:val="0"/>
          <w:sz w:val="24"/>
          <w:szCs w:val="24"/>
          <w:lang w:val="lv-LV"/>
        </w:rPr>
        <w:t>730</w:t>
      </w:r>
      <w:r w:rsidR="00885F2B">
        <w:rPr>
          <w:rFonts w:ascii="Times New Roman" w:hAnsi="Times New Roman"/>
          <w:b w:val="0"/>
          <w:sz w:val="24"/>
          <w:szCs w:val="24"/>
          <w:lang w:val="lv-LV"/>
        </w:rPr>
        <w:t xml:space="preserve"> lati</w:t>
      </w:r>
      <w:r w:rsidRPr="00F57303">
        <w:rPr>
          <w:rFonts w:ascii="Times New Roman" w:hAnsi="Times New Roman"/>
          <w:b w:val="0"/>
          <w:sz w:val="24"/>
          <w:szCs w:val="24"/>
          <w:lang w:val="lv-LV"/>
        </w:rPr>
        <w:t xml:space="preserve">. </w:t>
      </w:r>
      <w:r w:rsidR="00885F2B">
        <w:rPr>
          <w:rFonts w:ascii="Times New Roman" w:hAnsi="Times New Roman"/>
          <w:b w:val="0"/>
          <w:sz w:val="24"/>
          <w:szCs w:val="24"/>
          <w:lang w:val="lv-LV"/>
        </w:rPr>
        <w:t>S</w:t>
      </w:r>
      <w:r w:rsidRPr="00F57303">
        <w:rPr>
          <w:rFonts w:ascii="Times New Roman" w:hAnsi="Times New Roman"/>
          <w:b w:val="0"/>
          <w:sz w:val="24"/>
          <w:szCs w:val="24"/>
          <w:lang w:val="lv-LV"/>
        </w:rPr>
        <w:t>askaņā M</w:t>
      </w:r>
      <w:r w:rsidR="00885F2B">
        <w:rPr>
          <w:rFonts w:ascii="Times New Roman" w:hAnsi="Times New Roman"/>
          <w:b w:val="0"/>
          <w:sz w:val="24"/>
          <w:szCs w:val="24"/>
          <w:lang w:val="lv-LV"/>
        </w:rPr>
        <w:t>inistru kabineta 2007.gada 20.</w:t>
      </w:r>
      <w:r w:rsidRPr="00F57303">
        <w:rPr>
          <w:rFonts w:ascii="Times New Roman" w:hAnsi="Times New Roman"/>
          <w:b w:val="0"/>
          <w:sz w:val="24"/>
          <w:szCs w:val="24"/>
          <w:lang w:val="lv-LV"/>
        </w:rPr>
        <w:t xml:space="preserve">marta noteikumiem </w:t>
      </w:r>
      <w:r w:rsidR="00885F2B">
        <w:rPr>
          <w:rFonts w:ascii="Times New Roman" w:hAnsi="Times New Roman"/>
          <w:b w:val="0"/>
          <w:sz w:val="24"/>
          <w:szCs w:val="24"/>
          <w:lang w:val="lv-LV"/>
        </w:rPr>
        <w:t>Nr.</w:t>
      </w:r>
      <w:r w:rsidRPr="00F57303">
        <w:rPr>
          <w:rFonts w:ascii="Times New Roman" w:hAnsi="Times New Roman"/>
          <w:b w:val="0"/>
          <w:sz w:val="24"/>
          <w:szCs w:val="24"/>
          <w:lang w:val="lv-LV"/>
        </w:rPr>
        <w:t xml:space="preserve">199 „Noteikumi par apcietināto un notiesāto personu veselības aprūpi izmeklēšanas cietumos un brīvības atņemšanas iestādēs” ieslodzītais cietumā bez maksas saņem primāro veselības </w:t>
      </w:r>
      <w:r w:rsidRPr="00F57303">
        <w:rPr>
          <w:rFonts w:ascii="Times New Roman" w:hAnsi="Times New Roman"/>
          <w:b w:val="0"/>
          <w:sz w:val="24"/>
          <w:szCs w:val="24"/>
          <w:lang w:val="lv-LV"/>
        </w:rPr>
        <w:lastRenderedPageBreak/>
        <w:t xml:space="preserve">aprūpi, izņemot plānveida stomatoloģisko palīdzību, neatliekamo stomatoloģisko palīdzību, sekundāro veselības aprūpi, kura sniedzama neatliekamā kārtā, kā arī sekundāro veselības aprūpi, kuru sniedz cietuma ārsti atbilstoši specialitātei. </w:t>
      </w:r>
      <w:bookmarkStart w:id="1" w:name="p3"/>
      <w:bookmarkEnd w:id="1"/>
      <w:r w:rsidRPr="00F57303">
        <w:rPr>
          <w:rFonts w:ascii="Times New Roman" w:hAnsi="Times New Roman"/>
          <w:b w:val="0"/>
          <w:sz w:val="24"/>
          <w:szCs w:val="24"/>
          <w:lang w:val="lv-LV"/>
        </w:rPr>
        <w:t xml:space="preserve">Ieslodzītā ambulatoro veselības aprūpi nodrošina cietuma medicīnas daļā, bet stacionāro aprūpi – Latvijas Cietumu slimnīcā. Lai nodrošinātu </w:t>
      </w:r>
      <w:r w:rsidR="00885F2B">
        <w:rPr>
          <w:rFonts w:ascii="Times New Roman" w:hAnsi="Times New Roman"/>
          <w:b w:val="0"/>
          <w:sz w:val="24"/>
          <w:szCs w:val="24"/>
          <w:lang w:val="lv-LV"/>
        </w:rPr>
        <w:t xml:space="preserve">minēto </w:t>
      </w:r>
      <w:r w:rsidRPr="00F57303">
        <w:rPr>
          <w:rFonts w:ascii="Times New Roman" w:hAnsi="Times New Roman"/>
          <w:b w:val="0"/>
          <w:sz w:val="24"/>
          <w:szCs w:val="24"/>
          <w:lang w:val="lv-LV"/>
        </w:rPr>
        <w:t>noteikumu izpildi Ieslodzījuma vietu pārvaldē tiek nodarbinātas 125 ārstniecības personas, no kurām 65 ir ārsti.</w:t>
      </w:r>
    </w:p>
    <w:p w:rsidR="00885F2B" w:rsidRDefault="00885F2B" w:rsidP="00885F2B">
      <w:pPr>
        <w:pStyle w:val="tv20787921"/>
        <w:spacing w:after="0" w:line="240" w:lineRule="auto"/>
        <w:ind w:firstLine="720"/>
        <w:jc w:val="both"/>
        <w:rPr>
          <w:rFonts w:ascii="Times New Roman" w:hAnsi="Times New Roman"/>
          <w:b w:val="0"/>
          <w:bCs w:val="0"/>
          <w:sz w:val="24"/>
          <w:szCs w:val="24"/>
        </w:rPr>
      </w:pPr>
      <w:r>
        <w:rPr>
          <w:rFonts w:ascii="Times New Roman" w:hAnsi="Times New Roman"/>
          <w:b w:val="0"/>
          <w:bCs w:val="0"/>
          <w:sz w:val="24"/>
          <w:szCs w:val="24"/>
        </w:rPr>
        <w:t>N</w:t>
      </w:r>
      <w:r>
        <w:rPr>
          <w:rFonts w:ascii="Times New Roman" w:hAnsi="Times New Roman"/>
          <w:b w:val="0"/>
          <w:bCs w:val="0"/>
          <w:color w:val="000000"/>
          <w:sz w:val="24"/>
          <w:szCs w:val="24"/>
        </w:rPr>
        <w:t>epieciešamais finansējums Tieslietu ministrijas 24.00.00 programmai „Ieslodzījuma vietas”</w:t>
      </w:r>
      <w:r>
        <w:rPr>
          <w:rFonts w:ascii="Times New Roman" w:hAnsi="Times New Roman"/>
          <w:b w:val="0"/>
          <w:bCs w:val="0"/>
          <w:sz w:val="24"/>
          <w:szCs w:val="24"/>
        </w:rPr>
        <w:t xml:space="preserve"> 2014.</w:t>
      </w:r>
      <w:r w:rsidRPr="00885F2B">
        <w:rPr>
          <w:rFonts w:ascii="Times New Roman" w:hAnsi="Times New Roman"/>
          <w:b w:val="0"/>
          <w:bCs w:val="0"/>
          <w:sz w:val="24"/>
          <w:szCs w:val="24"/>
        </w:rPr>
        <w:t xml:space="preserve">gadā </w:t>
      </w:r>
      <w:proofErr w:type="gramStart"/>
      <w:r w:rsidRPr="00885F2B">
        <w:rPr>
          <w:rFonts w:ascii="Times New Roman" w:hAnsi="Times New Roman"/>
          <w:b w:val="0"/>
          <w:bCs w:val="0"/>
          <w:sz w:val="24"/>
          <w:szCs w:val="24"/>
        </w:rPr>
        <w:t>un</w:t>
      </w:r>
      <w:proofErr w:type="gramEnd"/>
      <w:r w:rsidRPr="00885F2B">
        <w:rPr>
          <w:rFonts w:ascii="Times New Roman" w:hAnsi="Times New Roman"/>
          <w:b w:val="0"/>
          <w:bCs w:val="0"/>
          <w:sz w:val="24"/>
          <w:szCs w:val="24"/>
        </w:rPr>
        <w:t xml:space="preserve"> turpmāk ik gadu</w:t>
      </w:r>
      <w:r>
        <w:rPr>
          <w:rFonts w:ascii="Times New Roman" w:hAnsi="Times New Roman"/>
          <w:b w:val="0"/>
          <w:bCs w:val="0"/>
          <w:sz w:val="24"/>
          <w:szCs w:val="24"/>
        </w:rPr>
        <w:t xml:space="preserve"> </w:t>
      </w:r>
      <w:r>
        <w:rPr>
          <w:rFonts w:ascii="Times New Roman" w:hAnsi="Times New Roman"/>
          <w:sz w:val="24"/>
          <w:szCs w:val="24"/>
        </w:rPr>
        <w:t>135 730</w:t>
      </w:r>
      <w:r>
        <w:rPr>
          <w:rFonts w:ascii="Times New Roman" w:hAnsi="Times New Roman"/>
          <w:b w:val="0"/>
          <w:bCs w:val="0"/>
          <w:sz w:val="24"/>
          <w:szCs w:val="24"/>
        </w:rPr>
        <w:t xml:space="preserve"> latu</w:t>
      </w:r>
      <w:r w:rsidR="00D21C47">
        <w:rPr>
          <w:rFonts w:ascii="Times New Roman" w:hAnsi="Times New Roman"/>
          <w:b w:val="0"/>
          <w:bCs w:val="0"/>
          <w:sz w:val="24"/>
          <w:szCs w:val="24"/>
        </w:rPr>
        <w:t>, tai skaitā</w:t>
      </w:r>
      <w:r>
        <w:rPr>
          <w:rFonts w:ascii="Times New Roman" w:hAnsi="Times New Roman"/>
          <w:b w:val="0"/>
          <w:bCs w:val="0"/>
          <w:sz w:val="24"/>
          <w:szCs w:val="24"/>
        </w:rPr>
        <w:t>:</w:t>
      </w:r>
    </w:p>
    <w:p w:rsidR="00885F2B" w:rsidRDefault="00885F2B" w:rsidP="00885F2B">
      <w:pPr>
        <w:pStyle w:val="tv20787921"/>
        <w:spacing w:after="0" w:line="240" w:lineRule="auto"/>
        <w:ind w:firstLine="720"/>
        <w:jc w:val="both"/>
        <w:rPr>
          <w:rFonts w:ascii="Times New Roman" w:hAnsi="Times New Roman"/>
          <w:b w:val="0"/>
          <w:bCs w:val="0"/>
          <w:sz w:val="24"/>
          <w:szCs w:val="24"/>
        </w:rPr>
      </w:pPr>
      <w:r>
        <w:rPr>
          <w:rFonts w:ascii="Times New Roman" w:hAnsi="Times New Roman"/>
          <w:b w:val="0"/>
          <w:bCs w:val="0"/>
          <w:sz w:val="24"/>
          <w:szCs w:val="24"/>
        </w:rPr>
        <w:t>Atalgojums (1100) – 109 380 lati:</w:t>
      </w:r>
    </w:p>
    <w:p w:rsidR="00885F2B" w:rsidRDefault="00885F2B" w:rsidP="00885F2B">
      <w:pPr>
        <w:pStyle w:val="tv20787921"/>
        <w:spacing w:after="0" w:line="240" w:lineRule="auto"/>
        <w:ind w:firstLine="720"/>
        <w:jc w:val="both"/>
        <w:rPr>
          <w:rFonts w:ascii="Times New Roman" w:hAnsi="Times New Roman"/>
          <w:b w:val="0"/>
          <w:bCs w:val="0"/>
          <w:sz w:val="24"/>
          <w:szCs w:val="24"/>
        </w:rPr>
      </w:pPr>
      <w:proofErr w:type="gramStart"/>
      <w:r>
        <w:rPr>
          <w:rFonts w:ascii="Times New Roman" w:hAnsi="Times New Roman"/>
          <w:b w:val="0"/>
          <w:bCs w:val="0"/>
          <w:sz w:val="24"/>
          <w:szCs w:val="24"/>
        </w:rPr>
        <w:t>(653 – 558) x 65 x 12 mēn.</w:t>
      </w:r>
      <w:proofErr w:type="gramEnd"/>
      <w:r>
        <w:rPr>
          <w:rFonts w:ascii="Times New Roman" w:hAnsi="Times New Roman"/>
          <w:b w:val="0"/>
          <w:bCs w:val="0"/>
          <w:sz w:val="24"/>
          <w:szCs w:val="24"/>
        </w:rPr>
        <w:t xml:space="preserve"> = 74 100 lati, kur:</w:t>
      </w:r>
    </w:p>
    <w:p w:rsidR="00885F2B" w:rsidRPr="00B5133B" w:rsidRDefault="00885F2B" w:rsidP="00885F2B">
      <w:pPr>
        <w:pStyle w:val="tv20787921"/>
        <w:spacing w:after="0" w:line="240" w:lineRule="auto"/>
        <w:ind w:firstLine="720"/>
        <w:jc w:val="both"/>
        <w:rPr>
          <w:rFonts w:ascii="Times New Roman" w:hAnsi="Times New Roman"/>
          <w:b w:val="0"/>
          <w:color w:val="000000"/>
          <w:sz w:val="24"/>
          <w:szCs w:val="24"/>
        </w:rPr>
      </w:pPr>
      <w:r w:rsidRPr="00B5133B">
        <w:rPr>
          <w:rFonts w:ascii="Times New Roman" w:hAnsi="Times New Roman"/>
          <w:b w:val="0"/>
          <w:bCs w:val="0"/>
          <w:sz w:val="24"/>
          <w:szCs w:val="24"/>
        </w:rPr>
        <w:t>653 lati - n</w:t>
      </w:r>
      <w:r w:rsidRPr="00B5133B">
        <w:rPr>
          <w:rFonts w:ascii="Times New Roman" w:hAnsi="Times New Roman"/>
          <w:b w:val="0"/>
          <w:color w:val="000000"/>
          <w:sz w:val="24"/>
          <w:szCs w:val="24"/>
        </w:rPr>
        <w:t>oteiktā vidējā darba samaksa ar 17% palielinājumu;</w:t>
      </w:r>
    </w:p>
    <w:p w:rsidR="00885F2B" w:rsidRDefault="00885F2B" w:rsidP="00885F2B">
      <w:pPr>
        <w:pStyle w:val="tv20787921"/>
        <w:spacing w:after="0" w:line="240" w:lineRule="auto"/>
        <w:ind w:firstLine="720"/>
        <w:jc w:val="both"/>
        <w:rPr>
          <w:rFonts w:ascii="Times New Roman" w:hAnsi="Times New Roman"/>
          <w:b w:val="0"/>
          <w:color w:val="000000"/>
          <w:sz w:val="24"/>
          <w:szCs w:val="24"/>
        </w:rPr>
      </w:pPr>
      <w:r>
        <w:rPr>
          <w:rFonts w:ascii="Times New Roman" w:hAnsi="Times New Roman"/>
          <w:b w:val="0"/>
          <w:bCs w:val="0"/>
          <w:sz w:val="24"/>
          <w:szCs w:val="24"/>
        </w:rPr>
        <w:t>558</w:t>
      </w:r>
      <w:r w:rsidRPr="00B5133B">
        <w:rPr>
          <w:rFonts w:ascii="Times New Roman" w:hAnsi="Times New Roman"/>
          <w:b w:val="0"/>
          <w:bCs w:val="0"/>
          <w:sz w:val="24"/>
          <w:szCs w:val="24"/>
        </w:rPr>
        <w:t> lati - n</w:t>
      </w:r>
      <w:r w:rsidRPr="00B5133B">
        <w:rPr>
          <w:rFonts w:ascii="Times New Roman" w:hAnsi="Times New Roman"/>
          <w:b w:val="0"/>
          <w:color w:val="000000"/>
          <w:sz w:val="24"/>
          <w:szCs w:val="24"/>
        </w:rPr>
        <w:t>oteiktā vidējā darba samaksa;</w:t>
      </w:r>
    </w:p>
    <w:p w:rsidR="00885F2B" w:rsidRPr="00D21C47" w:rsidRDefault="00885F2B" w:rsidP="00D21C47">
      <w:pPr>
        <w:pStyle w:val="tv20787921"/>
        <w:spacing w:after="0" w:line="240" w:lineRule="auto"/>
        <w:ind w:firstLine="720"/>
        <w:jc w:val="both"/>
        <w:rPr>
          <w:rFonts w:ascii="Times New Roman" w:hAnsi="Times New Roman"/>
          <w:b w:val="0"/>
          <w:color w:val="000000"/>
          <w:sz w:val="24"/>
          <w:szCs w:val="24"/>
        </w:rPr>
      </w:pPr>
      <w:r>
        <w:rPr>
          <w:rFonts w:ascii="Times New Roman" w:hAnsi="Times New Roman"/>
          <w:b w:val="0"/>
          <w:color w:val="000000"/>
          <w:sz w:val="24"/>
          <w:szCs w:val="24"/>
        </w:rPr>
        <w:t xml:space="preserve">65 – </w:t>
      </w:r>
      <w:proofErr w:type="gramStart"/>
      <w:r>
        <w:rPr>
          <w:rFonts w:ascii="Times New Roman" w:hAnsi="Times New Roman"/>
          <w:b w:val="0"/>
          <w:color w:val="000000"/>
          <w:sz w:val="24"/>
          <w:szCs w:val="24"/>
        </w:rPr>
        <w:t>v</w:t>
      </w:r>
      <w:r w:rsidRPr="00B5133B">
        <w:rPr>
          <w:rFonts w:ascii="Times New Roman" w:hAnsi="Times New Roman"/>
          <w:b w:val="0"/>
          <w:color w:val="000000"/>
          <w:sz w:val="24"/>
          <w:szCs w:val="24"/>
        </w:rPr>
        <w:t>idējais</w:t>
      </w:r>
      <w:proofErr w:type="gramEnd"/>
      <w:r w:rsidRPr="00B5133B">
        <w:rPr>
          <w:rFonts w:ascii="Times New Roman" w:hAnsi="Times New Roman"/>
          <w:b w:val="0"/>
          <w:color w:val="000000"/>
          <w:sz w:val="24"/>
          <w:szCs w:val="24"/>
        </w:rPr>
        <w:t xml:space="preserve"> ārstu amata vietu skaits</w:t>
      </w:r>
      <w:r>
        <w:rPr>
          <w:rFonts w:ascii="Times New Roman" w:hAnsi="Times New Roman"/>
          <w:b w:val="0"/>
          <w:color w:val="000000"/>
          <w:sz w:val="24"/>
          <w:szCs w:val="24"/>
        </w:rPr>
        <w:t>.</w:t>
      </w:r>
    </w:p>
    <w:p w:rsidR="00885F2B" w:rsidRDefault="00885F2B" w:rsidP="00D21C47">
      <w:pPr>
        <w:pStyle w:val="tv20787921"/>
        <w:spacing w:before="120" w:after="0" w:line="240" w:lineRule="auto"/>
        <w:ind w:firstLine="720"/>
        <w:jc w:val="both"/>
        <w:rPr>
          <w:rFonts w:ascii="Times New Roman" w:hAnsi="Times New Roman"/>
          <w:b w:val="0"/>
          <w:bCs w:val="0"/>
          <w:sz w:val="24"/>
          <w:szCs w:val="24"/>
        </w:rPr>
      </w:pPr>
      <w:r>
        <w:rPr>
          <w:rFonts w:ascii="Times New Roman" w:hAnsi="Times New Roman"/>
          <w:b w:val="0"/>
          <w:bCs w:val="0"/>
          <w:sz w:val="24"/>
          <w:szCs w:val="24"/>
        </w:rPr>
        <w:t>(337 – 288) x 60 x 12 mēn</w:t>
      </w:r>
      <w:proofErr w:type="gramStart"/>
      <w:r>
        <w:rPr>
          <w:rFonts w:ascii="Times New Roman" w:hAnsi="Times New Roman"/>
          <w:b w:val="0"/>
          <w:bCs w:val="0"/>
          <w:sz w:val="24"/>
          <w:szCs w:val="24"/>
        </w:rPr>
        <w:t>.=</w:t>
      </w:r>
      <w:proofErr w:type="gramEnd"/>
      <w:r>
        <w:rPr>
          <w:rFonts w:ascii="Times New Roman" w:hAnsi="Times New Roman"/>
          <w:b w:val="0"/>
          <w:bCs w:val="0"/>
          <w:sz w:val="24"/>
          <w:szCs w:val="24"/>
        </w:rPr>
        <w:t xml:space="preserve"> 35 280 lati, kur:</w:t>
      </w:r>
    </w:p>
    <w:p w:rsidR="00885F2B" w:rsidRPr="00B5133B" w:rsidRDefault="00885F2B" w:rsidP="00885F2B">
      <w:pPr>
        <w:pStyle w:val="tv20787921"/>
        <w:spacing w:after="0" w:line="240" w:lineRule="auto"/>
        <w:ind w:firstLine="720"/>
        <w:jc w:val="both"/>
        <w:rPr>
          <w:rFonts w:ascii="Times New Roman" w:hAnsi="Times New Roman"/>
          <w:b w:val="0"/>
          <w:color w:val="000000"/>
          <w:sz w:val="24"/>
          <w:szCs w:val="24"/>
        </w:rPr>
      </w:pPr>
      <w:r>
        <w:rPr>
          <w:rFonts w:ascii="Times New Roman" w:hAnsi="Times New Roman"/>
          <w:b w:val="0"/>
          <w:bCs w:val="0"/>
          <w:sz w:val="24"/>
          <w:szCs w:val="24"/>
        </w:rPr>
        <w:t>337</w:t>
      </w:r>
      <w:r w:rsidRPr="00B5133B">
        <w:rPr>
          <w:rFonts w:ascii="Times New Roman" w:hAnsi="Times New Roman"/>
          <w:b w:val="0"/>
          <w:bCs w:val="0"/>
          <w:sz w:val="24"/>
          <w:szCs w:val="24"/>
        </w:rPr>
        <w:t> lati - n</w:t>
      </w:r>
      <w:r w:rsidRPr="00B5133B">
        <w:rPr>
          <w:rFonts w:ascii="Times New Roman" w:hAnsi="Times New Roman"/>
          <w:b w:val="0"/>
          <w:color w:val="000000"/>
          <w:sz w:val="24"/>
          <w:szCs w:val="24"/>
        </w:rPr>
        <w:t>oteiktā vidējā darba samaksa ar 17% palielinājumu;</w:t>
      </w:r>
    </w:p>
    <w:p w:rsidR="00885F2B" w:rsidRDefault="00885F2B" w:rsidP="00885F2B">
      <w:pPr>
        <w:pStyle w:val="tv20787921"/>
        <w:spacing w:after="0" w:line="240" w:lineRule="auto"/>
        <w:ind w:firstLine="720"/>
        <w:jc w:val="both"/>
        <w:rPr>
          <w:rFonts w:ascii="Times New Roman" w:hAnsi="Times New Roman"/>
          <w:b w:val="0"/>
          <w:color w:val="000000"/>
          <w:sz w:val="24"/>
          <w:szCs w:val="24"/>
        </w:rPr>
      </w:pPr>
      <w:r>
        <w:rPr>
          <w:rFonts w:ascii="Times New Roman" w:hAnsi="Times New Roman"/>
          <w:b w:val="0"/>
          <w:bCs w:val="0"/>
          <w:sz w:val="24"/>
          <w:szCs w:val="24"/>
        </w:rPr>
        <w:t>288</w:t>
      </w:r>
      <w:r w:rsidRPr="00B5133B">
        <w:rPr>
          <w:rFonts w:ascii="Times New Roman" w:hAnsi="Times New Roman"/>
          <w:b w:val="0"/>
          <w:bCs w:val="0"/>
          <w:sz w:val="24"/>
          <w:szCs w:val="24"/>
        </w:rPr>
        <w:t> lati - n</w:t>
      </w:r>
      <w:r w:rsidRPr="00B5133B">
        <w:rPr>
          <w:rFonts w:ascii="Times New Roman" w:hAnsi="Times New Roman"/>
          <w:b w:val="0"/>
          <w:color w:val="000000"/>
          <w:sz w:val="24"/>
          <w:szCs w:val="24"/>
        </w:rPr>
        <w:t>oteiktā vidējā darba samaksa;</w:t>
      </w:r>
    </w:p>
    <w:p w:rsidR="00885F2B" w:rsidRPr="00B5133B" w:rsidRDefault="00885F2B" w:rsidP="00885F2B">
      <w:pPr>
        <w:pStyle w:val="tv20787921"/>
        <w:spacing w:after="0" w:line="240" w:lineRule="auto"/>
        <w:ind w:firstLine="720"/>
        <w:jc w:val="both"/>
        <w:rPr>
          <w:rFonts w:ascii="Times New Roman" w:hAnsi="Times New Roman"/>
          <w:b w:val="0"/>
          <w:color w:val="000000"/>
          <w:sz w:val="24"/>
          <w:szCs w:val="24"/>
        </w:rPr>
      </w:pPr>
      <w:r>
        <w:rPr>
          <w:rFonts w:ascii="Times New Roman" w:hAnsi="Times New Roman"/>
          <w:b w:val="0"/>
          <w:color w:val="000000"/>
          <w:sz w:val="24"/>
          <w:szCs w:val="24"/>
        </w:rPr>
        <w:t xml:space="preserve">60 – </w:t>
      </w:r>
      <w:proofErr w:type="gramStart"/>
      <w:r>
        <w:rPr>
          <w:rFonts w:ascii="Times New Roman" w:hAnsi="Times New Roman"/>
          <w:b w:val="0"/>
          <w:color w:val="000000"/>
          <w:sz w:val="24"/>
          <w:szCs w:val="24"/>
        </w:rPr>
        <w:t>v</w:t>
      </w:r>
      <w:r w:rsidRPr="00B5133B">
        <w:rPr>
          <w:rFonts w:ascii="Times New Roman" w:hAnsi="Times New Roman"/>
          <w:b w:val="0"/>
          <w:color w:val="000000"/>
          <w:sz w:val="24"/>
          <w:szCs w:val="24"/>
        </w:rPr>
        <w:t>idējais</w:t>
      </w:r>
      <w:proofErr w:type="gramEnd"/>
      <w:r w:rsidRPr="00B5133B">
        <w:rPr>
          <w:rFonts w:ascii="Times New Roman" w:hAnsi="Times New Roman"/>
          <w:b w:val="0"/>
          <w:color w:val="000000"/>
          <w:sz w:val="24"/>
          <w:szCs w:val="24"/>
        </w:rPr>
        <w:t xml:space="preserve"> ārstu amata vietu skaits</w:t>
      </w:r>
      <w:r>
        <w:rPr>
          <w:rFonts w:ascii="Times New Roman" w:hAnsi="Times New Roman"/>
          <w:b w:val="0"/>
          <w:color w:val="000000"/>
          <w:sz w:val="24"/>
          <w:szCs w:val="24"/>
        </w:rPr>
        <w:t>.</w:t>
      </w:r>
    </w:p>
    <w:p w:rsidR="00885F2B" w:rsidRDefault="00885F2B" w:rsidP="00885F2B">
      <w:pPr>
        <w:pStyle w:val="tv20787921"/>
        <w:spacing w:after="0" w:line="240" w:lineRule="auto"/>
        <w:ind w:firstLine="720"/>
        <w:jc w:val="both"/>
        <w:rPr>
          <w:rFonts w:ascii="Times New Roman" w:hAnsi="Times New Roman"/>
          <w:b w:val="0"/>
          <w:bCs w:val="0"/>
          <w:sz w:val="24"/>
          <w:szCs w:val="24"/>
        </w:rPr>
      </w:pPr>
    </w:p>
    <w:p w:rsidR="00885F2B" w:rsidRDefault="00885F2B" w:rsidP="00885F2B">
      <w:pPr>
        <w:pStyle w:val="tv20787921"/>
        <w:spacing w:after="0" w:line="240" w:lineRule="auto"/>
        <w:ind w:firstLine="720"/>
        <w:jc w:val="both"/>
        <w:rPr>
          <w:rFonts w:ascii="Times New Roman" w:hAnsi="Times New Roman"/>
          <w:b w:val="0"/>
          <w:bCs w:val="0"/>
          <w:sz w:val="24"/>
          <w:szCs w:val="24"/>
        </w:rPr>
      </w:pPr>
      <w:r>
        <w:rPr>
          <w:rFonts w:ascii="Times New Roman" w:hAnsi="Times New Roman"/>
          <w:b w:val="0"/>
          <w:bCs w:val="0"/>
          <w:sz w:val="24"/>
          <w:szCs w:val="24"/>
        </w:rPr>
        <w:t>Darba dēvē</w:t>
      </w:r>
      <w:r w:rsidR="005E51F2">
        <w:rPr>
          <w:rFonts w:ascii="Times New Roman" w:hAnsi="Times New Roman"/>
          <w:b w:val="0"/>
          <w:bCs w:val="0"/>
          <w:sz w:val="24"/>
          <w:szCs w:val="24"/>
        </w:rPr>
        <w:t>ja VSAOI (24</w:t>
      </w:r>
      <w:proofErr w:type="gramStart"/>
      <w:r w:rsidR="005E51F2">
        <w:rPr>
          <w:rFonts w:ascii="Times New Roman" w:hAnsi="Times New Roman"/>
          <w:b w:val="0"/>
          <w:bCs w:val="0"/>
          <w:sz w:val="24"/>
          <w:szCs w:val="24"/>
        </w:rPr>
        <w:t>,09</w:t>
      </w:r>
      <w:proofErr w:type="gramEnd"/>
      <w:r w:rsidR="005E51F2">
        <w:rPr>
          <w:rFonts w:ascii="Times New Roman" w:hAnsi="Times New Roman"/>
          <w:b w:val="0"/>
          <w:bCs w:val="0"/>
          <w:sz w:val="24"/>
          <w:szCs w:val="24"/>
        </w:rPr>
        <w:t>%) (1200) – 26 35</w:t>
      </w:r>
      <w:r>
        <w:rPr>
          <w:rFonts w:ascii="Times New Roman" w:hAnsi="Times New Roman"/>
          <w:b w:val="0"/>
          <w:bCs w:val="0"/>
          <w:sz w:val="24"/>
          <w:szCs w:val="24"/>
        </w:rPr>
        <w:t>0 lati:</w:t>
      </w:r>
    </w:p>
    <w:p w:rsidR="00885F2B" w:rsidRDefault="00885F2B" w:rsidP="00D21C47">
      <w:pPr>
        <w:pStyle w:val="tv20787921"/>
        <w:spacing w:after="0" w:line="240" w:lineRule="auto"/>
        <w:ind w:firstLine="720"/>
        <w:jc w:val="both"/>
        <w:rPr>
          <w:rFonts w:ascii="Times New Roman" w:hAnsi="Times New Roman"/>
          <w:b w:val="0"/>
          <w:bCs w:val="0"/>
          <w:sz w:val="24"/>
          <w:szCs w:val="24"/>
        </w:rPr>
      </w:pPr>
      <w:r>
        <w:rPr>
          <w:rFonts w:ascii="Times New Roman" w:hAnsi="Times New Roman"/>
          <w:b w:val="0"/>
          <w:bCs w:val="0"/>
          <w:sz w:val="24"/>
          <w:szCs w:val="24"/>
        </w:rPr>
        <w:t>109 380 x 24</w:t>
      </w:r>
      <w:proofErr w:type="gramStart"/>
      <w:r>
        <w:rPr>
          <w:rFonts w:ascii="Times New Roman" w:hAnsi="Times New Roman"/>
          <w:b w:val="0"/>
          <w:bCs w:val="0"/>
          <w:sz w:val="24"/>
          <w:szCs w:val="24"/>
        </w:rPr>
        <w:t>,09</w:t>
      </w:r>
      <w:proofErr w:type="gramEnd"/>
      <w:r>
        <w:rPr>
          <w:rFonts w:ascii="Times New Roman" w:hAnsi="Times New Roman"/>
          <w:b w:val="0"/>
          <w:bCs w:val="0"/>
          <w:sz w:val="24"/>
          <w:szCs w:val="24"/>
        </w:rPr>
        <w:t>% = 26 350 lati</w:t>
      </w:r>
      <w:r w:rsidR="00D21C47">
        <w:rPr>
          <w:rFonts w:ascii="Times New Roman" w:hAnsi="Times New Roman"/>
          <w:b w:val="0"/>
          <w:bCs w:val="0"/>
          <w:sz w:val="24"/>
          <w:szCs w:val="24"/>
        </w:rPr>
        <w:t>.</w:t>
      </w:r>
    </w:p>
    <w:p w:rsidR="00AB21D0" w:rsidRDefault="00AB21D0" w:rsidP="00D21C47">
      <w:pPr>
        <w:pStyle w:val="tv20787921"/>
        <w:spacing w:after="0" w:line="240" w:lineRule="auto"/>
        <w:ind w:firstLine="720"/>
        <w:jc w:val="both"/>
        <w:rPr>
          <w:rFonts w:ascii="Times New Roman" w:hAnsi="Times New Roman"/>
          <w:b w:val="0"/>
          <w:bCs w:val="0"/>
          <w:sz w:val="24"/>
          <w:szCs w:val="24"/>
        </w:rPr>
      </w:pPr>
    </w:p>
    <w:p w:rsidR="00AB21D0" w:rsidRDefault="00AB21D0" w:rsidP="00D21C47">
      <w:pPr>
        <w:pStyle w:val="tv20787921"/>
        <w:spacing w:after="0" w:line="240" w:lineRule="auto"/>
        <w:ind w:firstLine="720"/>
        <w:jc w:val="both"/>
        <w:rPr>
          <w:rFonts w:ascii="Times New Roman" w:hAnsi="Times New Roman"/>
          <w:b w:val="0"/>
          <w:bCs w:val="0"/>
          <w:sz w:val="24"/>
          <w:szCs w:val="24"/>
        </w:rPr>
      </w:pPr>
      <w:r>
        <w:rPr>
          <w:rFonts w:ascii="Times New Roman" w:hAnsi="Times New Roman"/>
          <w:b w:val="0"/>
          <w:bCs w:val="0"/>
          <w:sz w:val="24"/>
          <w:szCs w:val="24"/>
        </w:rPr>
        <w:t>Ārstniecības personu darba samaksas p</w:t>
      </w:r>
      <w:r w:rsidR="005E51F2">
        <w:rPr>
          <w:rFonts w:ascii="Times New Roman" w:hAnsi="Times New Roman"/>
          <w:b w:val="0"/>
          <w:bCs w:val="0"/>
          <w:sz w:val="24"/>
          <w:szCs w:val="24"/>
        </w:rPr>
        <w:t>aaugstinājuma</w:t>
      </w:r>
      <w:r>
        <w:rPr>
          <w:rFonts w:ascii="Times New Roman" w:hAnsi="Times New Roman"/>
          <w:b w:val="0"/>
          <w:bCs w:val="0"/>
          <w:sz w:val="24"/>
          <w:szCs w:val="24"/>
        </w:rPr>
        <w:t xml:space="preserve"> jautājums ir jāskata vienoti visā valsts sektorā, ņemot </w:t>
      </w:r>
      <w:proofErr w:type="gramStart"/>
      <w:r>
        <w:rPr>
          <w:rFonts w:ascii="Times New Roman" w:hAnsi="Times New Roman"/>
          <w:b w:val="0"/>
          <w:bCs w:val="0"/>
          <w:sz w:val="24"/>
          <w:szCs w:val="24"/>
        </w:rPr>
        <w:t>vērā</w:t>
      </w:r>
      <w:proofErr w:type="gramEnd"/>
      <w:r>
        <w:rPr>
          <w:rFonts w:ascii="Times New Roman" w:hAnsi="Times New Roman"/>
          <w:b w:val="0"/>
          <w:bCs w:val="0"/>
          <w:sz w:val="24"/>
          <w:szCs w:val="24"/>
        </w:rPr>
        <w:t xml:space="preserve"> atalgojuma palielināšanas nepieciešamību arī citās nozarēs.</w:t>
      </w:r>
    </w:p>
    <w:p w:rsidR="0023449A" w:rsidRPr="00FC5F33" w:rsidRDefault="009067AB" w:rsidP="003B42B7">
      <w:pPr>
        <w:spacing w:before="240" w:after="0" w:line="240" w:lineRule="auto"/>
        <w:ind w:right="-34" w:firstLine="720"/>
        <w:jc w:val="both"/>
        <w:rPr>
          <w:rFonts w:ascii="Times New Roman" w:hAnsi="Times New Roman" w:cs="Times New Roman"/>
          <w:b/>
          <w:sz w:val="28"/>
          <w:szCs w:val="28"/>
          <w:lang w:val="lv-LV" w:bidi="en-US"/>
        </w:rPr>
      </w:pPr>
      <w:r w:rsidRPr="00FC5F33">
        <w:rPr>
          <w:rFonts w:ascii="Times New Roman" w:hAnsi="Times New Roman"/>
          <w:b/>
          <w:sz w:val="28"/>
          <w:szCs w:val="28"/>
        </w:rPr>
        <w:t>I</w:t>
      </w:r>
      <w:r w:rsidR="00E64D99" w:rsidRPr="00FC5F33">
        <w:rPr>
          <w:rFonts w:ascii="Times New Roman" w:hAnsi="Times New Roman"/>
          <w:b/>
          <w:sz w:val="28"/>
          <w:szCs w:val="28"/>
        </w:rPr>
        <w:t xml:space="preserve">V. </w:t>
      </w:r>
      <w:r w:rsidR="0023449A" w:rsidRPr="00FC5F33">
        <w:rPr>
          <w:rFonts w:ascii="Times New Roman" w:hAnsi="Times New Roman" w:cs="Times New Roman"/>
          <w:b/>
          <w:sz w:val="28"/>
          <w:szCs w:val="28"/>
          <w:lang w:val="lv-LV" w:bidi="en-US"/>
        </w:rPr>
        <w:t>Tarifu palielinājumam ārstniecības iestādēm (U - pieskaitāmo izdevumu, N - amortizācijas izdevumu, A - administratīvo izdevumu)</w:t>
      </w:r>
    </w:p>
    <w:p w:rsidR="0023449A" w:rsidRPr="005573DC" w:rsidRDefault="0023449A" w:rsidP="0023449A">
      <w:pPr>
        <w:spacing w:after="0" w:line="240" w:lineRule="auto"/>
        <w:ind w:right="-34" w:firstLine="720"/>
        <w:jc w:val="both"/>
        <w:rPr>
          <w:rFonts w:ascii="Times New Roman" w:hAnsi="Times New Roman" w:cs="Times New Roman"/>
          <w:b/>
          <w:sz w:val="24"/>
          <w:szCs w:val="24"/>
          <w:u w:val="single"/>
          <w:lang w:val="lv-LV" w:bidi="en-US"/>
        </w:rPr>
      </w:pPr>
    </w:p>
    <w:p w:rsidR="003B42B7" w:rsidRPr="004D6C02" w:rsidRDefault="0023449A" w:rsidP="003B42B7">
      <w:pPr>
        <w:spacing w:after="0" w:line="240" w:lineRule="auto"/>
        <w:ind w:firstLine="720"/>
        <w:jc w:val="both"/>
        <w:rPr>
          <w:rFonts w:ascii="Times New Roman" w:hAnsi="Times New Roman" w:cs="Times New Roman"/>
          <w:bCs/>
          <w:color w:val="000000"/>
          <w:sz w:val="24"/>
          <w:szCs w:val="24"/>
          <w:lang w:val="lv-LV"/>
        </w:rPr>
      </w:pPr>
      <w:r w:rsidRPr="00DB4A0C">
        <w:rPr>
          <w:rFonts w:ascii="Times New Roman" w:hAnsi="Times New Roman" w:cs="Times New Roman"/>
          <w:sz w:val="24"/>
          <w:szCs w:val="24"/>
          <w:lang w:val="lv-LV" w:bidi="en-US"/>
        </w:rPr>
        <w:t>Valsts kontrole 2011.gada 28.novembra Revīzijas ziņojumā Nr.5.1.-2-6/2011 „</w:t>
      </w:r>
      <w:r w:rsidRPr="00DB4A0C">
        <w:rPr>
          <w:rFonts w:ascii="Times New Roman" w:hAnsi="Times New Roman" w:cs="Times New Roman"/>
          <w:sz w:val="24"/>
          <w:szCs w:val="24"/>
          <w:lang w:val="lv-LV"/>
        </w:rPr>
        <w:t>Valsts budžeta līdzekļu izlietojuma likumība un ekonomiskums, apmaksājot ārstniecības pakalpojumus pēc noteiktā tarifa</w:t>
      </w:r>
      <w:r>
        <w:rPr>
          <w:rFonts w:ascii="Times New Roman" w:hAnsi="Times New Roman" w:cs="Times New Roman"/>
          <w:sz w:val="24"/>
          <w:szCs w:val="24"/>
          <w:lang w:val="lv-LV"/>
        </w:rPr>
        <w:t xml:space="preserve">” norādīja uz to, ka </w:t>
      </w:r>
      <w:r>
        <w:rPr>
          <w:rFonts w:ascii="Times New Roman" w:hAnsi="Times New Roman" w:cs="Times New Roman"/>
          <w:sz w:val="24"/>
          <w:szCs w:val="24"/>
          <w:lang w:val="lv-LV" w:bidi="en-US"/>
        </w:rPr>
        <w:t xml:space="preserve">veselības aprūpes pakalpojumu tarifi neatbilst ar pakalpojumu sniegšanu saistītajām faktiskajām izmaksām. </w:t>
      </w:r>
      <w:r w:rsidR="003B42B7" w:rsidRPr="004D6C02">
        <w:rPr>
          <w:rFonts w:ascii="Times New Roman" w:hAnsi="Times New Roman" w:cs="Times New Roman"/>
          <w:bCs/>
          <w:color w:val="000000"/>
          <w:sz w:val="24"/>
          <w:szCs w:val="24"/>
          <w:lang w:val="lv-LV"/>
        </w:rPr>
        <w:t>Finanšu ministrija atbilstoši Ministru prezidenta uzdevumam sniedza atzinumu par Veselības ministrijas informatīvo ziņojumu “Par VSIA “Slimnīca “Ģintermuiža”” valsts galvotā aizdevuma projekta “VSIA “Slimnīca “Ģintermuiža”” ēkas un infrastrukūras rekonstrukcija un renovācija” izpildi”, kurā norādīja, ka Veselības ministrijai ir regulāri jāvērtē slimnīcas iespējas atmaksāt valsts galvoto aizdevumu un nepieciešamības gadījumā jāveic līdzekļu pārdale Veselības ministrijas budžeta ietvaros un jānodrošina papildu finansējums.</w:t>
      </w:r>
    </w:p>
    <w:p w:rsidR="00FF3134" w:rsidRPr="004D6C02" w:rsidRDefault="00644B06" w:rsidP="00FF3134">
      <w:pPr>
        <w:spacing w:after="0"/>
        <w:ind w:firstLine="720"/>
        <w:jc w:val="both"/>
        <w:rPr>
          <w:rFonts w:ascii="Times New Roman" w:eastAsia="Calibri" w:hAnsi="Times New Roman" w:cs="Times New Roman"/>
          <w:bCs/>
          <w:sz w:val="24"/>
          <w:szCs w:val="24"/>
          <w:lang w:val="lv-LV"/>
        </w:rPr>
      </w:pPr>
      <w:r>
        <w:rPr>
          <w:rFonts w:ascii="Times New Roman" w:hAnsi="Times New Roman" w:cs="Times New Roman"/>
          <w:sz w:val="24"/>
          <w:szCs w:val="24"/>
          <w:lang w:val="lv-LV" w:bidi="en-US"/>
        </w:rPr>
        <w:t xml:space="preserve">Veselības aprūpes pakalpojuma tarifa elements </w:t>
      </w:r>
      <w:r w:rsidR="003B42B7">
        <w:rPr>
          <w:rFonts w:ascii="Times New Roman" w:hAnsi="Times New Roman" w:cs="Times New Roman"/>
          <w:sz w:val="24"/>
          <w:szCs w:val="24"/>
          <w:lang w:val="lv-LV" w:bidi="en-US"/>
        </w:rPr>
        <w:t>P</w:t>
      </w:r>
      <w:r>
        <w:rPr>
          <w:rFonts w:ascii="Times New Roman" w:hAnsi="Times New Roman" w:cs="Times New Roman"/>
          <w:sz w:val="24"/>
          <w:szCs w:val="24"/>
          <w:lang w:val="lv-LV" w:bidi="en-US"/>
        </w:rPr>
        <w:t xml:space="preserve"> – </w:t>
      </w:r>
      <w:r w:rsidR="003B42B7">
        <w:rPr>
          <w:rFonts w:ascii="Times New Roman" w:hAnsi="Times New Roman" w:cs="Times New Roman"/>
          <w:sz w:val="24"/>
          <w:szCs w:val="24"/>
          <w:lang w:val="lv-LV" w:bidi="en-US"/>
        </w:rPr>
        <w:t>peļņa (</w:t>
      </w:r>
      <w:r>
        <w:rPr>
          <w:rFonts w:ascii="Times New Roman" w:hAnsi="Times New Roman" w:cs="Times New Roman"/>
          <w:sz w:val="24"/>
          <w:szCs w:val="24"/>
          <w:lang w:val="lv-LV" w:bidi="en-US"/>
        </w:rPr>
        <w:t>attīstības izdevumi</w:t>
      </w:r>
      <w:r w:rsidR="003B42B7">
        <w:rPr>
          <w:rFonts w:ascii="Times New Roman" w:hAnsi="Times New Roman" w:cs="Times New Roman"/>
          <w:sz w:val="24"/>
          <w:szCs w:val="24"/>
          <w:lang w:val="lv-LV" w:bidi="en-US"/>
        </w:rPr>
        <w:t>)</w:t>
      </w:r>
      <w:r>
        <w:rPr>
          <w:rFonts w:ascii="Times New Roman" w:hAnsi="Times New Roman" w:cs="Times New Roman"/>
          <w:sz w:val="24"/>
          <w:szCs w:val="24"/>
          <w:lang w:val="lv-LV" w:bidi="en-US"/>
        </w:rPr>
        <w:t xml:space="preserve"> ar Ministru kabineta 2008.gada 22.decembra noteikumiem Nr.1111 „Grozījumi Ministru kabineta 2006.gada 19.decembra noteikumos Nr.1046 „Veselības aprūpes organizēšanas un </w:t>
      </w:r>
      <w:r w:rsidRPr="00FF3134">
        <w:rPr>
          <w:rFonts w:ascii="Times New Roman" w:hAnsi="Times New Roman" w:cs="Times New Roman"/>
          <w:sz w:val="24"/>
          <w:szCs w:val="24"/>
          <w:lang w:val="lv-LV" w:bidi="en-US"/>
        </w:rPr>
        <w:t>finansēšanas kārtība””</w:t>
      </w:r>
      <w:r w:rsidR="003B42B7" w:rsidRPr="00FF3134">
        <w:rPr>
          <w:rFonts w:ascii="Times New Roman" w:hAnsi="Times New Roman" w:cs="Times New Roman"/>
          <w:sz w:val="24"/>
          <w:szCs w:val="24"/>
          <w:lang w:val="lv-LV" w:bidi="en-US"/>
        </w:rPr>
        <w:t xml:space="preserve"> no 2009.gada 1.jūlija tika izslēgts no veselības</w:t>
      </w:r>
      <w:r w:rsidR="00FF3134">
        <w:rPr>
          <w:rFonts w:ascii="Times New Roman" w:hAnsi="Times New Roman" w:cs="Times New Roman"/>
          <w:sz w:val="24"/>
          <w:szCs w:val="24"/>
          <w:lang w:val="lv-LV" w:bidi="en-US"/>
        </w:rPr>
        <w:t xml:space="preserve"> </w:t>
      </w:r>
      <w:r w:rsidR="003B42B7" w:rsidRPr="00FF3134">
        <w:rPr>
          <w:rFonts w:ascii="Times New Roman" w:hAnsi="Times New Roman" w:cs="Times New Roman"/>
          <w:sz w:val="24"/>
          <w:szCs w:val="24"/>
          <w:lang w:val="lv-LV" w:bidi="en-US"/>
        </w:rPr>
        <w:t>aprūpe</w:t>
      </w:r>
      <w:r w:rsidR="00FF3134">
        <w:rPr>
          <w:rFonts w:ascii="Times New Roman" w:hAnsi="Times New Roman" w:cs="Times New Roman"/>
          <w:sz w:val="24"/>
          <w:szCs w:val="24"/>
          <w:lang w:val="lv-LV" w:bidi="en-US"/>
        </w:rPr>
        <w:t>s</w:t>
      </w:r>
      <w:r w:rsidR="003B42B7" w:rsidRPr="00FF3134">
        <w:rPr>
          <w:rFonts w:ascii="Times New Roman" w:hAnsi="Times New Roman" w:cs="Times New Roman"/>
          <w:sz w:val="24"/>
          <w:szCs w:val="24"/>
          <w:lang w:val="lv-LV" w:bidi="en-US"/>
        </w:rPr>
        <w:t xml:space="preserve"> pakalpojumu tarifa aprēķina formulas. </w:t>
      </w:r>
      <w:r w:rsidR="00FF3134" w:rsidRPr="004D6C02">
        <w:rPr>
          <w:rFonts w:ascii="Times New Roman" w:hAnsi="Times New Roman" w:cs="Times New Roman"/>
          <w:sz w:val="24"/>
          <w:szCs w:val="24"/>
          <w:lang w:val="lv-LV"/>
        </w:rPr>
        <w:t xml:space="preserve">Ierobežotā finansējuma situācijā visām stacionārajām ārstniecības iestādēm tiek piešķirts „globālais budžets” (katru mēnesi ārstniecības iestādei novirzot 1/12 no gadam noteiktā finansējuma), kura aprēķināšanā ir ņemts vērā iepriekšējā periodā hospitalizēto pacientu skaits un samazinātais tarifs, kas nenodrošina slimnīcām katra hospitalizācijas gadījuma apmaksu atbilstoši faktiskajiem izdevumiem. </w:t>
      </w:r>
      <w:r w:rsidR="00FF3134" w:rsidRPr="004D6C02">
        <w:rPr>
          <w:rFonts w:ascii="Times New Roman" w:eastAsia="Calibri" w:hAnsi="Times New Roman" w:cs="Times New Roman"/>
          <w:bCs/>
          <w:sz w:val="24"/>
          <w:szCs w:val="24"/>
          <w:lang w:val="lv-LV"/>
        </w:rPr>
        <w:t xml:space="preserve">Finansējums, līdz ar krīzes gados veikto samazinājumu, ir nepietiekams esošā veselības aprūpes pakalpojumu apjoma </w:t>
      </w:r>
      <w:r w:rsidR="00FF3134" w:rsidRPr="004D6C02">
        <w:rPr>
          <w:rFonts w:ascii="Times New Roman" w:eastAsia="Calibri" w:hAnsi="Times New Roman" w:cs="Times New Roman"/>
          <w:bCs/>
          <w:sz w:val="24"/>
          <w:szCs w:val="24"/>
          <w:lang w:val="lv-LV"/>
        </w:rPr>
        <w:lastRenderedPageBreak/>
        <w:t>nodrošināšanai, turklāt finansējums tiek piešķirts, nesasaistot to ar faktiski nepieciešamo pakalpojumu apjomu.</w:t>
      </w:r>
    </w:p>
    <w:p w:rsidR="00FF3134" w:rsidRPr="004D6C02" w:rsidRDefault="00FF3134" w:rsidP="00A2740E">
      <w:pPr>
        <w:spacing w:after="0"/>
        <w:ind w:firstLine="720"/>
        <w:jc w:val="both"/>
        <w:rPr>
          <w:rFonts w:ascii="Times New Roman" w:hAnsi="Times New Roman" w:cs="Times New Roman"/>
          <w:sz w:val="24"/>
          <w:szCs w:val="24"/>
          <w:lang w:val="lv-LV"/>
        </w:rPr>
      </w:pPr>
      <w:r w:rsidRPr="004D6C02">
        <w:rPr>
          <w:rFonts w:ascii="Times New Roman" w:hAnsi="Times New Roman" w:cs="Times New Roman"/>
          <w:sz w:val="24"/>
          <w:szCs w:val="24"/>
          <w:lang w:val="lv-LV"/>
        </w:rPr>
        <w:t>Galvenie parādu veidošanās iemesli slimnīcās bija:</w:t>
      </w:r>
    </w:p>
    <w:p w:rsidR="00FF3134" w:rsidRPr="004D6C02" w:rsidRDefault="00FF3134" w:rsidP="00A2740E">
      <w:pPr>
        <w:pStyle w:val="ListParagraph"/>
        <w:numPr>
          <w:ilvl w:val="0"/>
          <w:numId w:val="7"/>
        </w:numPr>
        <w:tabs>
          <w:tab w:val="left" w:pos="1134"/>
        </w:tabs>
        <w:spacing w:after="0"/>
        <w:jc w:val="both"/>
        <w:rPr>
          <w:rFonts w:ascii="Times New Roman" w:hAnsi="Times New Roman" w:cs="Times New Roman"/>
          <w:sz w:val="24"/>
          <w:szCs w:val="24"/>
          <w:lang w:val="lv-LV"/>
        </w:rPr>
      </w:pPr>
      <w:r w:rsidRPr="004D6C02">
        <w:rPr>
          <w:rFonts w:ascii="Times New Roman" w:hAnsi="Times New Roman" w:cs="Times New Roman"/>
          <w:sz w:val="24"/>
          <w:szCs w:val="24"/>
          <w:lang w:val="lv-LV"/>
        </w:rPr>
        <w:t xml:space="preserve">samazinātais valsts budžeta finansējums veselības nozarei, kā rezultātā slimnīcām veidojās līguma izpilde virs plānotā; </w:t>
      </w:r>
    </w:p>
    <w:p w:rsidR="00FF3134" w:rsidRPr="00FF3134" w:rsidRDefault="00FF3134" w:rsidP="00A2740E">
      <w:pPr>
        <w:pStyle w:val="ListParagraph"/>
        <w:numPr>
          <w:ilvl w:val="0"/>
          <w:numId w:val="7"/>
        </w:numPr>
        <w:tabs>
          <w:tab w:val="left" w:pos="1134"/>
        </w:tabs>
        <w:spacing w:after="0"/>
        <w:jc w:val="both"/>
        <w:rPr>
          <w:rFonts w:ascii="Times New Roman" w:hAnsi="Times New Roman" w:cs="Times New Roman"/>
          <w:sz w:val="24"/>
          <w:szCs w:val="24"/>
        </w:rPr>
      </w:pPr>
      <w:proofErr w:type="gramStart"/>
      <w:r w:rsidRPr="00FF3134">
        <w:rPr>
          <w:rFonts w:ascii="Times New Roman" w:hAnsi="Times New Roman" w:cs="Times New Roman"/>
          <w:sz w:val="24"/>
          <w:szCs w:val="24"/>
        </w:rPr>
        <w:t>medikamentu</w:t>
      </w:r>
      <w:proofErr w:type="gramEnd"/>
      <w:r w:rsidRPr="00FF3134">
        <w:rPr>
          <w:rFonts w:ascii="Times New Roman" w:hAnsi="Times New Roman" w:cs="Times New Roman"/>
          <w:sz w:val="24"/>
          <w:szCs w:val="24"/>
        </w:rPr>
        <w:t xml:space="preserve"> un medicīnas preču izmaksu pieaugumu ietekmējis arī PVN likmes pieaugums no 5% uz 12%</w:t>
      </w:r>
      <w:r>
        <w:rPr>
          <w:rFonts w:ascii="Times New Roman" w:hAnsi="Times New Roman" w:cs="Times New Roman"/>
          <w:sz w:val="24"/>
          <w:szCs w:val="24"/>
        </w:rPr>
        <w:t>. P</w:t>
      </w:r>
      <w:r w:rsidRPr="00FF3134">
        <w:rPr>
          <w:rFonts w:ascii="Times New Roman" w:hAnsi="Times New Roman" w:cs="Times New Roman"/>
          <w:sz w:val="24"/>
          <w:szCs w:val="24"/>
        </w:rPr>
        <w:t>alielinoties pacientu skaitam, palielinās izdevumi par nepieciešamajiem medikamentiem, medicīnas precēm, kā arī par pārtikas, saimniecības un citām precē</w:t>
      </w:r>
      <w:r>
        <w:rPr>
          <w:rFonts w:ascii="Times New Roman" w:hAnsi="Times New Roman" w:cs="Times New Roman"/>
          <w:sz w:val="24"/>
          <w:szCs w:val="24"/>
        </w:rPr>
        <w:t>m, kas ietekmē pakalpojuma cenu;</w:t>
      </w:r>
    </w:p>
    <w:p w:rsidR="00FF3134" w:rsidRPr="00FF3134" w:rsidRDefault="00FF3134" w:rsidP="00A2740E">
      <w:pPr>
        <w:pStyle w:val="ListParagraph"/>
        <w:numPr>
          <w:ilvl w:val="0"/>
          <w:numId w:val="7"/>
        </w:numPr>
        <w:tabs>
          <w:tab w:val="left" w:pos="1134"/>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p</w:t>
      </w:r>
      <w:r w:rsidRPr="00FF3134">
        <w:rPr>
          <w:rFonts w:ascii="Times New Roman" w:hAnsi="Times New Roman" w:cs="Times New Roman"/>
          <w:sz w:val="24"/>
          <w:szCs w:val="24"/>
        </w:rPr>
        <w:t>alielinājās</w:t>
      </w:r>
      <w:proofErr w:type="gramEnd"/>
      <w:r w:rsidRPr="00FF3134">
        <w:rPr>
          <w:rFonts w:ascii="Times New Roman" w:hAnsi="Times New Roman" w:cs="Times New Roman"/>
          <w:sz w:val="24"/>
          <w:szCs w:val="24"/>
        </w:rPr>
        <w:t xml:space="preserve"> energoresursu</w:t>
      </w:r>
      <w:r>
        <w:rPr>
          <w:rFonts w:ascii="Times New Roman" w:hAnsi="Times New Roman" w:cs="Times New Roman"/>
          <w:sz w:val="24"/>
          <w:szCs w:val="24"/>
        </w:rPr>
        <w:t>, siltumenerģijas, gāzes, degvielas</w:t>
      </w:r>
      <w:r w:rsidRPr="00FF3134">
        <w:rPr>
          <w:rFonts w:ascii="Times New Roman" w:hAnsi="Times New Roman" w:cs="Times New Roman"/>
          <w:sz w:val="24"/>
          <w:szCs w:val="24"/>
        </w:rPr>
        <w:t xml:space="preserve"> cenas</w:t>
      </w:r>
      <w:r>
        <w:rPr>
          <w:rFonts w:ascii="Times New Roman" w:hAnsi="Times New Roman" w:cs="Times New Roman"/>
          <w:sz w:val="24"/>
          <w:szCs w:val="24"/>
        </w:rPr>
        <w:t>.</w:t>
      </w:r>
    </w:p>
    <w:p w:rsidR="003B42B7" w:rsidRDefault="00644B06" w:rsidP="00FF3134">
      <w:pPr>
        <w:autoSpaceDE w:val="0"/>
        <w:autoSpaceDN w:val="0"/>
        <w:adjustRightInd w:val="0"/>
        <w:spacing w:after="0" w:line="240" w:lineRule="auto"/>
        <w:ind w:firstLine="720"/>
        <w:jc w:val="both"/>
        <w:rPr>
          <w:rFonts w:ascii="Times New Roman" w:hAnsi="Times New Roman" w:cs="Times New Roman"/>
          <w:sz w:val="24"/>
          <w:szCs w:val="24"/>
          <w:lang w:val="lv-LV" w:bidi="en-US"/>
        </w:rPr>
      </w:pPr>
      <w:r w:rsidRPr="00FF3134">
        <w:rPr>
          <w:rFonts w:ascii="Times New Roman" w:hAnsi="Times New Roman" w:cs="Times New Roman"/>
          <w:sz w:val="24"/>
          <w:szCs w:val="24"/>
          <w:lang w:val="lv-LV" w:bidi="en-US"/>
        </w:rPr>
        <w:t>Tā kā ārstniecības iestādēm 2013., 2014. un 2015.gadā jāuzsāk valsts galvotā aizdevuma pamatsummas un procentu atmaksa, bet izvērtējot ārstniecības iestāžu 2012.gada operatīvos pārskatus, maksātspējas rādītāji liecina par finanšu risku un nespēju nodrošināt pamatsummas atmaksu, tad v</w:t>
      </w:r>
      <w:r w:rsidR="0023449A" w:rsidRPr="00FF3134">
        <w:rPr>
          <w:rFonts w:ascii="Times New Roman" w:hAnsi="Times New Roman" w:cs="Times New Roman"/>
          <w:sz w:val="24"/>
          <w:szCs w:val="24"/>
          <w:lang w:val="lv-LV" w:bidi="en-US"/>
        </w:rPr>
        <w:t xml:space="preserve">isām ārstniecības </w:t>
      </w:r>
      <w:r w:rsidR="0023449A">
        <w:rPr>
          <w:rFonts w:ascii="Times New Roman" w:hAnsi="Times New Roman" w:cs="Times New Roman"/>
          <w:sz w:val="24"/>
          <w:szCs w:val="24"/>
          <w:lang w:val="lv-LV" w:bidi="en-US"/>
        </w:rPr>
        <w:t>iestādēm ir jāparedz tarifā fi</w:t>
      </w:r>
      <w:r>
        <w:rPr>
          <w:rFonts w:ascii="Times New Roman" w:hAnsi="Times New Roman" w:cs="Times New Roman"/>
          <w:sz w:val="24"/>
          <w:szCs w:val="24"/>
          <w:lang w:val="lv-LV" w:bidi="en-US"/>
        </w:rPr>
        <w:t xml:space="preserve">nansējums attīstības izdevumiem </w:t>
      </w:r>
      <w:r w:rsidR="0023449A" w:rsidRPr="00644B06">
        <w:rPr>
          <w:rFonts w:ascii="Times New Roman" w:hAnsi="Times New Roman" w:cs="Times New Roman"/>
          <w:sz w:val="24"/>
          <w:szCs w:val="24"/>
          <w:u w:val="single"/>
          <w:lang w:val="lv-LV" w:bidi="en-US"/>
        </w:rPr>
        <w:t>2014.gadā</w:t>
      </w:r>
      <w:r w:rsidR="0023449A" w:rsidRPr="00FC01A3">
        <w:rPr>
          <w:rFonts w:ascii="Times New Roman" w:hAnsi="Times New Roman" w:cs="Times New Roman"/>
          <w:sz w:val="24"/>
          <w:szCs w:val="24"/>
          <w:lang w:val="lv-LV" w:bidi="en-US"/>
        </w:rPr>
        <w:t xml:space="preserve"> </w:t>
      </w:r>
      <w:r w:rsidR="0023449A" w:rsidRPr="00FC01A3">
        <w:rPr>
          <w:rFonts w:ascii="Times New Roman" w:hAnsi="Times New Roman" w:cs="Times New Roman"/>
          <w:b/>
          <w:sz w:val="24"/>
          <w:szCs w:val="24"/>
          <w:lang w:val="lv-LV" w:bidi="en-US"/>
        </w:rPr>
        <w:t>7 984 120 latu</w:t>
      </w:r>
      <w:r w:rsidR="0023449A" w:rsidRPr="00FC01A3">
        <w:rPr>
          <w:rFonts w:ascii="Times New Roman" w:hAnsi="Times New Roman" w:cs="Times New Roman"/>
          <w:sz w:val="24"/>
          <w:szCs w:val="24"/>
          <w:lang w:val="lv-LV" w:bidi="en-US"/>
        </w:rPr>
        <w:t xml:space="preserve"> apmērā, </w:t>
      </w:r>
      <w:r>
        <w:rPr>
          <w:rFonts w:ascii="Times New Roman" w:hAnsi="Times New Roman" w:cs="Times New Roman"/>
          <w:sz w:val="24"/>
          <w:szCs w:val="24"/>
          <w:u w:val="single"/>
          <w:lang w:val="lv-LV" w:bidi="en-US"/>
        </w:rPr>
        <w:t xml:space="preserve">2013.gada </w:t>
      </w:r>
      <w:r w:rsidR="0023449A" w:rsidRPr="00644B06">
        <w:rPr>
          <w:rFonts w:ascii="Times New Roman" w:hAnsi="Times New Roman" w:cs="Times New Roman"/>
          <w:sz w:val="24"/>
          <w:szCs w:val="24"/>
          <w:u w:val="single"/>
          <w:lang w:val="lv-LV" w:bidi="en-US"/>
        </w:rPr>
        <w:t>pusgadam</w:t>
      </w:r>
      <w:r w:rsidR="0023449A" w:rsidRPr="00FC01A3">
        <w:rPr>
          <w:rFonts w:ascii="Times New Roman" w:hAnsi="Times New Roman" w:cs="Times New Roman"/>
          <w:sz w:val="24"/>
          <w:szCs w:val="24"/>
          <w:lang w:val="lv-LV" w:bidi="en-US"/>
        </w:rPr>
        <w:t xml:space="preserve"> </w:t>
      </w:r>
      <w:r w:rsidR="0023449A" w:rsidRPr="00FC01A3">
        <w:rPr>
          <w:rFonts w:ascii="Times New Roman" w:hAnsi="Times New Roman" w:cs="Times New Roman"/>
          <w:b/>
          <w:sz w:val="24"/>
          <w:szCs w:val="24"/>
          <w:lang w:val="lv-LV" w:bidi="en-US"/>
        </w:rPr>
        <w:t>3 992 060 lati</w:t>
      </w:r>
      <w:r w:rsidR="0023449A" w:rsidRPr="00FC01A3">
        <w:rPr>
          <w:rFonts w:ascii="Times New Roman" w:hAnsi="Times New Roman" w:cs="Times New Roman"/>
          <w:sz w:val="24"/>
          <w:szCs w:val="24"/>
          <w:lang w:val="lv-LV" w:bidi="en-US"/>
        </w:rPr>
        <w:t xml:space="preserve"> tarifu palielinājuma</w:t>
      </w:r>
      <w:r w:rsidR="0023449A" w:rsidRPr="00AA5592">
        <w:rPr>
          <w:rFonts w:ascii="Times New Roman" w:hAnsi="Times New Roman" w:cs="Times New Roman"/>
          <w:sz w:val="24"/>
          <w:szCs w:val="24"/>
          <w:lang w:val="lv-LV" w:bidi="en-US"/>
        </w:rPr>
        <w:t xml:space="preserve"> novirzīšanai </w:t>
      </w:r>
      <w:r w:rsidR="0023449A" w:rsidRPr="00AA5592">
        <w:rPr>
          <w:rFonts w:ascii="Times New Roman" w:eastAsia="Times New Roman" w:hAnsi="Times New Roman" w:cs="Times New Roman"/>
          <w:sz w:val="24"/>
          <w:szCs w:val="24"/>
        </w:rPr>
        <w:t>attiecīgiem stacionārās veselības aprūpes pakalpojumu tarifa elementiem</w:t>
      </w:r>
      <w:r w:rsidR="0023449A">
        <w:rPr>
          <w:rFonts w:ascii="Times New Roman" w:hAnsi="Times New Roman" w:cs="Times New Roman"/>
          <w:sz w:val="24"/>
          <w:szCs w:val="24"/>
          <w:lang w:val="lv-LV" w:bidi="en-US"/>
        </w:rPr>
        <w:t xml:space="preserve">, tādējādi arī noteiktos tarifus tuvinot faktiskajām izmaksām. </w:t>
      </w:r>
    </w:p>
    <w:p w:rsidR="0023449A" w:rsidRPr="00644B06" w:rsidRDefault="003B42B7" w:rsidP="003B42B7">
      <w:pPr>
        <w:autoSpaceDE w:val="0"/>
        <w:autoSpaceDN w:val="0"/>
        <w:adjustRightInd w:val="0"/>
        <w:spacing w:after="0" w:line="240" w:lineRule="auto"/>
        <w:jc w:val="both"/>
        <w:rPr>
          <w:rFonts w:ascii="Times New Roman" w:hAnsi="Times New Roman" w:cs="Times New Roman"/>
          <w:sz w:val="24"/>
          <w:szCs w:val="24"/>
          <w:lang w:val="lv-LV" w:bidi="en-US"/>
        </w:rPr>
      </w:pPr>
      <w:r>
        <w:rPr>
          <w:rFonts w:ascii="Times New Roman" w:hAnsi="Times New Roman" w:cs="Times New Roman"/>
          <w:sz w:val="24"/>
          <w:szCs w:val="24"/>
          <w:lang w:val="lv-LV" w:bidi="en-US"/>
        </w:rPr>
        <w:t xml:space="preserve">             </w:t>
      </w:r>
      <w:r w:rsidR="0023449A" w:rsidRPr="004D6C02">
        <w:rPr>
          <w:rFonts w:ascii="Times New Roman" w:hAnsi="Times New Roman" w:cs="Times New Roman"/>
          <w:bCs/>
          <w:color w:val="000000"/>
          <w:sz w:val="24"/>
          <w:szCs w:val="24"/>
          <w:lang w:val="lv-LV"/>
        </w:rPr>
        <w:t>Kopā izsniegtā valsts galvotā aizdevuma summa ārstniecības iestādēm - 139 160 607 lati, līdz 2013.gada 1.janvārim kopā samaksāts - 13 846 112 lati (tai skaitā, pamatsumma - 5 610 564 lati; procentu maksājumi - 7 929</w:t>
      </w:r>
      <w:r w:rsidR="00AB21D0">
        <w:rPr>
          <w:rFonts w:ascii="Times New Roman" w:hAnsi="Times New Roman" w:cs="Times New Roman"/>
          <w:bCs/>
          <w:color w:val="000000"/>
          <w:sz w:val="24"/>
          <w:szCs w:val="24"/>
          <w:lang w:val="lv-LV"/>
        </w:rPr>
        <w:t> </w:t>
      </w:r>
      <w:r w:rsidR="0023449A" w:rsidRPr="004D6C02">
        <w:rPr>
          <w:rFonts w:ascii="Times New Roman" w:hAnsi="Times New Roman" w:cs="Times New Roman"/>
          <w:bCs/>
          <w:color w:val="000000"/>
          <w:sz w:val="24"/>
          <w:szCs w:val="24"/>
          <w:lang w:val="lv-LV"/>
        </w:rPr>
        <w:t>546</w:t>
      </w:r>
      <w:r w:rsidR="00AB21D0">
        <w:rPr>
          <w:rFonts w:ascii="Times New Roman" w:hAnsi="Times New Roman" w:cs="Times New Roman"/>
          <w:bCs/>
          <w:color w:val="000000"/>
          <w:sz w:val="24"/>
          <w:szCs w:val="24"/>
          <w:lang w:val="lv-LV"/>
        </w:rPr>
        <w:t xml:space="preserve"> lati</w:t>
      </w:r>
      <w:r w:rsidR="0023449A" w:rsidRPr="004D6C02">
        <w:rPr>
          <w:rFonts w:ascii="Times New Roman" w:hAnsi="Times New Roman" w:cs="Times New Roman"/>
          <w:bCs/>
          <w:color w:val="000000"/>
          <w:sz w:val="24"/>
          <w:szCs w:val="24"/>
          <w:lang w:val="lv-LV"/>
        </w:rPr>
        <w:t>; saistību maksa - 306</w:t>
      </w:r>
      <w:r w:rsidR="00AB21D0">
        <w:rPr>
          <w:rFonts w:ascii="Times New Roman" w:hAnsi="Times New Roman" w:cs="Times New Roman"/>
          <w:bCs/>
          <w:color w:val="000000"/>
          <w:sz w:val="24"/>
          <w:szCs w:val="24"/>
          <w:lang w:val="lv-LV"/>
        </w:rPr>
        <w:t> </w:t>
      </w:r>
      <w:r w:rsidR="0023449A" w:rsidRPr="004D6C02">
        <w:rPr>
          <w:rFonts w:ascii="Times New Roman" w:hAnsi="Times New Roman" w:cs="Times New Roman"/>
          <w:bCs/>
          <w:color w:val="000000"/>
          <w:sz w:val="24"/>
          <w:szCs w:val="24"/>
          <w:lang w:val="lv-LV"/>
        </w:rPr>
        <w:t>002</w:t>
      </w:r>
      <w:r w:rsidR="00AB21D0">
        <w:rPr>
          <w:rFonts w:ascii="Times New Roman" w:hAnsi="Times New Roman" w:cs="Times New Roman"/>
          <w:bCs/>
          <w:color w:val="000000"/>
          <w:sz w:val="24"/>
          <w:szCs w:val="24"/>
          <w:lang w:val="lv-LV"/>
        </w:rPr>
        <w:t xml:space="preserve"> lati</w:t>
      </w:r>
      <w:r w:rsidR="0023449A" w:rsidRPr="004D6C02">
        <w:rPr>
          <w:rFonts w:ascii="Times New Roman" w:hAnsi="Times New Roman" w:cs="Times New Roman"/>
          <w:bCs/>
          <w:color w:val="000000"/>
          <w:sz w:val="24"/>
          <w:szCs w:val="24"/>
          <w:lang w:val="lv-LV"/>
        </w:rPr>
        <w:t>).</w:t>
      </w:r>
    </w:p>
    <w:p w:rsidR="0023449A" w:rsidRPr="00A11BE0" w:rsidRDefault="0023449A" w:rsidP="0023449A">
      <w:pPr>
        <w:autoSpaceDE w:val="0"/>
        <w:autoSpaceDN w:val="0"/>
        <w:adjustRightInd w:val="0"/>
        <w:spacing w:after="0" w:line="240" w:lineRule="auto"/>
        <w:ind w:firstLine="720"/>
        <w:jc w:val="both"/>
        <w:rPr>
          <w:rFonts w:ascii="Times New Roman" w:hAnsi="Times New Roman" w:cs="Times New Roman"/>
          <w:sz w:val="24"/>
          <w:szCs w:val="24"/>
          <w:lang w:val="lv-LV"/>
        </w:rPr>
      </w:pPr>
      <w:r>
        <w:rPr>
          <w:rFonts w:ascii="Times New Roman" w:hAnsi="Times New Roman" w:cs="Times New Roman"/>
          <w:bCs/>
          <w:color w:val="000000"/>
          <w:sz w:val="24"/>
          <w:szCs w:val="24"/>
        </w:rPr>
        <w:t>Veicamie p</w:t>
      </w:r>
      <w:r w:rsidRPr="002B0D86">
        <w:rPr>
          <w:rFonts w:ascii="Times New Roman" w:hAnsi="Times New Roman" w:cs="Times New Roman"/>
          <w:bCs/>
          <w:color w:val="000000"/>
          <w:sz w:val="24"/>
          <w:szCs w:val="24"/>
        </w:rPr>
        <w:t xml:space="preserve">amatsummas </w:t>
      </w:r>
      <w:proofErr w:type="gramStart"/>
      <w:r w:rsidRPr="002B0D86">
        <w:rPr>
          <w:rFonts w:ascii="Times New Roman" w:hAnsi="Times New Roman" w:cs="Times New Roman"/>
          <w:bCs/>
          <w:color w:val="000000"/>
          <w:sz w:val="24"/>
          <w:szCs w:val="24"/>
        </w:rPr>
        <w:t>un</w:t>
      </w:r>
      <w:proofErr w:type="gramEnd"/>
      <w:r w:rsidRPr="002B0D86">
        <w:rPr>
          <w:rFonts w:ascii="Times New Roman" w:hAnsi="Times New Roman" w:cs="Times New Roman"/>
          <w:bCs/>
          <w:color w:val="000000"/>
          <w:sz w:val="24"/>
          <w:szCs w:val="24"/>
        </w:rPr>
        <w:t xml:space="preserve"> procentu maksājumi:</w:t>
      </w:r>
    </w:p>
    <w:p w:rsidR="00A64BF4" w:rsidRPr="00AB21D0" w:rsidRDefault="00AB21D0" w:rsidP="00A64BF4">
      <w:pPr>
        <w:autoSpaceDE w:val="0"/>
        <w:autoSpaceDN w:val="0"/>
        <w:adjustRightInd w:val="0"/>
        <w:spacing w:after="0" w:line="240" w:lineRule="auto"/>
        <w:rPr>
          <w:rFonts w:ascii="Times New Roman" w:hAnsi="Times New Roman" w:cs="Times New Roman"/>
          <w:bCs/>
          <w:color w:val="000000"/>
          <w:sz w:val="24"/>
          <w:szCs w:val="24"/>
          <w:lang w:val="lv-LV"/>
        </w:rPr>
      </w:pPr>
      <w:r>
        <w:rPr>
          <w:rFonts w:ascii="Times New Roman" w:hAnsi="Times New Roman" w:cs="Times New Roman"/>
          <w:bCs/>
          <w:color w:val="000000"/>
          <w:sz w:val="24"/>
          <w:szCs w:val="24"/>
          <w:lang w:val="lv-LV"/>
        </w:rPr>
        <w:t>2013.</w:t>
      </w:r>
      <w:r w:rsidRPr="00AB21D0">
        <w:rPr>
          <w:rFonts w:ascii="Times New Roman" w:hAnsi="Times New Roman" w:cs="Times New Roman"/>
          <w:bCs/>
          <w:color w:val="000000"/>
          <w:sz w:val="24"/>
          <w:szCs w:val="24"/>
          <w:lang w:val="lv-LV"/>
        </w:rPr>
        <w:t xml:space="preserve"> </w:t>
      </w:r>
      <w:r>
        <w:rPr>
          <w:rFonts w:ascii="Times New Roman" w:hAnsi="Times New Roman" w:cs="Times New Roman"/>
          <w:bCs/>
          <w:color w:val="000000"/>
          <w:sz w:val="24"/>
          <w:szCs w:val="24"/>
          <w:lang w:val="lv-LV"/>
        </w:rPr>
        <w:t>gadā</w:t>
      </w:r>
      <w:r w:rsidR="00A64BF4" w:rsidRPr="00AB21D0">
        <w:rPr>
          <w:rFonts w:ascii="Times New Roman" w:hAnsi="Times New Roman" w:cs="Times New Roman"/>
          <w:bCs/>
          <w:color w:val="000000"/>
          <w:sz w:val="24"/>
          <w:szCs w:val="24"/>
          <w:lang w:val="lv-LV"/>
        </w:rPr>
        <w:t xml:space="preserve"> - 3 </w:t>
      </w:r>
      <w:r>
        <w:rPr>
          <w:rFonts w:ascii="Times New Roman" w:hAnsi="Times New Roman" w:cs="Times New Roman"/>
          <w:bCs/>
          <w:color w:val="000000"/>
          <w:sz w:val="24"/>
          <w:szCs w:val="24"/>
          <w:lang w:val="lv-LV"/>
        </w:rPr>
        <w:t>567 905 lati</w:t>
      </w:r>
      <w:r w:rsidR="00A64BF4" w:rsidRPr="00AB21D0">
        <w:rPr>
          <w:rFonts w:ascii="Times New Roman" w:hAnsi="Times New Roman" w:cs="Times New Roman"/>
          <w:bCs/>
          <w:color w:val="000000"/>
          <w:sz w:val="24"/>
          <w:szCs w:val="24"/>
          <w:lang w:val="lv-LV"/>
        </w:rPr>
        <w:t xml:space="preserve"> (t.sk.pamatsumma - 2 684</w:t>
      </w:r>
      <w:r>
        <w:rPr>
          <w:rFonts w:ascii="Times New Roman" w:hAnsi="Times New Roman" w:cs="Times New Roman"/>
          <w:bCs/>
          <w:color w:val="000000"/>
          <w:sz w:val="24"/>
          <w:szCs w:val="24"/>
          <w:lang w:val="lv-LV"/>
        </w:rPr>
        <w:t> </w:t>
      </w:r>
      <w:r w:rsidR="00A64BF4" w:rsidRPr="00AB21D0">
        <w:rPr>
          <w:rFonts w:ascii="Times New Roman" w:hAnsi="Times New Roman" w:cs="Times New Roman"/>
          <w:bCs/>
          <w:color w:val="000000"/>
          <w:sz w:val="24"/>
          <w:szCs w:val="24"/>
          <w:lang w:val="lv-LV"/>
        </w:rPr>
        <w:t>538</w:t>
      </w:r>
      <w:r>
        <w:rPr>
          <w:rFonts w:ascii="Times New Roman" w:hAnsi="Times New Roman" w:cs="Times New Roman"/>
          <w:bCs/>
          <w:color w:val="000000"/>
          <w:sz w:val="24"/>
          <w:szCs w:val="24"/>
          <w:lang w:val="lv-LV"/>
        </w:rPr>
        <w:t xml:space="preserve"> lati</w:t>
      </w:r>
      <w:r w:rsidR="00A64BF4" w:rsidRPr="00AB21D0">
        <w:rPr>
          <w:rFonts w:ascii="Times New Roman" w:hAnsi="Times New Roman" w:cs="Times New Roman"/>
          <w:bCs/>
          <w:color w:val="000000"/>
          <w:sz w:val="24"/>
          <w:szCs w:val="24"/>
          <w:lang w:val="lv-LV"/>
        </w:rPr>
        <w:t xml:space="preserve">) </w:t>
      </w:r>
    </w:p>
    <w:p w:rsidR="00A64BF4" w:rsidRPr="00AB21D0" w:rsidRDefault="00A64BF4" w:rsidP="00A64BF4">
      <w:pPr>
        <w:autoSpaceDE w:val="0"/>
        <w:autoSpaceDN w:val="0"/>
        <w:adjustRightInd w:val="0"/>
        <w:spacing w:after="0" w:line="240" w:lineRule="auto"/>
        <w:rPr>
          <w:rFonts w:ascii="Times New Roman" w:hAnsi="Times New Roman" w:cs="Times New Roman"/>
          <w:bCs/>
          <w:color w:val="000000"/>
          <w:sz w:val="24"/>
          <w:szCs w:val="24"/>
          <w:lang w:val="lv-LV"/>
        </w:rPr>
      </w:pPr>
      <w:r w:rsidRPr="00AB21D0">
        <w:rPr>
          <w:rFonts w:ascii="Times New Roman" w:hAnsi="Times New Roman" w:cs="Times New Roman"/>
          <w:bCs/>
          <w:color w:val="000000"/>
          <w:sz w:val="24"/>
          <w:szCs w:val="24"/>
          <w:lang w:val="lv-LV"/>
        </w:rPr>
        <w:t>2014.</w:t>
      </w:r>
      <w:r w:rsidR="00AB21D0" w:rsidRPr="00AB21D0">
        <w:rPr>
          <w:rFonts w:ascii="Times New Roman" w:hAnsi="Times New Roman" w:cs="Times New Roman"/>
          <w:bCs/>
          <w:color w:val="000000"/>
          <w:sz w:val="24"/>
          <w:szCs w:val="24"/>
          <w:lang w:val="lv-LV"/>
        </w:rPr>
        <w:t xml:space="preserve"> </w:t>
      </w:r>
      <w:r w:rsidR="00AB21D0">
        <w:rPr>
          <w:rFonts w:ascii="Times New Roman" w:hAnsi="Times New Roman" w:cs="Times New Roman"/>
          <w:bCs/>
          <w:color w:val="000000"/>
          <w:sz w:val="24"/>
          <w:szCs w:val="24"/>
          <w:lang w:val="lv-LV"/>
        </w:rPr>
        <w:t>gadā</w:t>
      </w:r>
      <w:r w:rsidRPr="00AB21D0">
        <w:rPr>
          <w:rFonts w:ascii="Times New Roman" w:hAnsi="Times New Roman" w:cs="Times New Roman"/>
          <w:bCs/>
          <w:color w:val="000000"/>
          <w:sz w:val="24"/>
          <w:szCs w:val="24"/>
          <w:lang w:val="lv-LV"/>
        </w:rPr>
        <w:t xml:space="preserve"> - 3 732 428 </w:t>
      </w:r>
      <w:r w:rsidR="00AB21D0">
        <w:rPr>
          <w:rFonts w:ascii="Times New Roman" w:hAnsi="Times New Roman" w:cs="Times New Roman"/>
          <w:bCs/>
          <w:color w:val="000000"/>
          <w:sz w:val="24"/>
          <w:szCs w:val="24"/>
          <w:lang w:val="lv-LV"/>
        </w:rPr>
        <w:t>lati</w:t>
      </w:r>
      <w:r w:rsidRPr="00AB21D0">
        <w:rPr>
          <w:rFonts w:ascii="Times New Roman" w:hAnsi="Times New Roman" w:cs="Times New Roman"/>
          <w:bCs/>
          <w:color w:val="000000"/>
          <w:sz w:val="24"/>
          <w:szCs w:val="24"/>
          <w:lang w:val="lv-LV"/>
        </w:rPr>
        <w:t xml:space="preserve"> (t.sk.pamatsumma - 2 802</w:t>
      </w:r>
      <w:r w:rsidR="00AB21D0">
        <w:rPr>
          <w:rFonts w:ascii="Times New Roman" w:hAnsi="Times New Roman" w:cs="Times New Roman"/>
          <w:bCs/>
          <w:color w:val="000000"/>
          <w:sz w:val="24"/>
          <w:szCs w:val="24"/>
          <w:lang w:val="lv-LV"/>
        </w:rPr>
        <w:t> </w:t>
      </w:r>
      <w:r w:rsidRPr="00AB21D0">
        <w:rPr>
          <w:rFonts w:ascii="Times New Roman" w:hAnsi="Times New Roman" w:cs="Times New Roman"/>
          <w:bCs/>
          <w:color w:val="000000"/>
          <w:sz w:val="24"/>
          <w:szCs w:val="24"/>
          <w:lang w:val="lv-LV"/>
        </w:rPr>
        <w:t>370</w:t>
      </w:r>
      <w:r w:rsidR="00AB21D0">
        <w:rPr>
          <w:rFonts w:ascii="Times New Roman" w:hAnsi="Times New Roman" w:cs="Times New Roman"/>
          <w:bCs/>
          <w:color w:val="000000"/>
          <w:sz w:val="24"/>
          <w:szCs w:val="24"/>
          <w:lang w:val="lv-LV"/>
        </w:rPr>
        <w:t xml:space="preserve"> lati</w:t>
      </w:r>
      <w:r w:rsidRPr="00AB21D0">
        <w:rPr>
          <w:rFonts w:ascii="Times New Roman" w:hAnsi="Times New Roman" w:cs="Times New Roman"/>
          <w:bCs/>
          <w:color w:val="000000"/>
          <w:sz w:val="24"/>
          <w:szCs w:val="24"/>
          <w:lang w:val="lv-LV"/>
        </w:rPr>
        <w:t>)</w:t>
      </w:r>
    </w:p>
    <w:p w:rsidR="00A64BF4" w:rsidRPr="00AB21D0" w:rsidRDefault="00A64BF4" w:rsidP="00A64BF4">
      <w:pPr>
        <w:autoSpaceDE w:val="0"/>
        <w:autoSpaceDN w:val="0"/>
        <w:adjustRightInd w:val="0"/>
        <w:spacing w:after="0" w:line="240" w:lineRule="auto"/>
        <w:rPr>
          <w:rFonts w:ascii="Times New Roman" w:hAnsi="Times New Roman" w:cs="Times New Roman"/>
          <w:bCs/>
          <w:color w:val="000000"/>
          <w:sz w:val="24"/>
          <w:szCs w:val="24"/>
          <w:lang w:val="lv-LV"/>
        </w:rPr>
      </w:pPr>
      <w:r w:rsidRPr="00AB21D0">
        <w:rPr>
          <w:rFonts w:ascii="Times New Roman" w:hAnsi="Times New Roman" w:cs="Times New Roman"/>
          <w:bCs/>
          <w:color w:val="000000"/>
          <w:sz w:val="24"/>
          <w:szCs w:val="24"/>
          <w:lang w:val="lv-LV"/>
        </w:rPr>
        <w:t>2015.</w:t>
      </w:r>
      <w:r w:rsidR="00AB21D0" w:rsidRPr="00AB21D0">
        <w:rPr>
          <w:rFonts w:ascii="Times New Roman" w:hAnsi="Times New Roman" w:cs="Times New Roman"/>
          <w:bCs/>
          <w:color w:val="000000"/>
          <w:sz w:val="24"/>
          <w:szCs w:val="24"/>
          <w:lang w:val="lv-LV"/>
        </w:rPr>
        <w:t xml:space="preserve"> </w:t>
      </w:r>
      <w:r w:rsidR="00AB21D0">
        <w:rPr>
          <w:rFonts w:ascii="Times New Roman" w:hAnsi="Times New Roman" w:cs="Times New Roman"/>
          <w:bCs/>
          <w:color w:val="000000"/>
          <w:sz w:val="24"/>
          <w:szCs w:val="24"/>
          <w:lang w:val="lv-LV"/>
        </w:rPr>
        <w:t>gadā</w:t>
      </w:r>
      <w:r w:rsidR="00AB21D0" w:rsidRPr="00AB21D0">
        <w:rPr>
          <w:rFonts w:ascii="Times New Roman" w:hAnsi="Times New Roman" w:cs="Times New Roman"/>
          <w:bCs/>
          <w:color w:val="000000"/>
          <w:sz w:val="24"/>
          <w:szCs w:val="24"/>
          <w:lang w:val="lv-LV"/>
        </w:rPr>
        <w:t xml:space="preserve"> </w:t>
      </w:r>
      <w:r w:rsidRPr="00AB21D0">
        <w:rPr>
          <w:rFonts w:ascii="Times New Roman" w:hAnsi="Times New Roman" w:cs="Times New Roman"/>
          <w:bCs/>
          <w:color w:val="000000"/>
          <w:sz w:val="24"/>
          <w:szCs w:val="24"/>
          <w:lang w:val="lv-LV"/>
        </w:rPr>
        <w:t xml:space="preserve">- 4 969 044 </w:t>
      </w:r>
      <w:r w:rsidR="00AB21D0">
        <w:rPr>
          <w:rFonts w:ascii="Times New Roman" w:hAnsi="Times New Roman" w:cs="Times New Roman"/>
          <w:bCs/>
          <w:color w:val="000000"/>
          <w:sz w:val="24"/>
          <w:szCs w:val="24"/>
          <w:lang w:val="lv-LV"/>
        </w:rPr>
        <w:t>lati</w:t>
      </w:r>
      <w:r w:rsidR="00AB21D0" w:rsidRPr="00AB21D0">
        <w:rPr>
          <w:rFonts w:ascii="Times New Roman" w:hAnsi="Times New Roman" w:cs="Times New Roman"/>
          <w:bCs/>
          <w:color w:val="000000"/>
          <w:sz w:val="24"/>
          <w:szCs w:val="24"/>
          <w:lang w:val="lv-LV"/>
        </w:rPr>
        <w:t xml:space="preserve"> </w:t>
      </w:r>
      <w:r w:rsidRPr="00AB21D0">
        <w:rPr>
          <w:rFonts w:ascii="Times New Roman" w:hAnsi="Times New Roman" w:cs="Times New Roman"/>
          <w:bCs/>
          <w:color w:val="000000"/>
          <w:sz w:val="24"/>
          <w:szCs w:val="24"/>
          <w:lang w:val="lv-LV"/>
        </w:rPr>
        <w:t>L (t.sk.pamatsumma - 4 057</w:t>
      </w:r>
      <w:r w:rsidR="00AB21D0">
        <w:rPr>
          <w:rFonts w:ascii="Times New Roman" w:hAnsi="Times New Roman" w:cs="Times New Roman"/>
          <w:bCs/>
          <w:color w:val="000000"/>
          <w:sz w:val="24"/>
          <w:szCs w:val="24"/>
          <w:lang w:val="lv-LV"/>
        </w:rPr>
        <w:t> </w:t>
      </w:r>
      <w:r w:rsidRPr="00AB21D0">
        <w:rPr>
          <w:rFonts w:ascii="Times New Roman" w:hAnsi="Times New Roman" w:cs="Times New Roman"/>
          <w:bCs/>
          <w:color w:val="000000"/>
          <w:sz w:val="24"/>
          <w:szCs w:val="24"/>
          <w:lang w:val="lv-LV"/>
        </w:rPr>
        <w:t>019</w:t>
      </w:r>
      <w:r w:rsidR="00AB21D0">
        <w:rPr>
          <w:rFonts w:ascii="Times New Roman" w:hAnsi="Times New Roman" w:cs="Times New Roman"/>
          <w:bCs/>
          <w:color w:val="000000"/>
          <w:sz w:val="24"/>
          <w:szCs w:val="24"/>
          <w:lang w:val="lv-LV"/>
        </w:rPr>
        <w:t xml:space="preserve"> lati</w:t>
      </w:r>
      <w:r w:rsidRPr="00AB21D0">
        <w:rPr>
          <w:rFonts w:ascii="Times New Roman" w:hAnsi="Times New Roman" w:cs="Times New Roman"/>
          <w:bCs/>
          <w:color w:val="000000"/>
          <w:sz w:val="24"/>
          <w:szCs w:val="24"/>
          <w:lang w:val="lv-LV"/>
        </w:rPr>
        <w:t>)</w:t>
      </w:r>
    </w:p>
    <w:p w:rsidR="00A64BF4" w:rsidRPr="00AB21D0" w:rsidRDefault="00A64BF4" w:rsidP="00A64BF4">
      <w:pPr>
        <w:spacing w:after="0" w:line="240" w:lineRule="auto"/>
        <w:jc w:val="both"/>
        <w:rPr>
          <w:rFonts w:ascii="Times New Roman" w:hAnsi="Times New Roman" w:cs="Times New Roman"/>
          <w:bCs/>
          <w:color w:val="000000"/>
          <w:sz w:val="24"/>
          <w:szCs w:val="24"/>
          <w:lang w:val="lv-LV"/>
        </w:rPr>
      </w:pPr>
      <w:r w:rsidRPr="00AB21D0">
        <w:rPr>
          <w:rFonts w:ascii="Times New Roman" w:hAnsi="Times New Roman" w:cs="Times New Roman"/>
          <w:bCs/>
          <w:color w:val="000000"/>
          <w:sz w:val="24"/>
          <w:szCs w:val="24"/>
          <w:lang w:val="lv-LV"/>
        </w:rPr>
        <w:t>2016.</w:t>
      </w:r>
      <w:r w:rsidR="00AB21D0" w:rsidRPr="00AB21D0">
        <w:rPr>
          <w:rFonts w:ascii="Times New Roman" w:hAnsi="Times New Roman" w:cs="Times New Roman"/>
          <w:bCs/>
          <w:color w:val="000000"/>
          <w:sz w:val="24"/>
          <w:szCs w:val="24"/>
          <w:lang w:val="lv-LV"/>
        </w:rPr>
        <w:t xml:space="preserve"> </w:t>
      </w:r>
      <w:r w:rsidR="00AB21D0">
        <w:rPr>
          <w:rFonts w:ascii="Times New Roman" w:hAnsi="Times New Roman" w:cs="Times New Roman"/>
          <w:bCs/>
          <w:color w:val="000000"/>
          <w:sz w:val="24"/>
          <w:szCs w:val="24"/>
          <w:lang w:val="lv-LV"/>
        </w:rPr>
        <w:t>gadā</w:t>
      </w:r>
      <w:r w:rsidR="00AB21D0" w:rsidRPr="00AB21D0">
        <w:rPr>
          <w:rFonts w:ascii="Times New Roman" w:hAnsi="Times New Roman" w:cs="Times New Roman"/>
          <w:bCs/>
          <w:color w:val="000000"/>
          <w:sz w:val="24"/>
          <w:szCs w:val="24"/>
          <w:lang w:val="lv-LV"/>
        </w:rPr>
        <w:t xml:space="preserve"> </w:t>
      </w:r>
      <w:r w:rsidRPr="00AB21D0">
        <w:rPr>
          <w:rFonts w:ascii="Times New Roman" w:hAnsi="Times New Roman" w:cs="Times New Roman"/>
          <w:bCs/>
          <w:color w:val="000000"/>
          <w:sz w:val="24"/>
          <w:szCs w:val="24"/>
          <w:lang w:val="lv-LV"/>
        </w:rPr>
        <w:t xml:space="preserve">- 5 402 127 </w:t>
      </w:r>
      <w:r w:rsidR="00AB21D0">
        <w:rPr>
          <w:rFonts w:ascii="Times New Roman" w:hAnsi="Times New Roman" w:cs="Times New Roman"/>
          <w:bCs/>
          <w:color w:val="000000"/>
          <w:sz w:val="24"/>
          <w:szCs w:val="24"/>
          <w:lang w:val="lv-LV"/>
        </w:rPr>
        <w:t>lati</w:t>
      </w:r>
      <w:r w:rsidR="00AB21D0" w:rsidRPr="00AB21D0">
        <w:rPr>
          <w:rFonts w:ascii="Times New Roman" w:hAnsi="Times New Roman" w:cs="Times New Roman"/>
          <w:bCs/>
          <w:color w:val="000000"/>
          <w:sz w:val="24"/>
          <w:szCs w:val="24"/>
          <w:lang w:val="lv-LV"/>
        </w:rPr>
        <w:t xml:space="preserve"> </w:t>
      </w:r>
      <w:r w:rsidRPr="00AB21D0">
        <w:rPr>
          <w:rFonts w:ascii="Times New Roman" w:hAnsi="Times New Roman" w:cs="Times New Roman"/>
          <w:bCs/>
          <w:color w:val="000000"/>
          <w:sz w:val="24"/>
          <w:szCs w:val="24"/>
          <w:lang w:val="lv-LV"/>
        </w:rPr>
        <w:t>L (t.sk.pamatsumma - 4 514</w:t>
      </w:r>
      <w:r w:rsidR="00AB21D0">
        <w:rPr>
          <w:rFonts w:ascii="Times New Roman" w:hAnsi="Times New Roman" w:cs="Times New Roman"/>
          <w:bCs/>
          <w:color w:val="000000"/>
          <w:sz w:val="24"/>
          <w:szCs w:val="24"/>
          <w:lang w:val="lv-LV"/>
        </w:rPr>
        <w:t> </w:t>
      </w:r>
      <w:r w:rsidRPr="00AB21D0">
        <w:rPr>
          <w:rFonts w:ascii="Times New Roman" w:hAnsi="Times New Roman" w:cs="Times New Roman"/>
          <w:bCs/>
          <w:color w:val="000000"/>
          <w:sz w:val="24"/>
          <w:szCs w:val="24"/>
          <w:lang w:val="lv-LV"/>
        </w:rPr>
        <w:t>407</w:t>
      </w:r>
      <w:r w:rsidR="00AB21D0">
        <w:rPr>
          <w:rFonts w:ascii="Times New Roman" w:hAnsi="Times New Roman" w:cs="Times New Roman"/>
          <w:bCs/>
          <w:color w:val="000000"/>
          <w:sz w:val="24"/>
          <w:szCs w:val="24"/>
          <w:lang w:val="lv-LV"/>
        </w:rPr>
        <w:t xml:space="preserve"> lati</w:t>
      </w:r>
      <w:r w:rsidRPr="00AB21D0">
        <w:rPr>
          <w:rFonts w:ascii="Times New Roman" w:hAnsi="Times New Roman" w:cs="Times New Roman"/>
          <w:bCs/>
          <w:color w:val="000000"/>
          <w:sz w:val="24"/>
          <w:szCs w:val="24"/>
          <w:lang w:val="lv-LV"/>
        </w:rPr>
        <w:t>)</w:t>
      </w:r>
      <w:r w:rsidR="00AB21D0">
        <w:rPr>
          <w:rFonts w:ascii="Times New Roman" w:hAnsi="Times New Roman" w:cs="Times New Roman"/>
          <w:bCs/>
          <w:color w:val="000000"/>
          <w:sz w:val="24"/>
          <w:szCs w:val="24"/>
          <w:lang w:val="lv-LV"/>
        </w:rPr>
        <w:t>.</w:t>
      </w:r>
    </w:p>
    <w:p w:rsidR="0023449A" w:rsidRPr="004D6C02" w:rsidRDefault="0023449A" w:rsidP="00A2740E">
      <w:pPr>
        <w:spacing w:before="120" w:after="0" w:line="240" w:lineRule="auto"/>
        <w:ind w:firstLine="720"/>
        <w:jc w:val="both"/>
        <w:rPr>
          <w:rFonts w:ascii="Helv" w:hAnsi="Helv" w:cs="Helv"/>
          <w:b/>
          <w:bCs/>
          <w:color w:val="000000"/>
          <w:sz w:val="20"/>
          <w:szCs w:val="20"/>
          <w:lang w:val="lv-LV"/>
        </w:rPr>
      </w:pPr>
      <w:r w:rsidRPr="00B14594">
        <w:rPr>
          <w:rFonts w:ascii="Times New Roman" w:hAnsi="Times New Roman" w:cs="Times New Roman"/>
          <w:sz w:val="24"/>
          <w:szCs w:val="24"/>
          <w:lang w:val="lv-LV" w:bidi="en-US"/>
        </w:rPr>
        <w:t>Tarifu palielinājumam U, N, A (pieskaitāmie izdevumi, amortizācijas izdevumi, administratīvie</w:t>
      </w:r>
      <w:r w:rsidRPr="009D0A2B">
        <w:rPr>
          <w:rFonts w:ascii="Times New Roman" w:hAnsi="Times New Roman" w:cs="Times New Roman"/>
          <w:sz w:val="24"/>
          <w:szCs w:val="24"/>
          <w:lang w:val="lv-LV" w:bidi="en-US"/>
        </w:rPr>
        <w:t xml:space="preserve"> izdevumi) ārstniecības iestādēm ir nepieciešami papildus </w:t>
      </w:r>
      <w:r w:rsidRPr="003B42B7">
        <w:rPr>
          <w:rFonts w:ascii="Times New Roman" w:hAnsi="Times New Roman" w:cs="Times New Roman"/>
          <w:sz w:val="24"/>
          <w:szCs w:val="24"/>
          <w:lang w:val="lv-LV" w:bidi="en-US"/>
        </w:rPr>
        <w:t>līdzekļi 2013.gada pusgadam 3 992 060 lati, 2014.gadā 7 984 120 latu (</w:t>
      </w:r>
      <w:r>
        <w:rPr>
          <w:rFonts w:ascii="Times New Roman" w:hAnsi="Times New Roman" w:cs="Times New Roman"/>
          <w:sz w:val="24"/>
          <w:szCs w:val="24"/>
          <w:lang w:val="lv-LV" w:bidi="en-US"/>
        </w:rPr>
        <w:t xml:space="preserve">detalizēti aprēķini ziņojuma </w:t>
      </w:r>
      <w:r w:rsidR="003B42B7">
        <w:rPr>
          <w:rFonts w:ascii="Times New Roman" w:hAnsi="Times New Roman" w:cs="Times New Roman"/>
          <w:sz w:val="24"/>
          <w:szCs w:val="24"/>
          <w:lang w:val="lv-LV" w:bidi="en-US"/>
        </w:rPr>
        <w:t>pielikumā). Ņ</w:t>
      </w:r>
      <w:r w:rsidRPr="009D0A2B">
        <w:rPr>
          <w:rFonts w:ascii="Times New Roman" w:hAnsi="Times New Roman" w:cs="Times New Roman"/>
          <w:sz w:val="24"/>
          <w:szCs w:val="24"/>
          <w:lang w:val="lv-LV" w:bidi="en-US"/>
        </w:rPr>
        <w:t>emot vērā, ka faktiskās viena izmeklējuma izmaksas ir augstākas</w:t>
      </w:r>
      <w:r w:rsidR="003B42B7">
        <w:rPr>
          <w:rFonts w:ascii="Times New Roman" w:hAnsi="Times New Roman" w:cs="Times New Roman"/>
          <w:sz w:val="24"/>
          <w:szCs w:val="24"/>
          <w:lang w:val="lv-LV" w:bidi="en-US"/>
        </w:rPr>
        <w:t>,</w:t>
      </w:r>
      <w:r w:rsidRPr="004D6C02">
        <w:rPr>
          <w:rFonts w:ascii="Times New Roman" w:hAnsi="Times New Roman" w:cs="Times New Roman"/>
          <w:sz w:val="24"/>
          <w:szCs w:val="24"/>
          <w:lang w:val="lv-LV"/>
        </w:rPr>
        <w:t xml:space="preserve"> veselības aprūpes pakalpojumu tarifi tika pārrēķināti sakarā </w:t>
      </w:r>
      <w:r w:rsidR="003B42B7" w:rsidRPr="004D6C02">
        <w:rPr>
          <w:rFonts w:ascii="Times New Roman" w:hAnsi="Times New Roman" w:cs="Times New Roman"/>
          <w:sz w:val="24"/>
          <w:szCs w:val="24"/>
          <w:lang w:val="lv-LV"/>
        </w:rPr>
        <w:t xml:space="preserve">ar </w:t>
      </w:r>
      <w:r w:rsidRPr="004D6C02">
        <w:rPr>
          <w:rFonts w:ascii="Times New Roman" w:hAnsi="Times New Roman" w:cs="Times New Roman"/>
          <w:sz w:val="24"/>
          <w:szCs w:val="24"/>
          <w:lang w:val="lv-LV"/>
        </w:rPr>
        <w:t xml:space="preserve">tarifa </w:t>
      </w:r>
      <w:r w:rsidRPr="004D6C02">
        <w:rPr>
          <w:rFonts w:ascii="Times New Roman" w:hAnsi="Times New Roman" w:cs="Times New Roman"/>
          <w:color w:val="000000"/>
          <w:sz w:val="24"/>
          <w:szCs w:val="24"/>
          <w:lang w:val="lv-LV"/>
        </w:rPr>
        <w:t xml:space="preserve">pastāvīgo/netiešo izmaksu elementu (N – amortizācija (Np – ēku, būvju un pārējo pamatlīdzekļu nolietojums), U - </w:t>
      </w:r>
      <w:r w:rsidRPr="004D6C02">
        <w:rPr>
          <w:rFonts w:ascii="Times New Roman" w:hAnsi="Times New Roman" w:cs="Times New Roman"/>
          <w:sz w:val="24"/>
          <w:szCs w:val="24"/>
          <w:lang w:val="lv-LV"/>
        </w:rPr>
        <w:t>pieskaitāmās un netiešās ražošanas izmaksas (ar pacientu uzturēšanu saistītie izdevumi pakalpojumu apmaksai, materiālu, energoresur</w:t>
      </w:r>
      <w:r w:rsidR="003B42B7" w:rsidRPr="004D6C02">
        <w:rPr>
          <w:rFonts w:ascii="Times New Roman" w:hAnsi="Times New Roman" w:cs="Times New Roman"/>
          <w:sz w:val="24"/>
          <w:szCs w:val="24"/>
          <w:lang w:val="lv-LV"/>
        </w:rPr>
        <w:t>su, ūdens un inventāra iegādei) un</w:t>
      </w:r>
      <w:r w:rsidRPr="004D6C02">
        <w:rPr>
          <w:rFonts w:ascii="Times New Roman" w:hAnsi="Times New Roman" w:cs="Times New Roman"/>
          <w:sz w:val="24"/>
          <w:szCs w:val="24"/>
          <w:lang w:val="lv-LV"/>
        </w:rPr>
        <w:t xml:space="preserve"> A – administratīvie izdevumi</w:t>
      </w:r>
      <w:r w:rsidRPr="004D6C02">
        <w:rPr>
          <w:rFonts w:ascii="Times New Roman" w:hAnsi="Times New Roman" w:cs="Times New Roman"/>
          <w:color w:val="000000"/>
          <w:sz w:val="24"/>
          <w:szCs w:val="24"/>
          <w:lang w:val="lv-LV"/>
        </w:rPr>
        <w:t xml:space="preserve">) vērtību (koeficientu) </w:t>
      </w:r>
      <w:r w:rsidRPr="004D6C02">
        <w:rPr>
          <w:rFonts w:ascii="Times New Roman" w:hAnsi="Times New Roman" w:cs="Times New Roman"/>
          <w:sz w:val="24"/>
          <w:szCs w:val="24"/>
          <w:lang w:val="lv-LV"/>
        </w:rPr>
        <w:t>pārrēķinu.</w:t>
      </w:r>
    </w:p>
    <w:p w:rsidR="0023449A" w:rsidRPr="005573DC" w:rsidRDefault="0023449A" w:rsidP="0023449A">
      <w:pPr>
        <w:spacing w:after="0" w:line="240" w:lineRule="auto"/>
        <w:ind w:firstLine="720"/>
        <w:jc w:val="both"/>
        <w:rPr>
          <w:rFonts w:ascii="Times New Roman" w:hAnsi="Times New Roman" w:cs="Times New Roman"/>
          <w:sz w:val="24"/>
          <w:szCs w:val="24"/>
        </w:rPr>
      </w:pPr>
      <w:r w:rsidRPr="005573DC">
        <w:rPr>
          <w:rFonts w:ascii="Times New Roman" w:hAnsi="Times New Roman" w:cs="Times New Roman"/>
          <w:sz w:val="24"/>
          <w:szCs w:val="24"/>
        </w:rPr>
        <w:t xml:space="preserve">Šobrīd spēkā esošos veselības aprūpes pakalpojumu tarifos pastāvīgo izmaksu elementu koeficenti ir </w:t>
      </w:r>
      <w:r w:rsidRPr="005573DC">
        <w:rPr>
          <w:rFonts w:ascii="Times New Roman" w:hAnsi="Times New Roman" w:cs="Times New Roman"/>
          <w:color w:val="000000"/>
          <w:sz w:val="24"/>
          <w:szCs w:val="24"/>
        </w:rPr>
        <w:t xml:space="preserve">N – amortizācija (Np – ēku, būvju </w:t>
      </w:r>
      <w:proofErr w:type="gramStart"/>
      <w:r w:rsidRPr="005573DC">
        <w:rPr>
          <w:rFonts w:ascii="Times New Roman" w:hAnsi="Times New Roman" w:cs="Times New Roman"/>
          <w:color w:val="000000"/>
          <w:sz w:val="24"/>
          <w:szCs w:val="24"/>
        </w:rPr>
        <w:t>un</w:t>
      </w:r>
      <w:proofErr w:type="gramEnd"/>
      <w:r w:rsidRPr="005573DC">
        <w:rPr>
          <w:rFonts w:ascii="Times New Roman" w:hAnsi="Times New Roman" w:cs="Times New Roman"/>
          <w:color w:val="000000"/>
          <w:sz w:val="24"/>
          <w:szCs w:val="24"/>
        </w:rPr>
        <w:t xml:space="preserve"> pārējo pamatlīdzekļu nolietojums) 0.097, U - </w:t>
      </w:r>
      <w:r w:rsidRPr="005573DC">
        <w:rPr>
          <w:rFonts w:ascii="Times New Roman" w:hAnsi="Times New Roman" w:cs="Times New Roman"/>
          <w:sz w:val="24"/>
          <w:szCs w:val="24"/>
        </w:rPr>
        <w:t>pieskaitāmās un netiešās ražošanas izmaksas (ar pacientu uzturēšanu saistītie izdevumi pakalpojumu apmaksai, materiālu, energoresursu, ūdens un inventāra iegādei) 0.315, A – adminis</w:t>
      </w:r>
      <w:r w:rsidR="00480A13">
        <w:rPr>
          <w:rFonts w:ascii="Times New Roman" w:hAnsi="Times New Roman" w:cs="Times New Roman"/>
          <w:sz w:val="24"/>
          <w:szCs w:val="24"/>
        </w:rPr>
        <w:t>tratīvie izdevumi 0.055.</w:t>
      </w:r>
    </w:p>
    <w:p w:rsidR="009A3E89" w:rsidRPr="009A3E89" w:rsidRDefault="0023449A" w:rsidP="009A3E89">
      <w:pPr>
        <w:spacing w:after="0"/>
        <w:ind w:firstLine="720"/>
        <w:jc w:val="both"/>
        <w:rPr>
          <w:rFonts w:ascii="Calibri" w:eastAsia="Times New Roman" w:hAnsi="Calibri" w:cs="Times New Roman"/>
          <w:color w:val="1F497D"/>
          <w:lang w:val="lv-LV"/>
        </w:rPr>
      </w:pPr>
      <w:r w:rsidRPr="005573DC">
        <w:rPr>
          <w:rFonts w:ascii="Times New Roman" w:hAnsi="Times New Roman" w:cs="Times New Roman"/>
          <w:color w:val="000000"/>
          <w:sz w:val="24"/>
          <w:szCs w:val="24"/>
        </w:rPr>
        <w:t xml:space="preserve">Pastāvīgo izmaksu elementu (N (Np), U, A) vērtību veselības aprūpes pakalpojumu tarifos nosaka, izmantojot koeficientu, </w:t>
      </w:r>
      <w:proofErr w:type="gramStart"/>
      <w:r w:rsidRPr="005573DC">
        <w:rPr>
          <w:rFonts w:ascii="Times New Roman" w:hAnsi="Times New Roman" w:cs="Times New Roman"/>
          <w:color w:val="000000"/>
          <w:sz w:val="24"/>
          <w:szCs w:val="24"/>
        </w:rPr>
        <w:t>ko</w:t>
      </w:r>
      <w:proofErr w:type="gramEnd"/>
      <w:r w:rsidRPr="005573DC">
        <w:rPr>
          <w:rFonts w:ascii="Times New Roman" w:hAnsi="Times New Roman" w:cs="Times New Roman"/>
          <w:color w:val="000000"/>
          <w:sz w:val="24"/>
          <w:szCs w:val="24"/>
        </w:rPr>
        <w:t xml:space="preserve"> aprēķina, dalot reģionālo daudzprofilu slimnīcu attiecīgā formulas elementa faktiskās izmaksas ar reģionālo daudzprofilu slimnīcu izmaksām ārstniecības personas darba samaksai (D) nosacītās gultasdienas izmaksās. </w:t>
      </w:r>
      <w:r w:rsidR="009A3E89" w:rsidRPr="009A3E89">
        <w:rPr>
          <w:rFonts w:ascii="Times New Roman" w:eastAsia="Times New Roman" w:hAnsi="Times New Roman" w:cs="Times New Roman"/>
          <w:sz w:val="24"/>
          <w:szCs w:val="24"/>
          <w:lang w:val="lv-LV"/>
        </w:rPr>
        <w:t>Nosacītās gultasdienas izmaksas tiek iegūtas, dalot  reģionālo daudzprofilu slimnīcu izmaksas par gultasdienām un manipulācijām ar faktiski veikto gultasdienu skaitu noteiktā periodā</w:t>
      </w:r>
      <w:r w:rsidR="009A3E89">
        <w:rPr>
          <w:rFonts w:ascii="Times New Roman" w:eastAsia="Times New Roman" w:hAnsi="Times New Roman" w:cs="Times New Roman"/>
          <w:sz w:val="24"/>
          <w:szCs w:val="24"/>
          <w:lang w:val="lv-LV"/>
        </w:rPr>
        <w:t>.</w:t>
      </w:r>
    </w:p>
    <w:p w:rsidR="0023449A" w:rsidRPr="004D6C02" w:rsidRDefault="0023449A" w:rsidP="0023449A">
      <w:pPr>
        <w:keepLines/>
        <w:autoSpaceDE w:val="0"/>
        <w:autoSpaceDN w:val="0"/>
        <w:adjustRightInd w:val="0"/>
        <w:spacing w:after="0" w:line="240" w:lineRule="auto"/>
        <w:ind w:firstLine="720"/>
        <w:jc w:val="both"/>
        <w:rPr>
          <w:rFonts w:ascii="Times New Roman" w:hAnsi="Times New Roman" w:cs="Times New Roman"/>
          <w:color w:val="000000"/>
          <w:sz w:val="24"/>
          <w:szCs w:val="24"/>
          <w:lang w:val="lv-LV"/>
        </w:rPr>
      </w:pPr>
      <w:r w:rsidRPr="004D6C02">
        <w:rPr>
          <w:rFonts w:ascii="Times New Roman" w:hAnsi="Times New Roman" w:cs="Times New Roman"/>
          <w:color w:val="000000"/>
          <w:sz w:val="24"/>
          <w:szCs w:val="24"/>
          <w:lang w:val="lv-LV"/>
        </w:rPr>
        <w:lastRenderedPageBreak/>
        <w:t xml:space="preserve">Veselības aprūpes pakalpojumu tarifos aprēķinot pastāvīgo izmaksu elementu (N (Np), U, A) vērtības, par pamatu tiek ņemti reģionālo daudzprofilu slimnīcu pārskati par faktisko līdzekļu izlietojumu iepriekšējā periodā un konkrētajā periodā pieejamie valsts budžeta līdzekļi veselības aprūpei. </w:t>
      </w:r>
    </w:p>
    <w:p w:rsidR="0023449A" w:rsidRDefault="0023449A" w:rsidP="00480A13">
      <w:pPr>
        <w:keepLines/>
        <w:autoSpaceDE w:val="0"/>
        <w:autoSpaceDN w:val="0"/>
        <w:adjustRightInd w:val="0"/>
        <w:spacing w:after="0" w:line="240" w:lineRule="auto"/>
        <w:ind w:firstLine="720"/>
        <w:jc w:val="both"/>
        <w:rPr>
          <w:rFonts w:ascii="Times New Roman" w:hAnsi="Times New Roman" w:cs="Times New Roman"/>
          <w:sz w:val="24"/>
          <w:szCs w:val="24"/>
        </w:rPr>
      </w:pPr>
      <w:r w:rsidRPr="004D6C02">
        <w:rPr>
          <w:rFonts w:ascii="Times New Roman" w:hAnsi="Times New Roman" w:cs="Times New Roman"/>
          <w:color w:val="000000"/>
          <w:sz w:val="24"/>
          <w:szCs w:val="24"/>
          <w:lang w:val="lv-LV"/>
        </w:rPr>
        <w:t xml:space="preserve">Pastāvīgo izmaksu elementu (N (Np), U, A) vērtību visos veselības aprūpes pakalpojumu tarifos, izņemot aprūpes epizodes tarifu speciālistiem, aprēķina, reizinot konkrēta elementa koeficientu ar darba samaksu. </w:t>
      </w:r>
      <w:r w:rsidRPr="004D6C02">
        <w:rPr>
          <w:rFonts w:ascii="Times New Roman" w:hAnsi="Times New Roman" w:cs="Times New Roman"/>
          <w:sz w:val="24"/>
          <w:szCs w:val="24"/>
          <w:lang w:val="lv-LV"/>
        </w:rPr>
        <w:t>Lai noteiktu ārstniecības iestāžu pastāvīgo izmaksu noseguma izvērtēšanu un koeficientu lieluma noteikšanu tarifos, veic ārstniecības iestāžu pārskatu par faktisko līdzekļu izlietojuma un veiktā darba izmaksu salīdzinājumu.Veicot 2011.gada slimnīcu faktisko izdevumu analīzi, tika aprēķināti netieš</w:t>
      </w:r>
      <w:r w:rsidR="00A2740E" w:rsidRPr="004D6C02">
        <w:rPr>
          <w:rFonts w:ascii="Times New Roman" w:hAnsi="Times New Roman" w:cs="Times New Roman"/>
          <w:sz w:val="24"/>
          <w:szCs w:val="24"/>
          <w:lang w:val="lv-LV"/>
        </w:rPr>
        <w:t xml:space="preserve">o izmaksu koeficienti (skat. </w:t>
      </w:r>
      <w:r w:rsidR="00A2740E">
        <w:rPr>
          <w:rFonts w:ascii="Times New Roman" w:hAnsi="Times New Roman" w:cs="Times New Roman"/>
          <w:sz w:val="24"/>
          <w:szCs w:val="24"/>
        </w:rPr>
        <w:t>2</w:t>
      </w:r>
      <w:r w:rsidR="00783301">
        <w:rPr>
          <w:rFonts w:ascii="Times New Roman" w:hAnsi="Times New Roman" w:cs="Times New Roman"/>
          <w:sz w:val="24"/>
          <w:szCs w:val="24"/>
        </w:rPr>
        <w:t>1</w:t>
      </w:r>
      <w:proofErr w:type="gramStart"/>
      <w:r w:rsidRPr="005573DC">
        <w:rPr>
          <w:rFonts w:ascii="Times New Roman" w:hAnsi="Times New Roman" w:cs="Times New Roman"/>
          <w:sz w:val="24"/>
          <w:szCs w:val="24"/>
        </w:rPr>
        <w:t>.tabulu</w:t>
      </w:r>
      <w:proofErr w:type="gramEnd"/>
      <w:r w:rsidRPr="005573DC">
        <w:rPr>
          <w:rFonts w:ascii="Times New Roman" w:hAnsi="Times New Roman" w:cs="Times New Roman"/>
          <w:sz w:val="24"/>
          <w:szCs w:val="24"/>
        </w:rPr>
        <w:t>)</w:t>
      </w:r>
      <w:r>
        <w:rPr>
          <w:rFonts w:ascii="Times New Roman" w:hAnsi="Times New Roman" w:cs="Times New Roman"/>
          <w:sz w:val="24"/>
          <w:szCs w:val="24"/>
        </w:rPr>
        <w:t>.</w:t>
      </w:r>
    </w:p>
    <w:p w:rsidR="0023449A" w:rsidRDefault="0023449A" w:rsidP="0023449A">
      <w:pPr>
        <w:spacing w:after="0" w:line="240" w:lineRule="auto"/>
        <w:ind w:firstLine="720"/>
        <w:jc w:val="right"/>
        <w:rPr>
          <w:rFonts w:ascii="Times New Roman" w:hAnsi="Times New Roman" w:cs="Times New Roman"/>
          <w:sz w:val="24"/>
          <w:szCs w:val="24"/>
        </w:rPr>
      </w:pPr>
    </w:p>
    <w:p w:rsidR="0023449A" w:rsidRPr="005573DC" w:rsidRDefault="00A2740E" w:rsidP="0023449A">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2</w:t>
      </w:r>
      <w:r w:rsidR="00783301">
        <w:rPr>
          <w:rFonts w:ascii="Times New Roman" w:hAnsi="Times New Roman" w:cs="Times New Roman"/>
          <w:sz w:val="24"/>
          <w:szCs w:val="24"/>
        </w:rPr>
        <w:t>1</w:t>
      </w:r>
      <w:proofErr w:type="gramStart"/>
      <w:r w:rsidR="0023449A" w:rsidRPr="005573DC">
        <w:rPr>
          <w:rFonts w:ascii="Times New Roman" w:hAnsi="Times New Roman" w:cs="Times New Roman"/>
          <w:sz w:val="24"/>
          <w:szCs w:val="24"/>
        </w:rPr>
        <w:t>.tabula</w:t>
      </w:r>
      <w:proofErr w:type="gramEnd"/>
    </w:p>
    <w:p w:rsidR="0023449A" w:rsidRDefault="0023449A" w:rsidP="0023449A">
      <w:pPr>
        <w:spacing w:after="0" w:line="240" w:lineRule="auto"/>
        <w:ind w:firstLine="720"/>
        <w:jc w:val="center"/>
        <w:rPr>
          <w:rFonts w:ascii="Times New Roman" w:hAnsi="Times New Roman" w:cs="Times New Roman"/>
          <w:b/>
          <w:bCs/>
          <w:sz w:val="24"/>
          <w:szCs w:val="24"/>
        </w:rPr>
      </w:pPr>
      <w:r w:rsidRPr="005573DC">
        <w:rPr>
          <w:rFonts w:ascii="Times New Roman" w:hAnsi="Times New Roman" w:cs="Times New Roman"/>
          <w:b/>
          <w:bCs/>
          <w:sz w:val="24"/>
          <w:szCs w:val="24"/>
        </w:rPr>
        <w:t>Pastāvīgo (neti</w:t>
      </w:r>
      <w:r>
        <w:rPr>
          <w:rFonts w:ascii="Times New Roman" w:hAnsi="Times New Roman" w:cs="Times New Roman"/>
          <w:b/>
          <w:bCs/>
          <w:sz w:val="24"/>
          <w:szCs w:val="24"/>
        </w:rPr>
        <w:t>ešo) izmaksu aprēķins par 2011.</w:t>
      </w:r>
      <w:r w:rsidRPr="005573DC">
        <w:rPr>
          <w:rFonts w:ascii="Times New Roman" w:hAnsi="Times New Roman" w:cs="Times New Roman"/>
          <w:b/>
          <w:bCs/>
          <w:sz w:val="24"/>
          <w:szCs w:val="24"/>
        </w:rPr>
        <w:t>gadu</w:t>
      </w:r>
    </w:p>
    <w:p w:rsidR="0023449A" w:rsidRDefault="0023449A" w:rsidP="0023449A">
      <w:pPr>
        <w:spacing w:after="0" w:line="240" w:lineRule="auto"/>
        <w:ind w:firstLine="720"/>
        <w:jc w:val="center"/>
        <w:rPr>
          <w:rFonts w:ascii="Times New Roman" w:hAnsi="Times New Roman" w:cs="Times New Roman"/>
          <w:b/>
          <w:bCs/>
          <w:sz w:val="24"/>
          <w:szCs w:val="24"/>
        </w:rPr>
      </w:pPr>
    </w:p>
    <w:tbl>
      <w:tblPr>
        <w:tblW w:w="10095" w:type="dxa"/>
        <w:tblInd w:w="93" w:type="dxa"/>
        <w:tblLook w:val="04A0"/>
      </w:tblPr>
      <w:tblGrid>
        <w:gridCol w:w="2175"/>
        <w:gridCol w:w="836"/>
        <w:gridCol w:w="1171"/>
        <w:gridCol w:w="1170"/>
        <w:gridCol w:w="1191"/>
        <w:gridCol w:w="1251"/>
        <w:gridCol w:w="1364"/>
        <w:gridCol w:w="937"/>
      </w:tblGrid>
      <w:tr w:rsidR="0023449A" w:rsidRPr="004D6C02" w:rsidTr="0023449A">
        <w:trPr>
          <w:trHeight w:val="345"/>
        </w:trPr>
        <w:tc>
          <w:tcPr>
            <w:tcW w:w="21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 </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D - Darba samak</w:t>
            </w:r>
            <w:r>
              <w:rPr>
                <w:rFonts w:ascii="Times New Roman" w:eastAsia="Times New Roman" w:hAnsi="Times New Roman" w:cs="Times New Roman"/>
                <w:sz w:val="20"/>
                <w:szCs w:val="20"/>
                <w:lang w:val="lv-LV" w:eastAsia="lv-LV"/>
              </w:rPr>
              <w:t>-</w:t>
            </w:r>
            <w:r w:rsidRPr="00712455">
              <w:rPr>
                <w:rFonts w:ascii="Times New Roman" w:eastAsia="Times New Roman" w:hAnsi="Times New Roman" w:cs="Times New Roman"/>
                <w:sz w:val="20"/>
                <w:szCs w:val="20"/>
                <w:lang w:val="lv-LV" w:eastAsia="lv-LV"/>
              </w:rPr>
              <w:t>sa</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 xml:space="preserve">U </w:t>
            </w:r>
            <w:r>
              <w:rPr>
                <w:rFonts w:ascii="Times New Roman" w:eastAsia="Times New Roman" w:hAnsi="Times New Roman" w:cs="Times New Roman"/>
                <w:sz w:val="20"/>
                <w:szCs w:val="20"/>
                <w:lang w:val="lv-LV" w:eastAsia="lv-LV"/>
              </w:rPr>
              <w:t>–</w:t>
            </w:r>
            <w:r w:rsidRPr="00712455">
              <w:rPr>
                <w:rFonts w:ascii="Times New Roman" w:eastAsia="Times New Roman" w:hAnsi="Times New Roman" w:cs="Times New Roman"/>
                <w:sz w:val="20"/>
                <w:szCs w:val="20"/>
                <w:lang w:val="lv-LV" w:eastAsia="lv-LV"/>
              </w:rPr>
              <w:t xml:space="preserve"> Pieskaitā</w:t>
            </w:r>
            <w:r>
              <w:rPr>
                <w:rFonts w:ascii="Times New Roman" w:eastAsia="Times New Roman" w:hAnsi="Times New Roman" w:cs="Times New Roman"/>
                <w:sz w:val="20"/>
                <w:szCs w:val="20"/>
                <w:lang w:val="lv-LV" w:eastAsia="lv-LV"/>
              </w:rPr>
              <w:t>-</w:t>
            </w:r>
            <w:r w:rsidRPr="00712455">
              <w:rPr>
                <w:rFonts w:ascii="Times New Roman" w:eastAsia="Times New Roman" w:hAnsi="Times New Roman" w:cs="Times New Roman"/>
                <w:sz w:val="20"/>
                <w:szCs w:val="20"/>
                <w:lang w:val="lv-LV" w:eastAsia="lv-LV"/>
              </w:rPr>
              <w:t>mās un netiešās ražošanas izmaksas</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 xml:space="preserve">N </w:t>
            </w:r>
            <w:r>
              <w:rPr>
                <w:rFonts w:ascii="Times New Roman" w:eastAsia="Times New Roman" w:hAnsi="Times New Roman" w:cs="Times New Roman"/>
                <w:sz w:val="20"/>
                <w:szCs w:val="20"/>
                <w:lang w:val="lv-LV" w:eastAsia="lv-LV"/>
              </w:rPr>
              <w:t>–</w:t>
            </w:r>
            <w:r w:rsidRPr="00712455">
              <w:rPr>
                <w:rFonts w:ascii="Times New Roman" w:eastAsia="Times New Roman" w:hAnsi="Times New Roman" w:cs="Times New Roman"/>
                <w:sz w:val="20"/>
                <w:szCs w:val="20"/>
                <w:lang w:val="lv-LV" w:eastAsia="lv-LV"/>
              </w:rPr>
              <w:t xml:space="preserve"> Amortizā</w:t>
            </w:r>
            <w:r>
              <w:rPr>
                <w:rFonts w:ascii="Times New Roman" w:eastAsia="Times New Roman" w:hAnsi="Times New Roman" w:cs="Times New Roman"/>
                <w:sz w:val="20"/>
                <w:szCs w:val="20"/>
                <w:lang w:val="lv-LV" w:eastAsia="lv-LV"/>
              </w:rPr>
              <w:t>-</w:t>
            </w:r>
            <w:r w:rsidRPr="00712455">
              <w:rPr>
                <w:rFonts w:ascii="Times New Roman" w:eastAsia="Times New Roman" w:hAnsi="Times New Roman" w:cs="Times New Roman"/>
                <w:sz w:val="20"/>
                <w:szCs w:val="20"/>
                <w:lang w:val="lv-LV" w:eastAsia="lv-LV"/>
              </w:rPr>
              <w:t>cija ***</w:t>
            </w:r>
          </w:p>
        </w:tc>
        <w:tc>
          <w:tcPr>
            <w:tcW w:w="24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tai skaitā</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 xml:space="preserve">A </w:t>
            </w:r>
            <w:r>
              <w:rPr>
                <w:rFonts w:ascii="Times New Roman" w:eastAsia="Times New Roman" w:hAnsi="Times New Roman" w:cs="Times New Roman"/>
                <w:sz w:val="20"/>
                <w:szCs w:val="20"/>
                <w:lang w:val="lv-LV" w:eastAsia="lv-LV"/>
              </w:rPr>
              <w:t>–</w:t>
            </w:r>
            <w:r w:rsidRPr="00712455">
              <w:rPr>
                <w:rFonts w:ascii="Times New Roman" w:eastAsia="Times New Roman" w:hAnsi="Times New Roman" w:cs="Times New Roman"/>
                <w:sz w:val="20"/>
                <w:szCs w:val="20"/>
                <w:lang w:val="lv-LV" w:eastAsia="lv-LV"/>
              </w:rPr>
              <w:t xml:space="preserve"> Administra</w:t>
            </w:r>
            <w:r>
              <w:rPr>
                <w:rFonts w:ascii="Times New Roman" w:eastAsia="Times New Roman" w:hAnsi="Times New Roman" w:cs="Times New Roman"/>
                <w:sz w:val="20"/>
                <w:szCs w:val="20"/>
                <w:lang w:val="lv-LV" w:eastAsia="lv-LV"/>
              </w:rPr>
              <w:t>-</w:t>
            </w:r>
            <w:r w:rsidRPr="00712455">
              <w:rPr>
                <w:rFonts w:ascii="Times New Roman" w:eastAsia="Times New Roman" w:hAnsi="Times New Roman" w:cs="Times New Roman"/>
                <w:sz w:val="20"/>
                <w:szCs w:val="20"/>
                <w:lang w:val="lv-LV" w:eastAsia="lv-LV"/>
              </w:rPr>
              <w:t>tīvie izdevumi</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Kopā (netiešo izdevu</w:t>
            </w:r>
            <w:r>
              <w:rPr>
                <w:rFonts w:ascii="Times New Roman" w:eastAsia="Times New Roman" w:hAnsi="Times New Roman" w:cs="Times New Roman"/>
                <w:sz w:val="20"/>
                <w:szCs w:val="20"/>
                <w:lang w:val="lv-LV" w:eastAsia="lv-LV"/>
              </w:rPr>
              <w:t>-</w:t>
            </w:r>
            <w:r w:rsidRPr="00712455">
              <w:rPr>
                <w:rFonts w:ascii="Times New Roman" w:eastAsia="Times New Roman" w:hAnsi="Times New Roman" w:cs="Times New Roman"/>
                <w:sz w:val="20"/>
                <w:szCs w:val="20"/>
                <w:lang w:val="lv-LV" w:eastAsia="lv-LV"/>
              </w:rPr>
              <w:t>mu apjoms)</w:t>
            </w:r>
          </w:p>
        </w:tc>
      </w:tr>
      <w:tr w:rsidR="0023449A" w:rsidRPr="004D6C02" w:rsidTr="0023449A">
        <w:trPr>
          <w:trHeight w:val="1585"/>
        </w:trPr>
        <w:tc>
          <w:tcPr>
            <w:tcW w:w="2175" w:type="dxa"/>
            <w:vMerge/>
            <w:tcBorders>
              <w:top w:val="single" w:sz="4" w:space="0" w:color="auto"/>
              <w:left w:val="single" w:sz="4" w:space="0" w:color="auto"/>
              <w:bottom w:val="single" w:sz="4" w:space="0" w:color="000000"/>
              <w:right w:val="single" w:sz="4" w:space="0" w:color="000000"/>
            </w:tcBorders>
            <w:vAlign w:val="center"/>
            <w:hideMark/>
          </w:tcPr>
          <w:p w:rsidR="0023449A" w:rsidRPr="00712455" w:rsidRDefault="0023449A" w:rsidP="0023449A">
            <w:pPr>
              <w:spacing w:after="0" w:line="240" w:lineRule="auto"/>
              <w:rPr>
                <w:rFonts w:ascii="Times New Roman" w:eastAsia="Times New Roman" w:hAnsi="Times New Roman" w:cs="Times New Roman"/>
                <w:sz w:val="20"/>
                <w:szCs w:val="20"/>
                <w:lang w:val="lv-LV" w:eastAsia="lv-LV"/>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23449A" w:rsidRPr="00712455" w:rsidRDefault="0023449A" w:rsidP="0023449A">
            <w:pPr>
              <w:spacing w:after="0" w:line="240" w:lineRule="auto"/>
              <w:rPr>
                <w:rFonts w:ascii="Times New Roman" w:eastAsia="Times New Roman" w:hAnsi="Times New Roman" w:cs="Times New Roman"/>
                <w:sz w:val="20"/>
                <w:szCs w:val="20"/>
                <w:lang w:val="lv-LV"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23449A" w:rsidRPr="00712455" w:rsidRDefault="0023449A" w:rsidP="0023449A">
            <w:pPr>
              <w:spacing w:after="0" w:line="240" w:lineRule="auto"/>
              <w:rPr>
                <w:rFonts w:ascii="Times New Roman" w:eastAsia="Times New Roman" w:hAnsi="Times New Roman" w:cs="Times New Roman"/>
                <w:sz w:val="20"/>
                <w:szCs w:val="20"/>
                <w:lang w:val="lv-LV" w:eastAsia="lv-LV"/>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23449A" w:rsidRPr="00712455" w:rsidRDefault="0023449A" w:rsidP="0023449A">
            <w:pPr>
              <w:spacing w:after="0" w:line="240" w:lineRule="auto"/>
              <w:rPr>
                <w:rFonts w:ascii="Times New Roman" w:eastAsia="Times New Roman" w:hAnsi="Times New Roman" w:cs="Times New Roman"/>
                <w:sz w:val="20"/>
                <w:szCs w:val="20"/>
                <w:lang w:val="lv-LV" w:eastAsia="lv-LV"/>
              </w:rPr>
            </w:pPr>
          </w:p>
        </w:tc>
        <w:tc>
          <w:tcPr>
            <w:tcW w:w="1191" w:type="dxa"/>
            <w:tcBorders>
              <w:top w:val="nil"/>
              <w:left w:val="nil"/>
              <w:bottom w:val="single" w:sz="4" w:space="0" w:color="auto"/>
              <w:right w:val="single" w:sz="4" w:space="0" w:color="auto"/>
            </w:tcBorders>
            <w:shd w:val="clear" w:color="auto" w:fill="auto"/>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 xml:space="preserve"> Nm </w:t>
            </w:r>
            <w:r>
              <w:rPr>
                <w:rFonts w:ascii="Times New Roman" w:eastAsia="Times New Roman" w:hAnsi="Times New Roman" w:cs="Times New Roman"/>
                <w:sz w:val="20"/>
                <w:szCs w:val="20"/>
                <w:lang w:val="lv-LV" w:eastAsia="lv-LV"/>
              </w:rPr>
              <w:t>–</w:t>
            </w:r>
            <w:r w:rsidRPr="00712455">
              <w:rPr>
                <w:rFonts w:ascii="Times New Roman" w:eastAsia="Times New Roman" w:hAnsi="Times New Roman" w:cs="Times New Roman"/>
                <w:sz w:val="20"/>
                <w:szCs w:val="20"/>
                <w:lang w:val="lv-LV" w:eastAsia="lv-LV"/>
              </w:rPr>
              <w:t xml:space="preserve"> medicīnis</w:t>
            </w:r>
            <w:r>
              <w:rPr>
                <w:rFonts w:ascii="Times New Roman" w:eastAsia="Times New Roman" w:hAnsi="Times New Roman" w:cs="Times New Roman"/>
                <w:sz w:val="20"/>
                <w:szCs w:val="20"/>
                <w:lang w:val="lv-LV" w:eastAsia="lv-LV"/>
              </w:rPr>
              <w:t>-</w:t>
            </w:r>
            <w:r w:rsidRPr="00712455">
              <w:rPr>
                <w:rFonts w:ascii="Times New Roman" w:eastAsia="Times New Roman" w:hAnsi="Times New Roman" w:cs="Times New Roman"/>
                <w:sz w:val="20"/>
                <w:szCs w:val="20"/>
                <w:lang w:val="lv-LV" w:eastAsia="lv-LV"/>
              </w:rPr>
              <w:t>kās ierīces amortizāci</w:t>
            </w:r>
            <w:r>
              <w:rPr>
                <w:rFonts w:ascii="Times New Roman" w:eastAsia="Times New Roman" w:hAnsi="Times New Roman" w:cs="Times New Roman"/>
                <w:sz w:val="20"/>
                <w:szCs w:val="20"/>
                <w:lang w:val="lv-LV" w:eastAsia="lv-LV"/>
              </w:rPr>
              <w:t>-</w:t>
            </w:r>
            <w:r w:rsidRPr="00712455">
              <w:rPr>
                <w:rFonts w:ascii="Times New Roman" w:eastAsia="Times New Roman" w:hAnsi="Times New Roman" w:cs="Times New Roman"/>
                <w:sz w:val="20"/>
                <w:szCs w:val="20"/>
                <w:lang w:val="lv-LV" w:eastAsia="lv-LV"/>
              </w:rPr>
              <w:t>jas izmaksas</w:t>
            </w:r>
          </w:p>
        </w:tc>
        <w:tc>
          <w:tcPr>
            <w:tcW w:w="1251" w:type="dxa"/>
            <w:tcBorders>
              <w:top w:val="nil"/>
              <w:left w:val="nil"/>
              <w:bottom w:val="single" w:sz="4" w:space="0" w:color="auto"/>
              <w:right w:val="single" w:sz="4" w:space="0" w:color="auto"/>
            </w:tcBorders>
            <w:shd w:val="clear" w:color="auto" w:fill="auto"/>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Np - ēku, būvju un pārējo pamatlī</w:t>
            </w:r>
            <w:r>
              <w:rPr>
                <w:rFonts w:ascii="Times New Roman" w:eastAsia="Times New Roman" w:hAnsi="Times New Roman" w:cs="Times New Roman"/>
                <w:sz w:val="20"/>
                <w:szCs w:val="20"/>
                <w:lang w:val="lv-LV" w:eastAsia="lv-LV"/>
              </w:rPr>
              <w:t>-</w:t>
            </w:r>
            <w:r w:rsidRPr="00712455">
              <w:rPr>
                <w:rFonts w:ascii="Times New Roman" w:eastAsia="Times New Roman" w:hAnsi="Times New Roman" w:cs="Times New Roman"/>
                <w:sz w:val="20"/>
                <w:szCs w:val="20"/>
                <w:lang w:val="lv-LV" w:eastAsia="lv-LV"/>
              </w:rPr>
              <w:t>dzekļu nolietojums</w:t>
            </w:r>
          </w:p>
        </w:tc>
        <w:tc>
          <w:tcPr>
            <w:tcW w:w="1364" w:type="dxa"/>
            <w:vMerge/>
            <w:tcBorders>
              <w:top w:val="single" w:sz="4" w:space="0" w:color="auto"/>
              <w:left w:val="single" w:sz="4" w:space="0" w:color="auto"/>
              <w:bottom w:val="single" w:sz="4" w:space="0" w:color="000000"/>
              <w:right w:val="single" w:sz="4" w:space="0" w:color="auto"/>
            </w:tcBorders>
            <w:vAlign w:val="center"/>
            <w:hideMark/>
          </w:tcPr>
          <w:p w:rsidR="0023449A" w:rsidRPr="00712455" w:rsidRDefault="0023449A" w:rsidP="0023449A">
            <w:pPr>
              <w:spacing w:after="0" w:line="240" w:lineRule="auto"/>
              <w:rPr>
                <w:rFonts w:ascii="Times New Roman" w:eastAsia="Times New Roman" w:hAnsi="Times New Roman" w:cs="Times New Roman"/>
                <w:sz w:val="20"/>
                <w:szCs w:val="20"/>
                <w:lang w:val="lv-LV" w:eastAsia="lv-LV"/>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23449A" w:rsidRPr="00712455" w:rsidRDefault="0023449A" w:rsidP="0023449A">
            <w:pPr>
              <w:spacing w:after="0" w:line="240" w:lineRule="auto"/>
              <w:rPr>
                <w:rFonts w:ascii="Times New Roman" w:eastAsia="Times New Roman" w:hAnsi="Times New Roman" w:cs="Times New Roman"/>
                <w:sz w:val="20"/>
                <w:szCs w:val="20"/>
                <w:lang w:val="lv-LV" w:eastAsia="lv-LV"/>
              </w:rPr>
            </w:pPr>
          </w:p>
        </w:tc>
      </w:tr>
      <w:tr w:rsidR="0023449A" w:rsidRPr="00712455" w:rsidTr="0023449A">
        <w:trPr>
          <w:trHeight w:val="1110"/>
        </w:trPr>
        <w:tc>
          <w:tcPr>
            <w:tcW w:w="217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3449A" w:rsidRPr="00712455" w:rsidRDefault="0023449A" w:rsidP="0023449A">
            <w:pPr>
              <w:spacing w:after="0" w:line="240" w:lineRule="auto"/>
              <w:jc w:val="right"/>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Reģionālo daudzprofilu slimnīcu vienas vidējās gultasdienas faktiskās izmaksas, Ls</w:t>
            </w:r>
          </w:p>
        </w:tc>
        <w:tc>
          <w:tcPr>
            <w:tcW w:w="836"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19.48</w:t>
            </w:r>
          </w:p>
        </w:tc>
        <w:tc>
          <w:tcPr>
            <w:tcW w:w="117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8.99</w:t>
            </w:r>
          </w:p>
        </w:tc>
        <w:tc>
          <w:tcPr>
            <w:tcW w:w="1170"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4.01</w:t>
            </w:r>
          </w:p>
        </w:tc>
        <w:tc>
          <w:tcPr>
            <w:tcW w:w="119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1.47</w:t>
            </w:r>
          </w:p>
        </w:tc>
        <w:tc>
          <w:tcPr>
            <w:tcW w:w="125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2.54</w:t>
            </w:r>
          </w:p>
        </w:tc>
        <w:tc>
          <w:tcPr>
            <w:tcW w:w="1364"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1.63</w:t>
            </w:r>
          </w:p>
        </w:tc>
        <w:tc>
          <w:tcPr>
            <w:tcW w:w="937"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18.64</w:t>
            </w:r>
          </w:p>
        </w:tc>
      </w:tr>
      <w:tr w:rsidR="0023449A" w:rsidRPr="00712455" w:rsidTr="0023449A">
        <w:trPr>
          <w:trHeight w:val="1095"/>
        </w:trPr>
        <w:tc>
          <w:tcPr>
            <w:tcW w:w="217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3449A" w:rsidRPr="00712455" w:rsidRDefault="0023449A" w:rsidP="0023449A">
            <w:pPr>
              <w:spacing w:after="0" w:line="240" w:lineRule="auto"/>
              <w:jc w:val="right"/>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Veiktā darba  gultasdienas izmaksas ar pacienta iemaksu reģionālās daudzprofilu slimnīcās, Ls*</w:t>
            </w:r>
          </w:p>
        </w:tc>
        <w:tc>
          <w:tcPr>
            <w:tcW w:w="836"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22.94</w:t>
            </w:r>
          </w:p>
        </w:tc>
        <w:tc>
          <w:tcPr>
            <w:tcW w:w="117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6.79</w:t>
            </w:r>
          </w:p>
        </w:tc>
        <w:tc>
          <w:tcPr>
            <w:tcW w:w="1170"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3.70</w:t>
            </w:r>
          </w:p>
        </w:tc>
        <w:tc>
          <w:tcPr>
            <w:tcW w:w="119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1.47</w:t>
            </w:r>
          </w:p>
        </w:tc>
        <w:tc>
          <w:tcPr>
            <w:tcW w:w="125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2.23</w:t>
            </w:r>
          </w:p>
        </w:tc>
        <w:tc>
          <w:tcPr>
            <w:tcW w:w="1364"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1.06</w:t>
            </w:r>
          </w:p>
        </w:tc>
        <w:tc>
          <w:tcPr>
            <w:tcW w:w="937"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15.25</w:t>
            </w:r>
          </w:p>
        </w:tc>
      </w:tr>
      <w:tr w:rsidR="0023449A" w:rsidRPr="00712455" w:rsidTr="0023449A">
        <w:trPr>
          <w:trHeight w:val="255"/>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449A" w:rsidRPr="00712455" w:rsidRDefault="0023449A" w:rsidP="0023449A">
            <w:pPr>
              <w:spacing w:after="0" w:line="240" w:lineRule="auto"/>
              <w:jc w:val="right"/>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Starpība, Ls</w:t>
            </w:r>
          </w:p>
        </w:tc>
        <w:tc>
          <w:tcPr>
            <w:tcW w:w="836"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 </w:t>
            </w:r>
          </w:p>
        </w:tc>
        <w:tc>
          <w:tcPr>
            <w:tcW w:w="117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-2.20</w:t>
            </w:r>
          </w:p>
        </w:tc>
        <w:tc>
          <w:tcPr>
            <w:tcW w:w="1170"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-0.31</w:t>
            </w:r>
          </w:p>
        </w:tc>
        <w:tc>
          <w:tcPr>
            <w:tcW w:w="119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0.00</w:t>
            </w:r>
          </w:p>
        </w:tc>
        <w:tc>
          <w:tcPr>
            <w:tcW w:w="125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-0.31</w:t>
            </w:r>
          </w:p>
        </w:tc>
        <w:tc>
          <w:tcPr>
            <w:tcW w:w="1364"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-0.57</w:t>
            </w:r>
          </w:p>
        </w:tc>
        <w:tc>
          <w:tcPr>
            <w:tcW w:w="937"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-3.39</w:t>
            </w:r>
          </w:p>
        </w:tc>
      </w:tr>
      <w:tr w:rsidR="0023449A" w:rsidRPr="00712455" w:rsidTr="0023449A">
        <w:trPr>
          <w:trHeight w:val="255"/>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449A" w:rsidRPr="00712455" w:rsidRDefault="0023449A" w:rsidP="0023449A">
            <w:pPr>
              <w:spacing w:after="0" w:line="240" w:lineRule="auto"/>
              <w:jc w:val="right"/>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Koeficienti**</w:t>
            </w:r>
          </w:p>
        </w:tc>
        <w:tc>
          <w:tcPr>
            <w:tcW w:w="836"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 </w:t>
            </w:r>
          </w:p>
        </w:tc>
        <w:tc>
          <w:tcPr>
            <w:tcW w:w="117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0.3919</w:t>
            </w:r>
          </w:p>
        </w:tc>
        <w:tc>
          <w:tcPr>
            <w:tcW w:w="1170"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0.1107</w:t>
            </w:r>
          </w:p>
        </w:tc>
        <w:tc>
          <w:tcPr>
            <w:tcW w:w="119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0.0000</w:t>
            </w:r>
          </w:p>
        </w:tc>
        <w:tc>
          <w:tcPr>
            <w:tcW w:w="125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0.1107</w:t>
            </w:r>
          </w:p>
        </w:tc>
        <w:tc>
          <w:tcPr>
            <w:tcW w:w="1364"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0.0711</w:t>
            </w:r>
          </w:p>
        </w:tc>
        <w:tc>
          <w:tcPr>
            <w:tcW w:w="937"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 </w:t>
            </w:r>
          </w:p>
        </w:tc>
      </w:tr>
      <w:tr w:rsidR="0023449A" w:rsidRPr="00712455" w:rsidTr="0023449A">
        <w:trPr>
          <w:trHeight w:val="2100"/>
        </w:trPr>
        <w:tc>
          <w:tcPr>
            <w:tcW w:w="217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3449A" w:rsidRPr="00712455" w:rsidRDefault="0023449A" w:rsidP="0023449A">
            <w:pPr>
              <w:spacing w:after="0" w:line="240" w:lineRule="auto"/>
              <w:jc w:val="right"/>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Veiktā darba  gultasdienas izmaksas ar pacienta iemaksu reģionālās daudzprofilu slimnīcās, palielinot atalgojumu par 17% un pārrēķinot netiešo izmaksu kaeficientus pēc fakta , Ls</w:t>
            </w:r>
          </w:p>
        </w:tc>
        <w:tc>
          <w:tcPr>
            <w:tcW w:w="836"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26.84</w:t>
            </w:r>
          </w:p>
        </w:tc>
        <w:tc>
          <w:tcPr>
            <w:tcW w:w="117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8.99</w:t>
            </w:r>
          </w:p>
        </w:tc>
        <w:tc>
          <w:tcPr>
            <w:tcW w:w="1170"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4.01</w:t>
            </w:r>
          </w:p>
        </w:tc>
        <w:tc>
          <w:tcPr>
            <w:tcW w:w="119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1.47</w:t>
            </w:r>
          </w:p>
        </w:tc>
        <w:tc>
          <w:tcPr>
            <w:tcW w:w="125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2.54</w:t>
            </w:r>
          </w:p>
        </w:tc>
        <w:tc>
          <w:tcPr>
            <w:tcW w:w="1364"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1.63</w:t>
            </w:r>
          </w:p>
        </w:tc>
        <w:tc>
          <w:tcPr>
            <w:tcW w:w="937"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18.64</w:t>
            </w:r>
          </w:p>
        </w:tc>
      </w:tr>
      <w:tr w:rsidR="0023449A" w:rsidRPr="00712455" w:rsidTr="0023449A">
        <w:trPr>
          <w:trHeight w:val="495"/>
        </w:trPr>
        <w:tc>
          <w:tcPr>
            <w:tcW w:w="217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3449A" w:rsidRPr="00712455" w:rsidRDefault="0023449A" w:rsidP="0023449A">
            <w:pPr>
              <w:spacing w:after="0" w:line="240" w:lineRule="auto"/>
              <w:jc w:val="right"/>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 xml:space="preserve">Koeficienti** </w:t>
            </w:r>
            <w:r w:rsidRPr="00712455">
              <w:rPr>
                <w:rFonts w:ascii="Times New Roman" w:eastAsia="Times New Roman" w:hAnsi="Times New Roman" w:cs="Times New Roman"/>
                <w:sz w:val="20"/>
                <w:szCs w:val="20"/>
                <w:lang w:val="lv-LV" w:eastAsia="lv-LV"/>
              </w:rPr>
              <w:t>palielinot atalgojumu par 17%</w:t>
            </w:r>
          </w:p>
        </w:tc>
        <w:tc>
          <w:tcPr>
            <w:tcW w:w="836"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 </w:t>
            </w:r>
          </w:p>
        </w:tc>
        <w:tc>
          <w:tcPr>
            <w:tcW w:w="117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0.3349</w:t>
            </w:r>
          </w:p>
        </w:tc>
        <w:tc>
          <w:tcPr>
            <w:tcW w:w="1170"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0.094</w:t>
            </w:r>
            <w:r>
              <w:rPr>
                <w:rFonts w:ascii="Times New Roman" w:eastAsia="Times New Roman" w:hAnsi="Times New Roman" w:cs="Times New Roman"/>
                <w:b/>
                <w:bCs/>
                <w:sz w:val="20"/>
                <w:szCs w:val="20"/>
                <w:lang w:val="lv-LV" w:eastAsia="lv-LV"/>
              </w:rPr>
              <w:t>6</w:t>
            </w:r>
          </w:p>
        </w:tc>
        <w:tc>
          <w:tcPr>
            <w:tcW w:w="119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0.0000</w:t>
            </w:r>
          </w:p>
        </w:tc>
        <w:tc>
          <w:tcPr>
            <w:tcW w:w="1251"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0.0946</w:t>
            </w:r>
          </w:p>
        </w:tc>
        <w:tc>
          <w:tcPr>
            <w:tcW w:w="1364"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b/>
                <w:bCs/>
                <w:sz w:val="20"/>
                <w:szCs w:val="20"/>
                <w:lang w:val="lv-LV" w:eastAsia="lv-LV"/>
              </w:rPr>
            </w:pPr>
            <w:r w:rsidRPr="00712455">
              <w:rPr>
                <w:rFonts w:ascii="Times New Roman" w:eastAsia="Times New Roman" w:hAnsi="Times New Roman" w:cs="Times New Roman"/>
                <w:b/>
                <w:bCs/>
                <w:sz w:val="20"/>
                <w:szCs w:val="20"/>
                <w:lang w:val="lv-LV" w:eastAsia="lv-LV"/>
              </w:rPr>
              <w:t>0.0607</w:t>
            </w:r>
          </w:p>
        </w:tc>
        <w:tc>
          <w:tcPr>
            <w:tcW w:w="937" w:type="dxa"/>
            <w:tcBorders>
              <w:top w:val="nil"/>
              <w:left w:val="nil"/>
              <w:bottom w:val="single" w:sz="4" w:space="0" w:color="auto"/>
              <w:right w:val="single" w:sz="4" w:space="0" w:color="auto"/>
            </w:tcBorders>
            <w:shd w:val="clear" w:color="auto" w:fill="auto"/>
            <w:noWrap/>
            <w:vAlign w:val="center"/>
            <w:hideMark/>
          </w:tcPr>
          <w:p w:rsidR="0023449A" w:rsidRPr="00712455" w:rsidRDefault="0023449A" w:rsidP="0023449A">
            <w:pPr>
              <w:spacing w:after="0" w:line="240" w:lineRule="auto"/>
              <w:jc w:val="center"/>
              <w:rPr>
                <w:rFonts w:ascii="Times New Roman" w:eastAsia="Times New Roman" w:hAnsi="Times New Roman" w:cs="Times New Roman"/>
                <w:sz w:val="20"/>
                <w:szCs w:val="20"/>
                <w:lang w:val="lv-LV" w:eastAsia="lv-LV"/>
              </w:rPr>
            </w:pPr>
            <w:r w:rsidRPr="00712455">
              <w:rPr>
                <w:rFonts w:ascii="Times New Roman" w:eastAsia="Times New Roman" w:hAnsi="Times New Roman" w:cs="Times New Roman"/>
                <w:sz w:val="20"/>
                <w:szCs w:val="20"/>
                <w:lang w:val="lv-LV" w:eastAsia="lv-LV"/>
              </w:rPr>
              <w:t> </w:t>
            </w:r>
          </w:p>
        </w:tc>
      </w:tr>
    </w:tbl>
    <w:p w:rsidR="0023449A" w:rsidRPr="00712455" w:rsidRDefault="0023449A" w:rsidP="0023449A">
      <w:pPr>
        <w:keepLines/>
        <w:autoSpaceDE w:val="0"/>
        <w:autoSpaceDN w:val="0"/>
        <w:adjustRightInd w:val="0"/>
        <w:spacing w:after="0" w:line="240" w:lineRule="auto"/>
        <w:ind w:firstLine="720"/>
        <w:jc w:val="both"/>
        <w:rPr>
          <w:rFonts w:ascii="Times New Roman" w:hAnsi="Times New Roman" w:cs="Times New Roman"/>
          <w:color w:val="000000"/>
          <w:sz w:val="20"/>
          <w:szCs w:val="20"/>
        </w:rPr>
      </w:pPr>
      <w:r w:rsidRPr="00712455">
        <w:rPr>
          <w:rFonts w:ascii="Times New Roman" w:hAnsi="Times New Roman" w:cs="Times New Roman"/>
          <w:color w:val="000000"/>
          <w:sz w:val="20"/>
          <w:szCs w:val="20"/>
        </w:rPr>
        <w:t xml:space="preserve">*uzrādīts aprēķinātais veiktais darbs par gultu dienām </w:t>
      </w:r>
      <w:proofErr w:type="gramStart"/>
      <w:r w:rsidRPr="00712455">
        <w:rPr>
          <w:rFonts w:ascii="Times New Roman" w:hAnsi="Times New Roman" w:cs="Times New Roman"/>
          <w:color w:val="000000"/>
          <w:sz w:val="20"/>
          <w:szCs w:val="20"/>
        </w:rPr>
        <w:t>un</w:t>
      </w:r>
      <w:proofErr w:type="gramEnd"/>
      <w:r w:rsidRPr="00712455">
        <w:rPr>
          <w:rFonts w:ascii="Times New Roman" w:hAnsi="Times New Roman" w:cs="Times New Roman"/>
          <w:color w:val="000000"/>
          <w:sz w:val="20"/>
          <w:szCs w:val="20"/>
        </w:rPr>
        <w:t xml:space="preserve"> veiktajām pie gultas dienas piemaksājamām manipulācijām, atbilstoši Vadības informācijas sistēmā ievadītajiem datiem. Veiktas darbs tika aprēķināts pie summas, kas iegūta, </w:t>
      </w:r>
      <w:proofErr w:type="gramStart"/>
      <w:r w:rsidRPr="00712455">
        <w:rPr>
          <w:rFonts w:ascii="Times New Roman" w:hAnsi="Times New Roman" w:cs="Times New Roman"/>
          <w:color w:val="000000"/>
          <w:sz w:val="20"/>
          <w:szCs w:val="20"/>
        </w:rPr>
        <w:t>reizinot</w:t>
      </w:r>
      <w:proofErr w:type="gramEnd"/>
      <w:r w:rsidRPr="00712455">
        <w:rPr>
          <w:rFonts w:ascii="Times New Roman" w:hAnsi="Times New Roman" w:cs="Times New Roman"/>
          <w:color w:val="000000"/>
          <w:sz w:val="20"/>
          <w:szCs w:val="20"/>
        </w:rPr>
        <w:t xml:space="preserve"> gultasdienu skaitu ar Noteikumu 22. </w:t>
      </w:r>
      <w:proofErr w:type="gramStart"/>
      <w:r w:rsidRPr="00712455">
        <w:rPr>
          <w:rFonts w:ascii="Times New Roman" w:hAnsi="Times New Roman" w:cs="Times New Roman"/>
          <w:color w:val="000000"/>
          <w:sz w:val="20"/>
          <w:szCs w:val="20"/>
        </w:rPr>
        <w:t>pielikuma</w:t>
      </w:r>
      <w:proofErr w:type="gramEnd"/>
      <w:r w:rsidRPr="00712455">
        <w:rPr>
          <w:rFonts w:ascii="Times New Roman" w:hAnsi="Times New Roman" w:cs="Times New Roman"/>
          <w:color w:val="000000"/>
          <w:sz w:val="20"/>
          <w:szCs w:val="20"/>
        </w:rPr>
        <w:t xml:space="preserve"> 3. </w:t>
      </w:r>
      <w:proofErr w:type="gramStart"/>
      <w:r w:rsidRPr="00712455">
        <w:rPr>
          <w:rFonts w:ascii="Times New Roman" w:hAnsi="Times New Roman" w:cs="Times New Roman"/>
          <w:color w:val="000000"/>
          <w:sz w:val="20"/>
          <w:szCs w:val="20"/>
        </w:rPr>
        <w:t>punktā</w:t>
      </w:r>
      <w:proofErr w:type="gramEnd"/>
      <w:r w:rsidRPr="00712455">
        <w:rPr>
          <w:rFonts w:ascii="Times New Roman" w:hAnsi="Times New Roman" w:cs="Times New Roman"/>
          <w:color w:val="000000"/>
          <w:sz w:val="20"/>
          <w:szCs w:val="20"/>
        </w:rPr>
        <w:t xml:space="preserve"> noteikto gultasdienas tarifu, pieskaitot veikto manipulāciju, kas Noteikumu </w:t>
      </w:r>
      <w:r w:rsidR="002403F1">
        <w:rPr>
          <w:rFonts w:ascii="Times New Roman" w:hAnsi="Times New Roman" w:cs="Times New Roman"/>
          <w:color w:val="000000"/>
          <w:sz w:val="20"/>
          <w:szCs w:val="20"/>
        </w:rPr>
        <w:t xml:space="preserve">Nr.1046 </w:t>
      </w:r>
      <w:r w:rsidRPr="00712455">
        <w:rPr>
          <w:rFonts w:ascii="Times New Roman" w:hAnsi="Times New Roman" w:cs="Times New Roman"/>
          <w:color w:val="000000"/>
          <w:sz w:val="20"/>
          <w:szCs w:val="20"/>
        </w:rPr>
        <w:t>18. pielikumā atzīmētas ar (*), tarifu summu.</w:t>
      </w:r>
    </w:p>
    <w:p w:rsidR="0023449A" w:rsidRPr="00712455" w:rsidRDefault="0023449A" w:rsidP="0023449A">
      <w:pPr>
        <w:keepLines/>
        <w:autoSpaceDE w:val="0"/>
        <w:autoSpaceDN w:val="0"/>
        <w:adjustRightInd w:val="0"/>
        <w:spacing w:after="0" w:line="240" w:lineRule="auto"/>
        <w:ind w:firstLine="720"/>
        <w:jc w:val="both"/>
        <w:rPr>
          <w:rFonts w:ascii="Times New Roman" w:hAnsi="Times New Roman" w:cs="Times New Roman"/>
          <w:color w:val="000000"/>
          <w:sz w:val="20"/>
          <w:szCs w:val="20"/>
        </w:rPr>
      </w:pPr>
      <w:r w:rsidRPr="00712455">
        <w:rPr>
          <w:rFonts w:ascii="Times New Roman" w:hAnsi="Times New Roman" w:cs="Times New Roman"/>
          <w:color w:val="000000"/>
          <w:sz w:val="20"/>
          <w:szCs w:val="20"/>
        </w:rPr>
        <w:t xml:space="preserve">** </w:t>
      </w:r>
      <w:proofErr w:type="gramStart"/>
      <w:r w:rsidRPr="00712455">
        <w:rPr>
          <w:rFonts w:ascii="Times New Roman" w:hAnsi="Times New Roman" w:cs="Times New Roman"/>
          <w:color w:val="000000"/>
          <w:sz w:val="20"/>
          <w:szCs w:val="20"/>
        </w:rPr>
        <w:t>koeficientu  U</w:t>
      </w:r>
      <w:proofErr w:type="gramEnd"/>
      <w:r w:rsidRPr="00712455">
        <w:rPr>
          <w:rFonts w:ascii="Times New Roman" w:hAnsi="Times New Roman" w:cs="Times New Roman"/>
          <w:color w:val="000000"/>
          <w:sz w:val="20"/>
          <w:szCs w:val="20"/>
        </w:rPr>
        <w:t>; Np; A elementiem aprēķina, dalot (U, A formulas elementa vidējās faktiskās izmaksas ar veiktā darba aprēķināto ārstniecības personu darba samaksas apjomu (U koef.-8.99/22.94=0.3919; Np koef. 2.54/22.94 =0.1105; A koef. -1.63/22.94=0.0710)</w:t>
      </w:r>
    </w:p>
    <w:p w:rsidR="0023449A" w:rsidRPr="00712455" w:rsidRDefault="0023449A" w:rsidP="0023449A">
      <w:pPr>
        <w:keepLines/>
        <w:autoSpaceDE w:val="0"/>
        <w:autoSpaceDN w:val="0"/>
        <w:adjustRightInd w:val="0"/>
        <w:spacing w:after="0" w:line="240" w:lineRule="auto"/>
        <w:ind w:firstLine="720"/>
        <w:jc w:val="both"/>
        <w:rPr>
          <w:rFonts w:ascii="Times New Roman" w:hAnsi="Times New Roman" w:cs="Times New Roman"/>
          <w:color w:val="000000"/>
          <w:sz w:val="20"/>
          <w:szCs w:val="20"/>
        </w:rPr>
      </w:pPr>
      <w:r w:rsidRPr="00712455">
        <w:rPr>
          <w:rFonts w:ascii="Times New Roman" w:hAnsi="Times New Roman" w:cs="Times New Roman"/>
          <w:color w:val="000000"/>
          <w:sz w:val="20"/>
          <w:szCs w:val="20"/>
        </w:rPr>
        <w:t>**</w:t>
      </w:r>
      <w:proofErr w:type="gramStart"/>
      <w:r w:rsidRPr="00712455">
        <w:rPr>
          <w:rFonts w:ascii="Times New Roman" w:hAnsi="Times New Roman" w:cs="Times New Roman"/>
          <w:color w:val="000000"/>
          <w:sz w:val="20"/>
          <w:szCs w:val="20"/>
        </w:rPr>
        <w:t>*  Amortizācija</w:t>
      </w:r>
      <w:proofErr w:type="gramEnd"/>
      <w:r w:rsidRPr="00712455">
        <w:rPr>
          <w:rFonts w:ascii="Times New Roman" w:hAnsi="Times New Roman" w:cs="Times New Roman"/>
          <w:color w:val="000000"/>
          <w:sz w:val="20"/>
          <w:szCs w:val="20"/>
        </w:rPr>
        <w:t xml:space="preserve"> N = Nm + Np, kur: </w:t>
      </w:r>
    </w:p>
    <w:p w:rsidR="0023449A" w:rsidRPr="00E0495F" w:rsidRDefault="0023449A" w:rsidP="0023449A">
      <w:pPr>
        <w:keepLines/>
        <w:autoSpaceDE w:val="0"/>
        <w:autoSpaceDN w:val="0"/>
        <w:adjustRightInd w:val="0"/>
        <w:spacing w:after="0" w:line="240" w:lineRule="auto"/>
        <w:ind w:firstLine="720"/>
        <w:jc w:val="both"/>
        <w:rPr>
          <w:rFonts w:ascii="Times New Roman" w:hAnsi="Times New Roman" w:cs="Times New Roman"/>
          <w:color w:val="000000"/>
          <w:sz w:val="20"/>
          <w:szCs w:val="20"/>
        </w:rPr>
      </w:pPr>
      <w:r w:rsidRPr="00712455">
        <w:rPr>
          <w:rFonts w:ascii="Times New Roman" w:hAnsi="Times New Roman" w:cs="Times New Roman"/>
          <w:color w:val="000000"/>
          <w:sz w:val="20"/>
          <w:szCs w:val="20"/>
        </w:rPr>
        <w:lastRenderedPageBreak/>
        <w:t xml:space="preserve">Nm - medicīniskās </w:t>
      </w:r>
      <w:r>
        <w:rPr>
          <w:rFonts w:ascii="Times New Roman" w:hAnsi="Times New Roman" w:cs="Times New Roman"/>
          <w:color w:val="000000"/>
          <w:sz w:val="20"/>
          <w:szCs w:val="20"/>
        </w:rPr>
        <w:t xml:space="preserve">ierīces amortizācijas izmaksas, </w:t>
      </w:r>
      <w:r w:rsidRPr="00712455">
        <w:rPr>
          <w:rFonts w:ascii="Times New Roman" w:hAnsi="Times New Roman" w:cs="Times New Roman"/>
          <w:color w:val="000000"/>
          <w:sz w:val="20"/>
          <w:szCs w:val="20"/>
        </w:rPr>
        <w:t xml:space="preserve">Np - ēku, būvju </w:t>
      </w:r>
      <w:proofErr w:type="gramStart"/>
      <w:r w:rsidRPr="00712455">
        <w:rPr>
          <w:rFonts w:ascii="Times New Roman" w:hAnsi="Times New Roman" w:cs="Times New Roman"/>
          <w:color w:val="000000"/>
          <w:sz w:val="20"/>
          <w:szCs w:val="20"/>
        </w:rPr>
        <w:t>un</w:t>
      </w:r>
      <w:proofErr w:type="gramEnd"/>
      <w:r w:rsidRPr="00712455">
        <w:rPr>
          <w:rFonts w:ascii="Times New Roman" w:hAnsi="Times New Roman" w:cs="Times New Roman"/>
          <w:color w:val="000000"/>
          <w:sz w:val="20"/>
          <w:szCs w:val="20"/>
        </w:rPr>
        <w:t xml:space="preserve"> p</w:t>
      </w:r>
      <w:r>
        <w:rPr>
          <w:rFonts w:ascii="Times New Roman" w:hAnsi="Times New Roman" w:cs="Times New Roman"/>
          <w:color w:val="000000"/>
          <w:sz w:val="20"/>
          <w:szCs w:val="20"/>
        </w:rPr>
        <w:t>ārējo pamatlīdzekļu nolietojums.</w:t>
      </w:r>
    </w:p>
    <w:p w:rsidR="0023449A" w:rsidRDefault="0023449A" w:rsidP="0023449A">
      <w:pPr>
        <w:spacing w:before="120" w:after="0" w:line="240" w:lineRule="auto"/>
        <w:ind w:firstLine="720"/>
        <w:jc w:val="both"/>
        <w:rPr>
          <w:rFonts w:ascii="Times New Roman" w:hAnsi="Times New Roman" w:cs="Times New Roman"/>
          <w:sz w:val="24"/>
          <w:szCs w:val="24"/>
        </w:rPr>
      </w:pPr>
      <w:r w:rsidRPr="005573DC">
        <w:rPr>
          <w:rFonts w:ascii="Times New Roman" w:hAnsi="Times New Roman" w:cs="Times New Roman"/>
          <w:sz w:val="24"/>
          <w:szCs w:val="24"/>
        </w:rPr>
        <w:t>Veselības aprūpes pakalpojumu tarifos pastāvīgo izmaksu elementu koefic</w:t>
      </w:r>
      <w:r>
        <w:rPr>
          <w:rFonts w:ascii="Times New Roman" w:hAnsi="Times New Roman" w:cs="Times New Roman"/>
          <w:sz w:val="24"/>
          <w:szCs w:val="24"/>
        </w:rPr>
        <w:t>i</w:t>
      </w:r>
      <w:r w:rsidRPr="005573DC">
        <w:rPr>
          <w:rFonts w:ascii="Times New Roman" w:hAnsi="Times New Roman" w:cs="Times New Roman"/>
          <w:sz w:val="24"/>
          <w:szCs w:val="24"/>
        </w:rPr>
        <w:t xml:space="preserve">enti palielinājās </w:t>
      </w:r>
      <w:r w:rsidRPr="005573DC">
        <w:rPr>
          <w:rFonts w:ascii="Times New Roman" w:hAnsi="Times New Roman" w:cs="Times New Roman"/>
          <w:color w:val="000000"/>
          <w:sz w:val="24"/>
          <w:szCs w:val="24"/>
        </w:rPr>
        <w:t xml:space="preserve">N – amortizācijā (Np – ēku, būvju </w:t>
      </w:r>
      <w:proofErr w:type="gramStart"/>
      <w:r w:rsidRPr="005573DC">
        <w:rPr>
          <w:rFonts w:ascii="Times New Roman" w:hAnsi="Times New Roman" w:cs="Times New Roman"/>
          <w:color w:val="000000"/>
          <w:sz w:val="24"/>
          <w:szCs w:val="24"/>
        </w:rPr>
        <w:t>un</w:t>
      </w:r>
      <w:proofErr w:type="gramEnd"/>
      <w:r w:rsidRPr="005573DC">
        <w:rPr>
          <w:rFonts w:ascii="Times New Roman" w:hAnsi="Times New Roman" w:cs="Times New Roman"/>
          <w:color w:val="000000"/>
          <w:sz w:val="24"/>
          <w:szCs w:val="24"/>
        </w:rPr>
        <w:t xml:space="preserve"> pārējo pamatlīdzekļu nolietojums) no 0.097 uz 0.1105, U - </w:t>
      </w:r>
      <w:r w:rsidRPr="005573DC">
        <w:rPr>
          <w:rFonts w:ascii="Times New Roman" w:hAnsi="Times New Roman" w:cs="Times New Roman"/>
          <w:sz w:val="24"/>
          <w:szCs w:val="24"/>
        </w:rPr>
        <w:t>pieskaitāmās un netiešās ražošanas izmaksās (ar pacientu uzturēšanu saistītie izdevumi pakalpojumu apmaksai, materiālu, energoresursu, ūdens un inventāra iegādei) no 0.315 uz 0.3919 un A – administratīviem izdevumi</w:t>
      </w:r>
      <w:r>
        <w:rPr>
          <w:rFonts w:ascii="Times New Roman" w:hAnsi="Times New Roman" w:cs="Times New Roman"/>
          <w:sz w:val="24"/>
          <w:szCs w:val="24"/>
        </w:rPr>
        <w:t>e</w:t>
      </w:r>
      <w:r w:rsidR="00A2740E">
        <w:rPr>
          <w:rFonts w:ascii="Times New Roman" w:hAnsi="Times New Roman" w:cs="Times New Roman"/>
          <w:sz w:val="24"/>
          <w:szCs w:val="24"/>
        </w:rPr>
        <w:t>m no 0.055 līdz 0.0711 (skat. 2</w:t>
      </w:r>
      <w:r w:rsidR="00783301">
        <w:rPr>
          <w:rFonts w:ascii="Times New Roman" w:hAnsi="Times New Roman" w:cs="Times New Roman"/>
          <w:sz w:val="24"/>
          <w:szCs w:val="24"/>
        </w:rPr>
        <w:t>2</w:t>
      </w:r>
      <w:proofErr w:type="gramStart"/>
      <w:r>
        <w:rPr>
          <w:rFonts w:ascii="Times New Roman" w:hAnsi="Times New Roman" w:cs="Times New Roman"/>
          <w:sz w:val="24"/>
          <w:szCs w:val="24"/>
        </w:rPr>
        <w:t>.tab</w:t>
      </w:r>
      <w:proofErr w:type="gramEnd"/>
      <w:r>
        <w:rPr>
          <w:rFonts w:ascii="Times New Roman" w:hAnsi="Times New Roman" w:cs="Times New Roman"/>
          <w:sz w:val="24"/>
          <w:szCs w:val="24"/>
        </w:rPr>
        <w:t>.).</w:t>
      </w:r>
    </w:p>
    <w:p w:rsidR="0023449A" w:rsidRDefault="0023449A" w:rsidP="0023449A">
      <w:pPr>
        <w:spacing w:before="120" w:after="0" w:line="240" w:lineRule="auto"/>
        <w:ind w:firstLine="720"/>
        <w:jc w:val="right"/>
        <w:rPr>
          <w:rFonts w:ascii="Times New Roman" w:hAnsi="Times New Roman" w:cs="Times New Roman"/>
          <w:sz w:val="24"/>
          <w:szCs w:val="24"/>
        </w:rPr>
      </w:pPr>
    </w:p>
    <w:p w:rsidR="0023449A" w:rsidRPr="005573DC" w:rsidRDefault="00A2740E" w:rsidP="0023449A">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2</w:t>
      </w:r>
      <w:r w:rsidR="00783301">
        <w:rPr>
          <w:rFonts w:ascii="Times New Roman" w:hAnsi="Times New Roman" w:cs="Times New Roman"/>
          <w:sz w:val="24"/>
          <w:szCs w:val="24"/>
        </w:rPr>
        <w:t>2</w:t>
      </w:r>
      <w:proofErr w:type="gramStart"/>
      <w:r w:rsidR="0023449A" w:rsidRPr="005573DC">
        <w:rPr>
          <w:rFonts w:ascii="Times New Roman" w:hAnsi="Times New Roman" w:cs="Times New Roman"/>
          <w:sz w:val="24"/>
          <w:szCs w:val="24"/>
        </w:rPr>
        <w:t>.tabula</w:t>
      </w:r>
      <w:proofErr w:type="gramEnd"/>
    </w:p>
    <w:tbl>
      <w:tblPr>
        <w:tblW w:w="787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1353"/>
        <w:gridCol w:w="1402"/>
        <w:gridCol w:w="1536"/>
        <w:gridCol w:w="1296"/>
      </w:tblGrid>
      <w:tr w:rsidR="0023449A" w:rsidRPr="005573DC" w:rsidTr="0023449A">
        <w:trPr>
          <w:trHeight w:val="315"/>
          <w:jc w:val="center"/>
        </w:trPr>
        <w:tc>
          <w:tcPr>
            <w:tcW w:w="7875" w:type="dxa"/>
            <w:gridSpan w:val="5"/>
            <w:shd w:val="clear" w:color="auto" w:fill="auto"/>
            <w:noWrap/>
            <w:vAlign w:val="bottom"/>
            <w:hideMark/>
          </w:tcPr>
          <w:p w:rsidR="0023449A" w:rsidRDefault="0023449A" w:rsidP="0023449A">
            <w:pPr>
              <w:spacing w:after="0" w:line="240" w:lineRule="auto"/>
              <w:ind w:firstLine="720"/>
              <w:jc w:val="center"/>
              <w:rPr>
                <w:rFonts w:ascii="Times New Roman" w:hAnsi="Times New Roman" w:cs="Times New Roman"/>
                <w:b/>
                <w:bCs/>
                <w:sz w:val="24"/>
                <w:szCs w:val="24"/>
              </w:rPr>
            </w:pPr>
            <w:r w:rsidRPr="005573DC">
              <w:rPr>
                <w:rFonts w:ascii="Times New Roman" w:hAnsi="Times New Roman" w:cs="Times New Roman"/>
                <w:b/>
                <w:bCs/>
                <w:sz w:val="24"/>
                <w:szCs w:val="24"/>
              </w:rPr>
              <w:t>Pastāvīgo (netiešo) izmaksu koeficienti pakalpojumu tarifos</w:t>
            </w:r>
          </w:p>
          <w:p w:rsidR="0023449A" w:rsidRPr="005573DC" w:rsidRDefault="0023449A" w:rsidP="0023449A">
            <w:pPr>
              <w:spacing w:after="0" w:line="240" w:lineRule="auto"/>
              <w:ind w:firstLine="720"/>
              <w:jc w:val="center"/>
              <w:rPr>
                <w:rFonts w:ascii="Times New Roman" w:hAnsi="Times New Roman" w:cs="Times New Roman"/>
                <w:b/>
                <w:bCs/>
                <w:sz w:val="24"/>
                <w:szCs w:val="24"/>
              </w:rPr>
            </w:pPr>
          </w:p>
        </w:tc>
      </w:tr>
      <w:tr w:rsidR="0023449A" w:rsidRPr="005573DC" w:rsidTr="0023449A">
        <w:trPr>
          <w:trHeight w:val="810"/>
          <w:jc w:val="center"/>
        </w:trPr>
        <w:tc>
          <w:tcPr>
            <w:tcW w:w="2288" w:type="dxa"/>
            <w:shd w:val="clear" w:color="auto" w:fill="auto"/>
            <w:noWrap/>
            <w:vAlign w:val="bottom"/>
            <w:hideMark/>
          </w:tcPr>
          <w:p w:rsidR="0023449A" w:rsidRPr="009D0A2B" w:rsidRDefault="0023449A" w:rsidP="0023449A">
            <w:pPr>
              <w:spacing w:after="0" w:line="240" w:lineRule="auto"/>
              <w:ind w:firstLine="720"/>
              <w:jc w:val="center"/>
              <w:rPr>
                <w:rFonts w:ascii="Times New Roman" w:hAnsi="Times New Roman" w:cs="Times New Roman"/>
                <w:sz w:val="20"/>
                <w:szCs w:val="20"/>
              </w:rPr>
            </w:pPr>
            <w:r w:rsidRPr="009D0A2B">
              <w:rPr>
                <w:rFonts w:ascii="Times New Roman" w:hAnsi="Times New Roman" w:cs="Times New Roman"/>
                <w:sz w:val="20"/>
                <w:szCs w:val="20"/>
              </w:rPr>
              <w:t> </w:t>
            </w:r>
          </w:p>
        </w:tc>
        <w:tc>
          <w:tcPr>
            <w:tcW w:w="1353" w:type="dxa"/>
            <w:shd w:val="clear" w:color="auto" w:fill="auto"/>
            <w:noWrap/>
            <w:vAlign w:val="bottom"/>
            <w:hideMark/>
          </w:tcPr>
          <w:p w:rsidR="0023449A" w:rsidRPr="009D0A2B" w:rsidRDefault="0023449A" w:rsidP="0023449A">
            <w:pPr>
              <w:spacing w:after="0" w:line="240" w:lineRule="auto"/>
              <w:rPr>
                <w:rFonts w:ascii="Times New Roman" w:hAnsi="Times New Roman" w:cs="Times New Roman"/>
                <w:sz w:val="20"/>
                <w:szCs w:val="20"/>
              </w:rPr>
            </w:pPr>
            <w:r w:rsidRPr="009D0A2B">
              <w:rPr>
                <w:rFonts w:ascii="Times New Roman" w:hAnsi="Times New Roman" w:cs="Times New Roman"/>
                <w:sz w:val="20"/>
                <w:szCs w:val="20"/>
              </w:rPr>
              <w:t>U - pieskaitāmās un netiešās ražošanas izmaksas</w:t>
            </w:r>
          </w:p>
        </w:tc>
        <w:tc>
          <w:tcPr>
            <w:tcW w:w="1402" w:type="dxa"/>
            <w:shd w:val="clear" w:color="auto" w:fill="auto"/>
            <w:noWrap/>
            <w:hideMark/>
          </w:tcPr>
          <w:p w:rsidR="0023449A" w:rsidRPr="009D0A2B" w:rsidRDefault="0023449A" w:rsidP="0023449A">
            <w:pPr>
              <w:spacing w:after="0" w:line="240" w:lineRule="auto"/>
              <w:rPr>
                <w:rFonts w:ascii="Times New Roman" w:hAnsi="Times New Roman" w:cs="Times New Roman"/>
                <w:sz w:val="20"/>
                <w:szCs w:val="20"/>
              </w:rPr>
            </w:pPr>
            <w:r w:rsidRPr="009D0A2B">
              <w:rPr>
                <w:rFonts w:ascii="Times New Roman" w:hAnsi="Times New Roman" w:cs="Times New Roman"/>
                <w:sz w:val="20"/>
                <w:szCs w:val="20"/>
              </w:rPr>
              <w:t>N (Np) - amortizācija</w:t>
            </w:r>
          </w:p>
        </w:tc>
        <w:tc>
          <w:tcPr>
            <w:tcW w:w="1536" w:type="dxa"/>
            <w:shd w:val="clear" w:color="auto" w:fill="auto"/>
            <w:noWrap/>
            <w:hideMark/>
          </w:tcPr>
          <w:p w:rsidR="0023449A" w:rsidRPr="009D0A2B" w:rsidRDefault="0023449A" w:rsidP="0023449A">
            <w:pPr>
              <w:spacing w:after="0" w:line="240" w:lineRule="auto"/>
              <w:rPr>
                <w:rFonts w:ascii="Times New Roman" w:hAnsi="Times New Roman" w:cs="Times New Roman"/>
                <w:sz w:val="20"/>
                <w:szCs w:val="20"/>
              </w:rPr>
            </w:pPr>
            <w:r w:rsidRPr="009D0A2B">
              <w:rPr>
                <w:rFonts w:ascii="Times New Roman" w:hAnsi="Times New Roman" w:cs="Times New Roman"/>
                <w:sz w:val="20"/>
                <w:szCs w:val="20"/>
              </w:rPr>
              <w:t>A - administratīvie izdevumi</w:t>
            </w:r>
          </w:p>
        </w:tc>
        <w:tc>
          <w:tcPr>
            <w:tcW w:w="1296" w:type="dxa"/>
          </w:tcPr>
          <w:p w:rsidR="0023449A" w:rsidRPr="009D0A2B" w:rsidRDefault="0023449A" w:rsidP="0023449A">
            <w:pPr>
              <w:spacing w:after="0" w:line="240" w:lineRule="auto"/>
              <w:rPr>
                <w:rFonts w:ascii="Times New Roman" w:hAnsi="Times New Roman" w:cs="Times New Roman"/>
                <w:sz w:val="20"/>
                <w:szCs w:val="20"/>
              </w:rPr>
            </w:pPr>
            <w:r w:rsidRPr="009D0A2B">
              <w:rPr>
                <w:rFonts w:ascii="Times New Roman" w:hAnsi="Times New Roman" w:cs="Times New Roman"/>
                <w:sz w:val="20"/>
                <w:szCs w:val="20"/>
              </w:rPr>
              <w:t>Netiešo izmaksu koeficientu summa</w:t>
            </w:r>
          </w:p>
        </w:tc>
      </w:tr>
      <w:tr w:rsidR="0023449A" w:rsidRPr="005573DC" w:rsidTr="0023449A">
        <w:trPr>
          <w:trHeight w:val="510"/>
          <w:jc w:val="center"/>
        </w:trPr>
        <w:tc>
          <w:tcPr>
            <w:tcW w:w="2288" w:type="dxa"/>
            <w:shd w:val="clear" w:color="auto" w:fill="auto"/>
            <w:noWrap/>
            <w:vAlign w:val="center"/>
            <w:hideMark/>
          </w:tcPr>
          <w:p w:rsidR="0023449A" w:rsidRPr="009D0A2B" w:rsidRDefault="0023449A" w:rsidP="0023449A">
            <w:pPr>
              <w:spacing w:after="0" w:line="240" w:lineRule="auto"/>
              <w:ind w:firstLine="720"/>
              <w:jc w:val="center"/>
              <w:rPr>
                <w:rFonts w:ascii="Times New Roman" w:hAnsi="Times New Roman" w:cs="Times New Roman"/>
                <w:sz w:val="20"/>
                <w:szCs w:val="20"/>
              </w:rPr>
            </w:pPr>
            <w:r w:rsidRPr="009D0A2B">
              <w:rPr>
                <w:rFonts w:ascii="Times New Roman" w:hAnsi="Times New Roman" w:cs="Times New Roman"/>
                <w:sz w:val="20"/>
                <w:szCs w:val="20"/>
              </w:rPr>
              <w:t>Pastāvīgo izmaksu koeficienti 2012.gadā spēkā esošos tarifos</w:t>
            </w:r>
          </w:p>
        </w:tc>
        <w:tc>
          <w:tcPr>
            <w:tcW w:w="1353" w:type="dxa"/>
            <w:shd w:val="clear" w:color="auto" w:fill="auto"/>
            <w:noWrap/>
            <w:vAlign w:val="bottom"/>
            <w:hideMark/>
          </w:tcPr>
          <w:p w:rsidR="0023449A" w:rsidRPr="009D0A2B" w:rsidRDefault="0023449A" w:rsidP="0023449A">
            <w:pPr>
              <w:spacing w:after="0" w:line="240" w:lineRule="auto"/>
              <w:jc w:val="right"/>
              <w:rPr>
                <w:rFonts w:ascii="Times New Roman" w:hAnsi="Times New Roman" w:cs="Times New Roman"/>
                <w:sz w:val="20"/>
                <w:szCs w:val="20"/>
              </w:rPr>
            </w:pPr>
            <w:r w:rsidRPr="009D0A2B">
              <w:rPr>
                <w:rFonts w:ascii="Times New Roman" w:hAnsi="Times New Roman" w:cs="Times New Roman"/>
                <w:sz w:val="20"/>
                <w:szCs w:val="20"/>
              </w:rPr>
              <w:t>0.315</w:t>
            </w:r>
          </w:p>
        </w:tc>
        <w:tc>
          <w:tcPr>
            <w:tcW w:w="1402" w:type="dxa"/>
            <w:shd w:val="clear" w:color="auto" w:fill="auto"/>
            <w:noWrap/>
            <w:vAlign w:val="bottom"/>
            <w:hideMark/>
          </w:tcPr>
          <w:p w:rsidR="0023449A" w:rsidRPr="009D0A2B" w:rsidRDefault="0023449A" w:rsidP="0023449A">
            <w:pPr>
              <w:spacing w:after="0" w:line="240" w:lineRule="auto"/>
              <w:ind w:firstLine="720"/>
              <w:jc w:val="right"/>
              <w:rPr>
                <w:rFonts w:ascii="Times New Roman" w:hAnsi="Times New Roman" w:cs="Times New Roman"/>
                <w:sz w:val="20"/>
                <w:szCs w:val="20"/>
              </w:rPr>
            </w:pPr>
            <w:r w:rsidRPr="009D0A2B">
              <w:rPr>
                <w:rFonts w:ascii="Times New Roman" w:hAnsi="Times New Roman" w:cs="Times New Roman"/>
                <w:sz w:val="20"/>
                <w:szCs w:val="20"/>
              </w:rPr>
              <w:t>0.097</w:t>
            </w:r>
          </w:p>
        </w:tc>
        <w:tc>
          <w:tcPr>
            <w:tcW w:w="1536" w:type="dxa"/>
            <w:shd w:val="clear" w:color="auto" w:fill="auto"/>
            <w:noWrap/>
            <w:vAlign w:val="bottom"/>
            <w:hideMark/>
          </w:tcPr>
          <w:p w:rsidR="0023449A" w:rsidRPr="009D0A2B" w:rsidRDefault="0023449A" w:rsidP="0023449A">
            <w:pPr>
              <w:spacing w:after="0" w:line="240" w:lineRule="auto"/>
              <w:ind w:firstLine="720"/>
              <w:jc w:val="right"/>
              <w:rPr>
                <w:rFonts w:ascii="Times New Roman" w:hAnsi="Times New Roman" w:cs="Times New Roman"/>
                <w:sz w:val="20"/>
                <w:szCs w:val="20"/>
              </w:rPr>
            </w:pPr>
            <w:r w:rsidRPr="009D0A2B">
              <w:rPr>
                <w:rFonts w:ascii="Times New Roman" w:hAnsi="Times New Roman" w:cs="Times New Roman"/>
                <w:sz w:val="20"/>
                <w:szCs w:val="20"/>
              </w:rPr>
              <w:t>0.055</w:t>
            </w:r>
          </w:p>
        </w:tc>
        <w:tc>
          <w:tcPr>
            <w:tcW w:w="1296" w:type="dxa"/>
            <w:vAlign w:val="bottom"/>
          </w:tcPr>
          <w:p w:rsidR="0023449A" w:rsidRPr="009D0A2B" w:rsidRDefault="0023449A" w:rsidP="0023449A">
            <w:pPr>
              <w:spacing w:after="0" w:line="240" w:lineRule="auto"/>
              <w:jc w:val="right"/>
              <w:rPr>
                <w:rFonts w:ascii="Times New Roman" w:hAnsi="Times New Roman" w:cs="Times New Roman"/>
                <w:sz w:val="20"/>
                <w:szCs w:val="20"/>
              </w:rPr>
            </w:pPr>
            <w:r w:rsidRPr="009D0A2B">
              <w:rPr>
                <w:rFonts w:ascii="Times New Roman" w:hAnsi="Times New Roman" w:cs="Times New Roman"/>
                <w:sz w:val="20"/>
                <w:szCs w:val="20"/>
              </w:rPr>
              <w:t>0.4670</w:t>
            </w:r>
          </w:p>
        </w:tc>
      </w:tr>
      <w:tr w:rsidR="0023449A" w:rsidRPr="005573DC" w:rsidTr="0023449A">
        <w:trPr>
          <w:trHeight w:val="510"/>
          <w:jc w:val="center"/>
        </w:trPr>
        <w:tc>
          <w:tcPr>
            <w:tcW w:w="2288" w:type="dxa"/>
            <w:shd w:val="clear" w:color="auto" w:fill="auto"/>
            <w:noWrap/>
            <w:vAlign w:val="center"/>
            <w:hideMark/>
          </w:tcPr>
          <w:p w:rsidR="0023449A" w:rsidRPr="009D0A2B" w:rsidRDefault="0023449A" w:rsidP="0023449A">
            <w:pPr>
              <w:spacing w:after="0" w:line="240" w:lineRule="auto"/>
              <w:ind w:firstLine="720"/>
              <w:jc w:val="center"/>
              <w:rPr>
                <w:rFonts w:ascii="Times New Roman" w:hAnsi="Times New Roman" w:cs="Times New Roman"/>
                <w:b/>
                <w:bCs/>
                <w:sz w:val="20"/>
                <w:szCs w:val="20"/>
              </w:rPr>
            </w:pPr>
            <w:r w:rsidRPr="009D0A2B">
              <w:rPr>
                <w:rFonts w:ascii="Times New Roman" w:hAnsi="Times New Roman" w:cs="Times New Roman"/>
                <w:sz w:val="20"/>
                <w:szCs w:val="20"/>
              </w:rPr>
              <w:t>Pastāvīgo izmaksu koeficienti pārrēķin</w:t>
            </w:r>
            <w:r>
              <w:rPr>
                <w:rFonts w:ascii="Times New Roman" w:hAnsi="Times New Roman" w:cs="Times New Roman"/>
                <w:sz w:val="20"/>
                <w:szCs w:val="20"/>
              </w:rPr>
              <w:t>i</w:t>
            </w:r>
          </w:p>
        </w:tc>
        <w:tc>
          <w:tcPr>
            <w:tcW w:w="1353" w:type="dxa"/>
            <w:shd w:val="clear" w:color="auto" w:fill="auto"/>
            <w:noWrap/>
            <w:vAlign w:val="bottom"/>
            <w:hideMark/>
          </w:tcPr>
          <w:p w:rsidR="0023449A" w:rsidRPr="009D0A2B" w:rsidRDefault="0023449A" w:rsidP="0023449A">
            <w:pPr>
              <w:spacing w:after="0" w:line="240" w:lineRule="auto"/>
              <w:jc w:val="right"/>
              <w:rPr>
                <w:rFonts w:ascii="Times New Roman" w:hAnsi="Times New Roman" w:cs="Times New Roman"/>
                <w:b/>
                <w:bCs/>
                <w:sz w:val="20"/>
                <w:szCs w:val="20"/>
              </w:rPr>
            </w:pPr>
            <w:r w:rsidRPr="009D0A2B">
              <w:rPr>
                <w:rFonts w:ascii="Times New Roman" w:hAnsi="Times New Roman" w:cs="Times New Roman"/>
                <w:b/>
                <w:bCs/>
                <w:sz w:val="20"/>
                <w:szCs w:val="20"/>
              </w:rPr>
              <w:t>0.3919</w:t>
            </w:r>
          </w:p>
        </w:tc>
        <w:tc>
          <w:tcPr>
            <w:tcW w:w="1402" w:type="dxa"/>
            <w:shd w:val="clear" w:color="auto" w:fill="auto"/>
            <w:noWrap/>
            <w:vAlign w:val="bottom"/>
            <w:hideMark/>
          </w:tcPr>
          <w:p w:rsidR="0023449A" w:rsidRPr="009D0A2B" w:rsidRDefault="0023449A" w:rsidP="0023449A">
            <w:pPr>
              <w:spacing w:after="0" w:line="240" w:lineRule="auto"/>
              <w:jc w:val="right"/>
              <w:rPr>
                <w:rFonts w:ascii="Times New Roman" w:hAnsi="Times New Roman" w:cs="Times New Roman"/>
                <w:b/>
                <w:bCs/>
                <w:sz w:val="20"/>
                <w:szCs w:val="20"/>
              </w:rPr>
            </w:pPr>
            <w:r w:rsidRPr="009D0A2B">
              <w:rPr>
                <w:rFonts w:ascii="Times New Roman" w:hAnsi="Times New Roman" w:cs="Times New Roman"/>
                <w:b/>
                <w:bCs/>
                <w:sz w:val="20"/>
                <w:szCs w:val="20"/>
              </w:rPr>
              <w:t>0.1105</w:t>
            </w:r>
          </w:p>
        </w:tc>
        <w:tc>
          <w:tcPr>
            <w:tcW w:w="1536" w:type="dxa"/>
            <w:shd w:val="clear" w:color="auto" w:fill="auto"/>
            <w:noWrap/>
            <w:vAlign w:val="bottom"/>
            <w:hideMark/>
          </w:tcPr>
          <w:p w:rsidR="0023449A" w:rsidRPr="009D0A2B" w:rsidRDefault="0023449A" w:rsidP="0023449A">
            <w:pPr>
              <w:spacing w:after="0" w:line="240" w:lineRule="auto"/>
              <w:ind w:firstLine="720"/>
              <w:jc w:val="right"/>
              <w:rPr>
                <w:rFonts w:ascii="Times New Roman" w:hAnsi="Times New Roman" w:cs="Times New Roman"/>
                <w:b/>
                <w:bCs/>
                <w:sz w:val="20"/>
                <w:szCs w:val="20"/>
              </w:rPr>
            </w:pPr>
            <w:r w:rsidRPr="009D0A2B">
              <w:rPr>
                <w:rFonts w:ascii="Times New Roman" w:hAnsi="Times New Roman" w:cs="Times New Roman"/>
                <w:b/>
                <w:bCs/>
                <w:sz w:val="20"/>
                <w:szCs w:val="20"/>
              </w:rPr>
              <w:t>0.0711</w:t>
            </w:r>
          </w:p>
        </w:tc>
        <w:tc>
          <w:tcPr>
            <w:tcW w:w="1296" w:type="dxa"/>
            <w:vAlign w:val="bottom"/>
          </w:tcPr>
          <w:p w:rsidR="0023449A" w:rsidRPr="009D0A2B" w:rsidRDefault="0023449A" w:rsidP="0023449A">
            <w:pPr>
              <w:spacing w:after="0" w:line="240" w:lineRule="auto"/>
              <w:jc w:val="right"/>
              <w:rPr>
                <w:rFonts w:ascii="Times New Roman" w:hAnsi="Times New Roman" w:cs="Times New Roman"/>
                <w:b/>
                <w:bCs/>
                <w:sz w:val="20"/>
                <w:szCs w:val="20"/>
              </w:rPr>
            </w:pPr>
            <w:r w:rsidRPr="009D0A2B">
              <w:rPr>
                <w:rFonts w:ascii="Times New Roman" w:hAnsi="Times New Roman" w:cs="Times New Roman"/>
                <w:b/>
                <w:bCs/>
                <w:sz w:val="20"/>
                <w:szCs w:val="20"/>
              </w:rPr>
              <w:t>0.5735</w:t>
            </w:r>
          </w:p>
        </w:tc>
      </w:tr>
      <w:tr w:rsidR="0023449A" w:rsidRPr="005573DC" w:rsidTr="0023449A">
        <w:trPr>
          <w:trHeight w:val="510"/>
          <w:jc w:val="center"/>
        </w:trPr>
        <w:tc>
          <w:tcPr>
            <w:tcW w:w="2288" w:type="dxa"/>
            <w:shd w:val="clear" w:color="auto" w:fill="auto"/>
            <w:noWrap/>
            <w:vAlign w:val="center"/>
            <w:hideMark/>
          </w:tcPr>
          <w:p w:rsidR="0023449A" w:rsidRPr="009D0A2B" w:rsidRDefault="0023449A" w:rsidP="0023449A">
            <w:pPr>
              <w:spacing w:after="0" w:line="240" w:lineRule="auto"/>
              <w:jc w:val="right"/>
              <w:rPr>
                <w:rFonts w:ascii="Times New Roman" w:hAnsi="Times New Roman" w:cs="Times New Roman"/>
                <w:sz w:val="20"/>
                <w:szCs w:val="20"/>
              </w:rPr>
            </w:pPr>
            <w:r>
              <w:rPr>
                <w:rFonts w:ascii="Times New Roman" w:eastAsia="Times New Roman" w:hAnsi="Times New Roman" w:cs="Times New Roman"/>
                <w:sz w:val="20"/>
                <w:szCs w:val="20"/>
                <w:lang w:val="lv-LV" w:eastAsia="lv-LV"/>
              </w:rPr>
              <w:t xml:space="preserve">Koeficienti, </w:t>
            </w:r>
            <w:r w:rsidRPr="00712455">
              <w:rPr>
                <w:rFonts w:ascii="Times New Roman" w:eastAsia="Times New Roman" w:hAnsi="Times New Roman" w:cs="Times New Roman"/>
                <w:sz w:val="20"/>
                <w:szCs w:val="20"/>
                <w:lang w:val="lv-LV" w:eastAsia="lv-LV"/>
              </w:rPr>
              <w:t>palielinot atalgojumu par 17%</w:t>
            </w:r>
          </w:p>
        </w:tc>
        <w:tc>
          <w:tcPr>
            <w:tcW w:w="1353" w:type="dxa"/>
            <w:shd w:val="clear" w:color="auto" w:fill="auto"/>
            <w:noWrap/>
            <w:vAlign w:val="bottom"/>
            <w:hideMark/>
          </w:tcPr>
          <w:p w:rsidR="0023449A" w:rsidRPr="009D0A2B" w:rsidRDefault="0023449A" w:rsidP="0023449A">
            <w:pPr>
              <w:spacing w:after="0" w:line="240" w:lineRule="auto"/>
              <w:jc w:val="right"/>
              <w:rPr>
                <w:rFonts w:ascii="Times New Roman" w:hAnsi="Times New Roman" w:cs="Times New Roman"/>
                <w:b/>
                <w:bCs/>
                <w:sz w:val="20"/>
                <w:szCs w:val="20"/>
              </w:rPr>
            </w:pPr>
            <w:r w:rsidRPr="00712455">
              <w:rPr>
                <w:rFonts w:ascii="Times New Roman" w:eastAsia="Times New Roman" w:hAnsi="Times New Roman" w:cs="Times New Roman"/>
                <w:b/>
                <w:bCs/>
                <w:sz w:val="20"/>
                <w:szCs w:val="20"/>
                <w:lang w:val="lv-LV" w:eastAsia="lv-LV"/>
              </w:rPr>
              <w:t>0.3349</w:t>
            </w:r>
          </w:p>
        </w:tc>
        <w:tc>
          <w:tcPr>
            <w:tcW w:w="1402" w:type="dxa"/>
            <w:shd w:val="clear" w:color="auto" w:fill="auto"/>
            <w:noWrap/>
            <w:vAlign w:val="bottom"/>
            <w:hideMark/>
          </w:tcPr>
          <w:p w:rsidR="0023449A" w:rsidRPr="009D0A2B" w:rsidRDefault="0023449A" w:rsidP="0023449A">
            <w:pPr>
              <w:spacing w:after="0" w:line="240" w:lineRule="auto"/>
              <w:jc w:val="right"/>
              <w:rPr>
                <w:rFonts w:ascii="Times New Roman" w:hAnsi="Times New Roman" w:cs="Times New Roman"/>
                <w:b/>
                <w:bCs/>
                <w:sz w:val="20"/>
                <w:szCs w:val="20"/>
              </w:rPr>
            </w:pPr>
            <w:r w:rsidRPr="00712455">
              <w:rPr>
                <w:rFonts w:ascii="Times New Roman" w:eastAsia="Times New Roman" w:hAnsi="Times New Roman" w:cs="Times New Roman"/>
                <w:b/>
                <w:bCs/>
                <w:sz w:val="20"/>
                <w:szCs w:val="20"/>
                <w:lang w:val="lv-LV" w:eastAsia="lv-LV"/>
              </w:rPr>
              <w:t>0.0946</w:t>
            </w:r>
          </w:p>
        </w:tc>
        <w:tc>
          <w:tcPr>
            <w:tcW w:w="1536" w:type="dxa"/>
            <w:shd w:val="clear" w:color="auto" w:fill="auto"/>
            <w:noWrap/>
            <w:vAlign w:val="bottom"/>
            <w:hideMark/>
          </w:tcPr>
          <w:p w:rsidR="0023449A" w:rsidRPr="009D0A2B" w:rsidRDefault="0023449A" w:rsidP="0023449A">
            <w:pPr>
              <w:spacing w:after="0" w:line="240" w:lineRule="auto"/>
              <w:ind w:firstLine="720"/>
              <w:jc w:val="right"/>
              <w:rPr>
                <w:rFonts w:ascii="Times New Roman" w:hAnsi="Times New Roman" w:cs="Times New Roman"/>
                <w:b/>
                <w:bCs/>
                <w:sz w:val="20"/>
                <w:szCs w:val="20"/>
              </w:rPr>
            </w:pPr>
            <w:r w:rsidRPr="00712455">
              <w:rPr>
                <w:rFonts w:ascii="Times New Roman" w:eastAsia="Times New Roman" w:hAnsi="Times New Roman" w:cs="Times New Roman"/>
                <w:b/>
                <w:bCs/>
                <w:sz w:val="20"/>
                <w:szCs w:val="20"/>
                <w:lang w:val="lv-LV" w:eastAsia="lv-LV"/>
              </w:rPr>
              <w:t>0.0607</w:t>
            </w:r>
          </w:p>
        </w:tc>
        <w:tc>
          <w:tcPr>
            <w:tcW w:w="1296" w:type="dxa"/>
            <w:vAlign w:val="bottom"/>
          </w:tcPr>
          <w:p w:rsidR="0023449A" w:rsidRPr="009D0A2B" w:rsidRDefault="0023449A" w:rsidP="0023449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0.8251</w:t>
            </w:r>
          </w:p>
        </w:tc>
      </w:tr>
    </w:tbl>
    <w:p w:rsidR="0023449A" w:rsidRDefault="0023449A" w:rsidP="0023449A">
      <w:pPr>
        <w:spacing w:after="0" w:line="240" w:lineRule="auto"/>
        <w:ind w:firstLine="720"/>
        <w:jc w:val="both"/>
        <w:rPr>
          <w:rFonts w:ascii="Times New Roman" w:hAnsi="Times New Roman"/>
          <w:i/>
          <w:sz w:val="20"/>
          <w:szCs w:val="20"/>
        </w:rPr>
      </w:pPr>
      <w:r>
        <w:rPr>
          <w:rFonts w:ascii="Times New Roman" w:hAnsi="Times New Roman"/>
          <w:i/>
          <w:sz w:val="20"/>
          <w:szCs w:val="20"/>
        </w:rPr>
        <w:t xml:space="preserve">          </w:t>
      </w:r>
    </w:p>
    <w:p w:rsidR="0023449A" w:rsidRDefault="0023449A" w:rsidP="0023449A">
      <w:pPr>
        <w:spacing w:after="0" w:line="240" w:lineRule="auto"/>
        <w:ind w:firstLine="720"/>
        <w:jc w:val="both"/>
        <w:rPr>
          <w:rFonts w:ascii="Times New Roman" w:hAnsi="Times New Roman" w:cs="Times New Roman"/>
          <w:sz w:val="24"/>
          <w:szCs w:val="24"/>
        </w:rPr>
      </w:pPr>
      <w:r>
        <w:rPr>
          <w:rFonts w:ascii="Times New Roman" w:hAnsi="Times New Roman"/>
          <w:i/>
          <w:sz w:val="20"/>
          <w:szCs w:val="20"/>
        </w:rPr>
        <w:t xml:space="preserve">                  </w:t>
      </w:r>
      <w:r w:rsidRPr="002040D7">
        <w:rPr>
          <w:rFonts w:ascii="Times New Roman" w:hAnsi="Times New Roman"/>
          <w:i/>
          <w:sz w:val="20"/>
          <w:szCs w:val="20"/>
        </w:rPr>
        <w:t xml:space="preserve">Avots: </w:t>
      </w:r>
      <w:r>
        <w:rPr>
          <w:rFonts w:ascii="Times New Roman" w:hAnsi="Times New Roman"/>
          <w:i/>
          <w:sz w:val="20"/>
          <w:szCs w:val="20"/>
        </w:rPr>
        <w:t>Nacionālais veselības dienests</w:t>
      </w:r>
      <w:r w:rsidRPr="002040D7">
        <w:rPr>
          <w:rFonts w:ascii="Times New Roman" w:hAnsi="Times New Roman"/>
          <w:i/>
          <w:sz w:val="20"/>
          <w:szCs w:val="20"/>
        </w:rPr>
        <w:t xml:space="preserve">    </w:t>
      </w:r>
    </w:p>
    <w:p w:rsidR="00F568CF" w:rsidRDefault="00F568CF" w:rsidP="00D65E9A">
      <w:pPr>
        <w:spacing w:before="120" w:after="0" w:line="240" w:lineRule="auto"/>
        <w:jc w:val="both"/>
        <w:rPr>
          <w:rFonts w:ascii="Times New Roman" w:hAnsi="Times New Roman" w:cs="Times New Roman"/>
          <w:sz w:val="24"/>
          <w:szCs w:val="24"/>
        </w:rPr>
      </w:pPr>
    </w:p>
    <w:p w:rsidR="00D65E9A" w:rsidRDefault="0023449A" w:rsidP="0023449A">
      <w:pPr>
        <w:spacing w:before="120" w:after="0" w:line="240" w:lineRule="auto"/>
        <w:ind w:firstLine="720"/>
        <w:jc w:val="both"/>
        <w:rPr>
          <w:rFonts w:ascii="Times New Roman" w:hAnsi="Times New Roman" w:cs="Times New Roman"/>
          <w:bCs/>
          <w:color w:val="000000"/>
          <w:sz w:val="24"/>
          <w:szCs w:val="24"/>
        </w:rPr>
      </w:pPr>
      <w:r w:rsidRPr="005573DC">
        <w:rPr>
          <w:rFonts w:ascii="Times New Roman" w:hAnsi="Times New Roman" w:cs="Times New Roman"/>
          <w:sz w:val="24"/>
          <w:szCs w:val="24"/>
        </w:rPr>
        <w:t xml:space="preserve">Nepieciešamais finansējums veselības aprūpes pakalpojumu nodrošināšanai būtu </w:t>
      </w:r>
      <w:r w:rsidRPr="00AC6A69">
        <w:rPr>
          <w:rFonts w:ascii="Times New Roman" w:hAnsi="Times New Roman" w:cs="Times New Roman"/>
          <w:sz w:val="24"/>
          <w:szCs w:val="24"/>
        </w:rPr>
        <w:t xml:space="preserve">341 575 843 lati, tai skaitā 7 984 120 lati </w:t>
      </w:r>
      <w:r w:rsidR="00D65E9A">
        <w:rPr>
          <w:rFonts w:ascii="Times New Roman" w:hAnsi="Times New Roman" w:cs="Times New Roman"/>
          <w:sz w:val="24"/>
          <w:szCs w:val="24"/>
        </w:rPr>
        <w:t>(skat. 23</w:t>
      </w:r>
      <w:proofErr w:type="gramStart"/>
      <w:r w:rsidR="00D65E9A">
        <w:rPr>
          <w:rFonts w:ascii="Times New Roman" w:hAnsi="Times New Roman" w:cs="Times New Roman"/>
          <w:sz w:val="24"/>
          <w:szCs w:val="24"/>
        </w:rPr>
        <w:t>.tabulu</w:t>
      </w:r>
      <w:proofErr w:type="gramEnd"/>
      <w:r w:rsidR="00D65E9A">
        <w:rPr>
          <w:rFonts w:ascii="Times New Roman" w:hAnsi="Times New Roman" w:cs="Times New Roman"/>
          <w:sz w:val="24"/>
          <w:szCs w:val="24"/>
        </w:rPr>
        <w:t xml:space="preserve">) </w:t>
      </w:r>
      <w:r w:rsidRPr="00AC6A69">
        <w:rPr>
          <w:rFonts w:ascii="Times New Roman" w:hAnsi="Times New Roman" w:cs="Times New Roman"/>
          <w:sz w:val="24"/>
          <w:szCs w:val="24"/>
        </w:rPr>
        <w:t>veselības aprūpes pakalpojumu tarifu pastāvīgo izmaksu elementu (N – amortizācija (Np – ēku, būvju un pārējo pamatlīdzekļu nolietojums), U - pieskaitāmās</w:t>
      </w:r>
      <w:r w:rsidRPr="005573DC">
        <w:rPr>
          <w:rFonts w:ascii="Times New Roman" w:hAnsi="Times New Roman" w:cs="Times New Roman"/>
          <w:sz w:val="24"/>
          <w:szCs w:val="24"/>
        </w:rPr>
        <w:t xml:space="preserve"> un netiešās ražošanas izmaksas (ar pacientu uzturēšanu saistītie izdevumi pakalpojumu apmaksai, materiālu, energoresursu, ūdens un inventāra iegādei), A – administratīvie izdevumi</w:t>
      </w:r>
      <w:r w:rsidRPr="005573DC">
        <w:rPr>
          <w:rFonts w:ascii="Times New Roman" w:hAnsi="Times New Roman" w:cs="Times New Roman"/>
          <w:color w:val="000000"/>
          <w:sz w:val="24"/>
          <w:szCs w:val="24"/>
        </w:rPr>
        <w:t>) vērtību (koefic</w:t>
      </w:r>
      <w:r>
        <w:rPr>
          <w:rFonts w:ascii="Times New Roman" w:hAnsi="Times New Roman" w:cs="Times New Roman"/>
          <w:color w:val="000000"/>
          <w:sz w:val="24"/>
          <w:szCs w:val="24"/>
        </w:rPr>
        <w:t>i</w:t>
      </w:r>
      <w:r w:rsidRPr="005573DC">
        <w:rPr>
          <w:rFonts w:ascii="Times New Roman" w:hAnsi="Times New Roman" w:cs="Times New Roman"/>
          <w:color w:val="000000"/>
          <w:sz w:val="24"/>
          <w:szCs w:val="24"/>
        </w:rPr>
        <w:t xml:space="preserve">entu) </w:t>
      </w:r>
      <w:r w:rsidRPr="005573DC">
        <w:rPr>
          <w:rFonts w:ascii="Times New Roman" w:hAnsi="Times New Roman" w:cs="Times New Roman"/>
          <w:sz w:val="24"/>
          <w:szCs w:val="24"/>
        </w:rPr>
        <w:t xml:space="preserve">pārrēķinam </w:t>
      </w:r>
      <w:r w:rsidR="00480A13">
        <w:rPr>
          <w:rFonts w:ascii="Times New Roman" w:hAnsi="Times New Roman" w:cs="Times New Roman"/>
          <w:sz w:val="24"/>
          <w:szCs w:val="24"/>
        </w:rPr>
        <w:t xml:space="preserve">un ārstniecības personu darba samaksas pieauguma nodrošināšanai par 17% 20 881 926 lati </w:t>
      </w:r>
      <w:r>
        <w:rPr>
          <w:rFonts w:ascii="Times New Roman" w:hAnsi="Times New Roman" w:cs="Times New Roman"/>
          <w:bCs/>
          <w:color w:val="000000"/>
          <w:sz w:val="24"/>
          <w:szCs w:val="24"/>
        </w:rPr>
        <w:t xml:space="preserve">(skatīt ziņojuma </w:t>
      </w:r>
      <w:r w:rsidRPr="005573DC">
        <w:rPr>
          <w:rFonts w:ascii="Times New Roman" w:hAnsi="Times New Roman" w:cs="Times New Roman"/>
          <w:bCs/>
          <w:color w:val="000000"/>
          <w:sz w:val="24"/>
          <w:szCs w:val="24"/>
        </w:rPr>
        <w:t>pielikumu).</w:t>
      </w:r>
    </w:p>
    <w:p w:rsidR="00D65E9A" w:rsidRDefault="00D65E9A" w:rsidP="00D65E9A">
      <w:pPr>
        <w:spacing w:before="120" w:after="0" w:line="240" w:lineRule="auto"/>
        <w:ind w:firstLine="72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23</w:t>
      </w:r>
      <w:proofErr w:type="gramStart"/>
      <w:r>
        <w:rPr>
          <w:rFonts w:ascii="Times New Roman" w:hAnsi="Times New Roman" w:cs="Times New Roman"/>
          <w:bCs/>
          <w:color w:val="000000"/>
          <w:sz w:val="24"/>
          <w:szCs w:val="24"/>
        </w:rPr>
        <w:t>.tabula</w:t>
      </w:r>
      <w:proofErr w:type="gramEnd"/>
    </w:p>
    <w:tbl>
      <w:tblPr>
        <w:tblW w:w="9796" w:type="dxa"/>
        <w:tblInd w:w="93" w:type="dxa"/>
        <w:tblLayout w:type="fixed"/>
        <w:tblLook w:val="04A0"/>
      </w:tblPr>
      <w:tblGrid>
        <w:gridCol w:w="2850"/>
        <w:gridCol w:w="993"/>
        <w:gridCol w:w="1134"/>
        <w:gridCol w:w="1134"/>
        <w:gridCol w:w="992"/>
        <w:gridCol w:w="937"/>
        <w:gridCol w:w="197"/>
        <w:gridCol w:w="39"/>
        <w:gridCol w:w="1520"/>
      </w:tblGrid>
      <w:tr w:rsidR="00D65E9A" w:rsidRPr="00F568CF" w:rsidTr="00D65E9A">
        <w:trPr>
          <w:trHeight w:val="465"/>
        </w:trPr>
        <w:tc>
          <w:tcPr>
            <w:tcW w:w="4977" w:type="dxa"/>
            <w:gridSpan w:val="3"/>
            <w:tcBorders>
              <w:top w:val="nil"/>
              <w:left w:val="nil"/>
              <w:bottom w:val="nil"/>
              <w:right w:val="nil"/>
            </w:tcBorders>
            <w:shd w:val="clear" w:color="auto" w:fill="auto"/>
            <w:noWrap/>
            <w:vAlign w:val="bottom"/>
            <w:hideMark/>
          </w:tcPr>
          <w:p w:rsidR="00D65E9A" w:rsidRPr="00D65E9A" w:rsidRDefault="00D65E9A" w:rsidP="00D65E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D65E9A">
              <w:rPr>
                <w:rFonts w:ascii="Times New Roman" w:eastAsia="Times New Roman" w:hAnsi="Times New Roman" w:cs="Times New Roman"/>
                <w:b/>
                <w:sz w:val="24"/>
                <w:szCs w:val="24"/>
              </w:rPr>
              <w:t>Pastāvīgo (netiešo) izmaksu aprēķins</w:t>
            </w:r>
          </w:p>
        </w:tc>
        <w:tc>
          <w:tcPr>
            <w:tcW w:w="1134" w:type="dxa"/>
            <w:tcBorders>
              <w:top w:val="nil"/>
              <w:left w:val="nil"/>
              <w:bottom w:val="nil"/>
              <w:right w:val="nil"/>
            </w:tcBorders>
            <w:shd w:val="clear" w:color="auto" w:fill="auto"/>
            <w:noWrap/>
            <w:vAlign w:val="bottom"/>
            <w:hideMark/>
          </w:tcPr>
          <w:p w:rsidR="00D65E9A" w:rsidRPr="00F568CF" w:rsidRDefault="00D65E9A" w:rsidP="002A2BFE">
            <w:pPr>
              <w:spacing w:after="0" w:line="240" w:lineRule="auto"/>
              <w:rPr>
                <w:rFonts w:ascii="Times New Roman" w:eastAsia="Times New Roman" w:hAnsi="Times New Roman" w:cs="Times New Roman"/>
                <w:sz w:val="20"/>
                <w:szCs w:val="20"/>
              </w:rPr>
            </w:pPr>
          </w:p>
        </w:tc>
        <w:tc>
          <w:tcPr>
            <w:tcW w:w="1929" w:type="dxa"/>
            <w:gridSpan w:val="2"/>
            <w:tcBorders>
              <w:top w:val="nil"/>
              <w:left w:val="nil"/>
              <w:bottom w:val="nil"/>
              <w:right w:val="nil"/>
            </w:tcBorders>
            <w:shd w:val="clear" w:color="auto" w:fill="auto"/>
            <w:noWrap/>
            <w:vAlign w:val="bottom"/>
            <w:hideMark/>
          </w:tcPr>
          <w:p w:rsidR="00D65E9A" w:rsidRPr="00F568CF" w:rsidRDefault="00D65E9A" w:rsidP="002A2BFE">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D65E9A" w:rsidRPr="00F568CF" w:rsidRDefault="00D65E9A" w:rsidP="002A2BFE">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D65E9A" w:rsidRPr="00F568CF" w:rsidRDefault="00D65E9A" w:rsidP="002A2BFE">
            <w:pPr>
              <w:spacing w:after="0" w:line="240" w:lineRule="auto"/>
              <w:rPr>
                <w:rFonts w:ascii="Times New Roman" w:eastAsia="Times New Roman" w:hAnsi="Times New Roman" w:cs="Times New Roman"/>
                <w:sz w:val="20"/>
                <w:szCs w:val="20"/>
              </w:rPr>
            </w:pPr>
          </w:p>
        </w:tc>
      </w:tr>
      <w:tr w:rsidR="00D65E9A" w:rsidRPr="00F568CF" w:rsidTr="00D65E9A">
        <w:trPr>
          <w:trHeight w:val="630"/>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Netiešas izmaksas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 xml:space="preserve"> Tarifa elementi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Pastāvīgo (netiešo) izmaksu koeficienti tarifos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Faktisko izdevumu nosegums, %</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 xml:space="preserve"> Priekšlikums  pieaugumam</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Papildus nepieciešamais finansējums, Ls</w:t>
            </w:r>
          </w:p>
        </w:tc>
      </w:tr>
      <w:tr w:rsidR="00D65E9A" w:rsidRPr="00F568CF" w:rsidTr="00D65E9A">
        <w:trPr>
          <w:trHeight w:val="8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D65E9A" w:rsidRPr="00F568CF" w:rsidRDefault="00D65E9A" w:rsidP="002A2BFE">
            <w:pPr>
              <w:spacing w:after="0" w:line="240" w:lineRule="auto"/>
              <w:rPr>
                <w:rFonts w:ascii="Times New Roman" w:eastAsia="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65E9A" w:rsidRPr="00F568CF" w:rsidRDefault="00D65E9A" w:rsidP="002A2BFE">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5E9A" w:rsidRPr="00F568CF" w:rsidRDefault="00D65E9A" w:rsidP="002A2BFE">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5E9A" w:rsidRPr="00F568CF" w:rsidRDefault="00D65E9A" w:rsidP="002A2BFE">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Apmērs, %</w:t>
            </w:r>
          </w:p>
        </w:tc>
        <w:tc>
          <w:tcPr>
            <w:tcW w:w="1134" w:type="dxa"/>
            <w:gridSpan w:val="2"/>
            <w:tcBorders>
              <w:top w:val="nil"/>
              <w:left w:val="nil"/>
              <w:bottom w:val="single" w:sz="4" w:space="0" w:color="auto"/>
              <w:right w:val="single" w:sz="4" w:space="0" w:color="auto"/>
            </w:tcBorders>
            <w:shd w:val="clear" w:color="auto" w:fill="auto"/>
            <w:vAlign w:val="center"/>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koeficienti tarifos</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D65E9A" w:rsidRPr="00F568CF" w:rsidRDefault="00D65E9A" w:rsidP="002A2BFE">
            <w:pPr>
              <w:spacing w:after="0" w:line="240" w:lineRule="auto"/>
              <w:rPr>
                <w:rFonts w:ascii="Times New Roman" w:eastAsia="Times New Roman" w:hAnsi="Times New Roman" w:cs="Times New Roman"/>
                <w:sz w:val="20"/>
                <w:szCs w:val="20"/>
              </w:rPr>
            </w:pPr>
          </w:p>
        </w:tc>
      </w:tr>
      <w:tr w:rsidR="00D65E9A" w:rsidRPr="00F568CF" w:rsidTr="00D65E9A">
        <w:trPr>
          <w:trHeight w:val="78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65E9A" w:rsidRPr="00F568CF" w:rsidRDefault="00D65E9A" w:rsidP="002A2BFE">
            <w:pPr>
              <w:spacing w:after="0" w:line="240" w:lineRule="auto"/>
              <w:jc w:val="right"/>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Pieskaitāmās un netiešās ražošanas izmaksas</w:t>
            </w:r>
          </w:p>
        </w:tc>
        <w:tc>
          <w:tcPr>
            <w:tcW w:w="993" w:type="dxa"/>
            <w:tcBorders>
              <w:top w:val="nil"/>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U</w:t>
            </w:r>
          </w:p>
        </w:tc>
        <w:tc>
          <w:tcPr>
            <w:tcW w:w="1134" w:type="dxa"/>
            <w:tcBorders>
              <w:top w:val="nil"/>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0,3150</w:t>
            </w:r>
          </w:p>
        </w:tc>
        <w:tc>
          <w:tcPr>
            <w:tcW w:w="1134" w:type="dxa"/>
            <w:tcBorders>
              <w:top w:val="nil"/>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center"/>
              <w:rPr>
                <w:rFonts w:ascii="Times New Roman" w:eastAsia="Times New Roman" w:hAnsi="Times New Roman" w:cs="Times New Roman"/>
                <w:i/>
                <w:iCs/>
                <w:sz w:val="20"/>
                <w:szCs w:val="20"/>
              </w:rPr>
            </w:pPr>
            <w:r w:rsidRPr="00F568CF">
              <w:rPr>
                <w:rFonts w:ascii="Times New Roman" w:eastAsia="Times New Roman" w:hAnsi="Times New Roman" w:cs="Times New Roman"/>
                <w:i/>
                <w:iCs/>
                <w:sz w:val="20"/>
                <w:szCs w:val="20"/>
              </w:rPr>
              <w:t>80,38</w:t>
            </w:r>
          </w:p>
        </w:tc>
        <w:tc>
          <w:tcPr>
            <w:tcW w:w="992" w:type="dxa"/>
            <w:tcBorders>
              <w:top w:val="nil"/>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center"/>
              <w:rPr>
                <w:rFonts w:ascii="Times New Roman" w:eastAsia="Times New Roman" w:hAnsi="Times New Roman" w:cs="Times New Roman"/>
                <w:i/>
                <w:iCs/>
                <w:sz w:val="20"/>
                <w:szCs w:val="20"/>
              </w:rPr>
            </w:pPr>
            <w:r w:rsidRPr="00F568CF">
              <w:rPr>
                <w:rFonts w:ascii="Times New Roman" w:eastAsia="Times New Roman" w:hAnsi="Times New Roman" w:cs="Times New Roman"/>
                <w:i/>
                <w:iCs/>
                <w:sz w:val="20"/>
                <w:szCs w:val="20"/>
              </w:rPr>
              <w:t>19,62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0,3919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right"/>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5 659 983</w:t>
            </w:r>
          </w:p>
        </w:tc>
      </w:tr>
      <w:tr w:rsidR="00D65E9A" w:rsidRPr="00F568CF" w:rsidTr="00D65E9A">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65E9A" w:rsidRPr="00F568CF" w:rsidRDefault="00D65E9A" w:rsidP="002A2BFE">
            <w:pPr>
              <w:spacing w:after="0" w:line="240" w:lineRule="auto"/>
              <w:jc w:val="right"/>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Ēku, būvju un pārējo pamatlīdzekļu nolietojums</w:t>
            </w:r>
          </w:p>
        </w:tc>
        <w:tc>
          <w:tcPr>
            <w:tcW w:w="993" w:type="dxa"/>
            <w:tcBorders>
              <w:top w:val="nil"/>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Np</w:t>
            </w:r>
          </w:p>
        </w:tc>
        <w:tc>
          <w:tcPr>
            <w:tcW w:w="1134" w:type="dxa"/>
            <w:tcBorders>
              <w:top w:val="nil"/>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0,0970</w:t>
            </w:r>
          </w:p>
        </w:tc>
        <w:tc>
          <w:tcPr>
            <w:tcW w:w="1134" w:type="dxa"/>
            <w:tcBorders>
              <w:top w:val="nil"/>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center"/>
              <w:rPr>
                <w:rFonts w:ascii="Times New Roman" w:eastAsia="Times New Roman" w:hAnsi="Times New Roman" w:cs="Times New Roman"/>
                <w:i/>
                <w:iCs/>
                <w:sz w:val="20"/>
                <w:szCs w:val="20"/>
              </w:rPr>
            </w:pPr>
            <w:r w:rsidRPr="00F568CF">
              <w:rPr>
                <w:rFonts w:ascii="Times New Roman" w:eastAsia="Times New Roman" w:hAnsi="Times New Roman" w:cs="Times New Roman"/>
                <w:i/>
                <w:iCs/>
                <w:sz w:val="20"/>
                <w:szCs w:val="20"/>
              </w:rPr>
              <w:t>87,60</w:t>
            </w:r>
          </w:p>
        </w:tc>
        <w:tc>
          <w:tcPr>
            <w:tcW w:w="992" w:type="dxa"/>
            <w:tcBorders>
              <w:top w:val="nil"/>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center"/>
              <w:rPr>
                <w:rFonts w:ascii="Times New Roman" w:eastAsia="Times New Roman" w:hAnsi="Times New Roman" w:cs="Times New Roman"/>
                <w:i/>
                <w:iCs/>
                <w:sz w:val="20"/>
                <w:szCs w:val="20"/>
              </w:rPr>
            </w:pPr>
            <w:r w:rsidRPr="00F568CF">
              <w:rPr>
                <w:rFonts w:ascii="Times New Roman" w:eastAsia="Times New Roman" w:hAnsi="Times New Roman" w:cs="Times New Roman"/>
                <w:i/>
                <w:iCs/>
                <w:sz w:val="20"/>
                <w:szCs w:val="20"/>
              </w:rPr>
              <w:t>12,4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0,1107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right"/>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1 090 419</w:t>
            </w:r>
          </w:p>
        </w:tc>
      </w:tr>
      <w:tr w:rsidR="00D65E9A" w:rsidRPr="00F568CF" w:rsidTr="00D65E9A">
        <w:trPr>
          <w:trHeight w:val="315"/>
        </w:trPr>
        <w:tc>
          <w:tcPr>
            <w:tcW w:w="2850" w:type="dxa"/>
            <w:tcBorders>
              <w:top w:val="single" w:sz="4" w:space="0" w:color="auto"/>
              <w:left w:val="single" w:sz="4" w:space="0" w:color="auto"/>
              <w:bottom w:val="nil"/>
              <w:right w:val="single" w:sz="4" w:space="0" w:color="000000"/>
            </w:tcBorders>
            <w:shd w:val="clear" w:color="auto" w:fill="auto"/>
            <w:noWrap/>
            <w:vAlign w:val="bottom"/>
            <w:hideMark/>
          </w:tcPr>
          <w:p w:rsidR="00D65E9A" w:rsidRPr="00F568CF" w:rsidRDefault="00D65E9A" w:rsidP="002A2BFE">
            <w:pPr>
              <w:spacing w:after="0" w:line="240" w:lineRule="auto"/>
              <w:jc w:val="right"/>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Administratīvie izdevumi</w:t>
            </w:r>
          </w:p>
        </w:tc>
        <w:tc>
          <w:tcPr>
            <w:tcW w:w="993" w:type="dxa"/>
            <w:tcBorders>
              <w:top w:val="nil"/>
              <w:left w:val="nil"/>
              <w:bottom w:val="nil"/>
              <w:right w:val="single" w:sz="4" w:space="0" w:color="auto"/>
            </w:tcBorders>
            <w:shd w:val="clear" w:color="auto" w:fill="auto"/>
            <w:noWrap/>
            <w:vAlign w:val="bottom"/>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A</w:t>
            </w:r>
          </w:p>
        </w:tc>
        <w:tc>
          <w:tcPr>
            <w:tcW w:w="1134" w:type="dxa"/>
            <w:tcBorders>
              <w:top w:val="nil"/>
              <w:left w:val="nil"/>
              <w:bottom w:val="nil"/>
              <w:right w:val="single" w:sz="4" w:space="0" w:color="auto"/>
            </w:tcBorders>
            <w:shd w:val="clear" w:color="auto" w:fill="auto"/>
            <w:noWrap/>
            <w:vAlign w:val="bottom"/>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0,0550</w:t>
            </w:r>
          </w:p>
        </w:tc>
        <w:tc>
          <w:tcPr>
            <w:tcW w:w="1134" w:type="dxa"/>
            <w:tcBorders>
              <w:top w:val="nil"/>
              <w:left w:val="nil"/>
              <w:bottom w:val="nil"/>
              <w:right w:val="single" w:sz="4" w:space="0" w:color="auto"/>
            </w:tcBorders>
            <w:shd w:val="clear" w:color="auto" w:fill="auto"/>
            <w:noWrap/>
            <w:vAlign w:val="bottom"/>
            <w:hideMark/>
          </w:tcPr>
          <w:p w:rsidR="00D65E9A" w:rsidRPr="00F568CF" w:rsidRDefault="00D65E9A" w:rsidP="002A2BFE">
            <w:pPr>
              <w:spacing w:after="0" w:line="240" w:lineRule="auto"/>
              <w:jc w:val="center"/>
              <w:rPr>
                <w:rFonts w:ascii="Times New Roman" w:eastAsia="Times New Roman" w:hAnsi="Times New Roman" w:cs="Times New Roman"/>
                <w:i/>
                <w:iCs/>
                <w:sz w:val="20"/>
                <w:szCs w:val="20"/>
              </w:rPr>
            </w:pPr>
            <w:r w:rsidRPr="00F568CF">
              <w:rPr>
                <w:rFonts w:ascii="Times New Roman" w:eastAsia="Times New Roman" w:hAnsi="Times New Roman" w:cs="Times New Roman"/>
                <w:i/>
                <w:iCs/>
                <w:sz w:val="20"/>
                <w:szCs w:val="20"/>
              </w:rPr>
              <w:t>77,35</w:t>
            </w:r>
          </w:p>
        </w:tc>
        <w:tc>
          <w:tcPr>
            <w:tcW w:w="992" w:type="dxa"/>
            <w:tcBorders>
              <w:top w:val="nil"/>
              <w:left w:val="nil"/>
              <w:bottom w:val="nil"/>
              <w:right w:val="single" w:sz="4" w:space="0" w:color="auto"/>
            </w:tcBorders>
            <w:shd w:val="clear" w:color="auto" w:fill="auto"/>
            <w:noWrap/>
            <w:vAlign w:val="bottom"/>
            <w:hideMark/>
          </w:tcPr>
          <w:p w:rsidR="00D65E9A" w:rsidRPr="00F568CF" w:rsidRDefault="00D65E9A" w:rsidP="002A2BFE">
            <w:pPr>
              <w:spacing w:after="0" w:line="240" w:lineRule="auto"/>
              <w:jc w:val="center"/>
              <w:rPr>
                <w:rFonts w:ascii="Times New Roman" w:eastAsia="Times New Roman" w:hAnsi="Times New Roman" w:cs="Times New Roman"/>
                <w:i/>
                <w:iCs/>
                <w:sz w:val="20"/>
                <w:szCs w:val="20"/>
              </w:rPr>
            </w:pPr>
            <w:r w:rsidRPr="00F568CF">
              <w:rPr>
                <w:rFonts w:ascii="Times New Roman" w:eastAsia="Times New Roman" w:hAnsi="Times New Roman" w:cs="Times New Roman"/>
                <w:i/>
                <w:iCs/>
                <w:sz w:val="20"/>
                <w:szCs w:val="20"/>
              </w:rPr>
              <w:t>22,65</w:t>
            </w:r>
          </w:p>
        </w:tc>
        <w:tc>
          <w:tcPr>
            <w:tcW w:w="1134" w:type="dxa"/>
            <w:gridSpan w:val="2"/>
            <w:tcBorders>
              <w:top w:val="nil"/>
              <w:left w:val="nil"/>
              <w:bottom w:val="nil"/>
              <w:right w:val="single" w:sz="4" w:space="0" w:color="auto"/>
            </w:tcBorders>
            <w:shd w:val="clear" w:color="auto" w:fill="auto"/>
            <w:noWrap/>
            <w:vAlign w:val="bottom"/>
            <w:hideMark/>
          </w:tcPr>
          <w:p w:rsidR="00D65E9A" w:rsidRPr="00F568CF" w:rsidRDefault="00D65E9A" w:rsidP="002A2BFE">
            <w:pPr>
              <w:spacing w:after="0" w:line="240" w:lineRule="auto"/>
              <w:jc w:val="center"/>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0,0711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right"/>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1 233 718</w:t>
            </w:r>
          </w:p>
        </w:tc>
      </w:tr>
      <w:tr w:rsidR="00D65E9A" w:rsidRPr="00F568CF" w:rsidTr="00D65E9A">
        <w:trPr>
          <w:trHeight w:val="58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right"/>
              <w:rPr>
                <w:rFonts w:ascii="Times New Roman" w:eastAsia="Times New Roman" w:hAnsi="Times New Roman" w:cs="Times New Roman"/>
                <w:b/>
                <w:bCs/>
                <w:sz w:val="20"/>
                <w:szCs w:val="20"/>
              </w:rPr>
            </w:pPr>
            <w:r w:rsidRPr="00F568CF">
              <w:rPr>
                <w:rFonts w:ascii="Times New Roman" w:eastAsia="Times New Roman" w:hAnsi="Times New Roman" w:cs="Times New Roman"/>
                <w:b/>
                <w:bCs/>
                <w:sz w:val="20"/>
                <w:szCs w:val="20"/>
              </w:rPr>
              <w:lastRenderedPageBreak/>
              <w:t>KOPĀ</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rPr>
                <w:rFonts w:ascii="Times New Roman" w:eastAsia="Times New Roman" w:hAnsi="Times New Roman" w:cs="Times New Roman"/>
                <w:sz w:val="20"/>
                <w:szCs w:val="20"/>
              </w:rPr>
            </w:pPr>
            <w:r w:rsidRPr="00F568CF">
              <w:rPr>
                <w:rFonts w:ascii="Times New Roman" w:eastAsia="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right"/>
              <w:rPr>
                <w:rFonts w:ascii="Times New Roman" w:eastAsia="Times New Roman" w:hAnsi="Times New Roman" w:cs="Times New Roman"/>
                <w:b/>
                <w:bCs/>
                <w:sz w:val="20"/>
                <w:szCs w:val="20"/>
              </w:rPr>
            </w:pPr>
            <w:r w:rsidRPr="00F568CF">
              <w:rPr>
                <w:rFonts w:ascii="Times New Roman" w:eastAsia="Times New Roman" w:hAnsi="Times New Roman" w:cs="Times New Roman"/>
                <w:b/>
                <w:bCs/>
                <w:sz w:val="20"/>
                <w:szCs w:val="20"/>
              </w:rPr>
              <w:t>0,4670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right"/>
              <w:rPr>
                <w:rFonts w:ascii="Times New Roman" w:eastAsia="Times New Roman" w:hAnsi="Times New Roman" w:cs="Times New Roman"/>
                <w:b/>
                <w:bCs/>
                <w:i/>
                <w:iCs/>
                <w:sz w:val="20"/>
                <w:szCs w:val="20"/>
              </w:rPr>
            </w:pPr>
            <w:r w:rsidRPr="00F568CF">
              <w:rPr>
                <w:rFonts w:ascii="Times New Roman" w:eastAsia="Times New Roman" w:hAnsi="Times New Roman" w:cs="Times New Roman"/>
                <w:b/>
                <w:bCs/>
                <w:i/>
                <w:iCs/>
                <w:sz w:val="20"/>
                <w:szCs w:val="20"/>
              </w:rPr>
              <w:t>81,4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right"/>
              <w:rPr>
                <w:rFonts w:ascii="Times New Roman" w:eastAsia="Times New Roman" w:hAnsi="Times New Roman" w:cs="Times New Roman"/>
                <w:b/>
                <w:bCs/>
                <w:i/>
                <w:iCs/>
                <w:sz w:val="20"/>
                <w:szCs w:val="20"/>
              </w:rPr>
            </w:pPr>
            <w:r w:rsidRPr="00F568CF">
              <w:rPr>
                <w:rFonts w:ascii="Times New Roman" w:eastAsia="Times New Roman" w:hAnsi="Times New Roman" w:cs="Times New Roman"/>
                <w:b/>
                <w:bCs/>
                <w:i/>
                <w:iCs/>
                <w:sz w:val="20"/>
                <w:szCs w:val="20"/>
              </w:rPr>
              <w:t>18,60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right"/>
              <w:rPr>
                <w:rFonts w:ascii="Times New Roman" w:eastAsia="Times New Roman" w:hAnsi="Times New Roman" w:cs="Times New Roman"/>
                <w:b/>
                <w:bCs/>
                <w:sz w:val="20"/>
                <w:szCs w:val="20"/>
              </w:rPr>
            </w:pPr>
            <w:r w:rsidRPr="00F568CF">
              <w:rPr>
                <w:rFonts w:ascii="Times New Roman" w:eastAsia="Times New Roman" w:hAnsi="Times New Roman" w:cs="Times New Roman"/>
                <w:b/>
                <w:bCs/>
                <w:sz w:val="20"/>
                <w:szCs w:val="20"/>
              </w:rPr>
              <w:t>0,5737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65E9A" w:rsidRPr="00F568CF" w:rsidRDefault="00D65E9A" w:rsidP="002A2BFE">
            <w:pPr>
              <w:spacing w:after="0" w:line="240" w:lineRule="auto"/>
              <w:jc w:val="right"/>
              <w:rPr>
                <w:rFonts w:ascii="Times New Roman" w:eastAsia="Times New Roman" w:hAnsi="Times New Roman" w:cs="Times New Roman"/>
                <w:b/>
                <w:bCs/>
                <w:sz w:val="20"/>
                <w:szCs w:val="20"/>
              </w:rPr>
            </w:pPr>
            <w:r w:rsidRPr="00F568CF">
              <w:rPr>
                <w:rFonts w:ascii="Times New Roman" w:eastAsia="Times New Roman" w:hAnsi="Times New Roman" w:cs="Times New Roman"/>
                <w:b/>
                <w:bCs/>
                <w:sz w:val="20"/>
                <w:szCs w:val="20"/>
              </w:rPr>
              <w:t>7 984 120</w:t>
            </w:r>
          </w:p>
        </w:tc>
      </w:tr>
    </w:tbl>
    <w:p w:rsidR="0023449A" w:rsidRDefault="00D65E9A" w:rsidP="0023449A">
      <w:pPr>
        <w:spacing w:before="120" w:after="0" w:line="24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FF6C50" w:rsidRPr="00FF6C50" w:rsidRDefault="0023449A" w:rsidP="00FF6C50">
      <w:pPr>
        <w:keepLines/>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AA5592">
        <w:rPr>
          <w:rFonts w:ascii="Times New Roman" w:eastAsia="Times New Roman" w:hAnsi="Times New Roman" w:cs="Times New Roman"/>
          <w:sz w:val="24"/>
          <w:szCs w:val="24"/>
        </w:rPr>
        <w:t>Ja</w:t>
      </w:r>
      <w:proofErr w:type="gramEnd"/>
      <w:r w:rsidRPr="00AA5592">
        <w:rPr>
          <w:rFonts w:ascii="Times New Roman" w:eastAsia="Times New Roman" w:hAnsi="Times New Roman" w:cs="Times New Roman"/>
          <w:sz w:val="24"/>
          <w:szCs w:val="24"/>
        </w:rPr>
        <w:t xml:space="preserve"> papildus finansējums netiks piešķirts, tad pastāv risks, ka ārstniecības iestādes nevarēs nodrošināt aizdevuma un procentu atmaksu.</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Valsts galvoto aizdevumu pamatsummu atmaksas uzsākšana būtiski ietekmēs ārstniecības iestāžu finansiālo situāciju.</w:t>
      </w:r>
      <w:proofErr w:type="gramEnd"/>
    </w:p>
    <w:p w:rsidR="00E64D99" w:rsidRPr="00E64D99" w:rsidRDefault="0023449A" w:rsidP="00AC6A69">
      <w:pPr>
        <w:pStyle w:val="NoSpacing"/>
        <w:spacing w:before="120"/>
        <w:ind w:firstLine="720"/>
        <w:jc w:val="center"/>
        <w:rPr>
          <w:rFonts w:ascii="Times New Roman" w:hAnsi="Times New Roman"/>
          <w:b/>
          <w:sz w:val="24"/>
          <w:szCs w:val="24"/>
        </w:rPr>
      </w:pPr>
      <w:r>
        <w:rPr>
          <w:rFonts w:ascii="Times New Roman" w:hAnsi="Times New Roman"/>
          <w:b/>
          <w:sz w:val="28"/>
          <w:szCs w:val="28"/>
          <w:u w:val="single"/>
        </w:rPr>
        <w:t xml:space="preserve">V. </w:t>
      </w:r>
      <w:r w:rsidR="00E64D99" w:rsidRPr="009067AB">
        <w:rPr>
          <w:rFonts w:ascii="Times New Roman" w:hAnsi="Times New Roman"/>
          <w:b/>
          <w:sz w:val="28"/>
          <w:szCs w:val="28"/>
          <w:u w:val="single"/>
        </w:rPr>
        <w:t>Neatliekamās medicīniskās palīdzības dienestam nepieciešamais finansējums, lai nodrošinātu neatliekamās medicīniskās palīdzības sniegšanu iedzīvotājiem</w:t>
      </w:r>
    </w:p>
    <w:p w:rsidR="00E64D99" w:rsidRDefault="00E64D99" w:rsidP="00E64D99">
      <w:pPr>
        <w:pStyle w:val="NoSpacing"/>
        <w:jc w:val="both"/>
        <w:rPr>
          <w:rFonts w:ascii="Times New Roman" w:hAnsi="Times New Roman"/>
          <w:b/>
          <w:sz w:val="24"/>
          <w:szCs w:val="24"/>
        </w:rPr>
      </w:pPr>
    </w:p>
    <w:p w:rsidR="00E64D99" w:rsidRDefault="00E64D99" w:rsidP="00E64D99">
      <w:pPr>
        <w:pStyle w:val="NormalWeb"/>
        <w:spacing w:before="0" w:after="0"/>
        <w:ind w:firstLine="720"/>
        <w:jc w:val="both"/>
      </w:pPr>
      <w:r w:rsidRPr="003D576E">
        <w:t>Kopš 2010.gada, kad tika izveidota veselības ministra pakļautībā esoša tiešās pārvaldes iestāde Neatliekamās medicīniskās palīdzības dienests, finansējums funkciju nodrošināšanai tiek iezīmēts: 2010.gadā – 28,89 milj.</w:t>
      </w:r>
      <w:r w:rsidRPr="00BA05D5">
        <w:t xml:space="preserve"> </w:t>
      </w:r>
      <w:r>
        <w:t>latu</w:t>
      </w:r>
      <w:r w:rsidRPr="003D576E">
        <w:t>, 2011.gadā – 29,02 milj.</w:t>
      </w:r>
      <w:r w:rsidRPr="00BA05D5">
        <w:t xml:space="preserve"> </w:t>
      </w:r>
      <w:r>
        <w:t>latu</w:t>
      </w:r>
      <w:r w:rsidRPr="003D576E">
        <w:t>, 2012.gadā 30,55 milj.</w:t>
      </w:r>
      <w:r>
        <w:t xml:space="preserve"> latu</w:t>
      </w:r>
      <w:r w:rsidRPr="003D576E">
        <w:t xml:space="preserve">. </w:t>
      </w:r>
      <w:r w:rsidRPr="009619F8">
        <w:t xml:space="preserve">Par to, ka Neatliekamās medicīniskās palīdzības dienestam finanšu resursi ir nepietiekoši apliecina – 2011.gadā papildus tika piešķirti ar Finanšu ministrijas rīkojumiem par apropriācijas pārdali un Ministru kabineta rīkojumu par līdzekļu piešķiršanu no neparedzētiem gadījumiem 1 407 169 lati, tai skaitā,  lai Neatliekamās medicīniskās palīdzības dienests varētu nodrošināt nomas maksu par </w:t>
      </w:r>
      <w:r w:rsidRPr="009619F8">
        <w:rPr>
          <w:bCs/>
          <w:color w:val="000000"/>
        </w:rPr>
        <w:t xml:space="preserve">transportlīdzekļiem ar specializēto aprīkojumu un maksu par autovadītāju pakalpojumiem par </w:t>
      </w:r>
      <w:r w:rsidRPr="009619F8">
        <w:t xml:space="preserve">2011.gada novembri. Savukārt, 2012.gadā tika piešķirti papildus saskaņā ar Ministru kabineta 2012.gada 16.augusta protokola Nr.46 11.§ „Par valsts budžetu prioritārajiem pasākumiem 2013. – 2015.gadam” 16.punktu </w:t>
      </w:r>
      <w:r w:rsidR="00CB287F">
        <w:t xml:space="preserve">272 463 lati autotransporta un </w:t>
      </w:r>
      <w:r w:rsidRPr="009619F8">
        <w:t xml:space="preserve">remota materiālu iegādei, remontam un degvielas iegādei. </w:t>
      </w:r>
      <w:r>
        <w:t>Turklāt 2012.gadā tika samazināta atlīdzība, pārceļot summu 531 699 latu apmērā uz precēm un pakalpojumiem, lai nodrošinātu dienesta darbību.</w:t>
      </w:r>
    </w:p>
    <w:p w:rsidR="00480A13" w:rsidRPr="009619F8" w:rsidRDefault="00480A13" w:rsidP="00480A13">
      <w:pPr>
        <w:pStyle w:val="NormalWeb"/>
        <w:spacing w:before="0" w:after="0"/>
        <w:ind w:firstLine="720"/>
        <w:jc w:val="both"/>
      </w:pPr>
      <w:r>
        <w:t>K</w:t>
      </w:r>
      <w:r w:rsidRPr="003D576E">
        <w:t xml:space="preserve">opumā vidējais savlaicīgi izpildīto neatliekamu izsaukumu īpatsvars pārsniedz </w:t>
      </w:r>
      <w:r>
        <w:t>Noteikumos</w:t>
      </w:r>
      <w:r w:rsidRPr="00C354F7">
        <w:t xml:space="preserve"> Nr.1046 </w:t>
      </w:r>
      <w:r w:rsidRPr="003D576E">
        <w:t>noteiktās prasības, kas nosaka, ka pēc neatliekama i</w:t>
      </w:r>
      <w:r>
        <w:t>zsaukuma saņemšanas neatliekamā medicīniskā palīdzība</w:t>
      </w:r>
      <w:r w:rsidRPr="003D576E">
        <w:t xml:space="preserve"> 75% gadījumu jānodrošina ne vēlāk kā 25 minūšu laikā lauku teritorijās un ne vēlāk kā 15 minūšu laikā pilsētās, tomēr atsevišķos pagastos un novadu pilsētās šis rādītājs </w:t>
      </w:r>
      <w:r>
        <w:t>ir robežās</w:t>
      </w:r>
      <w:r w:rsidRPr="003D576E">
        <w:t xml:space="preserve"> 10%</w:t>
      </w:r>
      <w:r>
        <w:t>-30%</w:t>
      </w:r>
      <w:r w:rsidRPr="003D576E">
        <w:t xml:space="preserve">. </w:t>
      </w:r>
      <w:r>
        <w:t>Tāpēc lai nodrošinātu vienlīdzīgu</w:t>
      </w:r>
      <w:r w:rsidRPr="003D576E">
        <w:t xml:space="preserve"> pakalpojuma pieejamību visiem iedzīvotājiem, </w:t>
      </w:r>
      <w:r>
        <w:t xml:space="preserve">ir jāturpina </w:t>
      </w:r>
      <w:r w:rsidRPr="009619F8">
        <w:t>Neatliekamās medicīniskās palīdzības</w:t>
      </w:r>
      <w:r w:rsidRPr="0093208F">
        <w:t xml:space="preserve"> darbīb</w:t>
      </w:r>
      <w:r>
        <w:t>as optimizēšana, kā arī jāvērtē iespējas veidot jaunus</w:t>
      </w:r>
      <w:r w:rsidRPr="003D576E">
        <w:t xml:space="preserve"> </w:t>
      </w:r>
      <w:r>
        <w:t>neatliekamās medicīniskās palīdzības</w:t>
      </w:r>
      <w:r w:rsidRPr="003D576E">
        <w:t xml:space="preserve"> punktus, galvenokārt lauku teritorijās</w:t>
      </w:r>
      <w:r>
        <w:t>,</w:t>
      </w:r>
      <w:r w:rsidRPr="003D576E">
        <w:t xml:space="preserve"> vai </w:t>
      </w:r>
      <w:r w:rsidRPr="0093208F">
        <w:t>pārvieto</w:t>
      </w:r>
      <w:r>
        <w:t>t</w:t>
      </w:r>
      <w:r w:rsidRPr="0093208F">
        <w:t xml:space="preserve"> esošos </w:t>
      </w:r>
      <w:r>
        <w:t>neatliekamās medicīniskās palīdzības</w:t>
      </w:r>
      <w:r w:rsidRPr="0093208F">
        <w:t xml:space="preserve"> punktus</w:t>
      </w:r>
      <w:r w:rsidRPr="006D5C73">
        <w:t xml:space="preserve"> uz teritorijām, kur izsaukumi tiek izpildīti vēlāk par 25 minūtēm.</w:t>
      </w:r>
      <w:r>
        <w:t xml:space="preserve"> </w:t>
      </w:r>
      <w:r w:rsidRPr="009619F8">
        <w:t xml:space="preserve"> </w:t>
      </w:r>
    </w:p>
    <w:p w:rsidR="00E64D99" w:rsidRDefault="00E64D99" w:rsidP="00E64D99">
      <w:pPr>
        <w:spacing w:after="0" w:line="240" w:lineRule="auto"/>
        <w:ind w:firstLine="567"/>
        <w:jc w:val="both"/>
        <w:rPr>
          <w:rFonts w:ascii="Times New Roman" w:hAnsi="Times New Roman" w:cs="Times New Roman"/>
          <w:sz w:val="24"/>
          <w:szCs w:val="24"/>
          <w:lang w:val="lv-LV"/>
        </w:rPr>
      </w:pPr>
      <w:r w:rsidRPr="00D97FB4">
        <w:rPr>
          <w:rFonts w:ascii="Times New Roman" w:hAnsi="Times New Roman" w:cs="Times New Roman"/>
          <w:b/>
          <w:sz w:val="24"/>
          <w:szCs w:val="24"/>
          <w:lang w:val="lv-LV"/>
        </w:rPr>
        <w:t>2013.gadā</w:t>
      </w:r>
      <w:r>
        <w:rPr>
          <w:rFonts w:ascii="Times New Roman" w:hAnsi="Times New Roman" w:cs="Times New Roman"/>
          <w:sz w:val="24"/>
          <w:szCs w:val="24"/>
          <w:lang w:val="lv-LV"/>
        </w:rPr>
        <w:t xml:space="preserve"> nepieciešams papildus finansējums preču un pakalpojumu izdevumu segšanai </w:t>
      </w:r>
      <w:r w:rsidR="001A6226">
        <w:rPr>
          <w:rFonts w:ascii="Times New Roman" w:hAnsi="Times New Roman" w:cs="Times New Roman"/>
          <w:sz w:val="24"/>
          <w:szCs w:val="24"/>
          <w:lang w:val="lv-LV"/>
        </w:rPr>
        <w:t xml:space="preserve">         </w:t>
      </w:r>
      <w:r w:rsidRPr="00D91EE8">
        <w:rPr>
          <w:rFonts w:ascii="Times New Roman" w:hAnsi="Times New Roman" w:cs="Times New Roman"/>
          <w:b/>
          <w:sz w:val="24"/>
          <w:szCs w:val="24"/>
          <w:lang w:val="lv-LV"/>
        </w:rPr>
        <w:t>4</w:t>
      </w:r>
      <w:r w:rsidR="001A6226">
        <w:rPr>
          <w:rFonts w:ascii="Times New Roman" w:hAnsi="Times New Roman" w:cs="Times New Roman"/>
          <w:b/>
          <w:sz w:val="24"/>
          <w:szCs w:val="24"/>
          <w:lang w:val="lv-LV"/>
        </w:rPr>
        <w:t xml:space="preserve">47 464 </w:t>
      </w:r>
      <w:r w:rsidRPr="00D91EE8">
        <w:rPr>
          <w:rFonts w:ascii="Times New Roman" w:hAnsi="Times New Roman" w:cs="Times New Roman"/>
          <w:b/>
          <w:sz w:val="24"/>
          <w:szCs w:val="24"/>
          <w:lang w:val="lv-LV"/>
        </w:rPr>
        <w:t>latu</w:t>
      </w:r>
      <w:r>
        <w:rPr>
          <w:rFonts w:ascii="Times New Roman" w:hAnsi="Times New Roman" w:cs="Times New Roman"/>
          <w:sz w:val="24"/>
          <w:szCs w:val="24"/>
          <w:lang w:val="lv-LV"/>
        </w:rPr>
        <w:t xml:space="preserve"> apmērā šādiem pasākumiem:</w:t>
      </w:r>
    </w:p>
    <w:p w:rsidR="00E64D99" w:rsidRDefault="00E64D99" w:rsidP="00E64D99">
      <w:pPr>
        <w:pStyle w:val="ListParagraph"/>
        <w:numPr>
          <w:ilvl w:val="0"/>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elektroen</w:t>
      </w:r>
      <w:r w:rsidR="001A6226">
        <w:rPr>
          <w:rFonts w:ascii="Times New Roman" w:hAnsi="Times New Roman" w:cs="Times New Roman"/>
          <w:sz w:val="24"/>
          <w:szCs w:val="24"/>
          <w:lang w:val="lv-LV"/>
        </w:rPr>
        <w:t>erģijas izdevumu segšanai 69 41</w:t>
      </w:r>
      <w:r w:rsidR="000F4B35">
        <w:rPr>
          <w:rFonts w:ascii="Times New Roman" w:hAnsi="Times New Roman" w:cs="Times New Roman"/>
          <w:sz w:val="24"/>
          <w:szCs w:val="24"/>
          <w:lang w:val="lv-LV"/>
        </w:rPr>
        <w:t>2</w:t>
      </w:r>
      <w:r>
        <w:rPr>
          <w:rFonts w:ascii="Times New Roman" w:hAnsi="Times New Roman" w:cs="Times New Roman"/>
          <w:sz w:val="24"/>
          <w:szCs w:val="24"/>
          <w:lang w:val="lv-LV"/>
        </w:rPr>
        <w:t xml:space="preserve"> lati, ņemot vērā elek</w:t>
      </w:r>
      <w:r w:rsidR="00480A13">
        <w:rPr>
          <w:rFonts w:ascii="Times New Roman" w:hAnsi="Times New Roman" w:cs="Times New Roman"/>
          <w:sz w:val="24"/>
          <w:szCs w:val="24"/>
          <w:lang w:val="lv-LV"/>
        </w:rPr>
        <w:t>troenerģijas tarifu izmaiņas, kā</w:t>
      </w:r>
      <w:r>
        <w:rPr>
          <w:rFonts w:ascii="Times New Roman" w:hAnsi="Times New Roman" w:cs="Times New Roman"/>
          <w:sz w:val="24"/>
          <w:szCs w:val="24"/>
          <w:lang w:val="lv-LV"/>
        </w:rPr>
        <w:t xml:space="preserve"> arī pievienotās vērtības nodokļa pieaugumu no 10% uz 21%, radot papildus izdevumus jau 2012.gadā:</w:t>
      </w:r>
    </w:p>
    <w:p w:rsidR="00E64D99" w:rsidRDefault="00E64D99" w:rsidP="00E64D99">
      <w:pPr>
        <w:pStyle w:val="ListParagraph"/>
        <w:numPr>
          <w:ilvl w:val="0"/>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degvielas iegādes izdevumu segšanai 78 473 lati, pieņemot, ka naftas cenu svārstības pasaules tirgos, kā arī operatīvo medicīnisko transportlīdzekļu nobraukums saglabāsies 2012.gada līmenī;</w:t>
      </w:r>
    </w:p>
    <w:p w:rsidR="00E64D99" w:rsidRDefault="00E64D99" w:rsidP="00E64D99">
      <w:pPr>
        <w:pStyle w:val="ListParagraph"/>
        <w:numPr>
          <w:ilvl w:val="0"/>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transportlīdzekļu uzturēšanas izdevumu, t.i., rezerves daļu, remontmateriālu iegādei 114 221 lats;</w:t>
      </w:r>
    </w:p>
    <w:p w:rsidR="00E64D99" w:rsidRDefault="00E64D99" w:rsidP="00E64D99">
      <w:pPr>
        <w:pStyle w:val="ListParagraph"/>
        <w:numPr>
          <w:ilvl w:val="0"/>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siltumenerģijas izdevumu segšanai </w:t>
      </w:r>
      <w:r w:rsidR="001A6226">
        <w:rPr>
          <w:rFonts w:ascii="Times New Roman" w:hAnsi="Times New Roman" w:cs="Times New Roman"/>
          <w:sz w:val="24"/>
          <w:szCs w:val="24"/>
          <w:lang w:val="lv-LV"/>
        </w:rPr>
        <w:t>65 358</w:t>
      </w:r>
      <w:r>
        <w:rPr>
          <w:rFonts w:ascii="Times New Roman" w:hAnsi="Times New Roman" w:cs="Times New Roman"/>
          <w:sz w:val="24"/>
          <w:szCs w:val="24"/>
          <w:lang w:val="lv-LV"/>
        </w:rPr>
        <w:t xml:space="preserve"> lati, ņemot vērā tarifu izmaiņas;</w:t>
      </w:r>
    </w:p>
    <w:p w:rsidR="00E64D99" w:rsidRPr="00604D7D" w:rsidRDefault="00E64D99" w:rsidP="00E64D99">
      <w:pPr>
        <w:pStyle w:val="ListParagraph"/>
        <w:numPr>
          <w:ilvl w:val="0"/>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atbilstoši Valsts darba inspekcijas veiktajās pārbaudēs konstatētajiem norādījumiem, ārstniecības personas nepieciešams nodrošināt ar individuālajiem aizsardzības līdzekļiem (speciāliem darba apaviem). Atklāto normatīvo aktu pārkāpumu novēršanai nepieciešamais </w:t>
      </w:r>
      <w:r>
        <w:rPr>
          <w:rFonts w:ascii="Times New Roman" w:hAnsi="Times New Roman" w:cs="Times New Roman"/>
          <w:sz w:val="24"/>
          <w:szCs w:val="24"/>
          <w:lang w:val="lv-LV"/>
        </w:rPr>
        <w:lastRenderedPageBreak/>
        <w:t xml:space="preserve">papildus finansējums 120 000 latu (2400x50,00 Ls (iepirkuma cena ar PVN)), Valsts darba inspekcija norādījusi izpildes termiņu 2013.gada 22.martu.    </w:t>
      </w:r>
    </w:p>
    <w:p w:rsidR="007427DB" w:rsidRPr="007427DB" w:rsidRDefault="00E64D99" w:rsidP="007427DB">
      <w:pPr>
        <w:pStyle w:val="NoSpacing"/>
        <w:spacing w:before="120"/>
        <w:ind w:firstLine="720"/>
        <w:jc w:val="both"/>
        <w:rPr>
          <w:rFonts w:ascii="Times New Roman" w:hAnsi="Times New Roman"/>
          <w:sz w:val="24"/>
          <w:szCs w:val="24"/>
        </w:rPr>
      </w:pPr>
      <w:r w:rsidRPr="00D97FB4">
        <w:rPr>
          <w:rFonts w:ascii="Times New Roman" w:hAnsi="Times New Roman"/>
          <w:sz w:val="24"/>
          <w:szCs w:val="24"/>
        </w:rPr>
        <w:t xml:space="preserve">Veselības </w:t>
      </w:r>
      <w:r>
        <w:rPr>
          <w:rFonts w:ascii="Times New Roman" w:hAnsi="Times New Roman"/>
          <w:sz w:val="24"/>
          <w:szCs w:val="24"/>
        </w:rPr>
        <w:t>ministrija info</w:t>
      </w:r>
      <w:r w:rsidR="007427DB">
        <w:rPr>
          <w:rFonts w:ascii="Times New Roman" w:hAnsi="Times New Roman"/>
          <w:sz w:val="24"/>
          <w:szCs w:val="24"/>
        </w:rPr>
        <w:t>r</w:t>
      </w:r>
      <w:r>
        <w:rPr>
          <w:rFonts w:ascii="Times New Roman" w:hAnsi="Times New Roman"/>
          <w:sz w:val="24"/>
          <w:szCs w:val="24"/>
        </w:rPr>
        <w:t>mē, ka papildus</w:t>
      </w:r>
      <w:r w:rsidRPr="00D97FB4">
        <w:rPr>
          <w:rFonts w:ascii="Times New Roman" w:hAnsi="Times New Roman"/>
          <w:sz w:val="24"/>
          <w:szCs w:val="24"/>
        </w:rPr>
        <w:t xml:space="preserve"> nepieciešam</w:t>
      </w:r>
      <w:r>
        <w:rPr>
          <w:rFonts w:ascii="Times New Roman" w:hAnsi="Times New Roman"/>
          <w:sz w:val="24"/>
          <w:szCs w:val="24"/>
        </w:rPr>
        <w:t>ais</w:t>
      </w:r>
      <w:r w:rsidRPr="00D97FB4">
        <w:rPr>
          <w:rFonts w:ascii="Times New Roman" w:hAnsi="Times New Roman"/>
          <w:sz w:val="24"/>
          <w:szCs w:val="24"/>
        </w:rPr>
        <w:t xml:space="preserve"> finansējums</w:t>
      </w:r>
      <w:r>
        <w:rPr>
          <w:rFonts w:ascii="Times New Roman" w:hAnsi="Times New Roman"/>
          <w:sz w:val="24"/>
          <w:szCs w:val="24"/>
        </w:rPr>
        <w:t xml:space="preserve"> elektroenerģijas, siltumenerģijas, degvielas sadārdzinājuma izdevumu segšanai 2014.gadā 288 390 latu apmērā </w:t>
      </w:r>
      <w:r w:rsidR="007427DB">
        <w:rPr>
          <w:rFonts w:ascii="Times New Roman" w:hAnsi="Times New Roman"/>
          <w:sz w:val="24"/>
          <w:szCs w:val="24"/>
        </w:rPr>
        <w:t xml:space="preserve">tika </w:t>
      </w:r>
      <w:r>
        <w:rPr>
          <w:rFonts w:ascii="Times New Roman" w:hAnsi="Times New Roman"/>
          <w:sz w:val="24"/>
          <w:szCs w:val="24"/>
        </w:rPr>
        <w:t>iesniegts Finanšu ministrijā iekļaušanai 2014.gada budžeta bāzē – vidēja termiņa bud</w:t>
      </w:r>
      <w:r w:rsidR="007427DB">
        <w:rPr>
          <w:rFonts w:ascii="Times New Roman" w:hAnsi="Times New Roman"/>
          <w:sz w:val="24"/>
          <w:szCs w:val="24"/>
        </w:rPr>
        <w:t>žeta ietvarā 2014. – 2016.gadam, kas tika skatīts 2012.gada 19.marta sēdē. Atbilstoši Ministru kabineta 2013.gada 5.marta</w:t>
      </w:r>
      <w:r w:rsidR="00D60642">
        <w:rPr>
          <w:rFonts w:ascii="Times New Roman" w:hAnsi="Times New Roman"/>
          <w:sz w:val="24"/>
          <w:szCs w:val="24"/>
        </w:rPr>
        <w:t xml:space="preserve"> </w:t>
      </w:r>
      <w:r w:rsidR="007427DB">
        <w:rPr>
          <w:rFonts w:ascii="Times New Roman" w:hAnsi="Times New Roman"/>
          <w:sz w:val="24"/>
          <w:szCs w:val="24"/>
        </w:rPr>
        <w:t xml:space="preserve">sēdes protokola Nr.13 44.§ 38.punktam </w:t>
      </w:r>
      <w:r w:rsidR="007427DB" w:rsidRPr="007427DB">
        <w:rPr>
          <w:rFonts w:ascii="Times New Roman" w:hAnsi="Times New Roman"/>
          <w:color w:val="2A2A2A"/>
          <w:sz w:val="24"/>
          <w:szCs w:val="24"/>
        </w:rPr>
        <w:t xml:space="preserve">Finanšu ministrijai </w:t>
      </w:r>
      <w:r w:rsidR="007427DB">
        <w:rPr>
          <w:rFonts w:ascii="Times New Roman" w:hAnsi="Times New Roman"/>
          <w:color w:val="2A2A2A"/>
          <w:sz w:val="24"/>
          <w:szCs w:val="24"/>
        </w:rPr>
        <w:t xml:space="preserve">uzdots </w:t>
      </w:r>
      <w:r w:rsidR="007427DB" w:rsidRPr="007427DB">
        <w:rPr>
          <w:rFonts w:ascii="Times New Roman" w:hAnsi="Times New Roman"/>
          <w:color w:val="2A2A2A"/>
          <w:sz w:val="24"/>
          <w:szCs w:val="24"/>
        </w:rPr>
        <w:t>sadarbībā ar pārējām ministrijām līdz 2013.gada 30.jūlijam iesniegt Ministru kabinetā priekšlikumus iespējamajiem risinājumiem saistībā ar elektrības un komunālo maksājumu sadārdzinājumu.</w:t>
      </w:r>
      <w:r w:rsidR="008954D4">
        <w:rPr>
          <w:rFonts w:ascii="Times New Roman" w:hAnsi="Times New Roman"/>
          <w:color w:val="2A2A2A"/>
          <w:sz w:val="24"/>
          <w:szCs w:val="24"/>
        </w:rPr>
        <w:t xml:space="preserve"> </w:t>
      </w:r>
      <w:r w:rsidR="008954D4" w:rsidRPr="008954D4">
        <w:rPr>
          <w:rFonts w:ascii="Times New Roman" w:hAnsi="Times New Roman"/>
          <w:color w:val="2A2A2A"/>
          <w:sz w:val="24"/>
          <w:szCs w:val="24"/>
          <w:u w:val="single"/>
        </w:rPr>
        <w:t>2014.gadā</w:t>
      </w:r>
      <w:r w:rsidR="008954D4">
        <w:rPr>
          <w:rFonts w:ascii="Times New Roman" w:hAnsi="Times New Roman"/>
          <w:color w:val="2A2A2A"/>
          <w:sz w:val="24"/>
          <w:szCs w:val="24"/>
        </w:rPr>
        <w:t xml:space="preserve"> papildus nepieciešami finanšu līdzekļi </w:t>
      </w:r>
      <w:r w:rsidR="001A6226">
        <w:rPr>
          <w:rFonts w:ascii="Times New Roman" w:hAnsi="Times New Roman"/>
          <w:b/>
          <w:color w:val="2A2A2A"/>
          <w:sz w:val="24"/>
          <w:szCs w:val="24"/>
        </w:rPr>
        <w:t>327 464</w:t>
      </w:r>
      <w:r w:rsidR="008954D4" w:rsidRPr="008954D4">
        <w:rPr>
          <w:rFonts w:ascii="Times New Roman" w:hAnsi="Times New Roman"/>
          <w:b/>
          <w:color w:val="2A2A2A"/>
          <w:sz w:val="24"/>
          <w:szCs w:val="24"/>
        </w:rPr>
        <w:t xml:space="preserve"> latu</w:t>
      </w:r>
      <w:r w:rsidR="008954D4">
        <w:rPr>
          <w:rFonts w:ascii="Times New Roman" w:hAnsi="Times New Roman"/>
          <w:color w:val="2A2A2A"/>
          <w:sz w:val="24"/>
          <w:szCs w:val="24"/>
        </w:rPr>
        <w:t xml:space="preserve"> apmērā.</w:t>
      </w:r>
    </w:p>
    <w:p w:rsidR="00AB123D" w:rsidRDefault="00AB123D" w:rsidP="00FC5F33">
      <w:pPr>
        <w:pStyle w:val="NormalWeb"/>
        <w:snapToGrid w:val="0"/>
        <w:spacing w:before="0" w:after="0"/>
        <w:rPr>
          <w:b/>
          <w:sz w:val="28"/>
          <w:szCs w:val="28"/>
        </w:rPr>
      </w:pPr>
    </w:p>
    <w:p w:rsidR="004F6498" w:rsidRDefault="004F6498" w:rsidP="009067AB">
      <w:pPr>
        <w:pStyle w:val="NormalWeb"/>
        <w:snapToGrid w:val="0"/>
        <w:spacing w:before="0" w:after="0"/>
        <w:jc w:val="center"/>
        <w:rPr>
          <w:b/>
          <w:sz w:val="28"/>
          <w:szCs w:val="28"/>
        </w:rPr>
      </w:pPr>
    </w:p>
    <w:p w:rsidR="005573DC" w:rsidRDefault="00071C55" w:rsidP="009067AB">
      <w:pPr>
        <w:pStyle w:val="NormalWeb"/>
        <w:snapToGrid w:val="0"/>
        <w:spacing w:before="0" w:after="0"/>
        <w:jc w:val="center"/>
        <w:rPr>
          <w:b/>
          <w:sz w:val="28"/>
          <w:szCs w:val="28"/>
        </w:rPr>
      </w:pPr>
      <w:r w:rsidRPr="00071C55">
        <w:rPr>
          <w:b/>
          <w:sz w:val="28"/>
          <w:szCs w:val="28"/>
        </w:rPr>
        <w:t>Kopsavilkums</w:t>
      </w:r>
    </w:p>
    <w:p w:rsidR="00FC5F33" w:rsidRPr="00071C55" w:rsidRDefault="00FC5F33" w:rsidP="009067AB">
      <w:pPr>
        <w:pStyle w:val="NormalWeb"/>
        <w:snapToGrid w:val="0"/>
        <w:spacing w:before="0" w:after="0"/>
        <w:jc w:val="center"/>
        <w:rPr>
          <w:b/>
          <w:sz w:val="28"/>
          <w:szCs w:val="28"/>
        </w:rPr>
      </w:pPr>
    </w:p>
    <w:p w:rsidR="00CB287F" w:rsidRDefault="00CB287F" w:rsidP="00CB287F">
      <w:pPr>
        <w:pStyle w:val="NormalWeb"/>
        <w:snapToGrid w:val="0"/>
        <w:spacing w:before="120" w:after="0"/>
        <w:ind w:firstLine="720"/>
        <w:jc w:val="both"/>
        <w:rPr>
          <w:lang w:bidi="lo-LA"/>
        </w:rPr>
      </w:pPr>
      <w:r w:rsidRPr="00CB287F">
        <w:rPr>
          <w:rFonts w:eastAsia="Calibri"/>
          <w:bCs/>
        </w:rPr>
        <w:t xml:space="preserve">Samazinātā finansējuma apstākļos ir apgrūtināti nodrošināt sniegto veselības aprūpes pakalpojumu ilgtspējību un stabilitāti, jo mainoties ekonomiskajai situācijai ir ievērojami samazināts finansējums ārstniecības iestādēm, kas ir pretēji citās Eiropas Savienības valstīs veiktajiem pasākumiem, kur tas ir saglabāts aptuveni iepriekšējo gadu līmenī. </w:t>
      </w:r>
      <w:r w:rsidRPr="00CB287F">
        <w:t>Lai risinātu identificēto problēmu, ka valsts budžeta finansējums nesedz veselības aprūpes pakalpojumu faktiskās izmaksas, un lai pakāpeniski sasniegtu veselības aprūpes finansējuma palielinājumu, balstoties uz galvenajiem makroekonomiskajiem rādītājiem un to prognozi, ir sagatavota veselības aprūpes budžeta sasniedzamo finansiālo rā</w:t>
      </w:r>
      <w:r w:rsidR="00161A67">
        <w:t>dītāju prognoze līdz 2020.gadam Koncepcijā par veselības aprūpes sistēmas finansēšanas modeli, p</w:t>
      </w:r>
      <w:r w:rsidRPr="00CB287F">
        <w:t>akāpeniski sasniedzot veselības aprūpes valsts budžetu 4,5% apmērā no IKP,</w:t>
      </w:r>
      <w:r w:rsidRPr="00CB287F">
        <w:rPr>
          <w:b/>
        </w:rPr>
        <w:t xml:space="preserve"> </w:t>
      </w:r>
      <w:r w:rsidRPr="00CB287F">
        <w:rPr>
          <w:lang w:bidi="lo-LA"/>
        </w:rPr>
        <w:t>būs iespējams palielināt veselības aprūpes apjoma ietvaru – palielināt no valsts budžeta apmaksājamo ambulatoro apmeklējumu skaitu, laboratorisko izmeklējumu skaitu, mazināt gaidīšanas laiku (rindas uz pakalpojumu saņemšanu).</w:t>
      </w:r>
    </w:p>
    <w:p w:rsidR="005573DC" w:rsidRPr="00CF2A0C" w:rsidRDefault="00071C55" w:rsidP="00CB287F">
      <w:pPr>
        <w:pStyle w:val="NormalWeb"/>
        <w:snapToGrid w:val="0"/>
        <w:spacing w:before="120" w:after="0"/>
        <w:ind w:firstLine="720"/>
        <w:jc w:val="both"/>
      </w:pPr>
      <w:r w:rsidRPr="00CB287F">
        <w:t xml:space="preserve">Lai realizētu ziņojumā minētos pasākumus, veselības aprūpes budžetā </w:t>
      </w:r>
      <w:r w:rsidRPr="00CB287F">
        <w:rPr>
          <w:u w:val="single"/>
        </w:rPr>
        <w:t>2013.gadā</w:t>
      </w:r>
      <w:r w:rsidRPr="00CB287F">
        <w:t xml:space="preserve"> nepieciešams papildus pusgadam </w:t>
      </w:r>
      <w:r w:rsidR="0022300D">
        <w:rPr>
          <w:b/>
        </w:rPr>
        <w:t>3</w:t>
      </w:r>
      <w:r w:rsidR="00FF6C50">
        <w:rPr>
          <w:b/>
        </w:rPr>
        <w:t>4</w:t>
      </w:r>
      <w:r w:rsidR="00B928EB">
        <w:rPr>
          <w:b/>
        </w:rPr>
        <w:t> 306 502</w:t>
      </w:r>
      <w:r w:rsidR="00FF6C50">
        <w:rPr>
          <w:b/>
        </w:rPr>
        <w:t xml:space="preserve"> </w:t>
      </w:r>
      <w:r w:rsidRPr="00CB287F">
        <w:rPr>
          <w:b/>
        </w:rPr>
        <w:t>lati</w:t>
      </w:r>
      <w:r w:rsidRPr="00CB287F">
        <w:t xml:space="preserve">, </w:t>
      </w:r>
      <w:r w:rsidRPr="00CB287F">
        <w:rPr>
          <w:u w:val="single"/>
        </w:rPr>
        <w:t>2014.gadā</w:t>
      </w:r>
      <w:r w:rsidRPr="00CB287F">
        <w:t xml:space="preserve"> – </w:t>
      </w:r>
      <w:r w:rsidR="00FF6C50">
        <w:rPr>
          <w:b/>
        </w:rPr>
        <w:t>66</w:t>
      </w:r>
      <w:r w:rsidR="00F46696">
        <w:rPr>
          <w:b/>
        </w:rPr>
        <w:t> 1</w:t>
      </w:r>
      <w:r w:rsidR="00B928EB">
        <w:rPr>
          <w:b/>
        </w:rPr>
        <w:t>48 868</w:t>
      </w:r>
      <w:r w:rsidR="00A2740E">
        <w:rPr>
          <w:b/>
        </w:rPr>
        <w:t xml:space="preserve"> </w:t>
      </w:r>
      <w:r w:rsidRPr="00CB287F">
        <w:rPr>
          <w:b/>
        </w:rPr>
        <w:t>lati</w:t>
      </w:r>
      <w:r w:rsidRPr="00CB287F">
        <w:t xml:space="preserve"> un </w:t>
      </w:r>
      <w:r w:rsidRPr="00CB287F">
        <w:rPr>
          <w:u w:val="single"/>
        </w:rPr>
        <w:t>2015.gadā</w:t>
      </w:r>
      <w:r w:rsidRPr="00CB287F">
        <w:t xml:space="preserve"> </w:t>
      </w:r>
      <w:r w:rsidR="00FF6C50">
        <w:rPr>
          <w:b/>
        </w:rPr>
        <w:t>66</w:t>
      </w:r>
      <w:r w:rsidR="00F46696">
        <w:rPr>
          <w:b/>
        </w:rPr>
        <w:t> 3</w:t>
      </w:r>
      <w:r w:rsidR="00B928EB">
        <w:rPr>
          <w:b/>
        </w:rPr>
        <w:t>68</w:t>
      </w:r>
      <w:r w:rsidR="00A2740E">
        <w:rPr>
          <w:b/>
        </w:rPr>
        <w:t xml:space="preserve"> </w:t>
      </w:r>
      <w:r w:rsidR="00B928EB">
        <w:rPr>
          <w:b/>
        </w:rPr>
        <w:t>209</w:t>
      </w:r>
      <w:r w:rsidRPr="00CB287F">
        <w:rPr>
          <w:b/>
        </w:rPr>
        <w:t xml:space="preserve"> lati</w:t>
      </w:r>
      <w:r>
        <w:rPr>
          <w:b/>
        </w:rPr>
        <w:t xml:space="preserve"> </w:t>
      </w:r>
      <w:r w:rsidRPr="00071C55">
        <w:t>(skat. 2</w:t>
      </w:r>
      <w:r w:rsidR="00D65E9A">
        <w:t>4</w:t>
      </w:r>
      <w:r w:rsidR="00B37B06">
        <w:t>.tab.).</w:t>
      </w:r>
    </w:p>
    <w:p w:rsidR="0031284C" w:rsidRDefault="00B300FE" w:rsidP="00CB287F">
      <w:pPr>
        <w:pStyle w:val="NormalWeb"/>
        <w:snapToGrid w:val="0"/>
        <w:spacing w:before="0" w:after="0"/>
        <w:jc w:val="right"/>
        <w:rPr>
          <w:sz w:val="22"/>
          <w:szCs w:val="22"/>
        </w:rPr>
      </w:pPr>
      <w:r>
        <w:rPr>
          <w:sz w:val="22"/>
          <w:szCs w:val="22"/>
        </w:rPr>
        <w:t>2</w:t>
      </w:r>
      <w:r w:rsidR="00D65E9A">
        <w:rPr>
          <w:sz w:val="22"/>
          <w:szCs w:val="22"/>
        </w:rPr>
        <w:t>4</w:t>
      </w:r>
      <w:r w:rsidR="0031284C" w:rsidRPr="00630908">
        <w:rPr>
          <w:sz w:val="22"/>
          <w:szCs w:val="22"/>
        </w:rPr>
        <w:t>.tabula</w:t>
      </w:r>
    </w:p>
    <w:p w:rsidR="00B366A6" w:rsidRDefault="00B366A6" w:rsidP="00CB287F">
      <w:pPr>
        <w:pStyle w:val="NormalWeb"/>
        <w:snapToGrid w:val="0"/>
        <w:spacing w:before="0" w:after="0"/>
        <w:jc w:val="both"/>
      </w:pPr>
    </w:p>
    <w:p w:rsidR="00F26995" w:rsidRDefault="00071C55" w:rsidP="00071C55">
      <w:pPr>
        <w:pStyle w:val="NormalWeb"/>
        <w:snapToGrid w:val="0"/>
        <w:spacing w:before="0" w:after="0"/>
        <w:jc w:val="center"/>
        <w:rPr>
          <w:b/>
        </w:rPr>
      </w:pPr>
      <w:r>
        <w:rPr>
          <w:b/>
        </w:rPr>
        <w:t>P</w:t>
      </w:r>
      <w:r w:rsidR="008A7E24">
        <w:rPr>
          <w:b/>
        </w:rPr>
        <w:t xml:space="preserve">apildus </w:t>
      </w:r>
      <w:r>
        <w:rPr>
          <w:b/>
        </w:rPr>
        <w:t>nepieciešamais</w:t>
      </w:r>
      <w:r w:rsidR="008A7E24">
        <w:rPr>
          <w:b/>
        </w:rPr>
        <w:t xml:space="preserve"> </w:t>
      </w:r>
      <w:r>
        <w:rPr>
          <w:b/>
        </w:rPr>
        <w:t xml:space="preserve">finansējums </w:t>
      </w:r>
      <w:r w:rsidR="00CF2A0C">
        <w:rPr>
          <w:b/>
        </w:rPr>
        <w:t xml:space="preserve">veselības aprūpes nozarei </w:t>
      </w:r>
      <w:r>
        <w:rPr>
          <w:b/>
        </w:rPr>
        <w:t>2013.-2015.gadam</w:t>
      </w:r>
    </w:p>
    <w:p w:rsidR="00630908" w:rsidRPr="00630908" w:rsidRDefault="00630908" w:rsidP="00630908">
      <w:pPr>
        <w:pStyle w:val="NormalWeb"/>
        <w:snapToGrid w:val="0"/>
        <w:spacing w:before="0" w:after="0"/>
        <w:jc w:val="right"/>
        <w:rPr>
          <w:b/>
          <w:sz w:val="22"/>
          <w:szCs w:val="22"/>
        </w:rPr>
      </w:pPr>
    </w:p>
    <w:tbl>
      <w:tblPr>
        <w:tblW w:w="10788" w:type="dxa"/>
        <w:tblLayout w:type="fixed"/>
        <w:tblLook w:val="04A0"/>
      </w:tblPr>
      <w:tblGrid>
        <w:gridCol w:w="534"/>
        <w:gridCol w:w="1984"/>
        <w:gridCol w:w="1985"/>
        <w:gridCol w:w="1134"/>
        <w:gridCol w:w="1134"/>
        <w:gridCol w:w="1134"/>
        <w:gridCol w:w="2883"/>
      </w:tblGrid>
      <w:tr w:rsidR="00AB123D" w:rsidRPr="00243AB3" w:rsidTr="00AB123D">
        <w:trPr>
          <w:trHeight w:val="79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Nr.p.k.</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Pasākums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03D12" w:rsidRPr="00243AB3" w:rsidRDefault="00A03D12" w:rsidP="0019659C">
            <w:pPr>
              <w:spacing w:after="0" w:line="240" w:lineRule="auto"/>
              <w:jc w:val="center"/>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Budžeta programma/apakšpro-gramma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D12" w:rsidRPr="00243AB3" w:rsidRDefault="00A03D12" w:rsidP="0019659C">
            <w:pPr>
              <w:spacing w:after="0" w:line="240" w:lineRule="auto"/>
              <w:jc w:val="center"/>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Deficīts 2013.g.pus-gadam (Ls)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D12" w:rsidRPr="00243AB3" w:rsidRDefault="00A03D12" w:rsidP="0019659C">
            <w:pPr>
              <w:spacing w:after="0" w:line="240" w:lineRule="auto"/>
              <w:jc w:val="center"/>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Deficīts 2014.g.</w:t>
            </w:r>
          </w:p>
          <w:p w:rsidR="00A03D12" w:rsidRPr="00243AB3" w:rsidRDefault="00A03D12" w:rsidP="0019659C">
            <w:pPr>
              <w:spacing w:after="0" w:line="240" w:lineRule="auto"/>
              <w:jc w:val="center"/>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(Ls)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3D12" w:rsidRPr="00243AB3" w:rsidRDefault="00A03D12" w:rsidP="0019659C">
            <w:pPr>
              <w:spacing w:after="0" w:line="240" w:lineRule="auto"/>
              <w:jc w:val="center"/>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Deficīts 2015.g.</w:t>
            </w:r>
          </w:p>
          <w:p w:rsidR="00A03D12" w:rsidRPr="00243AB3" w:rsidRDefault="00A03D12" w:rsidP="0019659C">
            <w:pPr>
              <w:spacing w:after="0" w:line="240" w:lineRule="auto"/>
              <w:jc w:val="center"/>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(Ls)</w:t>
            </w:r>
          </w:p>
        </w:tc>
        <w:tc>
          <w:tcPr>
            <w:tcW w:w="2883" w:type="dxa"/>
            <w:tcBorders>
              <w:top w:val="single" w:sz="4" w:space="0" w:color="auto"/>
              <w:left w:val="nil"/>
              <w:bottom w:val="single" w:sz="4" w:space="0" w:color="auto"/>
              <w:right w:val="single" w:sz="4" w:space="0" w:color="auto"/>
            </w:tcBorders>
          </w:tcPr>
          <w:p w:rsidR="00A03D12" w:rsidRPr="00243AB3" w:rsidRDefault="00EA34A3" w:rsidP="00252DA8">
            <w:pPr>
              <w:spacing w:after="0" w:line="240" w:lineRule="auto"/>
              <w:jc w:val="center"/>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Komentāri</w:t>
            </w:r>
          </w:p>
        </w:tc>
      </w:tr>
      <w:tr w:rsidR="00AB123D" w:rsidRPr="00243AB3" w:rsidTr="00AB123D">
        <w:trPr>
          <w:trHeight w:val="29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1.</w:t>
            </w:r>
          </w:p>
        </w:tc>
        <w:tc>
          <w:tcPr>
            <w:tcW w:w="1984" w:type="dxa"/>
            <w:tcBorders>
              <w:top w:val="nil"/>
              <w:left w:val="nil"/>
              <w:bottom w:val="single" w:sz="4" w:space="0" w:color="auto"/>
              <w:right w:val="single" w:sz="4" w:space="0" w:color="auto"/>
            </w:tcBorders>
            <w:shd w:val="clear" w:color="auto" w:fill="auto"/>
            <w:noWrap/>
            <w:hideMark/>
          </w:tcPr>
          <w:p w:rsidR="00A03D12" w:rsidRPr="00243AB3" w:rsidRDefault="00A03D12" w:rsidP="0019659C">
            <w:pPr>
              <w:spacing w:after="0" w:line="240" w:lineRule="auto"/>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Deficīta segšanai</w:t>
            </w:r>
          </w:p>
        </w:tc>
        <w:tc>
          <w:tcPr>
            <w:tcW w:w="1985"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03D12" w:rsidRPr="00243AB3" w:rsidRDefault="00A03D12" w:rsidP="00646A9D">
            <w:pPr>
              <w:spacing w:after="0" w:line="240" w:lineRule="auto"/>
              <w:jc w:val="center"/>
              <w:rPr>
                <w:rFonts w:ascii="Times New Roman" w:eastAsia="Times New Roman" w:hAnsi="Times New Roman" w:cs="Times New Roman"/>
                <w:b/>
                <w:bCs/>
                <w:i/>
                <w:iCs/>
                <w:sz w:val="18"/>
                <w:szCs w:val="18"/>
              </w:rPr>
            </w:pPr>
            <w:r w:rsidRPr="00243AB3">
              <w:rPr>
                <w:rFonts w:ascii="Times New Roman" w:eastAsia="Times New Roman" w:hAnsi="Times New Roman" w:cs="Times New Roman"/>
                <w:b/>
                <w:bCs/>
                <w:i/>
                <w:iCs/>
                <w:sz w:val="18"/>
                <w:szCs w:val="18"/>
              </w:rPr>
              <w:t>15</w:t>
            </w:r>
            <w:r w:rsidR="00646A9D">
              <w:rPr>
                <w:rFonts w:ascii="Times New Roman" w:eastAsia="Times New Roman" w:hAnsi="Times New Roman" w:cs="Times New Roman"/>
                <w:b/>
                <w:bCs/>
                <w:i/>
                <w:iCs/>
                <w:sz w:val="18"/>
                <w:szCs w:val="18"/>
              </w:rPr>
              <w:t> 015 622</w:t>
            </w:r>
          </w:p>
        </w:tc>
        <w:tc>
          <w:tcPr>
            <w:tcW w:w="1134" w:type="dxa"/>
            <w:tcBorders>
              <w:top w:val="nil"/>
              <w:left w:val="nil"/>
              <w:bottom w:val="single" w:sz="4" w:space="0" w:color="auto"/>
              <w:right w:val="single" w:sz="4" w:space="0" w:color="auto"/>
            </w:tcBorders>
            <w:shd w:val="clear" w:color="auto" w:fill="auto"/>
            <w:vAlign w:val="center"/>
            <w:hideMark/>
          </w:tcPr>
          <w:p w:rsidR="00A03D12" w:rsidRPr="00243AB3" w:rsidRDefault="00A03D12" w:rsidP="0019659C">
            <w:pPr>
              <w:spacing w:after="0" w:line="240" w:lineRule="auto"/>
              <w:jc w:val="center"/>
              <w:rPr>
                <w:rFonts w:ascii="Times New Roman" w:eastAsia="Times New Roman" w:hAnsi="Times New Roman" w:cs="Times New Roman"/>
                <w:b/>
                <w:bCs/>
                <w:i/>
                <w:iCs/>
                <w:sz w:val="18"/>
                <w:szCs w:val="18"/>
              </w:rPr>
            </w:pPr>
            <w:r w:rsidRPr="00243AB3">
              <w:rPr>
                <w:rFonts w:ascii="Times New Roman" w:eastAsia="Times New Roman" w:hAnsi="Times New Roman" w:cs="Times New Roman"/>
                <w:b/>
                <w:bCs/>
                <w:i/>
                <w:iCs/>
                <w:sz w:val="18"/>
                <w:szCs w:val="18"/>
              </w:rPr>
              <w:t>28 021 323</w:t>
            </w:r>
          </w:p>
        </w:tc>
        <w:tc>
          <w:tcPr>
            <w:tcW w:w="1134" w:type="dxa"/>
            <w:tcBorders>
              <w:top w:val="nil"/>
              <w:left w:val="nil"/>
              <w:bottom w:val="single" w:sz="4" w:space="0" w:color="auto"/>
              <w:right w:val="single" w:sz="4" w:space="0" w:color="auto"/>
            </w:tcBorders>
            <w:shd w:val="clear" w:color="auto" w:fill="auto"/>
            <w:vAlign w:val="center"/>
            <w:hideMark/>
          </w:tcPr>
          <w:p w:rsidR="00A03D12" w:rsidRPr="00243AB3" w:rsidRDefault="00A03D12" w:rsidP="0019659C">
            <w:pPr>
              <w:spacing w:after="0" w:line="240" w:lineRule="auto"/>
              <w:jc w:val="center"/>
              <w:rPr>
                <w:rFonts w:ascii="Times New Roman" w:eastAsia="Times New Roman" w:hAnsi="Times New Roman" w:cs="Times New Roman"/>
                <w:b/>
                <w:bCs/>
                <w:i/>
                <w:iCs/>
                <w:sz w:val="18"/>
                <w:szCs w:val="18"/>
              </w:rPr>
            </w:pPr>
            <w:r w:rsidRPr="00243AB3">
              <w:rPr>
                <w:rFonts w:ascii="Times New Roman" w:eastAsia="Times New Roman" w:hAnsi="Times New Roman" w:cs="Times New Roman"/>
                <w:b/>
                <w:bCs/>
                <w:i/>
                <w:iCs/>
                <w:sz w:val="18"/>
                <w:szCs w:val="18"/>
              </w:rPr>
              <w:t>28 127 414</w:t>
            </w:r>
          </w:p>
        </w:tc>
        <w:tc>
          <w:tcPr>
            <w:tcW w:w="2883" w:type="dxa"/>
            <w:tcBorders>
              <w:top w:val="nil"/>
              <w:left w:val="nil"/>
              <w:bottom w:val="single" w:sz="4" w:space="0" w:color="auto"/>
              <w:right w:val="single" w:sz="4" w:space="0" w:color="auto"/>
            </w:tcBorders>
          </w:tcPr>
          <w:p w:rsidR="00A03D12" w:rsidRPr="00243AB3" w:rsidRDefault="00A03D12" w:rsidP="00252DA8">
            <w:pPr>
              <w:spacing w:after="0" w:line="240" w:lineRule="auto"/>
              <w:rPr>
                <w:rFonts w:ascii="Times New Roman" w:eastAsia="Times New Roman" w:hAnsi="Times New Roman" w:cs="Times New Roman"/>
                <w:b/>
                <w:bCs/>
                <w:i/>
                <w:iCs/>
                <w:sz w:val="18"/>
                <w:szCs w:val="18"/>
              </w:rPr>
            </w:pPr>
          </w:p>
        </w:tc>
      </w:tr>
      <w:tr w:rsidR="00AB123D" w:rsidRPr="00243AB3" w:rsidTr="00AB123D">
        <w:trPr>
          <w:trHeight w:val="76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1.1.</w:t>
            </w:r>
          </w:p>
        </w:tc>
        <w:tc>
          <w:tcPr>
            <w:tcW w:w="1984" w:type="dxa"/>
            <w:tcBorders>
              <w:top w:val="nil"/>
              <w:left w:val="nil"/>
              <w:bottom w:val="single" w:sz="4" w:space="0" w:color="auto"/>
              <w:right w:val="single" w:sz="4" w:space="0" w:color="auto"/>
            </w:tcBorders>
            <w:shd w:val="clear" w:color="auto" w:fill="auto"/>
            <w:hideMark/>
          </w:tcPr>
          <w:p w:rsidR="00A03D12" w:rsidRPr="00243AB3" w:rsidRDefault="00A03D12" w:rsidP="0019659C">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zāļu un medicīnisko ierīč</w:t>
            </w:r>
            <w:r w:rsidR="00797DD8" w:rsidRPr="00243AB3">
              <w:rPr>
                <w:rFonts w:ascii="Times New Roman" w:eastAsia="Times New Roman" w:hAnsi="Times New Roman" w:cs="Times New Roman"/>
                <w:sz w:val="18"/>
                <w:szCs w:val="18"/>
              </w:rPr>
              <w:t>u iegādes izdevumu deficīta segš</w:t>
            </w:r>
            <w:r w:rsidRPr="00243AB3">
              <w:rPr>
                <w:rFonts w:ascii="Times New Roman" w:eastAsia="Times New Roman" w:hAnsi="Times New Roman" w:cs="Times New Roman"/>
                <w:sz w:val="18"/>
                <w:szCs w:val="18"/>
              </w:rPr>
              <w:t>anai</w:t>
            </w:r>
          </w:p>
        </w:tc>
        <w:tc>
          <w:tcPr>
            <w:tcW w:w="1985" w:type="dxa"/>
            <w:tcBorders>
              <w:top w:val="nil"/>
              <w:left w:val="nil"/>
              <w:bottom w:val="nil"/>
              <w:right w:val="single" w:sz="4" w:space="0" w:color="auto"/>
            </w:tcBorders>
            <w:shd w:val="clear" w:color="auto" w:fill="auto"/>
            <w:hideMark/>
          </w:tcPr>
          <w:p w:rsidR="00A03D12" w:rsidRPr="00243AB3" w:rsidRDefault="00A03D12" w:rsidP="00AB123D">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33.03.00 "Kompensējamo medikamentu un materiālu apmaksāšana"</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4 144 345</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6 144 345</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6 144 345</w:t>
            </w:r>
          </w:p>
        </w:tc>
        <w:tc>
          <w:tcPr>
            <w:tcW w:w="2883" w:type="dxa"/>
            <w:tcBorders>
              <w:top w:val="nil"/>
              <w:left w:val="nil"/>
              <w:bottom w:val="single" w:sz="4" w:space="0" w:color="auto"/>
              <w:right w:val="single" w:sz="4" w:space="0" w:color="auto"/>
            </w:tcBorders>
          </w:tcPr>
          <w:p w:rsidR="00A03D12" w:rsidRPr="00243AB3" w:rsidRDefault="002D1171" w:rsidP="00F76773">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 xml:space="preserve">Ja finansējums netiek piešķirts, netiks nodrošināta iespēja </w:t>
            </w:r>
            <w:proofErr w:type="gramStart"/>
            <w:r w:rsidRPr="00243AB3">
              <w:rPr>
                <w:rFonts w:ascii="Times New Roman" w:eastAsia="Times New Roman" w:hAnsi="Times New Roman" w:cs="Times New Roman"/>
                <w:sz w:val="18"/>
                <w:szCs w:val="18"/>
              </w:rPr>
              <w:t>saņemt  kompensējamos</w:t>
            </w:r>
            <w:proofErr w:type="gramEnd"/>
            <w:r w:rsidRPr="00243AB3">
              <w:rPr>
                <w:rFonts w:ascii="Times New Roman" w:eastAsia="Times New Roman" w:hAnsi="Times New Roman" w:cs="Times New Roman"/>
                <w:sz w:val="18"/>
                <w:szCs w:val="18"/>
              </w:rPr>
              <w:t xml:space="preserve"> medikamentus 2013.gadā </w:t>
            </w:r>
            <w:r w:rsidR="003F7811" w:rsidRPr="00243AB3">
              <w:rPr>
                <w:rFonts w:ascii="Times New Roman" w:eastAsia="Times New Roman" w:hAnsi="Times New Roman" w:cs="Times New Roman"/>
                <w:sz w:val="18"/>
                <w:szCs w:val="18"/>
              </w:rPr>
              <w:t>30 698</w:t>
            </w:r>
            <w:r w:rsidRPr="00243AB3">
              <w:rPr>
                <w:rFonts w:ascii="Times New Roman" w:eastAsia="Times New Roman" w:hAnsi="Times New Roman" w:cs="Times New Roman"/>
                <w:sz w:val="18"/>
                <w:szCs w:val="18"/>
              </w:rPr>
              <w:t xml:space="preserve"> pacientiem, 2014.gadā un turpmāk - 45 514 pacientiem.</w:t>
            </w:r>
          </w:p>
        </w:tc>
      </w:tr>
      <w:tr w:rsidR="00AB123D" w:rsidRPr="00243AB3" w:rsidTr="00AB123D">
        <w:trPr>
          <w:trHeight w:val="74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1.2.</w:t>
            </w:r>
          </w:p>
        </w:tc>
        <w:tc>
          <w:tcPr>
            <w:tcW w:w="1984" w:type="dxa"/>
            <w:tcBorders>
              <w:top w:val="nil"/>
              <w:left w:val="nil"/>
              <w:bottom w:val="single" w:sz="4" w:space="0" w:color="auto"/>
              <w:right w:val="single" w:sz="4" w:space="0" w:color="auto"/>
            </w:tcBorders>
            <w:shd w:val="clear" w:color="auto" w:fill="auto"/>
            <w:hideMark/>
          </w:tcPr>
          <w:p w:rsidR="00A03D12" w:rsidRPr="00243AB3" w:rsidRDefault="00A03D12" w:rsidP="0019659C">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Unikālo pacientu skaita palielinājumam par 5%</w:t>
            </w:r>
          </w:p>
        </w:tc>
        <w:tc>
          <w:tcPr>
            <w:tcW w:w="1985" w:type="dxa"/>
            <w:tcBorders>
              <w:top w:val="single" w:sz="4" w:space="0" w:color="auto"/>
              <w:left w:val="nil"/>
              <w:bottom w:val="nil"/>
              <w:right w:val="single" w:sz="4" w:space="0" w:color="auto"/>
            </w:tcBorders>
            <w:shd w:val="clear" w:color="auto" w:fill="auto"/>
            <w:hideMark/>
          </w:tcPr>
          <w:p w:rsidR="00A03D12" w:rsidRPr="00243AB3" w:rsidRDefault="00A03D12" w:rsidP="00AB123D">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33.03.00 "Kompensējamo medikamentu un materiālu apmaksāšana"</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1 627 358</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3 254 715</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3 254 715</w:t>
            </w:r>
          </w:p>
        </w:tc>
        <w:tc>
          <w:tcPr>
            <w:tcW w:w="2883" w:type="dxa"/>
            <w:tcBorders>
              <w:top w:val="nil"/>
              <w:left w:val="nil"/>
              <w:bottom w:val="single" w:sz="4" w:space="0" w:color="auto"/>
              <w:right w:val="single" w:sz="4" w:space="0" w:color="auto"/>
            </w:tcBorders>
          </w:tcPr>
          <w:p w:rsidR="00A03D12" w:rsidRPr="00243AB3" w:rsidRDefault="00AB123D" w:rsidP="00AB123D">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Ja finansējums netiek piešķirts, tad n</w:t>
            </w:r>
            <w:r w:rsidR="00252DA8" w:rsidRPr="00243AB3">
              <w:rPr>
                <w:rFonts w:ascii="Times New Roman" w:eastAsia="Times New Roman" w:hAnsi="Times New Roman" w:cs="Times New Roman"/>
                <w:sz w:val="18"/>
                <w:szCs w:val="18"/>
              </w:rPr>
              <w:t xml:space="preserve">ebūs iespējams palielināt pacientu skaitu </w:t>
            </w:r>
            <w:r w:rsidR="003F7811" w:rsidRPr="00243AB3">
              <w:rPr>
                <w:rFonts w:ascii="Times New Roman" w:eastAsia="Times New Roman" w:hAnsi="Times New Roman" w:cs="Times New Roman"/>
                <w:sz w:val="18"/>
                <w:szCs w:val="18"/>
              </w:rPr>
              <w:t>par 24 109 gadā, izmaksas gadā uz 1 pacientu 135 Ls.</w:t>
            </w:r>
          </w:p>
        </w:tc>
      </w:tr>
      <w:tr w:rsidR="00AB123D" w:rsidRPr="00243AB3" w:rsidTr="00AB123D">
        <w:trPr>
          <w:trHeight w:val="155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lastRenderedPageBreak/>
              <w:t>1.3.</w:t>
            </w:r>
          </w:p>
        </w:tc>
        <w:tc>
          <w:tcPr>
            <w:tcW w:w="1984" w:type="dxa"/>
            <w:tcBorders>
              <w:top w:val="nil"/>
              <w:left w:val="nil"/>
              <w:bottom w:val="single" w:sz="4" w:space="0" w:color="auto"/>
              <w:right w:val="single" w:sz="4" w:space="0" w:color="auto"/>
            </w:tcBorders>
            <w:shd w:val="clear" w:color="auto" w:fill="auto"/>
            <w:hideMark/>
          </w:tcPr>
          <w:p w:rsidR="00A03D12" w:rsidRPr="00243AB3" w:rsidRDefault="00A03D12" w:rsidP="0019659C">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 xml:space="preserve">C sarakstā iekļauto zāļu ar esošiem izrakstīšanas nosacījumiem nodrošināšana visiem pacientiem un bioloģiskās terapijas iekļaušana 20 pacientiem Krona slimībai un čūlainajam kolītam kā autoimūnām saslimšanām </w:t>
            </w:r>
          </w:p>
        </w:tc>
        <w:tc>
          <w:tcPr>
            <w:tcW w:w="1985" w:type="dxa"/>
            <w:tcBorders>
              <w:top w:val="single" w:sz="4" w:space="0" w:color="auto"/>
              <w:left w:val="nil"/>
              <w:bottom w:val="nil"/>
              <w:right w:val="single" w:sz="4" w:space="0" w:color="auto"/>
            </w:tcBorders>
            <w:shd w:val="clear" w:color="auto" w:fill="auto"/>
            <w:hideMark/>
          </w:tcPr>
          <w:p w:rsidR="00A03D12" w:rsidRPr="00243AB3" w:rsidRDefault="00A03D12" w:rsidP="00AB123D">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33.03.00 "Kompensējamo medikamentu un materiālu apmaksāšana"</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2 734 000</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5 468 000</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5 468 000</w:t>
            </w:r>
          </w:p>
        </w:tc>
        <w:tc>
          <w:tcPr>
            <w:tcW w:w="2883" w:type="dxa"/>
            <w:tcBorders>
              <w:top w:val="nil"/>
              <w:left w:val="nil"/>
              <w:bottom w:val="single" w:sz="4" w:space="0" w:color="auto"/>
              <w:right w:val="single" w:sz="4" w:space="0" w:color="auto"/>
            </w:tcBorders>
          </w:tcPr>
          <w:p w:rsidR="00A03D12" w:rsidRPr="00243AB3" w:rsidRDefault="00AB123D" w:rsidP="00DD26F7">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Ja finansējums netiek piešķirts, n</w:t>
            </w:r>
            <w:r w:rsidR="00252DA8" w:rsidRPr="00243AB3">
              <w:rPr>
                <w:rFonts w:ascii="Times New Roman" w:eastAsia="Times New Roman" w:hAnsi="Times New Roman" w:cs="Times New Roman"/>
                <w:sz w:val="18"/>
                <w:szCs w:val="18"/>
              </w:rPr>
              <w:t>ebūs iespējams nod</w:t>
            </w:r>
            <w:r w:rsidR="002D1171" w:rsidRPr="00243AB3">
              <w:rPr>
                <w:rFonts w:ascii="Times New Roman" w:eastAsia="Times New Roman" w:hAnsi="Times New Roman" w:cs="Times New Roman"/>
                <w:sz w:val="18"/>
                <w:szCs w:val="18"/>
              </w:rPr>
              <w:t>rošināt C saraksta medikamen</w:t>
            </w:r>
            <w:r w:rsidR="00DD26F7" w:rsidRPr="00243AB3">
              <w:rPr>
                <w:rFonts w:ascii="Times New Roman" w:eastAsia="Times New Roman" w:hAnsi="Times New Roman" w:cs="Times New Roman"/>
                <w:sz w:val="18"/>
                <w:szCs w:val="18"/>
              </w:rPr>
              <w:t>tus visiem rindā stāvošajiem. Š</w:t>
            </w:r>
            <w:r w:rsidR="00252DA8" w:rsidRPr="00243AB3">
              <w:rPr>
                <w:rFonts w:ascii="Times New Roman" w:eastAsia="Times New Roman" w:hAnsi="Times New Roman" w:cs="Times New Roman"/>
                <w:sz w:val="18"/>
                <w:szCs w:val="18"/>
              </w:rPr>
              <w:t>obrīd bez 683 pacientiem, kam ir plānots finansējums 2013.gada budžetā,</w:t>
            </w:r>
            <w:r w:rsidR="00DD26F7" w:rsidRPr="00243AB3">
              <w:rPr>
                <w:rFonts w:ascii="Times New Roman" w:eastAsia="Times New Roman" w:hAnsi="Times New Roman" w:cs="Times New Roman"/>
                <w:sz w:val="18"/>
                <w:szCs w:val="18"/>
              </w:rPr>
              <w:t xml:space="preserve"> vēl ir nepieciešams nodrošināt</w:t>
            </w:r>
            <w:r w:rsidR="00252DA8" w:rsidRPr="00243AB3">
              <w:rPr>
                <w:rFonts w:ascii="Times New Roman" w:eastAsia="Times New Roman" w:hAnsi="Times New Roman" w:cs="Times New Roman"/>
                <w:sz w:val="18"/>
                <w:szCs w:val="18"/>
              </w:rPr>
              <w:t xml:space="preserve"> C saraksta medikamentus rindā stāvošajiem </w:t>
            </w:r>
            <w:r w:rsidR="00DD26F7" w:rsidRPr="00243AB3">
              <w:rPr>
                <w:rFonts w:ascii="Times New Roman" w:eastAsia="Times New Roman" w:hAnsi="Times New Roman" w:cs="Times New Roman"/>
                <w:sz w:val="18"/>
                <w:szCs w:val="18"/>
              </w:rPr>
              <w:t xml:space="preserve">410 </w:t>
            </w:r>
            <w:r w:rsidR="00252DA8" w:rsidRPr="00243AB3">
              <w:rPr>
                <w:rFonts w:ascii="Times New Roman" w:eastAsia="Times New Roman" w:hAnsi="Times New Roman" w:cs="Times New Roman"/>
                <w:sz w:val="18"/>
                <w:szCs w:val="18"/>
              </w:rPr>
              <w:t xml:space="preserve">pacientiem </w:t>
            </w:r>
            <w:r w:rsidR="002D1171" w:rsidRPr="00243AB3">
              <w:rPr>
                <w:rFonts w:ascii="Times New Roman" w:eastAsia="Times New Roman" w:hAnsi="Times New Roman" w:cs="Times New Roman"/>
                <w:sz w:val="18"/>
                <w:szCs w:val="18"/>
              </w:rPr>
              <w:t>ar vidējām izmaksām gadā 13 337 Ls.</w:t>
            </w:r>
          </w:p>
        </w:tc>
      </w:tr>
      <w:tr w:rsidR="00AB123D" w:rsidRPr="00243AB3" w:rsidTr="00AB123D">
        <w:trPr>
          <w:trHeight w:val="56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1.4.</w:t>
            </w:r>
          </w:p>
        </w:tc>
        <w:tc>
          <w:tcPr>
            <w:tcW w:w="1984" w:type="dxa"/>
            <w:tcBorders>
              <w:top w:val="nil"/>
              <w:left w:val="nil"/>
              <w:bottom w:val="single" w:sz="4" w:space="0" w:color="auto"/>
              <w:right w:val="single" w:sz="4" w:space="0" w:color="auto"/>
            </w:tcBorders>
            <w:shd w:val="clear" w:color="auto" w:fill="auto"/>
            <w:hideMark/>
          </w:tcPr>
          <w:p w:rsidR="00A03D12" w:rsidRPr="00243AB3" w:rsidRDefault="00A03D12" w:rsidP="0019659C">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Reto slimību medikamentozai ārstēšanai bērniem</w:t>
            </w:r>
          </w:p>
        </w:tc>
        <w:tc>
          <w:tcPr>
            <w:tcW w:w="1985" w:type="dxa"/>
            <w:tcBorders>
              <w:top w:val="single" w:sz="4" w:space="0" w:color="auto"/>
              <w:left w:val="nil"/>
              <w:bottom w:val="single" w:sz="4" w:space="0" w:color="auto"/>
              <w:right w:val="single" w:sz="4" w:space="0" w:color="auto"/>
            </w:tcBorders>
            <w:shd w:val="clear" w:color="auto" w:fill="auto"/>
            <w:hideMark/>
          </w:tcPr>
          <w:p w:rsidR="00A03D12" w:rsidRPr="00243AB3" w:rsidRDefault="00A03D12" w:rsidP="00AB123D">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33.12.00 "Reto slimību medikamentozā ārstēšana bērniem"</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43 653</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221 731</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327 822</w:t>
            </w:r>
          </w:p>
        </w:tc>
        <w:tc>
          <w:tcPr>
            <w:tcW w:w="2883" w:type="dxa"/>
            <w:tcBorders>
              <w:top w:val="nil"/>
              <w:left w:val="nil"/>
              <w:bottom w:val="single" w:sz="4" w:space="0" w:color="auto"/>
              <w:right w:val="single" w:sz="4" w:space="0" w:color="auto"/>
            </w:tcBorders>
          </w:tcPr>
          <w:p w:rsidR="00A03D12" w:rsidRPr="00243AB3" w:rsidRDefault="009A6A00" w:rsidP="009A6A00">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Finansē</w:t>
            </w:r>
            <w:r w:rsidR="002D1171" w:rsidRPr="00243AB3">
              <w:rPr>
                <w:rFonts w:ascii="Times New Roman" w:eastAsia="Times New Roman" w:hAnsi="Times New Roman" w:cs="Times New Roman"/>
                <w:sz w:val="18"/>
                <w:szCs w:val="18"/>
              </w:rPr>
              <w:t xml:space="preserve">jums nepieciešams 9 </w:t>
            </w:r>
            <w:r w:rsidRPr="00243AB3">
              <w:rPr>
                <w:rFonts w:ascii="Times New Roman" w:eastAsia="Times New Roman" w:hAnsi="Times New Roman" w:cs="Times New Roman"/>
                <w:sz w:val="18"/>
                <w:szCs w:val="18"/>
              </w:rPr>
              <w:t>bērniem</w:t>
            </w:r>
            <w:r w:rsidR="002D1171" w:rsidRPr="00243AB3">
              <w:rPr>
                <w:rFonts w:ascii="Times New Roman" w:eastAsia="Times New Roman" w:hAnsi="Times New Roman" w:cs="Times New Roman"/>
                <w:sz w:val="18"/>
                <w:szCs w:val="18"/>
              </w:rPr>
              <w:t xml:space="preserve"> ter</w:t>
            </w:r>
            <w:r w:rsidR="00FE10B6" w:rsidRPr="00243AB3">
              <w:rPr>
                <w:rFonts w:ascii="Times New Roman" w:eastAsia="Times New Roman" w:hAnsi="Times New Roman" w:cs="Times New Roman"/>
                <w:sz w:val="18"/>
                <w:szCs w:val="18"/>
              </w:rPr>
              <w:t>a</w:t>
            </w:r>
            <w:r w:rsidR="002D1171" w:rsidRPr="00243AB3">
              <w:rPr>
                <w:rFonts w:ascii="Times New Roman" w:eastAsia="Times New Roman" w:hAnsi="Times New Roman" w:cs="Times New Roman"/>
                <w:sz w:val="18"/>
                <w:szCs w:val="18"/>
              </w:rPr>
              <w:t>p</w:t>
            </w:r>
            <w:r w:rsidR="00FE10B6" w:rsidRPr="00243AB3">
              <w:rPr>
                <w:rFonts w:ascii="Times New Roman" w:eastAsia="Times New Roman" w:hAnsi="Times New Roman" w:cs="Times New Roman"/>
                <w:sz w:val="18"/>
                <w:szCs w:val="18"/>
              </w:rPr>
              <w:t xml:space="preserve">ijas izmaksu pieaugumam, </w:t>
            </w:r>
            <w:r w:rsidR="00252DA8" w:rsidRPr="00243AB3">
              <w:rPr>
                <w:rFonts w:ascii="Times New Roman" w:eastAsia="Times New Roman" w:hAnsi="Times New Roman" w:cs="Times New Roman"/>
                <w:sz w:val="18"/>
                <w:szCs w:val="18"/>
              </w:rPr>
              <w:t xml:space="preserve">ņemot vērā ķermeņa massas pieaugumu, </w:t>
            </w:r>
            <w:r w:rsidR="00FE10B6" w:rsidRPr="00243AB3">
              <w:rPr>
                <w:rFonts w:ascii="Times New Roman" w:eastAsia="Times New Roman" w:hAnsi="Times New Roman" w:cs="Times New Roman"/>
                <w:sz w:val="18"/>
                <w:szCs w:val="18"/>
              </w:rPr>
              <w:t>papildus 1 pacien</w:t>
            </w:r>
            <w:r w:rsidR="002D1171" w:rsidRPr="00243AB3">
              <w:rPr>
                <w:rFonts w:ascii="Times New Roman" w:eastAsia="Times New Roman" w:hAnsi="Times New Roman" w:cs="Times New Roman"/>
                <w:sz w:val="18"/>
                <w:szCs w:val="18"/>
              </w:rPr>
              <w:t xml:space="preserve">ts, vidējās izmaksas </w:t>
            </w:r>
            <w:r w:rsidR="00FE10B6" w:rsidRPr="00243AB3">
              <w:rPr>
                <w:rFonts w:ascii="Times New Roman" w:eastAsia="Times New Roman" w:hAnsi="Times New Roman" w:cs="Times New Roman"/>
                <w:sz w:val="18"/>
                <w:szCs w:val="18"/>
              </w:rPr>
              <w:t>gadā 73 745 Ls</w:t>
            </w:r>
            <w:r w:rsidR="002D1171" w:rsidRPr="00243AB3">
              <w:rPr>
                <w:rFonts w:ascii="Times New Roman" w:eastAsia="Times New Roman" w:hAnsi="Times New Roman" w:cs="Times New Roman"/>
                <w:sz w:val="18"/>
                <w:szCs w:val="18"/>
              </w:rPr>
              <w:t>.</w:t>
            </w:r>
          </w:p>
        </w:tc>
      </w:tr>
      <w:tr w:rsidR="00AB123D" w:rsidRPr="00243AB3" w:rsidTr="00AB123D">
        <w:trPr>
          <w:trHeight w:val="79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1.5.</w:t>
            </w:r>
          </w:p>
        </w:tc>
        <w:tc>
          <w:tcPr>
            <w:tcW w:w="1984" w:type="dxa"/>
            <w:tcBorders>
              <w:top w:val="nil"/>
              <w:left w:val="nil"/>
              <w:bottom w:val="single" w:sz="4" w:space="0" w:color="auto"/>
              <w:right w:val="single" w:sz="4" w:space="0" w:color="auto"/>
            </w:tcBorders>
            <w:shd w:val="clear" w:color="auto" w:fill="auto"/>
            <w:noWrap/>
            <w:hideMark/>
          </w:tcPr>
          <w:p w:rsidR="00A03D12" w:rsidRPr="00243AB3" w:rsidRDefault="00A03D12" w:rsidP="0019659C">
            <w:pPr>
              <w:spacing w:after="0" w:line="240" w:lineRule="auto"/>
              <w:jc w:val="both"/>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 xml:space="preserve">Gaidīšanas laika samazināšanai (ar d/samaksas par 17% un attīstības izdevumu pieaugumu): </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A03D12" w:rsidRPr="00243AB3" w:rsidRDefault="00A03D12" w:rsidP="00AB123D">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33.01.00 "Ārstniecība"</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646A9D">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6</w:t>
            </w:r>
            <w:r w:rsidR="00646A9D">
              <w:rPr>
                <w:rFonts w:ascii="Times New Roman" w:eastAsia="Times New Roman" w:hAnsi="Times New Roman" w:cs="Times New Roman"/>
                <w:sz w:val="18"/>
                <w:szCs w:val="18"/>
              </w:rPr>
              <w:t> 466 266</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12 932 532</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12 932 532</w:t>
            </w:r>
          </w:p>
        </w:tc>
        <w:tc>
          <w:tcPr>
            <w:tcW w:w="2883" w:type="dxa"/>
            <w:tcBorders>
              <w:top w:val="nil"/>
              <w:left w:val="nil"/>
              <w:bottom w:val="single" w:sz="4" w:space="0" w:color="auto"/>
              <w:right w:val="single" w:sz="4" w:space="0" w:color="auto"/>
            </w:tcBorders>
          </w:tcPr>
          <w:p w:rsidR="00A03D12" w:rsidRPr="00243AB3" w:rsidRDefault="00A03D12" w:rsidP="00252DA8">
            <w:pPr>
              <w:spacing w:after="0" w:line="240" w:lineRule="auto"/>
              <w:rPr>
                <w:rFonts w:ascii="Times New Roman" w:eastAsia="Times New Roman" w:hAnsi="Times New Roman" w:cs="Times New Roman"/>
                <w:sz w:val="18"/>
                <w:szCs w:val="18"/>
              </w:rPr>
            </w:pPr>
          </w:p>
        </w:tc>
      </w:tr>
      <w:tr w:rsidR="00AB123D" w:rsidRPr="00243AB3" w:rsidTr="00AB123D">
        <w:trPr>
          <w:trHeight w:val="7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noWrap/>
            <w:hideMark/>
          </w:tcPr>
          <w:p w:rsidR="00A03D12" w:rsidRPr="00243AB3" w:rsidRDefault="00A03D1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ambulatorajiem pakalpojumiem</w:t>
            </w:r>
          </w:p>
        </w:tc>
        <w:tc>
          <w:tcPr>
            <w:tcW w:w="1985" w:type="dxa"/>
            <w:vMerge/>
            <w:tcBorders>
              <w:top w:val="nil"/>
              <w:left w:val="single" w:sz="4" w:space="0" w:color="auto"/>
              <w:bottom w:val="single" w:sz="4" w:space="0" w:color="000000"/>
              <w:right w:val="single" w:sz="4" w:space="0" w:color="auto"/>
            </w:tcBorders>
            <w:hideMark/>
          </w:tcPr>
          <w:p w:rsidR="00A03D12" w:rsidRPr="00243AB3" w:rsidRDefault="00A03D12" w:rsidP="00AB123D">
            <w:pPr>
              <w:spacing w:after="0" w:line="240" w:lineRule="auto"/>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646A9D">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4</w:t>
            </w:r>
            <w:r w:rsidR="00646A9D">
              <w:rPr>
                <w:rFonts w:ascii="Times New Roman" w:eastAsia="Times New Roman" w:hAnsi="Times New Roman" w:cs="Times New Roman"/>
                <w:sz w:val="18"/>
                <w:szCs w:val="18"/>
              </w:rPr>
              <w:t> 480 555</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8 961 110</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8 961 110</w:t>
            </w:r>
          </w:p>
        </w:tc>
        <w:tc>
          <w:tcPr>
            <w:tcW w:w="2883" w:type="dxa"/>
            <w:tcBorders>
              <w:top w:val="nil"/>
              <w:left w:val="nil"/>
              <w:bottom w:val="single" w:sz="4" w:space="0" w:color="auto"/>
              <w:right w:val="single" w:sz="4" w:space="0" w:color="auto"/>
            </w:tcBorders>
          </w:tcPr>
          <w:p w:rsidR="00A03D12" w:rsidRPr="00243AB3" w:rsidRDefault="00B6544E" w:rsidP="00805205">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 xml:space="preserve">Papildus tiks nodrošināti </w:t>
            </w:r>
            <w:r w:rsidR="00410DA5">
              <w:rPr>
                <w:rFonts w:ascii="Times New Roman" w:eastAsia="Times New Roman" w:hAnsi="Times New Roman" w:cs="Times New Roman"/>
                <w:sz w:val="18"/>
                <w:szCs w:val="18"/>
              </w:rPr>
              <w:t xml:space="preserve">pusgadā </w:t>
            </w:r>
            <w:r w:rsidRPr="00243AB3">
              <w:rPr>
                <w:rFonts w:ascii="Times New Roman" w:eastAsia="Times New Roman" w:hAnsi="Times New Roman" w:cs="Times New Roman"/>
                <w:sz w:val="18"/>
                <w:szCs w:val="18"/>
              </w:rPr>
              <w:t>204 </w:t>
            </w:r>
            <w:r w:rsidR="00805205">
              <w:rPr>
                <w:rFonts w:ascii="Times New Roman" w:eastAsia="Times New Roman" w:hAnsi="Times New Roman" w:cs="Times New Roman"/>
                <w:sz w:val="18"/>
                <w:szCs w:val="18"/>
              </w:rPr>
              <w:t>058</w:t>
            </w:r>
            <w:r w:rsidRPr="00243AB3">
              <w:rPr>
                <w:rFonts w:ascii="Times New Roman" w:eastAsia="Times New Roman" w:hAnsi="Times New Roman" w:cs="Times New Roman"/>
                <w:sz w:val="18"/>
                <w:szCs w:val="18"/>
              </w:rPr>
              <w:t xml:space="preserve"> ambulatorie veselības ap</w:t>
            </w:r>
            <w:r w:rsidR="00805205">
              <w:rPr>
                <w:rFonts w:ascii="Times New Roman" w:eastAsia="Times New Roman" w:hAnsi="Times New Roman" w:cs="Times New Roman"/>
                <w:sz w:val="18"/>
                <w:szCs w:val="18"/>
              </w:rPr>
              <w:t>rūpes pakalpojumi, (gadā 408 115</w:t>
            </w:r>
            <w:r w:rsidRPr="00243AB3">
              <w:rPr>
                <w:rFonts w:ascii="Times New Roman" w:eastAsia="Times New Roman" w:hAnsi="Times New Roman" w:cs="Times New Roman"/>
                <w:sz w:val="18"/>
                <w:szCs w:val="18"/>
              </w:rPr>
              <w:t xml:space="preserve"> pakalpojumi).</w:t>
            </w:r>
          </w:p>
        </w:tc>
      </w:tr>
      <w:tr w:rsidR="00AB123D" w:rsidRPr="00243AB3" w:rsidTr="00AB123D">
        <w:trPr>
          <w:trHeight w:val="85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noWrap/>
            <w:hideMark/>
          </w:tcPr>
          <w:p w:rsidR="00A03D12" w:rsidRPr="00243AB3" w:rsidRDefault="00A03D1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stacionāriem pakalpojumiem</w:t>
            </w:r>
          </w:p>
        </w:tc>
        <w:tc>
          <w:tcPr>
            <w:tcW w:w="1985" w:type="dxa"/>
            <w:vMerge/>
            <w:tcBorders>
              <w:top w:val="nil"/>
              <w:left w:val="single" w:sz="4" w:space="0" w:color="auto"/>
              <w:bottom w:val="single" w:sz="4" w:space="0" w:color="000000"/>
              <w:right w:val="single" w:sz="4" w:space="0" w:color="auto"/>
            </w:tcBorders>
            <w:hideMark/>
          </w:tcPr>
          <w:p w:rsidR="00A03D12" w:rsidRPr="00243AB3" w:rsidRDefault="00A03D12" w:rsidP="00AB123D">
            <w:pPr>
              <w:spacing w:after="0" w:line="240" w:lineRule="auto"/>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1 985 711</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3 971 422</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3 971 422</w:t>
            </w:r>
          </w:p>
        </w:tc>
        <w:tc>
          <w:tcPr>
            <w:tcW w:w="2883" w:type="dxa"/>
            <w:tcBorders>
              <w:top w:val="nil"/>
              <w:left w:val="nil"/>
              <w:bottom w:val="single" w:sz="4" w:space="0" w:color="auto"/>
              <w:right w:val="single" w:sz="4" w:space="0" w:color="auto"/>
            </w:tcBorders>
          </w:tcPr>
          <w:p w:rsidR="00A03D12" w:rsidRPr="00243AB3" w:rsidRDefault="00FE10B6" w:rsidP="002D1171">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 xml:space="preserve">Papildus </w:t>
            </w:r>
            <w:r w:rsidR="00534751" w:rsidRPr="00243AB3">
              <w:rPr>
                <w:rFonts w:ascii="Times New Roman" w:eastAsia="Times New Roman" w:hAnsi="Times New Roman" w:cs="Times New Roman"/>
                <w:sz w:val="18"/>
                <w:szCs w:val="18"/>
              </w:rPr>
              <w:t xml:space="preserve">1827 pacienti pusgadā, </w:t>
            </w:r>
            <w:r w:rsidR="00F46696" w:rsidRPr="00243AB3">
              <w:rPr>
                <w:rFonts w:ascii="Times New Roman" w:eastAsia="Times New Roman" w:hAnsi="Times New Roman" w:cs="Times New Roman"/>
                <w:sz w:val="18"/>
                <w:szCs w:val="18"/>
              </w:rPr>
              <w:t xml:space="preserve">gadā 3657 pacienti, </w:t>
            </w:r>
            <w:r w:rsidR="00534751" w:rsidRPr="00243AB3">
              <w:rPr>
                <w:rFonts w:ascii="Times New Roman" w:eastAsia="Times New Roman" w:hAnsi="Times New Roman" w:cs="Times New Roman"/>
                <w:sz w:val="18"/>
                <w:szCs w:val="18"/>
              </w:rPr>
              <w:t xml:space="preserve">vidējās izmaksas </w:t>
            </w:r>
            <w:r w:rsidR="002D1171" w:rsidRPr="00243AB3">
              <w:rPr>
                <w:rFonts w:ascii="Times New Roman" w:eastAsia="Times New Roman" w:hAnsi="Times New Roman" w:cs="Times New Roman"/>
                <w:sz w:val="18"/>
                <w:szCs w:val="18"/>
              </w:rPr>
              <w:t>gadā 1087 Ls.</w:t>
            </w:r>
          </w:p>
        </w:tc>
      </w:tr>
      <w:tr w:rsidR="00AB123D" w:rsidRPr="00243AB3" w:rsidTr="00AB123D">
        <w:trPr>
          <w:trHeight w:val="47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2.</w:t>
            </w:r>
          </w:p>
        </w:tc>
        <w:tc>
          <w:tcPr>
            <w:tcW w:w="1984" w:type="dxa"/>
            <w:tcBorders>
              <w:top w:val="nil"/>
              <w:left w:val="nil"/>
              <w:bottom w:val="single" w:sz="4" w:space="0" w:color="auto"/>
              <w:right w:val="single" w:sz="4" w:space="0" w:color="auto"/>
            </w:tcBorders>
            <w:shd w:val="clear" w:color="auto" w:fill="auto"/>
            <w:hideMark/>
          </w:tcPr>
          <w:p w:rsidR="00A03D12" w:rsidRPr="00243AB3" w:rsidRDefault="00A03D12" w:rsidP="0019659C">
            <w:pPr>
              <w:spacing w:after="0" w:line="240" w:lineRule="auto"/>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Pakalpojumu pieejamības uzlabošanai</w:t>
            </w:r>
          </w:p>
        </w:tc>
        <w:tc>
          <w:tcPr>
            <w:tcW w:w="1985" w:type="dxa"/>
            <w:tcBorders>
              <w:top w:val="nil"/>
              <w:left w:val="nil"/>
              <w:bottom w:val="single" w:sz="4" w:space="0" w:color="auto"/>
              <w:right w:val="single" w:sz="4" w:space="0" w:color="auto"/>
            </w:tcBorders>
            <w:shd w:val="clear" w:color="auto" w:fill="auto"/>
            <w:hideMark/>
          </w:tcPr>
          <w:p w:rsidR="00A03D12" w:rsidRPr="00243AB3" w:rsidRDefault="00A03D12" w:rsidP="00AB123D">
            <w:pPr>
              <w:spacing w:after="0" w:line="240" w:lineRule="auto"/>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243AB3" w:rsidP="0028089E">
            <w:pPr>
              <w:spacing w:after="0" w:line="240" w:lineRule="auto"/>
              <w:jc w:val="center"/>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3</w:t>
            </w:r>
            <w:r w:rsidR="0028089E">
              <w:rPr>
                <w:rFonts w:ascii="Times New Roman" w:eastAsia="Times New Roman" w:hAnsi="Times New Roman" w:cs="Times New Roman"/>
                <w:b/>
                <w:bCs/>
                <w:i/>
                <w:iCs/>
                <w:sz w:val="18"/>
                <w:szCs w:val="18"/>
              </w:rPr>
              <w:t> 105 481</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A2BFE" w:rsidRDefault="002A2BFE" w:rsidP="00A2740E">
            <w:pPr>
              <w:spacing w:after="0" w:line="240" w:lineRule="auto"/>
              <w:jc w:val="center"/>
              <w:rPr>
                <w:rFonts w:ascii="Times New Roman" w:eastAsia="Times New Roman" w:hAnsi="Times New Roman" w:cs="Times New Roman"/>
                <w:b/>
                <w:bCs/>
                <w:i/>
                <w:iCs/>
                <w:sz w:val="18"/>
                <w:szCs w:val="18"/>
              </w:rPr>
            </w:pPr>
            <w:r w:rsidRPr="002A2BFE">
              <w:rPr>
                <w:rFonts w:ascii="Times New Roman" w:eastAsia="Times New Roman" w:hAnsi="Times New Roman" w:cs="Times New Roman"/>
                <w:b/>
                <w:bCs/>
                <w:i/>
                <w:iCs/>
                <w:sz w:val="18"/>
                <w:szCs w:val="18"/>
              </w:rPr>
              <w:t>6 324</w:t>
            </w:r>
            <w:r w:rsidR="00F46696" w:rsidRPr="002A2BFE">
              <w:rPr>
                <w:rFonts w:ascii="Times New Roman" w:eastAsia="Times New Roman" w:hAnsi="Times New Roman" w:cs="Times New Roman"/>
                <w:b/>
                <w:bCs/>
                <w:i/>
                <w:iCs/>
                <w:sz w:val="18"/>
                <w:szCs w:val="18"/>
              </w:rPr>
              <w:t xml:space="preserve"> 212</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A2BFE" w:rsidRDefault="002A2BFE" w:rsidP="00A2740E">
            <w:pPr>
              <w:spacing w:after="0" w:line="240" w:lineRule="auto"/>
              <w:jc w:val="center"/>
              <w:rPr>
                <w:rFonts w:ascii="Times New Roman" w:eastAsia="Times New Roman" w:hAnsi="Times New Roman" w:cs="Times New Roman"/>
                <w:b/>
                <w:bCs/>
                <w:i/>
                <w:iCs/>
                <w:sz w:val="18"/>
                <w:szCs w:val="18"/>
              </w:rPr>
            </w:pPr>
            <w:r w:rsidRPr="002A2BFE">
              <w:rPr>
                <w:rFonts w:ascii="Times New Roman" w:eastAsia="Times New Roman" w:hAnsi="Times New Roman" w:cs="Times New Roman"/>
                <w:b/>
                <w:bCs/>
                <w:i/>
                <w:iCs/>
                <w:sz w:val="18"/>
                <w:szCs w:val="18"/>
              </w:rPr>
              <w:t>6 437 462</w:t>
            </w:r>
          </w:p>
        </w:tc>
        <w:tc>
          <w:tcPr>
            <w:tcW w:w="2883" w:type="dxa"/>
            <w:tcBorders>
              <w:top w:val="nil"/>
              <w:left w:val="nil"/>
              <w:bottom w:val="single" w:sz="4" w:space="0" w:color="auto"/>
              <w:right w:val="single" w:sz="4" w:space="0" w:color="auto"/>
            </w:tcBorders>
          </w:tcPr>
          <w:p w:rsidR="00A03D12" w:rsidRPr="00243AB3" w:rsidRDefault="00A03D12" w:rsidP="00252DA8">
            <w:pPr>
              <w:spacing w:after="0" w:line="240" w:lineRule="auto"/>
              <w:rPr>
                <w:rFonts w:ascii="Times New Roman" w:eastAsia="Times New Roman" w:hAnsi="Times New Roman" w:cs="Times New Roman"/>
                <w:b/>
                <w:bCs/>
                <w:i/>
                <w:iCs/>
                <w:sz w:val="18"/>
                <w:szCs w:val="18"/>
              </w:rPr>
            </w:pPr>
          </w:p>
        </w:tc>
      </w:tr>
      <w:tr w:rsidR="00AB123D" w:rsidRPr="00243AB3" w:rsidTr="00AB123D">
        <w:trPr>
          <w:trHeight w:val="79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2.1.</w:t>
            </w:r>
          </w:p>
        </w:tc>
        <w:tc>
          <w:tcPr>
            <w:tcW w:w="1984" w:type="dxa"/>
            <w:tcBorders>
              <w:top w:val="nil"/>
              <w:left w:val="nil"/>
              <w:bottom w:val="single" w:sz="4" w:space="0" w:color="auto"/>
              <w:right w:val="single" w:sz="4" w:space="0" w:color="auto"/>
            </w:tcBorders>
            <w:shd w:val="clear" w:color="auto" w:fill="auto"/>
            <w:hideMark/>
          </w:tcPr>
          <w:p w:rsidR="00A03D12" w:rsidRPr="00243AB3" w:rsidRDefault="00A03D12" w:rsidP="0019659C">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Lai atjaunotu kompensācijas apmēru no 50% uz 75%</w:t>
            </w:r>
          </w:p>
        </w:tc>
        <w:tc>
          <w:tcPr>
            <w:tcW w:w="1985" w:type="dxa"/>
            <w:tcBorders>
              <w:top w:val="nil"/>
              <w:left w:val="nil"/>
              <w:bottom w:val="single" w:sz="4" w:space="0" w:color="auto"/>
              <w:right w:val="single" w:sz="4" w:space="0" w:color="auto"/>
            </w:tcBorders>
            <w:shd w:val="clear" w:color="auto" w:fill="auto"/>
            <w:hideMark/>
          </w:tcPr>
          <w:p w:rsidR="00A03D12" w:rsidRPr="00243AB3" w:rsidRDefault="00A03D12" w:rsidP="00AB123D">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33.03.00 "Kompensējamo medikamentu un materiālu apmaksāšana"</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934 093</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1 868 186</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1 868 186</w:t>
            </w:r>
          </w:p>
        </w:tc>
        <w:tc>
          <w:tcPr>
            <w:tcW w:w="2883" w:type="dxa"/>
            <w:tcBorders>
              <w:top w:val="nil"/>
              <w:left w:val="nil"/>
              <w:bottom w:val="single" w:sz="4" w:space="0" w:color="auto"/>
              <w:right w:val="single" w:sz="4" w:space="0" w:color="auto"/>
            </w:tcBorders>
          </w:tcPr>
          <w:p w:rsidR="00A03D12" w:rsidRPr="00243AB3" w:rsidRDefault="00252DA8" w:rsidP="00252DA8">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Izmaiņas skar 147 566 pacientus ar šobrīd viena unikālā pacienta  vidējām izmaksām 25,32 Ls (pacients pats šobrīd piemaksā 50 % jeb 25,32 Ls, pie pilnās cenas 50,64 Ls), ar kompensāc</w:t>
            </w:r>
            <w:r w:rsidR="002D1171" w:rsidRPr="00243AB3">
              <w:rPr>
                <w:rFonts w:ascii="Times New Roman" w:eastAsia="Times New Roman" w:hAnsi="Times New Roman" w:cs="Times New Roman"/>
                <w:sz w:val="18"/>
                <w:szCs w:val="18"/>
              </w:rPr>
              <w:t>ijas apmēra palielināšanu no 50% uz 75</w:t>
            </w:r>
            <w:r w:rsidRPr="00243AB3">
              <w:rPr>
                <w:rFonts w:ascii="Times New Roman" w:eastAsia="Times New Roman" w:hAnsi="Times New Roman" w:cs="Times New Roman"/>
                <w:sz w:val="18"/>
                <w:szCs w:val="18"/>
              </w:rPr>
              <w:t>% šim pašam skaitam</w:t>
            </w:r>
            <w:r w:rsidR="002D1171" w:rsidRPr="00243AB3">
              <w:rPr>
                <w:rFonts w:ascii="Times New Roman" w:eastAsia="Times New Roman" w:hAnsi="Times New Roman" w:cs="Times New Roman"/>
                <w:sz w:val="18"/>
                <w:szCs w:val="18"/>
              </w:rPr>
              <w:t xml:space="preserve"> no valsts puses tiks kompensēti</w:t>
            </w:r>
            <w:r w:rsidRPr="00243AB3">
              <w:rPr>
                <w:rFonts w:ascii="Times New Roman" w:eastAsia="Times New Roman" w:hAnsi="Times New Roman" w:cs="Times New Roman"/>
                <w:sz w:val="18"/>
                <w:szCs w:val="18"/>
              </w:rPr>
              <w:t xml:space="preserve"> 37,98 Ls (pacient</w:t>
            </w:r>
            <w:r w:rsidR="002D1171" w:rsidRPr="00243AB3">
              <w:rPr>
                <w:rFonts w:ascii="Times New Roman" w:eastAsia="Times New Roman" w:hAnsi="Times New Roman" w:cs="Times New Roman"/>
                <w:sz w:val="18"/>
                <w:szCs w:val="18"/>
              </w:rPr>
              <w:t>s piemaksās 25% jeb 12,66 Ls</w:t>
            </w:r>
            <w:r w:rsidRPr="00243AB3">
              <w:rPr>
                <w:rFonts w:ascii="Times New Roman" w:eastAsia="Times New Roman" w:hAnsi="Times New Roman" w:cs="Times New Roman"/>
                <w:sz w:val="18"/>
                <w:szCs w:val="18"/>
              </w:rPr>
              <w:t xml:space="preserve"> pie pilnās cenas 50,64 Ls).</w:t>
            </w:r>
          </w:p>
        </w:tc>
      </w:tr>
      <w:tr w:rsidR="00AB123D" w:rsidRPr="00243AB3" w:rsidTr="00AB123D">
        <w:trPr>
          <w:trHeight w:val="73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2.2.</w:t>
            </w:r>
          </w:p>
        </w:tc>
        <w:tc>
          <w:tcPr>
            <w:tcW w:w="1984" w:type="dxa"/>
            <w:tcBorders>
              <w:top w:val="nil"/>
              <w:left w:val="nil"/>
              <w:bottom w:val="single" w:sz="4" w:space="0" w:color="auto"/>
              <w:right w:val="single" w:sz="4" w:space="0" w:color="auto"/>
            </w:tcBorders>
            <w:shd w:val="clear" w:color="auto" w:fill="auto"/>
            <w:hideMark/>
          </w:tcPr>
          <w:p w:rsidR="00A03D12" w:rsidRPr="00243AB3" w:rsidRDefault="00A03D12" w:rsidP="0019659C">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Kompensācijas apmēra maiņai no 50% uz 100% Krona slimībai un čūlainajam kolītam kā autoimūnām šūnām</w:t>
            </w:r>
          </w:p>
        </w:tc>
        <w:tc>
          <w:tcPr>
            <w:tcW w:w="1985" w:type="dxa"/>
            <w:tcBorders>
              <w:top w:val="nil"/>
              <w:left w:val="nil"/>
              <w:bottom w:val="single" w:sz="4" w:space="0" w:color="auto"/>
              <w:right w:val="single" w:sz="4" w:space="0" w:color="auto"/>
            </w:tcBorders>
            <w:shd w:val="clear" w:color="auto" w:fill="auto"/>
            <w:hideMark/>
          </w:tcPr>
          <w:p w:rsidR="00A03D12" w:rsidRPr="00243AB3" w:rsidRDefault="00A03D12" w:rsidP="00AB123D">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33.03.00 "Kompensējamo medikamentu un materiālu apmaksāšana"</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61 133</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122 266</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122 266</w:t>
            </w:r>
          </w:p>
        </w:tc>
        <w:tc>
          <w:tcPr>
            <w:tcW w:w="2883" w:type="dxa"/>
            <w:tcBorders>
              <w:top w:val="nil"/>
              <w:left w:val="nil"/>
              <w:bottom w:val="single" w:sz="4" w:space="0" w:color="auto"/>
              <w:right w:val="single" w:sz="4" w:space="0" w:color="auto"/>
            </w:tcBorders>
          </w:tcPr>
          <w:p w:rsidR="00A03D12" w:rsidRPr="00243AB3" w:rsidRDefault="00E14FAE" w:rsidP="00252DA8">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 xml:space="preserve">1576 pacienti, izmaksu pieaugums </w:t>
            </w:r>
            <w:r w:rsidR="00252DA8" w:rsidRPr="00243AB3">
              <w:rPr>
                <w:rFonts w:ascii="Times New Roman" w:eastAsia="Times New Roman" w:hAnsi="Times New Roman" w:cs="Times New Roman"/>
                <w:sz w:val="18"/>
                <w:szCs w:val="18"/>
              </w:rPr>
              <w:t xml:space="preserve">valstij uz 1 pacientu </w:t>
            </w:r>
            <w:r w:rsidRPr="00243AB3">
              <w:rPr>
                <w:rFonts w:ascii="Times New Roman" w:eastAsia="Times New Roman" w:hAnsi="Times New Roman" w:cs="Times New Roman"/>
                <w:sz w:val="18"/>
                <w:szCs w:val="18"/>
              </w:rPr>
              <w:t>pusgadā 38,79 Ls (gadā 77,58 Ls), vidējās izmaksas 155,16 Ls</w:t>
            </w:r>
            <w:r w:rsidR="002D1171" w:rsidRPr="00243AB3">
              <w:rPr>
                <w:rFonts w:ascii="Times New Roman" w:eastAsia="Times New Roman" w:hAnsi="Times New Roman" w:cs="Times New Roman"/>
                <w:sz w:val="18"/>
                <w:szCs w:val="18"/>
              </w:rPr>
              <w:t>.</w:t>
            </w:r>
          </w:p>
        </w:tc>
      </w:tr>
      <w:tr w:rsidR="00AB123D" w:rsidRPr="00243AB3" w:rsidTr="00AB123D">
        <w:trPr>
          <w:trHeight w:val="79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2.3.</w:t>
            </w:r>
          </w:p>
        </w:tc>
        <w:tc>
          <w:tcPr>
            <w:tcW w:w="1984" w:type="dxa"/>
            <w:tcBorders>
              <w:top w:val="nil"/>
              <w:left w:val="nil"/>
              <w:bottom w:val="single" w:sz="4" w:space="0" w:color="auto"/>
              <w:right w:val="single" w:sz="4" w:space="0" w:color="auto"/>
            </w:tcBorders>
            <w:shd w:val="clear" w:color="auto" w:fill="auto"/>
            <w:hideMark/>
          </w:tcPr>
          <w:p w:rsidR="00A03D12" w:rsidRPr="00243AB3" w:rsidRDefault="00A03D12" w:rsidP="0019659C">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 xml:space="preserve">Kompensācijas paplašināšana jau esošām diagnozēm ar esošiem un jauniem materiāliem </w:t>
            </w:r>
          </w:p>
        </w:tc>
        <w:tc>
          <w:tcPr>
            <w:tcW w:w="1985" w:type="dxa"/>
            <w:tcBorders>
              <w:top w:val="nil"/>
              <w:left w:val="nil"/>
              <w:bottom w:val="single" w:sz="4" w:space="0" w:color="auto"/>
              <w:right w:val="single" w:sz="4" w:space="0" w:color="auto"/>
            </w:tcBorders>
            <w:shd w:val="clear" w:color="auto" w:fill="auto"/>
            <w:hideMark/>
          </w:tcPr>
          <w:p w:rsidR="00A03D12" w:rsidRPr="00243AB3" w:rsidRDefault="00A03D12" w:rsidP="00AB123D">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33.03.00 "Kompensējamo medikamentu un materiālu apmaksāšana"</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C1C8B"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463</w:t>
            </w:r>
            <w:r w:rsidR="00A03D12" w:rsidRPr="00243AB3">
              <w:rPr>
                <w:rFonts w:ascii="Times New Roman" w:eastAsia="Times New Roman" w:hAnsi="Times New Roman" w:cs="Times New Roman"/>
                <w:sz w:val="18"/>
                <w:szCs w:val="18"/>
              </w:rPr>
              <w:t xml:space="preserve"> 000</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C1C8B"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926</w:t>
            </w:r>
            <w:r w:rsidR="00DA46F4" w:rsidRPr="00243AB3">
              <w:rPr>
                <w:rFonts w:ascii="Times New Roman" w:eastAsia="Times New Roman" w:hAnsi="Times New Roman" w:cs="Times New Roman"/>
                <w:sz w:val="18"/>
                <w:szCs w:val="18"/>
              </w:rPr>
              <w:t xml:space="preserve"> 000</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C1C8B"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926</w:t>
            </w:r>
            <w:r w:rsidR="00DA46F4" w:rsidRPr="00243AB3">
              <w:rPr>
                <w:rFonts w:ascii="Times New Roman" w:eastAsia="Times New Roman" w:hAnsi="Times New Roman" w:cs="Times New Roman"/>
                <w:sz w:val="18"/>
                <w:szCs w:val="18"/>
              </w:rPr>
              <w:t xml:space="preserve"> 000</w:t>
            </w:r>
          </w:p>
        </w:tc>
        <w:tc>
          <w:tcPr>
            <w:tcW w:w="2883" w:type="dxa"/>
            <w:tcBorders>
              <w:top w:val="nil"/>
              <w:left w:val="nil"/>
              <w:bottom w:val="single" w:sz="4" w:space="0" w:color="auto"/>
              <w:right w:val="single" w:sz="4" w:space="0" w:color="auto"/>
            </w:tcBorders>
          </w:tcPr>
          <w:p w:rsidR="00A03D12" w:rsidRPr="00243AB3" w:rsidRDefault="00F46696" w:rsidP="005E5758">
            <w:pPr>
              <w:spacing w:after="0" w:line="240" w:lineRule="auto"/>
              <w:rPr>
                <w:rFonts w:ascii="Times New Roman" w:eastAsia="Times New Roman" w:hAnsi="Times New Roman" w:cs="Times New Roman"/>
                <w:sz w:val="18"/>
                <w:szCs w:val="18"/>
              </w:rPr>
            </w:pPr>
            <w:r w:rsidRPr="00243AB3">
              <w:rPr>
                <w:rFonts w:ascii="Times New Roman" w:hAnsi="Times New Roman" w:cs="Times New Roman"/>
                <w:sz w:val="18"/>
                <w:szCs w:val="18"/>
              </w:rPr>
              <w:t>Lai palielinātu teststrēmeļu kompensāciju diabēta pacientiem par 25%, papildus nepieciešams Ls 400 000</w:t>
            </w:r>
            <w:proofErr w:type="gramStart"/>
            <w:r w:rsidRPr="00243AB3">
              <w:rPr>
                <w:rFonts w:ascii="Times New Roman" w:hAnsi="Times New Roman" w:cs="Times New Roman"/>
                <w:sz w:val="18"/>
                <w:szCs w:val="18"/>
              </w:rPr>
              <w:t>,</w:t>
            </w:r>
            <w:r w:rsidRPr="00243AB3">
              <w:rPr>
                <w:rFonts w:ascii="Times New Roman" w:hAnsi="Times New Roman" w:cs="Times New Roman"/>
                <w:b/>
                <w:sz w:val="18"/>
                <w:szCs w:val="18"/>
              </w:rPr>
              <w:t xml:space="preserve"> </w:t>
            </w:r>
            <w:r w:rsidRPr="00243AB3">
              <w:rPr>
                <w:rFonts w:ascii="Times New Roman" w:hAnsi="Times New Roman" w:cs="Times New Roman"/>
                <w:sz w:val="18"/>
                <w:szCs w:val="18"/>
              </w:rPr>
              <w:t xml:space="preserve"> lai</w:t>
            </w:r>
            <w:proofErr w:type="gramEnd"/>
            <w:r w:rsidRPr="00243AB3">
              <w:rPr>
                <w:rFonts w:ascii="Times New Roman" w:hAnsi="Times New Roman" w:cs="Times New Roman"/>
                <w:sz w:val="18"/>
                <w:szCs w:val="18"/>
              </w:rPr>
              <w:t xml:space="preserve"> nodrošinātu adatu iegādi insulīna lietotājiem, nepieciešams papildus Ls 246 000, subkutāna infūzijas komplekta nodrošināšana diabēta pacientiem (100 bērniem), gadā uz vienu pacientu – no Ls 2 700 līdz Ls 3 000 (ietilpst insulīna sūkņa vidējās vienreizējās izmaksas apmēram Ls 2 000, rezervuāru, katetru un sensoru vidējās izmaksas no Ls 700-1000.</w:t>
            </w:r>
          </w:p>
        </w:tc>
      </w:tr>
      <w:tr w:rsidR="00AB123D" w:rsidRPr="00243AB3" w:rsidTr="00AB123D">
        <w:trPr>
          <w:trHeight w:val="101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lastRenderedPageBreak/>
              <w:t>2.4.</w:t>
            </w:r>
          </w:p>
        </w:tc>
        <w:tc>
          <w:tcPr>
            <w:tcW w:w="1984" w:type="dxa"/>
            <w:tcBorders>
              <w:top w:val="nil"/>
              <w:left w:val="nil"/>
              <w:bottom w:val="single" w:sz="4" w:space="0" w:color="auto"/>
              <w:right w:val="single" w:sz="4" w:space="0" w:color="auto"/>
            </w:tcBorders>
            <w:shd w:val="clear" w:color="auto" w:fill="auto"/>
            <w:hideMark/>
          </w:tcPr>
          <w:p w:rsidR="00A03D12" w:rsidRPr="00243AB3" w:rsidRDefault="00A03D12" w:rsidP="0019659C">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 xml:space="preserve">C vīrushepatīta kompensācijas apmēra palielināšanai no 75% uz 90% un HIV/AIDS kompensācijas saglabāšana 100%, papildus 70 pacienti </w:t>
            </w:r>
          </w:p>
        </w:tc>
        <w:tc>
          <w:tcPr>
            <w:tcW w:w="1985" w:type="dxa"/>
            <w:tcBorders>
              <w:top w:val="nil"/>
              <w:left w:val="nil"/>
              <w:bottom w:val="single" w:sz="4" w:space="0" w:color="auto"/>
              <w:right w:val="single" w:sz="4" w:space="0" w:color="auto"/>
            </w:tcBorders>
            <w:shd w:val="clear" w:color="auto" w:fill="auto"/>
            <w:hideMark/>
          </w:tcPr>
          <w:p w:rsidR="00A03D12" w:rsidRPr="00243AB3" w:rsidRDefault="00A03D12" w:rsidP="00AB123D">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33.03.00 "Kompensējamo medikamentu un materiālu apmaksāšana"</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28089E">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1</w:t>
            </w:r>
            <w:r w:rsidR="0028089E">
              <w:rPr>
                <w:rFonts w:ascii="Times New Roman" w:eastAsia="Times New Roman" w:hAnsi="Times New Roman" w:cs="Times New Roman"/>
                <w:sz w:val="18"/>
                <w:szCs w:val="18"/>
              </w:rPr>
              <w:t> </w:t>
            </w:r>
            <w:r w:rsidRPr="00243AB3">
              <w:rPr>
                <w:rFonts w:ascii="Times New Roman" w:eastAsia="Times New Roman" w:hAnsi="Times New Roman" w:cs="Times New Roman"/>
                <w:sz w:val="18"/>
                <w:szCs w:val="18"/>
              </w:rPr>
              <w:t>6</w:t>
            </w:r>
            <w:r w:rsidR="0028089E">
              <w:rPr>
                <w:rFonts w:ascii="Times New Roman" w:eastAsia="Times New Roman" w:hAnsi="Times New Roman" w:cs="Times New Roman"/>
                <w:sz w:val="18"/>
                <w:szCs w:val="18"/>
              </w:rPr>
              <w:t>47 255</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3 407 760</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3 521 010</w:t>
            </w:r>
          </w:p>
        </w:tc>
        <w:tc>
          <w:tcPr>
            <w:tcW w:w="2883" w:type="dxa"/>
            <w:tcBorders>
              <w:top w:val="nil"/>
              <w:left w:val="nil"/>
              <w:bottom w:val="single" w:sz="4" w:space="0" w:color="auto"/>
              <w:right w:val="single" w:sz="4" w:space="0" w:color="auto"/>
            </w:tcBorders>
          </w:tcPr>
          <w:p w:rsidR="00A03D12" w:rsidRPr="000C07E7" w:rsidRDefault="002D1171" w:rsidP="000C07E7">
            <w:pPr>
              <w:spacing w:after="0" w:line="240" w:lineRule="auto"/>
              <w:rPr>
                <w:rFonts w:ascii="Times New Roman" w:eastAsia="Times New Roman" w:hAnsi="Times New Roman" w:cs="Times New Roman"/>
                <w:sz w:val="18"/>
                <w:szCs w:val="18"/>
              </w:rPr>
            </w:pPr>
            <w:r w:rsidRPr="000C07E7">
              <w:rPr>
                <w:rFonts w:ascii="Times New Roman" w:eastAsia="Times New Roman" w:hAnsi="Times New Roman" w:cs="Times New Roman"/>
                <w:sz w:val="18"/>
                <w:szCs w:val="18"/>
              </w:rPr>
              <w:t>C vīrushepatīta kompensācija</w:t>
            </w:r>
            <w:r w:rsidR="00E14FAE" w:rsidRPr="000C07E7">
              <w:rPr>
                <w:rFonts w:ascii="Times New Roman" w:eastAsia="Times New Roman" w:hAnsi="Times New Roman" w:cs="Times New Roman"/>
                <w:sz w:val="18"/>
                <w:szCs w:val="18"/>
              </w:rPr>
              <w:t xml:space="preserve"> 1300 </w:t>
            </w:r>
            <w:r w:rsidR="00EA34A3" w:rsidRPr="000C07E7">
              <w:rPr>
                <w:rFonts w:ascii="Times New Roman" w:eastAsia="Times New Roman" w:hAnsi="Times New Roman" w:cs="Times New Roman"/>
                <w:sz w:val="18"/>
                <w:szCs w:val="18"/>
              </w:rPr>
              <w:t>ja</w:t>
            </w:r>
            <w:r w:rsidR="006A6CCF" w:rsidRPr="000C07E7">
              <w:rPr>
                <w:rFonts w:ascii="Times New Roman" w:eastAsia="Times New Roman" w:hAnsi="Times New Roman" w:cs="Times New Roman"/>
                <w:sz w:val="18"/>
                <w:szCs w:val="18"/>
              </w:rPr>
              <w:t>u</w:t>
            </w:r>
            <w:r w:rsidR="00EA34A3" w:rsidRPr="000C07E7">
              <w:rPr>
                <w:rFonts w:ascii="Times New Roman" w:eastAsia="Times New Roman" w:hAnsi="Times New Roman" w:cs="Times New Roman"/>
                <w:sz w:val="18"/>
                <w:szCs w:val="18"/>
              </w:rPr>
              <w:t>niem</w:t>
            </w:r>
            <w:r w:rsidR="00E14FAE" w:rsidRPr="000C07E7">
              <w:rPr>
                <w:rFonts w:ascii="Times New Roman" w:eastAsia="Times New Roman" w:hAnsi="Times New Roman" w:cs="Times New Roman"/>
                <w:sz w:val="18"/>
                <w:szCs w:val="18"/>
              </w:rPr>
              <w:t xml:space="preserve"> pacienti</w:t>
            </w:r>
            <w:r w:rsidR="00EA34A3" w:rsidRPr="000C07E7">
              <w:rPr>
                <w:rFonts w:ascii="Times New Roman" w:eastAsia="Times New Roman" w:hAnsi="Times New Roman" w:cs="Times New Roman"/>
                <w:sz w:val="18"/>
                <w:szCs w:val="18"/>
              </w:rPr>
              <w:t>em</w:t>
            </w:r>
            <w:r w:rsidR="00E14FAE" w:rsidRPr="000C07E7">
              <w:rPr>
                <w:rFonts w:ascii="Times New Roman" w:eastAsia="Times New Roman" w:hAnsi="Times New Roman" w:cs="Times New Roman"/>
                <w:sz w:val="18"/>
                <w:szCs w:val="18"/>
              </w:rPr>
              <w:t xml:space="preserve">, vidējās izmaksas pusgadā 1935 Ls (gadā 3870 Ls), 70 papildus HIV inficēti pacienti, izmaksas pusgadā </w:t>
            </w:r>
            <w:r w:rsidR="000C07E7" w:rsidRPr="000C07E7">
              <w:rPr>
                <w:rFonts w:ascii="Times New Roman" w:eastAsia="Times New Roman" w:hAnsi="Times New Roman" w:cs="Times New Roman"/>
                <w:sz w:val="18"/>
                <w:szCs w:val="18"/>
              </w:rPr>
              <w:t>1887,50</w:t>
            </w:r>
            <w:r w:rsidR="00D04D8E" w:rsidRPr="000C07E7">
              <w:rPr>
                <w:rFonts w:ascii="Times New Roman" w:eastAsia="Times New Roman" w:hAnsi="Times New Roman" w:cs="Times New Roman"/>
                <w:sz w:val="18"/>
                <w:szCs w:val="18"/>
              </w:rPr>
              <w:t xml:space="preserve"> (gadā izmaksas </w:t>
            </w:r>
            <w:r w:rsidR="000C07E7" w:rsidRPr="000C07E7">
              <w:rPr>
                <w:rFonts w:ascii="Times New Roman" w:eastAsia="Times New Roman" w:hAnsi="Times New Roman" w:cs="Times New Roman"/>
                <w:sz w:val="18"/>
                <w:szCs w:val="18"/>
              </w:rPr>
              <w:t>3775</w:t>
            </w:r>
            <w:r w:rsidR="00D04D8E" w:rsidRPr="000C07E7">
              <w:rPr>
                <w:rFonts w:ascii="Times New Roman" w:eastAsia="Times New Roman" w:hAnsi="Times New Roman" w:cs="Times New Roman"/>
                <w:sz w:val="18"/>
                <w:szCs w:val="18"/>
              </w:rPr>
              <w:t xml:space="preserve"> Ls)</w:t>
            </w:r>
            <w:r w:rsidRPr="000C07E7">
              <w:rPr>
                <w:rFonts w:ascii="Times New Roman" w:eastAsia="Times New Roman" w:hAnsi="Times New Roman" w:cs="Times New Roman"/>
                <w:sz w:val="18"/>
                <w:szCs w:val="18"/>
              </w:rPr>
              <w:t>. 2014</w:t>
            </w:r>
            <w:proofErr w:type="gramStart"/>
            <w:r w:rsidRPr="000C07E7">
              <w:rPr>
                <w:rFonts w:ascii="Times New Roman" w:eastAsia="Times New Roman" w:hAnsi="Times New Roman" w:cs="Times New Roman"/>
                <w:sz w:val="18"/>
                <w:szCs w:val="18"/>
              </w:rPr>
              <w:t>.gadā</w:t>
            </w:r>
            <w:proofErr w:type="gramEnd"/>
            <w:r w:rsidRPr="000C07E7">
              <w:rPr>
                <w:rFonts w:ascii="Times New Roman" w:eastAsia="Times New Roman" w:hAnsi="Times New Roman" w:cs="Times New Roman"/>
                <w:sz w:val="18"/>
                <w:szCs w:val="18"/>
              </w:rPr>
              <w:t xml:space="preserve"> </w:t>
            </w:r>
            <w:r w:rsidR="001A6226">
              <w:rPr>
                <w:rFonts w:ascii="Times New Roman" w:eastAsia="Times New Roman" w:hAnsi="Times New Roman" w:cs="Times New Roman"/>
                <w:sz w:val="18"/>
                <w:szCs w:val="18"/>
              </w:rPr>
              <w:t>plānoti 100 pacienti,</w:t>
            </w:r>
            <w:r w:rsidRPr="000C07E7">
              <w:rPr>
                <w:rFonts w:ascii="Times New Roman" w:eastAsia="Times New Roman" w:hAnsi="Times New Roman" w:cs="Times New Roman"/>
                <w:sz w:val="18"/>
                <w:szCs w:val="18"/>
              </w:rPr>
              <w:t xml:space="preserve"> 2015.gadā </w:t>
            </w:r>
            <w:r w:rsidR="003F7811" w:rsidRPr="000C07E7">
              <w:rPr>
                <w:rFonts w:ascii="Times New Roman" w:eastAsia="Times New Roman" w:hAnsi="Times New Roman" w:cs="Times New Roman"/>
                <w:sz w:val="18"/>
                <w:szCs w:val="18"/>
              </w:rPr>
              <w:t xml:space="preserve">plānoti </w:t>
            </w:r>
            <w:r w:rsidR="001A6226">
              <w:rPr>
                <w:rFonts w:ascii="Times New Roman" w:eastAsia="Times New Roman" w:hAnsi="Times New Roman" w:cs="Times New Roman"/>
                <w:sz w:val="18"/>
                <w:szCs w:val="18"/>
              </w:rPr>
              <w:t>130</w:t>
            </w:r>
            <w:r w:rsidRPr="000C07E7">
              <w:rPr>
                <w:rFonts w:ascii="Times New Roman" w:eastAsia="Times New Roman" w:hAnsi="Times New Roman" w:cs="Times New Roman"/>
                <w:sz w:val="18"/>
                <w:szCs w:val="18"/>
              </w:rPr>
              <w:t xml:space="preserve"> HIV inficēti pacienti.</w:t>
            </w:r>
            <w:r w:rsidR="00E14FAE" w:rsidRPr="000C07E7">
              <w:rPr>
                <w:rFonts w:ascii="Times New Roman" w:eastAsia="Times New Roman" w:hAnsi="Times New Roman" w:cs="Times New Roman"/>
                <w:sz w:val="18"/>
                <w:szCs w:val="18"/>
              </w:rPr>
              <w:t xml:space="preserve"> </w:t>
            </w:r>
          </w:p>
        </w:tc>
      </w:tr>
      <w:tr w:rsidR="00AB123D" w:rsidRPr="00243AB3" w:rsidTr="00961721">
        <w:trPr>
          <w:trHeight w:val="101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074052" w:rsidP="0019659C">
            <w:pPr>
              <w:spacing w:after="0" w:line="240" w:lineRule="auto"/>
              <w:jc w:val="center"/>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3</w:t>
            </w:r>
            <w:r w:rsidR="00A03D12" w:rsidRPr="00243AB3">
              <w:rPr>
                <w:rFonts w:ascii="Times New Roman" w:eastAsia="Times New Roman" w:hAnsi="Times New Roman" w:cs="Times New Roman"/>
                <w:b/>
                <w:bCs/>
                <w:sz w:val="18"/>
                <w:szCs w:val="18"/>
              </w:rPr>
              <w:t>.</w:t>
            </w:r>
          </w:p>
        </w:tc>
        <w:tc>
          <w:tcPr>
            <w:tcW w:w="1984" w:type="dxa"/>
            <w:tcBorders>
              <w:top w:val="nil"/>
              <w:left w:val="nil"/>
              <w:bottom w:val="single" w:sz="4" w:space="0" w:color="auto"/>
              <w:right w:val="single" w:sz="4" w:space="0" w:color="auto"/>
            </w:tcBorders>
            <w:shd w:val="clear" w:color="auto" w:fill="auto"/>
            <w:hideMark/>
          </w:tcPr>
          <w:p w:rsidR="00A03D12" w:rsidRPr="00243AB3" w:rsidRDefault="00A03D12" w:rsidP="0019659C">
            <w:pPr>
              <w:spacing w:after="0" w:line="240" w:lineRule="auto"/>
              <w:jc w:val="both"/>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Ārstniecības personu darba samaksas izlīdzināšanai un pieauguma nodrošināšanai 17% apmērā un attīstības izdevumu pieaugumu</w:t>
            </w:r>
          </w:p>
        </w:tc>
        <w:tc>
          <w:tcPr>
            <w:tcW w:w="1985" w:type="dxa"/>
            <w:tcBorders>
              <w:top w:val="nil"/>
              <w:left w:val="nil"/>
              <w:bottom w:val="single" w:sz="4" w:space="0" w:color="auto"/>
              <w:right w:val="single" w:sz="4" w:space="0" w:color="auto"/>
            </w:tcBorders>
            <w:shd w:val="clear" w:color="auto" w:fill="auto"/>
            <w:hideMark/>
          </w:tcPr>
          <w:p w:rsidR="00A03D12" w:rsidRPr="00243AB3" w:rsidRDefault="00A03D12" w:rsidP="00AB123D">
            <w:pPr>
              <w:spacing w:after="0" w:line="240" w:lineRule="auto"/>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b/>
                <w:bCs/>
                <w:i/>
                <w:iCs/>
                <w:sz w:val="18"/>
                <w:szCs w:val="18"/>
              </w:rPr>
            </w:pPr>
            <w:r w:rsidRPr="00243AB3">
              <w:rPr>
                <w:rFonts w:ascii="Times New Roman" w:eastAsia="Times New Roman" w:hAnsi="Times New Roman" w:cs="Times New Roman"/>
                <w:b/>
                <w:bCs/>
                <w:i/>
                <w:iCs/>
                <w:sz w:val="18"/>
                <w:szCs w:val="18"/>
              </w:rPr>
              <w:t>11 745 875</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b/>
                <w:bCs/>
                <w:i/>
                <w:iCs/>
                <w:sz w:val="18"/>
                <w:szCs w:val="18"/>
              </w:rPr>
            </w:pPr>
            <w:r w:rsidRPr="00243AB3">
              <w:rPr>
                <w:rFonts w:ascii="Times New Roman" w:eastAsia="Times New Roman" w:hAnsi="Times New Roman" w:cs="Times New Roman"/>
                <w:b/>
                <w:bCs/>
                <w:i/>
                <w:iCs/>
                <w:sz w:val="18"/>
                <w:szCs w:val="18"/>
              </w:rPr>
              <w:t>23 491 749</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b/>
                <w:bCs/>
                <w:i/>
                <w:iCs/>
                <w:sz w:val="18"/>
                <w:szCs w:val="18"/>
              </w:rPr>
            </w:pPr>
            <w:r w:rsidRPr="00243AB3">
              <w:rPr>
                <w:rFonts w:ascii="Times New Roman" w:eastAsia="Times New Roman" w:hAnsi="Times New Roman" w:cs="Times New Roman"/>
                <w:b/>
                <w:bCs/>
                <w:i/>
                <w:iCs/>
                <w:sz w:val="18"/>
                <w:szCs w:val="18"/>
              </w:rPr>
              <w:t>23 491 749</w:t>
            </w:r>
          </w:p>
        </w:tc>
        <w:tc>
          <w:tcPr>
            <w:tcW w:w="2883" w:type="dxa"/>
            <w:tcBorders>
              <w:top w:val="nil"/>
              <w:left w:val="nil"/>
              <w:bottom w:val="single" w:sz="4" w:space="0" w:color="auto"/>
              <w:right w:val="single" w:sz="4" w:space="0" w:color="auto"/>
            </w:tcBorders>
            <w:vAlign w:val="center"/>
          </w:tcPr>
          <w:p w:rsidR="00A03D12" w:rsidRPr="00243AB3" w:rsidRDefault="00D04D8E" w:rsidP="00961721">
            <w:pPr>
              <w:spacing w:after="0" w:line="240" w:lineRule="auto"/>
              <w:jc w:val="center"/>
              <w:rPr>
                <w:rFonts w:ascii="Times New Roman" w:eastAsia="Times New Roman" w:hAnsi="Times New Roman" w:cs="Times New Roman"/>
                <w:b/>
                <w:bCs/>
                <w:i/>
                <w:iCs/>
                <w:sz w:val="18"/>
                <w:szCs w:val="18"/>
              </w:rPr>
            </w:pPr>
            <w:r w:rsidRPr="00243AB3">
              <w:rPr>
                <w:rFonts w:ascii="Times New Roman" w:eastAsia="Times New Roman" w:hAnsi="Times New Roman" w:cs="Times New Roman"/>
                <w:b/>
                <w:bCs/>
                <w:i/>
                <w:iCs/>
                <w:sz w:val="18"/>
                <w:szCs w:val="18"/>
              </w:rPr>
              <w:t>-</w:t>
            </w:r>
          </w:p>
        </w:tc>
      </w:tr>
      <w:tr w:rsidR="00AB123D" w:rsidRPr="00243AB3" w:rsidTr="00AB123D">
        <w:trPr>
          <w:trHeight w:val="253"/>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07405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w:t>
            </w:r>
            <w:r w:rsidR="00A03D12" w:rsidRPr="00243AB3">
              <w:rPr>
                <w:rFonts w:ascii="Times New Roman" w:eastAsia="Times New Roman" w:hAnsi="Times New Roman" w:cs="Times New Roman"/>
                <w:sz w:val="18"/>
                <w:szCs w:val="18"/>
              </w:rPr>
              <w:t>.1.</w:t>
            </w:r>
          </w:p>
        </w:tc>
        <w:tc>
          <w:tcPr>
            <w:tcW w:w="1984" w:type="dxa"/>
            <w:tcBorders>
              <w:top w:val="nil"/>
              <w:left w:val="nil"/>
              <w:bottom w:val="single" w:sz="4" w:space="0" w:color="auto"/>
              <w:right w:val="single" w:sz="4" w:space="0" w:color="auto"/>
            </w:tcBorders>
            <w:shd w:val="clear" w:color="auto" w:fill="auto"/>
            <w:hideMark/>
          </w:tcPr>
          <w:p w:rsidR="00A03D12" w:rsidRPr="00243AB3" w:rsidRDefault="00A03D1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budžeta iestādēm</w:t>
            </w:r>
          </w:p>
        </w:tc>
        <w:tc>
          <w:tcPr>
            <w:tcW w:w="1985" w:type="dxa"/>
            <w:tcBorders>
              <w:top w:val="nil"/>
              <w:left w:val="nil"/>
              <w:bottom w:val="single" w:sz="4" w:space="0" w:color="auto"/>
              <w:right w:val="single" w:sz="4" w:space="0" w:color="auto"/>
            </w:tcBorders>
            <w:shd w:val="clear" w:color="auto" w:fill="auto"/>
            <w:hideMark/>
          </w:tcPr>
          <w:p w:rsidR="00A03D12" w:rsidRPr="00243AB3" w:rsidRDefault="00E25034" w:rsidP="00AB123D">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39.00.00 “Specializētās veselības aprūpes nodrošināšana”</w:t>
            </w:r>
            <w:r w:rsidR="00A03D12" w:rsidRPr="00243AB3">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1 304 912</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2 609 823</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2 609 823</w:t>
            </w:r>
          </w:p>
        </w:tc>
        <w:tc>
          <w:tcPr>
            <w:tcW w:w="2883" w:type="dxa"/>
            <w:tcBorders>
              <w:top w:val="nil"/>
              <w:left w:val="nil"/>
              <w:bottom w:val="single" w:sz="4" w:space="0" w:color="auto"/>
              <w:right w:val="single" w:sz="4" w:space="0" w:color="auto"/>
            </w:tcBorders>
            <w:vAlign w:val="center"/>
          </w:tcPr>
          <w:p w:rsidR="00A03D12" w:rsidRPr="00243AB3" w:rsidRDefault="00EA34A3" w:rsidP="00252DA8">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Darba samaksas pieaugumam par 10%</w:t>
            </w:r>
          </w:p>
        </w:tc>
      </w:tr>
      <w:tr w:rsidR="00AB123D" w:rsidRPr="00243AB3" w:rsidTr="00AB123D">
        <w:trPr>
          <w:trHeight w:val="80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07405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w:t>
            </w:r>
            <w:r w:rsidR="00A03D12" w:rsidRPr="00243AB3">
              <w:rPr>
                <w:rFonts w:ascii="Times New Roman" w:eastAsia="Times New Roman" w:hAnsi="Times New Roman" w:cs="Times New Roman"/>
                <w:sz w:val="18"/>
                <w:szCs w:val="18"/>
              </w:rPr>
              <w:t>.2.</w:t>
            </w:r>
          </w:p>
        </w:tc>
        <w:tc>
          <w:tcPr>
            <w:tcW w:w="1984" w:type="dxa"/>
            <w:tcBorders>
              <w:top w:val="nil"/>
              <w:left w:val="nil"/>
              <w:bottom w:val="single" w:sz="4" w:space="0" w:color="auto"/>
              <w:right w:val="single" w:sz="4" w:space="0" w:color="auto"/>
            </w:tcBorders>
            <w:shd w:val="clear" w:color="auto" w:fill="auto"/>
            <w:hideMark/>
          </w:tcPr>
          <w:p w:rsidR="00A03D12" w:rsidRPr="00243AB3" w:rsidRDefault="00A03D1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kapitālsabiedrībām un pārējām līgumorganizācijām, kas sniedz valsts pakalpojumus</w:t>
            </w:r>
          </w:p>
        </w:tc>
        <w:tc>
          <w:tcPr>
            <w:tcW w:w="1985" w:type="dxa"/>
            <w:tcBorders>
              <w:top w:val="nil"/>
              <w:left w:val="nil"/>
              <w:bottom w:val="single" w:sz="4" w:space="0" w:color="auto"/>
              <w:right w:val="single" w:sz="4" w:space="0" w:color="auto"/>
            </w:tcBorders>
            <w:shd w:val="clear" w:color="auto" w:fill="auto"/>
            <w:hideMark/>
          </w:tcPr>
          <w:p w:rsidR="00A03D12" w:rsidRPr="00243AB3" w:rsidRDefault="00E25034" w:rsidP="00AB123D">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33.01.00 "Ārstniecība"</w:t>
            </w:r>
            <w:r w:rsidR="00A03D12" w:rsidRPr="00243AB3">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10 440 963</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20 881 926</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20 881 926</w:t>
            </w:r>
          </w:p>
        </w:tc>
        <w:tc>
          <w:tcPr>
            <w:tcW w:w="2883" w:type="dxa"/>
            <w:tcBorders>
              <w:top w:val="nil"/>
              <w:left w:val="nil"/>
              <w:bottom w:val="single" w:sz="4" w:space="0" w:color="auto"/>
              <w:right w:val="single" w:sz="4" w:space="0" w:color="auto"/>
            </w:tcBorders>
            <w:vAlign w:val="center"/>
          </w:tcPr>
          <w:p w:rsidR="00A03D12" w:rsidRPr="00243AB3" w:rsidRDefault="00EA34A3" w:rsidP="00252DA8">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 xml:space="preserve">Darba samaksas pieaugumam par 17% (ārstiem – no 524 Ls uz 613 Ls, </w:t>
            </w:r>
            <w:r w:rsidRPr="00243AB3">
              <w:rPr>
                <w:rFonts w:ascii="Times New Roman" w:hAnsi="Times New Roman" w:cs="Times New Roman"/>
                <w:sz w:val="18"/>
                <w:szCs w:val="18"/>
                <w:lang w:val="lv-LV"/>
              </w:rPr>
              <w:t>ārstniecības un pacientu aprūpes personām</w:t>
            </w:r>
            <w:r w:rsidRPr="00243AB3">
              <w:rPr>
                <w:rFonts w:ascii="Times New Roman" w:eastAsia="Times New Roman" w:hAnsi="Times New Roman" w:cs="Times New Roman"/>
                <w:sz w:val="18"/>
                <w:szCs w:val="18"/>
              </w:rPr>
              <w:t xml:space="preserve"> no 314 Ls uz 367 Ls, </w:t>
            </w:r>
            <w:r w:rsidRPr="00243AB3">
              <w:rPr>
                <w:rFonts w:ascii="Times New Roman" w:hAnsi="Times New Roman" w:cs="Times New Roman"/>
                <w:sz w:val="18"/>
                <w:szCs w:val="18"/>
                <w:lang w:val="lv-LV"/>
              </w:rPr>
              <w:t>ārstniecības un pacientu aprūpes atbalsta personām</w:t>
            </w:r>
            <w:r w:rsidRPr="00243AB3">
              <w:rPr>
                <w:rFonts w:ascii="Times New Roman" w:eastAsia="Times New Roman" w:hAnsi="Times New Roman" w:cs="Times New Roman"/>
                <w:sz w:val="18"/>
                <w:szCs w:val="18"/>
              </w:rPr>
              <w:t xml:space="preserve"> no 210 Ls uz 246 Ls)</w:t>
            </w:r>
          </w:p>
        </w:tc>
      </w:tr>
      <w:tr w:rsidR="00AB123D" w:rsidRPr="00243AB3" w:rsidTr="00AB123D">
        <w:trPr>
          <w:trHeight w:val="80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74052" w:rsidRPr="00243AB3" w:rsidRDefault="00074052" w:rsidP="0019659C">
            <w:pPr>
              <w:spacing w:after="0" w:line="240" w:lineRule="auto"/>
              <w:jc w:val="right"/>
              <w:rPr>
                <w:rFonts w:ascii="Times New Roman" w:eastAsia="Times New Roman" w:hAnsi="Times New Roman" w:cs="Times New Roman"/>
                <w:b/>
                <w:sz w:val="18"/>
                <w:szCs w:val="18"/>
              </w:rPr>
            </w:pPr>
            <w:r w:rsidRPr="00243AB3">
              <w:rPr>
                <w:rFonts w:ascii="Times New Roman" w:eastAsia="Times New Roman" w:hAnsi="Times New Roman" w:cs="Times New Roman"/>
                <w:b/>
                <w:sz w:val="18"/>
                <w:szCs w:val="18"/>
              </w:rPr>
              <w:t>4.</w:t>
            </w:r>
          </w:p>
        </w:tc>
        <w:tc>
          <w:tcPr>
            <w:tcW w:w="1984" w:type="dxa"/>
            <w:tcBorders>
              <w:top w:val="nil"/>
              <w:left w:val="nil"/>
              <w:bottom w:val="single" w:sz="4" w:space="0" w:color="auto"/>
              <w:right w:val="single" w:sz="4" w:space="0" w:color="auto"/>
            </w:tcBorders>
            <w:shd w:val="clear" w:color="auto" w:fill="auto"/>
            <w:hideMark/>
          </w:tcPr>
          <w:p w:rsidR="00074052" w:rsidRPr="00243AB3" w:rsidRDefault="00074052" w:rsidP="00252DA8">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Tarifu palielinājumam U,N,A (pieskaitāmie izdevumi, amortizācijas izdevumi, administratīvie izdevumi) ārstniecības iestādēm</w:t>
            </w:r>
          </w:p>
        </w:tc>
        <w:tc>
          <w:tcPr>
            <w:tcW w:w="1985" w:type="dxa"/>
            <w:tcBorders>
              <w:top w:val="nil"/>
              <w:left w:val="nil"/>
              <w:bottom w:val="single" w:sz="4" w:space="0" w:color="auto"/>
              <w:right w:val="single" w:sz="4" w:space="0" w:color="auto"/>
            </w:tcBorders>
            <w:shd w:val="clear" w:color="auto" w:fill="auto"/>
            <w:hideMark/>
          </w:tcPr>
          <w:p w:rsidR="00074052" w:rsidRPr="00243AB3" w:rsidRDefault="00961721" w:rsidP="00AB123D">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33.01.00 "Ā</w:t>
            </w:r>
            <w:r w:rsidR="00074052" w:rsidRPr="00243AB3">
              <w:rPr>
                <w:rFonts w:ascii="Times New Roman" w:eastAsia="Times New Roman" w:hAnsi="Times New Roman" w:cs="Times New Roman"/>
                <w:sz w:val="18"/>
                <w:szCs w:val="18"/>
              </w:rPr>
              <w:t>rstniecība"</w:t>
            </w:r>
          </w:p>
        </w:tc>
        <w:tc>
          <w:tcPr>
            <w:tcW w:w="1134" w:type="dxa"/>
            <w:tcBorders>
              <w:top w:val="nil"/>
              <w:left w:val="nil"/>
              <w:bottom w:val="single" w:sz="4" w:space="0" w:color="auto"/>
              <w:right w:val="single" w:sz="4" w:space="0" w:color="auto"/>
            </w:tcBorders>
            <w:shd w:val="clear" w:color="auto" w:fill="auto"/>
            <w:noWrap/>
            <w:vAlign w:val="center"/>
            <w:hideMark/>
          </w:tcPr>
          <w:p w:rsidR="00074052" w:rsidRPr="00243AB3" w:rsidRDefault="00074052" w:rsidP="00252DA8">
            <w:pPr>
              <w:spacing w:after="0" w:line="240" w:lineRule="auto"/>
              <w:jc w:val="center"/>
              <w:rPr>
                <w:rFonts w:ascii="Times New Roman" w:eastAsia="Times New Roman" w:hAnsi="Times New Roman" w:cs="Times New Roman"/>
                <w:b/>
                <w:i/>
                <w:sz w:val="18"/>
                <w:szCs w:val="18"/>
              </w:rPr>
            </w:pPr>
            <w:r w:rsidRPr="00243AB3">
              <w:rPr>
                <w:rFonts w:ascii="Times New Roman" w:eastAsia="Times New Roman" w:hAnsi="Times New Roman" w:cs="Times New Roman"/>
                <w:b/>
                <w:i/>
                <w:sz w:val="18"/>
                <w:szCs w:val="18"/>
              </w:rPr>
              <w:t>3 992 060</w:t>
            </w:r>
          </w:p>
        </w:tc>
        <w:tc>
          <w:tcPr>
            <w:tcW w:w="1134" w:type="dxa"/>
            <w:tcBorders>
              <w:top w:val="nil"/>
              <w:left w:val="nil"/>
              <w:bottom w:val="single" w:sz="4" w:space="0" w:color="auto"/>
              <w:right w:val="single" w:sz="4" w:space="0" w:color="auto"/>
            </w:tcBorders>
            <w:shd w:val="clear" w:color="auto" w:fill="auto"/>
            <w:noWrap/>
            <w:vAlign w:val="center"/>
            <w:hideMark/>
          </w:tcPr>
          <w:p w:rsidR="00074052" w:rsidRPr="00243AB3" w:rsidRDefault="00074052" w:rsidP="00252DA8">
            <w:pPr>
              <w:spacing w:after="0" w:line="240" w:lineRule="auto"/>
              <w:jc w:val="center"/>
              <w:rPr>
                <w:rFonts w:ascii="Times New Roman" w:eastAsia="Times New Roman" w:hAnsi="Times New Roman" w:cs="Times New Roman"/>
                <w:b/>
                <w:i/>
                <w:sz w:val="18"/>
                <w:szCs w:val="18"/>
              </w:rPr>
            </w:pPr>
            <w:r w:rsidRPr="00243AB3">
              <w:rPr>
                <w:rFonts w:ascii="Times New Roman" w:eastAsia="Times New Roman" w:hAnsi="Times New Roman" w:cs="Times New Roman"/>
                <w:b/>
                <w:i/>
                <w:sz w:val="18"/>
                <w:szCs w:val="18"/>
              </w:rPr>
              <w:t>7 984 120</w:t>
            </w:r>
          </w:p>
        </w:tc>
        <w:tc>
          <w:tcPr>
            <w:tcW w:w="1134" w:type="dxa"/>
            <w:tcBorders>
              <w:top w:val="nil"/>
              <w:left w:val="nil"/>
              <w:bottom w:val="single" w:sz="4" w:space="0" w:color="auto"/>
              <w:right w:val="single" w:sz="4" w:space="0" w:color="auto"/>
            </w:tcBorders>
            <w:shd w:val="clear" w:color="auto" w:fill="auto"/>
            <w:noWrap/>
            <w:vAlign w:val="center"/>
            <w:hideMark/>
          </w:tcPr>
          <w:p w:rsidR="00074052" w:rsidRPr="00243AB3" w:rsidRDefault="00074052" w:rsidP="00252DA8">
            <w:pPr>
              <w:spacing w:after="0" w:line="240" w:lineRule="auto"/>
              <w:jc w:val="center"/>
              <w:rPr>
                <w:rFonts w:ascii="Times New Roman" w:eastAsia="Times New Roman" w:hAnsi="Times New Roman" w:cs="Times New Roman"/>
                <w:b/>
                <w:i/>
                <w:sz w:val="18"/>
                <w:szCs w:val="18"/>
              </w:rPr>
            </w:pPr>
            <w:r w:rsidRPr="00243AB3">
              <w:rPr>
                <w:rFonts w:ascii="Times New Roman" w:eastAsia="Times New Roman" w:hAnsi="Times New Roman" w:cs="Times New Roman"/>
                <w:b/>
                <w:i/>
                <w:sz w:val="18"/>
                <w:szCs w:val="18"/>
              </w:rPr>
              <w:t>7 984 120</w:t>
            </w:r>
          </w:p>
        </w:tc>
        <w:tc>
          <w:tcPr>
            <w:tcW w:w="2883" w:type="dxa"/>
            <w:tcBorders>
              <w:top w:val="nil"/>
              <w:left w:val="nil"/>
              <w:bottom w:val="single" w:sz="4" w:space="0" w:color="auto"/>
              <w:right w:val="single" w:sz="4" w:space="0" w:color="auto"/>
            </w:tcBorders>
            <w:vAlign w:val="center"/>
          </w:tcPr>
          <w:p w:rsidR="00074052" w:rsidRPr="00243AB3" w:rsidRDefault="009A6A00" w:rsidP="00252DA8">
            <w:pPr>
              <w:spacing w:after="0" w:line="240" w:lineRule="auto"/>
              <w:rPr>
                <w:rFonts w:ascii="Times New Roman" w:eastAsia="Times New Roman" w:hAnsi="Times New Roman" w:cs="Times New Roman"/>
                <w:sz w:val="18"/>
                <w:szCs w:val="18"/>
              </w:rPr>
            </w:pPr>
            <w:r w:rsidRPr="00243AB3">
              <w:rPr>
                <w:rFonts w:ascii="Times New Roman" w:hAnsi="Times New Roman" w:cs="Times New Roman"/>
                <w:sz w:val="18"/>
                <w:szCs w:val="18"/>
              </w:rPr>
              <w:t>Veselības aprūpes pakalpojumu tarifos pastāvīgo izmaksu elementu koeficienti tiek palielināti N – amortizācijā (Np – ēku, būvju un pārējo pamatlīdzekļu nolietojums) no 0.097 uz 0.1105, U - pieskaitāmās un netiešās ražošanas izmaksās (ar pacientu uzturēšanu saistītie izdevumi pakalpojumu apmaksai, materiālu, energoresursu, ūdens un inventāra iegādei) no 0.315 uz 0.3919 un A – administratīviem izdevumiem no 0.055 līdz 0.0711, lai tuvinātu faktiskām pakalpojumu izmaksām.</w:t>
            </w:r>
          </w:p>
        </w:tc>
      </w:tr>
      <w:tr w:rsidR="00AB123D" w:rsidRPr="00243AB3" w:rsidTr="00AB123D">
        <w:trPr>
          <w:trHeight w:val="1073"/>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03D12" w:rsidRPr="00243AB3" w:rsidRDefault="00A03D12" w:rsidP="0019659C">
            <w:pPr>
              <w:spacing w:after="0" w:line="240" w:lineRule="auto"/>
              <w:jc w:val="center"/>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5.</w:t>
            </w:r>
          </w:p>
        </w:tc>
        <w:tc>
          <w:tcPr>
            <w:tcW w:w="1984" w:type="dxa"/>
            <w:tcBorders>
              <w:top w:val="nil"/>
              <w:left w:val="nil"/>
              <w:bottom w:val="single" w:sz="4" w:space="0" w:color="auto"/>
              <w:right w:val="single" w:sz="4" w:space="0" w:color="auto"/>
            </w:tcBorders>
            <w:shd w:val="clear" w:color="auto" w:fill="auto"/>
            <w:hideMark/>
          </w:tcPr>
          <w:p w:rsidR="00A03D12" w:rsidRPr="00243AB3" w:rsidRDefault="00A03D12" w:rsidP="0019659C">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NMPD siltumenerģijas, elektroenerģijas izdevumu pieaugumam,degvielas iegādes deficīta segšanai, remontmateriāliem, darba apavu iegādei</w:t>
            </w:r>
          </w:p>
        </w:tc>
        <w:tc>
          <w:tcPr>
            <w:tcW w:w="1985" w:type="dxa"/>
            <w:tcBorders>
              <w:top w:val="nil"/>
              <w:left w:val="nil"/>
              <w:bottom w:val="single" w:sz="4" w:space="0" w:color="auto"/>
              <w:right w:val="single" w:sz="4" w:space="0" w:color="auto"/>
            </w:tcBorders>
            <w:shd w:val="clear" w:color="auto" w:fill="auto"/>
            <w:hideMark/>
          </w:tcPr>
          <w:p w:rsidR="00A03D12" w:rsidRPr="00243AB3" w:rsidRDefault="00A03D12" w:rsidP="00AB123D">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39.04.00 "Neatliekamā medicīniskā palīdzība"</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1A6226" w:rsidP="0019659C">
            <w:pPr>
              <w:spacing w:after="0" w:line="240" w:lineRule="auto"/>
              <w:jc w:val="center"/>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447 464</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1A6226" w:rsidP="0019659C">
            <w:pPr>
              <w:spacing w:after="0" w:line="240" w:lineRule="auto"/>
              <w:jc w:val="center"/>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327 464</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1A6226" w:rsidP="0019659C">
            <w:pPr>
              <w:spacing w:after="0" w:line="240" w:lineRule="auto"/>
              <w:jc w:val="center"/>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327 464</w:t>
            </w:r>
          </w:p>
        </w:tc>
        <w:tc>
          <w:tcPr>
            <w:tcW w:w="2883" w:type="dxa"/>
            <w:tcBorders>
              <w:top w:val="nil"/>
              <w:left w:val="nil"/>
              <w:bottom w:val="single" w:sz="4" w:space="0" w:color="auto"/>
              <w:right w:val="single" w:sz="4" w:space="0" w:color="auto"/>
            </w:tcBorders>
            <w:vAlign w:val="center"/>
          </w:tcPr>
          <w:p w:rsidR="00A03D12" w:rsidRPr="00243AB3" w:rsidRDefault="000119EE" w:rsidP="00252DA8">
            <w:pPr>
              <w:spacing w:after="0" w:line="240" w:lineRule="auto"/>
              <w:rPr>
                <w:rFonts w:ascii="Times New Roman" w:eastAsia="Times New Roman" w:hAnsi="Times New Roman" w:cs="Times New Roman"/>
                <w:b/>
                <w:bCs/>
                <w:i/>
                <w:iCs/>
                <w:sz w:val="18"/>
                <w:szCs w:val="18"/>
              </w:rPr>
            </w:pPr>
            <w:r w:rsidRPr="00243AB3">
              <w:rPr>
                <w:rFonts w:ascii="Times New Roman" w:eastAsia="Times New Roman" w:hAnsi="Times New Roman" w:cs="Times New Roman"/>
                <w:sz w:val="18"/>
                <w:szCs w:val="18"/>
              </w:rPr>
              <w:t>S</w:t>
            </w:r>
            <w:r w:rsidR="00EA34A3" w:rsidRPr="00243AB3">
              <w:rPr>
                <w:rFonts w:ascii="Times New Roman" w:eastAsia="Times New Roman" w:hAnsi="Times New Roman" w:cs="Times New Roman"/>
                <w:sz w:val="18"/>
                <w:szCs w:val="18"/>
              </w:rPr>
              <w:t>iltumenerģijas izdevumiem 40 187 Ls, elektroenerģijas izdevumiem 64 302 Ls, degvielas iegādei 78 473 Ls, remontmateriāliem 114 221 Ls, darba apavu iegādei 120 000 Ls</w:t>
            </w:r>
            <w:r w:rsidR="003F7811" w:rsidRPr="00243AB3">
              <w:rPr>
                <w:rFonts w:ascii="Times New Roman" w:eastAsia="Times New Roman" w:hAnsi="Times New Roman" w:cs="Times New Roman"/>
                <w:sz w:val="18"/>
                <w:szCs w:val="18"/>
              </w:rPr>
              <w:t>.</w:t>
            </w:r>
          </w:p>
        </w:tc>
      </w:tr>
      <w:tr w:rsidR="00AB123D" w:rsidRPr="00243AB3" w:rsidTr="00AB123D">
        <w:trPr>
          <w:trHeight w:val="253"/>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A03D12" w:rsidRPr="00243AB3" w:rsidRDefault="00A03D12" w:rsidP="0019659C">
            <w:pPr>
              <w:spacing w:after="0" w:line="240" w:lineRule="auto"/>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A03D12" w:rsidRPr="00243AB3" w:rsidRDefault="00A03D12" w:rsidP="0019659C">
            <w:pPr>
              <w:spacing w:after="0" w:line="240" w:lineRule="auto"/>
              <w:jc w:val="right"/>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KOPĀ:</w:t>
            </w:r>
          </w:p>
        </w:tc>
        <w:tc>
          <w:tcPr>
            <w:tcW w:w="1985" w:type="dxa"/>
            <w:tcBorders>
              <w:top w:val="nil"/>
              <w:left w:val="nil"/>
              <w:bottom w:val="single" w:sz="4" w:space="0" w:color="auto"/>
              <w:right w:val="single" w:sz="4" w:space="0" w:color="auto"/>
            </w:tcBorders>
            <w:shd w:val="clear" w:color="auto" w:fill="auto"/>
            <w:noWrap/>
            <w:vAlign w:val="bottom"/>
            <w:hideMark/>
          </w:tcPr>
          <w:p w:rsidR="00A03D12" w:rsidRPr="00243AB3" w:rsidRDefault="00A03D12" w:rsidP="0019659C">
            <w:pPr>
              <w:spacing w:after="0" w:line="240" w:lineRule="auto"/>
              <w:jc w:val="right"/>
              <w:rPr>
                <w:rFonts w:ascii="Times New Roman" w:eastAsia="Times New Roman" w:hAnsi="Times New Roman" w:cs="Times New Roman"/>
                <w:sz w:val="18"/>
                <w:szCs w:val="18"/>
              </w:rPr>
            </w:pPr>
            <w:r w:rsidRPr="00243AB3">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DA46F4" w:rsidP="001A6226">
            <w:pPr>
              <w:spacing w:after="0" w:line="240" w:lineRule="auto"/>
              <w:jc w:val="center"/>
              <w:rPr>
                <w:rFonts w:ascii="Times New Roman" w:eastAsia="Times New Roman" w:hAnsi="Times New Roman" w:cs="Times New Roman"/>
                <w:b/>
                <w:bCs/>
                <w:sz w:val="18"/>
                <w:szCs w:val="18"/>
              </w:rPr>
            </w:pPr>
            <w:r w:rsidRPr="00243AB3">
              <w:rPr>
                <w:rFonts w:ascii="Times New Roman" w:eastAsia="Times New Roman" w:hAnsi="Times New Roman" w:cs="Times New Roman"/>
                <w:b/>
                <w:bCs/>
                <w:sz w:val="18"/>
                <w:szCs w:val="18"/>
              </w:rPr>
              <w:t>3</w:t>
            </w:r>
            <w:r w:rsidR="003734D1">
              <w:rPr>
                <w:rFonts w:ascii="Times New Roman" w:eastAsia="Times New Roman" w:hAnsi="Times New Roman" w:cs="Times New Roman"/>
                <w:b/>
                <w:bCs/>
                <w:sz w:val="18"/>
                <w:szCs w:val="18"/>
              </w:rPr>
              <w:t>4</w:t>
            </w:r>
            <w:r w:rsidR="001A6226">
              <w:rPr>
                <w:rFonts w:ascii="Times New Roman" w:eastAsia="Times New Roman" w:hAnsi="Times New Roman" w:cs="Times New Roman"/>
                <w:b/>
                <w:bCs/>
                <w:sz w:val="18"/>
                <w:szCs w:val="18"/>
              </w:rPr>
              <w:t> 306 502</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243AB3" w:rsidP="001A622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66</w:t>
            </w:r>
            <w:r w:rsidR="00F46696" w:rsidRPr="00243AB3">
              <w:rPr>
                <w:rFonts w:ascii="Times New Roman" w:eastAsia="Times New Roman" w:hAnsi="Times New Roman" w:cs="Times New Roman"/>
                <w:b/>
                <w:bCs/>
                <w:sz w:val="18"/>
                <w:szCs w:val="18"/>
              </w:rPr>
              <w:t> 1</w:t>
            </w:r>
            <w:r w:rsidR="001A6226">
              <w:rPr>
                <w:rFonts w:ascii="Times New Roman" w:eastAsia="Times New Roman" w:hAnsi="Times New Roman" w:cs="Times New Roman"/>
                <w:b/>
                <w:bCs/>
                <w:sz w:val="18"/>
                <w:szCs w:val="18"/>
              </w:rPr>
              <w:t>4</w:t>
            </w:r>
            <w:r w:rsidR="00DA46F4" w:rsidRPr="00243AB3">
              <w:rPr>
                <w:rFonts w:ascii="Times New Roman" w:eastAsia="Times New Roman" w:hAnsi="Times New Roman" w:cs="Times New Roman"/>
                <w:b/>
                <w:bCs/>
                <w:sz w:val="18"/>
                <w:szCs w:val="18"/>
              </w:rPr>
              <w:t xml:space="preserve">8 </w:t>
            </w:r>
            <w:r w:rsidR="001A6226">
              <w:rPr>
                <w:rFonts w:ascii="Times New Roman" w:eastAsia="Times New Roman" w:hAnsi="Times New Roman" w:cs="Times New Roman"/>
                <w:b/>
                <w:bCs/>
                <w:sz w:val="18"/>
                <w:szCs w:val="18"/>
              </w:rPr>
              <w:t>868</w:t>
            </w:r>
          </w:p>
        </w:tc>
        <w:tc>
          <w:tcPr>
            <w:tcW w:w="1134" w:type="dxa"/>
            <w:tcBorders>
              <w:top w:val="nil"/>
              <w:left w:val="nil"/>
              <w:bottom w:val="single" w:sz="4" w:space="0" w:color="auto"/>
              <w:right w:val="single" w:sz="4" w:space="0" w:color="auto"/>
            </w:tcBorders>
            <w:shd w:val="clear" w:color="auto" w:fill="auto"/>
            <w:noWrap/>
            <w:vAlign w:val="center"/>
            <w:hideMark/>
          </w:tcPr>
          <w:p w:rsidR="00A03D12" w:rsidRPr="00243AB3" w:rsidRDefault="00243AB3" w:rsidP="00DA46F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66</w:t>
            </w:r>
            <w:r w:rsidR="00F46696" w:rsidRPr="00243AB3">
              <w:rPr>
                <w:rFonts w:ascii="Times New Roman" w:eastAsia="Times New Roman" w:hAnsi="Times New Roman" w:cs="Times New Roman"/>
                <w:b/>
                <w:bCs/>
                <w:sz w:val="18"/>
                <w:szCs w:val="18"/>
              </w:rPr>
              <w:t> 3</w:t>
            </w:r>
            <w:r w:rsidR="001A6226">
              <w:rPr>
                <w:rFonts w:ascii="Times New Roman" w:eastAsia="Times New Roman" w:hAnsi="Times New Roman" w:cs="Times New Roman"/>
                <w:b/>
                <w:bCs/>
                <w:sz w:val="18"/>
                <w:szCs w:val="18"/>
              </w:rPr>
              <w:t>68</w:t>
            </w:r>
            <w:r w:rsidR="00DA46F4" w:rsidRPr="00243AB3">
              <w:rPr>
                <w:rFonts w:ascii="Times New Roman" w:eastAsia="Times New Roman" w:hAnsi="Times New Roman" w:cs="Times New Roman"/>
                <w:b/>
                <w:bCs/>
                <w:sz w:val="18"/>
                <w:szCs w:val="18"/>
              </w:rPr>
              <w:t xml:space="preserve"> </w:t>
            </w:r>
            <w:r w:rsidR="001A6226">
              <w:rPr>
                <w:rFonts w:ascii="Times New Roman" w:eastAsia="Times New Roman" w:hAnsi="Times New Roman" w:cs="Times New Roman"/>
                <w:b/>
                <w:bCs/>
                <w:sz w:val="18"/>
                <w:szCs w:val="18"/>
              </w:rPr>
              <w:t>209</w:t>
            </w:r>
          </w:p>
        </w:tc>
        <w:tc>
          <w:tcPr>
            <w:tcW w:w="2883" w:type="dxa"/>
            <w:tcBorders>
              <w:top w:val="nil"/>
              <w:left w:val="nil"/>
              <w:bottom w:val="single" w:sz="4" w:space="0" w:color="auto"/>
              <w:right w:val="single" w:sz="4" w:space="0" w:color="auto"/>
            </w:tcBorders>
          </w:tcPr>
          <w:p w:rsidR="00A03D12" w:rsidRPr="00243AB3" w:rsidRDefault="00A03D12" w:rsidP="00252DA8">
            <w:pPr>
              <w:spacing w:after="0" w:line="240" w:lineRule="auto"/>
              <w:rPr>
                <w:rFonts w:ascii="Times New Roman" w:eastAsia="Times New Roman" w:hAnsi="Times New Roman" w:cs="Times New Roman"/>
                <w:b/>
                <w:bCs/>
                <w:sz w:val="18"/>
                <w:szCs w:val="18"/>
              </w:rPr>
            </w:pPr>
          </w:p>
        </w:tc>
      </w:tr>
    </w:tbl>
    <w:p w:rsidR="00FC5F33" w:rsidRPr="009E014B" w:rsidRDefault="00FC5F33" w:rsidP="0031284C">
      <w:pPr>
        <w:pStyle w:val="NormalWeb"/>
        <w:snapToGrid w:val="0"/>
        <w:spacing w:before="0" w:after="0"/>
        <w:rPr>
          <w:color w:val="FF0000"/>
          <w:sz w:val="28"/>
          <w:szCs w:val="28"/>
        </w:rPr>
      </w:pPr>
    </w:p>
    <w:p w:rsidR="004F6498" w:rsidRDefault="004F6498" w:rsidP="000F57B6">
      <w:pPr>
        <w:pStyle w:val="NormalWeb"/>
        <w:snapToGrid w:val="0"/>
        <w:spacing w:before="0" w:after="0"/>
        <w:ind w:firstLine="709"/>
        <w:jc w:val="center"/>
        <w:rPr>
          <w:sz w:val="28"/>
          <w:szCs w:val="28"/>
        </w:rPr>
      </w:pPr>
    </w:p>
    <w:p w:rsidR="00426275" w:rsidRPr="00FF4FFC" w:rsidRDefault="00FF4FFC" w:rsidP="000F57B6">
      <w:pPr>
        <w:pStyle w:val="NormalWeb"/>
        <w:snapToGrid w:val="0"/>
        <w:spacing w:before="0" w:after="0"/>
        <w:ind w:firstLine="709"/>
        <w:jc w:val="center"/>
        <w:rPr>
          <w:sz w:val="28"/>
          <w:szCs w:val="28"/>
        </w:rPr>
      </w:pPr>
      <w:r w:rsidRPr="00FF4FFC">
        <w:rPr>
          <w:sz w:val="28"/>
          <w:szCs w:val="28"/>
        </w:rPr>
        <w:t>Veselības ministre</w:t>
      </w:r>
      <w:r w:rsidR="00426275" w:rsidRPr="00FF4FFC">
        <w:rPr>
          <w:sz w:val="28"/>
          <w:szCs w:val="28"/>
        </w:rPr>
        <w:tab/>
      </w:r>
      <w:r w:rsidR="00426275" w:rsidRPr="00FF4FFC">
        <w:rPr>
          <w:sz w:val="28"/>
          <w:szCs w:val="28"/>
        </w:rPr>
        <w:tab/>
      </w:r>
      <w:r w:rsidR="00426275" w:rsidRPr="00FF4FFC">
        <w:rPr>
          <w:sz w:val="28"/>
          <w:szCs w:val="28"/>
        </w:rPr>
        <w:tab/>
      </w:r>
      <w:r w:rsidR="00426275" w:rsidRPr="00FF4FFC">
        <w:rPr>
          <w:sz w:val="28"/>
          <w:szCs w:val="28"/>
        </w:rPr>
        <w:tab/>
      </w:r>
      <w:r w:rsidR="00426275" w:rsidRPr="00FF4FFC">
        <w:rPr>
          <w:sz w:val="28"/>
          <w:szCs w:val="28"/>
        </w:rPr>
        <w:tab/>
      </w:r>
      <w:r w:rsidR="00426275" w:rsidRPr="00FF4FFC">
        <w:rPr>
          <w:sz w:val="28"/>
          <w:szCs w:val="28"/>
        </w:rPr>
        <w:tab/>
      </w:r>
      <w:r w:rsidR="00426275" w:rsidRPr="00FF4FFC">
        <w:rPr>
          <w:sz w:val="28"/>
          <w:szCs w:val="28"/>
        </w:rPr>
        <w:tab/>
      </w:r>
      <w:r w:rsidR="00426275" w:rsidRPr="00FF4FFC">
        <w:rPr>
          <w:sz w:val="28"/>
          <w:szCs w:val="28"/>
        </w:rPr>
        <w:tab/>
      </w:r>
      <w:r w:rsidR="00426275" w:rsidRPr="00FF4FFC">
        <w:rPr>
          <w:sz w:val="28"/>
          <w:szCs w:val="28"/>
        </w:rPr>
        <w:tab/>
      </w:r>
      <w:r w:rsidR="000F57B6">
        <w:rPr>
          <w:sz w:val="28"/>
          <w:szCs w:val="28"/>
        </w:rPr>
        <w:t xml:space="preserve">   </w:t>
      </w:r>
      <w:r w:rsidRPr="00FF4FFC">
        <w:rPr>
          <w:sz w:val="28"/>
          <w:szCs w:val="28"/>
        </w:rPr>
        <w:t>I.Circene</w:t>
      </w:r>
    </w:p>
    <w:p w:rsidR="00F469FC" w:rsidRDefault="00F469FC" w:rsidP="00D835C5">
      <w:pPr>
        <w:pStyle w:val="NormalWeb"/>
        <w:snapToGrid w:val="0"/>
        <w:spacing w:before="0" w:after="0"/>
        <w:jc w:val="both"/>
      </w:pPr>
    </w:p>
    <w:p w:rsidR="001A6226" w:rsidRDefault="001A6226" w:rsidP="00426275">
      <w:pPr>
        <w:pStyle w:val="NormalWeb"/>
        <w:snapToGrid w:val="0"/>
        <w:spacing w:before="0" w:after="0"/>
        <w:ind w:firstLine="709"/>
        <w:jc w:val="both"/>
      </w:pPr>
      <w:r>
        <w:t>10.05.2013</w:t>
      </w:r>
      <w:r w:rsidR="004F6498">
        <w:t xml:space="preserve">      14:57</w:t>
      </w:r>
    </w:p>
    <w:p w:rsidR="00426275" w:rsidRPr="007A381A" w:rsidRDefault="00E035F5" w:rsidP="00426275">
      <w:pPr>
        <w:pStyle w:val="NormalWeb"/>
        <w:snapToGrid w:val="0"/>
        <w:spacing w:before="0" w:after="0"/>
        <w:ind w:firstLine="709"/>
        <w:jc w:val="both"/>
      </w:pPr>
      <w:r>
        <w:t>1</w:t>
      </w:r>
      <w:r w:rsidR="004F6498">
        <w:t>4186</w:t>
      </w:r>
    </w:p>
    <w:p w:rsidR="00426275" w:rsidRPr="007A381A" w:rsidRDefault="00F469FC" w:rsidP="00426275">
      <w:pPr>
        <w:pStyle w:val="NormalWeb"/>
        <w:snapToGrid w:val="0"/>
        <w:spacing w:before="0" w:after="0"/>
        <w:ind w:firstLine="709"/>
        <w:jc w:val="both"/>
      </w:pPr>
      <w:r w:rsidRPr="007A381A">
        <w:t>Žanete Zvaigzne, 67876041</w:t>
      </w:r>
    </w:p>
    <w:p w:rsidR="00426275" w:rsidRDefault="00774917" w:rsidP="00426275">
      <w:pPr>
        <w:pStyle w:val="NormalWeb"/>
        <w:snapToGrid w:val="0"/>
        <w:spacing w:before="0" w:after="0"/>
        <w:ind w:firstLine="709"/>
        <w:jc w:val="both"/>
      </w:pPr>
      <w:hyperlink r:id="rId12" w:history="1">
        <w:r w:rsidR="00E43402" w:rsidRPr="00C6421A">
          <w:rPr>
            <w:rStyle w:val="Hyperlink"/>
          </w:rPr>
          <w:t>Zanete.Zvaigzne@vm.gov.lv</w:t>
        </w:r>
      </w:hyperlink>
    </w:p>
    <w:p w:rsidR="00E43402" w:rsidRDefault="00E43402" w:rsidP="00426275">
      <w:pPr>
        <w:pStyle w:val="NormalWeb"/>
        <w:snapToGrid w:val="0"/>
        <w:spacing w:before="0" w:after="0"/>
        <w:ind w:firstLine="709"/>
        <w:jc w:val="both"/>
      </w:pPr>
    </w:p>
    <w:p w:rsidR="00E43402" w:rsidRDefault="00E43402" w:rsidP="00426275">
      <w:pPr>
        <w:pStyle w:val="NormalWeb"/>
        <w:snapToGrid w:val="0"/>
        <w:spacing w:before="0" w:after="0"/>
        <w:ind w:firstLine="709"/>
        <w:jc w:val="both"/>
      </w:pPr>
    </w:p>
    <w:sectPr w:rsidR="00E43402" w:rsidSect="00F568CF">
      <w:headerReference w:type="default" r:id="rId13"/>
      <w:footerReference w:type="default" r:id="rId14"/>
      <w:footerReference w:type="first" r:id="rId15"/>
      <w:pgSz w:w="12240" w:h="15840"/>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1F2" w:rsidRDefault="005E51F2" w:rsidP="00AB3B1D">
      <w:pPr>
        <w:spacing w:after="0" w:line="240" w:lineRule="auto"/>
      </w:pPr>
      <w:r>
        <w:separator/>
      </w:r>
    </w:p>
  </w:endnote>
  <w:endnote w:type="continuationSeparator" w:id="0">
    <w:p w:rsidR="005E51F2" w:rsidRDefault="005E51F2" w:rsidP="00AB3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F2" w:rsidRPr="00AA260F" w:rsidRDefault="005E51F2" w:rsidP="007279A3">
    <w:pPr>
      <w:pStyle w:val="Footer"/>
      <w:jc w:val="both"/>
      <w:rPr>
        <w:rFonts w:ascii="Times New Roman" w:hAnsi="Times New Roman" w:cs="Times New Roman"/>
        <w:lang w:val="lv-LV"/>
      </w:rPr>
    </w:pPr>
    <w:r>
      <w:rPr>
        <w:rFonts w:ascii="Times New Roman" w:hAnsi="Times New Roman" w:cs="Times New Roman"/>
        <w:lang w:val="lv-LV"/>
      </w:rPr>
      <w:t xml:space="preserve">VMZino_100513_papild; </w:t>
    </w:r>
    <w:bookmarkStart w:id="2" w:name="OLE_LINK1"/>
    <w:bookmarkStart w:id="3" w:name="OLE_LINK2"/>
    <w:r>
      <w:rPr>
        <w:rFonts w:ascii="Times New Roman" w:hAnsi="Times New Roman" w:cs="Times New Roman"/>
        <w:lang w:val="lv-LV"/>
      </w:rPr>
      <w:t>Informatīvais ziņojums “Finanšu situācija veselības aprūpes jomā</w:t>
    </w:r>
    <w:r w:rsidRPr="00AA260F">
      <w:rPr>
        <w:rFonts w:ascii="Times New Roman" w:hAnsi="Times New Roman" w:cs="Times New Roman"/>
        <w:lang w:val="lv-LV"/>
      </w:rPr>
      <w:t>”</w:t>
    </w:r>
    <w:bookmarkEnd w:id="2"/>
    <w:bookmarkEnd w:id="3"/>
  </w:p>
  <w:p w:rsidR="005E51F2" w:rsidRPr="00191E02" w:rsidRDefault="005E51F2" w:rsidP="00191E02">
    <w:pPr>
      <w:pStyle w:val="Footer"/>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F2" w:rsidRPr="00AA260F" w:rsidRDefault="005E51F2" w:rsidP="00AA260F">
    <w:pPr>
      <w:pStyle w:val="Footer"/>
      <w:jc w:val="both"/>
      <w:rPr>
        <w:rFonts w:ascii="Times New Roman" w:hAnsi="Times New Roman" w:cs="Times New Roman"/>
        <w:lang w:val="lv-LV"/>
      </w:rPr>
    </w:pPr>
    <w:r>
      <w:rPr>
        <w:rFonts w:ascii="Times New Roman" w:hAnsi="Times New Roman" w:cs="Times New Roman"/>
        <w:lang w:val="lv-LV"/>
      </w:rPr>
      <w:t>VMZino_100513_papild; Informatīvais ziņojums “Finanšu situācija veselības aprūpes jomā</w:t>
    </w:r>
    <w:r w:rsidRPr="00AA260F">
      <w:rPr>
        <w:rFonts w:ascii="Times New Roman" w:hAnsi="Times New Roman" w:cs="Times New Roman"/>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1F2" w:rsidRDefault="005E51F2" w:rsidP="00AB3B1D">
      <w:pPr>
        <w:spacing w:after="0" w:line="240" w:lineRule="auto"/>
      </w:pPr>
      <w:r>
        <w:separator/>
      </w:r>
    </w:p>
  </w:footnote>
  <w:footnote w:type="continuationSeparator" w:id="0">
    <w:p w:rsidR="005E51F2" w:rsidRDefault="005E51F2" w:rsidP="00AB3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F2" w:rsidRDefault="005E51F2">
    <w:pPr>
      <w:pStyle w:val="Header"/>
      <w:jc w:val="center"/>
    </w:pPr>
    <w:sdt>
      <w:sdtPr>
        <w:id w:val="23673688"/>
        <w:docPartObj>
          <w:docPartGallery w:val="Page Numbers (Top of Page)"/>
          <w:docPartUnique/>
        </w:docPartObj>
      </w:sdtPr>
      <w:sdtContent>
        <w:r w:rsidRPr="00306F4E">
          <w:rPr>
            <w:rFonts w:ascii="Times New Roman" w:hAnsi="Times New Roman" w:cs="Times New Roman"/>
          </w:rPr>
          <w:fldChar w:fldCharType="begin"/>
        </w:r>
        <w:r w:rsidRPr="00306F4E">
          <w:rPr>
            <w:rFonts w:ascii="Times New Roman" w:hAnsi="Times New Roman" w:cs="Times New Roman"/>
          </w:rPr>
          <w:instrText xml:space="preserve"> PAGE   \* MERGEFORMAT </w:instrText>
        </w:r>
        <w:r w:rsidRPr="00306F4E">
          <w:rPr>
            <w:rFonts w:ascii="Times New Roman" w:hAnsi="Times New Roman" w:cs="Times New Roman"/>
          </w:rPr>
          <w:fldChar w:fldCharType="separate"/>
        </w:r>
        <w:r w:rsidR="004F6498">
          <w:rPr>
            <w:rFonts w:ascii="Times New Roman" w:hAnsi="Times New Roman" w:cs="Times New Roman"/>
            <w:noProof/>
          </w:rPr>
          <w:t>41</w:t>
        </w:r>
        <w:r w:rsidRPr="00306F4E">
          <w:rPr>
            <w:rFonts w:ascii="Times New Roman" w:hAnsi="Times New Roman" w:cs="Times New Roman"/>
          </w:rPr>
          <w:fldChar w:fldCharType="end"/>
        </w:r>
      </w:sdtContent>
    </w:sdt>
  </w:p>
  <w:p w:rsidR="005E51F2" w:rsidRDefault="005E5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E83"/>
    <w:multiLevelType w:val="hybridMultilevel"/>
    <w:tmpl w:val="88E8C9CA"/>
    <w:lvl w:ilvl="0" w:tplc="AB08DE4C">
      <w:start w:val="1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CF4813"/>
    <w:multiLevelType w:val="hybridMultilevel"/>
    <w:tmpl w:val="4E78D826"/>
    <w:lvl w:ilvl="0" w:tplc="6540AB6E">
      <w:start w:val="3"/>
      <w:numFmt w:val="bullet"/>
      <w:lvlText w:val="-"/>
      <w:lvlJc w:val="left"/>
      <w:pPr>
        <w:ind w:left="541" w:hanging="360"/>
      </w:pPr>
      <w:rPr>
        <w:rFonts w:ascii="Times New Roman" w:eastAsia="Times New Roman" w:hAnsi="Times New Roman" w:cs="Times New Roman"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2">
    <w:nsid w:val="141638A4"/>
    <w:multiLevelType w:val="hybridMultilevel"/>
    <w:tmpl w:val="DC24DD28"/>
    <w:lvl w:ilvl="0" w:tplc="89CE0A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55FFB"/>
    <w:multiLevelType w:val="hybridMultilevel"/>
    <w:tmpl w:val="3CB2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A335E"/>
    <w:multiLevelType w:val="multilevel"/>
    <w:tmpl w:val="606A3D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79D5AA3"/>
    <w:multiLevelType w:val="hybridMultilevel"/>
    <w:tmpl w:val="D1BEF5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40822"/>
    <w:multiLevelType w:val="hybridMultilevel"/>
    <w:tmpl w:val="F3627E46"/>
    <w:lvl w:ilvl="0" w:tplc="6060B9B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8F040C5"/>
    <w:multiLevelType w:val="hybridMultilevel"/>
    <w:tmpl w:val="922C2234"/>
    <w:lvl w:ilvl="0" w:tplc="1D884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149AD"/>
    <w:multiLevelType w:val="hybridMultilevel"/>
    <w:tmpl w:val="DC24DD28"/>
    <w:lvl w:ilvl="0" w:tplc="89CE0A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4006C8"/>
    <w:multiLevelType w:val="hybridMultilevel"/>
    <w:tmpl w:val="CB3C7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47D8F"/>
    <w:multiLevelType w:val="hybridMultilevel"/>
    <w:tmpl w:val="A272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C7BA2"/>
    <w:multiLevelType w:val="hybridMultilevel"/>
    <w:tmpl w:val="34DA1542"/>
    <w:lvl w:ilvl="0" w:tplc="3CCCA9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27EE2"/>
    <w:multiLevelType w:val="hybridMultilevel"/>
    <w:tmpl w:val="B3CC35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492676F7"/>
    <w:multiLevelType w:val="hybridMultilevel"/>
    <w:tmpl w:val="2DF2FE8A"/>
    <w:lvl w:ilvl="0" w:tplc="C464B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3699B"/>
    <w:multiLevelType w:val="hybridMultilevel"/>
    <w:tmpl w:val="DC24DD28"/>
    <w:lvl w:ilvl="0" w:tplc="89CE0A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E0A44"/>
    <w:multiLevelType w:val="hybridMultilevel"/>
    <w:tmpl w:val="F84ADB66"/>
    <w:lvl w:ilvl="0" w:tplc="10C82850">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A302DB4"/>
    <w:multiLevelType w:val="hybridMultilevel"/>
    <w:tmpl w:val="36F4B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CB6AAD"/>
    <w:multiLevelType w:val="hybridMultilevel"/>
    <w:tmpl w:val="FAD4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94BF8"/>
    <w:multiLevelType w:val="hybridMultilevel"/>
    <w:tmpl w:val="755A74B8"/>
    <w:lvl w:ilvl="0" w:tplc="9DCC0B08">
      <w:start w:val="9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7301B"/>
    <w:multiLevelType w:val="hybridMultilevel"/>
    <w:tmpl w:val="DA0EF174"/>
    <w:lvl w:ilvl="0" w:tplc="A6D4A8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6A7D15"/>
    <w:multiLevelType w:val="hybridMultilevel"/>
    <w:tmpl w:val="2DBAA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DD72ACC"/>
    <w:multiLevelType w:val="hybridMultilevel"/>
    <w:tmpl w:val="5268C288"/>
    <w:lvl w:ilvl="0" w:tplc="00C252AA">
      <w:start w:val="1"/>
      <w:numFmt w:val="bullet"/>
      <w:lvlText w:val=""/>
      <w:lvlJc w:val="left"/>
      <w:pPr>
        <w:ind w:left="720" w:hanging="360"/>
      </w:pPr>
      <w:rPr>
        <w:rFonts w:ascii="Wingdings" w:hAnsi="Wingdings" w:hint="default"/>
        <w:color w:val="0066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EAC047A"/>
    <w:multiLevelType w:val="hybridMultilevel"/>
    <w:tmpl w:val="852C91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6C759E"/>
    <w:multiLevelType w:val="hybridMultilevel"/>
    <w:tmpl w:val="22C660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962AB"/>
    <w:multiLevelType w:val="hybridMultilevel"/>
    <w:tmpl w:val="DA0EF174"/>
    <w:lvl w:ilvl="0" w:tplc="A6D4A8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0E5A11"/>
    <w:multiLevelType w:val="hybridMultilevel"/>
    <w:tmpl w:val="845E844A"/>
    <w:lvl w:ilvl="0" w:tplc="BF12BC18">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8093231"/>
    <w:multiLevelType w:val="hybridMultilevel"/>
    <w:tmpl w:val="6824934C"/>
    <w:lvl w:ilvl="0" w:tplc="591E596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3A1ED1"/>
    <w:multiLevelType w:val="hybridMultilevel"/>
    <w:tmpl w:val="F4E0DDC0"/>
    <w:lvl w:ilvl="0" w:tplc="090A0CF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5537F8"/>
    <w:multiLevelType w:val="hybridMultilevel"/>
    <w:tmpl w:val="37DC6340"/>
    <w:lvl w:ilvl="0" w:tplc="E8301FD0">
      <w:start w:val="1"/>
      <w:numFmt w:val="decimal"/>
      <w:lvlText w:val="%1."/>
      <w:lvlJc w:val="left"/>
      <w:pPr>
        <w:ind w:left="502" w:hanging="360"/>
      </w:pPr>
      <w:rPr>
        <w:rFonts w:ascii="Times New Roman" w:eastAsiaTheme="minorHAnsi" w:hAnsi="Times New Roman" w:cstheme="minorBid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786B6F11"/>
    <w:multiLevelType w:val="hybridMultilevel"/>
    <w:tmpl w:val="25F0C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057088"/>
    <w:multiLevelType w:val="hybridMultilevel"/>
    <w:tmpl w:val="D6FCFE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6"/>
  </w:num>
  <w:num w:numId="3">
    <w:abstractNumId w:val="20"/>
  </w:num>
  <w:num w:numId="4">
    <w:abstractNumId w:val="0"/>
  </w:num>
  <w:num w:numId="5">
    <w:abstractNumId w:val="6"/>
  </w:num>
  <w:num w:numId="6">
    <w:abstractNumId w:val="28"/>
  </w:num>
  <w:num w:numId="7">
    <w:abstractNumId w:val="25"/>
  </w:num>
  <w:num w:numId="8">
    <w:abstractNumId w:val="30"/>
  </w:num>
  <w:num w:numId="9">
    <w:abstractNumId w:val="15"/>
  </w:num>
  <w:num w:numId="10">
    <w:abstractNumId w:val="21"/>
  </w:num>
  <w:num w:numId="11">
    <w:abstractNumId w:val="27"/>
  </w:num>
  <w:num w:numId="12">
    <w:abstractNumId w:val="4"/>
  </w:num>
  <w:num w:numId="13">
    <w:abstractNumId w:val="17"/>
  </w:num>
  <w:num w:numId="14">
    <w:abstractNumId w:val="10"/>
  </w:num>
  <w:num w:numId="15">
    <w:abstractNumId w:val="13"/>
  </w:num>
  <w:num w:numId="16">
    <w:abstractNumId w:val="24"/>
  </w:num>
  <w:num w:numId="17">
    <w:abstractNumId w:val="23"/>
  </w:num>
  <w:num w:numId="18">
    <w:abstractNumId w:val="29"/>
  </w:num>
  <w:num w:numId="19">
    <w:abstractNumId w:val="5"/>
  </w:num>
  <w:num w:numId="20">
    <w:abstractNumId w:val="19"/>
  </w:num>
  <w:num w:numId="21">
    <w:abstractNumId w:val="8"/>
  </w:num>
  <w:num w:numId="22">
    <w:abstractNumId w:val="9"/>
  </w:num>
  <w:num w:numId="23">
    <w:abstractNumId w:val="2"/>
  </w:num>
  <w:num w:numId="24">
    <w:abstractNumId w:val="7"/>
  </w:num>
  <w:num w:numId="25">
    <w:abstractNumId w:val="3"/>
  </w:num>
  <w:num w:numId="26">
    <w:abstractNumId w:val="11"/>
  </w:num>
  <w:num w:numId="27">
    <w:abstractNumId w:val="16"/>
  </w:num>
  <w:num w:numId="28">
    <w:abstractNumId w:val="14"/>
  </w:num>
  <w:num w:numId="29">
    <w:abstractNumId w:val="22"/>
  </w:num>
  <w:num w:numId="30">
    <w:abstractNumId w:val="18"/>
  </w:num>
  <w:num w:numId="31">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grammar="clean"/>
  <w:defaultTabStop w:val="720"/>
  <w:drawingGridHorizontalSpacing w:val="110"/>
  <w:displayHorizontalDrawingGridEvery w:val="2"/>
  <w:characterSpacingControl w:val="doNotCompress"/>
  <w:hdrShapeDefaults>
    <o:shapedefaults v:ext="edit" spidmax="125953"/>
  </w:hdrShapeDefaults>
  <w:footnotePr>
    <w:footnote w:id="-1"/>
    <w:footnote w:id="0"/>
  </w:footnotePr>
  <w:endnotePr>
    <w:endnote w:id="-1"/>
    <w:endnote w:id="0"/>
  </w:endnotePr>
  <w:compat/>
  <w:rsids>
    <w:rsidRoot w:val="00170F07"/>
    <w:rsid w:val="000018CC"/>
    <w:rsid w:val="00007B14"/>
    <w:rsid w:val="00011490"/>
    <w:rsid w:val="000119EE"/>
    <w:rsid w:val="000130D7"/>
    <w:rsid w:val="00014D5C"/>
    <w:rsid w:val="00017C77"/>
    <w:rsid w:val="00020E91"/>
    <w:rsid w:val="000246B3"/>
    <w:rsid w:val="00024A1B"/>
    <w:rsid w:val="0002568C"/>
    <w:rsid w:val="00025ACF"/>
    <w:rsid w:val="000269DF"/>
    <w:rsid w:val="00031D86"/>
    <w:rsid w:val="00032C6C"/>
    <w:rsid w:val="00032E48"/>
    <w:rsid w:val="00034D0A"/>
    <w:rsid w:val="0003514A"/>
    <w:rsid w:val="000353C1"/>
    <w:rsid w:val="0003551B"/>
    <w:rsid w:val="00035772"/>
    <w:rsid w:val="000400AB"/>
    <w:rsid w:val="0004080C"/>
    <w:rsid w:val="0004462B"/>
    <w:rsid w:val="00046BFA"/>
    <w:rsid w:val="00053F93"/>
    <w:rsid w:val="0005518E"/>
    <w:rsid w:val="0005539A"/>
    <w:rsid w:val="00055D93"/>
    <w:rsid w:val="000618E8"/>
    <w:rsid w:val="0006269A"/>
    <w:rsid w:val="000631FA"/>
    <w:rsid w:val="000640D0"/>
    <w:rsid w:val="00064A01"/>
    <w:rsid w:val="0006717D"/>
    <w:rsid w:val="00067516"/>
    <w:rsid w:val="00071635"/>
    <w:rsid w:val="00071C55"/>
    <w:rsid w:val="00073F7E"/>
    <w:rsid w:val="00074052"/>
    <w:rsid w:val="000744EF"/>
    <w:rsid w:val="00076FD4"/>
    <w:rsid w:val="000771F0"/>
    <w:rsid w:val="0007747D"/>
    <w:rsid w:val="00077F31"/>
    <w:rsid w:val="0008474C"/>
    <w:rsid w:val="00084B90"/>
    <w:rsid w:val="000855D0"/>
    <w:rsid w:val="00085B41"/>
    <w:rsid w:val="00086BC1"/>
    <w:rsid w:val="00087A98"/>
    <w:rsid w:val="00090541"/>
    <w:rsid w:val="00090613"/>
    <w:rsid w:val="00090EF0"/>
    <w:rsid w:val="00091779"/>
    <w:rsid w:val="00091E0C"/>
    <w:rsid w:val="000962EA"/>
    <w:rsid w:val="00097283"/>
    <w:rsid w:val="000A0076"/>
    <w:rsid w:val="000A09BC"/>
    <w:rsid w:val="000A1B3C"/>
    <w:rsid w:val="000A2668"/>
    <w:rsid w:val="000A3787"/>
    <w:rsid w:val="000A3804"/>
    <w:rsid w:val="000A5E67"/>
    <w:rsid w:val="000A6327"/>
    <w:rsid w:val="000A6362"/>
    <w:rsid w:val="000B070D"/>
    <w:rsid w:val="000B258A"/>
    <w:rsid w:val="000B3227"/>
    <w:rsid w:val="000B3642"/>
    <w:rsid w:val="000B3A67"/>
    <w:rsid w:val="000B6893"/>
    <w:rsid w:val="000C07E7"/>
    <w:rsid w:val="000C08B9"/>
    <w:rsid w:val="000C38CE"/>
    <w:rsid w:val="000C5999"/>
    <w:rsid w:val="000C5D06"/>
    <w:rsid w:val="000C5DAB"/>
    <w:rsid w:val="000D0DC3"/>
    <w:rsid w:val="000D148D"/>
    <w:rsid w:val="000D16C8"/>
    <w:rsid w:val="000D1F2A"/>
    <w:rsid w:val="000D35DD"/>
    <w:rsid w:val="000E15F4"/>
    <w:rsid w:val="000E2192"/>
    <w:rsid w:val="000E4D41"/>
    <w:rsid w:val="000E569B"/>
    <w:rsid w:val="000E5DE4"/>
    <w:rsid w:val="000F188D"/>
    <w:rsid w:val="000F4B35"/>
    <w:rsid w:val="000F57B6"/>
    <w:rsid w:val="000F6A49"/>
    <w:rsid w:val="000F724D"/>
    <w:rsid w:val="0010155C"/>
    <w:rsid w:val="00102960"/>
    <w:rsid w:val="00102EA1"/>
    <w:rsid w:val="00106A42"/>
    <w:rsid w:val="001077DF"/>
    <w:rsid w:val="00110857"/>
    <w:rsid w:val="00110B44"/>
    <w:rsid w:val="00114B0A"/>
    <w:rsid w:val="00114E86"/>
    <w:rsid w:val="00120066"/>
    <w:rsid w:val="001205E7"/>
    <w:rsid w:val="001213F5"/>
    <w:rsid w:val="00121617"/>
    <w:rsid w:val="00121FC4"/>
    <w:rsid w:val="001246EE"/>
    <w:rsid w:val="00126CEA"/>
    <w:rsid w:val="0013048C"/>
    <w:rsid w:val="00135E36"/>
    <w:rsid w:val="00140264"/>
    <w:rsid w:val="0014112C"/>
    <w:rsid w:val="00141C94"/>
    <w:rsid w:val="001442BA"/>
    <w:rsid w:val="001442FB"/>
    <w:rsid w:val="00151533"/>
    <w:rsid w:val="00153B88"/>
    <w:rsid w:val="001553D0"/>
    <w:rsid w:val="00155718"/>
    <w:rsid w:val="00160C74"/>
    <w:rsid w:val="001610E0"/>
    <w:rsid w:val="00161A67"/>
    <w:rsid w:val="00163A0F"/>
    <w:rsid w:val="00163F93"/>
    <w:rsid w:val="00164FF2"/>
    <w:rsid w:val="001659E3"/>
    <w:rsid w:val="00165C27"/>
    <w:rsid w:val="00166252"/>
    <w:rsid w:val="0016689F"/>
    <w:rsid w:val="00167202"/>
    <w:rsid w:val="00170F07"/>
    <w:rsid w:val="00172EF6"/>
    <w:rsid w:val="001757F3"/>
    <w:rsid w:val="00175CE7"/>
    <w:rsid w:val="00177005"/>
    <w:rsid w:val="00177306"/>
    <w:rsid w:val="00177604"/>
    <w:rsid w:val="00181145"/>
    <w:rsid w:val="00183156"/>
    <w:rsid w:val="00183932"/>
    <w:rsid w:val="00183C57"/>
    <w:rsid w:val="0018459B"/>
    <w:rsid w:val="00191380"/>
    <w:rsid w:val="00191E02"/>
    <w:rsid w:val="0019659C"/>
    <w:rsid w:val="001A188B"/>
    <w:rsid w:val="001A29D6"/>
    <w:rsid w:val="001A5823"/>
    <w:rsid w:val="001A6226"/>
    <w:rsid w:val="001B001D"/>
    <w:rsid w:val="001B0CC8"/>
    <w:rsid w:val="001B2983"/>
    <w:rsid w:val="001B2C2C"/>
    <w:rsid w:val="001B6174"/>
    <w:rsid w:val="001B69A2"/>
    <w:rsid w:val="001B780D"/>
    <w:rsid w:val="001B78C6"/>
    <w:rsid w:val="001B7D49"/>
    <w:rsid w:val="001C03B1"/>
    <w:rsid w:val="001C076F"/>
    <w:rsid w:val="001C07FB"/>
    <w:rsid w:val="001C1068"/>
    <w:rsid w:val="001C11C5"/>
    <w:rsid w:val="001C1727"/>
    <w:rsid w:val="001C1D07"/>
    <w:rsid w:val="001C25A6"/>
    <w:rsid w:val="001C2718"/>
    <w:rsid w:val="001C4433"/>
    <w:rsid w:val="001D0A53"/>
    <w:rsid w:val="001D1383"/>
    <w:rsid w:val="001D1CF5"/>
    <w:rsid w:val="001D21CC"/>
    <w:rsid w:val="001D4A5B"/>
    <w:rsid w:val="001E0456"/>
    <w:rsid w:val="001E0478"/>
    <w:rsid w:val="001E18C7"/>
    <w:rsid w:val="001E2728"/>
    <w:rsid w:val="001E797C"/>
    <w:rsid w:val="001E7C1F"/>
    <w:rsid w:val="001F04A5"/>
    <w:rsid w:val="001F190C"/>
    <w:rsid w:val="001F37F2"/>
    <w:rsid w:val="001F4909"/>
    <w:rsid w:val="001F4BFE"/>
    <w:rsid w:val="001F5D16"/>
    <w:rsid w:val="001F6B53"/>
    <w:rsid w:val="001F7232"/>
    <w:rsid w:val="001F731C"/>
    <w:rsid w:val="00201A55"/>
    <w:rsid w:val="00203A04"/>
    <w:rsid w:val="00204648"/>
    <w:rsid w:val="0020558E"/>
    <w:rsid w:val="00205C98"/>
    <w:rsid w:val="0020654F"/>
    <w:rsid w:val="002111DE"/>
    <w:rsid w:val="002118E4"/>
    <w:rsid w:val="0021362B"/>
    <w:rsid w:val="00216DA5"/>
    <w:rsid w:val="0021716B"/>
    <w:rsid w:val="002176AA"/>
    <w:rsid w:val="00221074"/>
    <w:rsid w:val="002218AE"/>
    <w:rsid w:val="002225B4"/>
    <w:rsid w:val="0022300D"/>
    <w:rsid w:val="00223669"/>
    <w:rsid w:val="0023046C"/>
    <w:rsid w:val="00230515"/>
    <w:rsid w:val="0023093D"/>
    <w:rsid w:val="0023104B"/>
    <w:rsid w:val="00231FA0"/>
    <w:rsid w:val="002320A3"/>
    <w:rsid w:val="00232D5B"/>
    <w:rsid w:val="00233C77"/>
    <w:rsid w:val="0023449A"/>
    <w:rsid w:val="002374C7"/>
    <w:rsid w:val="00237E75"/>
    <w:rsid w:val="002403F1"/>
    <w:rsid w:val="00243AB3"/>
    <w:rsid w:val="00243EFD"/>
    <w:rsid w:val="00245604"/>
    <w:rsid w:val="002478A7"/>
    <w:rsid w:val="00252DA8"/>
    <w:rsid w:val="00253D5B"/>
    <w:rsid w:val="00257157"/>
    <w:rsid w:val="00260AA7"/>
    <w:rsid w:val="002619F5"/>
    <w:rsid w:val="0026203E"/>
    <w:rsid w:val="00262F48"/>
    <w:rsid w:val="00264B85"/>
    <w:rsid w:val="00265DA2"/>
    <w:rsid w:val="00267DF8"/>
    <w:rsid w:val="00275375"/>
    <w:rsid w:val="00276599"/>
    <w:rsid w:val="00277B98"/>
    <w:rsid w:val="00277F70"/>
    <w:rsid w:val="0028089E"/>
    <w:rsid w:val="00282FF6"/>
    <w:rsid w:val="00284904"/>
    <w:rsid w:val="00297930"/>
    <w:rsid w:val="00297C39"/>
    <w:rsid w:val="002A053B"/>
    <w:rsid w:val="002A2BFE"/>
    <w:rsid w:val="002A74BB"/>
    <w:rsid w:val="002B052D"/>
    <w:rsid w:val="002B05D1"/>
    <w:rsid w:val="002B0D86"/>
    <w:rsid w:val="002B106E"/>
    <w:rsid w:val="002B177A"/>
    <w:rsid w:val="002B1ABC"/>
    <w:rsid w:val="002B3B39"/>
    <w:rsid w:val="002B4C79"/>
    <w:rsid w:val="002B4E36"/>
    <w:rsid w:val="002B5322"/>
    <w:rsid w:val="002B563B"/>
    <w:rsid w:val="002B67AA"/>
    <w:rsid w:val="002C20F1"/>
    <w:rsid w:val="002C2141"/>
    <w:rsid w:val="002C27C6"/>
    <w:rsid w:val="002C34BD"/>
    <w:rsid w:val="002C67ED"/>
    <w:rsid w:val="002C7C0A"/>
    <w:rsid w:val="002D1171"/>
    <w:rsid w:val="002D4B0F"/>
    <w:rsid w:val="002D6747"/>
    <w:rsid w:val="002E191B"/>
    <w:rsid w:val="002E2302"/>
    <w:rsid w:val="002E55B8"/>
    <w:rsid w:val="002E5B96"/>
    <w:rsid w:val="002E5D6A"/>
    <w:rsid w:val="002E5F32"/>
    <w:rsid w:val="002E7733"/>
    <w:rsid w:val="002F07D7"/>
    <w:rsid w:val="002F0BDE"/>
    <w:rsid w:val="002F1E96"/>
    <w:rsid w:val="002F5E26"/>
    <w:rsid w:val="002F5EBA"/>
    <w:rsid w:val="002F5FE4"/>
    <w:rsid w:val="002F6077"/>
    <w:rsid w:val="003033A0"/>
    <w:rsid w:val="00305F7F"/>
    <w:rsid w:val="00306F4E"/>
    <w:rsid w:val="003114BA"/>
    <w:rsid w:val="0031284C"/>
    <w:rsid w:val="003132C1"/>
    <w:rsid w:val="003148D8"/>
    <w:rsid w:val="00315545"/>
    <w:rsid w:val="00317D19"/>
    <w:rsid w:val="00320224"/>
    <w:rsid w:val="003220F7"/>
    <w:rsid w:val="0032255D"/>
    <w:rsid w:val="00322C95"/>
    <w:rsid w:val="00323921"/>
    <w:rsid w:val="00327296"/>
    <w:rsid w:val="00330008"/>
    <w:rsid w:val="00330473"/>
    <w:rsid w:val="0033237C"/>
    <w:rsid w:val="00332F09"/>
    <w:rsid w:val="003334BD"/>
    <w:rsid w:val="003335C8"/>
    <w:rsid w:val="00333C0B"/>
    <w:rsid w:val="003348D3"/>
    <w:rsid w:val="003362EC"/>
    <w:rsid w:val="00336A24"/>
    <w:rsid w:val="00337310"/>
    <w:rsid w:val="00337B73"/>
    <w:rsid w:val="00337C60"/>
    <w:rsid w:val="003402E4"/>
    <w:rsid w:val="003417A9"/>
    <w:rsid w:val="00343934"/>
    <w:rsid w:val="00344963"/>
    <w:rsid w:val="00344E6E"/>
    <w:rsid w:val="00345D51"/>
    <w:rsid w:val="0034768A"/>
    <w:rsid w:val="00351EEB"/>
    <w:rsid w:val="00352A19"/>
    <w:rsid w:val="00354FE7"/>
    <w:rsid w:val="0035510E"/>
    <w:rsid w:val="00357AB3"/>
    <w:rsid w:val="00357CA4"/>
    <w:rsid w:val="00360656"/>
    <w:rsid w:val="00361B55"/>
    <w:rsid w:val="00365155"/>
    <w:rsid w:val="003658B3"/>
    <w:rsid w:val="003664C4"/>
    <w:rsid w:val="0037176A"/>
    <w:rsid w:val="00372F46"/>
    <w:rsid w:val="00372FC2"/>
    <w:rsid w:val="003734D1"/>
    <w:rsid w:val="003736D3"/>
    <w:rsid w:val="0037421F"/>
    <w:rsid w:val="00374F1D"/>
    <w:rsid w:val="003764BD"/>
    <w:rsid w:val="00376916"/>
    <w:rsid w:val="0038194A"/>
    <w:rsid w:val="00383F1E"/>
    <w:rsid w:val="00385276"/>
    <w:rsid w:val="003930D5"/>
    <w:rsid w:val="00396284"/>
    <w:rsid w:val="003962DF"/>
    <w:rsid w:val="00397660"/>
    <w:rsid w:val="003A0884"/>
    <w:rsid w:val="003A402B"/>
    <w:rsid w:val="003A571E"/>
    <w:rsid w:val="003A5C56"/>
    <w:rsid w:val="003A6F4E"/>
    <w:rsid w:val="003A7980"/>
    <w:rsid w:val="003A7BB0"/>
    <w:rsid w:val="003B15E8"/>
    <w:rsid w:val="003B2A77"/>
    <w:rsid w:val="003B3C36"/>
    <w:rsid w:val="003B42B7"/>
    <w:rsid w:val="003B63E0"/>
    <w:rsid w:val="003B695B"/>
    <w:rsid w:val="003B6D64"/>
    <w:rsid w:val="003B7D2D"/>
    <w:rsid w:val="003C0B0A"/>
    <w:rsid w:val="003C16D2"/>
    <w:rsid w:val="003C284C"/>
    <w:rsid w:val="003C50A4"/>
    <w:rsid w:val="003C6570"/>
    <w:rsid w:val="003C6D72"/>
    <w:rsid w:val="003D044A"/>
    <w:rsid w:val="003D45D6"/>
    <w:rsid w:val="003D4C67"/>
    <w:rsid w:val="003D74DB"/>
    <w:rsid w:val="003D7619"/>
    <w:rsid w:val="003E1ACD"/>
    <w:rsid w:val="003E3015"/>
    <w:rsid w:val="003E4F8C"/>
    <w:rsid w:val="003E682A"/>
    <w:rsid w:val="003E722F"/>
    <w:rsid w:val="003F2422"/>
    <w:rsid w:val="003F2FC8"/>
    <w:rsid w:val="003F438E"/>
    <w:rsid w:val="003F607B"/>
    <w:rsid w:val="003F71C5"/>
    <w:rsid w:val="003F7811"/>
    <w:rsid w:val="004000C6"/>
    <w:rsid w:val="0040040B"/>
    <w:rsid w:val="004028D7"/>
    <w:rsid w:val="00402A14"/>
    <w:rsid w:val="00402FE9"/>
    <w:rsid w:val="00403CA2"/>
    <w:rsid w:val="004055FF"/>
    <w:rsid w:val="00406BD8"/>
    <w:rsid w:val="00410DA5"/>
    <w:rsid w:val="00411F3F"/>
    <w:rsid w:val="00413555"/>
    <w:rsid w:val="00413FAF"/>
    <w:rsid w:val="00415875"/>
    <w:rsid w:val="00420351"/>
    <w:rsid w:val="00420E35"/>
    <w:rsid w:val="00422872"/>
    <w:rsid w:val="0042300C"/>
    <w:rsid w:val="00424A7E"/>
    <w:rsid w:val="00425D65"/>
    <w:rsid w:val="00426275"/>
    <w:rsid w:val="0042667C"/>
    <w:rsid w:val="00430337"/>
    <w:rsid w:val="00433A90"/>
    <w:rsid w:val="0044209E"/>
    <w:rsid w:val="004420D9"/>
    <w:rsid w:val="00442A14"/>
    <w:rsid w:val="004430F7"/>
    <w:rsid w:val="004455CC"/>
    <w:rsid w:val="00445EF0"/>
    <w:rsid w:val="00446466"/>
    <w:rsid w:val="004478C1"/>
    <w:rsid w:val="00455FDE"/>
    <w:rsid w:val="0046213E"/>
    <w:rsid w:val="00474417"/>
    <w:rsid w:val="00477AFD"/>
    <w:rsid w:val="00480A13"/>
    <w:rsid w:val="00480BB3"/>
    <w:rsid w:val="00480FA6"/>
    <w:rsid w:val="00481839"/>
    <w:rsid w:val="00481B20"/>
    <w:rsid w:val="00485E09"/>
    <w:rsid w:val="00486A05"/>
    <w:rsid w:val="00487C47"/>
    <w:rsid w:val="00490E03"/>
    <w:rsid w:val="00494223"/>
    <w:rsid w:val="004949C6"/>
    <w:rsid w:val="0049570C"/>
    <w:rsid w:val="004A4E1C"/>
    <w:rsid w:val="004A5242"/>
    <w:rsid w:val="004A547A"/>
    <w:rsid w:val="004A78A3"/>
    <w:rsid w:val="004B036B"/>
    <w:rsid w:val="004B0CD0"/>
    <w:rsid w:val="004B4779"/>
    <w:rsid w:val="004C17CD"/>
    <w:rsid w:val="004C1A19"/>
    <w:rsid w:val="004C1A6C"/>
    <w:rsid w:val="004C1DEF"/>
    <w:rsid w:val="004C2350"/>
    <w:rsid w:val="004C28BD"/>
    <w:rsid w:val="004C510F"/>
    <w:rsid w:val="004C5FF8"/>
    <w:rsid w:val="004C6B6A"/>
    <w:rsid w:val="004C6EE2"/>
    <w:rsid w:val="004D053B"/>
    <w:rsid w:val="004D37F7"/>
    <w:rsid w:val="004D3C7D"/>
    <w:rsid w:val="004D50CC"/>
    <w:rsid w:val="004D5EC4"/>
    <w:rsid w:val="004D6C02"/>
    <w:rsid w:val="004D7B41"/>
    <w:rsid w:val="004E4FA3"/>
    <w:rsid w:val="004E7ABF"/>
    <w:rsid w:val="004F031D"/>
    <w:rsid w:val="004F0756"/>
    <w:rsid w:val="004F2624"/>
    <w:rsid w:val="004F2656"/>
    <w:rsid w:val="004F497C"/>
    <w:rsid w:val="004F6498"/>
    <w:rsid w:val="00500024"/>
    <w:rsid w:val="00502B80"/>
    <w:rsid w:val="00503EF2"/>
    <w:rsid w:val="0050712B"/>
    <w:rsid w:val="00511CC5"/>
    <w:rsid w:val="005172FB"/>
    <w:rsid w:val="00525A8E"/>
    <w:rsid w:val="00525F46"/>
    <w:rsid w:val="00526415"/>
    <w:rsid w:val="005265CB"/>
    <w:rsid w:val="0053039E"/>
    <w:rsid w:val="0053320E"/>
    <w:rsid w:val="005345F6"/>
    <w:rsid w:val="00534751"/>
    <w:rsid w:val="005353EE"/>
    <w:rsid w:val="00535CF6"/>
    <w:rsid w:val="00536783"/>
    <w:rsid w:val="00537277"/>
    <w:rsid w:val="00542B84"/>
    <w:rsid w:val="005434BE"/>
    <w:rsid w:val="0054381B"/>
    <w:rsid w:val="005456AA"/>
    <w:rsid w:val="005473E4"/>
    <w:rsid w:val="00547FEF"/>
    <w:rsid w:val="00551DC5"/>
    <w:rsid w:val="0055529E"/>
    <w:rsid w:val="00555DA2"/>
    <w:rsid w:val="005573DC"/>
    <w:rsid w:val="00557FEB"/>
    <w:rsid w:val="005622BA"/>
    <w:rsid w:val="00564569"/>
    <w:rsid w:val="0056760B"/>
    <w:rsid w:val="005711A7"/>
    <w:rsid w:val="00571E1B"/>
    <w:rsid w:val="00574805"/>
    <w:rsid w:val="005763E1"/>
    <w:rsid w:val="00576D49"/>
    <w:rsid w:val="00577D90"/>
    <w:rsid w:val="005811C2"/>
    <w:rsid w:val="005827A5"/>
    <w:rsid w:val="005854D3"/>
    <w:rsid w:val="00585DA0"/>
    <w:rsid w:val="005915A8"/>
    <w:rsid w:val="005915E5"/>
    <w:rsid w:val="00591779"/>
    <w:rsid w:val="00592685"/>
    <w:rsid w:val="00595813"/>
    <w:rsid w:val="00596F02"/>
    <w:rsid w:val="0059706E"/>
    <w:rsid w:val="005A1245"/>
    <w:rsid w:val="005A4C39"/>
    <w:rsid w:val="005A4F8A"/>
    <w:rsid w:val="005A7465"/>
    <w:rsid w:val="005B0C5A"/>
    <w:rsid w:val="005B20F5"/>
    <w:rsid w:val="005B2924"/>
    <w:rsid w:val="005B4A4F"/>
    <w:rsid w:val="005C04DC"/>
    <w:rsid w:val="005C3D15"/>
    <w:rsid w:val="005C3DE1"/>
    <w:rsid w:val="005C40BE"/>
    <w:rsid w:val="005C412D"/>
    <w:rsid w:val="005C52D8"/>
    <w:rsid w:val="005C58BF"/>
    <w:rsid w:val="005D22FB"/>
    <w:rsid w:val="005D2B8F"/>
    <w:rsid w:val="005E019A"/>
    <w:rsid w:val="005E1958"/>
    <w:rsid w:val="005E1BB7"/>
    <w:rsid w:val="005E23BA"/>
    <w:rsid w:val="005E4EB5"/>
    <w:rsid w:val="005E51F2"/>
    <w:rsid w:val="005E5758"/>
    <w:rsid w:val="005E6D14"/>
    <w:rsid w:val="005E7BD5"/>
    <w:rsid w:val="005F27D0"/>
    <w:rsid w:val="005F3C23"/>
    <w:rsid w:val="005F4970"/>
    <w:rsid w:val="005F5323"/>
    <w:rsid w:val="00601AC8"/>
    <w:rsid w:val="00602796"/>
    <w:rsid w:val="00602AEB"/>
    <w:rsid w:val="00602F82"/>
    <w:rsid w:val="00604D7D"/>
    <w:rsid w:val="00606ABB"/>
    <w:rsid w:val="006123C3"/>
    <w:rsid w:val="00612CF2"/>
    <w:rsid w:val="00615079"/>
    <w:rsid w:val="006167B6"/>
    <w:rsid w:val="00616F70"/>
    <w:rsid w:val="00617AF3"/>
    <w:rsid w:val="00621B4E"/>
    <w:rsid w:val="0062240B"/>
    <w:rsid w:val="00623651"/>
    <w:rsid w:val="00624D63"/>
    <w:rsid w:val="00626DC7"/>
    <w:rsid w:val="0063019D"/>
    <w:rsid w:val="00630324"/>
    <w:rsid w:val="00630908"/>
    <w:rsid w:val="006313A2"/>
    <w:rsid w:val="00635772"/>
    <w:rsid w:val="006368EF"/>
    <w:rsid w:val="00640210"/>
    <w:rsid w:val="00642193"/>
    <w:rsid w:val="0064377D"/>
    <w:rsid w:val="00644B06"/>
    <w:rsid w:val="00646A9D"/>
    <w:rsid w:val="00651E79"/>
    <w:rsid w:val="00652856"/>
    <w:rsid w:val="00653994"/>
    <w:rsid w:val="00654588"/>
    <w:rsid w:val="00656421"/>
    <w:rsid w:val="006569A7"/>
    <w:rsid w:val="00657C9E"/>
    <w:rsid w:val="00663B7F"/>
    <w:rsid w:val="00665860"/>
    <w:rsid w:val="00665B85"/>
    <w:rsid w:val="00674CFF"/>
    <w:rsid w:val="0067699E"/>
    <w:rsid w:val="00676B04"/>
    <w:rsid w:val="00676ED2"/>
    <w:rsid w:val="006820C7"/>
    <w:rsid w:val="0068623F"/>
    <w:rsid w:val="00690AED"/>
    <w:rsid w:val="0069107B"/>
    <w:rsid w:val="00693AE6"/>
    <w:rsid w:val="006A1552"/>
    <w:rsid w:val="006A1D12"/>
    <w:rsid w:val="006A258F"/>
    <w:rsid w:val="006A4443"/>
    <w:rsid w:val="006A576A"/>
    <w:rsid w:val="006A6CCF"/>
    <w:rsid w:val="006B2915"/>
    <w:rsid w:val="006B2A1E"/>
    <w:rsid w:val="006B2DF6"/>
    <w:rsid w:val="006B30E9"/>
    <w:rsid w:val="006B3A5A"/>
    <w:rsid w:val="006B4383"/>
    <w:rsid w:val="006B4975"/>
    <w:rsid w:val="006C2BA1"/>
    <w:rsid w:val="006C5596"/>
    <w:rsid w:val="006C5DA4"/>
    <w:rsid w:val="006C6A21"/>
    <w:rsid w:val="006C78E1"/>
    <w:rsid w:val="006D04A0"/>
    <w:rsid w:val="006D0F4F"/>
    <w:rsid w:val="006D23A9"/>
    <w:rsid w:val="006D2D59"/>
    <w:rsid w:val="006D3AB7"/>
    <w:rsid w:val="006D5425"/>
    <w:rsid w:val="006D5B22"/>
    <w:rsid w:val="006D7414"/>
    <w:rsid w:val="006E3239"/>
    <w:rsid w:val="006E3ACF"/>
    <w:rsid w:val="006E3FFA"/>
    <w:rsid w:val="006E53F8"/>
    <w:rsid w:val="006E665E"/>
    <w:rsid w:val="006F02BB"/>
    <w:rsid w:val="006F0B81"/>
    <w:rsid w:val="006F1067"/>
    <w:rsid w:val="006F1EC9"/>
    <w:rsid w:val="006F6A48"/>
    <w:rsid w:val="00701958"/>
    <w:rsid w:val="00701E09"/>
    <w:rsid w:val="007035D6"/>
    <w:rsid w:val="00703EF9"/>
    <w:rsid w:val="00710C06"/>
    <w:rsid w:val="00710D7F"/>
    <w:rsid w:val="00711B4C"/>
    <w:rsid w:val="007124CF"/>
    <w:rsid w:val="00712513"/>
    <w:rsid w:val="00716546"/>
    <w:rsid w:val="00720930"/>
    <w:rsid w:val="0072283B"/>
    <w:rsid w:val="0072284F"/>
    <w:rsid w:val="00722DF7"/>
    <w:rsid w:val="0072385F"/>
    <w:rsid w:val="00724DA9"/>
    <w:rsid w:val="00725F72"/>
    <w:rsid w:val="007263A5"/>
    <w:rsid w:val="007265F9"/>
    <w:rsid w:val="007279A3"/>
    <w:rsid w:val="0073098D"/>
    <w:rsid w:val="00731B26"/>
    <w:rsid w:val="00734F36"/>
    <w:rsid w:val="00741C29"/>
    <w:rsid w:val="00742685"/>
    <w:rsid w:val="007427DB"/>
    <w:rsid w:val="00746360"/>
    <w:rsid w:val="007465F4"/>
    <w:rsid w:val="00747045"/>
    <w:rsid w:val="0074778B"/>
    <w:rsid w:val="0075058F"/>
    <w:rsid w:val="00750A6C"/>
    <w:rsid w:val="00751636"/>
    <w:rsid w:val="007519DC"/>
    <w:rsid w:val="0075220D"/>
    <w:rsid w:val="00752C56"/>
    <w:rsid w:val="007538E4"/>
    <w:rsid w:val="00757458"/>
    <w:rsid w:val="00757843"/>
    <w:rsid w:val="00757F99"/>
    <w:rsid w:val="007618D5"/>
    <w:rsid w:val="00761E44"/>
    <w:rsid w:val="00761F5C"/>
    <w:rsid w:val="007626F9"/>
    <w:rsid w:val="00764655"/>
    <w:rsid w:val="00766406"/>
    <w:rsid w:val="00767772"/>
    <w:rsid w:val="00771D08"/>
    <w:rsid w:val="00772859"/>
    <w:rsid w:val="007742EE"/>
    <w:rsid w:val="00774917"/>
    <w:rsid w:val="00783301"/>
    <w:rsid w:val="0078424C"/>
    <w:rsid w:val="00786A93"/>
    <w:rsid w:val="0079038C"/>
    <w:rsid w:val="00790E30"/>
    <w:rsid w:val="00791244"/>
    <w:rsid w:val="0079151A"/>
    <w:rsid w:val="0079418A"/>
    <w:rsid w:val="00794CAB"/>
    <w:rsid w:val="00794CE3"/>
    <w:rsid w:val="00796121"/>
    <w:rsid w:val="007969EF"/>
    <w:rsid w:val="00797DD8"/>
    <w:rsid w:val="00797E2D"/>
    <w:rsid w:val="007A381A"/>
    <w:rsid w:val="007A58F5"/>
    <w:rsid w:val="007A70AA"/>
    <w:rsid w:val="007B0E6C"/>
    <w:rsid w:val="007B4D00"/>
    <w:rsid w:val="007B5323"/>
    <w:rsid w:val="007B5751"/>
    <w:rsid w:val="007B73A0"/>
    <w:rsid w:val="007C22A4"/>
    <w:rsid w:val="007C2FB6"/>
    <w:rsid w:val="007C38F0"/>
    <w:rsid w:val="007C3959"/>
    <w:rsid w:val="007C3D5D"/>
    <w:rsid w:val="007C4169"/>
    <w:rsid w:val="007C580B"/>
    <w:rsid w:val="007C719F"/>
    <w:rsid w:val="007D1A27"/>
    <w:rsid w:val="007D5B7F"/>
    <w:rsid w:val="007D64B0"/>
    <w:rsid w:val="007E0472"/>
    <w:rsid w:val="007E3407"/>
    <w:rsid w:val="007E622B"/>
    <w:rsid w:val="007E77CE"/>
    <w:rsid w:val="007F1A4F"/>
    <w:rsid w:val="007F1DAD"/>
    <w:rsid w:val="007F276F"/>
    <w:rsid w:val="007F4112"/>
    <w:rsid w:val="007F4137"/>
    <w:rsid w:val="007F51DF"/>
    <w:rsid w:val="008004A8"/>
    <w:rsid w:val="008009A8"/>
    <w:rsid w:val="0080286C"/>
    <w:rsid w:val="00805205"/>
    <w:rsid w:val="008069D8"/>
    <w:rsid w:val="00810091"/>
    <w:rsid w:val="00812B2B"/>
    <w:rsid w:val="008137F4"/>
    <w:rsid w:val="0081380E"/>
    <w:rsid w:val="008138CA"/>
    <w:rsid w:val="00815E90"/>
    <w:rsid w:val="00817788"/>
    <w:rsid w:val="00820932"/>
    <w:rsid w:val="00820F90"/>
    <w:rsid w:val="00821565"/>
    <w:rsid w:val="008278E5"/>
    <w:rsid w:val="00827CE3"/>
    <w:rsid w:val="008339F8"/>
    <w:rsid w:val="00834479"/>
    <w:rsid w:val="00834B33"/>
    <w:rsid w:val="008356A4"/>
    <w:rsid w:val="0083707B"/>
    <w:rsid w:val="008376AB"/>
    <w:rsid w:val="008378FC"/>
    <w:rsid w:val="00840FD1"/>
    <w:rsid w:val="00841938"/>
    <w:rsid w:val="00842BA2"/>
    <w:rsid w:val="00843CC5"/>
    <w:rsid w:val="00845D22"/>
    <w:rsid w:val="0085059A"/>
    <w:rsid w:val="008523C9"/>
    <w:rsid w:val="008527AE"/>
    <w:rsid w:val="00854E7B"/>
    <w:rsid w:val="008553DB"/>
    <w:rsid w:val="008565D5"/>
    <w:rsid w:val="00862A02"/>
    <w:rsid w:val="00862B5D"/>
    <w:rsid w:val="00862B6D"/>
    <w:rsid w:val="0086442F"/>
    <w:rsid w:val="00867BDE"/>
    <w:rsid w:val="00867FB1"/>
    <w:rsid w:val="0087031A"/>
    <w:rsid w:val="00870947"/>
    <w:rsid w:val="00870FB5"/>
    <w:rsid w:val="00871351"/>
    <w:rsid w:val="00872648"/>
    <w:rsid w:val="008732FF"/>
    <w:rsid w:val="00873349"/>
    <w:rsid w:val="008769B6"/>
    <w:rsid w:val="00876F96"/>
    <w:rsid w:val="008824D2"/>
    <w:rsid w:val="00884E68"/>
    <w:rsid w:val="008858F0"/>
    <w:rsid w:val="00885F2B"/>
    <w:rsid w:val="0088633B"/>
    <w:rsid w:val="008873C7"/>
    <w:rsid w:val="00887406"/>
    <w:rsid w:val="0089378F"/>
    <w:rsid w:val="008954D4"/>
    <w:rsid w:val="00895AFA"/>
    <w:rsid w:val="008A1B58"/>
    <w:rsid w:val="008A1D20"/>
    <w:rsid w:val="008A32A1"/>
    <w:rsid w:val="008A5BF9"/>
    <w:rsid w:val="008A7E24"/>
    <w:rsid w:val="008B3987"/>
    <w:rsid w:val="008B3B94"/>
    <w:rsid w:val="008C05C6"/>
    <w:rsid w:val="008C0A88"/>
    <w:rsid w:val="008C1CEF"/>
    <w:rsid w:val="008C1E15"/>
    <w:rsid w:val="008C31DB"/>
    <w:rsid w:val="008C39D5"/>
    <w:rsid w:val="008C4324"/>
    <w:rsid w:val="008C47BE"/>
    <w:rsid w:val="008C5BCC"/>
    <w:rsid w:val="008C5CB7"/>
    <w:rsid w:val="008D557E"/>
    <w:rsid w:val="008D6862"/>
    <w:rsid w:val="008D6EE5"/>
    <w:rsid w:val="008E0286"/>
    <w:rsid w:val="008E20BF"/>
    <w:rsid w:val="008E23C2"/>
    <w:rsid w:val="008E4E7C"/>
    <w:rsid w:val="008E7C85"/>
    <w:rsid w:val="008F2DE3"/>
    <w:rsid w:val="008F4234"/>
    <w:rsid w:val="008F56E2"/>
    <w:rsid w:val="008F6833"/>
    <w:rsid w:val="008F7017"/>
    <w:rsid w:val="008F7B85"/>
    <w:rsid w:val="009025DA"/>
    <w:rsid w:val="00903747"/>
    <w:rsid w:val="00904EFB"/>
    <w:rsid w:val="00905350"/>
    <w:rsid w:val="009067AB"/>
    <w:rsid w:val="00910038"/>
    <w:rsid w:val="009107F4"/>
    <w:rsid w:val="00910A34"/>
    <w:rsid w:val="00911350"/>
    <w:rsid w:val="0091197A"/>
    <w:rsid w:val="00911CE8"/>
    <w:rsid w:val="00912D20"/>
    <w:rsid w:val="009138FC"/>
    <w:rsid w:val="00914BD8"/>
    <w:rsid w:val="0091563E"/>
    <w:rsid w:val="00920981"/>
    <w:rsid w:val="0092189B"/>
    <w:rsid w:val="009225A9"/>
    <w:rsid w:val="0092344F"/>
    <w:rsid w:val="009234D9"/>
    <w:rsid w:val="009239E8"/>
    <w:rsid w:val="00924A95"/>
    <w:rsid w:val="00927569"/>
    <w:rsid w:val="009305E1"/>
    <w:rsid w:val="00930BBA"/>
    <w:rsid w:val="00931204"/>
    <w:rsid w:val="00932561"/>
    <w:rsid w:val="009335D5"/>
    <w:rsid w:val="00933E3B"/>
    <w:rsid w:val="009363A3"/>
    <w:rsid w:val="00936BE9"/>
    <w:rsid w:val="00941984"/>
    <w:rsid w:val="00943CEE"/>
    <w:rsid w:val="009445A1"/>
    <w:rsid w:val="009449E4"/>
    <w:rsid w:val="00947E2F"/>
    <w:rsid w:val="009507B2"/>
    <w:rsid w:val="0095091D"/>
    <w:rsid w:val="009515B4"/>
    <w:rsid w:val="009533C8"/>
    <w:rsid w:val="009554D8"/>
    <w:rsid w:val="00956308"/>
    <w:rsid w:val="0096140D"/>
    <w:rsid w:val="00961721"/>
    <w:rsid w:val="009619F8"/>
    <w:rsid w:val="00962E5D"/>
    <w:rsid w:val="009638C8"/>
    <w:rsid w:val="009701B0"/>
    <w:rsid w:val="00973F91"/>
    <w:rsid w:val="009742DF"/>
    <w:rsid w:val="00974AD7"/>
    <w:rsid w:val="00976F80"/>
    <w:rsid w:val="00977EFF"/>
    <w:rsid w:val="009804D1"/>
    <w:rsid w:val="00980FCB"/>
    <w:rsid w:val="009810D0"/>
    <w:rsid w:val="009860FE"/>
    <w:rsid w:val="00986F7F"/>
    <w:rsid w:val="00990A0D"/>
    <w:rsid w:val="009922DD"/>
    <w:rsid w:val="009930C4"/>
    <w:rsid w:val="00996D5B"/>
    <w:rsid w:val="00997FAC"/>
    <w:rsid w:val="009A04C0"/>
    <w:rsid w:val="009A0D55"/>
    <w:rsid w:val="009A3AC0"/>
    <w:rsid w:val="009A3E89"/>
    <w:rsid w:val="009A3F0F"/>
    <w:rsid w:val="009A6A00"/>
    <w:rsid w:val="009A7048"/>
    <w:rsid w:val="009B0582"/>
    <w:rsid w:val="009B0EF8"/>
    <w:rsid w:val="009B2C01"/>
    <w:rsid w:val="009B3CE5"/>
    <w:rsid w:val="009B5930"/>
    <w:rsid w:val="009B5990"/>
    <w:rsid w:val="009B6BBC"/>
    <w:rsid w:val="009C1DA0"/>
    <w:rsid w:val="009C26C5"/>
    <w:rsid w:val="009C27FD"/>
    <w:rsid w:val="009C6575"/>
    <w:rsid w:val="009C6E83"/>
    <w:rsid w:val="009D0A2B"/>
    <w:rsid w:val="009E014B"/>
    <w:rsid w:val="009E0AB8"/>
    <w:rsid w:val="009E169B"/>
    <w:rsid w:val="009E28C8"/>
    <w:rsid w:val="009E348F"/>
    <w:rsid w:val="009E3C44"/>
    <w:rsid w:val="009E3D81"/>
    <w:rsid w:val="009E578F"/>
    <w:rsid w:val="009E6662"/>
    <w:rsid w:val="009F0251"/>
    <w:rsid w:val="009F1AA9"/>
    <w:rsid w:val="009F1F19"/>
    <w:rsid w:val="009F3080"/>
    <w:rsid w:val="009F67C6"/>
    <w:rsid w:val="009F6947"/>
    <w:rsid w:val="00A0052B"/>
    <w:rsid w:val="00A007B0"/>
    <w:rsid w:val="00A03ACF"/>
    <w:rsid w:val="00A03B40"/>
    <w:rsid w:val="00A03D12"/>
    <w:rsid w:val="00A042E9"/>
    <w:rsid w:val="00A05DA2"/>
    <w:rsid w:val="00A10DD0"/>
    <w:rsid w:val="00A110B7"/>
    <w:rsid w:val="00A11BE0"/>
    <w:rsid w:val="00A12D86"/>
    <w:rsid w:val="00A13707"/>
    <w:rsid w:val="00A16074"/>
    <w:rsid w:val="00A1750C"/>
    <w:rsid w:val="00A21EAA"/>
    <w:rsid w:val="00A2368F"/>
    <w:rsid w:val="00A23896"/>
    <w:rsid w:val="00A2615B"/>
    <w:rsid w:val="00A2740E"/>
    <w:rsid w:val="00A2780D"/>
    <w:rsid w:val="00A27F6A"/>
    <w:rsid w:val="00A30484"/>
    <w:rsid w:val="00A31D71"/>
    <w:rsid w:val="00A34B14"/>
    <w:rsid w:val="00A351E6"/>
    <w:rsid w:val="00A35717"/>
    <w:rsid w:val="00A35C94"/>
    <w:rsid w:val="00A35F52"/>
    <w:rsid w:val="00A408EA"/>
    <w:rsid w:val="00A41DED"/>
    <w:rsid w:val="00A422D5"/>
    <w:rsid w:val="00A43248"/>
    <w:rsid w:val="00A45344"/>
    <w:rsid w:val="00A51841"/>
    <w:rsid w:val="00A51D15"/>
    <w:rsid w:val="00A54843"/>
    <w:rsid w:val="00A56721"/>
    <w:rsid w:val="00A60346"/>
    <w:rsid w:val="00A63037"/>
    <w:rsid w:val="00A64500"/>
    <w:rsid w:val="00A64BF4"/>
    <w:rsid w:val="00A6503C"/>
    <w:rsid w:val="00A657D4"/>
    <w:rsid w:val="00A701FE"/>
    <w:rsid w:val="00A711DD"/>
    <w:rsid w:val="00A71FF1"/>
    <w:rsid w:val="00A7262E"/>
    <w:rsid w:val="00A72695"/>
    <w:rsid w:val="00A729BB"/>
    <w:rsid w:val="00A736E8"/>
    <w:rsid w:val="00A7407E"/>
    <w:rsid w:val="00A7456B"/>
    <w:rsid w:val="00A752B0"/>
    <w:rsid w:val="00A76879"/>
    <w:rsid w:val="00A77B90"/>
    <w:rsid w:val="00A801E3"/>
    <w:rsid w:val="00A809C0"/>
    <w:rsid w:val="00A906F5"/>
    <w:rsid w:val="00A914D9"/>
    <w:rsid w:val="00A91782"/>
    <w:rsid w:val="00A91C29"/>
    <w:rsid w:val="00A9543E"/>
    <w:rsid w:val="00A956DC"/>
    <w:rsid w:val="00AA0370"/>
    <w:rsid w:val="00AA260F"/>
    <w:rsid w:val="00AA5592"/>
    <w:rsid w:val="00AB123D"/>
    <w:rsid w:val="00AB21D0"/>
    <w:rsid w:val="00AB337D"/>
    <w:rsid w:val="00AB3641"/>
    <w:rsid w:val="00AB3B1D"/>
    <w:rsid w:val="00AB4552"/>
    <w:rsid w:val="00AB521C"/>
    <w:rsid w:val="00AB5724"/>
    <w:rsid w:val="00AB68B7"/>
    <w:rsid w:val="00AC1787"/>
    <w:rsid w:val="00AC1C8B"/>
    <w:rsid w:val="00AC2411"/>
    <w:rsid w:val="00AC39E9"/>
    <w:rsid w:val="00AC61F0"/>
    <w:rsid w:val="00AC6A69"/>
    <w:rsid w:val="00AC77B9"/>
    <w:rsid w:val="00AC7FD5"/>
    <w:rsid w:val="00AD2386"/>
    <w:rsid w:val="00AD24F6"/>
    <w:rsid w:val="00AD2717"/>
    <w:rsid w:val="00AE477F"/>
    <w:rsid w:val="00AE6337"/>
    <w:rsid w:val="00AE6642"/>
    <w:rsid w:val="00AF1D04"/>
    <w:rsid w:val="00AF26CE"/>
    <w:rsid w:val="00AF2DE4"/>
    <w:rsid w:val="00AF30AA"/>
    <w:rsid w:val="00AF3B51"/>
    <w:rsid w:val="00AF5A3D"/>
    <w:rsid w:val="00AF5F17"/>
    <w:rsid w:val="00B008CA"/>
    <w:rsid w:val="00B02067"/>
    <w:rsid w:val="00B02E67"/>
    <w:rsid w:val="00B04934"/>
    <w:rsid w:val="00B06980"/>
    <w:rsid w:val="00B07E81"/>
    <w:rsid w:val="00B11C11"/>
    <w:rsid w:val="00B1237A"/>
    <w:rsid w:val="00B13C55"/>
    <w:rsid w:val="00B14594"/>
    <w:rsid w:val="00B16808"/>
    <w:rsid w:val="00B169B0"/>
    <w:rsid w:val="00B20889"/>
    <w:rsid w:val="00B21976"/>
    <w:rsid w:val="00B22E8E"/>
    <w:rsid w:val="00B23085"/>
    <w:rsid w:val="00B2560C"/>
    <w:rsid w:val="00B26F1E"/>
    <w:rsid w:val="00B273BD"/>
    <w:rsid w:val="00B300FE"/>
    <w:rsid w:val="00B307D6"/>
    <w:rsid w:val="00B31347"/>
    <w:rsid w:val="00B358B9"/>
    <w:rsid w:val="00B358BC"/>
    <w:rsid w:val="00B366A6"/>
    <w:rsid w:val="00B37B06"/>
    <w:rsid w:val="00B416EA"/>
    <w:rsid w:val="00B4207B"/>
    <w:rsid w:val="00B422A9"/>
    <w:rsid w:val="00B42B78"/>
    <w:rsid w:val="00B42F7B"/>
    <w:rsid w:val="00B44187"/>
    <w:rsid w:val="00B44616"/>
    <w:rsid w:val="00B44970"/>
    <w:rsid w:val="00B46563"/>
    <w:rsid w:val="00B4679C"/>
    <w:rsid w:val="00B52906"/>
    <w:rsid w:val="00B56497"/>
    <w:rsid w:val="00B604BF"/>
    <w:rsid w:val="00B6208F"/>
    <w:rsid w:val="00B63822"/>
    <w:rsid w:val="00B6544E"/>
    <w:rsid w:val="00B67E4B"/>
    <w:rsid w:val="00B7132F"/>
    <w:rsid w:val="00B759DD"/>
    <w:rsid w:val="00B75C73"/>
    <w:rsid w:val="00B7636A"/>
    <w:rsid w:val="00B83809"/>
    <w:rsid w:val="00B85753"/>
    <w:rsid w:val="00B85DC2"/>
    <w:rsid w:val="00B86344"/>
    <w:rsid w:val="00B87116"/>
    <w:rsid w:val="00B90C5F"/>
    <w:rsid w:val="00B90E79"/>
    <w:rsid w:val="00B928EB"/>
    <w:rsid w:val="00B92FB1"/>
    <w:rsid w:val="00BA05D5"/>
    <w:rsid w:val="00BA0DA3"/>
    <w:rsid w:val="00BA2270"/>
    <w:rsid w:val="00BA3065"/>
    <w:rsid w:val="00BA6E91"/>
    <w:rsid w:val="00BA70A6"/>
    <w:rsid w:val="00BB0D43"/>
    <w:rsid w:val="00BB17BB"/>
    <w:rsid w:val="00BB1AFF"/>
    <w:rsid w:val="00BB230F"/>
    <w:rsid w:val="00BB6AFF"/>
    <w:rsid w:val="00BB7F94"/>
    <w:rsid w:val="00BC34DF"/>
    <w:rsid w:val="00BC6691"/>
    <w:rsid w:val="00BC7E24"/>
    <w:rsid w:val="00BD4259"/>
    <w:rsid w:val="00BD5978"/>
    <w:rsid w:val="00BD666B"/>
    <w:rsid w:val="00BD7575"/>
    <w:rsid w:val="00BE0212"/>
    <w:rsid w:val="00BE4466"/>
    <w:rsid w:val="00BE4810"/>
    <w:rsid w:val="00BE48D0"/>
    <w:rsid w:val="00BE7CDA"/>
    <w:rsid w:val="00C00458"/>
    <w:rsid w:val="00C05B1F"/>
    <w:rsid w:val="00C1056D"/>
    <w:rsid w:val="00C12049"/>
    <w:rsid w:val="00C12FC6"/>
    <w:rsid w:val="00C166EB"/>
    <w:rsid w:val="00C176E3"/>
    <w:rsid w:val="00C20ECE"/>
    <w:rsid w:val="00C222FE"/>
    <w:rsid w:val="00C2233D"/>
    <w:rsid w:val="00C22D83"/>
    <w:rsid w:val="00C2467C"/>
    <w:rsid w:val="00C33C8A"/>
    <w:rsid w:val="00C35115"/>
    <w:rsid w:val="00C43361"/>
    <w:rsid w:val="00C45C36"/>
    <w:rsid w:val="00C52EC6"/>
    <w:rsid w:val="00C531D6"/>
    <w:rsid w:val="00C546D6"/>
    <w:rsid w:val="00C55113"/>
    <w:rsid w:val="00C55BAD"/>
    <w:rsid w:val="00C56880"/>
    <w:rsid w:val="00C60914"/>
    <w:rsid w:val="00C61513"/>
    <w:rsid w:val="00C62DE7"/>
    <w:rsid w:val="00C64978"/>
    <w:rsid w:val="00C66934"/>
    <w:rsid w:val="00C67256"/>
    <w:rsid w:val="00C703CA"/>
    <w:rsid w:val="00C7109D"/>
    <w:rsid w:val="00C7258C"/>
    <w:rsid w:val="00C7344F"/>
    <w:rsid w:val="00C75586"/>
    <w:rsid w:val="00C76BA9"/>
    <w:rsid w:val="00C77D03"/>
    <w:rsid w:val="00C83D11"/>
    <w:rsid w:val="00C844F4"/>
    <w:rsid w:val="00C8512F"/>
    <w:rsid w:val="00C851F3"/>
    <w:rsid w:val="00C87D44"/>
    <w:rsid w:val="00C924B8"/>
    <w:rsid w:val="00C937B8"/>
    <w:rsid w:val="00C94135"/>
    <w:rsid w:val="00C9545D"/>
    <w:rsid w:val="00C95F4E"/>
    <w:rsid w:val="00C96919"/>
    <w:rsid w:val="00C9761B"/>
    <w:rsid w:val="00CA0FEC"/>
    <w:rsid w:val="00CA46F8"/>
    <w:rsid w:val="00CA50D4"/>
    <w:rsid w:val="00CB11AB"/>
    <w:rsid w:val="00CB198C"/>
    <w:rsid w:val="00CB287F"/>
    <w:rsid w:val="00CB4A69"/>
    <w:rsid w:val="00CC1C31"/>
    <w:rsid w:val="00CC3D17"/>
    <w:rsid w:val="00CC4600"/>
    <w:rsid w:val="00CC4FEB"/>
    <w:rsid w:val="00CC6003"/>
    <w:rsid w:val="00CD12BE"/>
    <w:rsid w:val="00CD2CC8"/>
    <w:rsid w:val="00CD3717"/>
    <w:rsid w:val="00CD39EC"/>
    <w:rsid w:val="00CD4CD8"/>
    <w:rsid w:val="00CD6311"/>
    <w:rsid w:val="00CD6621"/>
    <w:rsid w:val="00CE1393"/>
    <w:rsid w:val="00CE34B9"/>
    <w:rsid w:val="00CE5CFA"/>
    <w:rsid w:val="00CF0947"/>
    <w:rsid w:val="00CF11F6"/>
    <w:rsid w:val="00CF16F0"/>
    <w:rsid w:val="00CF2419"/>
    <w:rsid w:val="00CF2A0C"/>
    <w:rsid w:val="00CF3B08"/>
    <w:rsid w:val="00D0062E"/>
    <w:rsid w:val="00D00C83"/>
    <w:rsid w:val="00D0490A"/>
    <w:rsid w:val="00D04D8E"/>
    <w:rsid w:val="00D05D4A"/>
    <w:rsid w:val="00D1200F"/>
    <w:rsid w:val="00D12DD1"/>
    <w:rsid w:val="00D12F5F"/>
    <w:rsid w:val="00D15E90"/>
    <w:rsid w:val="00D15F18"/>
    <w:rsid w:val="00D1777A"/>
    <w:rsid w:val="00D201E1"/>
    <w:rsid w:val="00D21615"/>
    <w:rsid w:val="00D21C47"/>
    <w:rsid w:val="00D22812"/>
    <w:rsid w:val="00D23A67"/>
    <w:rsid w:val="00D2572E"/>
    <w:rsid w:val="00D25A79"/>
    <w:rsid w:val="00D31634"/>
    <w:rsid w:val="00D3287D"/>
    <w:rsid w:val="00D32AF7"/>
    <w:rsid w:val="00D33AEE"/>
    <w:rsid w:val="00D367A8"/>
    <w:rsid w:val="00D373FA"/>
    <w:rsid w:val="00D37CA4"/>
    <w:rsid w:val="00D406BA"/>
    <w:rsid w:val="00D41694"/>
    <w:rsid w:val="00D41B4D"/>
    <w:rsid w:val="00D44A7A"/>
    <w:rsid w:val="00D46918"/>
    <w:rsid w:val="00D51FB5"/>
    <w:rsid w:val="00D55374"/>
    <w:rsid w:val="00D55900"/>
    <w:rsid w:val="00D602C1"/>
    <w:rsid w:val="00D60642"/>
    <w:rsid w:val="00D6071A"/>
    <w:rsid w:val="00D60910"/>
    <w:rsid w:val="00D626F6"/>
    <w:rsid w:val="00D64A99"/>
    <w:rsid w:val="00D65E9A"/>
    <w:rsid w:val="00D66804"/>
    <w:rsid w:val="00D70A6F"/>
    <w:rsid w:val="00D73A8F"/>
    <w:rsid w:val="00D75BB1"/>
    <w:rsid w:val="00D77E3D"/>
    <w:rsid w:val="00D80D9C"/>
    <w:rsid w:val="00D80DBB"/>
    <w:rsid w:val="00D8149D"/>
    <w:rsid w:val="00D819FC"/>
    <w:rsid w:val="00D835C5"/>
    <w:rsid w:val="00D853E9"/>
    <w:rsid w:val="00D85844"/>
    <w:rsid w:val="00D8645E"/>
    <w:rsid w:val="00D8651B"/>
    <w:rsid w:val="00D866B0"/>
    <w:rsid w:val="00D87094"/>
    <w:rsid w:val="00D876C0"/>
    <w:rsid w:val="00D87A53"/>
    <w:rsid w:val="00D87CE4"/>
    <w:rsid w:val="00D900FB"/>
    <w:rsid w:val="00D91EE8"/>
    <w:rsid w:val="00D97A1F"/>
    <w:rsid w:val="00D97FB4"/>
    <w:rsid w:val="00DA3671"/>
    <w:rsid w:val="00DA46F4"/>
    <w:rsid w:val="00DA5904"/>
    <w:rsid w:val="00DA5DEB"/>
    <w:rsid w:val="00DB095B"/>
    <w:rsid w:val="00DB0F13"/>
    <w:rsid w:val="00DB3D75"/>
    <w:rsid w:val="00DB3DA5"/>
    <w:rsid w:val="00DB4A0C"/>
    <w:rsid w:val="00DC46CD"/>
    <w:rsid w:val="00DC6102"/>
    <w:rsid w:val="00DC7830"/>
    <w:rsid w:val="00DD02B3"/>
    <w:rsid w:val="00DD10F6"/>
    <w:rsid w:val="00DD2140"/>
    <w:rsid w:val="00DD26F7"/>
    <w:rsid w:val="00DD370E"/>
    <w:rsid w:val="00DD3AEF"/>
    <w:rsid w:val="00DD3D3A"/>
    <w:rsid w:val="00DD5FA4"/>
    <w:rsid w:val="00DD7153"/>
    <w:rsid w:val="00DD76D7"/>
    <w:rsid w:val="00DE0EB7"/>
    <w:rsid w:val="00DE29A1"/>
    <w:rsid w:val="00DE2D79"/>
    <w:rsid w:val="00DE415F"/>
    <w:rsid w:val="00DE63CF"/>
    <w:rsid w:val="00DF0ED6"/>
    <w:rsid w:val="00DF546E"/>
    <w:rsid w:val="00DF57D4"/>
    <w:rsid w:val="00DF5ADC"/>
    <w:rsid w:val="00DF6A12"/>
    <w:rsid w:val="00E035F5"/>
    <w:rsid w:val="00E0401B"/>
    <w:rsid w:val="00E0495F"/>
    <w:rsid w:val="00E07B1B"/>
    <w:rsid w:val="00E10591"/>
    <w:rsid w:val="00E10E15"/>
    <w:rsid w:val="00E14FAE"/>
    <w:rsid w:val="00E1717B"/>
    <w:rsid w:val="00E24B91"/>
    <w:rsid w:val="00E24C34"/>
    <w:rsid w:val="00E25034"/>
    <w:rsid w:val="00E27573"/>
    <w:rsid w:val="00E309A8"/>
    <w:rsid w:val="00E37814"/>
    <w:rsid w:val="00E40947"/>
    <w:rsid w:val="00E43402"/>
    <w:rsid w:val="00E45A81"/>
    <w:rsid w:val="00E46293"/>
    <w:rsid w:val="00E46937"/>
    <w:rsid w:val="00E469A4"/>
    <w:rsid w:val="00E53346"/>
    <w:rsid w:val="00E53582"/>
    <w:rsid w:val="00E53732"/>
    <w:rsid w:val="00E546D7"/>
    <w:rsid w:val="00E55854"/>
    <w:rsid w:val="00E565E8"/>
    <w:rsid w:val="00E608A5"/>
    <w:rsid w:val="00E629AD"/>
    <w:rsid w:val="00E64203"/>
    <w:rsid w:val="00E64670"/>
    <w:rsid w:val="00E64C26"/>
    <w:rsid w:val="00E64D99"/>
    <w:rsid w:val="00E66DC4"/>
    <w:rsid w:val="00E6730E"/>
    <w:rsid w:val="00E712B4"/>
    <w:rsid w:val="00E7232A"/>
    <w:rsid w:val="00E730EF"/>
    <w:rsid w:val="00E7410A"/>
    <w:rsid w:val="00E74F57"/>
    <w:rsid w:val="00E75803"/>
    <w:rsid w:val="00E76C1A"/>
    <w:rsid w:val="00E807D8"/>
    <w:rsid w:val="00E80E47"/>
    <w:rsid w:val="00E8416B"/>
    <w:rsid w:val="00E846BD"/>
    <w:rsid w:val="00E84E54"/>
    <w:rsid w:val="00E87048"/>
    <w:rsid w:val="00E87947"/>
    <w:rsid w:val="00E9011E"/>
    <w:rsid w:val="00E91980"/>
    <w:rsid w:val="00E92FD3"/>
    <w:rsid w:val="00E938F4"/>
    <w:rsid w:val="00EA00D3"/>
    <w:rsid w:val="00EA050E"/>
    <w:rsid w:val="00EA0F5E"/>
    <w:rsid w:val="00EA2083"/>
    <w:rsid w:val="00EA2DD8"/>
    <w:rsid w:val="00EA327D"/>
    <w:rsid w:val="00EA34A3"/>
    <w:rsid w:val="00EA5A36"/>
    <w:rsid w:val="00EA695F"/>
    <w:rsid w:val="00EA7CD5"/>
    <w:rsid w:val="00EA7F4C"/>
    <w:rsid w:val="00EB120B"/>
    <w:rsid w:val="00EB171A"/>
    <w:rsid w:val="00EB2AEC"/>
    <w:rsid w:val="00EB4CA6"/>
    <w:rsid w:val="00EB5143"/>
    <w:rsid w:val="00EB6A1E"/>
    <w:rsid w:val="00EB6D78"/>
    <w:rsid w:val="00EB7A48"/>
    <w:rsid w:val="00EC058D"/>
    <w:rsid w:val="00EC2771"/>
    <w:rsid w:val="00ED06CB"/>
    <w:rsid w:val="00ED25FD"/>
    <w:rsid w:val="00ED35A6"/>
    <w:rsid w:val="00EE7742"/>
    <w:rsid w:val="00EF06E0"/>
    <w:rsid w:val="00EF24B2"/>
    <w:rsid w:val="00EF2B3C"/>
    <w:rsid w:val="00EF42F5"/>
    <w:rsid w:val="00EF6E44"/>
    <w:rsid w:val="00F01879"/>
    <w:rsid w:val="00F01948"/>
    <w:rsid w:val="00F0326E"/>
    <w:rsid w:val="00F033BA"/>
    <w:rsid w:val="00F071ED"/>
    <w:rsid w:val="00F12648"/>
    <w:rsid w:val="00F1578E"/>
    <w:rsid w:val="00F15F27"/>
    <w:rsid w:val="00F20108"/>
    <w:rsid w:val="00F225E0"/>
    <w:rsid w:val="00F23C3C"/>
    <w:rsid w:val="00F26995"/>
    <w:rsid w:val="00F304F1"/>
    <w:rsid w:val="00F30F9A"/>
    <w:rsid w:val="00F3212C"/>
    <w:rsid w:val="00F3393D"/>
    <w:rsid w:val="00F43A17"/>
    <w:rsid w:val="00F46696"/>
    <w:rsid w:val="00F469FC"/>
    <w:rsid w:val="00F46A7B"/>
    <w:rsid w:val="00F52D7F"/>
    <w:rsid w:val="00F5465A"/>
    <w:rsid w:val="00F55AD7"/>
    <w:rsid w:val="00F56671"/>
    <w:rsid w:val="00F568CF"/>
    <w:rsid w:val="00F57303"/>
    <w:rsid w:val="00F6099C"/>
    <w:rsid w:val="00F60C64"/>
    <w:rsid w:val="00F6170B"/>
    <w:rsid w:val="00F61BF2"/>
    <w:rsid w:val="00F62954"/>
    <w:rsid w:val="00F64EEE"/>
    <w:rsid w:val="00F65C94"/>
    <w:rsid w:val="00F6730B"/>
    <w:rsid w:val="00F76773"/>
    <w:rsid w:val="00F80471"/>
    <w:rsid w:val="00F82B2B"/>
    <w:rsid w:val="00F86BF6"/>
    <w:rsid w:val="00F86CD0"/>
    <w:rsid w:val="00F92FA3"/>
    <w:rsid w:val="00F940CB"/>
    <w:rsid w:val="00F94F33"/>
    <w:rsid w:val="00F952EB"/>
    <w:rsid w:val="00F9592A"/>
    <w:rsid w:val="00F97890"/>
    <w:rsid w:val="00FA4929"/>
    <w:rsid w:val="00FA4BA2"/>
    <w:rsid w:val="00FA5281"/>
    <w:rsid w:val="00FA65E4"/>
    <w:rsid w:val="00FA698C"/>
    <w:rsid w:val="00FA76E5"/>
    <w:rsid w:val="00FB0519"/>
    <w:rsid w:val="00FB099A"/>
    <w:rsid w:val="00FB0BEB"/>
    <w:rsid w:val="00FB143A"/>
    <w:rsid w:val="00FB2E4E"/>
    <w:rsid w:val="00FB46BF"/>
    <w:rsid w:val="00FB5470"/>
    <w:rsid w:val="00FB61E7"/>
    <w:rsid w:val="00FB7A78"/>
    <w:rsid w:val="00FC01A3"/>
    <w:rsid w:val="00FC23D8"/>
    <w:rsid w:val="00FC2E13"/>
    <w:rsid w:val="00FC5064"/>
    <w:rsid w:val="00FC5F33"/>
    <w:rsid w:val="00FC60BD"/>
    <w:rsid w:val="00FC6DB9"/>
    <w:rsid w:val="00FD0B9F"/>
    <w:rsid w:val="00FD20E4"/>
    <w:rsid w:val="00FD4468"/>
    <w:rsid w:val="00FE0574"/>
    <w:rsid w:val="00FE10B6"/>
    <w:rsid w:val="00FE37FB"/>
    <w:rsid w:val="00FE4C14"/>
    <w:rsid w:val="00FE4DC9"/>
    <w:rsid w:val="00FE5F62"/>
    <w:rsid w:val="00FE6805"/>
    <w:rsid w:val="00FF0304"/>
    <w:rsid w:val="00FF04B1"/>
    <w:rsid w:val="00FF0C1D"/>
    <w:rsid w:val="00FF17FE"/>
    <w:rsid w:val="00FF1CCE"/>
    <w:rsid w:val="00FF3134"/>
    <w:rsid w:val="00FF320C"/>
    <w:rsid w:val="00FF41EA"/>
    <w:rsid w:val="00FF4277"/>
    <w:rsid w:val="00FF4FFC"/>
    <w:rsid w:val="00FF55F9"/>
    <w:rsid w:val="00FF6C5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0F07"/>
    <w:pPr>
      <w:suppressAutoHyphens/>
      <w:spacing w:before="280" w:after="119" w:line="240" w:lineRule="auto"/>
    </w:pPr>
    <w:rPr>
      <w:rFonts w:ascii="Times New Roman" w:eastAsia="Times New Roman" w:hAnsi="Times New Roman" w:cs="Times New Roman"/>
      <w:sz w:val="24"/>
      <w:szCs w:val="24"/>
      <w:lang w:val="lv-LV" w:eastAsia="ar-SA"/>
    </w:rPr>
  </w:style>
  <w:style w:type="paragraph" w:styleId="ListParagraph">
    <w:name w:val="List Paragraph"/>
    <w:basedOn w:val="Normal"/>
    <w:uiPriority w:val="34"/>
    <w:qFormat/>
    <w:rsid w:val="00A27F6A"/>
    <w:pPr>
      <w:ind w:left="720"/>
      <w:contextualSpacing/>
    </w:pPr>
  </w:style>
  <w:style w:type="paragraph" w:customStyle="1" w:styleId="programmas">
    <w:name w:val="programmas"/>
    <w:basedOn w:val="Normal"/>
    <w:rsid w:val="009C26C5"/>
    <w:pPr>
      <w:widowControl w:val="0"/>
      <w:spacing w:before="120" w:after="120" w:line="240" w:lineRule="auto"/>
      <w:jc w:val="center"/>
    </w:pPr>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AB3B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3B1D"/>
  </w:style>
  <w:style w:type="paragraph" w:styleId="Footer">
    <w:name w:val="footer"/>
    <w:basedOn w:val="Normal"/>
    <w:link w:val="FooterChar"/>
    <w:uiPriority w:val="99"/>
    <w:unhideWhenUsed/>
    <w:rsid w:val="00AB3B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B1D"/>
  </w:style>
  <w:style w:type="paragraph" w:styleId="BalloonText">
    <w:name w:val="Balloon Text"/>
    <w:basedOn w:val="Normal"/>
    <w:link w:val="BalloonTextChar"/>
    <w:uiPriority w:val="99"/>
    <w:semiHidden/>
    <w:unhideWhenUsed/>
    <w:rsid w:val="0009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79"/>
    <w:rPr>
      <w:rFonts w:ascii="Tahoma" w:hAnsi="Tahoma" w:cs="Tahoma"/>
      <w:sz w:val="16"/>
      <w:szCs w:val="16"/>
    </w:rPr>
  </w:style>
  <w:style w:type="table" w:styleId="TableGrid">
    <w:name w:val="Table Grid"/>
    <w:basedOn w:val="TableNormal"/>
    <w:uiPriority w:val="59"/>
    <w:rsid w:val="00D44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F6A12"/>
    <w:pPr>
      <w:spacing w:after="0" w:line="240" w:lineRule="auto"/>
    </w:pPr>
    <w:rPr>
      <w:rFonts w:ascii="Calibri" w:eastAsia="Calibri" w:hAnsi="Calibri" w:cs="Times New Roman"/>
      <w:lang w:val="lv-LV"/>
    </w:rPr>
  </w:style>
  <w:style w:type="character" w:customStyle="1" w:styleId="NoSpacingChar">
    <w:name w:val="No Spacing Char"/>
    <w:basedOn w:val="DefaultParagraphFont"/>
    <w:link w:val="NoSpacing"/>
    <w:uiPriority w:val="1"/>
    <w:rsid w:val="00DF6A12"/>
    <w:rPr>
      <w:rFonts w:ascii="Calibri" w:eastAsia="Calibri" w:hAnsi="Calibri" w:cs="Times New Roman"/>
      <w:lang w:val="lv-LV"/>
    </w:rPr>
  </w:style>
  <w:style w:type="character" w:styleId="CommentReference">
    <w:name w:val="annotation reference"/>
    <w:basedOn w:val="DefaultParagraphFont"/>
    <w:uiPriority w:val="99"/>
    <w:semiHidden/>
    <w:unhideWhenUsed/>
    <w:rsid w:val="000E569B"/>
    <w:rPr>
      <w:sz w:val="16"/>
      <w:szCs w:val="16"/>
    </w:rPr>
  </w:style>
  <w:style w:type="paragraph" w:styleId="CommentText">
    <w:name w:val="annotation text"/>
    <w:basedOn w:val="Normal"/>
    <w:link w:val="CommentTextChar"/>
    <w:unhideWhenUsed/>
    <w:rsid w:val="000E569B"/>
    <w:pPr>
      <w:spacing w:line="240" w:lineRule="auto"/>
    </w:pPr>
    <w:rPr>
      <w:sz w:val="20"/>
      <w:szCs w:val="20"/>
    </w:rPr>
  </w:style>
  <w:style w:type="character" w:customStyle="1" w:styleId="CommentTextChar">
    <w:name w:val="Comment Text Char"/>
    <w:basedOn w:val="DefaultParagraphFont"/>
    <w:link w:val="CommentText"/>
    <w:rsid w:val="000E569B"/>
    <w:rPr>
      <w:sz w:val="20"/>
      <w:szCs w:val="20"/>
    </w:rPr>
  </w:style>
  <w:style w:type="paragraph" w:styleId="CommentSubject">
    <w:name w:val="annotation subject"/>
    <w:basedOn w:val="CommentText"/>
    <w:next w:val="CommentText"/>
    <w:link w:val="CommentSubjectChar"/>
    <w:uiPriority w:val="99"/>
    <w:semiHidden/>
    <w:unhideWhenUsed/>
    <w:rsid w:val="000E569B"/>
    <w:rPr>
      <w:b/>
      <w:bCs/>
    </w:rPr>
  </w:style>
  <w:style w:type="character" w:customStyle="1" w:styleId="CommentSubjectChar">
    <w:name w:val="Comment Subject Char"/>
    <w:basedOn w:val="CommentTextChar"/>
    <w:link w:val="CommentSubject"/>
    <w:uiPriority w:val="99"/>
    <w:semiHidden/>
    <w:rsid w:val="000E569B"/>
    <w:rPr>
      <w:b/>
      <w:bCs/>
    </w:rPr>
  </w:style>
  <w:style w:type="paragraph" w:styleId="EndnoteText">
    <w:name w:val="endnote text"/>
    <w:basedOn w:val="Normal"/>
    <w:link w:val="EndnoteTextChar"/>
    <w:uiPriority w:val="99"/>
    <w:semiHidden/>
    <w:unhideWhenUsed/>
    <w:rsid w:val="001B78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78C6"/>
    <w:rPr>
      <w:sz w:val="20"/>
      <w:szCs w:val="20"/>
    </w:rPr>
  </w:style>
  <w:style w:type="character" w:styleId="EndnoteReference">
    <w:name w:val="endnote reference"/>
    <w:basedOn w:val="DefaultParagraphFont"/>
    <w:uiPriority w:val="99"/>
    <w:semiHidden/>
    <w:unhideWhenUsed/>
    <w:rsid w:val="001B78C6"/>
    <w:rPr>
      <w:vertAlign w:val="superscript"/>
    </w:rPr>
  </w:style>
  <w:style w:type="paragraph" w:styleId="FootnoteText">
    <w:name w:val="footnote text"/>
    <w:basedOn w:val="Normal"/>
    <w:link w:val="FootnoteTextChar"/>
    <w:uiPriority w:val="99"/>
    <w:semiHidden/>
    <w:unhideWhenUsed/>
    <w:rsid w:val="001B7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8C6"/>
    <w:rPr>
      <w:sz w:val="20"/>
      <w:szCs w:val="20"/>
    </w:rPr>
  </w:style>
  <w:style w:type="character" w:styleId="FootnoteReference">
    <w:name w:val="footnote reference"/>
    <w:basedOn w:val="DefaultParagraphFont"/>
    <w:uiPriority w:val="99"/>
    <w:semiHidden/>
    <w:unhideWhenUsed/>
    <w:rsid w:val="001B78C6"/>
    <w:rPr>
      <w:vertAlign w:val="superscript"/>
    </w:rPr>
  </w:style>
  <w:style w:type="character" w:styleId="Hyperlink">
    <w:name w:val="Hyperlink"/>
    <w:basedOn w:val="DefaultParagraphFont"/>
    <w:uiPriority w:val="99"/>
    <w:unhideWhenUsed/>
    <w:rsid w:val="008E20BF"/>
    <w:rPr>
      <w:color w:val="0000FF"/>
      <w:u w:val="single"/>
    </w:rPr>
  </w:style>
  <w:style w:type="character" w:styleId="FollowedHyperlink">
    <w:name w:val="FollowedHyperlink"/>
    <w:basedOn w:val="DefaultParagraphFont"/>
    <w:uiPriority w:val="99"/>
    <w:semiHidden/>
    <w:unhideWhenUsed/>
    <w:rsid w:val="00A72695"/>
    <w:rPr>
      <w:color w:val="800080"/>
      <w:u w:val="single"/>
    </w:rPr>
  </w:style>
  <w:style w:type="paragraph" w:customStyle="1" w:styleId="xl66">
    <w:name w:val="xl66"/>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67">
    <w:name w:val="xl67"/>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68">
    <w:name w:val="xl68"/>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69">
    <w:name w:val="xl69"/>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70">
    <w:name w:val="xl70"/>
    <w:basedOn w:val="Normal"/>
    <w:rsid w:val="00A72695"/>
    <w:pPr>
      <w:spacing w:before="100" w:beforeAutospacing="1" w:after="100" w:afterAutospacing="1" w:line="240" w:lineRule="auto"/>
      <w:jc w:val="center"/>
      <w:textAlignment w:val="center"/>
    </w:pPr>
    <w:rPr>
      <w:rFonts w:ascii="Times New Roman" w:eastAsia="Times New Roman" w:hAnsi="Times New Roman" w:cs="Times New Roman"/>
      <w:sz w:val="16"/>
      <w:szCs w:val="16"/>
      <w:lang w:val="lv-LV" w:eastAsia="lv-LV"/>
    </w:rPr>
  </w:style>
  <w:style w:type="paragraph" w:customStyle="1" w:styleId="xl71">
    <w:name w:val="xl71"/>
    <w:basedOn w:val="Normal"/>
    <w:rsid w:val="00A72695"/>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2">
    <w:name w:val="xl72"/>
    <w:basedOn w:val="Normal"/>
    <w:rsid w:val="00A72695"/>
    <w:pPr>
      <w:spacing w:before="100" w:beforeAutospacing="1" w:after="100" w:afterAutospacing="1" w:line="240" w:lineRule="auto"/>
      <w:textAlignment w:val="center"/>
    </w:pPr>
    <w:rPr>
      <w:rFonts w:ascii="Times New Roman" w:eastAsia="Times New Roman" w:hAnsi="Times New Roman" w:cs="Times New Roman"/>
      <w:b/>
      <w:bCs/>
      <w:sz w:val="16"/>
      <w:szCs w:val="16"/>
      <w:lang w:val="lv-LV" w:eastAsia="lv-LV"/>
    </w:rPr>
  </w:style>
  <w:style w:type="paragraph" w:customStyle="1" w:styleId="xl73">
    <w:name w:val="xl73"/>
    <w:basedOn w:val="Normal"/>
    <w:rsid w:val="00A72695"/>
    <w:pPr>
      <w:pBdr>
        <w:top w:val="single" w:sz="4" w:space="0" w:color="auto"/>
        <w:left w:val="single" w:sz="4" w:space="0" w:color="auto"/>
        <w:bottom w:val="single" w:sz="4" w:space="0" w:color="auto"/>
        <w:right w:val="single" w:sz="4" w:space="0" w:color="auto"/>
      </w:pBdr>
      <w:shd w:val="clear" w:color="4F81BD"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4">
    <w:name w:val="xl74"/>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5">
    <w:name w:val="xl75"/>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6">
    <w:name w:val="xl76"/>
    <w:basedOn w:val="Normal"/>
    <w:rsid w:val="00A72695"/>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77">
    <w:name w:val="xl77"/>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16"/>
      <w:szCs w:val="16"/>
      <w:lang w:val="lv-LV" w:eastAsia="lv-LV"/>
    </w:rPr>
  </w:style>
  <w:style w:type="paragraph" w:customStyle="1" w:styleId="xl78">
    <w:name w:val="xl78"/>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lang w:val="lv-LV" w:eastAsia="lv-LV"/>
    </w:rPr>
  </w:style>
  <w:style w:type="paragraph" w:customStyle="1" w:styleId="xl79">
    <w:name w:val="xl79"/>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lang w:val="lv-LV" w:eastAsia="lv-LV"/>
    </w:rPr>
  </w:style>
  <w:style w:type="paragraph" w:customStyle="1" w:styleId="xl80">
    <w:name w:val="xl80"/>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lang w:val="lv-LV" w:eastAsia="lv-LV"/>
    </w:rPr>
  </w:style>
  <w:style w:type="paragraph" w:customStyle="1" w:styleId="xl81">
    <w:name w:val="xl81"/>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lang w:val="lv-LV" w:eastAsia="lv-LV"/>
    </w:rPr>
  </w:style>
  <w:style w:type="paragraph" w:customStyle="1" w:styleId="xl82">
    <w:name w:val="xl82"/>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color w:val="0000FF"/>
      <w:sz w:val="16"/>
      <w:szCs w:val="16"/>
      <w:lang w:val="lv-LV" w:eastAsia="lv-LV"/>
    </w:rPr>
  </w:style>
  <w:style w:type="paragraph" w:customStyle="1" w:styleId="xl83">
    <w:name w:val="xl83"/>
    <w:basedOn w:val="Normal"/>
    <w:rsid w:val="00A72695"/>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84">
    <w:name w:val="xl84"/>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85">
    <w:name w:val="xl85"/>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lv-LV" w:eastAsia="lv-LV"/>
    </w:rPr>
  </w:style>
  <w:style w:type="paragraph" w:customStyle="1" w:styleId="xl86">
    <w:name w:val="xl86"/>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lang w:val="lv-LV" w:eastAsia="lv-LV"/>
    </w:rPr>
  </w:style>
  <w:style w:type="paragraph" w:customStyle="1" w:styleId="xl87">
    <w:name w:val="xl87"/>
    <w:basedOn w:val="Normal"/>
    <w:rsid w:val="00A72695"/>
    <w:pPr>
      <w:pBdr>
        <w:top w:val="single" w:sz="4" w:space="0" w:color="auto"/>
        <w:left w:val="single" w:sz="4" w:space="0" w:color="auto"/>
        <w:bottom w:val="single" w:sz="4" w:space="0" w:color="auto"/>
        <w:right w:val="single" w:sz="4" w:space="0" w:color="auto"/>
      </w:pBdr>
      <w:shd w:val="clear" w:color="4F81BD"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lv-LV" w:eastAsia="lv-LV"/>
    </w:rPr>
  </w:style>
  <w:style w:type="paragraph" w:customStyle="1" w:styleId="xl88">
    <w:name w:val="xl88"/>
    <w:basedOn w:val="Normal"/>
    <w:rsid w:val="00A72695"/>
    <w:pPr>
      <w:pBdr>
        <w:top w:val="single" w:sz="4" w:space="0" w:color="auto"/>
        <w:left w:val="single" w:sz="4" w:space="0" w:color="auto"/>
        <w:bottom w:val="single" w:sz="4" w:space="0" w:color="auto"/>
        <w:right w:val="single" w:sz="4" w:space="0" w:color="auto"/>
      </w:pBdr>
      <w:shd w:val="clear" w:color="4F81BD"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lv-LV" w:eastAsia="lv-LV"/>
    </w:rPr>
  </w:style>
  <w:style w:type="paragraph" w:customStyle="1" w:styleId="xl89">
    <w:name w:val="xl89"/>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lv-LV" w:eastAsia="lv-LV"/>
    </w:rPr>
  </w:style>
  <w:style w:type="paragraph" w:styleId="BodyText2">
    <w:name w:val="Body Text 2"/>
    <w:basedOn w:val="Normal"/>
    <w:link w:val="BodyText2Char"/>
    <w:semiHidden/>
    <w:rsid w:val="007265F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7265F9"/>
    <w:rPr>
      <w:rFonts w:ascii="Times New Roman" w:eastAsia="Times New Roman" w:hAnsi="Times New Roman" w:cs="Times New Roman"/>
      <w:sz w:val="24"/>
      <w:szCs w:val="24"/>
    </w:rPr>
  </w:style>
  <w:style w:type="paragraph" w:customStyle="1" w:styleId="xl90">
    <w:name w:val="xl90"/>
    <w:basedOn w:val="Normal"/>
    <w:rsid w:val="00EB6A1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Normal"/>
    <w:rsid w:val="00EB6A1E"/>
    <w:pPr>
      <w:pBdr>
        <w:left w:val="single" w:sz="8"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EB6A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3">
    <w:name w:val="xl93"/>
    <w:basedOn w:val="Normal"/>
    <w:rsid w:val="00EB6A1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4">
    <w:name w:val="xl94"/>
    <w:basedOn w:val="Normal"/>
    <w:rsid w:val="00EB6A1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5">
    <w:name w:val="xl95"/>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EB6A1E"/>
    <w:pPr>
      <w:pBdr>
        <w:left w:val="single" w:sz="8" w:space="0" w:color="auto"/>
        <w:bottom w:val="single" w:sz="8" w:space="0" w:color="auto"/>
      </w:pBdr>
      <w:shd w:val="clear" w:color="000000" w:fill="C0C0C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Normal"/>
    <w:rsid w:val="00EB6A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8">
    <w:name w:val="xl98"/>
    <w:basedOn w:val="Normal"/>
    <w:rsid w:val="00EB6A1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9">
    <w:name w:val="xl99"/>
    <w:basedOn w:val="Normal"/>
    <w:rsid w:val="00EB6A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0">
    <w:name w:val="xl100"/>
    <w:basedOn w:val="Normal"/>
    <w:rsid w:val="00EB6A1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1">
    <w:name w:val="xl101"/>
    <w:basedOn w:val="Normal"/>
    <w:rsid w:val="00EB6A1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2">
    <w:name w:val="xl102"/>
    <w:basedOn w:val="Normal"/>
    <w:rsid w:val="00EB6A1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Normal"/>
    <w:rsid w:val="00EB6A1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4">
    <w:name w:val="xl104"/>
    <w:basedOn w:val="Normal"/>
    <w:rsid w:val="00EB6A1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Normal"/>
    <w:rsid w:val="00EB6A1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6">
    <w:name w:val="xl106"/>
    <w:basedOn w:val="Normal"/>
    <w:rsid w:val="00EB6A1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Normal"/>
    <w:rsid w:val="00EB6A1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Normal"/>
    <w:rsid w:val="00EB6A1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9">
    <w:name w:val="xl109"/>
    <w:basedOn w:val="Normal"/>
    <w:rsid w:val="00EB6A1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0">
    <w:name w:val="xl110"/>
    <w:basedOn w:val="Normal"/>
    <w:rsid w:val="00EB6A1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1">
    <w:name w:val="xl111"/>
    <w:basedOn w:val="Normal"/>
    <w:rsid w:val="00EB6A1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2">
    <w:name w:val="xl112"/>
    <w:basedOn w:val="Normal"/>
    <w:rsid w:val="00EB6A1E"/>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Normal"/>
    <w:rsid w:val="00EB6A1E"/>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4">
    <w:name w:val="xl114"/>
    <w:basedOn w:val="Normal"/>
    <w:rsid w:val="00EB6A1E"/>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5">
    <w:name w:val="xl115"/>
    <w:basedOn w:val="Normal"/>
    <w:rsid w:val="00EB6A1E"/>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6">
    <w:name w:val="xl116"/>
    <w:basedOn w:val="Normal"/>
    <w:rsid w:val="00EB6A1E"/>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18">
    <w:name w:val="xl118"/>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Normal"/>
    <w:rsid w:val="00EB6A1E"/>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0">
    <w:name w:val="xl120"/>
    <w:basedOn w:val="Normal"/>
    <w:rsid w:val="00EB6A1E"/>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3">
    <w:name w:val="xl123"/>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Normal"/>
    <w:rsid w:val="00EB6A1E"/>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Normal"/>
    <w:rsid w:val="00EB6A1E"/>
    <w:pPr>
      <w:pBdr>
        <w:top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6">
    <w:name w:val="xl126"/>
    <w:basedOn w:val="Normal"/>
    <w:rsid w:val="00EB6A1E"/>
    <w:pPr>
      <w:pBdr>
        <w:left w:val="single" w:sz="8"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Normal"/>
    <w:rsid w:val="00EB6A1E"/>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28">
    <w:name w:val="xl128"/>
    <w:basedOn w:val="Normal"/>
    <w:rsid w:val="00EB6A1E"/>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29">
    <w:name w:val="xl129"/>
    <w:basedOn w:val="Normal"/>
    <w:rsid w:val="00EB6A1E"/>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30">
    <w:name w:val="xl130"/>
    <w:basedOn w:val="Normal"/>
    <w:rsid w:val="00EB6A1E"/>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1">
    <w:name w:val="xl131"/>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2">
    <w:name w:val="xl132"/>
    <w:basedOn w:val="Normal"/>
    <w:rsid w:val="00EB6A1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3">
    <w:name w:val="xl133"/>
    <w:basedOn w:val="Normal"/>
    <w:rsid w:val="00EB6A1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BodyText">
    <w:name w:val="Body Text"/>
    <w:basedOn w:val="Normal"/>
    <w:link w:val="BodyTextChar"/>
    <w:uiPriority w:val="99"/>
    <w:semiHidden/>
    <w:unhideWhenUsed/>
    <w:rsid w:val="00323921"/>
    <w:pPr>
      <w:spacing w:after="120"/>
    </w:pPr>
  </w:style>
  <w:style w:type="character" w:customStyle="1" w:styleId="BodyTextChar">
    <w:name w:val="Body Text Char"/>
    <w:basedOn w:val="DefaultParagraphFont"/>
    <w:link w:val="BodyText"/>
    <w:uiPriority w:val="99"/>
    <w:semiHidden/>
    <w:rsid w:val="00323921"/>
  </w:style>
  <w:style w:type="paragraph" w:customStyle="1" w:styleId="tv213">
    <w:name w:val="tv213"/>
    <w:basedOn w:val="Normal"/>
    <w:rsid w:val="00A54843"/>
    <w:pPr>
      <w:spacing w:before="100" w:beforeAutospacing="1" w:after="100" w:afterAutospacing="1" w:line="240" w:lineRule="auto"/>
    </w:pPr>
    <w:rPr>
      <w:rFonts w:ascii="Times New Roman" w:hAnsi="Times New Roman" w:cs="Times New Roman"/>
      <w:sz w:val="24"/>
      <w:szCs w:val="24"/>
      <w:lang w:val="lv-LV" w:eastAsia="lv-LV"/>
    </w:rPr>
  </w:style>
  <w:style w:type="character" w:styleId="Strong">
    <w:name w:val="Strong"/>
    <w:basedOn w:val="DefaultParagraphFont"/>
    <w:uiPriority w:val="22"/>
    <w:qFormat/>
    <w:rsid w:val="00351EEB"/>
    <w:rPr>
      <w:b/>
      <w:bCs/>
    </w:rPr>
  </w:style>
  <w:style w:type="paragraph" w:customStyle="1" w:styleId="justifyleft">
    <w:name w:val="justifyleft"/>
    <w:basedOn w:val="Normal"/>
    <w:rsid w:val="00351EE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Default">
    <w:name w:val="Default"/>
    <w:rsid w:val="00870FB5"/>
    <w:pPr>
      <w:autoSpaceDE w:val="0"/>
      <w:autoSpaceDN w:val="0"/>
      <w:adjustRightInd w:val="0"/>
      <w:spacing w:after="0" w:line="240" w:lineRule="auto"/>
    </w:pPr>
    <w:rPr>
      <w:rFonts w:ascii="Times New Roman" w:hAnsi="Times New Roman" w:cs="Times New Roman"/>
      <w:color w:val="000000"/>
      <w:sz w:val="24"/>
      <w:szCs w:val="24"/>
      <w:lang w:val="lv-LV"/>
    </w:rPr>
  </w:style>
  <w:style w:type="paragraph" w:customStyle="1" w:styleId="tv20787921">
    <w:name w:val="tv207_87_921"/>
    <w:basedOn w:val="Normal"/>
    <w:rsid w:val="00D97FB4"/>
    <w:pPr>
      <w:spacing w:after="567" w:line="360" w:lineRule="auto"/>
      <w:jc w:val="center"/>
    </w:pPr>
    <w:rPr>
      <w:rFonts w:ascii="Verdana" w:eastAsia="Times New Roman" w:hAnsi="Verdana" w:cs="Times New Roman"/>
      <w:b/>
      <w:bCs/>
      <w:sz w:val="28"/>
      <w:szCs w:val="28"/>
    </w:rPr>
  </w:style>
  <w:style w:type="paragraph" w:styleId="Title">
    <w:name w:val="Title"/>
    <w:basedOn w:val="Normal"/>
    <w:link w:val="TitleChar"/>
    <w:qFormat/>
    <w:rsid w:val="009F3080"/>
    <w:pPr>
      <w:spacing w:after="120" w:line="240" w:lineRule="auto"/>
      <w:ind w:firstLine="720"/>
      <w:jc w:val="center"/>
    </w:pPr>
    <w:rPr>
      <w:rFonts w:ascii="Times New Roman" w:eastAsia="Times New Roman" w:hAnsi="Times New Roman" w:cs="Times New Roman"/>
      <w:b/>
      <w:sz w:val="28"/>
      <w:szCs w:val="20"/>
      <w:lang w:val="lv-LV" w:eastAsia="lv-LV"/>
    </w:rPr>
  </w:style>
  <w:style w:type="character" w:customStyle="1" w:styleId="TitleChar">
    <w:name w:val="Title Char"/>
    <w:basedOn w:val="DefaultParagraphFont"/>
    <w:link w:val="Title"/>
    <w:rsid w:val="009F3080"/>
    <w:rPr>
      <w:rFonts w:ascii="Times New Roman" w:eastAsia="Times New Roman" w:hAnsi="Times New Roman" w:cs="Times New Roman"/>
      <w:b/>
      <w:sz w:val="28"/>
      <w:szCs w:val="20"/>
      <w:lang w:val="lv-LV" w:eastAsia="lv-LV"/>
    </w:rPr>
  </w:style>
  <w:style w:type="paragraph" w:customStyle="1" w:styleId="naisf">
    <w:name w:val="naisf"/>
    <w:basedOn w:val="Normal"/>
    <w:rsid w:val="009F3080"/>
    <w:pPr>
      <w:spacing w:before="75" w:after="75" w:line="240" w:lineRule="auto"/>
      <w:ind w:firstLine="375"/>
      <w:jc w:val="both"/>
    </w:pPr>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78530556">
      <w:bodyDiv w:val="1"/>
      <w:marLeft w:val="0"/>
      <w:marRight w:val="0"/>
      <w:marTop w:val="0"/>
      <w:marBottom w:val="0"/>
      <w:divBdr>
        <w:top w:val="none" w:sz="0" w:space="0" w:color="auto"/>
        <w:left w:val="none" w:sz="0" w:space="0" w:color="auto"/>
        <w:bottom w:val="none" w:sz="0" w:space="0" w:color="auto"/>
        <w:right w:val="none" w:sz="0" w:space="0" w:color="auto"/>
      </w:divBdr>
    </w:div>
    <w:div w:id="80221042">
      <w:bodyDiv w:val="1"/>
      <w:marLeft w:val="0"/>
      <w:marRight w:val="0"/>
      <w:marTop w:val="0"/>
      <w:marBottom w:val="0"/>
      <w:divBdr>
        <w:top w:val="none" w:sz="0" w:space="0" w:color="auto"/>
        <w:left w:val="none" w:sz="0" w:space="0" w:color="auto"/>
        <w:bottom w:val="none" w:sz="0" w:space="0" w:color="auto"/>
        <w:right w:val="none" w:sz="0" w:space="0" w:color="auto"/>
      </w:divBdr>
    </w:div>
    <w:div w:id="156113557">
      <w:bodyDiv w:val="1"/>
      <w:marLeft w:val="0"/>
      <w:marRight w:val="0"/>
      <w:marTop w:val="0"/>
      <w:marBottom w:val="0"/>
      <w:divBdr>
        <w:top w:val="none" w:sz="0" w:space="0" w:color="auto"/>
        <w:left w:val="none" w:sz="0" w:space="0" w:color="auto"/>
        <w:bottom w:val="none" w:sz="0" w:space="0" w:color="auto"/>
        <w:right w:val="none" w:sz="0" w:space="0" w:color="auto"/>
      </w:divBdr>
    </w:div>
    <w:div w:id="160895660">
      <w:bodyDiv w:val="1"/>
      <w:marLeft w:val="0"/>
      <w:marRight w:val="0"/>
      <w:marTop w:val="0"/>
      <w:marBottom w:val="0"/>
      <w:divBdr>
        <w:top w:val="none" w:sz="0" w:space="0" w:color="auto"/>
        <w:left w:val="none" w:sz="0" w:space="0" w:color="auto"/>
        <w:bottom w:val="none" w:sz="0" w:space="0" w:color="auto"/>
        <w:right w:val="none" w:sz="0" w:space="0" w:color="auto"/>
      </w:divBdr>
      <w:divsChild>
        <w:div w:id="92015542">
          <w:marLeft w:val="950"/>
          <w:marRight w:val="0"/>
          <w:marTop w:val="160"/>
          <w:marBottom w:val="0"/>
          <w:divBdr>
            <w:top w:val="none" w:sz="0" w:space="0" w:color="auto"/>
            <w:left w:val="none" w:sz="0" w:space="0" w:color="auto"/>
            <w:bottom w:val="none" w:sz="0" w:space="0" w:color="auto"/>
            <w:right w:val="none" w:sz="0" w:space="0" w:color="auto"/>
          </w:divBdr>
        </w:div>
        <w:div w:id="1575554902">
          <w:marLeft w:val="950"/>
          <w:marRight w:val="0"/>
          <w:marTop w:val="160"/>
          <w:marBottom w:val="0"/>
          <w:divBdr>
            <w:top w:val="none" w:sz="0" w:space="0" w:color="auto"/>
            <w:left w:val="none" w:sz="0" w:space="0" w:color="auto"/>
            <w:bottom w:val="none" w:sz="0" w:space="0" w:color="auto"/>
            <w:right w:val="none" w:sz="0" w:space="0" w:color="auto"/>
          </w:divBdr>
        </w:div>
        <w:div w:id="1549950536">
          <w:marLeft w:val="950"/>
          <w:marRight w:val="0"/>
          <w:marTop w:val="160"/>
          <w:marBottom w:val="0"/>
          <w:divBdr>
            <w:top w:val="none" w:sz="0" w:space="0" w:color="auto"/>
            <w:left w:val="none" w:sz="0" w:space="0" w:color="auto"/>
            <w:bottom w:val="none" w:sz="0" w:space="0" w:color="auto"/>
            <w:right w:val="none" w:sz="0" w:space="0" w:color="auto"/>
          </w:divBdr>
        </w:div>
      </w:divsChild>
    </w:div>
    <w:div w:id="191379474">
      <w:bodyDiv w:val="1"/>
      <w:marLeft w:val="0"/>
      <w:marRight w:val="0"/>
      <w:marTop w:val="0"/>
      <w:marBottom w:val="0"/>
      <w:divBdr>
        <w:top w:val="none" w:sz="0" w:space="0" w:color="auto"/>
        <w:left w:val="none" w:sz="0" w:space="0" w:color="auto"/>
        <w:bottom w:val="none" w:sz="0" w:space="0" w:color="auto"/>
        <w:right w:val="none" w:sz="0" w:space="0" w:color="auto"/>
      </w:divBdr>
      <w:divsChild>
        <w:div w:id="863785990">
          <w:marLeft w:val="950"/>
          <w:marRight w:val="0"/>
          <w:marTop w:val="160"/>
          <w:marBottom w:val="0"/>
          <w:divBdr>
            <w:top w:val="none" w:sz="0" w:space="0" w:color="auto"/>
            <w:left w:val="none" w:sz="0" w:space="0" w:color="auto"/>
            <w:bottom w:val="none" w:sz="0" w:space="0" w:color="auto"/>
            <w:right w:val="none" w:sz="0" w:space="0" w:color="auto"/>
          </w:divBdr>
        </w:div>
      </w:divsChild>
    </w:div>
    <w:div w:id="192576096">
      <w:bodyDiv w:val="1"/>
      <w:marLeft w:val="0"/>
      <w:marRight w:val="0"/>
      <w:marTop w:val="0"/>
      <w:marBottom w:val="0"/>
      <w:divBdr>
        <w:top w:val="none" w:sz="0" w:space="0" w:color="auto"/>
        <w:left w:val="none" w:sz="0" w:space="0" w:color="auto"/>
        <w:bottom w:val="none" w:sz="0" w:space="0" w:color="auto"/>
        <w:right w:val="none" w:sz="0" w:space="0" w:color="auto"/>
      </w:divBdr>
    </w:div>
    <w:div w:id="212036890">
      <w:bodyDiv w:val="1"/>
      <w:marLeft w:val="0"/>
      <w:marRight w:val="0"/>
      <w:marTop w:val="0"/>
      <w:marBottom w:val="0"/>
      <w:divBdr>
        <w:top w:val="none" w:sz="0" w:space="0" w:color="auto"/>
        <w:left w:val="none" w:sz="0" w:space="0" w:color="auto"/>
        <w:bottom w:val="none" w:sz="0" w:space="0" w:color="auto"/>
        <w:right w:val="none" w:sz="0" w:space="0" w:color="auto"/>
      </w:divBdr>
    </w:div>
    <w:div w:id="354161812">
      <w:bodyDiv w:val="1"/>
      <w:marLeft w:val="0"/>
      <w:marRight w:val="0"/>
      <w:marTop w:val="0"/>
      <w:marBottom w:val="0"/>
      <w:divBdr>
        <w:top w:val="none" w:sz="0" w:space="0" w:color="auto"/>
        <w:left w:val="none" w:sz="0" w:space="0" w:color="auto"/>
        <w:bottom w:val="none" w:sz="0" w:space="0" w:color="auto"/>
        <w:right w:val="none" w:sz="0" w:space="0" w:color="auto"/>
      </w:divBdr>
    </w:div>
    <w:div w:id="443158971">
      <w:bodyDiv w:val="1"/>
      <w:marLeft w:val="0"/>
      <w:marRight w:val="0"/>
      <w:marTop w:val="0"/>
      <w:marBottom w:val="0"/>
      <w:divBdr>
        <w:top w:val="none" w:sz="0" w:space="0" w:color="auto"/>
        <w:left w:val="none" w:sz="0" w:space="0" w:color="auto"/>
        <w:bottom w:val="none" w:sz="0" w:space="0" w:color="auto"/>
        <w:right w:val="none" w:sz="0" w:space="0" w:color="auto"/>
      </w:divBdr>
      <w:divsChild>
        <w:div w:id="1955165186">
          <w:marLeft w:val="0"/>
          <w:marRight w:val="0"/>
          <w:marTop w:val="0"/>
          <w:marBottom w:val="0"/>
          <w:divBdr>
            <w:top w:val="none" w:sz="0" w:space="0" w:color="auto"/>
            <w:left w:val="none" w:sz="0" w:space="0" w:color="auto"/>
            <w:bottom w:val="none" w:sz="0" w:space="0" w:color="auto"/>
            <w:right w:val="none" w:sz="0" w:space="0" w:color="auto"/>
          </w:divBdr>
        </w:div>
      </w:divsChild>
    </w:div>
    <w:div w:id="484005589">
      <w:bodyDiv w:val="1"/>
      <w:marLeft w:val="45"/>
      <w:marRight w:val="45"/>
      <w:marTop w:val="90"/>
      <w:marBottom w:val="90"/>
      <w:divBdr>
        <w:top w:val="none" w:sz="0" w:space="0" w:color="auto"/>
        <w:left w:val="none" w:sz="0" w:space="0" w:color="auto"/>
        <w:bottom w:val="none" w:sz="0" w:space="0" w:color="auto"/>
        <w:right w:val="none" w:sz="0" w:space="0" w:color="auto"/>
      </w:divBdr>
      <w:divsChild>
        <w:div w:id="1235354348">
          <w:marLeft w:val="0"/>
          <w:marRight w:val="0"/>
          <w:marTop w:val="0"/>
          <w:marBottom w:val="567"/>
          <w:divBdr>
            <w:top w:val="none" w:sz="0" w:space="0" w:color="auto"/>
            <w:left w:val="none" w:sz="0" w:space="0" w:color="auto"/>
            <w:bottom w:val="none" w:sz="0" w:space="0" w:color="auto"/>
            <w:right w:val="none" w:sz="0" w:space="0" w:color="auto"/>
          </w:divBdr>
        </w:div>
      </w:divsChild>
    </w:div>
    <w:div w:id="523984422">
      <w:bodyDiv w:val="1"/>
      <w:marLeft w:val="0"/>
      <w:marRight w:val="0"/>
      <w:marTop w:val="0"/>
      <w:marBottom w:val="0"/>
      <w:divBdr>
        <w:top w:val="none" w:sz="0" w:space="0" w:color="auto"/>
        <w:left w:val="none" w:sz="0" w:space="0" w:color="auto"/>
        <w:bottom w:val="none" w:sz="0" w:space="0" w:color="auto"/>
        <w:right w:val="none" w:sz="0" w:space="0" w:color="auto"/>
      </w:divBdr>
    </w:div>
    <w:div w:id="543254551">
      <w:bodyDiv w:val="1"/>
      <w:marLeft w:val="0"/>
      <w:marRight w:val="0"/>
      <w:marTop w:val="0"/>
      <w:marBottom w:val="0"/>
      <w:divBdr>
        <w:top w:val="none" w:sz="0" w:space="0" w:color="auto"/>
        <w:left w:val="none" w:sz="0" w:space="0" w:color="auto"/>
        <w:bottom w:val="none" w:sz="0" w:space="0" w:color="auto"/>
        <w:right w:val="none" w:sz="0" w:space="0" w:color="auto"/>
      </w:divBdr>
    </w:div>
    <w:div w:id="544829130">
      <w:bodyDiv w:val="1"/>
      <w:marLeft w:val="0"/>
      <w:marRight w:val="0"/>
      <w:marTop w:val="0"/>
      <w:marBottom w:val="0"/>
      <w:divBdr>
        <w:top w:val="none" w:sz="0" w:space="0" w:color="auto"/>
        <w:left w:val="none" w:sz="0" w:space="0" w:color="auto"/>
        <w:bottom w:val="none" w:sz="0" w:space="0" w:color="auto"/>
        <w:right w:val="none" w:sz="0" w:space="0" w:color="auto"/>
      </w:divBdr>
    </w:div>
    <w:div w:id="689111605">
      <w:bodyDiv w:val="1"/>
      <w:marLeft w:val="0"/>
      <w:marRight w:val="0"/>
      <w:marTop w:val="0"/>
      <w:marBottom w:val="0"/>
      <w:divBdr>
        <w:top w:val="none" w:sz="0" w:space="0" w:color="auto"/>
        <w:left w:val="none" w:sz="0" w:space="0" w:color="auto"/>
        <w:bottom w:val="none" w:sz="0" w:space="0" w:color="auto"/>
        <w:right w:val="none" w:sz="0" w:space="0" w:color="auto"/>
      </w:divBdr>
    </w:div>
    <w:div w:id="714082224">
      <w:bodyDiv w:val="1"/>
      <w:marLeft w:val="0"/>
      <w:marRight w:val="0"/>
      <w:marTop w:val="0"/>
      <w:marBottom w:val="0"/>
      <w:divBdr>
        <w:top w:val="none" w:sz="0" w:space="0" w:color="auto"/>
        <w:left w:val="none" w:sz="0" w:space="0" w:color="auto"/>
        <w:bottom w:val="none" w:sz="0" w:space="0" w:color="auto"/>
        <w:right w:val="none" w:sz="0" w:space="0" w:color="auto"/>
      </w:divBdr>
    </w:div>
    <w:div w:id="755833497">
      <w:bodyDiv w:val="1"/>
      <w:marLeft w:val="0"/>
      <w:marRight w:val="0"/>
      <w:marTop w:val="0"/>
      <w:marBottom w:val="0"/>
      <w:divBdr>
        <w:top w:val="none" w:sz="0" w:space="0" w:color="auto"/>
        <w:left w:val="none" w:sz="0" w:space="0" w:color="auto"/>
        <w:bottom w:val="none" w:sz="0" w:space="0" w:color="auto"/>
        <w:right w:val="none" w:sz="0" w:space="0" w:color="auto"/>
      </w:divBdr>
    </w:div>
    <w:div w:id="761334645">
      <w:bodyDiv w:val="1"/>
      <w:marLeft w:val="0"/>
      <w:marRight w:val="0"/>
      <w:marTop w:val="0"/>
      <w:marBottom w:val="0"/>
      <w:divBdr>
        <w:top w:val="none" w:sz="0" w:space="0" w:color="auto"/>
        <w:left w:val="none" w:sz="0" w:space="0" w:color="auto"/>
        <w:bottom w:val="none" w:sz="0" w:space="0" w:color="auto"/>
        <w:right w:val="none" w:sz="0" w:space="0" w:color="auto"/>
      </w:divBdr>
    </w:div>
    <w:div w:id="761342268">
      <w:bodyDiv w:val="1"/>
      <w:marLeft w:val="0"/>
      <w:marRight w:val="0"/>
      <w:marTop w:val="0"/>
      <w:marBottom w:val="0"/>
      <w:divBdr>
        <w:top w:val="none" w:sz="0" w:space="0" w:color="auto"/>
        <w:left w:val="none" w:sz="0" w:space="0" w:color="auto"/>
        <w:bottom w:val="none" w:sz="0" w:space="0" w:color="auto"/>
        <w:right w:val="none" w:sz="0" w:space="0" w:color="auto"/>
      </w:divBdr>
    </w:div>
    <w:div w:id="866331667">
      <w:bodyDiv w:val="1"/>
      <w:marLeft w:val="0"/>
      <w:marRight w:val="0"/>
      <w:marTop w:val="0"/>
      <w:marBottom w:val="0"/>
      <w:divBdr>
        <w:top w:val="none" w:sz="0" w:space="0" w:color="auto"/>
        <w:left w:val="none" w:sz="0" w:space="0" w:color="auto"/>
        <w:bottom w:val="none" w:sz="0" w:space="0" w:color="auto"/>
        <w:right w:val="none" w:sz="0" w:space="0" w:color="auto"/>
      </w:divBdr>
    </w:div>
    <w:div w:id="940457071">
      <w:bodyDiv w:val="1"/>
      <w:marLeft w:val="0"/>
      <w:marRight w:val="0"/>
      <w:marTop w:val="0"/>
      <w:marBottom w:val="0"/>
      <w:divBdr>
        <w:top w:val="none" w:sz="0" w:space="0" w:color="auto"/>
        <w:left w:val="none" w:sz="0" w:space="0" w:color="auto"/>
        <w:bottom w:val="none" w:sz="0" w:space="0" w:color="auto"/>
        <w:right w:val="none" w:sz="0" w:space="0" w:color="auto"/>
      </w:divBdr>
    </w:div>
    <w:div w:id="960962669">
      <w:bodyDiv w:val="1"/>
      <w:marLeft w:val="0"/>
      <w:marRight w:val="0"/>
      <w:marTop w:val="0"/>
      <w:marBottom w:val="0"/>
      <w:divBdr>
        <w:top w:val="none" w:sz="0" w:space="0" w:color="auto"/>
        <w:left w:val="none" w:sz="0" w:space="0" w:color="auto"/>
        <w:bottom w:val="none" w:sz="0" w:space="0" w:color="auto"/>
        <w:right w:val="none" w:sz="0" w:space="0" w:color="auto"/>
      </w:divBdr>
    </w:div>
    <w:div w:id="967586150">
      <w:bodyDiv w:val="1"/>
      <w:marLeft w:val="0"/>
      <w:marRight w:val="0"/>
      <w:marTop w:val="0"/>
      <w:marBottom w:val="0"/>
      <w:divBdr>
        <w:top w:val="none" w:sz="0" w:space="0" w:color="auto"/>
        <w:left w:val="none" w:sz="0" w:space="0" w:color="auto"/>
        <w:bottom w:val="none" w:sz="0" w:space="0" w:color="auto"/>
        <w:right w:val="none" w:sz="0" w:space="0" w:color="auto"/>
      </w:divBdr>
    </w:div>
    <w:div w:id="1044675935">
      <w:bodyDiv w:val="1"/>
      <w:marLeft w:val="0"/>
      <w:marRight w:val="0"/>
      <w:marTop w:val="0"/>
      <w:marBottom w:val="0"/>
      <w:divBdr>
        <w:top w:val="none" w:sz="0" w:space="0" w:color="auto"/>
        <w:left w:val="none" w:sz="0" w:space="0" w:color="auto"/>
        <w:bottom w:val="none" w:sz="0" w:space="0" w:color="auto"/>
        <w:right w:val="none" w:sz="0" w:space="0" w:color="auto"/>
      </w:divBdr>
    </w:div>
    <w:div w:id="1060714356">
      <w:bodyDiv w:val="1"/>
      <w:marLeft w:val="0"/>
      <w:marRight w:val="0"/>
      <w:marTop w:val="0"/>
      <w:marBottom w:val="0"/>
      <w:divBdr>
        <w:top w:val="none" w:sz="0" w:space="0" w:color="auto"/>
        <w:left w:val="none" w:sz="0" w:space="0" w:color="auto"/>
        <w:bottom w:val="none" w:sz="0" w:space="0" w:color="auto"/>
        <w:right w:val="none" w:sz="0" w:space="0" w:color="auto"/>
      </w:divBdr>
      <w:divsChild>
        <w:div w:id="33700846">
          <w:marLeft w:val="950"/>
          <w:marRight w:val="0"/>
          <w:marTop w:val="160"/>
          <w:marBottom w:val="0"/>
          <w:divBdr>
            <w:top w:val="none" w:sz="0" w:space="0" w:color="auto"/>
            <w:left w:val="none" w:sz="0" w:space="0" w:color="auto"/>
            <w:bottom w:val="none" w:sz="0" w:space="0" w:color="auto"/>
            <w:right w:val="none" w:sz="0" w:space="0" w:color="auto"/>
          </w:divBdr>
        </w:div>
      </w:divsChild>
    </w:div>
    <w:div w:id="1122186968">
      <w:bodyDiv w:val="1"/>
      <w:marLeft w:val="0"/>
      <w:marRight w:val="0"/>
      <w:marTop w:val="0"/>
      <w:marBottom w:val="0"/>
      <w:divBdr>
        <w:top w:val="none" w:sz="0" w:space="0" w:color="auto"/>
        <w:left w:val="none" w:sz="0" w:space="0" w:color="auto"/>
        <w:bottom w:val="none" w:sz="0" w:space="0" w:color="auto"/>
        <w:right w:val="none" w:sz="0" w:space="0" w:color="auto"/>
      </w:divBdr>
      <w:divsChild>
        <w:div w:id="1153374391">
          <w:marLeft w:val="0"/>
          <w:marRight w:val="0"/>
          <w:marTop w:val="0"/>
          <w:marBottom w:val="0"/>
          <w:divBdr>
            <w:top w:val="none" w:sz="0" w:space="0" w:color="auto"/>
            <w:left w:val="none" w:sz="0" w:space="0" w:color="auto"/>
            <w:bottom w:val="none" w:sz="0" w:space="0" w:color="auto"/>
            <w:right w:val="none" w:sz="0" w:space="0" w:color="auto"/>
          </w:divBdr>
        </w:div>
      </w:divsChild>
    </w:div>
    <w:div w:id="1129862124">
      <w:bodyDiv w:val="1"/>
      <w:marLeft w:val="0"/>
      <w:marRight w:val="0"/>
      <w:marTop w:val="0"/>
      <w:marBottom w:val="0"/>
      <w:divBdr>
        <w:top w:val="none" w:sz="0" w:space="0" w:color="auto"/>
        <w:left w:val="none" w:sz="0" w:space="0" w:color="auto"/>
        <w:bottom w:val="none" w:sz="0" w:space="0" w:color="auto"/>
        <w:right w:val="none" w:sz="0" w:space="0" w:color="auto"/>
      </w:divBdr>
    </w:div>
    <w:div w:id="1153061835">
      <w:bodyDiv w:val="1"/>
      <w:marLeft w:val="0"/>
      <w:marRight w:val="0"/>
      <w:marTop w:val="0"/>
      <w:marBottom w:val="0"/>
      <w:divBdr>
        <w:top w:val="none" w:sz="0" w:space="0" w:color="auto"/>
        <w:left w:val="none" w:sz="0" w:space="0" w:color="auto"/>
        <w:bottom w:val="none" w:sz="0" w:space="0" w:color="auto"/>
        <w:right w:val="none" w:sz="0" w:space="0" w:color="auto"/>
      </w:divBdr>
      <w:divsChild>
        <w:div w:id="1616788416">
          <w:marLeft w:val="950"/>
          <w:marRight w:val="0"/>
          <w:marTop w:val="160"/>
          <w:marBottom w:val="0"/>
          <w:divBdr>
            <w:top w:val="none" w:sz="0" w:space="0" w:color="auto"/>
            <w:left w:val="none" w:sz="0" w:space="0" w:color="auto"/>
            <w:bottom w:val="none" w:sz="0" w:space="0" w:color="auto"/>
            <w:right w:val="none" w:sz="0" w:space="0" w:color="auto"/>
          </w:divBdr>
        </w:div>
      </w:divsChild>
    </w:div>
    <w:div w:id="1166553555">
      <w:bodyDiv w:val="1"/>
      <w:marLeft w:val="0"/>
      <w:marRight w:val="0"/>
      <w:marTop w:val="0"/>
      <w:marBottom w:val="0"/>
      <w:divBdr>
        <w:top w:val="none" w:sz="0" w:space="0" w:color="auto"/>
        <w:left w:val="none" w:sz="0" w:space="0" w:color="auto"/>
        <w:bottom w:val="none" w:sz="0" w:space="0" w:color="auto"/>
        <w:right w:val="none" w:sz="0" w:space="0" w:color="auto"/>
      </w:divBdr>
    </w:div>
    <w:div w:id="1166703276">
      <w:bodyDiv w:val="1"/>
      <w:marLeft w:val="0"/>
      <w:marRight w:val="0"/>
      <w:marTop w:val="0"/>
      <w:marBottom w:val="0"/>
      <w:divBdr>
        <w:top w:val="none" w:sz="0" w:space="0" w:color="auto"/>
        <w:left w:val="none" w:sz="0" w:space="0" w:color="auto"/>
        <w:bottom w:val="none" w:sz="0" w:space="0" w:color="auto"/>
        <w:right w:val="none" w:sz="0" w:space="0" w:color="auto"/>
      </w:divBdr>
      <w:divsChild>
        <w:div w:id="856381641">
          <w:marLeft w:val="0"/>
          <w:marRight w:val="0"/>
          <w:marTop w:val="0"/>
          <w:marBottom w:val="0"/>
          <w:divBdr>
            <w:top w:val="none" w:sz="0" w:space="0" w:color="auto"/>
            <w:left w:val="none" w:sz="0" w:space="0" w:color="auto"/>
            <w:bottom w:val="none" w:sz="0" w:space="0" w:color="auto"/>
            <w:right w:val="none" w:sz="0" w:space="0" w:color="auto"/>
          </w:divBdr>
        </w:div>
      </w:divsChild>
    </w:div>
    <w:div w:id="1219171418">
      <w:bodyDiv w:val="1"/>
      <w:marLeft w:val="0"/>
      <w:marRight w:val="0"/>
      <w:marTop w:val="0"/>
      <w:marBottom w:val="0"/>
      <w:divBdr>
        <w:top w:val="none" w:sz="0" w:space="0" w:color="auto"/>
        <w:left w:val="none" w:sz="0" w:space="0" w:color="auto"/>
        <w:bottom w:val="none" w:sz="0" w:space="0" w:color="auto"/>
        <w:right w:val="none" w:sz="0" w:space="0" w:color="auto"/>
      </w:divBdr>
    </w:div>
    <w:div w:id="1221869105">
      <w:bodyDiv w:val="1"/>
      <w:marLeft w:val="0"/>
      <w:marRight w:val="0"/>
      <w:marTop w:val="0"/>
      <w:marBottom w:val="0"/>
      <w:divBdr>
        <w:top w:val="none" w:sz="0" w:space="0" w:color="auto"/>
        <w:left w:val="none" w:sz="0" w:space="0" w:color="auto"/>
        <w:bottom w:val="none" w:sz="0" w:space="0" w:color="auto"/>
        <w:right w:val="none" w:sz="0" w:space="0" w:color="auto"/>
      </w:divBdr>
    </w:div>
    <w:div w:id="1274095660">
      <w:bodyDiv w:val="1"/>
      <w:marLeft w:val="0"/>
      <w:marRight w:val="0"/>
      <w:marTop w:val="0"/>
      <w:marBottom w:val="0"/>
      <w:divBdr>
        <w:top w:val="none" w:sz="0" w:space="0" w:color="auto"/>
        <w:left w:val="none" w:sz="0" w:space="0" w:color="auto"/>
        <w:bottom w:val="none" w:sz="0" w:space="0" w:color="auto"/>
        <w:right w:val="none" w:sz="0" w:space="0" w:color="auto"/>
      </w:divBdr>
    </w:div>
    <w:div w:id="1283800762">
      <w:bodyDiv w:val="1"/>
      <w:marLeft w:val="0"/>
      <w:marRight w:val="0"/>
      <w:marTop w:val="0"/>
      <w:marBottom w:val="0"/>
      <w:divBdr>
        <w:top w:val="none" w:sz="0" w:space="0" w:color="auto"/>
        <w:left w:val="none" w:sz="0" w:space="0" w:color="auto"/>
        <w:bottom w:val="none" w:sz="0" w:space="0" w:color="auto"/>
        <w:right w:val="none" w:sz="0" w:space="0" w:color="auto"/>
      </w:divBdr>
    </w:div>
    <w:div w:id="1293057778">
      <w:bodyDiv w:val="1"/>
      <w:marLeft w:val="0"/>
      <w:marRight w:val="0"/>
      <w:marTop w:val="0"/>
      <w:marBottom w:val="0"/>
      <w:divBdr>
        <w:top w:val="none" w:sz="0" w:space="0" w:color="auto"/>
        <w:left w:val="none" w:sz="0" w:space="0" w:color="auto"/>
        <w:bottom w:val="none" w:sz="0" w:space="0" w:color="auto"/>
        <w:right w:val="none" w:sz="0" w:space="0" w:color="auto"/>
      </w:divBdr>
    </w:div>
    <w:div w:id="1293251520">
      <w:bodyDiv w:val="1"/>
      <w:marLeft w:val="0"/>
      <w:marRight w:val="0"/>
      <w:marTop w:val="0"/>
      <w:marBottom w:val="0"/>
      <w:divBdr>
        <w:top w:val="none" w:sz="0" w:space="0" w:color="auto"/>
        <w:left w:val="none" w:sz="0" w:space="0" w:color="auto"/>
        <w:bottom w:val="none" w:sz="0" w:space="0" w:color="auto"/>
        <w:right w:val="none" w:sz="0" w:space="0" w:color="auto"/>
      </w:divBdr>
    </w:div>
    <w:div w:id="1303000259">
      <w:bodyDiv w:val="1"/>
      <w:marLeft w:val="0"/>
      <w:marRight w:val="0"/>
      <w:marTop w:val="0"/>
      <w:marBottom w:val="0"/>
      <w:divBdr>
        <w:top w:val="none" w:sz="0" w:space="0" w:color="auto"/>
        <w:left w:val="none" w:sz="0" w:space="0" w:color="auto"/>
        <w:bottom w:val="none" w:sz="0" w:space="0" w:color="auto"/>
        <w:right w:val="none" w:sz="0" w:space="0" w:color="auto"/>
      </w:divBdr>
    </w:div>
    <w:div w:id="1372997889">
      <w:bodyDiv w:val="1"/>
      <w:marLeft w:val="0"/>
      <w:marRight w:val="0"/>
      <w:marTop w:val="0"/>
      <w:marBottom w:val="0"/>
      <w:divBdr>
        <w:top w:val="none" w:sz="0" w:space="0" w:color="auto"/>
        <w:left w:val="none" w:sz="0" w:space="0" w:color="auto"/>
        <w:bottom w:val="none" w:sz="0" w:space="0" w:color="auto"/>
        <w:right w:val="none" w:sz="0" w:space="0" w:color="auto"/>
      </w:divBdr>
    </w:div>
    <w:div w:id="1445079263">
      <w:bodyDiv w:val="1"/>
      <w:marLeft w:val="0"/>
      <w:marRight w:val="0"/>
      <w:marTop w:val="0"/>
      <w:marBottom w:val="0"/>
      <w:divBdr>
        <w:top w:val="none" w:sz="0" w:space="0" w:color="auto"/>
        <w:left w:val="none" w:sz="0" w:space="0" w:color="auto"/>
        <w:bottom w:val="none" w:sz="0" w:space="0" w:color="auto"/>
        <w:right w:val="none" w:sz="0" w:space="0" w:color="auto"/>
      </w:divBdr>
      <w:divsChild>
        <w:div w:id="1320646843">
          <w:marLeft w:val="0"/>
          <w:marRight w:val="0"/>
          <w:marTop w:val="0"/>
          <w:marBottom w:val="0"/>
          <w:divBdr>
            <w:top w:val="none" w:sz="0" w:space="0" w:color="auto"/>
            <w:left w:val="none" w:sz="0" w:space="0" w:color="auto"/>
            <w:bottom w:val="none" w:sz="0" w:space="0" w:color="auto"/>
            <w:right w:val="none" w:sz="0" w:space="0" w:color="auto"/>
          </w:divBdr>
        </w:div>
      </w:divsChild>
    </w:div>
    <w:div w:id="1498765826">
      <w:bodyDiv w:val="1"/>
      <w:marLeft w:val="0"/>
      <w:marRight w:val="0"/>
      <w:marTop w:val="0"/>
      <w:marBottom w:val="0"/>
      <w:divBdr>
        <w:top w:val="none" w:sz="0" w:space="0" w:color="auto"/>
        <w:left w:val="none" w:sz="0" w:space="0" w:color="auto"/>
        <w:bottom w:val="none" w:sz="0" w:space="0" w:color="auto"/>
        <w:right w:val="none" w:sz="0" w:space="0" w:color="auto"/>
      </w:divBdr>
    </w:div>
    <w:div w:id="1508402217">
      <w:bodyDiv w:val="1"/>
      <w:marLeft w:val="0"/>
      <w:marRight w:val="0"/>
      <w:marTop w:val="0"/>
      <w:marBottom w:val="0"/>
      <w:divBdr>
        <w:top w:val="none" w:sz="0" w:space="0" w:color="auto"/>
        <w:left w:val="none" w:sz="0" w:space="0" w:color="auto"/>
        <w:bottom w:val="none" w:sz="0" w:space="0" w:color="auto"/>
        <w:right w:val="none" w:sz="0" w:space="0" w:color="auto"/>
      </w:divBdr>
    </w:div>
    <w:div w:id="1538540578">
      <w:bodyDiv w:val="1"/>
      <w:marLeft w:val="0"/>
      <w:marRight w:val="0"/>
      <w:marTop w:val="0"/>
      <w:marBottom w:val="0"/>
      <w:divBdr>
        <w:top w:val="none" w:sz="0" w:space="0" w:color="auto"/>
        <w:left w:val="none" w:sz="0" w:space="0" w:color="auto"/>
        <w:bottom w:val="none" w:sz="0" w:space="0" w:color="auto"/>
        <w:right w:val="none" w:sz="0" w:space="0" w:color="auto"/>
      </w:divBdr>
    </w:div>
    <w:div w:id="1584141081">
      <w:bodyDiv w:val="1"/>
      <w:marLeft w:val="0"/>
      <w:marRight w:val="0"/>
      <w:marTop w:val="0"/>
      <w:marBottom w:val="0"/>
      <w:divBdr>
        <w:top w:val="none" w:sz="0" w:space="0" w:color="auto"/>
        <w:left w:val="none" w:sz="0" w:space="0" w:color="auto"/>
        <w:bottom w:val="none" w:sz="0" w:space="0" w:color="auto"/>
        <w:right w:val="none" w:sz="0" w:space="0" w:color="auto"/>
      </w:divBdr>
    </w:div>
    <w:div w:id="1591042824">
      <w:bodyDiv w:val="1"/>
      <w:marLeft w:val="0"/>
      <w:marRight w:val="0"/>
      <w:marTop w:val="0"/>
      <w:marBottom w:val="0"/>
      <w:divBdr>
        <w:top w:val="none" w:sz="0" w:space="0" w:color="auto"/>
        <w:left w:val="none" w:sz="0" w:space="0" w:color="auto"/>
        <w:bottom w:val="none" w:sz="0" w:space="0" w:color="auto"/>
        <w:right w:val="none" w:sz="0" w:space="0" w:color="auto"/>
      </w:divBdr>
      <w:divsChild>
        <w:div w:id="375273204">
          <w:marLeft w:val="950"/>
          <w:marRight w:val="0"/>
          <w:marTop w:val="160"/>
          <w:marBottom w:val="0"/>
          <w:divBdr>
            <w:top w:val="none" w:sz="0" w:space="0" w:color="auto"/>
            <w:left w:val="none" w:sz="0" w:space="0" w:color="auto"/>
            <w:bottom w:val="none" w:sz="0" w:space="0" w:color="auto"/>
            <w:right w:val="none" w:sz="0" w:space="0" w:color="auto"/>
          </w:divBdr>
        </w:div>
        <w:div w:id="1376394922">
          <w:marLeft w:val="950"/>
          <w:marRight w:val="0"/>
          <w:marTop w:val="160"/>
          <w:marBottom w:val="0"/>
          <w:divBdr>
            <w:top w:val="none" w:sz="0" w:space="0" w:color="auto"/>
            <w:left w:val="none" w:sz="0" w:space="0" w:color="auto"/>
            <w:bottom w:val="none" w:sz="0" w:space="0" w:color="auto"/>
            <w:right w:val="none" w:sz="0" w:space="0" w:color="auto"/>
          </w:divBdr>
        </w:div>
        <w:div w:id="2093968751">
          <w:marLeft w:val="950"/>
          <w:marRight w:val="0"/>
          <w:marTop w:val="160"/>
          <w:marBottom w:val="0"/>
          <w:divBdr>
            <w:top w:val="none" w:sz="0" w:space="0" w:color="auto"/>
            <w:left w:val="none" w:sz="0" w:space="0" w:color="auto"/>
            <w:bottom w:val="none" w:sz="0" w:space="0" w:color="auto"/>
            <w:right w:val="none" w:sz="0" w:space="0" w:color="auto"/>
          </w:divBdr>
        </w:div>
      </w:divsChild>
    </w:div>
    <w:div w:id="1636108617">
      <w:bodyDiv w:val="1"/>
      <w:marLeft w:val="0"/>
      <w:marRight w:val="0"/>
      <w:marTop w:val="0"/>
      <w:marBottom w:val="0"/>
      <w:divBdr>
        <w:top w:val="none" w:sz="0" w:space="0" w:color="auto"/>
        <w:left w:val="none" w:sz="0" w:space="0" w:color="auto"/>
        <w:bottom w:val="none" w:sz="0" w:space="0" w:color="auto"/>
        <w:right w:val="none" w:sz="0" w:space="0" w:color="auto"/>
      </w:divBdr>
    </w:div>
    <w:div w:id="1731613610">
      <w:bodyDiv w:val="1"/>
      <w:marLeft w:val="0"/>
      <w:marRight w:val="0"/>
      <w:marTop w:val="0"/>
      <w:marBottom w:val="0"/>
      <w:divBdr>
        <w:top w:val="none" w:sz="0" w:space="0" w:color="auto"/>
        <w:left w:val="none" w:sz="0" w:space="0" w:color="auto"/>
        <w:bottom w:val="none" w:sz="0" w:space="0" w:color="auto"/>
        <w:right w:val="none" w:sz="0" w:space="0" w:color="auto"/>
      </w:divBdr>
    </w:div>
    <w:div w:id="1766880622">
      <w:bodyDiv w:val="1"/>
      <w:marLeft w:val="0"/>
      <w:marRight w:val="0"/>
      <w:marTop w:val="0"/>
      <w:marBottom w:val="0"/>
      <w:divBdr>
        <w:top w:val="none" w:sz="0" w:space="0" w:color="auto"/>
        <w:left w:val="none" w:sz="0" w:space="0" w:color="auto"/>
        <w:bottom w:val="none" w:sz="0" w:space="0" w:color="auto"/>
        <w:right w:val="none" w:sz="0" w:space="0" w:color="auto"/>
      </w:divBdr>
    </w:div>
    <w:div w:id="1779059835">
      <w:bodyDiv w:val="1"/>
      <w:marLeft w:val="0"/>
      <w:marRight w:val="0"/>
      <w:marTop w:val="0"/>
      <w:marBottom w:val="0"/>
      <w:divBdr>
        <w:top w:val="none" w:sz="0" w:space="0" w:color="auto"/>
        <w:left w:val="none" w:sz="0" w:space="0" w:color="auto"/>
        <w:bottom w:val="none" w:sz="0" w:space="0" w:color="auto"/>
        <w:right w:val="none" w:sz="0" w:space="0" w:color="auto"/>
      </w:divBdr>
    </w:div>
    <w:div w:id="1863519246">
      <w:bodyDiv w:val="1"/>
      <w:marLeft w:val="0"/>
      <w:marRight w:val="0"/>
      <w:marTop w:val="0"/>
      <w:marBottom w:val="0"/>
      <w:divBdr>
        <w:top w:val="none" w:sz="0" w:space="0" w:color="auto"/>
        <w:left w:val="none" w:sz="0" w:space="0" w:color="auto"/>
        <w:bottom w:val="none" w:sz="0" w:space="0" w:color="auto"/>
        <w:right w:val="none" w:sz="0" w:space="0" w:color="auto"/>
      </w:divBdr>
    </w:div>
    <w:div w:id="1912537506">
      <w:bodyDiv w:val="1"/>
      <w:marLeft w:val="0"/>
      <w:marRight w:val="0"/>
      <w:marTop w:val="0"/>
      <w:marBottom w:val="0"/>
      <w:divBdr>
        <w:top w:val="none" w:sz="0" w:space="0" w:color="auto"/>
        <w:left w:val="none" w:sz="0" w:space="0" w:color="auto"/>
        <w:bottom w:val="none" w:sz="0" w:space="0" w:color="auto"/>
        <w:right w:val="none" w:sz="0" w:space="0" w:color="auto"/>
      </w:divBdr>
    </w:div>
    <w:div w:id="2067608710">
      <w:bodyDiv w:val="1"/>
      <w:marLeft w:val="0"/>
      <w:marRight w:val="0"/>
      <w:marTop w:val="0"/>
      <w:marBottom w:val="0"/>
      <w:divBdr>
        <w:top w:val="none" w:sz="0" w:space="0" w:color="auto"/>
        <w:left w:val="none" w:sz="0" w:space="0" w:color="auto"/>
        <w:bottom w:val="none" w:sz="0" w:space="0" w:color="auto"/>
        <w:right w:val="none" w:sz="0" w:space="0" w:color="auto"/>
      </w:divBdr>
    </w:div>
    <w:div w:id="2087261963">
      <w:bodyDiv w:val="1"/>
      <w:marLeft w:val="0"/>
      <w:marRight w:val="0"/>
      <w:marTop w:val="0"/>
      <w:marBottom w:val="0"/>
      <w:divBdr>
        <w:top w:val="none" w:sz="0" w:space="0" w:color="auto"/>
        <w:left w:val="none" w:sz="0" w:space="0" w:color="auto"/>
        <w:bottom w:val="none" w:sz="0" w:space="0" w:color="auto"/>
        <w:right w:val="none" w:sz="0" w:space="0" w:color="auto"/>
      </w:divBdr>
    </w:div>
    <w:div w:id="20995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nete.Zvaigzne@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kumi.lv/doc.php?id=147522"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vnozare.pri\vm\Redirect_profiles\vskudra\My%20Documents\2012.gada%20budzets\Info%20vadibai\SPN%20zinojumam\Budzets_2005-2013_arstn%20&amp;%20komp.me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nozare.pri\vm\Redirect_profiles\vskudra\My%20Documents\2013.gada%20budzets\Info%20vadibai%20par%202013\Info%20VM%20jubilejai\Ves.budzets_2003-2013_kopsavilkum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gozolina.VNOZARE\Local%20Settings\Temp\notesE12020\darba%20samaksa_2003-2013_CR%20un%20MK%20n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1200">
                <a:latin typeface="Times New Roman" pitchFamily="18" charset="0"/>
                <a:cs typeface="Times New Roman" pitchFamily="18" charset="0"/>
              </a:defRPr>
            </a:pPr>
            <a:r>
              <a:rPr lang="en-US" sz="1200">
                <a:latin typeface="Times New Roman" pitchFamily="18" charset="0"/>
                <a:cs typeface="Times New Roman" pitchFamily="18" charset="0"/>
              </a:rPr>
              <a:t>Veselības aprūpes</a:t>
            </a:r>
            <a:r>
              <a:rPr lang="lv-LV" sz="1200">
                <a:latin typeface="Times New Roman" pitchFamily="18" charset="0"/>
                <a:cs typeface="Times New Roman" pitchFamily="18" charset="0"/>
              </a:rPr>
              <a:t> </a:t>
            </a:r>
            <a:r>
              <a:rPr lang="lv-LV" sz="1200">
                <a:solidFill>
                  <a:sysClr val="windowText" lastClr="000000"/>
                </a:solidFill>
                <a:latin typeface="Times New Roman" pitchFamily="18" charset="0"/>
                <a:cs typeface="Times New Roman" pitchFamily="18" charset="0"/>
              </a:rPr>
              <a:t>nozares</a:t>
            </a:r>
            <a:r>
              <a:rPr lang="en-US" sz="1200">
                <a:solidFill>
                  <a:sysClr val="windowText" lastClr="000000"/>
                </a:solidFill>
                <a:latin typeface="Times New Roman" pitchFamily="18" charset="0"/>
                <a:cs typeface="Times New Roman" pitchFamily="18" charset="0"/>
              </a:rPr>
              <a:t> budžet</a:t>
            </a:r>
            <a:r>
              <a:rPr lang="lv-LV" sz="1200">
                <a:solidFill>
                  <a:sysClr val="windowText" lastClr="000000"/>
                </a:solidFill>
                <a:latin typeface="Times New Roman" pitchFamily="18" charset="0"/>
                <a:cs typeface="Times New Roman" pitchFamily="18" charset="0"/>
              </a:rPr>
              <a:t>a</a:t>
            </a:r>
            <a:r>
              <a:rPr lang="lv-LV" sz="1200" baseline="0">
                <a:solidFill>
                  <a:sysClr val="windowText" lastClr="000000"/>
                </a:solidFill>
                <a:latin typeface="Times New Roman" pitchFamily="18" charset="0"/>
                <a:cs typeface="Times New Roman" pitchFamily="18" charset="0"/>
              </a:rPr>
              <a:t> izdevumi</a:t>
            </a:r>
            <a:r>
              <a:rPr lang="en-US" sz="1200">
                <a:solidFill>
                  <a:sysClr val="windowText" lastClr="000000"/>
                </a:solidFill>
                <a:latin typeface="Times New Roman" pitchFamily="18" charset="0"/>
                <a:cs typeface="Times New Roman" pitchFamily="18" charset="0"/>
              </a:rPr>
              <a:t> </a:t>
            </a:r>
            <a:r>
              <a:rPr lang="en-US" sz="1200">
                <a:latin typeface="Times New Roman" pitchFamily="18" charset="0"/>
                <a:cs typeface="Times New Roman" pitchFamily="18" charset="0"/>
              </a:rPr>
              <a:t>kopā - milj.Ls</a:t>
            </a:r>
          </a:p>
        </c:rich>
      </c:tx>
      <c:layout>
        <c:manualLayout>
          <c:xMode val="edge"/>
          <c:yMode val="edge"/>
          <c:x val="0.2448819765680541"/>
          <c:y val="3.2520633715966252E-2"/>
        </c:manualLayout>
      </c:layout>
      <c:overlay val="1"/>
    </c:title>
    <c:plotArea>
      <c:layout>
        <c:manualLayout>
          <c:layoutTarget val="inner"/>
          <c:xMode val="edge"/>
          <c:yMode val="edge"/>
          <c:x val="3.8839403945175092E-2"/>
          <c:y val="0.2031767971449612"/>
          <c:w val="0.91149896119684637"/>
          <c:h val="0.62912271101247474"/>
        </c:manualLayout>
      </c:layout>
      <c:barChart>
        <c:barDir val="col"/>
        <c:grouping val="clustered"/>
        <c:ser>
          <c:idx val="0"/>
          <c:order val="0"/>
          <c:spPr>
            <a:solidFill>
              <a:schemeClr val="accent1">
                <a:lumMod val="60000"/>
                <a:lumOff val="40000"/>
              </a:schemeClr>
            </a:solidFill>
            <a:scene3d>
              <a:camera prst="orthographicFront"/>
              <a:lightRig rig="threePt" dir="t"/>
            </a:scene3d>
            <a:sp3d>
              <a:bevelT/>
            </a:sp3d>
          </c:spPr>
          <c:dLbls>
            <c:dLbl>
              <c:idx val="0"/>
              <c:layout/>
              <c:tx>
                <c:rich>
                  <a:bodyPr/>
                  <a:lstStyle/>
                  <a:p>
                    <a:r>
                      <a:rPr lang="en-US" sz="1000"/>
                      <a:t>296</a:t>
                    </a:r>
                    <a:r>
                      <a:rPr lang="lv-LV" sz="1000"/>
                      <a:t>,</a:t>
                    </a:r>
                    <a:r>
                      <a:rPr lang="en-US" sz="1000"/>
                      <a:t>8</a:t>
                    </a:r>
                    <a:endParaRPr lang="en-US"/>
                  </a:p>
                </c:rich>
              </c:tx>
              <c:showVal val="1"/>
            </c:dLbl>
            <c:dLbl>
              <c:idx val="1"/>
              <c:layout/>
              <c:tx>
                <c:rich>
                  <a:bodyPr/>
                  <a:lstStyle/>
                  <a:p>
                    <a:r>
                      <a:rPr lang="en-US" sz="1000"/>
                      <a:t>414</a:t>
                    </a:r>
                    <a:r>
                      <a:rPr lang="lv-LV" sz="1000"/>
                      <a:t>,3</a:t>
                    </a:r>
                    <a:endParaRPr lang="en-US"/>
                  </a:p>
                </c:rich>
              </c:tx>
              <c:showVal val="1"/>
            </c:dLbl>
            <c:dLbl>
              <c:idx val="2"/>
              <c:layout/>
              <c:tx>
                <c:rich>
                  <a:bodyPr/>
                  <a:lstStyle/>
                  <a:p>
                    <a:r>
                      <a:rPr lang="en-US" sz="1000"/>
                      <a:t>518</a:t>
                    </a:r>
                    <a:r>
                      <a:rPr lang="lv-LV" sz="1000"/>
                      <a:t>,</a:t>
                    </a:r>
                    <a:r>
                      <a:rPr lang="en-US" sz="1000"/>
                      <a:t>1</a:t>
                    </a:r>
                    <a:endParaRPr lang="en-US"/>
                  </a:p>
                </c:rich>
              </c:tx>
              <c:showVal val="1"/>
            </c:dLbl>
            <c:dLbl>
              <c:idx val="3"/>
              <c:layout/>
              <c:tx>
                <c:rich>
                  <a:bodyPr/>
                  <a:lstStyle/>
                  <a:p>
                    <a:r>
                      <a:rPr lang="en-US" sz="1000"/>
                      <a:t>576</a:t>
                    </a:r>
                    <a:r>
                      <a:rPr lang="lv-LV" sz="1000"/>
                      <a:t>,6</a:t>
                    </a:r>
                    <a:endParaRPr lang="en-US"/>
                  </a:p>
                </c:rich>
              </c:tx>
              <c:showVal val="1"/>
            </c:dLbl>
            <c:dLbl>
              <c:idx val="4"/>
              <c:layout/>
              <c:tx>
                <c:rich>
                  <a:bodyPr/>
                  <a:lstStyle/>
                  <a:p>
                    <a:r>
                      <a:rPr lang="en-US" sz="1000"/>
                      <a:t>503</a:t>
                    </a:r>
                    <a:r>
                      <a:rPr lang="lv-LV" sz="1000"/>
                      <a:t>,</a:t>
                    </a:r>
                    <a:r>
                      <a:rPr lang="en-US" sz="1000"/>
                      <a:t>7</a:t>
                    </a:r>
                    <a:endParaRPr lang="en-US"/>
                  </a:p>
                </c:rich>
              </c:tx>
              <c:showVal val="1"/>
            </c:dLbl>
            <c:dLbl>
              <c:idx val="5"/>
              <c:layout/>
              <c:tx>
                <c:rich>
                  <a:bodyPr/>
                  <a:lstStyle/>
                  <a:p>
                    <a:r>
                      <a:rPr lang="en-US" sz="1000"/>
                      <a:t>496</a:t>
                    </a:r>
                    <a:r>
                      <a:rPr lang="lv-LV" sz="1000"/>
                      <a:t>,1</a:t>
                    </a:r>
                    <a:endParaRPr lang="en-US"/>
                  </a:p>
                </c:rich>
              </c:tx>
              <c:showVal val="1"/>
            </c:dLbl>
            <c:dLbl>
              <c:idx val="6"/>
              <c:layout/>
              <c:tx>
                <c:rich>
                  <a:bodyPr/>
                  <a:lstStyle/>
                  <a:p>
                    <a:r>
                      <a:rPr lang="lv-LV" sz="1000"/>
                      <a:t>503,5</a:t>
                    </a:r>
                    <a:endParaRPr lang="en-US"/>
                  </a:p>
                </c:rich>
              </c:tx>
              <c:showVal val="1"/>
            </c:dLbl>
            <c:dLbl>
              <c:idx val="7"/>
              <c:layout/>
              <c:tx>
                <c:rich>
                  <a:bodyPr/>
                  <a:lstStyle/>
                  <a:p>
                    <a:r>
                      <a:rPr lang="lv-LV" sz="1000"/>
                      <a:t>524,4</a:t>
                    </a:r>
                    <a:endParaRPr lang="en-US"/>
                  </a:p>
                </c:rich>
              </c:tx>
              <c:showVal val="1"/>
            </c:dLbl>
            <c:dLbl>
              <c:idx val="8"/>
              <c:layout/>
              <c:tx>
                <c:rich>
                  <a:bodyPr/>
                  <a:lstStyle/>
                  <a:p>
                    <a:r>
                      <a:rPr lang="lv-LV" sz="1000"/>
                      <a:t>500</a:t>
                    </a:r>
                    <a:r>
                      <a:rPr lang="en-US" sz="1000"/>
                      <a:t>,3</a:t>
                    </a:r>
                    <a:endParaRPr lang="en-US"/>
                  </a:p>
                </c:rich>
              </c:tx>
              <c:showVal val="1"/>
            </c:dLbl>
            <c:txPr>
              <a:bodyPr/>
              <a:lstStyle/>
              <a:p>
                <a:pPr>
                  <a:defRPr sz="1000" b="1">
                    <a:latin typeface="Times New Roman" pitchFamily="18" charset="0"/>
                    <a:cs typeface="Times New Roman" pitchFamily="18" charset="0"/>
                  </a:defRPr>
                </a:pPr>
                <a:endParaRPr lang="en-US"/>
              </a:p>
            </c:txPr>
            <c:showVal val="1"/>
          </c:dLbls>
          <c:cat>
            <c:strRef>
              <c:f>'2005-2013'!$C$4:$K$4</c:f>
              <c:strCache>
                <c:ptCount val="9"/>
                <c:pt idx="0">
                  <c:v>2005.g.</c:v>
                </c:pt>
                <c:pt idx="1">
                  <c:v>2006.g.</c:v>
                </c:pt>
                <c:pt idx="2">
                  <c:v>2007.g.</c:v>
                </c:pt>
                <c:pt idx="3">
                  <c:v>2008.g.</c:v>
                </c:pt>
                <c:pt idx="4">
                  <c:v>2009.g. </c:v>
                </c:pt>
                <c:pt idx="5">
                  <c:v>2010.g.</c:v>
                </c:pt>
                <c:pt idx="6">
                  <c:v>2011.g.</c:v>
                </c:pt>
                <c:pt idx="7">
                  <c:v>2012.g.</c:v>
                </c:pt>
                <c:pt idx="8">
                  <c:v>2013.g.</c:v>
                </c:pt>
              </c:strCache>
            </c:strRef>
          </c:cat>
          <c:val>
            <c:numRef>
              <c:f>'2005-2013'!$C$5:$K$5</c:f>
              <c:numCache>
                <c:formatCode>0.00</c:formatCode>
                <c:ptCount val="9"/>
                <c:pt idx="0">
                  <c:v>296.81976299999997</c:v>
                </c:pt>
                <c:pt idx="1">
                  <c:v>414.28667199999899</c:v>
                </c:pt>
                <c:pt idx="2">
                  <c:v>518.10690899999997</c:v>
                </c:pt>
                <c:pt idx="3">
                  <c:v>576.59082799999999</c:v>
                </c:pt>
                <c:pt idx="4">
                  <c:v>503.72913899999065</c:v>
                </c:pt>
                <c:pt idx="5">
                  <c:v>496.05291899999969</c:v>
                </c:pt>
                <c:pt idx="6">
                  <c:v>496.183402</c:v>
                </c:pt>
                <c:pt idx="7">
                  <c:v>496.58570200000003</c:v>
                </c:pt>
                <c:pt idx="8">
                  <c:v>468.03058000000004</c:v>
                </c:pt>
              </c:numCache>
            </c:numRef>
          </c:val>
        </c:ser>
        <c:gapWidth val="58"/>
        <c:axId val="108796160"/>
        <c:axId val="108826624"/>
      </c:barChart>
      <c:catAx>
        <c:axId val="108796160"/>
        <c:scaling>
          <c:orientation val="minMax"/>
        </c:scaling>
        <c:axPos val="b"/>
        <c:tickLblPos val="nextTo"/>
        <c:txPr>
          <a:bodyPr/>
          <a:lstStyle/>
          <a:p>
            <a:pPr>
              <a:defRPr sz="1100" b="1">
                <a:latin typeface="Times New Roman" pitchFamily="18" charset="0"/>
                <a:cs typeface="Times New Roman" pitchFamily="18" charset="0"/>
              </a:defRPr>
            </a:pPr>
            <a:endParaRPr lang="en-US"/>
          </a:p>
        </c:txPr>
        <c:crossAx val="108826624"/>
        <c:crosses val="autoZero"/>
        <c:auto val="1"/>
        <c:lblAlgn val="ctr"/>
        <c:lblOffset val="100"/>
      </c:catAx>
      <c:valAx>
        <c:axId val="108826624"/>
        <c:scaling>
          <c:orientation val="minMax"/>
          <c:min val="0"/>
        </c:scaling>
        <c:axPos val="l"/>
        <c:majorGridlines>
          <c:spPr>
            <a:ln>
              <a:solidFill>
                <a:schemeClr val="bg1"/>
              </a:solidFill>
            </a:ln>
          </c:spPr>
        </c:majorGridlines>
        <c:numFmt formatCode="#,##0" sourceLinked="0"/>
        <c:tickLblPos val="nextTo"/>
        <c:spPr>
          <a:ln>
            <a:noFill/>
          </a:ln>
        </c:spPr>
        <c:txPr>
          <a:bodyPr/>
          <a:lstStyle/>
          <a:p>
            <a:pPr>
              <a:defRPr sz="800" b="1">
                <a:solidFill>
                  <a:schemeClr val="bg1"/>
                </a:solidFill>
              </a:defRPr>
            </a:pPr>
            <a:endParaRPr lang="en-US"/>
          </a:p>
        </c:txPr>
        <c:crossAx val="108796160"/>
        <c:crosses val="autoZero"/>
        <c:crossBetween val="between"/>
      </c:valAx>
    </c:plotArea>
    <c:plotVisOnly val="1"/>
    <c:dispBlanksAs val="gap"/>
  </c:chart>
  <c:spPr>
    <a:ln w="12700">
      <a:solidFill>
        <a:schemeClr val="tx1">
          <a:lumMod val="50000"/>
          <a:lumOff val="50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300"/>
            </a:pPr>
            <a:r>
              <a:rPr lang="lv-LV" sz="1300"/>
              <a:t>Veselības  aprūpes finansējums 2003.-2013.g. sadalījumā pa pamatfunkcijām un ES fondu + ārvalstu finanšu instrumentiem</a:t>
            </a:r>
          </a:p>
        </c:rich>
      </c:tx>
      <c:layout>
        <c:manualLayout>
          <c:xMode val="edge"/>
          <c:yMode val="edge"/>
          <c:x val="0.18248352641720444"/>
          <c:y val="1.4417852940796188E-2"/>
        </c:manualLayout>
      </c:layout>
      <c:overlay val="1"/>
    </c:title>
    <c:plotArea>
      <c:layout>
        <c:manualLayout>
          <c:layoutTarget val="inner"/>
          <c:xMode val="edge"/>
          <c:yMode val="edge"/>
          <c:x val="5.199384487631252E-2"/>
          <c:y val="0.16664908265777259"/>
          <c:w val="0.88909515444223186"/>
          <c:h val="0.64741683151675011"/>
        </c:manualLayout>
      </c:layout>
      <c:barChart>
        <c:barDir val="col"/>
        <c:grouping val="stacked"/>
        <c:ser>
          <c:idx val="0"/>
          <c:order val="0"/>
          <c:tx>
            <c:strRef>
              <c:f>'2003-2013'!$B$10</c:f>
              <c:strCache>
                <c:ptCount val="1"/>
                <c:pt idx="0">
                  <c:v>Pamatfunkcijas</c:v>
                </c:pt>
              </c:strCache>
            </c:strRef>
          </c:tx>
          <c:spPr>
            <a:solidFill>
              <a:schemeClr val="accent5">
                <a:lumMod val="60000"/>
                <a:lumOff val="40000"/>
              </a:schemeClr>
            </a:solidFill>
            <a:scene3d>
              <a:camera prst="orthographicFront"/>
              <a:lightRig rig="threePt" dir="t">
                <a:rot lat="0" lon="0" rev="1200000"/>
              </a:lightRig>
            </a:scene3d>
            <a:sp3d>
              <a:bevelT w="127000" h="50800" prst="coolSlant"/>
            </a:sp3d>
          </c:spPr>
          <c:dLbls>
            <c:txPr>
              <a:bodyPr/>
              <a:lstStyle/>
              <a:p>
                <a:pPr>
                  <a:defRPr sz="1100" b="1"/>
                </a:pPr>
                <a:endParaRPr lang="en-US"/>
              </a:p>
            </c:txPr>
            <c:showVal val="1"/>
          </c:dLbls>
          <c:cat>
            <c:numRef>
              <c:f>'2003-2013'!$C$4:$M$4</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'2003-2013'!$C$10:$M$10</c:f>
              <c:numCache>
                <c:formatCode>0.0</c:formatCode>
                <c:ptCount val="11"/>
                <c:pt idx="0">
                  <c:v>210.14528099999998</c:v>
                </c:pt>
                <c:pt idx="1">
                  <c:v>243.06793400000001</c:v>
                </c:pt>
                <c:pt idx="2">
                  <c:v>290.53574099999969</c:v>
                </c:pt>
                <c:pt idx="3">
                  <c:v>413.53852399999869</c:v>
                </c:pt>
                <c:pt idx="4">
                  <c:v>516.82883400000003</c:v>
                </c:pt>
                <c:pt idx="5">
                  <c:v>569.41657899999996</c:v>
                </c:pt>
                <c:pt idx="6">
                  <c:v>471.51605499999869</c:v>
                </c:pt>
                <c:pt idx="7">
                  <c:v>465.95321399999864</c:v>
                </c:pt>
                <c:pt idx="8">
                  <c:v>463.12836799999963</c:v>
                </c:pt>
                <c:pt idx="9">
                  <c:v>486.10363100000001</c:v>
                </c:pt>
                <c:pt idx="10">
                  <c:v>464.39736900000003</c:v>
                </c:pt>
              </c:numCache>
            </c:numRef>
          </c:val>
        </c:ser>
        <c:ser>
          <c:idx val="1"/>
          <c:order val="1"/>
          <c:tx>
            <c:strRef>
              <c:f>'2003-2013'!$B$7</c:f>
              <c:strCache>
                <c:ptCount val="1"/>
                <c:pt idx="0">
                  <c:v>ES fondi un ĀRF</c:v>
                </c:pt>
              </c:strCache>
            </c:strRef>
          </c:tx>
          <c:spPr>
            <a:solidFill>
              <a:srgbClr val="FF66FF"/>
            </a:solidFill>
          </c:spPr>
          <c:dLbls>
            <c:dLbl>
              <c:idx val="0"/>
              <c:layout>
                <c:manualLayout>
                  <c:x val="0"/>
                  <c:y val="-2.4864018779186481E-2"/>
                </c:manualLayout>
              </c:layout>
              <c:showVal val="1"/>
            </c:dLbl>
            <c:dLbl>
              <c:idx val="1"/>
              <c:layout>
                <c:manualLayout>
                  <c:x val="0"/>
                  <c:y val="-1.8648014084389857E-2"/>
                </c:manualLayout>
              </c:layout>
              <c:showVal val="1"/>
            </c:dLbl>
            <c:dLbl>
              <c:idx val="2"/>
              <c:layout>
                <c:manualLayout>
                  <c:x val="0"/>
                  <c:y val="1.361446853505004E-2"/>
                </c:manualLayout>
              </c:layout>
              <c:showVal val="1"/>
            </c:dLbl>
            <c:dLbl>
              <c:idx val="3"/>
              <c:layout>
                <c:manualLayout>
                  <c:x val="-7.2661028603712013E-4"/>
                  <c:y val="-2.4054185017608771E-2"/>
                </c:manualLayout>
              </c:layout>
              <c:showVal val="1"/>
            </c:dLbl>
            <c:dLbl>
              <c:idx val="4"/>
              <c:layout>
                <c:manualLayout>
                  <c:x val="0"/>
                  <c:y val="-8.6784647619346251E-3"/>
                </c:manualLayout>
              </c:layout>
              <c:showVal val="1"/>
            </c:dLbl>
            <c:dLbl>
              <c:idx val="5"/>
              <c:layout>
                <c:manualLayout>
                  <c:x val="6.7397299557456626E-17"/>
                  <c:y val="-5.8340211138349831E-3"/>
                </c:manualLayout>
              </c:layout>
              <c:showVal val="1"/>
            </c:dLbl>
            <c:dLbl>
              <c:idx val="6"/>
              <c:layout>
                <c:manualLayout>
                  <c:x val="-1.9782324952910967E-3"/>
                  <c:y val="-3.238858235840214E-3"/>
                </c:manualLayout>
              </c:layout>
              <c:showVal val="1"/>
            </c:dLbl>
            <c:dLbl>
              <c:idx val="7"/>
              <c:layout>
                <c:manualLayout>
                  <c:x val="-1.9782324952910967E-3"/>
                  <c:y val="-3.9441458774045515E-4"/>
                </c:manualLayout>
              </c:layout>
              <c:showVal val="1"/>
            </c:dLbl>
            <c:txPr>
              <a:bodyPr/>
              <a:lstStyle/>
              <a:p>
                <a:pPr>
                  <a:defRPr sz="1100" b="1"/>
                </a:pPr>
                <a:endParaRPr lang="en-US"/>
              </a:p>
            </c:txPr>
            <c:showVal val="1"/>
          </c:dLbls>
          <c:cat>
            <c:numRef>
              <c:f>'2003-2013'!$C$4:$M$4</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'2003-2013'!$C$7:$M$7</c:f>
              <c:numCache>
                <c:formatCode>0.0</c:formatCode>
                <c:ptCount val="11"/>
                <c:pt idx="0">
                  <c:v>1.3520860000000001</c:v>
                </c:pt>
                <c:pt idx="1">
                  <c:v>2.1021909999999999</c:v>
                </c:pt>
                <c:pt idx="2">
                  <c:v>6.2840220000000002</c:v>
                </c:pt>
                <c:pt idx="3">
                  <c:v>0.74814800000000603</c:v>
                </c:pt>
                <c:pt idx="4">
                  <c:v>1.2780750000000001</c:v>
                </c:pt>
                <c:pt idx="5">
                  <c:v>7.1742489999999997</c:v>
                </c:pt>
                <c:pt idx="6">
                  <c:v>32.213084000000002</c:v>
                </c:pt>
                <c:pt idx="7">
                  <c:v>30.099705</c:v>
                </c:pt>
                <c:pt idx="8">
                  <c:v>40.375256</c:v>
                </c:pt>
                <c:pt idx="9">
                  <c:v>38.287307000000006</c:v>
                </c:pt>
                <c:pt idx="10">
                  <c:v>35.939019000000002</c:v>
                </c:pt>
              </c:numCache>
            </c:numRef>
          </c:val>
        </c:ser>
        <c:gapWidth val="57"/>
        <c:overlap val="100"/>
        <c:axId val="57222272"/>
        <c:axId val="57223808"/>
      </c:barChart>
      <c:lineChart>
        <c:grouping val="standard"/>
        <c:ser>
          <c:idx val="2"/>
          <c:order val="2"/>
          <c:tx>
            <c:strRef>
              <c:f>'2003-2013'!$B$10</c:f>
              <c:strCache>
                <c:ptCount val="1"/>
                <c:pt idx="0">
                  <c:v>Pamatfunkcijas</c:v>
                </c:pt>
              </c:strCache>
            </c:strRef>
          </c:tx>
          <c:spPr>
            <a:ln>
              <a:solidFill>
                <a:srgbClr val="FF6D6D"/>
              </a:solidFill>
            </a:ln>
          </c:spPr>
          <c:marker>
            <c:spPr>
              <a:solidFill>
                <a:srgbClr val="E25462"/>
              </a:solidFill>
              <a:ln>
                <a:solidFill>
                  <a:srgbClr val="C00000"/>
                </a:solidFill>
              </a:ln>
            </c:spPr>
          </c:marker>
          <c:dLbls>
            <c:dLbl>
              <c:idx val="0"/>
              <c:layout>
                <c:manualLayout>
                  <c:x val="-5.736894164193989E-2"/>
                  <c:y val="-5.5684441192260889E-2"/>
                </c:manualLayout>
              </c:layout>
              <c:showVal val="1"/>
            </c:dLbl>
            <c:dLbl>
              <c:idx val="1"/>
              <c:layout>
                <c:manualLayout>
                  <c:x val="-4.3521266073194766E-2"/>
                  <c:y val="-4.9497281059789518E-2"/>
                </c:manualLayout>
              </c:layout>
              <c:showVal val="1"/>
            </c:dLbl>
            <c:dLbl>
              <c:idx val="2"/>
              <c:layout>
                <c:manualLayout>
                  <c:x val="-4.1543026706231452E-2"/>
                  <c:y val="-8.9713821920864772E-2"/>
                </c:manualLayout>
              </c:layout>
              <c:showVal val="1"/>
            </c:dLbl>
            <c:dLbl>
              <c:idx val="3"/>
              <c:layout>
                <c:manualLayout>
                  <c:x val="-4.5499505440158274E-2"/>
                  <c:y val="-7.4245921589681185E-2"/>
                </c:manualLayout>
              </c:layout>
              <c:showVal val="1"/>
            </c:dLbl>
            <c:dLbl>
              <c:idx val="4"/>
              <c:layout>
                <c:manualLayout>
                  <c:x val="-4.3521266073194766E-2"/>
                  <c:y val="-5.2590861126024194E-2"/>
                </c:manualLayout>
              </c:layout>
              <c:showVal val="1"/>
            </c:dLbl>
            <c:dLbl>
              <c:idx val="5"/>
              <c:layout>
                <c:manualLayout>
                  <c:x val="-4.5499505440158274E-2"/>
                  <c:y val="-5.8778021258497834E-2"/>
                </c:manualLayout>
              </c:layout>
              <c:showVal val="1"/>
            </c:dLbl>
            <c:dLbl>
              <c:idx val="6"/>
              <c:layout>
                <c:manualLayout>
                  <c:x val="-3.7586547972305012E-2"/>
                  <c:y val="-6.496518139097103E-2"/>
                </c:manualLayout>
              </c:layout>
              <c:showVal val="1"/>
            </c:dLbl>
            <c:dLbl>
              <c:idx val="7"/>
              <c:layout>
                <c:manualLayout>
                  <c:x val="-3.7586547972305012E-2"/>
                  <c:y val="-5.5684441192260889E-2"/>
                </c:manualLayout>
              </c:layout>
              <c:showVal val="1"/>
            </c:dLbl>
            <c:txPr>
              <a:bodyPr/>
              <a:lstStyle/>
              <a:p>
                <a:pPr>
                  <a:defRPr sz="1100" b="1">
                    <a:solidFill>
                      <a:srgbClr val="C00000"/>
                    </a:solidFill>
                  </a:defRPr>
                </a:pPr>
                <a:endParaRPr lang="en-US"/>
              </a:p>
            </c:txPr>
            <c:showVal val="1"/>
          </c:dLbls>
          <c:cat>
            <c:numRef>
              <c:f>'2003-2013'!$C$4:$M$4</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'2003-2013'!$C$10:$M$10</c:f>
              <c:numCache>
                <c:formatCode>0.0</c:formatCode>
                <c:ptCount val="11"/>
                <c:pt idx="0">
                  <c:v>210.14528099999998</c:v>
                </c:pt>
                <c:pt idx="1">
                  <c:v>243.06793400000001</c:v>
                </c:pt>
                <c:pt idx="2">
                  <c:v>290.53574099999969</c:v>
                </c:pt>
                <c:pt idx="3">
                  <c:v>413.53852399999869</c:v>
                </c:pt>
                <c:pt idx="4">
                  <c:v>516.82883400000003</c:v>
                </c:pt>
                <c:pt idx="5">
                  <c:v>569.41657899999996</c:v>
                </c:pt>
                <c:pt idx="6">
                  <c:v>471.51605499999869</c:v>
                </c:pt>
                <c:pt idx="7">
                  <c:v>465.95321399999864</c:v>
                </c:pt>
                <c:pt idx="8">
                  <c:v>463.12836799999963</c:v>
                </c:pt>
                <c:pt idx="9">
                  <c:v>486.10363100000001</c:v>
                </c:pt>
                <c:pt idx="10">
                  <c:v>464.39736900000003</c:v>
                </c:pt>
              </c:numCache>
            </c:numRef>
          </c:val>
        </c:ser>
        <c:ser>
          <c:idx val="3"/>
          <c:order val="3"/>
          <c:tx>
            <c:strRef>
              <c:f>'2003-2013'!$B$12</c:f>
              <c:strCache>
                <c:ptCount val="1"/>
                <c:pt idx="0">
                  <c:v>Nozares budžets % no IKP</c:v>
                </c:pt>
              </c:strCache>
            </c:strRef>
          </c:tx>
          <c:spPr>
            <a:ln w="38100">
              <a:solidFill>
                <a:srgbClr val="FF6D6D"/>
              </a:solidFill>
            </a:ln>
          </c:spPr>
          <c:marker>
            <c:symbol val="triangle"/>
            <c:size val="9"/>
            <c:spPr>
              <a:solidFill>
                <a:srgbClr val="FF6D6D"/>
              </a:solidFill>
              <a:ln>
                <a:solidFill>
                  <a:srgbClr val="C00000"/>
                </a:solidFill>
              </a:ln>
            </c:spPr>
          </c:marker>
          <c:dLbls>
            <c:dLbl>
              <c:idx val="0"/>
              <c:layout>
                <c:manualLayout>
                  <c:x val="-2.9517245949549291E-2"/>
                  <c:y val="-5.2990538964734032E-2"/>
                </c:manualLayout>
              </c:layout>
              <c:showVal val="1"/>
            </c:dLbl>
            <c:dLbl>
              <c:idx val="1"/>
              <c:layout>
                <c:manualLayout>
                  <c:x val="-2.8291279354545156E-2"/>
                  <c:y val="-4.9562633120607033E-2"/>
                </c:manualLayout>
              </c:layout>
              <c:showVal val="1"/>
            </c:dLbl>
            <c:dLbl>
              <c:idx val="2"/>
              <c:layout>
                <c:manualLayout>
                  <c:x val="-3.1588051795833558E-2"/>
                  <c:y val="-4.9562633120607033E-2"/>
                </c:manualLayout>
              </c:layout>
              <c:showVal val="1"/>
            </c:dLbl>
            <c:dLbl>
              <c:idx val="3"/>
              <c:layout>
                <c:manualLayout>
                  <c:x val="-3.5166465211649928E-2"/>
                  <c:y val="-5.2125852222576041E-2"/>
                </c:manualLayout>
              </c:layout>
              <c:showVal val="1"/>
            </c:dLbl>
            <c:dLbl>
              <c:idx val="4"/>
              <c:layout>
                <c:manualLayout>
                  <c:x val="-3.3431687337351502E-2"/>
                  <c:y val="-5.0587580184558577E-2"/>
                </c:manualLayout>
              </c:layout>
              <c:showVal val="1"/>
            </c:dLbl>
            <c:dLbl>
              <c:idx val="5"/>
              <c:layout>
                <c:manualLayout>
                  <c:x val="-2.9798886924077238E-2"/>
                  <c:y val="-5.5746562397176541E-2"/>
                </c:manualLayout>
              </c:layout>
              <c:showVal val="1"/>
            </c:dLbl>
            <c:dLbl>
              <c:idx val="6"/>
              <c:layout>
                <c:manualLayout>
                  <c:x val="-3.1197553154086063E-2"/>
                  <c:y val="-5.5393497744909821E-2"/>
                </c:manualLayout>
              </c:layout>
              <c:showVal val="1"/>
            </c:dLbl>
            <c:dLbl>
              <c:idx val="7"/>
              <c:layout>
                <c:manualLayout>
                  <c:x val="-2.6947000121994646E-2"/>
                  <c:y val="-5.2990538964734032E-2"/>
                </c:manualLayout>
              </c:layout>
              <c:showVal val="1"/>
            </c:dLbl>
            <c:dLbl>
              <c:idx val="8"/>
              <c:layout>
                <c:manualLayout>
                  <c:x val="-1.942729754563376E-2"/>
                  <c:y val="-4.9337914439053887E-2"/>
                </c:manualLayout>
              </c:layout>
              <c:showVal val="1"/>
            </c:dLbl>
            <c:dLbl>
              <c:idx val="9"/>
              <c:layout>
                <c:manualLayout>
                  <c:x val="-2.4284121932042168E-2"/>
                  <c:y val="-5.5142374961294073E-2"/>
                </c:manualLayout>
              </c:layout>
              <c:showVal val="1"/>
            </c:dLbl>
            <c:dLbl>
              <c:idx val="10"/>
              <c:layout>
                <c:manualLayout>
                  <c:x val="-3.0759887780586952E-2"/>
                  <c:y val="-5.5142374961294073E-2"/>
                </c:manualLayout>
              </c:layout>
              <c:showVal val="1"/>
            </c:dLbl>
            <c:dLbl>
              <c:idx val="11"/>
              <c:layout>
                <c:manualLayout>
                  <c:x val="-2.5244770773867165E-2"/>
                  <c:y val="-5.4237239390132932E-2"/>
                </c:manualLayout>
              </c:layout>
              <c:showVal val="1"/>
            </c:dLbl>
            <c:dLbl>
              <c:idx val="12"/>
              <c:layout>
                <c:manualLayout>
                  <c:x val="-2.6307430358168536E-2"/>
                  <c:y val="5.0088256702599407E-2"/>
                </c:manualLayout>
              </c:layout>
              <c:showVal val="1"/>
            </c:dLbl>
            <c:dLbl>
              <c:idx val="13"/>
              <c:layout>
                <c:manualLayout>
                  <c:x val="-2.3904507811897287E-2"/>
                  <c:y val="5.2491215482774294E-2"/>
                </c:manualLayout>
              </c:layout>
              <c:showVal val="1"/>
            </c:dLbl>
            <c:dLbl>
              <c:idx val="14"/>
              <c:layout>
                <c:manualLayout>
                  <c:x val="-1.921634863102907E-2"/>
                  <c:y val="4.7893617419825237E-2"/>
                </c:manualLayout>
              </c:layout>
              <c:showVal val="1"/>
            </c:dLbl>
            <c:txPr>
              <a:bodyPr/>
              <a:lstStyle/>
              <a:p>
                <a:pPr>
                  <a:defRPr sz="1200" b="1">
                    <a:solidFill>
                      <a:srgbClr val="C00000"/>
                    </a:solidFill>
                  </a:defRPr>
                </a:pPr>
                <a:endParaRPr lang="en-US"/>
              </a:p>
            </c:txPr>
            <c:showVal val="1"/>
          </c:dLbls>
          <c:val>
            <c:numRef>
              <c:f>'2003-2013'!$C$12:$M$12</c:f>
              <c:numCache>
                <c:formatCode>0.00</c:formatCode>
                <c:ptCount val="11"/>
                <c:pt idx="0">
                  <c:v>3.3083796590465049</c:v>
                </c:pt>
                <c:pt idx="1">
                  <c:v>3.2977556253626701</c:v>
                </c:pt>
                <c:pt idx="2">
                  <c:v>3.2764818028280946</c:v>
                </c:pt>
                <c:pt idx="3">
                  <c:v>3.7083606934060942</c:v>
                </c:pt>
                <c:pt idx="4">
                  <c:v>3.5055045294898917</c:v>
                </c:pt>
                <c:pt idx="5">
                  <c:v>3.5617899965851731</c:v>
                </c:pt>
                <c:pt idx="6">
                  <c:v>3.8503177455825086</c:v>
                </c:pt>
                <c:pt idx="7">
                  <c:v>4.0094688808978924</c:v>
                </c:pt>
                <c:pt idx="8">
                  <c:v>3.5555654544170587</c:v>
                </c:pt>
                <c:pt idx="9">
                  <c:v>3.4708798342632479</c:v>
                </c:pt>
                <c:pt idx="10">
                  <c:v>3.1299389321572684</c:v>
                </c:pt>
              </c:numCache>
            </c:numRef>
          </c:val>
        </c:ser>
        <c:marker val="1"/>
        <c:axId val="57256192"/>
        <c:axId val="57254656"/>
      </c:lineChart>
      <c:catAx>
        <c:axId val="57222272"/>
        <c:scaling>
          <c:orientation val="minMax"/>
        </c:scaling>
        <c:axPos val="b"/>
        <c:numFmt formatCode="General" sourceLinked="1"/>
        <c:tickLblPos val="nextTo"/>
        <c:txPr>
          <a:bodyPr/>
          <a:lstStyle/>
          <a:p>
            <a:pPr>
              <a:defRPr sz="1200" b="1" baseline="0">
                <a:latin typeface="Arial Narrow" pitchFamily="34" charset="0"/>
              </a:defRPr>
            </a:pPr>
            <a:endParaRPr lang="en-US"/>
          </a:p>
        </c:txPr>
        <c:crossAx val="57223808"/>
        <c:crosses val="autoZero"/>
        <c:auto val="1"/>
        <c:lblAlgn val="ctr"/>
        <c:lblOffset val="100"/>
      </c:catAx>
      <c:valAx>
        <c:axId val="57223808"/>
        <c:scaling>
          <c:orientation val="minMax"/>
          <c:max val="700"/>
          <c:min val="0"/>
        </c:scaling>
        <c:axPos val="l"/>
        <c:majorGridlines/>
        <c:title>
          <c:tx>
            <c:rich>
              <a:bodyPr rot="0" vert="horz"/>
              <a:lstStyle/>
              <a:p>
                <a:pPr>
                  <a:defRPr sz="1200"/>
                </a:pPr>
                <a:r>
                  <a:rPr lang="lv-LV" sz="1200"/>
                  <a:t>milj.Ls</a:t>
                </a:r>
              </a:p>
            </c:rich>
          </c:tx>
          <c:layout>
            <c:manualLayout>
              <c:xMode val="edge"/>
              <c:yMode val="edge"/>
              <c:x val="5.3397403874364934E-4"/>
              <c:y val="6.7645022633040439E-2"/>
            </c:manualLayout>
          </c:layout>
        </c:title>
        <c:numFmt formatCode="0" sourceLinked="0"/>
        <c:tickLblPos val="nextTo"/>
        <c:txPr>
          <a:bodyPr/>
          <a:lstStyle/>
          <a:p>
            <a:pPr>
              <a:defRPr sz="1200" b="1"/>
            </a:pPr>
            <a:endParaRPr lang="en-US"/>
          </a:p>
        </c:txPr>
        <c:crossAx val="57222272"/>
        <c:crosses val="autoZero"/>
        <c:crossBetween val="between"/>
      </c:valAx>
      <c:valAx>
        <c:axId val="57254656"/>
        <c:scaling>
          <c:orientation val="minMax"/>
          <c:max val="4.5"/>
          <c:min val="0"/>
        </c:scaling>
        <c:axPos val="r"/>
        <c:numFmt formatCode="0.0" sourceLinked="1"/>
        <c:tickLblPos val="nextTo"/>
        <c:txPr>
          <a:bodyPr/>
          <a:lstStyle/>
          <a:p>
            <a:pPr>
              <a:defRPr sz="1200" b="1">
                <a:solidFill>
                  <a:srgbClr val="C00000"/>
                </a:solidFill>
              </a:defRPr>
            </a:pPr>
            <a:endParaRPr lang="en-US"/>
          </a:p>
        </c:txPr>
        <c:crossAx val="57256192"/>
        <c:crosses val="max"/>
        <c:crossBetween val="between"/>
      </c:valAx>
      <c:catAx>
        <c:axId val="57256192"/>
        <c:scaling>
          <c:orientation val="minMax"/>
        </c:scaling>
        <c:delete val="1"/>
        <c:axPos val="b"/>
        <c:numFmt formatCode="General" sourceLinked="1"/>
        <c:tickLblPos val="none"/>
        <c:crossAx val="57254656"/>
        <c:crosses val="autoZero"/>
        <c:auto val="1"/>
        <c:lblAlgn val="ctr"/>
        <c:lblOffset val="100"/>
      </c:catAx>
    </c:plotArea>
    <c:legend>
      <c:legendPos val="b"/>
      <c:legendEntry>
        <c:idx val="2"/>
        <c:delete val="1"/>
      </c:legendEntry>
      <c:layout>
        <c:manualLayout>
          <c:xMode val="edge"/>
          <c:yMode val="edge"/>
          <c:x val="9.1277525354648045E-2"/>
          <c:y val="0.94383734641865435"/>
          <c:w val="0.80195748190086458"/>
          <c:h val="5.6127726279104277E-2"/>
        </c:manualLayout>
      </c:layout>
      <c:txPr>
        <a:bodyPr/>
        <a:lstStyle/>
        <a:p>
          <a:pPr>
            <a:defRPr sz="1200" b="1"/>
          </a:pPr>
          <a:endParaRPr lang="en-US"/>
        </a:p>
      </c:txPr>
    </c:legend>
    <c:plotVisOnly val="1"/>
    <c:dispBlanksAs val="gap"/>
  </c:chart>
  <c:spPr>
    <a:ln>
      <a:solidFill>
        <a:schemeClr val="tx1">
          <a:lumMod val="50000"/>
          <a:lumOff val="50000"/>
        </a:schemeClr>
      </a:solid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6036312768596228E-2"/>
          <c:y val="0.10273592221426869"/>
          <c:w val="0.69442156268928734"/>
          <c:h val="0.71607760677642562"/>
        </c:manualLayout>
      </c:layout>
      <c:lineChart>
        <c:grouping val="standard"/>
        <c:ser>
          <c:idx val="1"/>
          <c:order val="0"/>
          <c:tx>
            <c:strRef>
              <c:f>'CR 2004-2014 un fakts'!$A$5</c:f>
              <c:strCache>
                <c:ptCount val="1"/>
                <c:pt idx="0">
                  <c:v>Ārsti (CR)</c:v>
                </c:pt>
              </c:strCache>
            </c:strRef>
          </c:tx>
          <c:spPr>
            <a:ln>
              <a:solidFill>
                <a:srgbClr val="FF0000"/>
              </a:solidFill>
            </a:ln>
          </c:spPr>
          <c:marker>
            <c:symbol val="circle"/>
            <c:size val="8"/>
            <c:spPr>
              <a:solidFill>
                <a:srgbClr val="FF6600"/>
              </a:solidFill>
              <a:ln>
                <a:solidFill>
                  <a:srgbClr val="FF0000"/>
                </a:solidFill>
              </a:ln>
            </c:spPr>
          </c:marker>
          <c:cat>
            <c:strRef>
              <c:f>'CR 2004-2014 un fakts'!$B$4:$M$4</c:f>
              <c:strCache>
                <c:ptCount val="12"/>
                <c:pt idx="0">
                  <c:v>2005 I</c:v>
                </c:pt>
                <c:pt idx="1">
                  <c:v>2005 II</c:v>
                </c:pt>
                <c:pt idx="2">
                  <c:v>2006 I</c:v>
                </c:pt>
                <c:pt idx="3">
                  <c:v>2006 II</c:v>
                </c:pt>
                <c:pt idx="4">
                  <c:v>2007</c:v>
                </c:pt>
                <c:pt idx="5">
                  <c:v>2 008</c:v>
                </c:pt>
                <c:pt idx="6">
                  <c:v>2009</c:v>
                </c:pt>
                <c:pt idx="7">
                  <c:v>2010</c:v>
                </c:pt>
                <c:pt idx="8">
                  <c:v>2011</c:v>
                </c:pt>
                <c:pt idx="9">
                  <c:v>2012</c:v>
                </c:pt>
                <c:pt idx="10">
                  <c:v>2013</c:v>
                </c:pt>
                <c:pt idx="11">
                  <c:v>2014</c:v>
                </c:pt>
              </c:strCache>
            </c:strRef>
          </c:cat>
          <c:val>
            <c:numRef>
              <c:f>'CR 2004-2014 un fakts'!$B$5:$M$5</c:f>
              <c:numCache>
                <c:formatCode>0</c:formatCode>
                <c:ptCount val="12"/>
                <c:pt idx="0">
                  <c:v>290.7</c:v>
                </c:pt>
                <c:pt idx="1">
                  <c:v>363.7</c:v>
                </c:pt>
                <c:pt idx="2">
                  <c:v>418</c:v>
                </c:pt>
                <c:pt idx="3">
                  <c:v>440</c:v>
                </c:pt>
                <c:pt idx="4">
                  <c:v>574</c:v>
                </c:pt>
                <c:pt idx="5">
                  <c:v>654</c:v>
                </c:pt>
                <c:pt idx="6">
                  <c:v>907.5</c:v>
                </c:pt>
                <c:pt idx="7">
                  <c:v>1002.5</c:v>
                </c:pt>
                <c:pt idx="8">
                  <c:v>1102.5</c:v>
                </c:pt>
                <c:pt idx="9">
                  <c:v>1207.5</c:v>
                </c:pt>
                <c:pt idx="10">
                  <c:v>1315</c:v>
                </c:pt>
                <c:pt idx="11">
                  <c:v>1427.5</c:v>
                </c:pt>
              </c:numCache>
            </c:numRef>
          </c:val>
        </c:ser>
        <c:ser>
          <c:idx val="2"/>
          <c:order val="1"/>
          <c:tx>
            <c:strRef>
              <c:f>'CR 2004-2014 un fakts'!$A$6</c:f>
              <c:strCache>
                <c:ptCount val="1"/>
                <c:pt idx="0">
                  <c:v>Aprūpes personas (CR)</c:v>
                </c:pt>
              </c:strCache>
            </c:strRef>
          </c:tx>
          <c:spPr>
            <a:ln>
              <a:solidFill>
                <a:srgbClr val="0066FF"/>
              </a:solidFill>
            </a:ln>
          </c:spPr>
          <c:marker>
            <c:symbol val="square"/>
            <c:size val="7"/>
            <c:spPr>
              <a:solidFill>
                <a:srgbClr val="00B0F0"/>
              </a:solidFill>
              <a:ln>
                <a:solidFill>
                  <a:srgbClr val="0066FF"/>
                </a:solidFill>
              </a:ln>
            </c:spPr>
          </c:marker>
          <c:cat>
            <c:strRef>
              <c:f>'CR 2004-2014 un fakts'!$B$4:$M$4</c:f>
              <c:strCache>
                <c:ptCount val="12"/>
                <c:pt idx="0">
                  <c:v>2005 I</c:v>
                </c:pt>
                <c:pt idx="1">
                  <c:v>2005 II</c:v>
                </c:pt>
                <c:pt idx="2">
                  <c:v>2006 I</c:v>
                </c:pt>
                <c:pt idx="3">
                  <c:v>2006 II</c:v>
                </c:pt>
                <c:pt idx="4">
                  <c:v>2007</c:v>
                </c:pt>
                <c:pt idx="5">
                  <c:v>2 008</c:v>
                </c:pt>
                <c:pt idx="6">
                  <c:v>2009</c:v>
                </c:pt>
                <c:pt idx="7">
                  <c:v>2010</c:v>
                </c:pt>
                <c:pt idx="8">
                  <c:v>2011</c:v>
                </c:pt>
                <c:pt idx="9">
                  <c:v>2012</c:v>
                </c:pt>
                <c:pt idx="10">
                  <c:v>2013</c:v>
                </c:pt>
                <c:pt idx="11">
                  <c:v>2014</c:v>
                </c:pt>
              </c:strCache>
            </c:strRef>
          </c:cat>
          <c:val>
            <c:numRef>
              <c:f>'CR 2004-2014 un fakts'!$B$6:$M$6</c:f>
              <c:numCache>
                <c:formatCode>0</c:formatCode>
                <c:ptCount val="12"/>
                <c:pt idx="0">
                  <c:v>169.1</c:v>
                </c:pt>
                <c:pt idx="1">
                  <c:v>210.9</c:v>
                </c:pt>
                <c:pt idx="2">
                  <c:v>251</c:v>
                </c:pt>
                <c:pt idx="3">
                  <c:v>264</c:v>
                </c:pt>
                <c:pt idx="4">
                  <c:v>344.4</c:v>
                </c:pt>
                <c:pt idx="5">
                  <c:v>392.4</c:v>
                </c:pt>
                <c:pt idx="6">
                  <c:v>544.5</c:v>
                </c:pt>
                <c:pt idx="7">
                  <c:v>601.5</c:v>
                </c:pt>
                <c:pt idx="8">
                  <c:v>661.5</c:v>
                </c:pt>
                <c:pt idx="9">
                  <c:v>724.5</c:v>
                </c:pt>
                <c:pt idx="10">
                  <c:v>789</c:v>
                </c:pt>
                <c:pt idx="11">
                  <c:v>856.5</c:v>
                </c:pt>
              </c:numCache>
            </c:numRef>
          </c:val>
        </c:ser>
        <c:ser>
          <c:idx val="3"/>
          <c:order val="2"/>
          <c:tx>
            <c:strRef>
              <c:f>'CR 2004-2014 un fakts'!$A$7</c:f>
              <c:strCache>
                <c:ptCount val="1"/>
                <c:pt idx="0">
                  <c:v>Aprūpes atbalsta personas (CR)</c:v>
                </c:pt>
              </c:strCache>
            </c:strRef>
          </c:tx>
          <c:spPr>
            <a:ln>
              <a:solidFill>
                <a:srgbClr val="33CC33"/>
              </a:solidFill>
            </a:ln>
          </c:spPr>
          <c:marker>
            <c:symbol val="triangle"/>
            <c:size val="8"/>
            <c:spPr>
              <a:solidFill>
                <a:srgbClr val="99FF33"/>
              </a:solidFill>
              <a:ln>
                <a:solidFill>
                  <a:srgbClr val="008000"/>
                </a:solidFill>
              </a:ln>
            </c:spPr>
          </c:marker>
          <c:cat>
            <c:strRef>
              <c:f>'CR 2004-2014 un fakts'!$B$4:$M$4</c:f>
              <c:strCache>
                <c:ptCount val="12"/>
                <c:pt idx="0">
                  <c:v>2005 I</c:v>
                </c:pt>
                <c:pt idx="1">
                  <c:v>2005 II</c:v>
                </c:pt>
                <c:pt idx="2">
                  <c:v>2006 I</c:v>
                </c:pt>
                <c:pt idx="3">
                  <c:v>2006 II</c:v>
                </c:pt>
                <c:pt idx="4">
                  <c:v>2007</c:v>
                </c:pt>
                <c:pt idx="5">
                  <c:v>2 008</c:v>
                </c:pt>
                <c:pt idx="6">
                  <c:v>2009</c:v>
                </c:pt>
                <c:pt idx="7">
                  <c:v>2010</c:v>
                </c:pt>
                <c:pt idx="8">
                  <c:v>2011</c:v>
                </c:pt>
                <c:pt idx="9">
                  <c:v>2012</c:v>
                </c:pt>
                <c:pt idx="10">
                  <c:v>2013</c:v>
                </c:pt>
                <c:pt idx="11">
                  <c:v>2014</c:v>
                </c:pt>
              </c:strCache>
            </c:strRef>
          </c:cat>
          <c:val>
            <c:numRef>
              <c:f>'CR 2004-2014 un fakts'!$B$7:$M$7</c:f>
              <c:numCache>
                <c:formatCode>0</c:formatCode>
                <c:ptCount val="12"/>
                <c:pt idx="0">
                  <c:v>121.67999999999998</c:v>
                </c:pt>
                <c:pt idx="1">
                  <c:v>152.69999999999999</c:v>
                </c:pt>
                <c:pt idx="2">
                  <c:v>167</c:v>
                </c:pt>
                <c:pt idx="3">
                  <c:v>176</c:v>
                </c:pt>
                <c:pt idx="4">
                  <c:v>229.60000000000002</c:v>
                </c:pt>
                <c:pt idx="5">
                  <c:v>261.60000000000002</c:v>
                </c:pt>
                <c:pt idx="6">
                  <c:v>363</c:v>
                </c:pt>
                <c:pt idx="7">
                  <c:v>401</c:v>
                </c:pt>
                <c:pt idx="8">
                  <c:v>441</c:v>
                </c:pt>
                <c:pt idx="9">
                  <c:v>483</c:v>
                </c:pt>
                <c:pt idx="10">
                  <c:v>526</c:v>
                </c:pt>
                <c:pt idx="11">
                  <c:v>571</c:v>
                </c:pt>
              </c:numCache>
            </c:numRef>
          </c:val>
        </c:ser>
        <c:ser>
          <c:idx val="5"/>
          <c:order val="3"/>
          <c:tx>
            <c:strRef>
              <c:f>'CR 2004-2014 un fakts'!$A$9</c:f>
              <c:strCache>
                <c:ptCount val="1"/>
                <c:pt idx="0">
                  <c:v>Ārsti (fakts)</c:v>
                </c:pt>
              </c:strCache>
            </c:strRef>
          </c:tx>
          <c:spPr>
            <a:ln>
              <a:solidFill>
                <a:srgbClr val="FF0000"/>
              </a:solidFill>
            </a:ln>
          </c:spPr>
          <c:marker>
            <c:symbol val="circle"/>
            <c:size val="8"/>
            <c:spPr>
              <a:solidFill>
                <a:schemeClr val="bg1"/>
              </a:solidFill>
              <a:ln>
                <a:solidFill>
                  <a:srgbClr val="FF0000"/>
                </a:solidFill>
              </a:ln>
            </c:spPr>
          </c:marker>
          <c:cat>
            <c:strRef>
              <c:f>'CR 2004-2014 un fakts'!$B$4:$M$4</c:f>
              <c:strCache>
                <c:ptCount val="12"/>
                <c:pt idx="0">
                  <c:v>2005 I</c:v>
                </c:pt>
                <c:pt idx="1">
                  <c:v>2005 II</c:v>
                </c:pt>
                <c:pt idx="2">
                  <c:v>2006 I</c:v>
                </c:pt>
                <c:pt idx="3">
                  <c:v>2006 II</c:v>
                </c:pt>
                <c:pt idx="4">
                  <c:v>2007</c:v>
                </c:pt>
                <c:pt idx="5">
                  <c:v>2 008</c:v>
                </c:pt>
                <c:pt idx="6">
                  <c:v>2009</c:v>
                </c:pt>
                <c:pt idx="7">
                  <c:v>2010</c:v>
                </c:pt>
                <c:pt idx="8">
                  <c:v>2011</c:v>
                </c:pt>
                <c:pt idx="9">
                  <c:v>2012</c:v>
                </c:pt>
                <c:pt idx="10">
                  <c:v>2013</c:v>
                </c:pt>
                <c:pt idx="11">
                  <c:v>2014</c:v>
                </c:pt>
              </c:strCache>
            </c:strRef>
          </c:cat>
          <c:val>
            <c:numRef>
              <c:f>'CR 2004-2014 un fakts'!$B$9:$M$9</c:f>
              <c:numCache>
                <c:formatCode>0</c:formatCode>
                <c:ptCount val="12"/>
                <c:pt idx="0">
                  <c:v>290.7</c:v>
                </c:pt>
                <c:pt idx="1">
                  <c:v>363.7</c:v>
                </c:pt>
                <c:pt idx="2">
                  <c:v>418</c:v>
                </c:pt>
                <c:pt idx="3">
                  <c:v>440</c:v>
                </c:pt>
                <c:pt idx="4">
                  <c:v>574</c:v>
                </c:pt>
                <c:pt idx="5">
                  <c:v>654.28571428571422</c:v>
                </c:pt>
                <c:pt idx="6">
                  <c:v>523.57142857142856</c:v>
                </c:pt>
                <c:pt idx="7">
                  <c:v>524</c:v>
                </c:pt>
                <c:pt idx="8">
                  <c:v>523.57142857142856</c:v>
                </c:pt>
                <c:pt idx="9">
                  <c:v>523.57142857142856</c:v>
                </c:pt>
                <c:pt idx="10">
                  <c:v>523.57142857142856</c:v>
                </c:pt>
              </c:numCache>
            </c:numRef>
          </c:val>
        </c:ser>
        <c:ser>
          <c:idx val="6"/>
          <c:order val="4"/>
          <c:tx>
            <c:strRef>
              <c:f>'CR 2004-2014 un fakts'!$A$10</c:f>
              <c:strCache>
                <c:ptCount val="1"/>
                <c:pt idx="0">
                  <c:v>Aprūpes personas (fakts)</c:v>
                </c:pt>
              </c:strCache>
            </c:strRef>
          </c:tx>
          <c:spPr>
            <a:ln>
              <a:solidFill>
                <a:srgbClr val="0066FF"/>
              </a:solidFill>
            </a:ln>
          </c:spPr>
          <c:marker>
            <c:symbol val="square"/>
            <c:size val="7"/>
            <c:spPr>
              <a:solidFill>
                <a:schemeClr val="bg1"/>
              </a:solidFill>
              <a:ln>
                <a:solidFill>
                  <a:srgbClr val="0066FF"/>
                </a:solidFill>
              </a:ln>
            </c:spPr>
          </c:marker>
          <c:cat>
            <c:strRef>
              <c:f>'CR 2004-2014 un fakts'!$B$4:$M$4</c:f>
              <c:strCache>
                <c:ptCount val="12"/>
                <c:pt idx="0">
                  <c:v>2005 I</c:v>
                </c:pt>
                <c:pt idx="1">
                  <c:v>2005 II</c:v>
                </c:pt>
                <c:pt idx="2">
                  <c:v>2006 I</c:v>
                </c:pt>
                <c:pt idx="3">
                  <c:v>2006 II</c:v>
                </c:pt>
                <c:pt idx="4">
                  <c:v>2007</c:v>
                </c:pt>
                <c:pt idx="5">
                  <c:v>2 008</c:v>
                </c:pt>
                <c:pt idx="6">
                  <c:v>2009</c:v>
                </c:pt>
                <c:pt idx="7">
                  <c:v>2010</c:v>
                </c:pt>
                <c:pt idx="8">
                  <c:v>2011</c:v>
                </c:pt>
                <c:pt idx="9">
                  <c:v>2012</c:v>
                </c:pt>
                <c:pt idx="10">
                  <c:v>2013</c:v>
                </c:pt>
                <c:pt idx="11">
                  <c:v>2014</c:v>
                </c:pt>
              </c:strCache>
            </c:strRef>
          </c:cat>
          <c:val>
            <c:numRef>
              <c:f>'CR 2004-2014 un fakts'!$B$10:$M$10</c:f>
              <c:numCache>
                <c:formatCode>0</c:formatCode>
                <c:ptCount val="12"/>
                <c:pt idx="0">
                  <c:v>169.1</c:v>
                </c:pt>
                <c:pt idx="1">
                  <c:v>210.9</c:v>
                </c:pt>
                <c:pt idx="2">
                  <c:v>251</c:v>
                </c:pt>
                <c:pt idx="3">
                  <c:v>264</c:v>
                </c:pt>
                <c:pt idx="4">
                  <c:v>344</c:v>
                </c:pt>
                <c:pt idx="5">
                  <c:v>392</c:v>
                </c:pt>
                <c:pt idx="6">
                  <c:v>335.23809523808984</c:v>
                </c:pt>
                <c:pt idx="7">
                  <c:v>344.04761904761864</c:v>
                </c:pt>
                <c:pt idx="8">
                  <c:v>344.04761904761864</c:v>
                </c:pt>
                <c:pt idx="9">
                  <c:v>344.04761904761864</c:v>
                </c:pt>
                <c:pt idx="10">
                  <c:v>344.04761904761864</c:v>
                </c:pt>
              </c:numCache>
            </c:numRef>
          </c:val>
        </c:ser>
        <c:ser>
          <c:idx val="7"/>
          <c:order val="5"/>
          <c:tx>
            <c:strRef>
              <c:f>'CR 2004-2014 un fakts'!$A$11</c:f>
              <c:strCache>
                <c:ptCount val="1"/>
                <c:pt idx="0">
                  <c:v>Aprūpes atbalsta personas (fakts)</c:v>
                </c:pt>
              </c:strCache>
            </c:strRef>
          </c:tx>
          <c:spPr>
            <a:ln>
              <a:solidFill>
                <a:srgbClr val="33CC33"/>
              </a:solidFill>
            </a:ln>
          </c:spPr>
          <c:marker>
            <c:symbol val="triangle"/>
            <c:size val="8"/>
            <c:spPr>
              <a:solidFill>
                <a:schemeClr val="bg1"/>
              </a:solidFill>
              <a:ln>
                <a:solidFill>
                  <a:srgbClr val="008000"/>
                </a:solidFill>
              </a:ln>
            </c:spPr>
          </c:marker>
          <c:cat>
            <c:strRef>
              <c:f>'CR 2004-2014 un fakts'!$B$4:$M$4</c:f>
              <c:strCache>
                <c:ptCount val="12"/>
                <c:pt idx="0">
                  <c:v>2005 I</c:v>
                </c:pt>
                <c:pt idx="1">
                  <c:v>2005 II</c:v>
                </c:pt>
                <c:pt idx="2">
                  <c:v>2006 I</c:v>
                </c:pt>
                <c:pt idx="3">
                  <c:v>2006 II</c:v>
                </c:pt>
                <c:pt idx="4">
                  <c:v>2007</c:v>
                </c:pt>
                <c:pt idx="5">
                  <c:v>2 008</c:v>
                </c:pt>
                <c:pt idx="6">
                  <c:v>2009</c:v>
                </c:pt>
                <c:pt idx="7">
                  <c:v>2010</c:v>
                </c:pt>
                <c:pt idx="8">
                  <c:v>2011</c:v>
                </c:pt>
                <c:pt idx="9">
                  <c:v>2012</c:v>
                </c:pt>
                <c:pt idx="10">
                  <c:v>2013</c:v>
                </c:pt>
                <c:pt idx="11">
                  <c:v>2014</c:v>
                </c:pt>
              </c:strCache>
            </c:strRef>
          </c:cat>
          <c:val>
            <c:numRef>
              <c:f>'CR 2004-2014 un fakts'!$B$11:$M$11</c:f>
              <c:numCache>
                <c:formatCode>0</c:formatCode>
                <c:ptCount val="12"/>
                <c:pt idx="0">
                  <c:v>121.67999999999998</c:v>
                </c:pt>
                <c:pt idx="1">
                  <c:v>152.69999999999999</c:v>
                </c:pt>
                <c:pt idx="2">
                  <c:v>167</c:v>
                </c:pt>
                <c:pt idx="3">
                  <c:v>176</c:v>
                </c:pt>
                <c:pt idx="4">
                  <c:v>230</c:v>
                </c:pt>
                <c:pt idx="5">
                  <c:v>262</c:v>
                </c:pt>
                <c:pt idx="6">
                  <c:v>262</c:v>
                </c:pt>
                <c:pt idx="7">
                  <c:v>288.21428571428567</c:v>
                </c:pt>
                <c:pt idx="8">
                  <c:v>288.21428571428567</c:v>
                </c:pt>
                <c:pt idx="9">
                  <c:v>288.21428571428567</c:v>
                </c:pt>
                <c:pt idx="10">
                  <c:v>288.21428571428567</c:v>
                </c:pt>
              </c:numCache>
            </c:numRef>
          </c:val>
        </c:ser>
        <c:marker val="1"/>
        <c:axId val="94230016"/>
        <c:axId val="94231936"/>
      </c:lineChart>
      <c:catAx>
        <c:axId val="94230016"/>
        <c:scaling>
          <c:orientation val="minMax"/>
        </c:scaling>
        <c:axPos val="b"/>
        <c:tickLblPos val="nextTo"/>
        <c:txPr>
          <a:bodyPr/>
          <a:lstStyle/>
          <a:p>
            <a:pPr>
              <a:defRPr sz="1200" b="1">
                <a:latin typeface="Arial Narrow" pitchFamily="34" charset="0"/>
              </a:defRPr>
            </a:pPr>
            <a:endParaRPr lang="en-US"/>
          </a:p>
        </c:txPr>
        <c:crossAx val="94231936"/>
        <c:crosses val="autoZero"/>
        <c:auto val="1"/>
        <c:lblAlgn val="ctr"/>
        <c:lblOffset val="100"/>
      </c:catAx>
      <c:valAx>
        <c:axId val="94231936"/>
        <c:scaling>
          <c:orientation val="minMax"/>
        </c:scaling>
        <c:axPos val="l"/>
        <c:majorGridlines/>
        <c:title>
          <c:tx>
            <c:rich>
              <a:bodyPr rot="0" vert="horz"/>
              <a:lstStyle/>
              <a:p>
                <a:pPr>
                  <a:defRPr>
                    <a:latin typeface="Arial Narrow" pitchFamily="34" charset="0"/>
                  </a:defRPr>
                </a:pPr>
                <a:r>
                  <a:rPr lang="lv-LV" sz="1400">
                    <a:latin typeface="Arial Narrow" pitchFamily="34" charset="0"/>
                  </a:rPr>
                  <a:t>Ls/mēn.</a:t>
                </a:r>
                <a:endParaRPr lang="en-US" sz="1400">
                  <a:latin typeface="Arial Narrow" pitchFamily="34" charset="0"/>
                </a:endParaRPr>
              </a:p>
            </c:rich>
          </c:tx>
          <c:layout>
            <c:manualLayout>
              <c:xMode val="edge"/>
              <c:yMode val="edge"/>
              <c:x val="1.239953866786294E-2"/>
              <c:y val="2.0157480314960598E-2"/>
            </c:manualLayout>
          </c:layout>
        </c:title>
        <c:numFmt formatCode="0" sourceLinked="1"/>
        <c:tickLblPos val="nextTo"/>
        <c:txPr>
          <a:bodyPr/>
          <a:lstStyle/>
          <a:p>
            <a:pPr>
              <a:defRPr sz="1200" b="1">
                <a:latin typeface="Arial Narrow" pitchFamily="34" charset="0"/>
              </a:defRPr>
            </a:pPr>
            <a:endParaRPr lang="en-US"/>
          </a:p>
        </c:txPr>
        <c:crossAx val="94230016"/>
        <c:crosses val="autoZero"/>
        <c:crossBetween val="between"/>
      </c:valAx>
      <c:spPr>
        <a:ln>
          <a:solidFill>
            <a:schemeClr val="tx1">
              <a:lumMod val="50000"/>
              <a:lumOff val="50000"/>
            </a:schemeClr>
          </a:solidFill>
        </a:ln>
      </c:spPr>
    </c:plotArea>
    <c:legend>
      <c:legendPos val="r"/>
      <c:layout>
        <c:manualLayout>
          <c:xMode val="edge"/>
          <c:yMode val="edge"/>
          <c:x val="0.79114641333162561"/>
          <c:y val="9.5242185635886448E-2"/>
          <c:w val="0.19786452225386617"/>
          <c:h val="0.8385194464328326"/>
        </c:manualLayout>
      </c:layout>
      <c:spPr>
        <a:solidFill>
          <a:schemeClr val="bg1"/>
        </a:solidFill>
        <a:ln>
          <a:solidFill>
            <a:sysClr val="windowText" lastClr="000000">
              <a:lumMod val="50000"/>
              <a:lumOff val="50000"/>
            </a:sysClr>
          </a:solidFill>
        </a:ln>
      </c:spPr>
      <c:txPr>
        <a:bodyPr/>
        <a:lstStyle/>
        <a:p>
          <a:pPr>
            <a:defRPr sz="1100" b="1">
              <a:latin typeface="Arial Narrow" pitchFamily="34" charset="0"/>
            </a:defRPr>
          </a:pPr>
          <a:endParaRPr lang="en-US"/>
        </a:p>
      </c:txPr>
    </c:legend>
    <c:plotVisOnly val="1"/>
  </c:chart>
  <c:spPr>
    <a:solidFill>
      <a:srgbClr val="FFDDFF"/>
    </a:solidFill>
  </c:spPr>
  <c:externalData r:id="rId1"/>
</c:chartSpace>
</file>

<file path=word/drawings/drawing1.xml><?xml version="1.0" encoding="utf-8"?>
<c:userShapes xmlns:c="http://schemas.openxmlformats.org/drawingml/2006/chart">
  <cdr:relSizeAnchor xmlns:cdr="http://schemas.openxmlformats.org/drawingml/2006/chartDrawing">
    <cdr:from>
      <cdr:x>0.88369</cdr:x>
      <cdr:y>0.07408</cdr:y>
    </cdr:from>
    <cdr:to>
      <cdr:x>1</cdr:x>
      <cdr:y>0.13828</cdr:y>
    </cdr:to>
    <cdr:sp macro="" textlink="">
      <cdr:nvSpPr>
        <cdr:cNvPr id="2" name="TextBox 1"/>
        <cdr:cNvSpPr txBox="1"/>
      </cdr:nvSpPr>
      <cdr:spPr>
        <a:xfrm xmlns:a="http://schemas.openxmlformats.org/drawingml/2006/main">
          <a:off x="5572126" y="286492"/>
          <a:ext cx="733424" cy="2482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lv-LV" sz="1200" b="1">
              <a:solidFill>
                <a:srgbClr val="C00000"/>
              </a:solidFill>
            </a:rPr>
            <a:t>% no IKP</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524E-11B9-4376-8098-A3A6C151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41</Pages>
  <Words>14442</Words>
  <Characters>92575</Characters>
  <Application>Microsoft Office Word</Application>
  <DocSecurity>0</DocSecurity>
  <Lines>3857</Lines>
  <Paragraphs>2276</Paragraphs>
  <ScaleCrop>false</ScaleCrop>
  <HeadingPairs>
    <vt:vector size="2" baseType="variant">
      <vt:variant>
        <vt:lpstr>Title</vt:lpstr>
      </vt:variant>
      <vt:variant>
        <vt:i4>1</vt:i4>
      </vt:variant>
    </vt:vector>
  </HeadingPairs>
  <TitlesOfParts>
    <vt:vector size="1" baseType="lpstr">
      <vt:lpstr>Informatīvais ziņojums “Finanšu situācija veselības aprūpes jomā”</vt:lpstr>
    </vt:vector>
  </TitlesOfParts>
  <Company>Veselības ministrija</Company>
  <LinksUpToDate>false</LinksUpToDate>
  <CharactersWithSpaces>104741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“Finanšu situācija veselības aprūpes jomā”</dc:title>
  <dc:subject>Informatīvais ziņojums</dc:subject>
  <dc:creator>Žanete Zvaigzne</dc:creator>
  <dc:description>zanete.zvaigzne@vm.gov.lv, tālr.67876041, Budžeta un investīciju departamenta Budžeta plānošanas nodaļa</dc:description>
  <cp:lastModifiedBy>zzvaigzne</cp:lastModifiedBy>
  <cp:revision>18</cp:revision>
  <cp:lastPrinted>2013-04-29T14:36:00Z</cp:lastPrinted>
  <dcterms:created xsi:type="dcterms:W3CDTF">2013-04-29T12:17:00Z</dcterms:created>
  <dcterms:modified xsi:type="dcterms:W3CDTF">2013-05-10T11:57:00Z</dcterms:modified>
</cp:coreProperties>
</file>