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93" w:rsidRPr="00252F35" w:rsidRDefault="00983BA0" w:rsidP="00252F35">
      <w:pPr>
        <w:spacing w:after="0"/>
        <w:jc w:val="center"/>
        <w:rPr>
          <w:rFonts w:ascii="Times New Roman" w:hAnsi="Times New Roman" w:cs="Times New Roman"/>
          <w:b/>
          <w:sz w:val="28"/>
          <w:szCs w:val="28"/>
        </w:rPr>
      </w:pPr>
      <w:bookmarkStart w:id="0" w:name="OLE_LINK1"/>
      <w:bookmarkStart w:id="1" w:name="OLE_LINK2"/>
      <w:r w:rsidRPr="00252F35">
        <w:rPr>
          <w:rFonts w:ascii="Times New Roman" w:hAnsi="Times New Roman" w:cs="Times New Roman"/>
          <w:b/>
          <w:sz w:val="28"/>
          <w:szCs w:val="28"/>
        </w:rPr>
        <w:t>Info</w:t>
      </w:r>
      <w:r>
        <w:rPr>
          <w:rFonts w:ascii="Times New Roman" w:hAnsi="Times New Roman" w:cs="Times New Roman"/>
          <w:b/>
          <w:sz w:val="28"/>
          <w:szCs w:val="28"/>
        </w:rPr>
        <w:t>rmatīvais ziņojums par Eiropas K</w:t>
      </w:r>
      <w:r w:rsidRPr="00252F35">
        <w:rPr>
          <w:rFonts w:ascii="Times New Roman" w:hAnsi="Times New Roman" w:cs="Times New Roman"/>
          <w:b/>
          <w:sz w:val="28"/>
          <w:szCs w:val="28"/>
        </w:rPr>
        <w:t xml:space="preserve">omisijas Otrās Kopienas rīcības programmas sabiedrības veselības jomā (2008. – 2013.gadam) </w:t>
      </w:r>
      <w:bookmarkEnd w:id="0"/>
      <w:bookmarkEnd w:id="1"/>
      <w:r w:rsidRPr="00252F35">
        <w:rPr>
          <w:rFonts w:ascii="Times New Roman" w:hAnsi="Times New Roman" w:cs="Times New Roman"/>
          <w:b/>
          <w:sz w:val="28"/>
          <w:szCs w:val="28"/>
        </w:rPr>
        <w:t>vienoto rīcību „Reto slimību un orfānu zāļu Eiropas tīkla izveide” (JA-Orphanet Europe)</w:t>
      </w:r>
    </w:p>
    <w:p w:rsidR="006B2726" w:rsidRPr="00252F35" w:rsidRDefault="006B2726" w:rsidP="00252F35">
      <w:pPr>
        <w:spacing w:after="0"/>
        <w:jc w:val="center"/>
        <w:rPr>
          <w:rFonts w:ascii="Times New Roman" w:hAnsi="Times New Roman" w:cs="Times New Roman"/>
          <w:b/>
          <w:sz w:val="28"/>
          <w:szCs w:val="28"/>
        </w:rPr>
      </w:pPr>
    </w:p>
    <w:p w:rsidR="00724A03" w:rsidRPr="00252F35" w:rsidRDefault="00710EF2" w:rsidP="00400699">
      <w:pPr>
        <w:spacing w:after="0"/>
        <w:ind w:firstLine="709"/>
        <w:jc w:val="both"/>
        <w:rPr>
          <w:rFonts w:ascii="Times New Roman" w:hAnsi="Times New Roman" w:cs="Times New Roman"/>
          <w:sz w:val="28"/>
          <w:szCs w:val="28"/>
        </w:rPr>
      </w:pPr>
      <w:r w:rsidRPr="00252F35">
        <w:rPr>
          <w:rFonts w:ascii="Times New Roman" w:hAnsi="Times New Roman" w:cs="Times New Roman"/>
          <w:sz w:val="28"/>
          <w:szCs w:val="28"/>
        </w:rPr>
        <w:tab/>
      </w:r>
      <w:r w:rsidR="00724A03" w:rsidRPr="00252F35">
        <w:rPr>
          <w:rFonts w:ascii="Times New Roman" w:hAnsi="Times New Roman" w:cs="Times New Roman"/>
          <w:sz w:val="28"/>
          <w:szCs w:val="28"/>
        </w:rPr>
        <w:t>Eiropas Komisijas Otrās Kopienas rīcības programmas sabiedrības veselības jomā (2008. – 2013.gadam) vienotās rīcības „</w:t>
      </w:r>
      <w:r w:rsidR="000E58D9" w:rsidRPr="00252F35">
        <w:rPr>
          <w:rFonts w:ascii="Times New Roman" w:hAnsi="Times New Roman" w:cs="Times New Roman"/>
          <w:sz w:val="28"/>
          <w:szCs w:val="28"/>
        </w:rPr>
        <w:t>Reto slimību un orfānu zāļu Eiropas tīkla izveide</w:t>
      </w:r>
      <w:r w:rsidR="00724A03" w:rsidRPr="00252F35">
        <w:rPr>
          <w:rFonts w:ascii="Times New Roman" w:hAnsi="Times New Roman" w:cs="Times New Roman"/>
          <w:sz w:val="28"/>
          <w:szCs w:val="28"/>
        </w:rPr>
        <w:t>” (JA-Orphanet Europe Nr. 20102206) (turpmāk – Vienotā rīcība ORPHANET) galvenie mērķi ir:</w:t>
      </w:r>
    </w:p>
    <w:p w:rsidR="00724A03" w:rsidRPr="00252F35" w:rsidRDefault="00724A03" w:rsidP="008E52F5">
      <w:pPr>
        <w:pStyle w:val="ListParagraph"/>
        <w:numPr>
          <w:ilvl w:val="0"/>
          <w:numId w:val="4"/>
        </w:numPr>
        <w:spacing w:after="0"/>
        <w:ind w:left="709" w:hanging="425"/>
        <w:jc w:val="both"/>
        <w:rPr>
          <w:rFonts w:ascii="Times New Roman" w:hAnsi="Times New Roman" w:cs="Times New Roman"/>
          <w:sz w:val="28"/>
          <w:szCs w:val="28"/>
        </w:rPr>
      </w:pPr>
      <w:r w:rsidRPr="00252F35">
        <w:rPr>
          <w:rFonts w:ascii="Times New Roman" w:hAnsi="Times New Roman" w:cs="Times New Roman"/>
          <w:sz w:val="28"/>
          <w:szCs w:val="28"/>
        </w:rPr>
        <w:t>nodrošināt sabiedrību ar daudzpusīgu informāciju reto slimību jomā;</w:t>
      </w:r>
    </w:p>
    <w:p w:rsidR="00724A03" w:rsidRPr="00252F35" w:rsidRDefault="00724A03" w:rsidP="008E52F5">
      <w:pPr>
        <w:pStyle w:val="ListParagraph"/>
        <w:numPr>
          <w:ilvl w:val="0"/>
          <w:numId w:val="4"/>
        </w:numPr>
        <w:spacing w:after="0"/>
        <w:ind w:left="709" w:hanging="425"/>
        <w:jc w:val="both"/>
        <w:rPr>
          <w:rFonts w:ascii="Times New Roman" w:hAnsi="Times New Roman" w:cs="Times New Roman"/>
          <w:sz w:val="28"/>
          <w:szCs w:val="28"/>
        </w:rPr>
      </w:pPr>
      <w:r w:rsidRPr="00252F35">
        <w:rPr>
          <w:rFonts w:ascii="Times New Roman" w:hAnsi="Times New Roman" w:cs="Times New Roman"/>
          <w:sz w:val="28"/>
          <w:szCs w:val="28"/>
        </w:rPr>
        <w:t>izveidot reto slimību enciklopēdiju pēc iespējās vairākās valodās;</w:t>
      </w:r>
    </w:p>
    <w:p w:rsidR="00EC6428" w:rsidRPr="00252F35" w:rsidRDefault="00724A03" w:rsidP="008E52F5">
      <w:pPr>
        <w:pStyle w:val="ListParagraph"/>
        <w:numPr>
          <w:ilvl w:val="0"/>
          <w:numId w:val="4"/>
        </w:numPr>
        <w:spacing w:after="0"/>
        <w:ind w:left="709" w:hanging="425"/>
        <w:jc w:val="both"/>
        <w:rPr>
          <w:rFonts w:ascii="Times New Roman" w:hAnsi="Times New Roman" w:cs="Times New Roman"/>
          <w:sz w:val="28"/>
          <w:szCs w:val="28"/>
        </w:rPr>
      </w:pPr>
      <w:r w:rsidRPr="00252F35">
        <w:rPr>
          <w:rFonts w:ascii="Times New Roman" w:hAnsi="Times New Roman" w:cs="Times New Roman"/>
          <w:sz w:val="28"/>
          <w:szCs w:val="28"/>
        </w:rPr>
        <w:t>izveidot dalībvalstīs katalogu ar ekspertu pakalpojumiem;</w:t>
      </w:r>
    </w:p>
    <w:p w:rsidR="00724A03" w:rsidRPr="00252F35" w:rsidRDefault="00724A03" w:rsidP="008E52F5">
      <w:pPr>
        <w:pStyle w:val="ListParagraph"/>
        <w:numPr>
          <w:ilvl w:val="0"/>
          <w:numId w:val="4"/>
        </w:numPr>
        <w:spacing w:after="0"/>
        <w:ind w:left="709" w:hanging="425"/>
        <w:jc w:val="both"/>
        <w:rPr>
          <w:rFonts w:ascii="Times New Roman" w:hAnsi="Times New Roman" w:cs="Times New Roman"/>
          <w:sz w:val="28"/>
          <w:szCs w:val="28"/>
        </w:rPr>
      </w:pPr>
      <w:r w:rsidRPr="00252F35">
        <w:rPr>
          <w:rFonts w:ascii="Times New Roman" w:hAnsi="Times New Roman" w:cs="Times New Roman"/>
          <w:sz w:val="28"/>
          <w:szCs w:val="28"/>
        </w:rPr>
        <w:t xml:space="preserve">ieviest procesu, kas nodrošinātu ātru tulkošanas vadību un ātru datu savākšanu, lai veicinātu pacientu ar retajām slimībām diagnostikas, aprūpes un ārstēšanas uzlabošanu. </w:t>
      </w:r>
      <w:r w:rsidR="000A2350" w:rsidRPr="00252F35">
        <w:rPr>
          <w:rFonts w:ascii="Times New Roman" w:hAnsi="Times New Roman" w:cs="Times New Roman"/>
          <w:sz w:val="28"/>
          <w:szCs w:val="28"/>
        </w:rPr>
        <w:t>N</w:t>
      </w:r>
      <w:r w:rsidRPr="00252F35">
        <w:rPr>
          <w:rFonts w:ascii="Times New Roman" w:hAnsi="Times New Roman" w:cs="Times New Roman"/>
          <w:sz w:val="28"/>
          <w:szCs w:val="28"/>
        </w:rPr>
        <w:t>odrošināt šīs informācijas pieejamību lasītaj</w:t>
      </w:r>
      <w:r w:rsidR="000A2350" w:rsidRPr="00252F35">
        <w:rPr>
          <w:rFonts w:ascii="Times New Roman" w:hAnsi="Times New Roman" w:cs="Times New Roman"/>
          <w:sz w:val="28"/>
          <w:szCs w:val="28"/>
        </w:rPr>
        <w:t>ie</w:t>
      </w:r>
      <w:r w:rsidRPr="00252F35">
        <w:rPr>
          <w:rFonts w:ascii="Times New Roman" w:hAnsi="Times New Roman" w:cs="Times New Roman"/>
          <w:sz w:val="28"/>
          <w:szCs w:val="28"/>
        </w:rPr>
        <w:t>m draudzīgā formātā Orphanet Europe portālā</w:t>
      </w:r>
      <w:r w:rsidR="000A2350" w:rsidRPr="00252F35">
        <w:rPr>
          <w:rFonts w:ascii="Times New Roman" w:hAnsi="Times New Roman" w:cs="Times New Roman"/>
          <w:sz w:val="28"/>
          <w:szCs w:val="28"/>
        </w:rPr>
        <w:t xml:space="preserve"> </w:t>
      </w:r>
      <w:hyperlink r:id="rId8" w:history="1">
        <w:r w:rsidR="00843FCB" w:rsidRPr="00252F35">
          <w:rPr>
            <w:rStyle w:val="Hyperlink"/>
            <w:rFonts w:ascii="Times New Roman" w:hAnsi="Times New Roman" w:cs="Times New Roman"/>
            <w:sz w:val="28"/>
            <w:szCs w:val="28"/>
          </w:rPr>
          <w:t>http://www.orpha.net</w:t>
        </w:r>
      </w:hyperlink>
      <w:r w:rsidRPr="00252F35">
        <w:rPr>
          <w:rFonts w:ascii="Times New Roman" w:hAnsi="Times New Roman" w:cs="Times New Roman"/>
          <w:sz w:val="28"/>
          <w:szCs w:val="28"/>
        </w:rPr>
        <w:t>.</w:t>
      </w:r>
    </w:p>
    <w:p w:rsidR="00B65C51" w:rsidRPr="00252F35" w:rsidRDefault="00B65C51" w:rsidP="00252F35">
      <w:pPr>
        <w:spacing w:after="0"/>
        <w:ind w:firstLine="709"/>
        <w:jc w:val="both"/>
        <w:rPr>
          <w:rFonts w:ascii="Times New Roman" w:hAnsi="Times New Roman" w:cs="Times New Roman"/>
          <w:sz w:val="28"/>
          <w:szCs w:val="28"/>
        </w:rPr>
      </w:pPr>
      <w:r w:rsidRPr="00252F35">
        <w:rPr>
          <w:rFonts w:ascii="Times New Roman" w:hAnsi="Times New Roman" w:cs="Times New Roman"/>
          <w:sz w:val="28"/>
          <w:szCs w:val="28"/>
        </w:rPr>
        <w:t>Vienotā rīcība ORPHANET sniedz arī informāciju par dalībvalstu nacionālo plānu un stratēģiju reto slimību jomā izstrādes gaitu (2009.gada 8.jūnijā Čehijas prezidentūras laikā pieņemtais Eiropas Savienības Padomes Ieteikums par rīcību reto slimību jomā).</w:t>
      </w:r>
    </w:p>
    <w:p w:rsidR="00DE263F" w:rsidRPr="008128CC" w:rsidRDefault="00EC6428" w:rsidP="00252F35">
      <w:pPr>
        <w:spacing w:after="0"/>
        <w:ind w:firstLine="709"/>
        <w:jc w:val="both"/>
        <w:rPr>
          <w:rFonts w:ascii="Times New Roman" w:hAnsi="Times New Roman" w:cs="Times New Roman"/>
          <w:color w:val="FF0000"/>
          <w:sz w:val="28"/>
          <w:szCs w:val="28"/>
        </w:rPr>
      </w:pPr>
      <w:r w:rsidRPr="00252F35">
        <w:rPr>
          <w:rFonts w:ascii="Times New Roman" w:hAnsi="Times New Roman" w:cs="Times New Roman"/>
          <w:sz w:val="28"/>
          <w:szCs w:val="28"/>
        </w:rPr>
        <w:t>Vienotās rīcības ORPHANET vadošais partneris ir  Francijas organizācija „Medicīnas un veselības pētījumu nacionālais institūts” (Institut national de la sante et de la recherche medicale).</w:t>
      </w:r>
      <w:r w:rsidR="00C83117" w:rsidRPr="00252F35">
        <w:rPr>
          <w:rFonts w:ascii="Times New Roman" w:hAnsi="Times New Roman" w:cs="Times New Roman"/>
          <w:sz w:val="28"/>
          <w:szCs w:val="28"/>
        </w:rPr>
        <w:t xml:space="preserve"> Vienotai rīcībai ORPHANET ir 24 asociētie partneri, viens no kuriem ir Slimību profilakses un kontroles centrs (turpmāk – SPKC</w:t>
      </w:r>
      <w:r w:rsidR="00C83117" w:rsidRPr="008128CC">
        <w:rPr>
          <w:rFonts w:ascii="Times New Roman" w:hAnsi="Times New Roman" w:cs="Times New Roman"/>
          <w:sz w:val="28"/>
          <w:szCs w:val="28"/>
        </w:rPr>
        <w:t>)</w:t>
      </w:r>
      <w:r w:rsidR="002934F4" w:rsidRPr="008128CC">
        <w:rPr>
          <w:rFonts w:ascii="Times New Roman" w:hAnsi="Times New Roman" w:cs="Times New Roman"/>
          <w:sz w:val="28"/>
          <w:szCs w:val="28"/>
        </w:rPr>
        <w:t>.</w:t>
      </w:r>
      <w:r w:rsidR="00C83117" w:rsidRPr="008128CC">
        <w:rPr>
          <w:rFonts w:ascii="Times New Roman" w:hAnsi="Times New Roman" w:cs="Times New Roman"/>
          <w:sz w:val="28"/>
          <w:szCs w:val="28"/>
        </w:rPr>
        <w:t xml:space="preserve"> </w:t>
      </w:r>
    </w:p>
    <w:p w:rsidR="00AC1031" w:rsidRPr="00252F35" w:rsidRDefault="00517A4F" w:rsidP="00252F35">
      <w:pPr>
        <w:spacing w:after="0"/>
        <w:jc w:val="both"/>
        <w:rPr>
          <w:rFonts w:ascii="Times New Roman" w:hAnsi="Times New Roman" w:cs="Times New Roman"/>
          <w:sz w:val="28"/>
          <w:szCs w:val="28"/>
        </w:rPr>
      </w:pPr>
      <w:r w:rsidRPr="00252F35">
        <w:rPr>
          <w:rFonts w:ascii="Times New Roman" w:hAnsi="Times New Roman" w:cs="Times New Roman"/>
          <w:sz w:val="28"/>
          <w:szCs w:val="28"/>
        </w:rPr>
        <w:tab/>
      </w:r>
      <w:r w:rsidR="00AC1031" w:rsidRPr="00252F35">
        <w:rPr>
          <w:rFonts w:ascii="Times New Roman" w:hAnsi="Times New Roman" w:cs="Times New Roman"/>
          <w:sz w:val="28"/>
          <w:szCs w:val="28"/>
        </w:rPr>
        <w:t xml:space="preserve">SPKC galvenie uzdevumi </w:t>
      </w:r>
      <w:r w:rsidR="005F6395" w:rsidRPr="00252F35">
        <w:rPr>
          <w:rFonts w:ascii="Times New Roman" w:hAnsi="Times New Roman" w:cs="Times New Roman"/>
          <w:sz w:val="28"/>
          <w:szCs w:val="28"/>
        </w:rPr>
        <w:t>Vienotājā rīcībā ORPHANET</w:t>
      </w:r>
      <w:r w:rsidR="00AC1031" w:rsidRPr="00252F35">
        <w:rPr>
          <w:rFonts w:ascii="Times New Roman" w:hAnsi="Times New Roman" w:cs="Times New Roman"/>
          <w:sz w:val="28"/>
          <w:szCs w:val="28"/>
        </w:rPr>
        <w:t xml:space="preserve"> ir:</w:t>
      </w:r>
    </w:p>
    <w:p w:rsidR="00AE030F" w:rsidRPr="00252F35" w:rsidRDefault="00AC1031" w:rsidP="008E52F5">
      <w:pPr>
        <w:pStyle w:val="ListParagraph"/>
        <w:numPr>
          <w:ilvl w:val="0"/>
          <w:numId w:val="5"/>
        </w:numPr>
        <w:spacing w:after="0"/>
        <w:ind w:left="709"/>
        <w:jc w:val="both"/>
        <w:rPr>
          <w:rFonts w:ascii="Times New Roman" w:hAnsi="Times New Roman" w:cs="Times New Roman"/>
          <w:sz w:val="28"/>
          <w:szCs w:val="28"/>
        </w:rPr>
      </w:pPr>
      <w:r w:rsidRPr="00252F35">
        <w:rPr>
          <w:rFonts w:ascii="Times New Roman" w:hAnsi="Times New Roman" w:cs="Times New Roman"/>
          <w:sz w:val="28"/>
          <w:szCs w:val="28"/>
        </w:rPr>
        <w:t>ikgad</w:t>
      </w:r>
      <w:r w:rsidR="00446404">
        <w:rPr>
          <w:rFonts w:ascii="Times New Roman" w:hAnsi="Times New Roman" w:cs="Times New Roman"/>
          <w:sz w:val="28"/>
          <w:szCs w:val="28"/>
        </w:rPr>
        <w:t>u</w:t>
      </w:r>
      <w:r w:rsidRPr="00252F35">
        <w:rPr>
          <w:rFonts w:ascii="Times New Roman" w:hAnsi="Times New Roman" w:cs="Times New Roman"/>
          <w:sz w:val="28"/>
          <w:szCs w:val="28"/>
        </w:rPr>
        <w:t xml:space="preserve"> apkopo</w:t>
      </w:r>
      <w:r w:rsidR="00446404">
        <w:rPr>
          <w:rFonts w:ascii="Times New Roman" w:hAnsi="Times New Roman" w:cs="Times New Roman"/>
          <w:sz w:val="28"/>
          <w:szCs w:val="28"/>
        </w:rPr>
        <w:t>t</w:t>
      </w:r>
      <w:r w:rsidRPr="00252F35">
        <w:rPr>
          <w:rFonts w:ascii="Times New Roman" w:hAnsi="Times New Roman" w:cs="Times New Roman"/>
          <w:sz w:val="28"/>
          <w:szCs w:val="28"/>
        </w:rPr>
        <w:t xml:space="preserve"> un verificē</w:t>
      </w:r>
      <w:r w:rsidR="00446404">
        <w:rPr>
          <w:rFonts w:ascii="Times New Roman" w:hAnsi="Times New Roman" w:cs="Times New Roman"/>
          <w:sz w:val="28"/>
          <w:szCs w:val="28"/>
        </w:rPr>
        <w:t xml:space="preserve">t datus </w:t>
      </w:r>
      <w:r w:rsidRPr="00252F35">
        <w:rPr>
          <w:rFonts w:ascii="Times New Roman" w:hAnsi="Times New Roman" w:cs="Times New Roman"/>
          <w:sz w:val="28"/>
          <w:szCs w:val="28"/>
        </w:rPr>
        <w:t>par Latvijā esošajiem ekspertu centriem, medicīnas laboratorijām, klīniskajiem pētījumiem, pacientu un mutāciju reģistriem, orfāniem medikamentiem un pacientu organizācijām;</w:t>
      </w:r>
      <w:r w:rsidR="00AE030F" w:rsidRPr="00252F35">
        <w:rPr>
          <w:rFonts w:ascii="Times New Roman" w:hAnsi="Times New Roman" w:cs="Times New Roman"/>
          <w:sz w:val="28"/>
          <w:szCs w:val="28"/>
        </w:rPr>
        <w:t xml:space="preserve"> </w:t>
      </w:r>
    </w:p>
    <w:p w:rsidR="00AE030F" w:rsidRPr="00252F35" w:rsidRDefault="00AE030F" w:rsidP="008E52F5">
      <w:pPr>
        <w:pStyle w:val="ListParagraph"/>
        <w:numPr>
          <w:ilvl w:val="0"/>
          <w:numId w:val="5"/>
        </w:numPr>
        <w:spacing w:after="0"/>
        <w:ind w:left="709"/>
        <w:jc w:val="both"/>
        <w:rPr>
          <w:rFonts w:ascii="Times New Roman" w:hAnsi="Times New Roman" w:cs="Times New Roman"/>
          <w:sz w:val="28"/>
          <w:szCs w:val="28"/>
        </w:rPr>
      </w:pPr>
      <w:r w:rsidRPr="00252F35">
        <w:rPr>
          <w:rFonts w:ascii="Times New Roman" w:hAnsi="Times New Roman" w:cs="Times New Roman"/>
          <w:sz w:val="28"/>
          <w:szCs w:val="28"/>
        </w:rPr>
        <w:t>informē</w:t>
      </w:r>
      <w:r w:rsidR="000A2350" w:rsidRPr="00252F35">
        <w:rPr>
          <w:rFonts w:ascii="Times New Roman" w:hAnsi="Times New Roman" w:cs="Times New Roman"/>
          <w:sz w:val="28"/>
          <w:szCs w:val="28"/>
        </w:rPr>
        <w:t>t</w:t>
      </w:r>
      <w:r w:rsidRPr="00252F35">
        <w:rPr>
          <w:rFonts w:ascii="Times New Roman" w:hAnsi="Times New Roman" w:cs="Times New Roman"/>
          <w:sz w:val="28"/>
          <w:szCs w:val="28"/>
        </w:rPr>
        <w:t xml:space="preserve"> nozares speciālist</w:t>
      </w:r>
      <w:r w:rsidR="000A2350" w:rsidRPr="00252F35">
        <w:rPr>
          <w:rFonts w:ascii="Times New Roman" w:hAnsi="Times New Roman" w:cs="Times New Roman"/>
          <w:sz w:val="28"/>
          <w:szCs w:val="28"/>
        </w:rPr>
        <w:t>us</w:t>
      </w:r>
      <w:r w:rsidRPr="00252F35">
        <w:rPr>
          <w:rFonts w:ascii="Times New Roman" w:hAnsi="Times New Roman" w:cs="Times New Roman"/>
          <w:sz w:val="28"/>
          <w:szCs w:val="28"/>
        </w:rPr>
        <w:t xml:space="preserve"> par izmaiņām nacionālajās stratēģijās un nacionālajās vadlīnijās reto slimību jomā;</w:t>
      </w:r>
    </w:p>
    <w:p w:rsidR="000A2350" w:rsidRPr="00252F35" w:rsidRDefault="00AC1031" w:rsidP="008E52F5">
      <w:pPr>
        <w:pStyle w:val="ListParagraph"/>
        <w:numPr>
          <w:ilvl w:val="0"/>
          <w:numId w:val="5"/>
        </w:numPr>
        <w:spacing w:after="0"/>
        <w:ind w:left="709"/>
        <w:jc w:val="both"/>
        <w:rPr>
          <w:rFonts w:ascii="Times New Roman" w:hAnsi="Times New Roman" w:cs="Times New Roman"/>
          <w:sz w:val="28"/>
          <w:szCs w:val="28"/>
        </w:rPr>
      </w:pPr>
      <w:r w:rsidRPr="00252F35">
        <w:rPr>
          <w:rFonts w:ascii="Times New Roman" w:hAnsi="Times New Roman" w:cs="Times New Roman"/>
          <w:sz w:val="28"/>
          <w:szCs w:val="28"/>
        </w:rPr>
        <w:t>izveido</w:t>
      </w:r>
      <w:r w:rsidR="000A2350" w:rsidRPr="00252F35">
        <w:rPr>
          <w:rFonts w:ascii="Times New Roman" w:hAnsi="Times New Roman" w:cs="Times New Roman"/>
          <w:sz w:val="28"/>
          <w:szCs w:val="28"/>
        </w:rPr>
        <w:t xml:space="preserve">t un </w:t>
      </w:r>
      <w:r w:rsidRPr="00252F35">
        <w:rPr>
          <w:rFonts w:ascii="Times New Roman" w:hAnsi="Times New Roman" w:cs="Times New Roman"/>
          <w:sz w:val="28"/>
          <w:szCs w:val="28"/>
        </w:rPr>
        <w:t>uztur</w:t>
      </w:r>
      <w:r w:rsidR="000A2350" w:rsidRPr="00252F35">
        <w:rPr>
          <w:rFonts w:ascii="Times New Roman" w:hAnsi="Times New Roman" w:cs="Times New Roman"/>
          <w:sz w:val="28"/>
          <w:szCs w:val="28"/>
        </w:rPr>
        <w:t>ēt</w:t>
      </w:r>
      <w:r w:rsidRPr="00252F35">
        <w:rPr>
          <w:rFonts w:ascii="Times New Roman" w:hAnsi="Times New Roman" w:cs="Times New Roman"/>
          <w:sz w:val="28"/>
          <w:szCs w:val="28"/>
        </w:rPr>
        <w:t xml:space="preserve"> mājas lap</w:t>
      </w:r>
      <w:r w:rsidR="000A2350" w:rsidRPr="00252F35">
        <w:rPr>
          <w:rFonts w:ascii="Times New Roman" w:hAnsi="Times New Roman" w:cs="Times New Roman"/>
          <w:sz w:val="28"/>
          <w:szCs w:val="28"/>
        </w:rPr>
        <w:t>u</w:t>
      </w:r>
      <w:r w:rsidRPr="00252F35">
        <w:rPr>
          <w:rFonts w:ascii="Times New Roman" w:hAnsi="Times New Roman" w:cs="Times New Roman"/>
          <w:sz w:val="28"/>
          <w:szCs w:val="28"/>
        </w:rPr>
        <w:t xml:space="preserve"> Orphanet Latvija latviešu valodā</w:t>
      </w:r>
      <w:r w:rsidR="000A2350" w:rsidRPr="00252F35">
        <w:rPr>
          <w:rFonts w:ascii="Times New Roman" w:hAnsi="Times New Roman" w:cs="Times New Roman"/>
          <w:sz w:val="28"/>
          <w:szCs w:val="28"/>
        </w:rPr>
        <w:t xml:space="preserve">: </w:t>
      </w:r>
      <w:hyperlink r:id="rId9" w:history="1">
        <w:r w:rsidR="001153E3" w:rsidRPr="00252F35">
          <w:rPr>
            <w:rStyle w:val="Hyperlink"/>
            <w:rFonts w:ascii="Times New Roman" w:hAnsi="Times New Roman" w:cs="Times New Roman"/>
            <w:sz w:val="28"/>
            <w:szCs w:val="28"/>
          </w:rPr>
          <w:t>http://www.orpha.net/national/LV-LV</w:t>
        </w:r>
      </w:hyperlink>
      <w:r w:rsidRPr="00252F35">
        <w:rPr>
          <w:rFonts w:ascii="Times New Roman" w:hAnsi="Times New Roman" w:cs="Times New Roman"/>
          <w:sz w:val="28"/>
          <w:szCs w:val="28"/>
        </w:rPr>
        <w:t>;</w:t>
      </w:r>
    </w:p>
    <w:p w:rsidR="00AC1031" w:rsidRPr="00252F35" w:rsidRDefault="00446404" w:rsidP="008E52F5">
      <w:pPr>
        <w:pStyle w:val="ListParagraph"/>
        <w:numPr>
          <w:ilvl w:val="0"/>
          <w:numId w:val="5"/>
        </w:num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informēt </w:t>
      </w:r>
      <w:r w:rsidR="00AC1031" w:rsidRPr="00252F35">
        <w:rPr>
          <w:rFonts w:ascii="Times New Roman" w:hAnsi="Times New Roman" w:cs="Times New Roman"/>
          <w:sz w:val="28"/>
          <w:szCs w:val="28"/>
        </w:rPr>
        <w:t>valsts atbildīg</w:t>
      </w:r>
      <w:r>
        <w:rPr>
          <w:rFonts w:ascii="Times New Roman" w:hAnsi="Times New Roman" w:cs="Times New Roman"/>
          <w:sz w:val="28"/>
          <w:szCs w:val="28"/>
        </w:rPr>
        <w:t>ās</w:t>
      </w:r>
      <w:r w:rsidR="00AC1031" w:rsidRPr="00252F35">
        <w:rPr>
          <w:rFonts w:ascii="Times New Roman" w:hAnsi="Times New Roman" w:cs="Times New Roman"/>
          <w:sz w:val="28"/>
          <w:szCs w:val="28"/>
        </w:rPr>
        <w:t xml:space="preserve"> amatperson</w:t>
      </w:r>
      <w:r>
        <w:rPr>
          <w:rFonts w:ascii="Times New Roman" w:hAnsi="Times New Roman" w:cs="Times New Roman"/>
          <w:sz w:val="28"/>
          <w:szCs w:val="28"/>
        </w:rPr>
        <w:t xml:space="preserve">as </w:t>
      </w:r>
      <w:r w:rsidR="00AC1031" w:rsidRPr="00252F35">
        <w:rPr>
          <w:rFonts w:ascii="Times New Roman" w:hAnsi="Times New Roman" w:cs="Times New Roman"/>
          <w:sz w:val="28"/>
          <w:szCs w:val="28"/>
        </w:rPr>
        <w:t>par Eiropas reto slimību un orfānu zāļu tīkla izveides gaitu. Šī uzdevuma izpildei ir paredzēts finansējums vienas valsts atbildīgās amatpersonas</w:t>
      </w:r>
      <w:r w:rsidR="00FD3C84">
        <w:rPr>
          <w:rFonts w:ascii="Times New Roman" w:hAnsi="Times New Roman" w:cs="Times New Roman"/>
          <w:sz w:val="28"/>
          <w:szCs w:val="28"/>
        </w:rPr>
        <w:t xml:space="preserve"> </w:t>
      </w:r>
      <w:r w:rsidR="00AC1031" w:rsidRPr="00252F35">
        <w:rPr>
          <w:rFonts w:ascii="Times New Roman" w:hAnsi="Times New Roman" w:cs="Times New Roman"/>
          <w:sz w:val="28"/>
          <w:szCs w:val="28"/>
        </w:rPr>
        <w:t>komandējuma izdevumiem, lai reizi gadā piedalīt</w:t>
      </w:r>
      <w:r w:rsidR="00CF409B" w:rsidRPr="00252F35">
        <w:rPr>
          <w:rFonts w:ascii="Times New Roman" w:hAnsi="Times New Roman" w:cs="Times New Roman"/>
          <w:sz w:val="28"/>
          <w:szCs w:val="28"/>
        </w:rPr>
        <w:t>o</w:t>
      </w:r>
      <w:r w:rsidR="00AC1031" w:rsidRPr="00252F35">
        <w:rPr>
          <w:rFonts w:ascii="Times New Roman" w:hAnsi="Times New Roman" w:cs="Times New Roman"/>
          <w:sz w:val="28"/>
          <w:szCs w:val="28"/>
        </w:rPr>
        <w:t xml:space="preserve">s </w:t>
      </w:r>
      <w:r w:rsidR="00C36649">
        <w:rPr>
          <w:rFonts w:ascii="Times New Roman" w:hAnsi="Times New Roman" w:cs="Times New Roman"/>
          <w:sz w:val="28"/>
          <w:szCs w:val="28"/>
        </w:rPr>
        <w:t>Vienotās rīcības ORPHANET</w:t>
      </w:r>
      <w:r w:rsidR="00AC1031" w:rsidRPr="00252F35">
        <w:rPr>
          <w:rFonts w:ascii="Times New Roman" w:hAnsi="Times New Roman" w:cs="Times New Roman"/>
          <w:sz w:val="28"/>
          <w:szCs w:val="28"/>
        </w:rPr>
        <w:t xml:space="preserve"> Uzraudzības padom</w:t>
      </w:r>
      <w:r w:rsidR="00FD3C84">
        <w:rPr>
          <w:rFonts w:ascii="Times New Roman" w:hAnsi="Times New Roman" w:cs="Times New Roman"/>
          <w:sz w:val="28"/>
          <w:szCs w:val="28"/>
        </w:rPr>
        <w:t>es sēdē</w:t>
      </w:r>
      <w:r w:rsidR="00122A1D">
        <w:rPr>
          <w:rFonts w:ascii="Times New Roman" w:hAnsi="Times New Roman" w:cs="Times New Roman"/>
          <w:sz w:val="28"/>
          <w:szCs w:val="28"/>
        </w:rPr>
        <w:t xml:space="preserve">. </w:t>
      </w:r>
    </w:p>
    <w:p w:rsidR="0092208B" w:rsidRPr="00252F35" w:rsidRDefault="00AC1031" w:rsidP="00400699">
      <w:pPr>
        <w:spacing w:after="0"/>
        <w:ind w:firstLine="709"/>
        <w:jc w:val="both"/>
        <w:rPr>
          <w:rFonts w:ascii="Times New Roman" w:hAnsi="Times New Roman" w:cs="Times New Roman"/>
          <w:sz w:val="28"/>
          <w:szCs w:val="28"/>
        </w:rPr>
      </w:pPr>
      <w:r w:rsidRPr="00252F35">
        <w:rPr>
          <w:rFonts w:ascii="Times New Roman" w:hAnsi="Times New Roman" w:cs="Times New Roman"/>
          <w:sz w:val="28"/>
          <w:szCs w:val="28"/>
        </w:rPr>
        <w:lastRenderedPageBreak/>
        <w:t xml:space="preserve">Reizi gadā </w:t>
      </w:r>
      <w:r w:rsidR="00E948EC">
        <w:rPr>
          <w:rFonts w:ascii="Times New Roman" w:hAnsi="Times New Roman" w:cs="Times New Roman"/>
          <w:sz w:val="28"/>
          <w:szCs w:val="28"/>
        </w:rPr>
        <w:t xml:space="preserve">vadošais partneris </w:t>
      </w:r>
      <w:r w:rsidR="0061604C" w:rsidRPr="00252F35">
        <w:rPr>
          <w:rFonts w:ascii="Times New Roman" w:hAnsi="Times New Roman" w:cs="Times New Roman"/>
          <w:sz w:val="28"/>
          <w:szCs w:val="28"/>
        </w:rPr>
        <w:t>Vienotās rīcības ORPHANET</w:t>
      </w:r>
      <w:r w:rsidRPr="00252F35">
        <w:rPr>
          <w:rFonts w:ascii="Times New Roman" w:hAnsi="Times New Roman" w:cs="Times New Roman"/>
          <w:sz w:val="28"/>
          <w:szCs w:val="28"/>
        </w:rPr>
        <w:t xml:space="preserve"> ietvaros </w:t>
      </w:r>
      <w:r w:rsidR="00E948EC">
        <w:rPr>
          <w:rFonts w:ascii="Times New Roman" w:hAnsi="Times New Roman" w:cs="Times New Roman"/>
          <w:sz w:val="28"/>
          <w:szCs w:val="28"/>
        </w:rPr>
        <w:t>organizē</w:t>
      </w:r>
      <w:r w:rsidRPr="00252F35">
        <w:rPr>
          <w:rFonts w:ascii="Times New Roman" w:hAnsi="Times New Roman" w:cs="Times New Roman"/>
          <w:sz w:val="28"/>
          <w:szCs w:val="28"/>
        </w:rPr>
        <w:t xml:space="preserve"> apmācī</w:t>
      </w:r>
      <w:r w:rsidR="009A7BCA" w:rsidRPr="00252F35">
        <w:rPr>
          <w:rFonts w:ascii="Times New Roman" w:hAnsi="Times New Roman" w:cs="Times New Roman"/>
          <w:sz w:val="28"/>
          <w:szCs w:val="28"/>
        </w:rPr>
        <w:t>bu seminār</w:t>
      </w:r>
      <w:r w:rsidR="00E948EC">
        <w:rPr>
          <w:rFonts w:ascii="Times New Roman" w:hAnsi="Times New Roman" w:cs="Times New Roman"/>
          <w:sz w:val="28"/>
          <w:szCs w:val="28"/>
        </w:rPr>
        <w:t>us</w:t>
      </w:r>
      <w:r w:rsidR="009A7BCA" w:rsidRPr="00252F35">
        <w:rPr>
          <w:rFonts w:ascii="Times New Roman" w:hAnsi="Times New Roman" w:cs="Times New Roman"/>
          <w:sz w:val="28"/>
          <w:szCs w:val="28"/>
        </w:rPr>
        <w:t xml:space="preserve"> un</w:t>
      </w:r>
      <w:r w:rsidRPr="00252F35">
        <w:rPr>
          <w:rFonts w:ascii="Times New Roman" w:hAnsi="Times New Roman" w:cs="Times New Roman"/>
          <w:sz w:val="28"/>
          <w:szCs w:val="28"/>
        </w:rPr>
        <w:t xml:space="preserve"> informācijas </w:t>
      </w:r>
      <w:r w:rsidR="009A7BCA" w:rsidRPr="00252F35">
        <w:rPr>
          <w:rFonts w:ascii="Times New Roman" w:hAnsi="Times New Roman" w:cs="Times New Roman"/>
          <w:sz w:val="28"/>
          <w:szCs w:val="28"/>
        </w:rPr>
        <w:t>apmaiņ</w:t>
      </w:r>
      <w:r w:rsidR="00E948EC">
        <w:rPr>
          <w:rFonts w:ascii="Times New Roman" w:hAnsi="Times New Roman" w:cs="Times New Roman"/>
          <w:sz w:val="28"/>
          <w:szCs w:val="28"/>
        </w:rPr>
        <w:t>u</w:t>
      </w:r>
      <w:r w:rsidR="009A7BCA" w:rsidRPr="00252F35">
        <w:rPr>
          <w:rFonts w:ascii="Times New Roman" w:hAnsi="Times New Roman" w:cs="Times New Roman"/>
          <w:sz w:val="28"/>
          <w:szCs w:val="28"/>
        </w:rPr>
        <w:t xml:space="preserve"> </w:t>
      </w:r>
      <w:r w:rsidRPr="00252F35">
        <w:rPr>
          <w:rFonts w:ascii="Times New Roman" w:hAnsi="Times New Roman" w:cs="Times New Roman"/>
          <w:sz w:val="28"/>
          <w:szCs w:val="28"/>
        </w:rPr>
        <w:t xml:space="preserve">speciālistiem, kuru laikā </w:t>
      </w:r>
      <w:r w:rsidR="00B278B7" w:rsidRPr="00252F35">
        <w:rPr>
          <w:rFonts w:ascii="Times New Roman" w:hAnsi="Times New Roman" w:cs="Times New Roman"/>
          <w:sz w:val="28"/>
          <w:szCs w:val="28"/>
        </w:rPr>
        <w:t xml:space="preserve">tie </w:t>
      </w:r>
      <w:r w:rsidRPr="00252F35">
        <w:rPr>
          <w:rFonts w:ascii="Times New Roman" w:hAnsi="Times New Roman" w:cs="Times New Roman"/>
          <w:sz w:val="28"/>
          <w:szCs w:val="28"/>
        </w:rPr>
        <w:t>tiek iepazīstināt</w:t>
      </w:r>
      <w:r w:rsidR="00B278B7" w:rsidRPr="00252F35">
        <w:rPr>
          <w:rFonts w:ascii="Times New Roman" w:hAnsi="Times New Roman" w:cs="Times New Roman"/>
          <w:sz w:val="28"/>
          <w:szCs w:val="28"/>
        </w:rPr>
        <w:t>i</w:t>
      </w:r>
      <w:r w:rsidRPr="00252F35">
        <w:rPr>
          <w:rFonts w:ascii="Times New Roman" w:hAnsi="Times New Roman" w:cs="Times New Roman"/>
          <w:sz w:val="28"/>
          <w:szCs w:val="28"/>
        </w:rPr>
        <w:t xml:space="preserve"> ar veiktajiem uzlabojumiem kopējā Orphanet mājaslapā</w:t>
      </w:r>
      <w:r w:rsidR="00A001FF" w:rsidRPr="00252F35">
        <w:rPr>
          <w:rFonts w:ascii="Times New Roman" w:hAnsi="Times New Roman" w:cs="Times New Roman"/>
          <w:sz w:val="28"/>
          <w:szCs w:val="28"/>
        </w:rPr>
        <w:t xml:space="preserve"> (</w:t>
      </w:r>
      <w:hyperlink r:id="rId10" w:history="1">
        <w:r w:rsidR="00A001FF" w:rsidRPr="00252F35">
          <w:rPr>
            <w:rStyle w:val="Hyperlink"/>
            <w:rFonts w:ascii="Times New Roman" w:hAnsi="Times New Roman" w:cs="Times New Roman"/>
            <w:sz w:val="28"/>
            <w:szCs w:val="28"/>
          </w:rPr>
          <w:t>http://www.orpha.net/</w:t>
        </w:r>
      </w:hyperlink>
      <w:r w:rsidR="00A001FF" w:rsidRPr="00252F35">
        <w:rPr>
          <w:rFonts w:ascii="Times New Roman" w:hAnsi="Times New Roman" w:cs="Times New Roman"/>
          <w:sz w:val="28"/>
          <w:szCs w:val="28"/>
        </w:rPr>
        <w:t>)</w:t>
      </w:r>
      <w:r w:rsidRPr="00252F35">
        <w:rPr>
          <w:rFonts w:ascii="Times New Roman" w:hAnsi="Times New Roman" w:cs="Times New Roman"/>
          <w:sz w:val="28"/>
          <w:szCs w:val="28"/>
        </w:rPr>
        <w:t>, tiek diskutēts par kvalitāti nodrošinošiem pasākumiem un sniegti ieteikumi kā efektīvāk aktualizēt informāciju par savu valsti kopējā tīklā.</w:t>
      </w:r>
    </w:p>
    <w:p w:rsidR="00AE030F" w:rsidRPr="00252F35" w:rsidRDefault="00184E92" w:rsidP="00400699">
      <w:pPr>
        <w:spacing w:after="0"/>
        <w:ind w:firstLine="709"/>
        <w:jc w:val="both"/>
        <w:rPr>
          <w:rFonts w:ascii="Times New Roman" w:hAnsi="Times New Roman" w:cs="Times New Roman"/>
          <w:sz w:val="28"/>
          <w:szCs w:val="28"/>
        </w:rPr>
      </w:pPr>
      <w:r w:rsidRPr="00252F35">
        <w:rPr>
          <w:rFonts w:ascii="Times New Roman" w:eastAsia="Calibri" w:hAnsi="Times New Roman" w:cs="Times New Roman"/>
          <w:sz w:val="28"/>
          <w:szCs w:val="28"/>
        </w:rPr>
        <w:t>Latvijas g</w:t>
      </w:r>
      <w:r w:rsidR="00AE030F" w:rsidRPr="00252F35">
        <w:rPr>
          <w:rFonts w:ascii="Times New Roman" w:hAnsi="Times New Roman" w:cs="Times New Roman"/>
          <w:sz w:val="28"/>
          <w:szCs w:val="28"/>
        </w:rPr>
        <w:t xml:space="preserve">alvenie ieguvumi un priekšrocības no </w:t>
      </w:r>
      <w:r w:rsidR="00B278B7" w:rsidRPr="00252F35">
        <w:rPr>
          <w:rFonts w:ascii="Times New Roman" w:hAnsi="Times New Roman" w:cs="Times New Roman"/>
          <w:sz w:val="28"/>
          <w:szCs w:val="28"/>
        </w:rPr>
        <w:t xml:space="preserve">dalības </w:t>
      </w:r>
      <w:r w:rsidR="00A001FF" w:rsidRPr="00252F35">
        <w:rPr>
          <w:rFonts w:ascii="Times New Roman" w:hAnsi="Times New Roman" w:cs="Times New Roman"/>
          <w:sz w:val="28"/>
          <w:szCs w:val="28"/>
        </w:rPr>
        <w:t>Vienotā</w:t>
      </w:r>
      <w:r w:rsidR="00B278B7" w:rsidRPr="00252F35">
        <w:rPr>
          <w:rFonts w:ascii="Times New Roman" w:hAnsi="Times New Roman" w:cs="Times New Roman"/>
          <w:sz w:val="28"/>
          <w:szCs w:val="28"/>
        </w:rPr>
        <w:t>jā</w:t>
      </w:r>
      <w:r w:rsidR="00A001FF" w:rsidRPr="00252F35">
        <w:rPr>
          <w:rFonts w:ascii="Times New Roman" w:hAnsi="Times New Roman" w:cs="Times New Roman"/>
          <w:sz w:val="28"/>
          <w:szCs w:val="28"/>
        </w:rPr>
        <w:t xml:space="preserve"> rīcīb</w:t>
      </w:r>
      <w:r w:rsidR="00B278B7" w:rsidRPr="00252F35">
        <w:rPr>
          <w:rFonts w:ascii="Times New Roman" w:hAnsi="Times New Roman" w:cs="Times New Roman"/>
          <w:sz w:val="28"/>
          <w:szCs w:val="28"/>
        </w:rPr>
        <w:t>ā</w:t>
      </w:r>
      <w:r w:rsidR="00A001FF" w:rsidRPr="00252F35">
        <w:rPr>
          <w:rFonts w:ascii="Times New Roman" w:hAnsi="Times New Roman" w:cs="Times New Roman"/>
          <w:sz w:val="28"/>
          <w:szCs w:val="28"/>
        </w:rPr>
        <w:t xml:space="preserve"> ORPHANET</w:t>
      </w:r>
      <w:r w:rsidR="00AE030F" w:rsidRPr="00252F35">
        <w:rPr>
          <w:rFonts w:ascii="Times New Roman" w:hAnsi="Times New Roman" w:cs="Times New Roman"/>
          <w:sz w:val="28"/>
          <w:szCs w:val="28"/>
        </w:rPr>
        <w:t xml:space="preserve"> ir:</w:t>
      </w:r>
    </w:p>
    <w:p w:rsidR="00F03712" w:rsidRPr="00252F35" w:rsidRDefault="00184E92" w:rsidP="008E52F5">
      <w:pPr>
        <w:pStyle w:val="ListParagraph"/>
        <w:numPr>
          <w:ilvl w:val="0"/>
          <w:numId w:val="9"/>
        </w:numPr>
        <w:spacing w:after="0"/>
        <w:ind w:left="709"/>
        <w:jc w:val="both"/>
        <w:rPr>
          <w:rFonts w:ascii="Times New Roman" w:hAnsi="Times New Roman" w:cs="Times New Roman"/>
          <w:sz w:val="28"/>
          <w:szCs w:val="28"/>
        </w:rPr>
      </w:pPr>
      <w:r w:rsidRPr="00252F35">
        <w:rPr>
          <w:rFonts w:ascii="Times New Roman" w:hAnsi="Times New Roman" w:cs="Times New Roman"/>
          <w:sz w:val="28"/>
          <w:szCs w:val="28"/>
        </w:rPr>
        <w:t>pievienošanās starptautiskajam tīklam Orphanet par retajām slimībām un orfān</w:t>
      </w:r>
      <w:r w:rsidR="00B278B7" w:rsidRPr="00252F35">
        <w:rPr>
          <w:rFonts w:ascii="Times New Roman" w:hAnsi="Times New Roman" w:cs="Times New Roman"/>
          <w:sz w:val="28"/>
          <w:szCs w:val="28"/>
        </w:rPr>
        <w:t>ām</w:t>
      </w:r>
      <w:r w:rsidRPr="00252F35">
        <w:rPr>
          <w:rFonts w:ascii="Times New Roman" w:hAnsi="Times New Roman" w:cs="Times New Roman"/>
          <w:sz w:val="28"/>
          <w:szCs w:val="28"/>
        </w:rPr>
        <w:t xml:space="preserve"> zālēm, kas ļauj izmantot Orpahanet tīkla infrastruktūru, nodrošinot Latvijas sabiedrīb</w:t>
      </w:r>
      <w:r w:rsidR="00F03712" w:rsidRPr="00252F35">
        <w:rPr>
          <w:rFonts w:ascii="Times New Roman" w:hAnsi="Times New Roman" w:cs="Times New Roman"/>
          <w:sz w:val="28"/>
          <w:szCs w:val="28"/>
        </w:rPr>
        <w:t>u</w:t>
      </w:r>
      <w:r w:rsidRPr="00252F35">
        <w:rPr>
          <w:rFonts w:ascii="Times New Roman" w:hAnsi="Times New Roman" w:cs="Times New Roman"/>
          <w:sz w:val="28"/>
          <w:szCs w:val="28"/>
        </w:rPr>
        <w:t xml:space="preserve"> (gan pacient</w:t>
      </w:r>
      <w:r w:rsidR="001153E3" w:rsidRPr="00252F35">
        <w:rPr>
          <w:rFonts w:ascii="Times New Roman" w:hAnsi="Times New Roman" w:cs="Times New Roman"/>
          <w:sz w:val="28"/>
          <w:szCs w:val="28"/>
        </w:rPr>
        <w:t>us</w:t>
      </w:r>
      <w:r w:rsidRPr="00252F35">
        <w:rPr>
          <w:rFonts w:ascii="Times New Roman" w:hAnsi="Times New Roman" w:cs="Times New Roman"/>
          <w:sz w:val="28"/>
          <w:szCs w:val="28"/>
        </w:rPr>
        <w:t>, gan speciālist</w:t>
      </w:r>
      <w:r w:rsidR="001153E3" w:rsidRPr="00252F35">
        <w:rPr>
          <w:rFonts w:ascii="Times New Roman" w:hAnsi="Times New Roman" w:cs="Times New Roman"/>
          <w:sz w:val="28"/>
          <w:szCs w:val="28"/>
        </w:rPr>
        <w:t>us</w:t>
      </w:r>
      <w:r w:rsidRPr="00252F35">
        <w:rPr>
          <w:rFonts w:ascii="Times New Roman" w:hAnsi="Times New Roman" w:cs="Times New Roman"/>
          <w:sz w:val="28"/>
          <w:szCs w:val="28"/>
        </w:rPr>
        <w:t>) ar informācij</w:t>
      </w:r>
      <w:r w:rsidR="001153E3" w:rsidRPr="00252F35">
        <w:rPr>
          <w:rFonts w:ascii="Times New Roman" w:hAnsi="Times New Roman" w:cs="Times New Roman"/>
          <w:sz w:val="28"/>
          <w:szCs w:val="28"/>
        </w:rPr>
        <w:t>u</w:t>
      </w:r>
      <w:r w:rsidRPr="00252F35">
        <w:rPr>
          <w:rFonts w:ascii="Times New Roman" w:hAnsi="Times New Roman" w:cs="Times New Roman"/>
          <w:sz w:val="28"/>
          <w:szCs w:val="28"/>
        </w:rPr>
        <w:t xml:space="preserve"> par retajām slimībām</w:t>
      </w:r>
      <w:r w:rsidR="00F03712" w:rsidRPr="00252F35">
        <w:rPr>
          <w:rFonts w:ascii="Times New Roman" w:hAnsi="Times New Roman" w:cs="Times New Roman"/>
          <w:sz w:val="28"/>
          <w:szCs w:val="28"/>
        </w:rPr>
        <w:t>;</w:t>
      </w:r>
    </w:p>
    <w:p w:rsidR="000001C5" w:rsidRPr="00252F35" w:rsidRDefault="00F03712" w:rsidP="008E52F5">
      <w:pPr>
        <w:pStyle w:val="ListParagraph"/>
        <w:numPr>
          <w:ilvl w:val="0"/>
          <w:numId w:val="9"/>
        </w:numPr>
        <w:spacing w:after="0"/>
        <w:ind w:left="709"/>
        <w:jc w:val="both"/>
        <w:rPr>
          <w:rFonts w:ascii="Times New Roman" w:hAnsi="Times New Roman" w:cs="Times New Roman"/>
          <w:sz w:val="28"/>
          <w:szCs w:val="28"/>
        </w:rPr>
      </w:pPr>
      <w:r w:rsidRPr="00252F35">
        <w:rPr>
          <w:rFonts w:ascii="Times New Roman" w:hAnsi="Times New Roman" w:cs="Times New Roman"/>
          <w:sz w:val="28"/>
          <w:szCs w:val="28"/>
        </w:rPr>
        <w:t>iespēja iegūt informāciju par retajām slimībām no jebkuras E</w:t>
      </w:r>
      <w:r w:rsidR="000001C5" w:rsidRPr="00252F35">
        <w:rPr>
          <w:rFonts w:ascii="Times New Roman" w:hAnsi="Times New Roman" w:cs="Times New Roman"/>
          <w:sz w:val="28"/>
          <w:szCs w:val="28"/>
        </w:rPr>
        <w:t xml:space="preserve">iropas </w:t>
      </w:r>
      <w:r w:rsidRPr="00252F35">
        <w:rPr>
          <w:rFonts w:ascii="Times New Roman" w:hAnsi="Times New Roman" w:cs="Times New Roman"/>
          <w:sz w:val="28"/>
          <w:szCs w:val="28"/>
        </w:rPr>
        <w:t>S</w:t>
      </w:r>
      <w:r w:rsidR="000001C5" w:rsidRPr="00252F35">
        <w:rPr>
          <w:rFonts w:ascii="Times New Roman" w:hAnsi="Times New Roman" w:cs="Times New Roman"/>
          <w:sz w:val="28"/>
          <w:szCs w:val="28"/>
        </w:rPr>
        <w:t>avienības</w:t>
      </w:r>
      <w:r w:rsidRPr="00252F35">
        <w:rPr>
          <w:rFonts w:ascii="Times New Roman" w:hAnsi="Times New Roman" w:cs="Times New Roman"/>
          <w:sz w:val="28"/>
          <w:szCs w:val="28"/>
        </w:rPr>
        <w:t xml:space="preserve"> dalībvalsts, kā arī Orphanet </w:t>
      </w:r>
      <w:r w:rsidR="00E22A5D">
        <w:rPr>
          <w:rFonts w:ascii="Times New Roman" w:hAnsi="Times New Roman" w:cs="Times New Roman"/>
          <w:sz w:val="28"/>
          <w:szCs w:val="28"/>
        </w:rPr>
        <w:t xml:space="preserve">tīkla </w:t>
      </w:r>
      <w:r w:rsidRPr="00252F35">
        <w:rPr>
          <w:rFonts w:ascii="Times New Roman" w:hAnsi="Times New Roman" w:cs="Times New Roman"/>
          <w:sz w:val="28"/>
          <w:szCs w:val="28"/>
        </w:rPr>
        <w:t>ietvaros tiek nodrošināta informācijas apmaiņa starpvalstu līmenī;</w:t>
      </w:r>
    </w:p>
    <w:p w:rsidR="00AE030F" w:rsidRPr="00252F35" w:rsidRDefault="00AE030F" w:rsidP="008E52F5">
      <w:pPr>
        <w:pStyle w:val="ListParagraph"/>
        <w:numPr>
          <w:ilvl w:val="0"/>
          <w:numId w:val="9"/>
        </w:numPr>
        <w:tabs>
          <w:tab w:val="left" w:pos="0"/>
        </w:tabs>
        <w:spacing w:after="0"/>
        <w:ind w:left="709"/>
        <w:jc w:val="both"/>
        <w:rPr>
          <w:rFonts w:ascii="Times New Roman" w:hAnsi="Times New Roman" w:cs="Times New Roman"/>
          <w:sz w:val="28"/>
          <w:szCs w:val="28"/>
        </w:rPr>
      </w:pPr>
      <w:r w:rsidRPr="00252F35">
        <w:rPr>
          <w:rFonts w:ascii="Times New Roman" w:hAnsi="Times New Roman" w:cs="Times New Roman"/>
          <w:sz w:val="28"/>
          <w:szCs w:val="28"/>
        </w:rPr>
        <w:t>izveidot</w:t>
      </w:r>
      <w:r w:rsidR="00E22A5D">
        <w:rPr>
          <w:rFonts w:ascii="Times New Roman" w:hAnsi="Times New Roman" w:cs="Times New Roman"/>
          <w:sz w:val="28"/>
          <w:szCs w:val="28"/>
        </w:rPr>
        <w:t xml:space="preserve">s </w:t>
      </w:r>
      <w:r w:rsidRPr="00252F35">
        <w:rPr>
          <w:rFonts w:ascii="Times New Roman" w:hAnsi="Times New Roman" w:cs="Times New Roman"/>
          <w:sz w:val="28"/>
          <w:szCs w:val="28"/>
        </w:rPr>
        <w:t>Orphanet portāls latviešu valo</w:t>
      </w:r>
      <w:r w:rsidR="000001C5" w:rsidRPr="00252F35">
        <w:rPr>
          <w:rFonts w:ascii="Times New Roman" w:hAnsi="Times New Roman" w:cs="Times New Roman"/>
          <w:sz w:val="28"/>
          <w:szCs w:val="28"/>
        </w:rPr>
        <w:t>dā, kurā tiek ieviet</w:t>
      </w:r>
      <w:r w:rsidRPr="00252F35">
        <w:rPr>
          <w:rFonts w:ascii="Times New Roman" w:hAnsi="Times New Roman" w:cs="Times New Roman"/>
          <w:sz w:val="28"/>
          <w:szCs w:val="28"/>
        </w:rPr>
        <w:t xml:space="preserve">ota aktuālākā informācija </w:t>
      </w:r>
      <w:r w:rsidR="00F03712" w:rsidRPr="00252F35">
        <w:rPr>
          <w:rFonts w:ascii="Times New Roman" w:hAnsi="Times New Roman" w:cs="Times New Roman"/>
          <w:sz w:val="28"/>
          <w:szCs w:val="28"/>
        </w:rPr>
        <w:t xml:space="preserve">no </w:t>
      </w:r>
      <w:r w:rsidR="00252F35">
        <w:rPr>
          <w:rFonts w:ascii="Times New Roman" w:hAnsi="Times New Roman" w:cs="Times New Roman"/>
          <w:sz w:val="28"/>
          <w:szCs w:val="28"/>
        </w:rPr>
        <w:t>Orphanet</w:t>
      </w:r>
      <w:r w:rsidR="00F03712" w:rsidRPr="00252F35">
        <w:rPr>
          <w:rFonts w:ascii="Times New Roman" w:hAnsi="Times New Roman" w:cs="Times New Roman"/>
          <w:sz w:val="28"/>
          <w:szCs w:val="28"/>
        </w:rPr>
        <w:t xml:space="preserve"> datu bāzes </w:t>
      </w:r>
      <w:r w:rsidRPr="00252F35">
        <w:rPr>
          <w:rFonts w:ascii="Times New Roman" w:hAnsi="Times New Roman" w:cs="Times New Roman"/>
          <w:sz w:val="28"/>
          <w:szCs w:val="28"/>
        </w:rPr>
        <w:t>par Latvijas ekspertu centriem, pacientu organizācijām</w:t>
      </w:r>
      <w:r w:rsidR="00184E92" w:rsidRPr="00252F35">
        <w:rPr>
          <w:rFonts w:ascii="Times New Roman" w:hAnsi="Times New Roman" w:cs="Times New Roman"/>
          <w:sz w:val="28"/>
          <w:szCs w:val="28"/>
        </w:rPr>
        <w:t xml:space="preserve">, </w:t>
      </w:r>
      <w:r w:rsidR="00F03712" w:rsidRPr="00252F35">
        <w:rPr>
          <w:rFonts w:ascii="Times New Roman" w:hAnsi="Times New Roman" w:cs="Times New Roman"/>
          <w:sz w:val="28"/>
          <w:szCs w:val="28"/>
        </w:rPr>
        <w:t>utt</w:t>
      </w:r>
      <w:r w:rsidR="000001C5" w:rsidRPr="00252F35">
        <w:rPr>
          <w:rFonts w:ascii="Times New Roman" w:hAnsi="Times New Roman" w:cs="Times New Roman"/>
          <w:sz w:val="28"/>
          <w:szCs w:val="28"/>
        </w:rPr>
        <w:t>.</w:t>
      </w:r>
    </w:p>
    <w:p w:rsidR="002E608F" w:rsidRPr="00252F35" w:rsidRDefault="002E608F" w:rsidP="008E52F5">
      <w:pPr>
        <w:spacing w:after="0"/>
        <w:ind w:left="709" w:firstLine="720"/>
        <w:jc w:val="both"/>
        <w:rPr>
          <w:rFonts w:ascii="Times New Roman" w:hAnsi="Times New Roman" w:cs="Times New Roman"/>
          <w:sz w:val="28"/>
          <w:szCs w:val="28"/>
        </w:rPr>
      </w:pPr>
      <w:r w:rsidRPr="00252F35">
        <w:rPr>
          <w:rFonts w:ascii="Times New Roman" w:hAnsi="Times New Roman" w:cs="Times New Roman"/>
          <w:sz w:val="28"/>
          <w:szCs w:val="28"/>
        </w:rPr>
        <w:t xml:space="preserve">Turpmākie SPKC </w:t>
      </w:r>
      <w:r w:rsidR="00B278B7" w:rsidRPr="00252F35">
        <w:rPr>
          <w:rFonts w:ascii="Times New Roman" w:hAnsi="Times New Roman" w:cs="Times New Roman"/>
          <w:sz w:val="28"/>
          <w:szCs w:val="28"/>
        </w:rPr>
        <w:t xml:space="preserve">plānotie </w:t>
      </w:r>
      <w:r w:rsidRPr="00252F35">
        <w:rPr>
          <w:rFonts w:ascii="Times New Roman" w:hAnsi="Times New Roman" w:cs="Times New Roman"/>
          <w:sz w:val="28"/>
          <w:szCs w:val="28"/>
        </w:rPr>
        <w:t xml:space="preserve">darbi </w:t>
      </w:r>
      <w:r w:rsidR="00DC51C4" w:rsidRPr="00252F35">
        <w:rPr>
          <w:rFonts w:ascii="Times New Roman" w:hAnsi="Times New Roman" w:cs="Times New Roman"/>
          <w:sz w:val="28"/>
          <w:szCs w:val="28"/>
        </w:rPr>
        <w:t>Vienotās rīcības ORPHANET</w:t>
      </w:r>
      <w:r w:rsidRPr="00252F35">
        <w:rPr>
          <w:rFonts w:ascii="Times New Roman" w:hAnsi="Times New Roman" w:cs="Times New Roman"/>
          <w:sz w:val="28"/>
          <w:szCs w:val="28"/>
        </w:rPr>
        <w:t xml:space="preserve"> ietvaros:</w:t>
      </w:r>
    </w:p>
    <w:p w:rsidR="002E608F" w:rsidRPr="00252F35" w:rsidRDefault="00985CF1" w:rsidP="008E52F5">
      <w:pPr>
        <w:pStyle w:val="ListParagraph"/>
        <w:numPr>
          <w:ilvl w:val="0"/>
          <w:numId w:val="5"/>
        </w:numPr>
        <w:spacing w:after="0"/>
        <w:ind w:left="709" w:hanging="283"/>
        <w:jc w:val="both"/>
        <w:rPr>
          <w:rFonts w:ascii="Times New Roman" w:hAnsi="Times New Roman" w:cs="Times New Roman"/>
          <w:sz w:val="28"/>
          <w:szCs w:val="28"/>
        </w:rPr>
      </w:pPr>
      <w:r>
        <w:rPr>
          <w:rFonts w:ascii="Times New Roman" w:hAnsi="Times New Roman" w:cs="Times New Roman"/>
          <w:sz w:val="28"/>
          <w:szCs w:val="28"/>
        </w:rPr>
        <w:t>turpinā</w:t>
      </w:r>
      <w:r w:rsidR="00D700CF">
        <w:rPr>
          <w:rFonts w:ascii="Times New Roman" w:hAnsi="Times New Roman" w:cs="Times New Roman"/>
          <w:sz w:val="28"/>
          <w:szCs w:val="28"/>
        </w:rPr>
        <w:t>t</w:t>
      </w:r>
      <w:r>
        <w:rPr>
          <w:rFonts w:ascii="Times New Roman" w:hAnsi="Times New Roman" w:cs="Times New Roman"/>
          <w:sz w:val="28"/>
          <w:szCs w:val="28"/>
        </w:rPr>
        <w:t xml:space="preserve"> piedalīties</w:t>
      </w:r>
      <w:r w:rsidR="002E608F" w:rsidRPr="00252F35">
        <w:rPr>
          <w:rFonts w:ascii="Times New Roman" w:hAnsi="Times New Roman" w:cs="Times New Roman"/>
          <w:sz w:val="28"/>
          <w:szCs w:val="28"/>
        </w:rPr>
        <w:t xml:space="preserve"> Nacionālā Reto slimību plāna 2012.-2015.gadam izstrādē un atbilstoši komp</w:t>
      </w:r>
      <w:r w:rsidR="00BE4359">
        <w:rPr>
          <w:rFonts w:ascii="Times New Roman" w:hAnsi="Times New Roman" w:cs="Times New Roman"/>
          <w:sz w:val="28"/>
          <w:szCs w:val="28"/>
        </w:rPr>
        <w:t>etencei tā pasākumu realizācijā;</w:t>
      </w:r>
    </w:p>
    <w:p w:rsidR="002E608F" w:rsidRPr="00252F35" w:rsidRDefault="00985CF1" w:rsidP="008E52F5">
      <w:pPr>
        <w:pStyle w:val="ListParagraph"/>
        <w:numPr>
          <w:ilvl w:val="0"/>
          <w:numId w:val="5"/>
        </w:numPr>
        <w:spacing w:after="0"/>
        <w:ind w:left="709" w:hanging="283"/>
        <w:jc w:val="both"/>
        <w:rPr>
          <w:rFonts w:ascii="Times New Roman" w:hAnsi="Times New Roman" w:cs="Times New Roman"/>
          <w:sz w:val="28"/>
          <w:szCs w:val="28"/>
        </w:rPr>
      </w:pPr>
      <w:r>
        <w:rPr>
          <w:rFonts w:ascii="Times New Roman" w:hAnsi="Times New Roman" w:cs="Times New Roman"/>
          <w:sz w:val="28"/>
          <w:szCs w:val="28"/>
        </w:rPr>
        <w:t>turpinā</w:t>
      </w:r>
      <w:r w:rsidR="00D700CF">
        <w:rPr>
          <w:rFonts w:ascii="Times New Roman" w:hAnsi="Times New Roman" w:cs="Times New Roman"/>
          <w:sz w:val="28"/>
          <w:szCs w:val="28"/>
        </w:rPr>
        <w:t>t</w:t>
      </w:r>
      <w:r w:rsidR="002E608F" w:rsidRPr="00252F35">
        <w:rPr>
          <w:rFonts w:ascii="Times New Roman" w:hAnsi="Times New Roman" w:cs="Times New Roman"/>
          <w:sz w:val="28"/>
          <w:szCs w:val="28"/>
        </w:rPr>
        <w:t xml:space="preserve"> apkopot un aktualizēt informācij</w:t>
      </w:r>
      <w:r w:rsidR="00CA3446">
        <w:rPr>
          <w:rFonts w:ascii="Times New Roman" w:hAnsi="Times New Roman" w:cs="Times New Roman"/>
          <w:sz w:val="28"/>
          <w:szCs w:val="28"/>
        </w:rPr>
        <w:t>u</w:t>
      </w:r>
      <w:r w:rsidR="002E608F" w:rsidRPr="00252F35">
        <w:rPr>
          <w:rFonts w:ascii="Times New Roman" w:hAnsi="Times New Roman" w:cs="Times New Roman"/>
          <w:sz w:val="28"/>
          <w:szCs w:val="28"/>
        </w:rPr>
        <w:t xml:space="preserve"> par ekspertu centriem, laboratorijām, pacientu organizācijām un klīniskajiem pētījumiem, kuros ir saistība ar retajām slimībām, lai nodrošinātu publiskās informācijas pieejam</w:t>
      </w:r>
      <w:r w:rsidR="00D700CF">
        <w:rPr>
          <w:rFonts w:ascii="Times New Roman" w:hAnsi="Times New Roman" w:cs="Times New Roman"/>
          <w:sz w:val="28"/>
          <w:szCs w:val="28"/>
        </w:rPr>
        <w:t>ību speciālistiem un pacientiem;</w:t>
      </w:r>
    </w:p>
    <w:p w:rsidR="002E608F" w:rsidRPr="00252F35" w:rsidRDefault="00D700CF" w:rsidP="008E52F5">
      <w:pPr>
        <w:pStyle w:val="ListParagraph"/>
        <w:numPr>
          <w:ilvl w:val="0"/>
          <w:numId w:val="5"/>
        </w:numPr>
        <w:spacing w:after="0"/>
        <w:ind w:left="709" w:hanging="283"/>
        <w:jc w:val="both"/>
        <w:rPr>
          <w:rFonts w:ascii="Times New Roman" w:hAnsi="Times New Roman" w:cs="Times New Roman"/>
          <w:sz w:val="28"/>
          <w:szCs w:val="28"/>
        </w:rPr>
      </w:pPr>
      <w:r>
        <w:rPr>
          <w:rFonts w:ascii="Times New Roman" w:hAnsi="Times New Roman" w:cs="Times New Roman"/>
          <w:sz w:val="28"/>
          <w:szCs w:val="28"/>
        </w:rPr>
        <w:t xml:space="preserve">turpināt </w:t>
      </w:r>
      <w:r w:rsidR="002E608F" w:rsidRPr="00252F35">
        <w:rPr>
          <w:rFonts w:ascii="Times New Roman" w:hAnsi="Times New Roman" w:cs="Times New Roman"/>
          <w:sz w:val="28"/>
          <w:szCs w:val="28"/>
        </w:rPr>
        <w:t>uztur</w:t>
      </w:r>
      <w:r>
        <w:rPr>
          <w:rFonts w:ascii="Times New Roman" w:hAnsi="Times New Roman" w:cs="Times New Roman"/>
          <w:sz w:val="28"/>
          <w:szCs w:val="28"/>
        </w:rPr>
        <w:t>ēt</w:t>
      </w:r>
      <w:r w:rsidR="002E608F" w:rsidRPr="00252F35">
        <w:rPr>
          <w:rFonts w:ascii="Times New Roman" w:hAnsi="Times New Roman" w:cs="Times New Roman"/>
          <w:sz w:val="28"/>
          <w:szCs w:val="28"/>
        </w:rPr>
        <w:t xml:space="preserve"> un pilnveido</w:t>
      </w:r>
      <w:r>
        <w:rPr>
          <w:rFonts w:ascii="Times New Roman" w:hAnsi="Times New Roman" w:cs="Times New Roman"/>
          <w:sz w:val="28"/>
          <w:szCs w:val="28"/>
        </w:rPr>
        <w:t>t</w:t>
      </w:r>
      <w:r w:rsidR="002E608F" w:rsidRPr="00252F35">
        <w:rPr>
          <w:rFonts w:ascii="Times New Roman" w:hAnsi="Times New Roman" w:cs="Times New Roman"/>
          <w:sz w:val="28"/>
          <w:szCs w:val="28"/>
        </w:rPr>
        <w:t xml:space="preserve"> mājaslap</w:t>
      </w:r>
      <w:r>
        <w:rPr>
          <w:rFonts w:ascii="Times New Roman" w:hAnsi="Times New Roman" w:cs="Times New Roman"/>
          <w:sz w:val="28"/>
          <w:szCs w:val="28"/>
        </w:rPr>
        <w:t>u</w:t>
      </w:r>
      <w:r w:rsidR="002E608F" w:rsidRPr="00252F35">
        <w:rPr>
          <w:rFonts w:ascii="Times New Roman" w:hAnsi="Times New Roman" w:cs="Times New Roman"/>
          <w:sz w:val="28"/>
          <w:szCs w:val="28"/>
        </w:rPr>
        <w:t xml:space="preserve"> Orphanet Latvi</w:t>
      </w:r>
      <w:r w:rsidR="001153E3" w:rsidRPr="00252F35">
        <w:rPr>
          <w:rFonts w:ascii="Times New Roman" w:hAnsi="Times New Roman" w:cs="Times New Roman"/>
          <w:sz w:val="28"/>
          <w:szCs w:val="28"/>
        </w:rPr>
        <w:t>j</w:t>
      </w:r>
      <w:r w:rsidR="002E608F" w:rsidRPr="00252F35">
        <w:rPr>
          <w:rFonts w:ascii="Times New Roman" w:hAnsi="Times New Roman" w:cs="Times New Roman"/>
          <w:sz w:val="28"/>
          <w:szCs w:val="28"/>
        </w:rPr>
        <w:t>a</w:t>
      </w:r>
      <w:r w:rsidR="001153E3" w:rsidRPr="00252F35">
        <w:rPr>
          <w:rFonts w:ascii="Times New Roman" w:hAnsi="Times New Roman" w:cs="Times New Roman"/>
          <w:sz w:val="28"/>
          <w:szCs w:val="28"/>
        </w:rPr>
        <w:t>.</w:t>
      </w:r>
      <w:r w:rsidR="002E608F" w:rsidRPr="00252F35">
        <w:rPr>
          <w:rFonts w:ascii="Times New Roman" w:hAnsi="Times New Roman" w:cs="Times New Roman"/>
          <w:sz w:val="28"/>
          <w:szCs w:val="28"/>
          <w:lang w:val="en-GB"/>
        </w:rPr>
        <w:t xml:space="preserve"> </w:t>
      </w:r>
    </w:p>
    <w:p w:rsidR="001B2DD4" w:rsidRPr="008E52F5" w:rsidRDefault="00DC51C4" w:rsidP="001B2DD4">
      <w:pPr>
        <w:spacing w:after="0"/>
        <w:ind w:firstLine="709"/>
        <w:jc w:val="both"/>
        <w:rPr>
          <w:rFonts w:ascii="Times New Roman" w:hAnsi="Times New Roman" w:cs="Times New Roman"/>
          <w:sz w:val="28"/>
          <w:szCs w:val="28"/>
        </w:rPr>
      </w:pPr>
      <w:r w:rsidRPr="00252F35">
        <w:rPr>
          <w:rFonts w:ascii="Times New Roman" w:hAnsi="Times New Roman" w:cs="Times New Roman"/>
          <w:sz w:val="28"/>
          <w:szCs w:val="28"/>
        </w:rPr>
        <w:t>Vienotās rīcības ORPHANET</w:t>
      </w:r>
      <w:r w:rsidR="00591E6D" w:rsidRPr="00252F35">
        <w:rPr>
          <w:rFonts w:ascii="Times New Roman" w:hAnsi="Times New Roman" w:cs="Times New Roman"/>
          <w:sz w:val="28"/>
          <w:szCs w:val="28"/>
        </w:rPr>
        <w:t xml:space="preserve"> granta vienošanās</w:t>
      </w:r>
      <w:r w:rsidR="00F3092F">
        <w:rPr>
          <w:rFonts w:ascii="Times New Roman" w:hAnsi="Times New Roman" w:cs="Times New Roman"/>
          <w:sz w:val="28"/>
          <w:szCs w:val="28"/>
        </w:rPr>
        <w:t xml:space="preserve"> (noslēgta 01.04.2011</w:t>
      </w:r>
      <w:r w:rsidR="002E04D6">
        <w:rPr>
          <w:rFonts w:ascii="Times New Roman" w:hAnsi="Times New Roman" w:cs="Times New Roman"/>
          <w:sz w:val="28"/>
          <w:szCs w:val="28"/>
        </w:rPr>
        <w:t>.</w:t>
      </w:r>
      <w:r w:rsidR="00F3092F">
        <w:rPr>
          <w:rFonts w:ascii="Times New Roman" w:hAnsi="Times New Roman" w:cs="Times New Roman"/>
          <w:sz w:val="28"/>
          <w:szCs w:val="28"/>
        </w:rPr>
        <w:t xml:space="preserve"> starp Veselības un patērētāju izpildaģentūru (The Executive Agency for </w:t>
      </w:r>
      <w:r w:rsidR="002E04D6">
        <w:rPr>
          <w:rFonts w:ascii="Times New Roman" w:hAnsi="Times New Roman" w:cs="Times New Roman"/>
          <w:sz w:val="28"/>
          <w:szCs w:val="28"/>
        </w:rPr>
        <w:t>Health and Consumers – EAHC)</w:t>
      </w:r>
      <w:r w:rsidR="00F3092F">
        <w:rPr>
          <w:rFonts w:ascii="Times New Roman" w:hAnsi="Times New Roman" w:cs="Times New Roman"/>
          <w:sz w:val="28"/>
          <w:szCs w:val="28"/>
        </w:rPr>
        <w:t xml:space="preserve">, </w:t>
      </w:r>
      <w:r w:rsidR="00F3092F" w:rsidRPr="00252F35">
        <w:rPr>
          <w:rFonts w:ascii="Times New Roman" w:hAnsi="Times New Roman" w:cs="Times New Roman"/>
          <w:sz w:val="28"/>
          <w:szCs w:val="28"/>
        </w:rPr>
        <w:t>Vienotās rīcības ORPHANET</w:t>
      </w:r>
      <w:r w:rsidR="00F3092F">
        <w:rPr>
          <w:rFonts w:ascii="Times New Roman" w:hAnsi="Times New Roman" w:cs="Times New Roman"/>
          <w:sz w:val="28"/>
          <w:szCs w:val="28"/>
        </w:rPr>
        <w:t xml:space="preserve"> vadošo partneri un </w:t>
      </w:r>
      <w:r w:rsidR="00C9117F">
        <w:rPr>
          <w:rFonts w:ascii="Times New Roman" w:hAnsi="Times New Roman" w:cs="Times New Roman"/>
          <w:sz w:val="28"/>
          <w:szCs w:val="28"/>
        </w:rPr>
        <w:t xml:space="preserve">visiem </w:t>
      </w:r>
      <w:r w:rsidR="00F3092F" w:rsidRPr="00252F35">
        <w:rPr>
          <w:rFonts w:ascii="Times New Roman" w:hAnsi="Times New Roman" w:cs="Times New Roman"/>
          <w:sz w:val="28"/>
          <w:szCs w:val="28"/>
        </w:rPr>
        <w:t>Vienotās rīcības ORPHANET</w:t>
      </w:r>
      <w:r w:rsidR="00F3092F">
        <w:rPr>
          <w:rFonts w:ascii="Times New Roman" w:hAnsi="Times New Roman" w:cs="Times New Roman"/>
          <w:sz w:val="28"/>
          <w:szCs w:val="28"/>
        </w:rPr>
        <w:t xml:space="preserve"> asociētiem partneriem, t.sk. Veselības ekonomikas centru</w:t>
      </w:r>
      <w:r w:rsidR="002E04D6">
        <w:rPr>
          <w:rFonts w:ascii="Times New Roman" w:hAnsi="Times New Roman" w:cs="Times New Roman"/>
          <w:sz w:val="28"/>
          <w:szCs w:val="28"/>
        </w:rPr>
        <w:t>, no kura attiecīgais pienākums atbilstoši realizētai reorganizācijai ir pārnācis SPKC</w:t>
      </w:r>
      <w:r w:rsidR="00F3092F">
        <w:rPr>
          <w:rFonts w:ascii="Times New Roman" w:hAnsi="Times New Roman" w:cs="Times New Roman"/>
          <w:sz w:val="28"/>
          <w:szCs w:val="28"/>
        </w:rPr>
        <w:t>)</w:t>
      </w:r>
      <w:r w:rsidR="00591E6D" w:rsidRPr="00252F35">
        <w:rPr>
          <w:rFonts w:ascii="Times New Roman" w:hAnsi="Times New Roman" w:cs="Times New Roman"/>
          <w:sz w:val="28"/>
          <w:szCs w:val="28"/>
        </w:rPr>
        <w:t xml:space="preserve"> paredz, ka kopējais finansējums laika posmā no 2011.gada līdz 2014.gadam ir </w:t>
      </w:r>
      <w:r w:rsidR="002E608F" w:rsidRPr="00252F35">
        <w:rPr>
          <w:rFonts w:ascii="Times New Roman" w:hAnsi="Times New Roman" w:cs="Times New Roman"/>
          <w:sz w:val="28"/>
          <w:szCs w:val="28"/>
        </w:rPr>
        <w:t>14</w:t>
      </w:r>
      <w:r w:rsidR="00DA3B12" w:rsidRPr="00252F35">
        <w:rPr>
          <w:rFonts w:ascii="Times New Roman" w:hAnsi="Times New Roman" w:cs="Times New Roman"/>
          <w:sz w:val="28"/>
          <w:szCs w:val="28"/>
        </w:rPr>
        <w:t> </w:t>
      </w:r>
      <w:r w:rsidR="002E608F" w:rsidRPr="00252F35">
        <w:rPr>
          <w:rFonts w:ascii="Times New Roman" w:hAnsi="Times New Roman" w:cs="Times New Roman"/>
          <w:sz w:val="28"/>
          <w:szCs w:val="28"/>
        </w:rPr>
        <w:t>01</w:t>
      </w:r>
      <w:r w:rsidR="004C5DA8" w:rsidRPr="00252F35">
        <w:rPr>
          <w:rFonts w:ascii="Times New Roman" w:hAnsi="Times New Roman" w:cs="Times New Roman"/>
          <w:sz w:val="28"/>
          <w:szCs w:val="28"/>
        </w:rPr>
        <w:t>0</w:t>
      </w:r>
      <w:r w:rsidR="00591E6D" w:rsidRPr="00252F35">
        <w:rPr>
          <w:rFonts w:ascii="Times New Roman" w:hAnsi="Times New Roman" w:cs="Times New Roman"/>
          <w:sz w:val="28"/>
          <w:szCs w:val="28"/>
        </w:rPr>
        <w:t> LVL (</w:t>
      </w:r>
      <w:r w:rsidR="002E608F" w:rsidRPr="00252F35">
        <w:rPr>
          <w:rFonts w:ascii="Times New Roman" w:hAnsi="Times New Roman" w:cs="Times New Roman"/>
          <w:sz w:val="28"/>
          <w:szCs w:val="28"/>
        </w:rPr>
        <w:t>19 935</w:t>
      </w:r>
      <w:r w:rsidR="00591E6D" w:rsidRPr="00252F35">
        <w:rPr>
          <w:rFonts w:ascii="Times New Roman" w:hAnsi="Times New Roman" w:cs="Times New Roman"/>
          <w:sz w:val="28"/>
          <w:szCs w:val="28"/>
        </w:rPr>
        <w:t xml:space="preserve"> EUR), t.sk., </w:t>
      </w:r>
      <w:r w:rsidR="004C5DA8" w:rsidRPr="00252F35">
        <w:rPr>
          <w:rFonts w:ascii="Times New Roman" w:hAnsi="Times New Roman" w:cs="Times New Roman"/>
          <w:sz w:val="28"/>
          <w:szCs w:val="28"/>
        </w:rPr>
        <w:t>6 722 </w:t>
      </w:r>
      <w:r w:rsidR="00591E6D" w:rsidRPr="00252F35">
        <w:rPr>
          <w:rFonts w:ascii="Times New Roman" w:hAnsi="Times New Roman" w:cs="Times New Roman"/>
          <w:sz w:val="28"/>
          <w:szCs w:val="28"/>
        </w:rPr>
        <w:t>LVL</w:t>
      </w:r>
      <w:r w:rsidR="00BC6BE1" w:rsidRPr="00252F35">
        <w:rPr>
          <w:rFonts w:ascii="Times New Roman" w:hAnsi="Times New Roman" w:cs="Times New Roman"/>
          <w:sz w:val="28"/>
          <w:szCs w:val="28"/>
        </w:rPr>
        <w:t xml:space="preserve"> </w:t>
      </w:r>
      <w:r w:rsidR="00591E6D" w:rsidRPr="00252F35">
        <w:rPr>
          <w:rFonts w:ascii="Times New Roman" w:hAnsi="Times New Roman" w:cs="Times New Roman"/>
          <w:sz w:val="28"/>
          <w:szCs w:val="28"/>
        </w:rPr>
        <w:t xml:space="preserve">Eiropas Komisijas finansējums un </w:t>
      </w:r>
      <w:r w:rsidR="004C5DA8" w:rsidRPr="00252F35">
        <w:rPr>
          <w:rFonts w:ascii="Times New Roman" w:hAnsi="Times New Roman" w:cs="Times New Roman"/>
          <w:sz w:val="28"/>
          <w:szCs w:val="28"/>
        </w:rPr>
        <w:t>7 288</w:t>
      </w:r>
      <w:r w:rsidR="00591E6D" w:rsidRPr="00252F35">
        <w:rPr>
          <w:rFonts w:ascii="Times New Roman" w:hAnsi="Times New Roman" w:cs="Times New Roman"/>
          <w:sz w:val="28"/>
          <w:szCs w:val="28"/>
        </w:rPr>
        <w:t> LVL</w:t>
      </w:r>
      <w:r w:rsidR="00BC6BE1" w:rsidRPr="00252F35">
        <w:rPr>
          <w:rFonts w:ascii="Times New Roman" w:hAnsi="Times New Roman" w:cs="Times New Roman"/>
          <w:sz w:val="28"/>
          <w:szCs w:val="28"/>
        </w:rPr>
        <w:t xml:space="preserve"> </w:t>
      </w:r>
      <w:r w:rsidR="00B278B7" w:rsidRPr="00252F35">
        <w:rPr>
          <w:rFonts w:ascii="Times New Roman" w:hAnsi="Times New Roman" w:cs="Times New Roman"/>
          <w:sz w:val="28"/>
          <w:szCs w:val="28"/>
        </w:rPr>
        <w:t>SPKC</w:t>
      </w:r>
      <w:r w:rsidR="00626D97" w:rsidRPr="00252F35">
        <w:rPr>
          <w:rFonts w:ascii="Times New Roman" w:hAnsi="Times New Roman" w:cs="Times New Roman"/>
          <w:sz w:val="28"/>
          <w:szCs w:val="28"/>
        </w:rPr>
        <w:t xml:space="preserve"> (</w:t>
      </w:r>
      <w:r w:rsidR="004C1B97" w:rsidRPr="00252F35">
        <w:rPr>
          <w:rFonts w:ascii="Times New Roman" w:hAnsi="Times New Roman" w:cs="Times New Roman"/>
          <w:sz w:val="28"/>
          <w:szCs w:val="28"/>
        </w:rPr>
        <w:t>Nacionāl</w:t>
      </w:r>
      <w:r w:rsidR="00B278B7" w:rsidRPr="00252F35">
        <w:rPr>
          <w:rFonts w:ascii="Times New Roman" w:hAnsi="Times New Roman" w:cs="Times New Roman"/>
          <w:sz w:val="28"/>
          <w:szCs w:val="28"/>
        </w:rPr>
        <w:t>ā</w:t>
      </w:r>
      <w:r w:rsidR="004C1B97" w:rsidRPr="00252F35">
        <w:rPr>
          <w:rFonts w:ascii="Times New Roman" w:hAnsi="Times New Roman" w:cs="Times New Roman"/>
          <w:sz w:val="28"/>
          <w:szCs w:val="28"/>
        </w:rPr>
        <w:t xml:space="preserve"> veselības dienest</w:t>
      </w:r>
      <w:r w:rsidR="00B278B7" w:rsidRPr="00252F35">
        <w:rPr>
          <w:rFonts w:ascii="Times New Roman" w:hAnsi="Times New Roman" w:cs="Times New Roman"/>
          <w:sz w:val="28"/>
          <w:szCs w:val="28"/>
        </w:rPr>
        <w:t>a</w:t>
      </w:r>
      <w:r w:rsidR="004C1B97" w:rsidRPr="00252F35">
        <w:rPr>
          <w:rFonts w:ascii="Times New Roman" w:hAnsi="Times New Roman" w:cs="Times New Roman"/>
          <w:sz w:val="28"/>
          <w:szCs w:val="28"/>
        </w:rPr>
        <w:t xml:space="preserve"> līdz 2012.gada 1.aprīlim un pirms tam Veselības ekonomikas centr</w:t>
      </w:r>
      <w:r w:rsidR="00B278B7" w:rsidRPr="00252F35">
        <w:rPr>
          <w:rFonts w:ascii="Times New Roman" w:hAnsi="Times New Roman" w:cs="Times New Roman"/>
          <w:sz w:val="28"/>
          <w:szCs w:val="28"/>
        </w:rPr>
        <w:t>a</w:t>
      </w:r>
      <w:r w:rsidR="004C1B97" w:rsidRPr="00252F35">
        <w:rPr>
          <w:rFonts w:ascii="Times New Roman" w:hAnsi="Times New Roman" w:cs="Times New Roman"/>
          <w:sz w:val="28"/>
          <w:szCs w:val="28"/>
        </w:rPr>
        <w:t xml:space="preserve"> līdz 2011.gada 31.oktobrim</w:t>
      </w:r>
      <w:r w:rsidR="00626D97" w:rsidRPr="00252F35">
        <w:rPr>
          <w:rFonts w:ascii="Times New Roman" w:hAnsi="Times New Roman" w:cs="Times New Roman"/>
          <w:sz w:val="28"/>
          <w:szCs w:val="28"/>
        </w:rPr>
        <w:t>)</w:t>
      </w:r>
      <w:r w:rsidR="00C67640" w:rsidRPr="00252F35">
        <w:rPr>
          <w:rFonts w:ascii="Times New Roman" w:hAnsi="Times New Roman" w:cs="Times New Roman"/>
          <w:sz w:val="28"/>
          <w:szCs w:val="28"/>
        </w:rPr>
        <w:t xml:space="preserve"> līdzfinansējums</w:t>
      </w:r>
      <w:r w:rsidR="00587858" w:rsidRPr="00252F35">
        <w:rPr>
          <w:rFonts w:ascii="Times New Roman" w:hAnsi="Times New Roman" w:cs="Times New Roman"/>
          <w:sz w:val="28"/>
          <w:szCs w:val="28"/>
        </w:rPr>
        <w:t xml:space="preserve"> (</w:t>
      </w:r>
      <w:r w:rsidR="00587858" w:rsidRPr="008E52F5">
        <w:rPr>
          <w:rFonts w:ascii="Times New Roman" w:hAnsi="Times New Roman" w:cs="Times New Roman"/>
          <w:sz w:val="28"/>
          <w:szCs w:val="28"/>
        </w:rPr>
        <w:t>skatīt 1.tabulu)</w:t>
      </w:r>
      <w:r w:rsidR="00C67640" w:rsidRPr="008E52F5">
        <w:rPr>
          <w:rFonts w:ascii="Times New Roman" w:hAnsi="Times New Roman" w:cs="Times New Roman"/>
          <w:sz w:val="28"/>
          <w:szCs w:val="28"/>
        </w:rPr>
        <w:t>.</w:t>
      </w:r>
      <w:r w:rsidR="006F5FEC" w:rsidRPr="008E52F5">
        <w:rPr>
          <w:rFonts w:ascii="Times New Roman" w:hAnsi="Times New Roman" w:cs="Times New Roman"/>
          <w:sz w:val="28"/>
          <w:szCs w:val="28"/>
        </w:rPr>
        <w:t xml:space="preserve"> </w:t>
      </w:r>
      <w:r w:rsidR="001B2DD4" w:rsidRPr="008E52F5">
        <w:rPr>
          <w:rFonts w:ascii="Times New Roman" w:hAnsi="Times New Roman" w:cs="Times New Roman"/>
          <w:sz w:val="28"/>
          <w:szCs w:val="28"/>
        </w:rPr>
        <w:t>Vienotās rīcības ORPHANET darbība ir plānota no 2011.gada 1.aprīļa līdz 2014.gada 1.aprīlim.</w:t>
      </w:r>
    </w:p>
    <w:p w:rsidR="008E52F5" w:rsidRDefault="006F5FEC" w:rsidP="00C36A5A">
      <w:pPr>
        <w:spacing w:after="0"/>
        <w:jc w:val="both"/>
        <w:rPr>
          <w:rFonts w:ascii="Times New Roman" w:hAnsi="Times New Roman" w:cs="Times New Roman"/>
          <w:sz w:val="28"/>
          <w:szCs w:val="28"/>
        </w:rPr>
      </w:pPr>
      <w:r w:rsidRPr="008E52F5">
        <w:rPr>
          <w:rFonts w:ascii="Times New Roman" w:hAnsi="Times New Roman" w:cs="Times New Roman"/>
          <w:sz w:val="28"/>
          <w:szCs w:val="28"/>
        </w:rPr>
        <w:lastRenderedPageBreak/>
        <w:t xml:space="preserve">Saskaņā ar Vienotās rīcības ORPHANET granta vienošanos  Eiropas Komisija līdzfinansēs Vienoto rīcību ORPHANET līdz 2014.gada 1.aprīlim un tas nav pretrunā ar  Eiropas Komisijas Otrās Kopienas rīcības programmas sabiedrības veselības jomā (2008. – 2013.gadam) finanšu periodu.  </w:t>
      </w:r>
      <w:r w:rsidR="00213D2E" w:rsidRPr="008E52F5">
        <w:rPr>
          <w:rFonts w:ascii="Times New Roman" w:hAnsi="Times New Roman" w:cs="Times New Roman"/>
          <w:sz w:val="28"/>
          <w:szCs w:val="28"/>
        </w:rPr>
        <w:t xml:space="preserve"> Eiropas</w:t>
      </w:r>
      <w:r w:rsidR="00213D2E" w:rsidRPr="00213D2E">
        <w:rPr>
          <w:rFonts w:ascii="Times New Roman" w:hAnsi="Times New Roman" w:cs="Times New Roman"/>
          <w:sz w:val="28"/>
          <w:szCs w:val="28"/>
        </w:rPr>
        <w:t xml:space="preserve"> Komisijas piešķirtais finansējums dalībai Vienotajā rīcībā ORPHANET plānots Veselības ministrijas apakšprogrammā 70.07.00 „Citu Eiropas Kopienas projektu īstenošana</w:t>
      </w:r>
      <w:r w:rsidR="00213D2E" w:rsidRPr="00400699">
        <w:rPr>
          <w:rFonts w:ascii="Times New Roman" w:hAnsi="Times New Roman" w:cs="Times New Roman"/>
          <w:sz w:val="28"/>
          <w:szCs w:val="28"/>
        </w:rPr>
        <w:t xml:space="preserve">”, kurā tiks </w:t>
      </w:r>
      <w:r w:rsidR="00F139E9" w:rsidRPr="00400699">
        <w:rPr>
          <w:rFonts w:ascii="Times New Roman" w:hAnsi="Times New Roman" w:cs="Times New Roman"/>
          <w:sz w:val="28"/>
          <w:szCs w:val="28"/>
        </w:rPr>
        <w:t xml:space="preserve">iekļauti </w:t>
      </w:r>
      <w:r w:rsidR="00213D2E" w:rsidRPr="00400699">
        <w:rPr>
          <w:rFonts w:ascii="Times New Roman" w:hAnsi="Times New Roman" w:cs="Times New Roman"/>
          <w:sz w:val="28"/>
          <w:szCs w:val="28"/>
        </w:rPr>
        <w:t>arī papildus valsts budžeta līdzekļi līdzfinansējuma daļas nodrošināšanai 2013. un 2014.gadā. Vienotās rīcības ORPHANET realizācijā iesaistīto darbinieku atlīdzības daļa, kas tika nodrošināta kā līdzfinansējums, līdz 2012.gada 31.martam tika nodrošināta no programmas 45.00.00 „Ārstniecības finansējuma nodrošināšana”, no 2012.gada 1.aprīļa līdz 31.decembrim – no apakšprogrammas 39.01.00 „Infekcijas slimību specifiskā diagnostika, ārstēšana un  profilakse”, bet 2013.gadā tika nodrošināta no apakšprogrammas 46.03.00 „Slimību profilakses nodrošināšana”.</w:t>
      </w:r>
      <w:r w:rsidR="00C36A5A">
        <w:rPr>
          <w:rFonts w:ascii="Times New Roman" w:hAnsi="Times New Roman" w:cs="Times New Roman"/>
          <w:sz w:val="28"/>
          <w:szCs w:val="28"/>
        </w:rPr>
        <w:t xml:space="preserve"> Veselības ministrija atbilstoši normatīvajos aktos noteiktajam iesniegs Finanšu ministrijai priekšlikumu  </w:t>
      </w:r>
      <w:r w:rsidR="008E52F5" w:rsidRPr="008E52F5">
        <w:rPr>
          <w:rFonts w:ascii="Times New Roman" w:hAnsi="Times New Roman" w:cs="Times New Roman"/>
          <w:sz w:val="28"/>
          <w:szCs w:val="28"/>
        </w:rPr>
        <w:t>apropriācijas pārdale</w:t>
      </w:r>
      <w:r w:rsidR="00C36A5A">
        <w:rPr>
          <w:rFonts w:ascii="Times New Roman" w:hAnsi="Times New Roman" w:cs="Times New Roman"/>
          <w:sz w:val="28"/>
          <w:szCs w:val="28"/>
        </w:rPr>
        <w:t>i</w:t>
      </w:r>
      <w:r w:rsidR="008E52F5" w:rsidRPr="008E52F5">
        <w:rPr>
          <w:rFonts w:ascii="Times New Roman" w:hAnsi="Times New Roman" w:cs="Times New Roman"/>
          <w:sz w:val="28"/>
          <w:szCs w:val="28"/>
        </w:rPr>
        <w:t xml:space="preserve"> starp budžeta apakšprogrammu 46.03.00 </w:t>
      </w:r>
      <w:r w:rsidR="00DE72D9" w:rsidRPr="00400699">
        <w:rPr>
          <w:rFonts w:ascii="Times New Roman" w:hAnsi="Times New Roman" w:cs="Times New Roman"/>
          <w:sz w:val="28"/>
          <w:szCs w:val="28"/>
        </w:rPr>
        <w:t>„Slimību profilakses nodrošināšana”</w:t>
      </w:r>
      <w:r w:rsidR="008E52F5" w:rsidRPr="008E52F5">
        <w:rPr>
          <w:rFonts w:ascii="Times New Roman" w:hAnsi="Times New Roman" w:cs="Times New Roman"/>
          <w:sz w:val="28"/>
          <w:szCs w:val="28"/>
        </w:rPr>
        <w:t xml:space="preserve"> un 70.07.00</w:t>
      </w:r>
      <w:r w:rsidR="00DE72D9">
        <w:rPr>
          <w:rFonts w:ascii="Times New Roman" w:hAnsi="Times New Roman" w:cs="Times New Roman"/>
          <w:sz w:val="28"/>
          <w:szCs w:val="28"/>
        </w:rPr>
        <w:t xml:space="preserve"> </w:t>
      </w:r>
      <w:r w:rsidR="00DE72D9" w:rsidRPr="00213D2E">
        <w:rPr>
          <w:rFonts w:ascii="Times New Roman" w:hAnsi="Times New Roman" w:cs="Times New Roman"/>
          <w:sz w:val="28"/>
          <w:szCs w:val="28"/>
        </w:rPr>
        <w:t>„Citu Eiropas Kopienas projektu īstenošana</w:t>
      </w:r>
      <w:r w:rsidR="00DE72D9" w:rsidRPr="00400699">
        <w:rPr>
          <w:rFonts w:ascii="Times New Roman" w:hAnsi="Times New Roman" w:cs="Times New Roman"/>
          <w:sz w:val="28"/>
          <w:szCs w:val="28"/>
        </w:rPr>
        <w:t>”</w:t>
      </w:r>
      <w:r w:rsidR="008E52F5" w:rsidRPr="008E52F5">
        <w:rPr>
          <w:rFonts w:ascii="Times New Roman" w:hAnsi="Times New Roman" w:cs="Times New Roman"/>
          <w:sz w:val="28"/>
          <w:szCs w:val="28"/>
        </w:rPr>
        <w:t xml:space="preserve"> 814 LVL apmērā</w:t>
      </w:r>
      <w:r w:rsidR="003D3DF9">
        <w:rPr>
          <w:rFonts w:ascii="Times New Roman" w:hAnsi="Times New Roman" w:cs="Times New Roman"/>
          <w:sz w:val="28"/>
          <w:szCs w:val="28"/>
        </w:rPr>
        <w:t xml:space="preserve"> par SPKC nodrošināto līdzfinansējumu no 2013.gada janvāra līdz aprīlim</w:t>
      </w:r>
      <w:r w:rsidR="008E52F5" w:rsidRPr="008E52F5">
        <w:rPr>
          <w:rFonts w:ascii="Times New Roman" w:hAnsi="Times New Roman" w:cs="Times New Roman"/>
          <w:sz w:val="28"/>
          <w:szCs w:val="28"/>
        </w:rPr>
        <w:t>.</w:t>
      </w:r>
    </w:p>
    <w:p w:rsidR="00EB152C" w:rsidRDefault="00D50F11" w:rsidP="00252F35">
      <w:pPr>
        <w:spacing w:after="0"/>
        <w:ind w:firstLine="720"/>
        <w:jc w:val="both"/>
        <w:rPr>
          <w:rFonts w:ascii="Times New Roman" w:hAnsi="Times New Roman" w:cs="Times New Roman"/>
          <w:sz w:val="28"/>
          <w:szCs w:val="28"/>
        </w:rPr>
      </w:pPr>
      <w:r w:rsidRPr="003969CF">
        <w:rPr>
          <w:rFonts w:ascii="Times New Roman" w:hAnsi="Times New Roman" w:cs="Times New Roman"/>
          <w:sz w:val="28"/>
          <w:szCs w:val="28"/>
        </w:rPr>
        <w:t xml:space="preserve">Sākotnēji (līdz 2011.gada 31.oktobrim) Vienotās rīcības ORPHANET realizācijā piedalījās Veselības </w:t>
      </w:r>
      <w:r>
        <w:rPr>
          <w:rFonts w:ascii="Times New Roman" w:hAnsi="Times New Roman" w:cs="Times New Roman"/>
          <w:sz w:val="28"/>
          <w:szCs w:val="28"/>
        </w:rPr>
        <w:t>ekonomikas</w:t>
      </w:r>
      <w:r w:rsidRPr="003969CF">
        <w:rPr>
          <w:rFonts w:ascii="Times New Roman" w:hAnsi="Times New Roman" w:cs="Times New Roman"/>
          <w:sz w:val="28"/>
          <w:szCs w:val="28"/>
        </w:rPr>
        <w:t xml:space="preserve"> centrs, no 2011.gada 1.novembra līdz 2012.gada 31.martam – Nacionālais veselības dienests, bet no 2012.gada 1.aprīļa iestāžu reorganizācijas rezultātā dalību pārņēma SPKC. Ņemot vērā krīzes laikā realizētos fiskālās disciplīnas pasākumus un samazināto finansējumu valsts pārvaldes iestādēm, Veselības </w:t>
      </w:r>
      <w:r>
        <w:rPr>
          <w:rFonts w:ascii="Times New Roman" w:hAnsi="Times New Roman" w:cs="Times New Roman"/>
          <w:sz w:val="28"/>
          <w:szCs w:val="28"/>
        </w:rPr>
        <w:t>ekonomikas</w:t>
      </w:r>
      <w:r w:rsidRPr="003969CF">
        <w:rPr>
          <w:rFonts w:ascii="Times New Roman" w:hAnsi="Times New Roman" w:cs="Times New Roman"/>
          <w:sz w:val="28"/>
          <w:szCs w:val="28"/>
        </w:rPr>
        <w:t xml:space="preserve"> centrs un Nacionālais veselības dienests dalību Vienotajā rīcībā realizēja nodrošinot piemaksas iesaistītajam personālam piešķirto budžeta līdzekļu pamatfunkciju nodrošināšanai ietvaros. Arī SPKC  Vienotās rīcības realizāciju pārņēma bez līdzfinansējuma līdzekļiem, tomēr ņemot vērā darbinieku noslogotību SPKC pamatfunkciju nodrošināšanai ir nepieciešams papildus finansējums piemaksu nodrošināšanai par papildus darbu Vienotās rīcības ietvaros, lai nodrošinātu iesaistīto darbinieku motivāciju un produktivitāti.</w:t>
      </w:r>
    </w:p>
    <w:p w:rsidR="008C50EB" w:rsidRDefault="008C50EB" w:rsidP="00252F35">
      <w:pPr>
        <w:spacing w:after="0"/>
        <w:ind w:firstLine="720"/>
        <w:jc w:val="both"/>
        <w:rPr>
          <w:rFonts w:ascii="Times New Roman" w:hAnsi="Times New Roman" w:cs="Times New Roman"/>
          <w:sz w:val="28"/>
          <w:szCs w:val="28"/>
        </w:rPr>
      </w:pPr>
    </w:p>
    <w:p w:rsidR="008C50EB" w:rsidRDefault="008C50EB" w:rsidP="00252F35">
      <w:pPr>
        <w:spacing w:after="0"/>
        <w:ind w:firstLine="720"/>
        <w:jc w:val="both"/>
        <w:rPr>
          <w:rFonts w:ascii="Times New Roman" w:hAnsi="Times New Roman" w:cs="Times New Roman"/>
          <w:sz w:val="28"/>
          <w:szCs w:val="28"/>
        </w:rPr>
      </w:pPr>
    </w:p>
    <w:p w:rsidR="008C50EB" w:rsidRDefault="008C50EB" w:rsidP="00252F35">
      <w:pPr>
        <w:spacing w:after="0"/>
        <w:ind w:firstLine="720"/>
        <w:jc w:val="both"/>
        <w:rPr>
          <w:rFonts w:ascii="Times New Roman" w:hAnsi="Times New Roman" w:cs="Times New Roman"/>
          <w:sz w:val="28"/>
          <w:szCs w:val="28"/>
        </w:rPr>
      </w:pPr>
    </w:p>
    <w:p w:rsidR="008C50EB" w:rsidRDefault="008C50EB" w:rsidP="00252F35">
      <w:pPr>
        <w:spacing w:after="0"/>
        <w:ind w:firstLine="720"/>
        <w:jc w:val="both"/>
        <w:rPr>
          <w:rFonts w:ascii="Times New Roman" w:hAnsi="Times New Roman" w:cs="Times New Roman"/>
          <w:sz w:val="28"/>
          <w:szCs w:val="28"/>
        </w:rPr>
      </w:pPr>
    </w:p>
    <w:p w:rsidR="00EC22F2" w:rsidRDefault="00EC22F2" w:rsidP="00252F35">
      <w:pPr>
        <w:spacing w:after="0"/>
        <w:ind w:firstLine="720"/>
        <w:jc w:val="both"/>
        <w:rPr>
          <w:rFonts w:ascii="Times New Roman" w:hAnsi="Times New Roman" w:cs="Times New Roman"/>
          <w:sz w:val="28"/>
          <w:szCs w:val="28"/>
        </w:rPr>
      </w:pPr>
    </w:p>
    <w:p w:rsidR="00EC22F2" w:rsidRPr="001B2DD4" w:rsidRDefault="00EC22F2" w:rsidP="00252F35">
      <w:pPr>
        <w:spacing w:after="0"/>
        <w:ind w:firstLine="720"/>
        <w:jc w:val="both"/>
        <w:rPr>
          <w:rFonts w:ascii="Times New Roman" w:hAnsi="Times New Roman" w:cs="Times New Roman"/>
          <w:color w:val="FF0000"/>
          <w:sz w:val="28"/>
          <w:szCs w:val="28"/>
        </w:rPr>
      </w:pPr>
    </w:p>
    <w:p w:rsidR="00587858" w:rsidRDefault="00587858" w:rsidP="00252F35">
      <w:pPr>
        <w:spacing w:after="0"/>
        <w:ind w:firstLine="720"/>
        <w:jc w:val="right"/>
        <w:rPr>
          <w:rFonts w:ascii="Times New Roman" w:hAnsi="Times New Roman" w:cs="Times New Roman"/>
          <w:sz w:val="28"/>
          <w:szCs w:val="28"/>
        </w:rPr>
      </w:pPr>
      <w:r w:rsidRPr="00252F35">
        <w:rPr>
          <w:rFonts w:ascii="Times New Roman" w:hAnsi="Times New Roman" w:cs="Times New Roman"/>
          <w:sz w:val="28"/>
          <w:szCs w:val="28"/>
        </w:rPr>
        <w:lastRenderedPageBreak/>
        <w:t>1.tabula</w:t>
      </w:r>
    </w:p>
    <w:p w:rsidR="00D50F11" w:rsidRPr="00252F35" w:rsidRDefault="00FF681D" w:rsidP="00252F35">
      <w:pPr>
        <w:spacing w:after="0"/>
        <w:ind w:firstLine="720"/>
        <w:jc w:val="center"/>
        <w:rPr>
          <w:rFonts w:ascii="Times New Roman" w:hAnsi="Times New Roman" w:cs="Times New Roman"/>
          <w:b/>
          <w:sz w:val="28"/>
          <w:szCs w:val="28"/>
        </w:rPr>
      </w:pPr>
      <w:r w:rsidRPr="00252F35">
        <w:rPr>
          <w:rFonts w:ascii="Times New Roman" w:hAnsi="Times New Roman" w:cs="Times New Roman"/>
          <w:b/>
          <w:sz w:val="28"/>
          <w:szCs w:val="28"/>
        </w:rPr>
        <w:t>Vienotās rīcības</w:t>
      </w:r>
      <w:r w:rsidR="00AA29FC">
        <w:rPr>
          <w:rFonts w:ascii="Times New Roman" w:hAnsi="Times New Roman" w:cs="Times New Roman"/>
          <w:b/>
          <w:sz w:val="28"/>
          <w:szCs w:val="28"/>
        </w:rPr>
        <w:t xml:space="preserve"> ORPHANET</w:t>
      </w:r>
      <w:r w:rsidRPr="00252F35">
        <w:rPr>
          <w:rFonts w:ascii="Times New Roman" w:hAnsi="Times New Roman" w:cs="Times New Roman"/>
          <w:b/>
          <w:sz w:val="28"/>
          <w:szCs w:val="28"/>
        </w:rPr>
        <w:t xml:space="preserve"> realizācijai plānotais finansējums</w:t>
      </w:r>
    </w:p>
    <w:tbl>
      <w:tblPr>
        <w:tblStyle w:val="TableGrid"/>
        <w:tblW w:w="0" w:type="auto"/>
        <w:jc w:val="center"/>
        <w:tblLook w:val="04A0"/>
      </w:tblPr>
      <w:tblGrid>
        <w:gridCol w:w="2098"/>
        <w:gridCol w:w="1503"/>
        <w:gridCol w:w="1401"/>
        <w:gridCol w:w="1502"/>
        <w:gridCol w:w="1503"/>
        <w:gridCol w:w="1280"/>
      </w:tblGrid>
      <w:tr w:rsidR="00DE75C1" w:rsidRPr="00252F35" w:rsidTr="00AE4F48">
        <w:trPr>
          <w:jc w:val="center"/>
        </w:trPr>
        <w:tc>
          <w:tcPr>
            <w:tcW w:w="2098" w:type="dxa"/>
          </w:tcPr>
          <w:p w:rsidR="00C67640" w:rsidRPr="00400699" w:rsidRDefault="00C67640" w:rsidP="00252F35">
            <w:pPr>
              <w:spacing w:line="276" w:lineRule="auto"/>
              <w:jc w:val="center"/>
              <w:rPr>
                <w:rFonts w:ascii="Times New Roman" w:hAnsi="Times New Roman" w:cs="Times New Roman"/>
                <w:sz w:val="26"/>
                <w:szCs w:val="26"/>
              </w:rPr>
            </w:pPr>
          </w:p>
        </w:tc>
        <w:tc>
          <w:tcPr>
            <w:tcW w:w="1503" w:type="dxa"/>
          </w:tcPr>
          <w:p w:rsidR="00C67640" w:rsidRPr="00400699" w:rsidRDefault="00C67640" w:rsidP="00252F35">
            <w:pPr>
              <w:spacing w:line="276" w:lineRule="auto"/>
              <w:jc w:val="center"/>
              <w:rPr>
                <w:rFonts w:ascii="Times New Roman" w:hAnsi="Times New Roman" w:cs="Times New Roman"/>
                <w:sz w:val="26"/>
                <w:szCs w:val="26"/>
              </w:rPr>
            </w:pPr>
            <w:r w:rsidRPr="00400699">
              <w:rPr>
                <w:rFonts w:ascii="Times New Roman" w:hAnsi="Times New Roman" w:cs="Times New Roman"/>
                <w:sz w:val="26"/>
                <w:szCs w:val="26"/>
              </w:rPr>
              <w:t>2011.gads</w:t>
            </w:r>
          </w:p>
        </w:tc>
        <w:tc>
          <w:tcPr>
            <w:tcW w:w="1401" w:type="dxa"/>
          </w:tcPr>
          <w:p w:rsidR="00C67640" w:rsidRPr="00400699" w:rsidRDefault="00C67640" w:rsidP="00252F35">
            <w:pPr>
              <w:spacing w:line="276" w:lineRule="auto"/>
              <w:jc w:val="center"/>
              <w:rPr>
                <w:rFonts w:ascii="Times New Roman" w:hAnsi="Times New Roman" w:cs="Times New Roman"/>
                <w:sz w:val="26"/>
                <w:szCs w:val="26"/>
              </w:rPr>
            </w:pPr>
            <w:r w:rsidRPr="00400699">
              <w:rPr>
                <w:rFonts w:ascii="Times New Roman" w:hAnsi="Times New Roman" w:cs="Times New Roman"/>
                <w:sz w:val="26"/>
                <w:szCs w:val="26"/>
              </w:rPr>
              <w:t>2012.gads</w:t>
            </w:r>
          </w:p>
        </w:tc>
        <w:tc>
          <w:tcPr>
            <w:tcW w:w="1502" w:type="dxa"/>
          </w:tcPr>
          <w:p w:rsidR="00C67640" w:rsidRPr="00400699" w:rsidRDefault="00C67640" w:rsidP="00252F35">
            <w:pPr>
              <w:spacing w:line="276" w:lineRule="auto"/>
              <w:jc w:val="center"/>
              <w:rPr>
                <w:rFonts w:ascii="Times New Roman" w:hAnsi="Times New Roman" w:cs="Times New Roman"/>
                <w:sz w:val="26"/>
                <w:szCs w:val="26"/>
              </w:rPr>
            </w:pPr>
            <w:r w:rsidRPr="00400699">
              <w:rPr>
                <w:rFonts w:ascii="Times New Roman" w:hAnsi="Times New Roman" w:cs="Times New Roman"/>
                <w:sz w:val="26"/>
                <w:szCs w:val="26"/>
              </w:rPr>
              <w:t>2013.gads</w:t>
            </w:r>
          </w:p>
        </w:tc>
        <w:tc>
          <w:tcPr>
            <w:tcW w:w="1503" w:type="dxa"/>
          </w:tcPr>
          <w:p w:rsidR="00C67640" w:rsidRPr="00400699" w:rsidRDefault="00C67640" w:rsidP="00252F35">
            <w:pPr>
              <w:spacing w:line="276" w:lineRule="auto"/>
              <w:jc w:val="center"/>
              <w:rPr>
                <w:rFonts w:ascii="Times New Roman" w:hAnsi="Times New Roman" w:cs="Times New Roman"/>
                <w:sz w:val="26"/>
                <w:szCs w:val="26"/>
              </w:rPr>
            </w:pPr>
            <w:r w:rsidRPr="00400699">
              <w:rPr>
                <w:rFonts w:ascii="Times New Roman" w:hAnsi="Times New Roman" w:cs="Times New Roman"/>
                <w:sz w:val="26"/>
                <w:szCs w:val="26"/>
              </w:rPr>
              <w:t>2014.gads</w:t>
            </w:r>
          </w:p>
        </w:tc>
        <w:tc>
          <w:tcPr>
            <w:tcW w:w="1280" w:type="dxa"/>
          </w:tcPr>
          <w:p w:rsidR="00C67640" w:rsidRPr="00400699" w:rsidRDefault="00C67640" w:rsidP="00252F35">
            <w:pPr>
              <w:spacing w:line="276" w:lineRule="auto"/>
              <w:jc w:val="center"/>
              <w:rPr>
                <w:rFonts w:ascii="Times New Roman" w:hAnsi="Times New Roman" w:cs="Times New Roman"/>
                <w:b/>
                <w:sz w:val="26"/>
                <w:szCs w:val="26"/>
              </w:rPr>
            </w:pPr>
            <w:r w:rsidRPr="00400699">
              <w:rPr>
                <w:rFonts w:ascii="Times New Roman" w:hAnsi="Times New Roman" w:cs="Times New Roman"/>
                <w:b/>
                <w:sz w:val="26"/>
                <w:szCs w:val="26"/>
              </w:rPr>
              <w:t>KOPĀ</w:t>
            </w:r>
          </w:p>
        </w:tc>
      </w:tr>
      <w:tr w:rsidR="00DE75C1" w:rsidRPr="00252F35" w:rsidTr="00AE4F48">
        <w:trPr>
          <w:jc w:val="center"/>
        </w:trPr>
        <w:tc>
          <w:tcPr>
            <w:tcW w:w="2098" w:type="dxa"/>
          </w:tcPr>
          <w:p w:rsidR="00C67640" w:rsidRPr="00400699" w:rsidRDefault="00952C7D" w:rsidP="00252F35">
            <w:pPr>
              <w:spacing w:line="276" w:lineRule="auto"/>
              <w:rPr>
                <w:rFonts w:ascii="Times New Roman" w:hAnsi="Times New Roman" w:cs="Times New Roman"/>
                <w:sz w:val="26"/>
                <w:szCs w:val="26"/>
              </w:rPr>
            </w:pPr>
            <w:r w:rsidRPr="00400699">
              <w:rPr>
                <w:rFonts w:ascii="Times New Roman" w:hAnsi="Times New Roman" w:cs="Times New Roman"/>
                <w:sz w:val="26"/>
                <w:szCs w:val="26"/>
              </w:rPr>
              <w:t>Eiropas Komisijas finansējums</w:t>
            </w:r>
          </w:p>
        </w:tc>
        <w:tc>
          <w:tcPr>
            <w:tcW w:w="1503" w:type="dxa"/>
            <w:vAlign w:val="center"/>
          </w:tcPr>
          <w:p w:rsidR="00C67640" w:rsidRPr="00400699" w:rsidRDefault="004C5DA8" w:rsidP="007A6820">
            <w:pPr>
              <w:spacing w:line="276" w:lineRule="auto"/>
              <w:jc w:val="right"/>
              <w:rPr>
                <w:rFonts w:ascii="Times New Roman" w:hAnsi="Times New Roman" w:cs="Times New Roman"/>
                <w:sz w:val="26"/>
                <w:szCs w:val="26"/>
              </w:rPr>
            </w:pPr>
            <w:r w:rsidRPr="00400699">
              <w:rPr>
                <w:rFonts w:ascii="Times New Roman" w:hAnsi="Times New Roman" w:cs="Times New Roman"/>
                <w:sz w:val="26"/>
                <w:szCs w:val="26"/>
              </w:rPr>
              <w:t>1 261</w:t>
            </w:r>
          </w:p>
        </w:tc>
        <w:tc>
          <w:tcPr>
            <w:tcW w:w="1401" w:type="dxa"/>
            <w:vAlign w:val="center"/>
          </w:tcPr>
          <w:p w:rsidR="00C67640" w:rsidRPr="00400699" w:rsidRDefault="001670F8" w:rsidP="007A6820">
            <w:pPr>
              <w:spacing w:line="276" w:lineRule="auto"/>
              <w:jc w:val="right"/>
              <w:rPr>
                <w:rFonts w:ascii="Times New Roman" w:hAnsi="Times New Roman" w:cs="Times New Roman"/>
                <w:sz w:val="26"/>
                <w:szCs w:val="26"/>
              </w:rPr>
            </w:pPr>
            <w:r w:rsidRPr="00400699">
              <w:rPr>
                <w:rFonts w:ascii="Times New Roman" w:hAnsi="Times New Roman" w:cs="Times New Roman"/>
                <w:sz w:val="26"/>
                <w:szCs w:val="26"/>
              </w:rPr>
              <w:t>3 216</w:t>
            </w:r>
          </w:p>
        </w:tc>
        <w:tc>
          <w:tcPr>
            <w:tcW w:w="1502" w:type="dxa"/>
            <w:vAlign w:val="center"/>
          </w:tcPr>
          <w:p w:rsidR="00C67640" w:rsidRPr="00400699" w:rsidRDefault="001670F8" w:rsidP="007A6820">
            <w:pPr>
              <w:spacing w:line="276" w:lineRule="auto"/>
              <w:jc w:val="right"/>
              <w:rPr>
                <w:rFonts w:ascii="Times New Roman" w:hAnsi="Times New Roman" w:cs="Times New Roman"/>
                <w:sz w:val="26"/>
                <w:szCs w:val="26"/>
              </w:rPr>
            </w:pPr>
            <w:r w:rsidRPr="00400699">
              <w:rPr>
                <w:rFonts w:ascii="Times New Roman" w:hAnsi="Times New Roman" w:cs="Times New Roman"/>
                <w:sz w:val="26"/>
                <w:szCs w:val="26"/>
              </w:rPr>
              <w:t>1 649</w:t>
            </w:r>
          </w:p>
        </w:tc>
        <w:tc>
          <w:tcPr>
            <w:tcW w:w="1503" w:type="dxa"/>
            <w:vAlign w:val="center"/>
          </w:tcPr>
          <w:p w:rsidR="00C67640" w:rsidRPr="00400699" w:rsidRDefault="001670F8" w:rsidP="007A6820">
            <w:pPr>
              <w:spacing w:line="276" w:lineRule="auto"/>
              <w:jc w:val="right"/>
              <w:rPr>
                <w:rFonts w:ascii="Times New Roman" w:hAnsi="Times New Roman" w:cs="Times New Roman"/>
                <w:sz w:val="26"/>
                <w:szCs w:val="26"/>
              </w:rPr>
            </w:pPr>
            <w:r w:rsidRPr="00400699">
              <w:rPr>
                <w:rFonts w:ascii="Times New Roman" w:hAnsi="Times New Roman" w:cs="Times New Roman"/>
                <w:sz w:val="26"/>
                <w:szCs w:val="26"/>
              </w:rPr>
              <w:t>596</w:t>
            </w:r>
          </w:p>
        </w:tc>
        <w:tc>
          <w:tcPr>
            <w:tcW w:w="1280" w:type="dxa"/>
            <w:vAlign w:val="center"/>
          </w:tcPr>
          <w:p w:rsidR="00C67640" w:rsidRPr="00400699" w:rsidRDefault="004C5DA8" w:rsidP="007A6820">
            <w:pPr>
              <w:spacing w:line="276" w:lineRule="auto"/>
              <w:jc w:val="right"/>
              <w:rPr>
                <w:rFonts w:ascii="Times New Roman" w:hAnsi="Times New Roman" w:cs="Times New Roman"/>
                <w:b/>
                <w:sz w:val="26"/>
                <w:szCs w:val="26"/>
              </w:rPr>
            </w:pPr>
            <w:r w:rsidRPr="00400699">
              <w:rPr>
                <w:rFonts w:ascii="Times New Roman" w:hAnsi="Times New Roman" w:cs="Times New Roman"/>
                <w:b/>
                <w:sz w:val="26"/>
                <w:szCs w:val="26"/>
              </w:rPr>
              <w:t>6 722</w:t>
            </w:r>
          </w:p>
        </w:tc>
      </w:tr>
      <w:tr w:rsidR="00DE75C1" w:rsidRPr="00252F35" w:rsidTr="00AE4F48">
        <w:trPr>
          <w:jc w:val="center"/>
        </w:trPr>
        <w:tc>
          <w:tcPr>
            <w:tcW w:w="2098" w:type="dxa"/>
          </w:tcPr>
          <w:p w:rsidR="00AE4F48" w:rsidRPr="00400699" w:rsidRDefault="00AE4F48" w:rsidP="00252F35">
            <w:pPr>
              <w:spacing w:line="276" w:lineRule="auto"/>
              <w:rPr>
                <w:rFonts w:ascii="Times New Roman" w:hAnsi="Times New Roman" w:cs="Times New Roman"/>
                <w:sz w:val="26"/>
                <w:szCs w:val="26"/>
              </w:rPr>
            </w:pPr>
            <w:r w:rsidRPr="00400699">
              <w:rPr>
                <w:rFonts w:ascii="Times New Roman" w:hAnsi="Times New Roman" w:cs="Times New Roman"/>
                <w:sz w:val="26"/>
                <w:szCs w:val="26"/>
              </w:rPr>
              <w:t>Līdzfinansējums kopā</w:t>
            </w:r>
            <w:r w:rsidR="00A36580" w:rsidRPr="00400699">
              <w:rPr>
                <w:rFonts w:ascii="Times New Roman" w:hAnsi="Times New Roman" w:cs="Times New Roman"/>
                <w:sz w:val="26"/>
                <w:szCs w:val="26"/>
              </w:rPr>
              <w:t>, t.sk.:</w:t>
            </w:r>
          </w:p>
        </w:tc>
        <w:tc>
          <w:tcPr>
            <w:tcW w:w="1503" w:type="dxa"/>
            <w:vAlign w:val="center"/>
          </w:tcPr>
          <w:p w:rsidR="00AE4F48" w:rsidRPr="00400699" w:rsidRDefault="00AE4F48" w:rsidP="007A6820">
            <w:pPr>
              <w:spacing w:line="276" w:lineRule="auto"/>
              <w:jc w:val="right"/>
              <w:rPr>
                <w:rFonts w:ascii="Times New Roman" w:hAnsi="Times New Roman" w:cs="Times New Roman"/>
                <w:sz w:val="26"/>
                <w:szCs w:val="26"/>
              </w:rPr>
            </w:pPr>
            <w:r w:rsidRPr="00400699">
              <w:rPr>
                <w:rFonts w:ascii="Times New Roman" w:hAnsi="Times New Roman" w:cs="Times New Roman"/>
                <w:sz w:val="26"/>
                <w:szCs w:val="26"/>
              </w:rPr>
              <w:t>-</w:t>
            </w:r>
          </w:p>
        </w:tc>
        <w:tc>
          <w:tcPr>
            <w:tcW w:w="1401" w:type="dxa"/>
            <w:vAlign w:val="center"/>
          </w:tcPr>
          <w:p w:rsidR="00AE4F48" w:rsidRPr="00400699" w:rsidRDefault="00AE4F48" w:rsidP="007A6820">
            <w:pPr>
              <w:spacing w:line="276" w:lineRule="auto"/>
              <w:jc w:val="right"/>
              <w:rPr>
                <w:rFonts w:ascii="Times New Roman" w:hAnsi="Times New Roman" w:cs="Times New Roman"/>
                <w:sz w:val="26"/>
                <w:szCs w:val="26"/>
              </w:rPr>
            </w:pPr>
            <w:r w:rsidRPr="00400699">
              <w:rPr>
                <w:rFonts w:ascii="Times New Roman" w:hAnsi="Times New Roman" w:cs="Times New Roman"/>
                <w:sz w:val="26"/>
                <w:szCs w:val="26"/>
              </w:rPr>
              <w:t>2 429</w:t>
            </w:r>
          </w:p>
        </w:tc>
        <w:tc>
          <w:tcPr>
            <w:tcW w:w="1502" w:type="dxa"/>
            <w:vAlign w:val="center"/>
          </w:tcPr>
          <w:p w:rsidR="00AE4F48" w:rsidRPr="00400699" w:rsidRDefault="007A6820" w:rsidP="007A6820">
            <w:pPr>
              <w:spacing w:line="276" w:lineRule="auto"/>
              <w:jc w:val="right"/>
              <w:rPr>
                <w:rFonts w:ascii="Times New Roman" w:hAnsi="Times New Roman" w:cs="Times New Roman"/>
                <w:sz w:val="26"/>
                <w:szCs w:val="26"/>
              </w:rPr>
            </w:pPr>
            <w:r w:rsidRPr="00400699">
              <w:rPr>
                <w:rFonts w:ascii="Times New Roman" w:hAnsi="Times New Roman" w:cs="Times New Roman"/>
                <w:sz w:val="26"/>
                <w:szCs w:val="26"/>
              </w:rPr>
              <w:t>2 429</w:t>
            </w:r>
          </w:p>
        </w:tc>
        <w:tc>
          <w:tcPr>
            <w:tcW w:w="1503" w:type="dxa"/>
            <w:vAlign w:val="center"/>
          </w:tcPr>
          <w:p w:rsidR="00AE4F48" w:rsidRPr="00400699" w:rsidRDefault="00AE4F48" w:rsidP="007A6820">
            <w:pPr>
              <w:spacing w:line="276" w:lineRule="auto"/>
              <w:jc w:val="right"/>
              <w:rPr>
                <w:rFonts w:ascii="Times New Roman" w:hAnsi="Times New Roman" w:cs="Times New Roman"/>
                <w:sz w:val="26"/>
                <w:szCs w:val="26"/>
              </w:rPr>
            </w:pPr>
            <w:r w:rsidRPr="00400699">
              <w:rPr>
                <w:rFonts w:ascii="Times New Roman" w:hAnsi="Times New Roman" w:cs="Times New Roman"/>
                <w:sz w:val="26"/>
                <w:szCs w:val="26"/>
              </w:rPr>
              <w:t>2 430</w:t>
            </w:r>
          </w:p>
        </w:tc>
        <w:tc>
          <w:tcPr>
            <w:tcW w:w="1280" w:type="dxa"/>
            <w:vAlign w:val="center"/>
          </w:tcPr>
          <w:p w:rsidR="00AE4F48" w:rsidRPr="00400699" w:rsidRDefault="00AE4F48" w:rsidP="007A6820">
            <w:pPr>
              <w:spacing w:line="276" w:lineRule="auto"/>
              <w:jc w:val="right"/>
              <w:rPr>
                <w:rFonts w:ascii="Times New Roman" w:hAnsi="Times New Roman" w:cs="Times New Roman"/>
                <w:b/>
                <w:sz w:val="26"/>
                <w:szCs w:val="26"/>
              </w:rPr>
            </w:pPr>
            <w:r w:rsidRPr="00400699">
              <w:rPr>
                <w:rFonts w:ascii="Times New Roman" w:hAnsi="Times New Roman" w:cs="Times New Roman"/>
                <w:b/>
                <w:sz w:val="26"/>
                <w:szCs w:val="26"/>
              </w:rPr>
              <w:t>7 288</w:t>
            </w:r>
          </w:p>
        </w:tc>
      </w:tr>
      <w:tr w:rsidR="00DE75C1" w:rsidRPr="00252F35" w:rsidTr="00AE4F48">
        <w:trPr>
          <w:jc w:val="center"/>
        </w:trPr>
        <w:tc>
          <w:tcPr>
            <w:tcW w:w="2098" w:type="dxa"/>
          </w:tcPr>
          <w:p w:rsidR="00C67640" w:rsidRPr="00400699" w:rsidRDefault="00DE75C1" w:rsidP="00DE75C1">
            <w:pPr>
              <w:spacing w:line="276" w:lineRule="auto"/>
              <w:rPr>
                <w:rFonts w:ascii="Times New Roman" w:hAnsi="Times New Roman" w:cs="Times New Roman"/>
                <w:sz w:val="26"/>
                <w:szCs w:val="26"/>
              </w:rPr>
            </w:pPr>
            <w:r w:rsidRPr="00400699">
              <w:rPr>
                <w:rFonts w:ascii="Times New Roman" w:hAnsi="Times New Roman" w:cs="Times New Roman"/>
                <w:sz w:val="26"/>
                <w:szCs w:val="26"/>
              </w:rPr>
              <w:t>Nodrošinātā l</w:t>
            </w:r>
            <w:r w:rsidR="00AE1E7A" w:rsidRPr="00400699">
              <w:rPr>
                <w:rFonts w:ascii="Times New Roman" w:hAnsi="Times New Roman" w:cs="Times New Roman"/>
                <w:sz w:val="26"/>
                <w:szCs w:val="26"/>
              </w:rPr>
              <w:t>īdzfinansējuma daļa (atlīdzība)</w:t>
            </w:r>
            <w:r w:rsidR="00675091" w:rsidRPr="00400699">
              <w:rPr>
                <w:rFonts w:ascii="Times New Roman" w:hAnsi="Times New Roman" w:cs="Times New Roman"/>
                <w:sz w:val="26"/>
                <w:szCs w:val="26"/>
              </w:rPr>
              <w:t>, t.sk.:</w:t>
            </w:r>
          </w:p>
        </w:tc>
        <w:tc>
          <w:tcPr>
            <w:tcW w:w="1503" w:type="dxa"/>
            <w:vAlign w:val="center"/>
          </w:tcPr>
          <w:p w:rsidR="00C67640" w:rsidRPr="00400699" w:rsidRDefault="00DE2121" w:rsidP="007A6820">
            <w:pPr>
              <w:spacing w:line="276" w:lineRule="auto"/>
              <w:jc w:val="right"/>
              <w:rPr>
                <w:rFonts w:ascii="Times New Roman" w:hAnsi="Times New Roman" w:cs="Times New Roman"/>
                <w:sz w:val="26"/>
                <w:szCs w:val="26"/>
              </w:rPr>
            </w:pPr>
            <w:r w:rsidRPr="00400699">
              <w:rPr>
                <w:rFonts w:ascii="Times New Roman" w:hAnsi="Times New Roman" w:cs="Times New Roman"/>
                <w:sz w:val="26"/>
                <w:szCs w:val="26"/>
              </w:rPr>
              <w:t>-</w:t>
            </w:r>
          </w:p>
        </w:tc>
        <w:tc>
          <w:tcPr>
            <w:tcW w:w="1401" w:type="dxa"/>
            <w:vAlign w:val="center"/>
          </w:tcPr>
          <w:p w:rsidR="00C67640" w:rsidRPr="00400699" w:rsidRDefault="001670F8" w:rsidP="007A6820">
            <w:pPr>
              <w:spacing w:line="276" w:lineRule="auto"/>
              <w:jc w:val="right"/>
              <w:rPr>
                <w:rFonts w:ascii="Times New Roman" w:hAnsi="Times New Roman" w:cs="Times New Roman"/>
                <w:sz w:val="26"/>
                <w:szCs w:val="26"/>
              </w:rPr>
            </w:pPr>
            <w:r w:rsidRPr="00400699">
              <w:rPr>
                <w:rFonts w:ascii="Times New Roman" w:hAnsi="Times New Roman" w:cs="Times New Roman"/>
                <w:sz w:val="26"/>
                <w:szCs w:val="26"/>
              </w:rPr>
              <w:t>2 429</w:t>
            </w:r>
          </w:p>
        </w:tc>
        <w:tc>
          <w:tcPr>
            <w:tcW w:w="1502" w:type="dxa"/>
            <w:vAlign w:val="center"/>
          </w:tcPr>
          <w:p w:rsidR="00C67640" w:rsidRPr="00400699" w:rsidRDefault="007A6820" w:rsidP="00996182">
            <w:pPr>
              <w:spacing w:line="276" w:lineRule="auto"/>
              <w:jc w:val="right"/>
              <w:rPr>
                <w:rFonts w:ascii="Times New Roman" w:hAnsi="Times New Roman" w:cs="Times New Roman"/>
                <w:sz w:val="26"/>
                <w:szCs w:val="26"/>
              </w:rPr>
            </w:pPr>
            <w:r w:rsidRPr="00400699">
              <w:rPr>
                <w:rFonts w:ascii="Times New Roman" w:hAnsi="Times New Roman" w:cs="Times New Roman"/>
                <w:sz w:val="26"/>
                <w:szCs w:val="26"/>
              </w:rPr>
              <w:t>81</w:t>
            </w:r>
            <w:r w:rsidR="00996182">
              <w:rPr>
                <w:rFonts w:ascii="Times New Roman" w:hAnsi="Times New Roman" w:cs="Times New Roman"/>
                <w:sz w:val="26"/>
                <w:szCs w:val="26"/>
              </w:rPr>
              <w:t>4</w:t>
            </w:r>
          </w:p>
        </w:tc>
        <w:tc>
          <w:tcPr>
            <w:tcW w:w="1503" w:type="dxa"/>
            <w:vAlign w:val="center"/>
          </w:tcPr>
          <w:p w:rsidR="00C67640" w:rsidRPr="00400699" w:rsidRDefault="00DE2121" w:rsidP="007A6820">
            <w:pPr>
              <w:spacing w:line="276" w:lineRule="auto"/>
              <w:jc w:val="right"/>
              <w:rPr>
                <w:rFonts w:ascii="Times New Roman" w:hAnsi="Times New Roman" w:cs="Times New Roman"/>
                <w:sz w:val="26"/>
                <w:szCs w:val="26"/>
              </w:rPr>
            </w:pPr>
            <w:r w:rsidRPr="00400699">
              <w:rPr>
                <w:rFonts w:ascii="Times New Roman" w:hAnsi="Times New Roman" w:cs="Times New Roman"/>
                <w:sz w:val="26"/>
                <w:szCs w:val="26"/>
              </w:rPr>
              <w:t>-</w:t>
            </w:r>
          </w:p>
        </w:tc>
        <w:tc>
          <w:tcPr>
            <w:tcW w:w="1280" w:type="dxa"/>
            <w:vAlign w:val="center"/>
          </w:tcPr>
          <w:p w:rsidR="00C67640" w:rsidRPr="00400699" w:rsidRDefault="007A6820" w:rsidP="00996182">
            <w:pPr>
              <w:spacing w:line="276" w:lineRule="auto"/>
              <w:jc w:val="right"/>
              <w:rPr>
                <w:rFonts w:ascii="Times New Roman" w:hAnsi="Times New Roman" w:cs="Times New Roman"/>
                <w:b/>
                <w:sz w:val="26"/>
                <w:szCs w:val="26"/>
              </w:rPr>
            </w:pPr>
            <w:r w:rsidRPr="00400699">
              <w:rPr>
                <w:rFonts w:ascii="Times New Roman" w:hAnsi="Times New Roman" w:cs="Times New Roman"/>
                <w:b/>
                <w:sz w:val="26"/>
                <w:szCs w:val="26"/>
              </w:rPr>
              <w:t>3 24</w:t>
            </w:r>
            <w:r w:rsidR="00996182">
              <w:rPr>
                <w:rFonts w:ascii="Times New Roman" w:hAnsi="Times New Roman" w:cs="Times New Roman"/>
                <w:b/>
                <w:sz w:val="26"/>
                <w:szCs w:val="26"/>
              </w:rPr>
              <w:t>3</w:t>
            </w:r>
          </w:p>
        </w:tc>
      </w:tr>
      <w:tr w:rsidR="00DE75C1" w:rsidRPr="00252F35" w:rsidTr="00AE4F48">
        <w:trPr>
          <w:jc w:val="center"/>
        </w:trPr>
        <w:tc>
          <w:tcPr>
            <w:tcW w:w="2098" w:type="dxa"/>
          </w:tcPr>
          <w:p w:rsidR="00675091" w:rsidRPr="00400699" w:rsidRDefault="00DE75C1" w:rsidP="00744E37">
            <w:pPr>
              <w:jc w:val="right"/>
              <w:rPr>
                <w:rFonts w:ascii="Times New Roman" w:hAnsi="Times New Roman" w:cs="Times New Roman"/>
                <w:sz w:val="26"/>
                <w:szCs w:val="26"/>
              </w:rPr>
            </w:pPr>
            <w:r w:rsidRPr="00400699">
              <w:rPr>
                <w:rFonts w:ascii="Times New Roman" w:hAnsi="Times New Roman" w:cs="Times New Roman"/>
                <w:sz w:val="26"/>
                <w:szCs w:val="26"/>
              </w:rPr>
              <w:t>Nodrošinātā l</w:t>
            </w:r>
            <w:r w:rsidR="00675091" w:rsidRPr="00400699">
              <w:rPr>
                <w:rFonts w:ascii="Times New Roman" w:hAnsi="Times New Roman" w:cs="Times New Roman"/>
                <w:sz w:val="26"/>
                <w:szCs w:val="26"/>
              </w:rPr>
              <w:t>īdzfinansējuma daļa (atalgojums)</w:t>
            </w:r>
          </w:p>
        </w:tc>
        <w:tc>
          <w:tcPr>
            <w:tcW w:w="1503" w:type="dxa"/>
            <w:vAlign w:val="center"/>
          </w:tcPr>
          <w:p w:rsidR="00675091" w:rsidRPr="00400699" w:rsidRDefault="00675091" w:rsidP="007A6820">
            <w:pPr>
              <w:jc w:val="right"/>
              <w:rPr>
                <w:rFonts w:ascii="Times New Roman" w:hAnsi="Times New Roman" w:cs="Times New Roman"/>
                <w:sz w:val="26"/>
                <w:szCs w:val="26"/>
              </w:rPr>
            </w:pPr>
            <w:r w:rsidRPr="00400699">
              <w:rPr>
                <w:rFonts w:ascii="Times New Roman" w:hAnsi="Times New Roman" w:cs="Times New Roman"/>
                <w:sz w:val="26"/>
                <w:szCs w:val="26"/>
              </w:rPr>
              <w:t>-</w:t>
            </w:r>
          </w:p>
        </w:tc>
        <w:tc>
          <w:tcPr>
            <w:tcW w:w="1401" w:type="dxa"/>
            <w:vAlign w:val="center"/>
          </w:tcPr>
          <w:p w:rsidR="00675091" w:rsidRPr="00400699" w:rsidRDefault="00675091" w:rsidP="007A6820">
            <w:pPr>
              <w:jc w:val="right"/>
              <w:rPr>
                <w:rFonts w:ascii="Times New Roman" w:hAnsi="Times New Roman" w:cs="Times New Roman"/>
                <w:sz w:val="26"/>
                <w:szCs w:val="26"/>
              </w:rPr>
            </w:pPr>
            <w:r w:rsidRPr="00400699">
              <w:rPr>
                <w:rFonts w:ascii="Times New Roman" w:hAnsi="Times New Roman" w:cs="Times New Roman"/>
                <w:sz w:val="26"/>
                <w:szCs w:val="26"/>
              </w:rPr>
              <w:t>1 957</w:t>
            </w:r>
          </w:p>
        </w:tc>
        <w:tc>
          <w:tcPr>
            <w:tcW w:w="1502" w:type="dxa"/>
            <w:vAlign w:val="center"/>
          </w:tcPr>
          <w:p w:rsidR="00675091" w:rsidRPr="00400699" w:rsidRDefault="00675091" w:rsidP="00996182">
            <w:pPr>
              <w:jc w:val="right"/>
              <w:rPr>
                <w:rFonts w:ascii="Times New Roman" w:hAnsi="Times New Roman" w:cs="Times New Roman"/>
                <w:sz w:val="26"/>
                <w:szCs w:val="26"/>
              </w:rPr>
            </w:pPr>
            <w:r w:rsidRPr="00400699">
              <w:rPr>
                <w:rFonts w:ascii="Times New Roman" w:hAnsi="Times New Roman" w:cs="Times New Roman"/>
                <w:sz w:val="26"/>
                <w:szCs w:val="26"/>
              </w:rPr>
              <w:t>65</w:t>
            </w:r>
            <w:r w:rsidR="00996182">
              <w:rPr>
                <w:rFonts w:ascii="Times New Roman" w:hAnsi="Times New Roman" w:cs="Times New Roman"/>
                <w:sz w:val="26"/>
                <w:szCs w:val="26"/>
              </w:rPr>
              <w:t>6</w:t>
            </w:r>
          </w:p>
        </w:tc>
        <w:tc>
          <w:tcPr>
            <w:tcW w:w="1503" w:type="dxa"/>
            <w:vAlign w:val="center"/>
          </w:tcPr>
          <w:p w:rsidR="00675091" w:rsidRPr="00400699" w:rsidRDefault="00675091" w:rsidP="007A6820">
            <w:pPr>
              <w:jc w:val="right"/>
              <w:rPr>
                <w:rFonts w:ascii="Times New Roman" w:hAnsi="Times New Roman" w:cs="Times New Roman"/>
                <w:sz w:val="26"/>
                <w:szCs w:val="26"/>
              </w:rPr>
            </w:pPr>
            <w:r w:rsidRPr="00400699">
              <w:rPr>
                <w:rFonts w:ascii="Times New Roman" w:hAnsi="Times New Roman" w:cs="Times New Roman"/>
                <w:sz w:val="26"/>
                <w:szCs w:val="26"/>
              </w:rPr>
              <w:t>-</w:t>
            </w:r>
          </w:p>
        </w:tc>
        <w:tc>
          <w:tcPr>
            <w:tcW w:w="1280" w:type="dxa"/>
            <w:vAlign w:val="center"/>
          </w:tcPr>
          <w:p w:rsidR="00675091" w:rsidRPr="00400699" w:rsidRDefault="00675091" w:rsidP="00996182">
            <w:pPr>
              <w:jc w:val="right"/>
              <w:rPr>
                <w:rFonts w:ascii="Times New Roman" w:hAnsi="Times New Roman" w:cs="Times New Roman"/>
                <w:b/>
                <w:sz w:val="26"/>
                <w:szCs w:val="26"/>
              </w:rPr>
            </w:pPr>
            <w:r w:rsidRPr="00400699">
              <w:rPr>
                <w:rFonts w:ascii="Times New Roman" w:hAnsi="Times New Roman" w:cs="Times New Roman"/>
                <w:b/>
                <w:sz w:val="26"/>
                <w:szCs w:val="26"/>
              </w:rPr>
              <w:t>2 61</w:t>
            </w:r>
            <w:r w:rsidR="00996182">
              <w:rPr>
                <w:rFonts w:ascii="Times New Roman" w:hAnsi="Times New Roman" w:cs="Times New Roman"/>
                <w:b/>
                <w:sz w:val="26"/>
                <w:szCs w:val="26"/>
              </w:rPr>
              <w:t>3</w:t>
            </w:r>
          </w:p>
        </w:tc>
      </w:tr>
      <w:tr w:rsidR="00DE75C1" w:rsidRPr="00252F35" w:rsidTr="00AE4F48">
        <w:trPr>
          <w:jc w:val="center"/>
        </w:trPr>
        <w:tc>
          <w:tcPr>
            <w:tcW w:w="2098" w:type="dxa"/>
          </w:tcPr>
          <w:p w:rsidR="00C67640" w:rsidRPr="00400699" w:rsidRDefault="00AE1E7A" w:rsidP="00252F35">
            <w:pPr>
              <w:spacing w:line="276" w:lineRule="auto"/>
              <w:rPr>
                <w:rFonts w:ascii="Times New Roman" w:hAnsi="Times New Roman" w:cs="Times New Roman"/>
                <w:i/>
                <w:sz w:val="26"/>
                <w:szCs w:val="26"/>
              </w:rPr>
            </w:pPr>
            <w:r w:rsidRPr="00400699">
              <w:rPr>
                <w:rFonts w:ascii="Times New Roman" w:hAnsi="Times New Roman" w:cs="Times New Roman"/>
                <w:i/>
                <w:sz w:val="26"/>
                <w:szCs w:val="26"/>
              </w:rPr>
              <w:t>Papildus nepieciešamā līdzfinansējuma daļa (</w:t>
            </w:r>
            <w:r w:rsidR="001670F8" w:rsidRPr="00400699">
              <w:rPr>
                <w:rFonts w:ascii="Times New Roman" w:hAnsi="Times New Roman" w:cs="Times New Roman"/>
                <w:i/>
                <w:sz w:val="26"/>
                <w:szCs w:val="26"/>
              </w:rPr>
              <w:t>atlīdzība</w:t>
            </w:r>
            <w:r w:rsidRPr="00400699">
              <w:rPr>
                <w:rFonts w:ascii="Times New Roman" w:hAnsi="Times New Roman" w:cs="Times New Roman"/>
                <w:i/>
                <w:sz w:val="26"/>
                <w:szCs w:val="26"/>
              </w:rPr>
              <w:t>)</w:t>
            </w:r>
            <w:r w:rsidR="009F520C" w:rsidRPr="00400699">
              <w:rPr>
                <w:rFonts w:ascii="Times New Roman" w:hAnsi="Times New Roman" w:cs="Times New Roman"/>
                <w:i/>
                <w:sz w:val="26"/>
                <w:szCs w:val="26"/>
              </w:rPr>
              <w:t>, t.sk.:</w:t>
            </w:r>
          </w:p>
        </w:tc>
        <w:tc>
          <w:tcPr>
            <w:tcW w:w="1503" w:type="dxa"/>
            <w:vAlign w:val="center"/>
          </w:tcPr>
          <w:p w:rsidR="00C67640" w:rsidRPr="00400699" w:rsidRDefault="00DE2121" w:rsidP="007A6820">
            <w:pPr>
              <w:spacing w:line="276" w:lineRule="auto"/>
              <w:jc w:val="right"/>
              <w:rPr>
                <w:rFonts w:ascii="Times New Roman" w:hAnsi="Times New Roman" w:cs="Times New Roman"/>
                <w:i/>
                <w:sz w:val="26"/>
                <w:szCs w:val="26"/>
              </w:rPr>
            </w:pPr>
            <w:r w:rsidRPr="00400699">
              <w:rPr>
                <w:rFonts w:ascii="Times New Roman" w:hAnsi="Times New Roman" w:cs="Times New Roman"/>
                <w:i/>
                <w:sz w:val="26"/>
                <w:szCs w:val="26"/>
              </w:rPr>
              <w:t>-</w:t>
            </w:r>
          </w:p>
        </w:tc>
        <w:tc>
          <w:tcPr>
            <w:tcW w:w="1401" w:type="dxa"/>
            <w:vAlign w:val="center"/>
          </w:tcPr>
          <w:p w:rsidR="00C67640" w:rsidRPr="00400699" w:rsidRDefault="00DE2121" w:rsidP="007A6820">
            <w:pPr>
              <w:spacing w:line="276" w:lineRule="auto"/>
              <w:jc w:val="right"/>
              <w:rPr>
                <w:rFonts w:ascii="Times New Roman" w:hAnsi="Times New Roman" w:cs="Times New Roman"/>
                <w:i/>
                <w:sz w:val="26"/>
                <w:szCs w:val="26"/>
              </w:rPr>
            </w:pPr>
            <w:r w:rsidRPr="00400699">
              <w:rPr>
                <w:rFonts w:ascii="Times New Roman" w:hAnsi="Times New Roman" w:cs="Times New Roman"/>
                <w:i/>
                <w:sz w:val="26"/>
                <w:szCs w:val="26"/>
              </w:rPr>
              <w:t>-</w:t>
            </w:r>
          </w:p>
        </w:tc>
        <w:tc>
          <w:tcPr>
            <w:tcW w:w="1502" w:type="dxa"/>
            <w:vAlign w:val="center"/>
          </w:tcPr>
          <w:p w:rsidR="00C67640" w:rsidRPr="00400699" w:rsidRDefault="007A6820" w:rsidP="00996182">
            <w:pPr>
              <w:spacing w:line="276" w:lineRule="auto"/>
              <w:jc w:val="right"/>
              <w:rPr>
                <w:rFonts w:ascii="Times New Roman" w:hAnsi="Times New Roman" w:cs="Times New Roman"/>
                <w:i/>
                <w:sz w:val="26"/>
                <w:szCs w:val="26"/>
              </w:rPr>
            </w:pPr>
            <w:r w:rsidRPr="00400699">
              <w:rPr>
                <w:rFonts w:ascii="Times New Roman" w:hAnsi="Times New Roman" w:cs="Times New Roman"/>
                <w:i/>
                <w:sz w:val="26"/>
                <w:szCs w:val="26"/>
              </w:rPr>
              <w:t>1 61</w:t>
            </w:r>
            <w:r w:rsidR="00996182">
              <w:rPr>
                <w:rFonts w:ascii="Times New Roman" w:hAnsi="Times New Roman" w:cs="Times New Roman"/>
                <w:i/>
                <w:sz w:val="26"/>
                <w:szCs w:val="26"/>
              </w:rPr>
              <w:t>5</w:t>
            </w:r>
          </w:p>
        </w:tc>
        <w:tc>
          <w:tcPr>
            <w:tcW w:w="1503" w:type="dxa"/>
            <w:vAlign w:val="center"/>
          </w:tcPr>
          <w:p w:rsidR="00C67640" w:rsidRPr="00400699" w:rsidRDefault="001670F8" w:rsidP="007A6820">
            <w:pPr>
              <w:spacing w:line="276" w:lineRule="auto"/>
              <w:jc w:val="right"/>
              <w:rPr>
                <w:rFonts w:ascii="Times New Roman" w:hAnsi="Times New Roman" w:cs="Times New Roman"/>
                <w:i/>
                <w:sz w:val="26"/>
                <w:szCs w:val="26"/>
              </w:rPr>
            </w:pPr>
            <w:r w:rsidRPr="00400699">
              <w:rPr>
                <w:rFonts w:ascii="Times New Roman" w:hAnsi="Times New Roman" w:cs="Times New Roman"/>
                <w:i/>
                <w:sz w:val="26"/>
                <w:szCs w:val="26"/>
              </w:rPr>
              <w:t>2 430</w:t>
            </w:r>
          </w:p>
        </w:tc>
        <w:tc>
          <w:tcPr>
            <w:tcW w:w="1280" w:type="dxa"/>
            <w:vAlign w:val="center"/>
          </w:tcPr>
          <w:p w:rsidR="00C67640" w:rsidRPr="00400699" w:rsidRDefault="007A6820" w:rsidP="00996182">
            <w:pPr>
              <w:spacing w:line="276" w:lineRule="auto"/>
              <w:jc w:val="right"/>
              <w:rPr>
                <w:rFonts w:ascii="Times New Roman" w:hAnsi="Times New Roman" w:cs="Times New Roman"/>
                <w:b/>
                <w:i/>
                <w:sz w:val="26"/>
                <w:szCs w:val="26"/>
              </w:rPr>
            </w:pPr>
            <w:r w:rsidRPr="00400699">
              <w:rPr>
                <w:rFonts w:ascii="Times New Roman" w:hAnsi="Times New Roman" w:cs="Times New Roman"/>
                <w:b/>
                <w:i/>
                <w:sz w:val="26"/>
                <w:szCs w:val="26"/>
              </w:rPr>
              <w:t>4 04</w:t>
            </w:r>
            <w:r w:rsidR="00996182">
              <w:rPr>
                <w:rFonts w:ascii="Times New Roman" w:hAnsi="Times New Roman" w:cs="Times New Roman"/>
                <w:b/>
                <w:i/>
                <w:sz w:val="26"/>
                <w:szCs w:val="26"/>
              </w:rPr>
              <w:t>5</w:t>
            </w:r>
          </w:p>
        </w:tc>
      </w:tr>
      <w:tr w:rsidR="00DE75C1" w:rsidRPr="00400699" w:rsidTr="00AE4F48">
        <w:trPr>
          <w:jc w:val="center"/>
        </w:trPr>
        <w:tc>
          <w:tcPr>
            <w:tcW w:w="2098" w:type="dxa"/>
          </w:tcPr>
          <w:p w:rsidR="009F520C" w:rsidRPr="00400699" w:rsidRDefault="00E022E7" w:rsidP="009F520C">
            <w:pPr>
              <w:jc w:val="right"/>
              <w:rPr>
                <w:rFonts w:ascii="Times New Roman" w:hAnsi="Times New Roman" w:cs="Times New Roman"/>
                <w:i/>
                <w:sz w:val="26"/>
                <w:szCs w:val="26"/>
              </w:rPr>
            </w:pPr>
            <w:r w:rsidRPr="00400699">
              <w:rPr>
                <w:rFonts w:ascii="Times New Roman" w:hAnsi="Times New Roman" w:cs="Times New Roman"/>
                <w:i/>
                <w:sz w:val="26"/>
                <w:szCs w:val="26"/>
              </w:rPr>
              <w:t xml:space="preserve">Papildus nepieciešamā līdzfinansējuma daļa </w:t>
            </w:r>
            <w:r w:rsidR="00866C73" w:rsidRPr="00400699">
              <w:rPr>
                <w:rFonts w:ascii="Times New Roman" w:hAnsi="Times New Roman" w:cs="Times New Roman"/>
                <w:i/>
                <w:sz w:val="26"/>
                <w:szCs w:val="26"/>
              </w:rPr>
              <w:t>(</w:t>
            </w:r>
            <w:r w:rsidR="009F520C" w:rsidRPr="00400699">
              <w:rPr>
                <w:rFonts w:ascii="Times New Roman" w:hAnsi="Times New Roman" w:cs="Times New Roman"/>
                <w:i/>
                <w:sz w:val="26"/>
                <w:szCs w:val="26"/>
              </w:rPr>
              <w:t>atalgojums</w:t>
            </w:r>
            <w:r w:rsidR="00866C73" w:rsidRPr="00400699">
              <w:rPr>
                <w:rFonts w:ascii="Times New Roman" w:hAnsi="Times New Roman" w:cs="Times New Roman"/>
                <w:i/>
                <w:sz w:val="26"/>
                <w:szCs w:val="26"/>
              </w:rPr>
              <w:t>)</w:t>
            </w:r>
          </w:p>
        </w:tc>
        <w:tc>
          <w:tcPr>
            <w:tcW w:w="1503" w:type="dxa"/>
            <w:vAlign w:val="center"/>
          </w:tcPr>
          <w:p w:rsidR="009F520C" w:rsidRPr="00400699" w:rsidRDefault="009F520C" w:rsidP="007A6820">
            <w:pPr>
              <w:jc w:val="right"/>
              <w:rPr>
                <w:rFonts w:ascii="Times New Roman" w:hAnsi="Times New Roman" w:cs="Times New Roman"/>
                <w:b/>
                <w:sz w:val="26"/>
                <w:szCs w:val="26"/>
              </w:rPr>
            </w:pPr>
            <w:r w:rsidRPr="00400699">
              <w:rPr>
                <w:rFonts w:ascii="Times New Roman" w:hAnsi="Times New Roman" w:cs="Times New Roman"/>
                <w:b/>
                <w:sz w:val="26"/>
                <w:szCs w:val="26"/>
              </w:rPr>
              <w:t>-</w:t>
            </w:r>
          </w:p>
        </w:tc>
        <w:tc>
          <w:tcPr>
            <w:tcW w:w="1401" w:type="dxa"/>
            <w:vAlign w:val="center"/>
          </w:tcPr>
          <w:p w:rsidR="009F520C" w:rsidRPr="00400699" w:rsidRDefault="009F520C" w:rsidP="007A6820">
            <w:pPr>
              <w:jc w:val="right"/>
              <w:rPr>
                <w:rFonts w:ascii="Times New Roman" w:hAnsi="Times New Roman" w:cs="Times New Roman"/>
                <w:b/>
                <w:sz w:val="26"/>
                <w:szCs w:val="26"/>
              </w:rPr>
            </w:pPr>
            <w:r w:rsidRPr="00400699">
              <w:rPr>
                <w:rFonts w:ascii="Times New Roman" w:hAnsi="Times New Roman" w:cs="Times New Roman"/>
                <w:b/>
                <w:sz w:val="26"/>
                <w:szCs w:val="26"/>
              </w:rPr>
              <w:t>-</w:t>
            </w:r>
          </w:p>
        </w:tc>
        <w:tc>
          <w:tcPr>
            <w:tcW w:w="1502" w:type="dxa"/>
            <w:vAlign w:val="center"/>
          </w:tcPr>
          <w:p w:rsidR="009F520C" w:rsidRPr="00400699" w:rsidRDefault="009F520C" w:rsidP="007A6820">
            <w:pPr>
              <w:jc w:val="right"/>
              <w:rPr>
                <w:rFonts w:ascii="Times New Roman" w:hAnsi="Times New Roman" w:cs="Times New Roman"/>
                <w:i/>
                <w:sz w:val="26"/>
                <w:szCs w:val="26"/>
              </w:rPr>
            </w:pPr>
            <w:r w:rsidRPr="00400699">
              <w:rPr>
                <w:rFonts w:ascii="Times New Roman" w:hAnsi="Times New Roman" w:cs="Times New Roman"/>
                <w:i/>
                <w:sz w:val="26"/>
                <w:szCs w:val="26"/>
              </w:rPr>
              <w:t>1301</w:t>
            </w:r>
          </w:p>
        </w:tc>
        <w:tc>
          <w:tcPr>
            <w:tcW w:w="1503" w:type="dxa"/>
            <w:vAlign w:val="center"/>
          </w:tcPr>
          <w:p w:rsidR="009F520C" w:rsidRPr="00400699" w:rsidRDefault="009F520C" w:rsidP="00996182">
            <w:pPr>
              <w:jc w:val="right"/>
              <w:rPr>
                <w:rFonts w:ascii="Times New Roman" w:hAnsi="Times New Roman" w:cs="Times New Roman"/>
                <w:i/>
                <w:sz w:val="26"/>
                <w:szCs w:val="26"/>
              </w:rPr>
            </w:pPr>
            <w:r w:rsidRPr="00400699">
              <w:rPr>
                <w:rFonts w:ascii="Times New Roman" w:hAnsi="Times New Roman" w:cs="Times New Roman"/>
                <w:i/>
                <w:sz w:val="26"/>
                <w:szCs w:val="26"/>
              </w:rPr>
              <w:t>1 95</w:t>
            </w:r>
            <w:r w:rsidR="00996182">
              <w:rPr>
                <w:rFonts w:ascii="Times New Roman" w:hAnsi="Times New Roman" w:cs="Times New Roman"/>
                <w:i/>
                <w:sz w:val="26"/>
                <w:szCs w:val="26"/>
              </w:rPr>
              <w:t>9</w:t>
            </w:r>
          </w:p>
        </w:tc>
        <w:tc>
          <w:tcPr>
            <w:tcW w:w="1280" w:type="dxa"/>
            <w:vAlign w:val="center"/>
          </w:tcPr>
          <w:p w:rsidR="009F520C" w:rsidRPr="00400699" w:rsidRDefault="006A69B5" w:rsidP="00996182">
            <w:pPr>
              <w:jc w:val="right"/>
              <w:rPr>
                <w:rFonts w:ascii="Times New Roman" w:hAnsi="Times New Roman" w:cs="Times New Roman"/>
                <w:b/>
                <w:i/>
                <w:sz w:val="26"/>
                <w:szCs w:val="26"/>
              </w:rPr>
            </w:pPr>
            <w:r w:rsidRPr="00400699">
              <w:rPr>
                <w:rFonts w:ascii="Times New Roman" w:hAnsi="Times New Roman" w:cs="Times New Roman"/>
                <w:b/>
                <w:i/>
                <w:sz w:val="26"/>
                <w:szCs w:val="26"/>
              </w:rPr>
              <w:t>3 2</w:t>
            </w:r>
            <w:r w:rsidR="00996182">
              <w:rPr>
                <w:rFonts w:ascii="Times New Roman" w:hAnsi="Times New Roman" w:cs="Times New Roman"/>
                <w:b/>
                <w:i/>
                <w:sz w:val="26"/>
                <w:szCs w:val="26"/>
              </w:rPr>
              <w:t>60</w:t>
            </w:r>
          </w:p>
        </w:tc>
      </w:tr>
      <w:tr w:rsidR="00DE75C1" w:rsidRPr="00252F35" w:rsidTr="00AE4F48">
        <w:trPr>
          <w:jc w:val="center"/>
        </w:trPr>
        <w:tc>
          <w:tcPr>
            <w:tcW w:w="2098" w:type="dxa"/>
          </w:tcPr>
          <w:p w:rsidR="00C67640" w:rsidRPr="00400699" w:rsidRDefault="00952C7D" w:rsidP="00252F35">
            <w:pPr>
              <w:spacing w:line="276" w:lineRule="auto"/>
              <w:rPr>
                <w:rFonts w:ascii="Times New Roman" w:hAnsi="Times New Roman" w:cs="Times New Roman"/>
                <w:b/>
                <w:sz w:val="26"/>
                <w:szCs w:val="26"/>
              </w:rPr>
            </w:pPr>
            <w:r w:rsidRPr="00400699">
              <w:rPr>
                <w:rFonts w:ascii="Times New Roman" w:hAnsi="Times New Roman" w:cs="Times New Roman"/>
                <w:b/>
                <w:sz w:val="26"/>
                <w:szCs w:val="26"/>
              </w:rPr>
              <w:t>KOPĀ</w:t>
            </w:r>
          </w:p>
        </w:tc>
        <w:tc>
          <w:tcPr>
            <w:tcW w:w="1503" w:type="dxa"/>
            <w:vAlign w:val="center"/>
          </w:tcPr>
          <w:p w:rsidR="00C67640" w:rsidRPr="00400699" w:rsidRDefault="006E0D32" w:rsidP="007A6820">
            <w:pPr>
              <w:spacing w:line="276" w:lineRule="auto"/>
              <w:jc w:val="right"/>
              <w:rPr>
                <w:rFonts w:ascii="Times New Roman" w:hAnsi="Times New Roman" w:cs="Times New Roman"/>
                <w:b/>
                <w:sz w:val="26"/>
                <w:szCs w:val="26"/>
              </w:rPr>
            </w:pPr>
            <w:r w:rsidRPr="00400699">
              <w:rPr>
                <w:rFonts w:ascii="Times New Roman" w:hAnsi="Times New Roman" w:cs="Times New Roman"/>
                <w:b/>
                <w:sz w:val="26"/>
                <w:szCs w:val="26"/>
              </w:rPr>
              <w:t>1 261</w:t>
            </w:r>
          </w:p>
        </w:tc>
        <w:tc>
          <w:tcPr>
            <w:tcW w:w="1401" w:type="dxa"/>
            <w:vAlign w:val="center"/>
          </w:tcPr>
          <w:p w:rsidR="00C67640" w:rsidRPr="00400699" w:rsidRDefault="001670F8" w:rsidP="007A6820">
            <w:pPr>
              <w:spacing w:line="276" w:lineRule="auto"/>
              <w:jc w:val="right"/>
              <w:rPr>
                <w:rFonts w:ascii="Times New Roman" w:hAnsi="Times New Roman" w:cs="Times New Roman"/>
                <w:b/>
                <w:sz w:val="26"/>
                <w:szCs w:val="26"/>
              </w:rPr>
            </w:pPr>
            <w:r w:rsidRPr="00400699">
              <w:rPr>
                <w:rFonts w:ascii="Times New Roman" w:hAnsi="Times New Roman" w:cs="Times New Roman"/>
                <w:b/>
                <w:sz w:val="26"/>
                <w:szCs w:val="26"/>
              </w:rPr>
              <w:t>5 645</w:t>
            </w:r>
          </w:p>
        </w:tc>
        <w:tc>
          <w:tcPr>
            <w:tcW w:w="1502" w:type="dxa"/>
            <w:vAlign w:val="center"/>
          </w:tcPr>
          <w:p w:rsidR="00C67640" w:rsidRPr="00400699" w:rsidRDefault="00A36580" w:rsidP="007A6820">
            <w:pPr>
              <w:spacing w:line="276" w:lineRule="auto"/>
              <w:jc w:val="right"/>
              <w:rPr>
                <w:rFonts w:ascii="Times New Roman" w:hAnsi="Times New Roman" w:cs="Times New Roman"/>
                <w:b/>
                <w:sz w:val="26"/>
                <w:szCs w:val="26"/>
              </w:rPr>
            </w:pPr>
            <w:r w:rsidRPr="00400699">
              <w:rPr>
                <w:rFonts w:ascii="Times New Roman" w:hAnsi="Times New Roman" w:cs="Times New Roman"/>
                <w:b/>
                <w:sz w:val="26"/>
                <w:szCs w:val="26"/>
              </w:rPr>
              <w:t>4 078</w:t>
            </w:r>
          </w:p>
        </w:tc>
        <w:tc>
          <w:tcPr>
            <w:tcW w:w="1503" w:type="dxa"/>
            <w:vAlign w:val="center"/>
          </w:tcPr>
          <w:p w:rsidR="00C67640" w:rsidRPr="00400699" w:rsidRDefault="0026176F" w:rsidP="007A6820">
            <w:pPr>
              <w:spacing w:line="276" w:lineRule="auto"/>
              <w:jc w:val="right"/>
              <w:rPr>
                <w:rFonts w:ascii="Times New Roman" w:hAnsi="Times New Roman" w:cs="Times New Roman"/>
                <w:b/>
                <w:sz w:val="26"/>
                <w:szCs w:val="26"/>
              </w:rPr>
            </w:pPr>
            <w:r w:rsidRPr="00400699">
              <w:rPr>
                <w:rFonts w:ascii="Times New Roman" w:hAnsi="Times New Roman" w:cs="Times New Roman"/>
                <w:b/>
                <w:sz w:val="26"/>
                <w:szCs w:val="26"/>
              </w:rPr>
              <w:t>3 026</w:t>
            </w:r>
          </w:p>
        </w:tc>
        <w:tc>
          <w:tcPr>
            <w:tcW w:w="1280" w:type="dxa"/>
            <w:vAlign w:val="center"/>
          </w:tcPr>
          <w:p w:rsidR="00C67640" w:rsidRPr="00400699" w:rsidRDefault="006E0D32" w:rsidP="007A6820">
            <w:pPr>
              <w:spacing w:line="276" w:lineRule="auto"/>
              <w:jc w:val="right"/>
              <w:rPr>
                <w:rFonts w:ascii="Times New Roman" w:hAnsi="Times New Roman" w:cs="Times New Roman"/>
                <w:b/>
                <w:sz w:val="26"/>
                <w:szCs w:val="26"/>
              </w:rPr>
            </w:pPr>
            <w:r w:rsidRPr="00400699">
              <w:rPr>
                <w:rFonts w:ascii="Times New Roman" w:hAnsi="Times New Roman" w:cs="Times New Roman"/>
                <w:b/>
                <w:sz w:val="26"/>
                <w:szCs w:val="26"/>
              </w:rPr>
              <w:t>14 010</w:t>
            </w:r>
          </w:p>
        </w:tc>
      </w:tr>
    </w:tbl>
    <w:p w:rsidR="004C08BB" w:rsidRDefault="004C08BB" w:rsidP="004C08BB">
      <w:pPr>
        <w:spacing w:after="0"/>
        <w:ind w:firstLine="720"/>
        <w:jc w:val="both"/>
        <w:rPr>
          <w:rFonts w:ascii="Times New Roman" w:hAnsi="Times New Roman" w:cs="Times New Roman"/>
          <w:color w:val="FF0000"/>
          <w:sz w:val="28"/>
          <w:szCs w:val="28"/>
        </w:rPr>
      </w:pPr>
      <w:r w:rsidRPr="00252F35">
        <w:rPr>
          <w:rFonts w:ascii="Times New Roman" w:hAnsi="Times New Roman" w:cs="Times New Roman"/>
          <w:sz w:val="28"/>
          <w:szCs w:val="28"/>
        </w:rPr>
        <w:t>Lai SPKC varētu veiksmīgi nodrošināt dalību Vienotajā rīcībā ORPHANET,</w:t>
      </w:r>
      <w:r>
        <w:rPr>
          <w:rFonts w:ascii="Times New Roman" w:hAnsi="Times New Roman" w:cs="Times New Roman"/>
          <w:sz w:val="28"/>
          <w:szCs w:val="28"/>
        </w:rPr>
        <w:t xml:space="preserve"> nodrošinot projekta realizācijā iesaistītajiem darbiniekiem piemaksas par papildus amata pienākumiem veikto darbu </w:t>
      </w:r>
      <w:r w:rsidRPr="00252F35">
        <w:rPr>
          <w:rFonts w:ascii="Times New Roman" w:hAnsi="Times New Roman" w:cs="Times New Roman"/>
          <w:sz w:val="28"/>
          <w:szCs w:val="28"/>
        </w:rPr>
        <w:t>Vienot</w:t>
      </w:r>
      <w:r>
        <w:rPr>
          <w:rFonts w:ascii="Times New Roman" w:hAnsi="Times New Roman" w:cs="Times New Roman"/>
          <w:sz w:val="28"/>
          <w:szCs w:val="28"/>
        </w:rPr>
        <w:t>ās</w:t>
      </w:r>
      <w:r w:rsidRPr="00252F35">
        <w:rPr>
          <w:rFonts w:ascii="Times New Roman" w:hAnsi="Times New Roman" w:cs="Times New Roman"/>
          <w:sz w:val="28"/>
          <w:szCs w:val="28"/>
        </w:rPr>
        <w:t xml:space="preserve"> rīcīb</w:t>
      </w:r>
      <w:r>
        <w:rPr>
          <w:rFonts w:ascii="Times New Roman" w:hAnsi="Times New Roman" w:cs="Times New Roman"/>
          <w:sz w:val="28"/>
          <w:szCs w:val="28"/>
        </w:rPr>
        <w:t>as</w:t>
      </w:r>
      <w:r w:rsidRPr="00252F35">
        <w:rPr>
          <w:rFonts w:ascii="Times New Roman" w:hAnsi="Times New Roman" w:cs="Times New Roman"/>
          <w:sz w:val="28"/>
          <w:szCs w:val="28"/>
        </w:rPr>
        <w:t xml:space="preserve"> ORPHANET</w:t>
      </w:r>
      <w:r>
        <w:rPr>
          <w:rFonts w:ascii="Times New Roman" w:hAnsi="Times New Roman" w:cs="Times New Roman"/>
          <w:sz w:val="28"/>
          <w:szCs w:val="28"/>
        </w:rPr>
        <w:t xml:space="preserve"> ietvaros</w:t>
      </w:r>
      <w:r w:rsidRPr="00400699">
        <w:rPr>
          <w:rFonts w:ascii="Times New Roman" w:hAnsi="Times New Roman" w:cs="Times New Roman"/>
          <w:sz w:val="28"/>
          <w:szCs w:val="28"/>
        </w:rPr>
        <w:t xml:space="preserve">, kā arī vienam darbiniekam mēnešalgu 0,7 slodzes apmērā 2014.gada trim mēnešiem, saistībā ar plānoto darba apjoma </w:t>
      </w:r>
      <w:r>
        <w:rPr>
          <w:rFonts w:ascii="Times New Roman" w:hAnsi="Times New Roman" w:cs="Times New Roman"/>
          <w:sz w:val="28"/>
          <w:szCs w:val="28"/>
        </w:rPr>
        <w:t>palielināšanos 2014.gada sākumā,</w:t>
      </w:r>
      <w:r w:rsidRPr="00400699">
        <w:rPr>
          <w:rFonts w:ascii="Times New Roman" w:hAnsi="Times New Roman" w:cs="Times New Roman"/>
          <w:sz w:val="28"/>
          <w:szCs w:val="28"/>
        </w:rPr>
        <w:t xml:space="preserve"> </w:t>
      </w:r>
      <w:r>
        <w:rPr>
          <w:rFonts w:ascii="Times New Roman" w:hAnsi="Times New Roman" w:cs="Times New Roman"/>
          <w:sz w:val="28"/>
          <w:szCs w:val="28"/>
        </w:rPr>
        <w:t>i</w:t>
      </w:r>
      <w:r w:rsidRPr="00400699">
        <w:rPr>
          <w:rFonts w:ascii="Times New Roman" w:hAnsi="Times New Roman" w:cs="Times New Roman"/>
          <w:sz w:val="28"/>
          <w:szCs w:val="28"/>
        </w:rPr>
        <w:t>erobežota finansējuma apstākļos, ir nepieciešams papildus finansējums līdzfinansējuma nodrošināšanai 4 04</w:t>
      </w:r>
      <w:r>
        <w:rPr>
          <w:rFonts w:ascii="Times New Roman" w:hAnsi="Times New Roman" w:cs="Times New Roman"/>
          <w:sz w:val="28"/>
          <w:szCs w:val="28"/>
        </w:rPr>
        <w:t>5</w:t>
      </w:r>
      <w:r w:rsidRPr="00400699">
        <w:rPr>
          <w:rFonts w:ascii="Times New Roman" w:hAnsi="Times New Roman" w:cs="Times New Roman"/>
          <w:sz w:val="28"/>
          <w:szCs w:val="28"/>
        </w:rPr>
        <w:t> LVL, kura piešķiršanai</w:t>
      </w:r>
      <w:r w:rsidRPr="00252F35">
        <w:rPr>
          <w:rFonts w:ascii="Times New Roman" w:hAnsi="Times New Roman" w:cs="Times New Roman"/>
          <w:sz w:val="28"/>
          <w:szCs w:val="28"/>
        </w:rPr>
        <w:t xml:space="preserve"> atbilstoši Likuma par budžetu un finanšu vadību 24.panta trešajai daļai ir nepieciešams attiecīgs Ministru kabineta lēmums.</w:t>
      </w:r>
    </w:p>
    <w:p w:rsidR="009D09F1" w:rsidRDefault="009D09F1" w:rsidP="00252F35">
      <w:pPr>
        <w:spacing w:after="0"/>
        <w:jc w:val="both"/>
        <w:rPr>
          <w:rFonts w:ascii="Times New Roman" w:hAnsi="Times New Roman" w:cs="Times New Roman"/>
          <w:sz w:val="28"/>
          <w:szCs w:val="28"/>
        </w:rPr>
      </w:pPr>
    </w:p>
    <w:p w:rsidR="008E52F5" w:rsidRPr="00252F35" w:rsidRDefault="008E52F5" w:rsidP="00252F35">
      <w:pPr>
        <w:spacing w:after="0"/>
        <w:jc w:val="both"/>
        <w:rPr>
          <w:rFonts w:ascii="Times New Roman" w:hAnsi="Times New Roman" w:cs="Times New Roman"/>
          <w:sz w:val="28"/>
          <w:szCs w:val="28"/>
        </w:rPr>
      </w:pPr>
    </w:p>
    <w:p w:rsidR="004333C6" w:rsidRPr="00252F35" w:rsidRDefault="004333C6" w:rsidP="00252F35">
      <w:pPr>
        <w:pStyle w:val="NormalWeb"/>
        <w:spacing w:before="0" w:beforeAutospacing="0" w:after="0" w:afterAutospacing="0" w:line="276" w:lineRule="auto"/>
        <w:jc w:val="both"/>
        <w:rPr>
          <w:sz w:val="28"/>
          <w:szCs w:val="28"/>
        </w:rPr>
      </w:pPr>
      <w:r w:rsidRPr="00252F35">
        <w:rPr>
          <w:sz w:val="28"/>
          <w:szCs w:val="28"/>
        </w:rPr>
        <w:t>Veselības ministre</w:t>
      </w:r>
      <w:r w:rsidR="00400699">
        <w:rPr>
          <w:sz w:val="28"/>
          <w:szCs w:val="28"/>
        </w:rPr>
        <w:tab/>
      </w:r>
      <w:r w:rsidR="00400699">
        <w:rPr>
          <w:sz w:val="28"/>
          <w:szCs w:val="28"/>
        </w:rPr>
        <w:tab/>
      </w:r>
      <w:r w:rsidR="00400699">
        <w:rPr>
          <w:sz w:val="28"/>
          <w:szCs w:val="28"/>
        </w:rPr>
        <w:tab/>
      </w:r>
      <w:r w:rsidR="00400699">
        <w:rPr>
          <w:sz w:val="28"/>
          <w:szCs w:val="28"/>
        </w:rPr>
        <w:tab/>
      </w:r>
      <w:r w:rsidR="00400699">
        <w:rPr>
          <w:sz w:val="28"/>
          <w:szCs w:val="28"/>
        </w:rPr>
        <w:tab/>
      </w:r>
      <w:r w:rsidR="00400699">
        <w:rPr>
          <w:sz w:val="28"/>
          <w:szCs w:val="28"/>
        </w:rPr>
        <w:tab/>
      </w:r>
      <w:r w:rsidR="00400699">
        <w:rPr>
          <w:sz w:val="28"/>
          <w:szCs w:val="28"/>
        </w:rPr>
        <w:tab/>
      </w:r>
      <w:r w:rsidR="00400699">
        <w:rPr>
          <w:sz w:val="28"/>
          <w:szCs w:val="28"/>
        </w:rPr>
        <w:tab/>
      </w:r>
      <w:r w:rsidR="00400699">
        <w:rPr>
          <w:sz w:val="28"/>
          <w:szCs w:val="28"/>
        </w:rPr>
        <w:tab/>
        <w:t xml:space="preserve"> </w:t>
      </w:r>
      <w:r w:rsidRPr="00252F35">
        <w:rPr>
          <w:sz w:val="28"/>
          <w:szCs w:val="28"/>
        </w:rPr>
        <w:t>I.Circene</w:t>
      </w:r>
    </w:p>
    <w:p w:rsidR="00EC22F2" w:rsidRDefault="00EC22F2" w:rsidP="004333C6">
      <w:pPr>
        <w:spacing w:after="0" w:line="240" w:lineRule="auto"/>
        <w:rPr>
          <w:rFonts w:ascii="Times New Roman" w:hAnsi="Times New Roman" w:cs="Times New Roman"/>
          <w:sz w:val="20"/>
          <w:szCs w:val="20"/>
        </w:rPr>
      </w:pPr>
    </w:p>
    <w:p w:rsidR="00DC02E8" w:rsidRPr="00EC22F2" w:rsidRDefault="00935925" w:rsidP="004333C6">
      <w:pPr>
        <w:spacing w:after="0" w:line="240" w:lineRule="auto"/>
        <w:rPr>
          <w:rFonts w:ascii="Times New Roman" w:hAnsi="Times New Roman" w:cs="Times New Roman"/>
          <w:sz w:val="20"/>
          <w:szCs w:val="20"/>
        </w:rPr>
      </w:pPr>
      <w:r>
        <w:rPr>
          <w:rFonts w:ascii="Times New Roman" w:hAnsi="Times New Roman" w:cs="Times New Roman"/>
          <w:sz w:val="20"/>
          <w:szCs w:val="20"/>
        </w:rPr>
        <w:t>20.08.2013 12:59</w:t>
      </w:r>
    </w:p>
    <w:p w:rsidR="004333C6" w:rsidRPr="00EC22F2" w:rsidRDefault="00DC02E8" w:rsidP="004333C6">
      <w:pPr>
        <w:spacing w:after="0" w:line="240" w:lineRule="auto"/>
        <w:rPr>
          <w:rFonts w:ascii="Times New Roman" w:hAnsi="Times New Roman" w:cs="Times New Roman"/>
          <w:sz w:val="20"/>
          <w:szCs w:val="20"/>
        </w:rPr>
      </w:pPr>
      <w:r w:rsidRPr="00EC22F2">
        <w:rPr>
          <w:rFonts w:ascii="Times New Roman" w:hAnsi="Times New Roman" w:cs="Times New Roman"/>
          <w:sz w:val="20"/>
          <w:szCs w:val="20"/>
        </w:rPr>
        <w:t>1 0</w:t>
      </w:r>
      <w:r w:rsidR="005D6968">
        <w:rPr>
          <w:rFonts w:ascii="Times New Roman" w:hAnsi="Times New Roman" w:cs="Times New Roman"/>
          <w:sz w:val="20"/>
          <w:szCs w:val="20"/>
        </w:rPr>
        <w:t>16</w:t>
      </w:r>
    </w:p>
    <w:p w:rsidR="00590A1B" w:rsidRPr="00EC22F2" w:rsidRDefault="00590A1B" w:rsidP="004333C6">
      <w:pPr>
        <w:spacing w:after="0" w:line="240" w:lineRule="auto"/>
        <w:rPr>
          <w:rFonts w:ascii="Times New Roman" w:hAnsi="Times New Roman" w:cs="Times New Roman"/>
          <w:sz w:val="20"/>
          <w:szCs w:val="20"/>
        </w:rPr>
      </w:pPr>
      <w:r w:rsidRPr="00EC22F2">
        <w:rPr>
          <w:rFonts w:ascii="Times New Roman" w:hAnsi="Times New Roman" w:cs="Times New Roman"/>
          <w:sz w:val="20"/>
          <w:szCs w:val="20"/>
        </w:rPr>
        <w:t>Elīna Praudiņa</w:t>
      </w:r>
    </w:p>
    <w:p w:rsidR="004333C6" w:rsidRPr="00EC22F2" w:rsidRDefault="004333C6" w:rsidP="004333C6">
      <w:pPr>
        <w:spacing w:after="0" w:line="240" w:lineRule="auto"/>
        <w:rPr>
          <w:rFonts w:ascii="Times New Roman" w:hAnsi="Times New Roman" w:cs="Times New Roman"/>
          <w:sz w:val="20"/>
          <w:szCs w:val="20"/>
        </w:rPr>
      </w:pPr>
      <w:r w:rsidRPr="00EC22F2">
        <w:rPr>
          <w:rFonts w:ascii="Times New Roman" w:hAnsi="Times New Roman" w:cs="Times New Roman"/>
          <w:sz w:val="20"/>
          <w:szCs w:val="20"/>
        </w:rPr>
        <w:t>tālr. 67876</w:t>
      </w:r>
      <w:r w:rsidR="00FF647F" w:rsidRPr="00EC22F2">
        <w:rPr>
          <w:rFonts w:ascii="Times New Roman" w:hAnsi="Times New Roman" w:cs="Times New Roman"/>
          <w:sz w:val="20"/>
          <w:szCs w:val="20"/>
        </w:rPr>
        <w:t>045</w:t>
      </w:r>
    </w:p>
    <w:p w:rsidR="004333C6" w:rsidRPr="00EC22F2" w:rsidRDefault="003D13D6" w:rsidP="004333C6">
      <w:pPr>
        <w:spacing w:after="0" w:line="240" w:lineRule="auto"/>
        <w:jc w:val="both"/>
        <w:rPr>
          <w:rFonts w:ascii="Times New Roman" w:hAnsi="Times New Roman" w:cs="Times New Roman"/>
          <w:sz w:val="20"/>
          <w:szCs w:val="20"/>
        </w:rPr>
      </w:pPr>
      <w:hyperlink r:id="rId11" w:history="1">
        <w:r w:rsidR="00BD2BE7" w:rsidRPr="00EC22F2">
          <w:rPr>
            <w:rStyle w:val="Hyperlink"/>
            <w:rFonts w:ascii="Times New Roman" w:hAnsi="Times New Roman" w:cs="Times New Roman"/>
            <w:sz w:val="20"/>
            <w:szCs w:val="20"/>
          </w:rPr>
          <w:t>Elina.Praudina@vm.gov.lv</w:t>
        </w:r>
      </w:hyperlink>
    </w:p>
    <w:sectPr w:rsidR="004333C6" w:rsidRPr="00EC22F2" w:rsidSect="00EC22F2">
      <w:headerReference w:type="default" r:id="rId12"/>
      <w:footerReference w:type="default" r:id="rId13"/>
      <w:footerReference w:type="first" r:id="rId14"/>
      <w:pgSz w:w="11906" w:h="16838"/>
      <w:pgMar w:top="1418" w:right="1134" w:bottom="1134" w:left="1701" w:header="68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DD4" w:rsidRDefault="001B2DD4" w:rsidP="006D04FF">
      <w:pPr>
        <w:spacing w:after="0" w:line="240" w:lineRule="auto"/>
      </w:pPr>
      <w:r>
        <w:separator/>
      </w:r>
    </w:p>
  </w:endnote>
  <w:endnote w:type="continuationSeparator" w:id="0">
    <w:p w:rsidR="001B2DD4" w:rsidRDefault="001B2DD4" w:rsidP="006D0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DD4" w:rsidRPr="00F01D63" w:rsidRDefault="001B2DD4" w:rsidP="00F01D63">
    <w:pPr>
      <w:pStyle w:val="Footer"/>
      <w:jc w:val="both"/>
      <w:rPr>
        <w:szCs w:val="20"/>
      </w:rPr>
    </w:pPr>
    <w:r>
      <w:rPr>
        <w:rFonts w:ascii="Times New Roman" w:hAnsi="Times New Roman" w:cs="Times New Roman"/>
        <w:sz w:val="20"/>
        <w:szCs w:val="20"/>
      </w:rPr>
      <w:t>VMZino_</w:t>
    </w:r>
    <w:r w:rsidR="006365A0">
      <w:rPr>
        <w:rFonts w:ascii="Times New Roman" w:hAnsi="Times New Roman" w:cs="Times New Roman"/>
        <w:sz w:val="20"/>
        <w:szCs w:val="20"/>
      </w:rPr>
      <w:t>2008</w:t>
    </w:r>
    <w:r>
      <w:rPr>
        <w:rFonts w:ascii="Times New Roman" w:hAnsi="Times New Roman" w:cs="Times New Roman"/>
        <w:sz w:val="20"/>
        <w:szCs w:val="20"/>
      </w:rPr>
      <w:t xml:space="preserve">13_Orphanet; </w:t>
    </w:r>
    <w:r w:rsidRPr="00F01D63">
      <w:rPr>
        <w:rFonts w:ascii="Times New Roman" w:hAnsi="Times New Roman" w:cs="Times New Roman"/>
        <w:sz w:val="20"/>
        <w:szCs w:val="20"/>
      </w:rPr>
      <w:t>Info</w:t>
    </w:r>
    <w:r>
      <w:rPr>
        <w:rFonts w:ascii="Times New Roman" w:hAnsi="Times New Roman" w:cs="Times New Roman"/>
        <w:sz w:val="20"/>
        <w:szCs w:val="20"/>
      </w:rPr>
      <w:t>rmatīvais ziņojums par Eiropas K</w:t>
    </w:r>
    <w:r w:rsidRPr="00F01D63">
      <w:rPr>
        <w:rFonts w:ascii="Times New Roman" w:hAnsi="Times New Roman" w:cs="Times New Roman"/>
        <w:sz w:val="20"/>
        <w:szCs w:val="20"/>
      </w:rPr>
      <w:t>omisijas Otrās Kopienas rīcības programmas sabiedrības veselības jomā (2008. – 2013.gadam) vienoto rīcību „Reto slimību un orfānu zāļu Eiropas tīkla izveide” (JA-Orphanet Europe)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DD4" w:rsidRPr="007569B1" w:rsidRDefault="00EC22F2" w:rsidP="007569B1">
    <w:pPr>
      <w:pStyle w:val="Footer"/>
      <w:jc w:val="both"/>
      <w:rPr>
        <w:rFonts w:ascii="Times New Roman" w:hAnsi="Times New Roman" w:cs="Times New Roman"/>
        <w:sz w:val="20"/>
        <w:szCs w:val="20"/>
      </w:rPr>
    </w:pPr>
    <w:r>
      <w:rPr>
        <w:rFonts w:ascii="Times New Roman" w:hAnsi="Times New Roman" w:cs="Times New Roman"/>
        <w:sz w:val="20"/>
        <w:szCs w:val="20"/>
      </w:rPr>
      <w:t>VMZino_</w:t>
    </w:r>
    <w:r w:rsidR="006365A0">
      <w:rPr>
        <w:rFonts w:ascii="Times New Roman" w:hAnsi="Times New Roman" w:cs="Times New Roman"/>
        <w:sz w:val="20"/>
        <w:szCs w:val="20"/>
      </w:rPr>
      <w:t>2008</w:t>
    </w:r>
    <w:r w:rsidR="001B2DD4">
      <w:rPr>
        <w:rFonts w:ascii="Times New Roman" w:hAnsi="Times New Roman" w:cs="Times New Roman"/>
        <w:sz w:val="20"/>
        <w:szCs w:val="20"/>
      </w:rPr>
      <w:t xml:space="preserve">13_Orphanet; </w:t>
    </w:r>
    <w:r w:rsidR="001B2DD4" w:rsidRPr="00F01D63">
      <w:rPr>
        <w:rFonts w:ascii="Times New Roman" w:hAnsi="Times New Roman" w:cs="Times New Roman"/>
        <w:sz w:val="20"/>
        <w:szCs w:val="20"/>
      </w:rPr>
      <w:t>Info</w:t>
    </w:r>
    <w:r w:rsidR="001B2DD4">
      <w:rPr>
        <w:rFonts w:ascii="Times New Roman" w:hAnsi="Times New Roman" w:cs="Times New Roman"/>
        <w:sz w:val="20"/>
        <w:szCs w:val="20"/>
      </w:rPr>
      <w:t>rmatīvais ziņojums par Eiropas K</w:t>
    </w:r>
    <w:r w:rsidR="001B2DD4" w:rsidRPr="00F01D63">
      <w:rPr>
        <w:rFonts w:ascii="Times New Roman" w:hAnsi="Times New Roman" w:cs="Times New Roman"/>
        <w:sz w:val="20"/>
        <w:szCs w:val="20"/>
      </w:rPr>
      <w:t>omisijas Otrās Kopienas rīcības programmas sabiedrības veselības jomā (2008. – 2013.gadam) vienoto rīcību „Reto slimību un orfānu zāļu Eiropas tīkla izveide” (JA-Orphanet Europe)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DD4" w:rsidRDefault="001B2DD4" w:rsidP="006D04FF">
      <w:pPr>
        <w:spacing w:after="0" w:line="240" w:lineRule="auto"/>
      </w:pPr>
      <w:r>
        <w:separator/>
      </w:r>
    </w:p>
  </w:footnote>
  <w:footnote w:type="continuationSeparator" w:id="0">
    <w:p w:rsidR="001B2DD4" w:rsidRDefault="001B2DD4" w:rsidP="006D0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69804"/>
      <w:docPartObj>
        <w:docPartGallery w:val="Page Numbers (Top of Page)"/>
        <w:docPartUnique/>
      </w:docPartObj>
    </w:sdtPr>
    <w:sdtContent>
      <w:p w:rsidR="001B2DD4" w:rsidRDefault="003D13D6">
        <w:pPr>
          <w:pStyle w:val="Header"/>
          <w:jc w:val="center"/>
        </w:pPr>
        <w:fldSimple w:instr=" PAGE   \* MERGEFORMAT ">
          <w:r w:rsidR="00935925">
            <w:rPr>
              <w:noProof/>
            </w:rPr>
            <w:t>4</w:t>
          </w:r>
        </w:fldSimple>
      </w:p>
    </w:sdtContent>
  </w:sdt>
  <w:p w:rsidR="001B2DD4" w:rsidRDefault="001B2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3"/>
  </w:num>
  <w:num w:numId="6">
    <w:abstractNumId w:val="5"/>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5C1E"/>
    <w:rsid w:val="000001C5"/>
    <w:rsid w:val="00013A4E"/>
    <w:rsid w:val="00014A53"/>
    <w:rsid w:val="00021E02"/>
    <w:rsid w:val="00032EF0"/>
    <w:rsid w:val="00054715"/>
    <w:rsid w:val="00054A42"/>
    <w:rsid w:val="0008089C"/>
    <w:rsid w:val="000A2350"/>
    <w:rsid w:val="000B0915"/>
    <w:rsid w:val="000D3EFA"/>
    <w:rsid w:val="000E2F93"/>
    <w:rsid w:val="000E393C"/>
    <w:rsid w:val="000E41F9"/>
    <w:rsid w:val="000E58D9"/>
    <w:rsid w:val="000F11FA"/>
    <w:rsid w:val="000F5610"/>
    <w:rsid w:val="00105C1E"/>
    <w:rsid w:val="00106731"/>
    <w:rsid w:val="001153E3"/>
    <w:rsid w:val="00122A1D"/>
    <w:rsid w:val="00122E07"/>
    <w:rsid w:val="0013288D"/>
    <w:rsid w:val="00133F51"/>
    <w:rsid w:val="00135F3D"/>
    <w:rsid w:val="00150EC2"/>
    <w:rsid w:val="00162C06"/>
    <w:rsid w:val="001670F8"/>
    <w:rsid w:val="00172BF0"/>
    <w:rsid w:val="00181E7F"/>
    <w:rsid w:val="00184E92"/>
    <w:rsid w:val="001A0A66"/>
    <w:rsid w:val="001B2DD4"/>
    <w:rsid w:val="001B69CA"/>
    <w:rsid w:val="001C31B5"/>
    <w:rsid w:val="001D0C57"/>
    <w:rsid w:val="001F1618"/>
    <w:rsid w:val="001F47FB"/>
    <w:rsid w:val="00213D2E"/>
    <w:rsid w:val="00224528"/>
    <w:rsid w:val="00231DAE"/>
    <w:rsid w:val="00242099"/>
    <w:rsid w:val="00246AFE"/>
    <w:rsid w:val="00252F35"/>
    <w:rsid w:val="00254110"/>
    <w:rsid w:val="0026176F"/>
    <w:rsid w:val="0026654C"/>
    <w:rsid w:val="00272A96"/>
    <w:rsid w:val="00273BD4"/>
    <w:rsid w:val="00280560"/>
    <w:rsid w:val="0028111D"/>
    <w:rsid w:val="002934F4"/>
    <w:rsid w:val="00295436"/>
    <w:rsid w:val="002A5215"/>
    <w:rsid w:val="002B5F11"/>
    <w:rsid w:val="002C280E"/>
    <w:rsid w:val="002C36A6"/>
    <w:rsid w:val="002C648B"/>
    <w:rsid w:val="002D0FDF"/>
    <w:rsid w:val="002D2ED4"/>
    <w:rsid w:val="002D3FFE"/>
    <w:rsid w:val="002E04D6"/>
    <w:rsid w:val="002E47E9"/>
    <w:rsid w:val="002E608F"/>
    <w:rsid w:val="002E7D97"/>
    <w:rsid w:val="002F2954"/>
    <w:rsid w:val="002F5364"/>
    <w:rsid w:val="00314709"/>
    <w:rsid w:val="00321C0B"/>
    <w:rsid w:val="003327AB"/>
    <w:rsid w:val="00334289"/>
    <w:rsid w:val="00360BF6"/>
    <w:rsid w:val="00382A86"/>
    <w:rsid w:val="00382BD0"/>
    <w:rsid w:val="003835EE"/>
    <w:rsid w:val="003969CF"/>
    <w:rsid w:val="003A2B2E"/>
    <w:rsid w:val="003A5506"/>
    <w:rsid w:val="003B058B"/>
    <w:rsid w:val="003B5F31"/>
    <w:rsid w:val="003B7844"/>
    <w:rsid w:val="003C102B"/>
    <w:rsid w:val="003C20B0"/>
    <w:rsid w:val="003D13D6"/>
    <w:rsid w:val="003D3DF9"/>
    <w:rsid w:val="003F623F"/>
    <w:rsid w:val="00400699"/>
    <w:rsid w:val="00400EC2"/>
    <w:rsid w:val="00421C15"/>
    <w:rsid w:val="0042681B"/>
    <w:rsid w:val="004333C6"/>
    <w:rsid w:val="004363F1"/>
    <w:rsid w:val="00446404"/>
    <w:rsid w:val="00446E32"/>
    <w:rsid w:val="004606BB"/>
    <w:rsid w:val="00461B8A"/>
    <w:rsid w:val="004765A8"/>
    <w:rsid w:val="00483D92"/>
    <w:rsid w:val="0049419F"/>
    <w:rsid w:val="004C08BB"/>
    <w:rsid w:val="004C1B97"/>
    <w:rsid w:val="004C5DA8"/>
    <w:rsid w:val="004D728E"/>
    <w:rsid w:val="004F182B"/>
    <w:rsid w:val="004F6EA1"/>
    <w:rsid w:val="005072D5"/>
    <w:rsid w:val="00517A4F"/>
    <w:rsid w:val="00537EDF"/>
    <w:rsid w:val="00583F4C"/>
    <w:rsid w:val="00585CF0"/>
    <w:rsid w:val="00587858"/>
    <w:rsid w:val="00590A1B"/>
    <w:rsid w:val="0059110E"/>
    <w:rsid w:val="00591E6D"/>
    <w:rsid w:val="005A513F"/>
    <w:rsid w:val="005B590F"/>
    <w:rsid w:val="005D6955"/>
    <w:rsid w:val="005D6968"/>
    <w:rsid w:val="005E05AE"/>
    <w:rsid w:val="005E0D49"/>
    <w:rsid w:val="005F6395"/>
    <w:rsid w:val="00610C99"/>
    <w:rsid w:val="0061604C"/>
    <w:rsid w:val="00626D97"/>
    <w:rsid w:val="006365A0"/>
    <w:rsid w:val="00642774"/>
    <w:rsid w:val="00644C34"/>
    <w:rsid w:val="006719BD"/>
    <w:rsid w:val="006747C8"/>
    <w:rsid w:val="00675091"/>
    <w:rsid w:val="0069078F"/>
    <w:rsid w:val="006A369A"/>
    <w:rsid w:val="006A69B5"/>
    <w:rsid w:val="006B2726"/>
    <w:rsid w:val="006D04FF"/>
    <w:rsid w:val="006E0D32"/>
    <w:rsid w:val="006F5FEC"/>
    <w:rsid w:val="00700387"/>
    <w:rsid w:val="00706624"/>
    <w:rsid w:val="00710EF2"/>
    <w:rsid w:val="00717CB4"/>
    <w:rsid w:val="00724A03"/>
    <w:rsid w:val="00740F06"/>
    <w:rsid w:val="00744E37"/>
    <w:rsid w:val="007569B1"/>
    <w:rsid w:val="007638C9"/>
    <w:rsid w:val="00783BC7"/>
    <w:rsid w:val="00786A10"/>
    <w:rsid w:val="00796804"/>
    <w:rsid w:val="007A0B9F"/>
    <w:rsid w:val="007A1CB4"/>
    <w:rsid w:val="007A6203"/>
    <w:rsid w:val="007A6820"/>
    <w:rsid w:val="007B1BDD"/>
    <w:rsid w:val="007F1334"/>
    <w:rsid w:val="00803617"/>
    <w:rsid w:val="00805C0C"/>
    <w:rsid w:val="00807EEF"/>
    <w:rsid w:val="00811297"/>
    <w:rsid w:val="008128CC"/>
    <w:rsid w:val="00814BEB"/>
    <w:rsid w:val="008161F9"/>
    <w:rsid w:val="00817AA9"/>
    <w:rsid w:val="0082759B"/>
    <w:rsid w:val="00835515"/>
    <w:rsid w:val="00843FCB"/>
    <w:rsid w:val="008529E1"/>
    <w:rsid w:val="00866C73"/>
    <w:rsid w:val="0087648B"/>
    <w:rsid w:val="008A0BA6"/>
    <w:rsid w:val="008A2221"/>
    <w:rsid w:val="008C465A"/>
    <w:rsid w:val="008C50EB"/>
    <w:rsid w:val="008D6801"/>
    <w:rsid w:val="008E52F5"/>
    <w:rsid w:val="008F1F99"/>
    <w:rsid w:val="008F3830"/>
    <w:rsid w:val="008F43B0"/>
    <w:rsid w:val="008F5BCF"/>
    <w:rsid w:val="009142C5"/>
    <w:rsid w:val="0092208B"/>
    <w:rsid w:val="00930FF2"/>
    <w:rsid w:val="00935925"/>
    <w:rsid w:val="00942087"/>
    <w:rsid w:val="00946490"/>
    <w:rsid w:val="00952C7D"/>
    <w:rsid w:val="00960553"/>
    <w:rsid w:val="0096206B"/>
    <w:rsid w:val="00974AA6"/>
    <w:rsid w:val="009833DC"/>
    <w:rsid w:val="00983BA0"/>
    <w:rsid w:val="00985CF1"/>
    <w:rsid w:val="00996182"/>
    <w:rsid w:val="009A7BCA"/>
    <w:rsid w:val="009C6B97"/>
    <w:rsid w:val="009D09F1"/>
    <w:rsid w:val="009F27AA"/>
    <w:rsid w:val="009F520C"/>
    <w:rsid w:val="00A001FF"/>
    <w:rsid w:val="00A044B1"/>
    <w:rsid w:val="00A36580"/>
    <w:rsid w:val="00A40A48"/>
    <w:rsid w:val="00A42374"/>
    <w:rsid w:val="00A4586D"/>
    <w:rsid w:val="00A510C4"/>
    <w:rsid w:val="00A6394E"/>
    <w:rsid w:val="00A665DB"/>
    <w:rsid w:val="00A70A23"/>
    <w:rsid w:val="00A7116F"/>
    <w:rsid w:val="00A712ED"/>
    <w:rsid w:val="00A81EC5"/>
    <w:rsid w:val="00A87860"/>
    <w:rsid w:val="00AA0E68"/>
    <w:rsid w:val="00AA15F5"/>
    <w:rsid w:val="00AA29FC"/>
    <w:rsid w:val="00AB79BE"/>
    <w:rsid w:val="00AC1031"/>
    <w:rsid w:val="00AD129C"/>
    <w:rsid w:val="00AE030F"/>
    <w:rsid w:val="00AE1E7A"/>
    <w:rsid w:val="00AE3F20"/>
    <w:rsid w:val="00AE4F48"/>
    <w:rsid w:val="00AE7852"/>
    <w:rsid w:val="00B10D67"/>
    <w:rsid w:val="00B20976"/>
    <w:rsid w:val="00B22672"/>
    <w:rsid w:val="00B278B7"/>
    <w:rsid w:val="00B30D96"/>
    <w:rsid w:val="00B42480"/>
    <w:rsid w:val="00B53355"/>
    <w:rsid w:val="00B60B8A"/>
    <w:rsid w: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sid w:val="00C44CC9"/>
    <w:rsid w:val="00C67640"/>
    <w:rsid w:val="00C720B9"/>
    <w:rsid w:val="00C81585"/>
    <w:rsid w:val="00C83117"/>
    <w:rsid w:val="00C9117F"/>
    <w:rsid w:val="00C968CA"/>
    <w:rsid w:val="00CA3446"/>
    <w:rsid w:val="00CC3AAC"/>
    <w:rsid w:val="00CD1225"/>
    <w:rsid w:val="00CD4104"/>
    <w:rsid w:val="00CD45CC"/>
    <w:rsid w:val="00CE6FD6"/>
    <w:rsid w:val="00CF0693"/>
    <w:rsid w:val="00CF409B"/>
    <w:rsid w:val="00CF48D5"/>
    <w:rsid w:val="00CF7A36"/>
    <w:rsid w:val="00D05EC6"/>
    <w:rsid w:val="00D07FFD"/>
    <w:rsid w:val="00D1676C"/>
    <w:rsid w:val="00D24895"/>
    <w:rsid w:val="00D33905"/>
    <w:rsid w:val="00D50F11"/>
    <w:rsid w:val="00D53C1B"/>
    <w:rsid w:val="00D700CF"/>
    <w:rsid w:val="00D7737E"/>
    <w:rsid w:val="00DA3B12"/>
    <w:rsid w:val="00DB3A40"/>
    <w:rsid w:val="00DC02E8"/>
    <w:rsid w:val="00DC51C4"/>
    <w:rsid w:val="00DC5B67"/>
    <w:rsid w:val="00DE2121"/>
    <w:rsid w:val="00DE263F"/>
    <w:rsid w:val="00DE3DE1"/>
    <w:rsid w:val="00DE72D9"/>
    <w:rsid w:val="00DE75C1"/>
    <w:rsid w:val="00E022E7"/>
    <w:rsid w:val="00E119D5"/>
    <w:rsid w:val="00E1618F"/>
    <w:rsid w:val="00E22A5D"/>
    <w:rsid w:val="00E422D4"/>
    <w:rsid w:val="00E4654B"/>
    <w:rsid w:val="00E534EA"/>
    <w:rsid w:val="00E6411A"/>
    <w:rsid w:val="00E80AD9"/>
    <w:rsid w:val="00E83C40"/>
    <w:rsid w:val="00E93108"/>
    <w:rsid w:val="00E948EC"/>
    <w:rsid w:val="00EB152C"/>
    <w:rsid w:val="00EB2D5C"/>
    <w:rsid w:val="00EC22F2"/>
    <w:rsid w:val="00EC2B45"/>
    <w:rsid w:val="00EC4B14"/>
    <w:rsid w:val="00EC6428"/>
    <w:rsid w:val="00ED2DCA"/>
    <w:rsid w:val="00ED7D41"/>
    <w:rsid w:val="00EE5122"/>
    <w:rsid w:val="00EE5A9B"/>
    <w:rsid w:val="00EF7D78"/>
    <w:rsid w:val="00F01D63"/>
    <w:rsid w:val="00F03712"/>
    <w:rsid w:val="00F139E9"/>
    <w:rsid w:val="00F15159"/>
    <w:rsid w:val="00F2250D"/>
    <w:rsid w:val="00F3092F"/>
    <w:rsid w:val="00F31ED0"/>
    <w:rsid w:val="00F41113"/>
    <w:rsid w:val="00F5167D"/>
    <w:rsid w:val="00F51AC6"/>
    <w:rsid w:val="00F7043B"/>
    <w:rsid w:val="00F73B36"/>
    <w:rsid w:val="00F8322F"/>
    <w:rsid w:val="00F86A80"/>
    <w:rsid w:val="00FA677D"/>
    <w:rsid w:val="00FD3C84"/>
    <w:rsid w:val="00FD3F6A"/>
    <w:rsid w:val="00FD7CDF"/>
    <w:rsid w:val="00FE301D"/>
    <w:rsid w:val="00FF220C"/>
    <w:rsid w:val="00FF3F7E"/>
    <w:rsid w:val="00FF647F"/>
    <w:rsid w:val="00FF68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pha.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Praudina@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pha.net/" TargetMode="External"/><Relationship Id="rId4" Type="http://schemas.openxmlformats.org/officeDocument/2006/relationships/settings" Target="settings.xml"/><Relationship Id="rId9" Type="http://schemas.openxmlformats.org/officeDocument/2006/relationships/hyperlink" Target="http://www.orpha.net/national/L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3CF8-16E6-4C12-831D-4EBA792C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1262</Words>
  <Characters>7198</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Otrās Kopienas rīcības programmas sabiedrības veselības jomā (2008. – 2013.gadam) vienoto rīcību „Reto slimību un orfānu zāļu Eiropas tīkla izveide” (JA-Orphanet Europe)</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Otrās Kopienas rīcības programmas sabiedrības veselības jomā (2008. – 2013.gadam) vienoto rīcību „Reto slimību un orfānu zāļu Eiropas tīkla izveide” (JA-Orphanet Europe)</dc:title>
  <dc:subject>Informatīvais ziņojums</dc:subject>
  <dc:creator>Elīna Praudiņa</dc:creator>
  <dc:description>Budžeta un investīciju departamenta
Finanšu analīzes un investīciju koordinācijas nodaļas vecākā referente Elīna Praudiņa
Elina.Praudina@vm.gov.lv
67876045</dc:description>
  <cp:lastModifiedBy>Epraudina</cp:lastModifiedBy>
  <cp:revision>20</cp:revision>
  <cp:lastPrinted>2013-07-02T07:48:00Z</cp:lastPrinted>
  <dcterms:created xsi:type="dcterms:W3CDTF">2013-07-15T07:33:00Z</dcterms:created>
  <dcterms:modified xsi:type="dcterms:W3CDTF">2013-08-20T09:59:00Z</dcterms:modified>
</cp:coreProperties>
</file>