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3E4B12" w:rsidRDefault="00956BE6" w:rsidP="00956BE6">
      <w:pPr>
        <w:jc w:val="center"/>
        <w:rPr>
          <w:b/>
        </w:rPr>
      </w:pPr>
      <w:bookmarkStart w:id="0" w:name="OLE_LINK3"/>
      <w:bookmarkStart w:id="1" w:name="OLE_LINK4"/>
      <w:bookmarkStart w:id="2" w:name="OLE_LINK1"/>
      <w:bookmarkStart w:id="3" w:name="OLE_LINK2"/>
      <w:bookmarkStart w:id="4" w:name="OLE_LINK12"/>
      <w:bookmarkStart w:id="5" w:name="OLE_LINK13"/>
      <w:r w:rsidRPr="003E4B12">
        <w:rPr>
          <w:b/>
        </w:rPr>
        <w:t>Ministru kabineta noteikumu projekta</w:t>
      </w:r>
    </w:p>
    <w:p w:rsidR="00956BE6" w:rsidRPr="003E4B12" w:rsidRDefault="00956BE6" w:rsidP="00956BE6">
      <w:pPr>
        <w:jc w:val="center"/>
        <w:rPr>
          <w:b/>
        </w:rPr>
      </w:pPr>
      <w:r w:rsidRPr="003E4B12">
        <w:rPr>
          <w:b/>
        </w:rPr>
        <w:t xml:space="preserve">“Grozījumi Ministru kabineta 2000.gada 26.septembra noteikumos Nr.330 “Vakcinācijas noteikumi”” </w:t>
      </w:r>
    </w:p>
    <w:p w:rsidR="00956BE6" w:rsidRPr="003E4B12" w:rsidRDefault="00956BE6" w:rsidP="00956BE6">
      <w:pPr>
        <w:jc w:val="center"/>
        <w:rPr>
          <w:b/>
        </w:rPr>
      </w:pPr>
      <w:r w:rsidRPr="003E4B12">
        <w:rPr>
          <w:b/>
          <w:bCs/>
        </w:rPr>
        <w:t>sākotnējās ietekmes novērtējuma ziņojums (anotācija)</w:t>
      </w:r>
    </w:p>
    <w:bookmarkEnd w:id="0"/>
    <w:bookmarkEnd w:id="1"/>
    <w:p w:rsidR="002F17DF" w:rsidRPr="003E4B12" w:rsidRDefault="002F17DF" w:rsidP="00586F93">
      <w:pPr>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323"/>
        <w:gridCol w:w="6251"/>
      </w:tblGrid>
      <w:tr w:rsidR="002F17DF" w:rsidRPr="003E4B12" w:rsidTr="002F17D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3E4B12" w:rsidTr="003E4B12">
        <w:trPr>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1.</w:t>
            </w:r>
          </w:p>
        </w:tc>
        <w:tc>
          <w:tcPr>
            <w:tcW w:w="2323"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Pamatojums</w:t>
            </w:r>
          </w:p>
        </w:tc>
        <w:tc>
          <w:tcPr>
            <w:tcW w:w="6251" w:type="dxa"/>
            <w:tcBorders>
              <w:top w:val="outset" w:sz="6" w:space="0" w:color="auto"/>
              <w:left w:val="outset" w:sz="6" w:space="0" w:color="auto"/>
              <w:bottom w:val="outset" w:sz="6" w:space="0" w:color="auto"/>
              <w:right w:val="outset" w:sz="6" w:space="0" w:color="auto"/>
            </w:tcBorders>
            <w:hideMark/>
          </w:tcPr>
          <w:p w:rsidR="00995D80" w:rsidRPr="00995D80" w:rsidRDefault="00956BE6" w:rsidP="00995D80">
            <w:pPr>
              <w:ind w:firstLine="126"/>
              <w:jc w:val="both"/>
              <w:rPr>
                <w:u w:val="single"/>
              </w:rPr>
            </w:pPr>
            <w:r w:rsidRPr="003E4B12">
              <w:t xml:space="preserve">Ministru kabineta noteikumu projekts „Grozījumi Ministru kabineta 2000.gada 26.septembra noteikumos Nr.330 „Vakcinācijas noteikumi”” (turpmāk – noteikumu projekts) </w:t>
            </w:r>
            <w:r w:rsidRPr="006755D8">
              <w:t>izstrādāts pēc Veselības ministrijas iniciatīvas</w:t>
            </w:r>
            <w:r w:rsidR="0061287A">
              <w:t>.</w:t>
            </w:r>
          </w:p>
        </w:tc>
      </w:tr>
      <w:tr w:rsidR="00956BE6" w:rsidRPr="003E4B12" w:rsidTr="003E4B12">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2.</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Pašreizējā situācija un problēmas</w:t>
            </w:r>
          </w:p>
        </w:tc>
        <w:tc>
          <w:tcPr>
            <w:tcW w:w="625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 xml:space="preserve">2010.gadā tika uzsākta bērnu vakcinācija pret pneimokoku infekciju, pielietojot septiņvalento konjugēto pneimokoku vakcīnu, kuras vakcinācijas kurss ir četras potes -  2, 4, 6 un 12 līdz 15 mēnešus veciem bērniem. Šāds vakcinācijas kurss šobrīd ir noteikts Ministru kabineta 2000.gada 26.septembra noteikumu Nr.330 „Vakcinācijas noteikumi” (turpmāk – MK noteikumi) 1.pielikumā. </w:t>
            </w:r>
          </w:p>
          <w:p w:rsidR="0061347B" w:rsidRPr="006755D8" w:rsidRDefault="00956BE6" w:rsidP="0061347B">
            <w:pPr>
              <w:keepLines/>
              <w:autoSpaceDE w:val="0"/>
              <w:autoSpaceDN w:val="0"/>
              <w:adjustRightInd w:val="0"/>
              <w:ind w:firstLine="360"/>
              <w:jc w:val="both"/>
            </w:pPr>
            <w:r w:rsidRPr="003E4B12">
              <w:t xml:space="preserve">Valstīs, kurās veica vakcināciju pret pneimokoku infekciju ar septiņvalento konjugēto pneimokoku vakcīnu, notikusi vai notiek pāreja uz plašāka serotipu spektra pneimokoku vakcīnas izmantošanu. Atbilstoši pneimokoku vakcīnu zāļu aprakstiem ir paredzēts arī alternatīvs vakcinācijas kurss, kas ietver trīs potes (2+1): divas </w:t>
            </w:r>
            <w:r w:rsidR="002D7528">
              <w:t xml:space="preserve">potes </w:t>
            </w:r>
            <w:r w:rsidRPr="003E4B12">
              <w:t xml:space="preserve">pirmajā dzīves gadā </w:t>
            </w:r>
            <w:r w:rsidR="002D7528">
              <w:t>(</w:t>
            </w:r>
            <w:r w:rsidR="002D7528" w:rsidRPr="003E4B12">
              <w:t>2</w:t>
            </w:r>
            <w:r w:rsidR="002D7528">
              <w:t xml:space="preserve"> un</w:t>
            </w:r>
            <w:r w:rsidR="002D7528" w:rsidRPr="003E4B12">
              <w:t xml:space="preserve"> 4 </w:t>
            </w:r>
            <w:r w:rsidR="002D7528">
              <w:t>mēnešus veciem bērniem) un</w:t>
            </w:r>
            <w:r w:rsidRPr="003E4B12">
              <w:t xml:space="preserve"> 3.</w:t>
            </w:r>
            <w:r w:rsidRPr="006755D8">
              <w:t>pote (</w:t>
            </w:r>
            <w:proofErr w:type="spellStart"/>
            <w:r w:rsidRPr="006755D8">
              <w:t>balstvakcinācija</w:t>
            </w:r>
            <w:proofErr w:type="spellEnd"/>
            <w:r w:rsidRPr="006755D8">
              <w:t>) otrajā dzīves gadā 12-15 mēnešus veciem bērniem. Saskaņā  ar Pasaules Veselības organizācijas datiem vairākās valstīs (vismaz 19) tiek izmantota vakcīnu z</w:t>
            </w:r>
            <w:r w:rsidR="006B51D7" w:rsidRPr="006755D8">
              <w:t>ā</w:t>
            </w:r>
            <w:r w:rsidRPr="006755D8">
              <w:t>ļu aprakstos paredzētā alternatīvā vakcinācijas shēma</w:t>
            </w:r>
            <w:r w:rsidRPr="006755D8">
              <w:rPr>
                <w:u w:val="single"/>
              </w:rPr>
              <w:t xml:space="preserve"> </w:t>
            </w:r>
            <w:r w:rsidRPr="006755D8">
              <w:t xml:space="preserve">„2+1”. </w:t>
            </w:r>
            <w:r w:rsidR="0061347B" w:rsidRPr="006755D8">
              <w:t xml:space="preserve">Atbilstoši zāļu aprakstiem plašāka </w:t>
            </w:r>
            <w:proofErr w:type="spellStart"/>
            <w:r w:rsidR="0061347B" w:rsidRPr="006755D8">
              <w:t>serotipu</w:t>
            </w:r>
            <w:proofErr w:type="spellEnd"/>
            <w:r w:rsidR="0061347B" w:rsidRPr="006755D8">
              <w:t xml:space="preserve"> spektra pneimokoku vakcīnas var tikt lietotas imunizācijas turpināšanai pēc </w:t>
            </w:r>
            <w:proofErr w:type="spellStart"/>
            <w:r w:rsidR="0061347B" w:rsidRPr="006755D8">
              <w:t>septiņvalentās</w:t>
            </w:r>
            <w:proofErr w:type="spellEnd"/>
            <w:r w:rsidR="0061347B" w:rsidRPr="006755D8">
              <w:t xml:space="preserve"> konjugēt</w:t>
            </w:r>
            <w:r w:rsidR="00F0081C" w:rsidRPr="006755D8">
              <w:t>ās</w:t>
            </w:r>
            <w:r w:rsidR="0061347B" w:rsidRPr="006755D8">
              <w:t xml:space="preserve"> pneimokoku vakcīnas.</w:t>
            </w:r>
          </w:p>
          <w:p w:rsidR="0061347B" w:rsidRPr="006755D8" w:rsidRDefault="0061347B" w:rsidP="0061347B">
            <w:pPr>
              <w:keepLines/>
              <w:autoSpaceDE w:val="0"/>
              <w:autoSpaceDN w:val="0"/>
              <w:adjustRightInd w:val="0"/>
              <w:ind w:firstLine="360"/>
              <w:jc w:val="both"/>
            </w:pPr>
            <w:r w:rsidRPr="006755D8">
              <w:t xml:space="preserve">Saskaņā ar informāciju no </w:t>
            </w:r>
            <w:r w:rsidRPr="006755D8">
              <w:rPr>
                <w:i/>
                <w:iCs/>
              </w:rPr>
              <w:t>Eurovac.ne</w:t>
            </w:r>
            <w:r w:rsidR="00F0081C" w:rsidRPr="006755D8">
              <w:rPr>
                <w:i/>
                <w:iCs/>
              </w:rPr>
              <w:t xml:space="preserve">t </w:t>
            </w:r>
            <w:r w:rsidRPr="006755D8">
              <w:t xml:space="preserve">Austrijā, Horvātijā, Islandē, Maltā, Slovēnijā, Spānijā, Itālijā un Šveicē pret pneimokoku infekciju vakcinē tikai augsta riska grupas bērnus. Pārējās Eiropas valstīs (izņemot Igauniju, Lietuvu, Poliju, Portugāli un Rumāniju, kur bērni pret šo infekciju netiek vakcinēti) tiek lietota rutīnas zīdaiņu un mazo bērnu vakcinācijai (līdzīgi kā Latvijā).  </w:t>
            </w:r>
          </w:p>
          <w:p w:rsidR="00956BE6" w:rsidRPr="006755D8" w:rsidRDefault="00956BE6" w:rsidP="00995D80">
            <w:pPr>
              <w:jc w:val="both"/>
            </w:pPr>
            <w:r w:rsidRPr="006755D8">
              <w:t xml:space="preserve">Pārēja uz plašāka spektra vakcīnām skaidrojama ar to, ka pieaug to </w:t>
            </w:r>
            <w:r w:rsidRPr="006755D8">
              <w:rPr>
                <w:i/>
              </w:rPr>
              <w:t>Streptococcus pneumoniae</w:t>
            </w:r>
            <w:r w:rsidRPr="006755D8">
              <w:t xml:space="preserve"> serotipu rezistence, kas nav iekļauti septiņvalentajā konjugētajā pneimokoku vakcīnā.</w:t>
            </w:r>
          </w:p>
          <w:p w:rsidR="00956BE6" w:rsidRPr="006755D8" w:rsidRDefault="00956BE6" w:rsidP="00995D80">
            <w:pPr>
              <w:jc w:val="both"/>
            </w:pPr>
            <w:r w:rsidRPr="006755D8">
              <w:t xml:space="preserve">Vakcinācijas shēmas efektivitāte pierādīta pētījumos un apstiprināta  zāļu lietošanas instrukcijā.   </w:t>
            </w:r>
          </w:p>
          <w:p w:rsidR="00956BE6" w:rsidRPr="006755D8" w:rsidRDefault="00956BE6" w:rsidP="00995D80">
            <w:pPr>
              <w:jc w:val="both"/>
            </w:pPr>
            <w:r w:rsidRPr="006755D8">
              <w:t xml:space="preserve">Ņemot vērā augstāk minēto, </w:t>
            </w:r>
            <w:r w:rsidR="006B51D7" w:rsidRPr="006755D8">
              <w:t xml:space="preserve">ka </w:t>
            </w:r>
            <w:r w:rsidRPr="006755D8">
              <w:t>arī Latvija 2012.gadā plāno pāriet uz plašāka serotipu spektra pneimokoku vakcīnas pielietošanu un noteikt vakcinācijas kursu, kas ietver trīs potes, ir nepieciešams veikt izmaiņas MK noteikumu 1.pielikumā.</w:t>
            </w:r>
          </w:p>
          <w:p w:rsidR="00956BE6" w:rsidRPr="003E4B12" w:rsidRDefault="00956BE6" w:rsidP="00995D80">
            <w:pPr>
              <w:jc w:val="both"/>
              <w:rPr>
                <w:u w:val="single"/>
              </w:rPr>
            </w:pPr>
            <w:r w:rsidRPr="006755D8">
              <w:t>Ārstniecības iestādēm</w:t>
            </w:r>
            <w:r w:rsidR="002D7528" w:rsidRPr="006755D8">
              <w:t xml:space="preserve"> (ģimenes ārstiem)</w:t>
            </w:r>
            <w:r w:rsidRPr="006755D8">
              <w:t xml:space="preserve"> tiks sniegts skaidrojums par pāreju uz plaša spektra pneimokoku vakcīnu, ņemot vērā citu valstu pieredzi</w:t>
            </w:r>
            <w:r w:rsidRPr="00E03F82">
              <w:t xml:space="preserve">. </w:t>
            </w:r>
          </w:p>
          <w:p w:rsidR="00995D80" w:rsidRPr="003E4B12" w:rsidRDefault="00956BE6" w:rsidP="00995D80">
            <w:pPr>
              <w:jc w:val="both"/>
            </w:pPr>
            <w:r w:rsidRPr="003E4B12">
              <w:t xml:space="preserve">Saskaņā ar Ministru kabineta 2011.gada 7.septembra rīkojumu </w:t>
            </w:r>
            <w:r w:rsidRPr="003E4B12">
              <w:lastRenderedPageBreak/>
              <w:t xml:space="preserve">Nr. </w:t>
            </w:r>
            <w:r w:rsidRPr="006755D8">
              <w:t xml:space="preserve">436 </w:t>
            </w:r>
            <w:r w:rsidRPr="003E4B12">
              <w:t>„Par Veselības norēķinu centra un Veselības ekonomikas centra reorganizāciju” 1.punktā noteikto ar 2011.gada 1.novembri izveidots Nacionālais veselības dienests, kas ir Veselības norēķinu centra funkciju, pārvaldes uzdevumu, tiesību, saistību, finanšu līdzekļu, mantas un lietvedības pārņēmējs. Līdz ar to nepieciešams veikt tehniskus grozījumus MK noteikumos, aizstājot iestādes nosaukumu</w:t>
            </w:r>
            <w:r w:rsidR="0061287A">
              <w:t>.</w:t>
            </w:r>
          </w:p>
        </w:tc>
      </w:tr>
      <w:tr w:rsidR="00956BE6" w:rsidRPr="003E4B12" w:rsidTr="003E4B12">
        <w:trPr>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3E4B12">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4.</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Tiesiskā regulējuma mērķis un būtība</w:t>
            </w:r>
          </w:p>
        </w:tc>
        <w:tc>
          <w:tcPr>
            <w:tcW w:w="6251" w:type="dxa"/>
            <w:tcBorders>
              <w:top w:val="outset" w:sz="6" w:space="0" w:color="auto"/>
              <w:left w:val="outset" w:sz="6" w:space="0" w:color="auto"/>
              <w:bottom w:val="outset" w:sz="6" w:space="0" w:color="auto"/>
              <w:right w:val="outset" w:sz="6" w:space="0" w:color="auto"/>
            </w:tcBorders>
            <w:hideMark/>
          </w:tcPr>
          <w:p w:rsidR="00956BE6" w:rsidRPr="006755D8" w:rsidRDefault="00956BE6" w:rsidP="007755B7">
            <w:pPr>
              <w:jc w:val="both"/>
              <w:rPr>
                <w:i/>
              </w:rPr>
            </w:pPr>
            <w:r w:rsidRPr="006755D8">
              <w:t xml:space="preserve">Noteikumu projekta mērķis ir bērnu imunitātes palielināšana pret plašāka spektra pneimokoku infekcijas izraisītājiem, tai skaitā pret rezistento </w:t>
            </w:r>
            <w:r w:rsidRPr="006755D8">
              <w:rPr>
                <w:i/>
              </w:rPr>
              <w:t>Streptococcus pneumoniae.</w:t>
            </w:r>
          </w:p>
          <w:p w:rsidR="007E4147" w:rsidRDefault="00956BE6" w:rsidP="007755B7">
            <w:pPr>
              <w:jc w:val="both"/>
            </w:pPr>
            <w:r w:rsidRPr="006755D8">
              <w:t>Saskaņā ar plaša spektra konjugēt</w:t>
            </w:r>
            <w:r w:rsidR="0061287A">
              <w:t>ās</w:t>
            </w:r>
            <w:r w:rsidRPr="006755D8">
              <w:t xml:space="preserve"> </w:t>
            </w:r>
            <w:r w:rsidR="0061287A">
              <w:t xml:space="preserve">pneimokoka </w:t>
            </w:r>
            <w:r w:rsidRPr="006755D8">
              <w:t>vakcīn</w:t>
            </w:r>
            <w:r w:rsidR="0061287A">
              <w:t>as</w:t>
            </w:r>
            <w:r w:rsidRPr="006755D8">
              <w:t xml:space="preserve"> zāļu aprakstu un lietošanas instrukciju imunitātes nodrošināšanai pietiek trīs potes</w:t>
            </w:r>
            <w:r w:rsidRPr="006755D8">
              <w:rPr>
                <w:i/>
              </w:rPr>
              <w:t>.</w:t>
            </w:r>
            <w:r w:rsidR="0061287A">
              <w:t xml:space="preserve"> </w:t>
            </w:r>
          </w:p>
          <w:p w:rsidR="00995D80" w:rsidRDefault="00956BE6" w:rsidP="007755B7">
            <w:pPr>
              <w:jc w:val="both"/>
            </w:pPr>
            <w:r w:rsidRPr="003E4B12">
              <w:t xml:space="preserve">Noteikumu projekts paredz veikt arī tehniskus grozījumus, aizstājot iestādes nosaukumu </w:t>
            </w:r>
            <w:r w:rsidRPr="008F1669">
              <w:t>Veselības norēķinu centrs</w:t>
            </w:r>
            <w:r w:rsidRPr="003E4B12">
              <w:t xml:space="preserve"> ar vārdiem „Nacionālais veselības dienests”</w:t>
            </w:r>
            <w:r w:rsidR="0061287A">
              <w:t>.</w:t>
            </w:r>
          </w:p>
          <w:p w:rsidR="0061287A" w:rsidRPr="003E4B12" w:rsidRDefault="0061287A" w:rsidP="007755B7">
            <w:pPr>
              <w:jc w:val="both"/>
            </w:pPr>
          </w:p>
        </w:tc>
      </w:tr>
      <w:tr w:rsidR="00956BE6" w:rsidRPr="003E4B12" w:rsidTr="003E4B12">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6F266A">
            <w:pPr>
              <w:spacing w:before="100" w:beforeAutospacing="1" w:after="100" w:afterAutospacing="1"/>
            </w:pPr>
            <w:r w:rsidRPr="003E4B12">
              <w:t> 5.</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956BE6" w:rsidRPr="00995D80" w:rsidRDefault="00956BE6" w:rsidP="007755B7">
            <w:pPr>
              <w:pStyle w:val="BodyTextIndent"/>
              <w:autoSpaceDE w:val="0"/>
              <w:autoSpaceDN w:val="0"/>
              <w:adjustRightInd w:val="0"/>
              <w:spacing w:after="0"/>
              <w:ind w:left="0"/>
              <w:jc w:val="both"/>
              <w:rPr>
                <w:u w:val="single"/>
                <w:lang w:val="sv-SE"/>
              </w:rPr>
            </w:pPr>
            <w:r w:rsidRPr="003E4B12">
              <w:rPr>
                <w:lang w:val="sv-SE"/>
              </w:rPr>
              <w:t xml:space="preserve">Veselības ministrija sadarbībā ar valsts aģentūru ”Latvijas Infektoloģijas centrs”, Nacionālo veselības dienestu un Imunizācijas valsts padomi, </w:t>
            </w:r>
            <w:r w:rsidRPr="00E03F82">
              <w:rPr>
                <w:lang w:val="sv-SE"/>
              </w:rPr>
              <w:t>kuras sastāvā ir arī nevalstiskās organizācijas (biedrība ”Māmiņu klubs”)</w:t>
            </w:r>
            <w:r w:rsidR="0061287A">
              <w:rPr>
                <w:lang w:val="sv-SE"/>
              </w:rPr>
              <w:t>.</w:t>
            </w:r>
          </w:p>
        </w:tc>
      </w:tr>
      <w:tr w:rsidR="00956BE6" w:rsidRPr="003E4B12" w:rsidTr="003E4B12">
        <w:trPr>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6.</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rPr>
                <w:color w:val="000000"/>
              </w:rPr>
            </w:pPr>
            <w:r w:rsidRPr="003E4B12">
              <w:t>Ņemot vērā, ka noteikumu projekts tieši neskar būtiskas sabiedrības intereses (MK noteikumu 1.pielikums pēc būtības netiek izmainīts), sabiedrības līdzdalība projekta izstrādē netika nodrošināta</w:t>
            </w:r>
            <w:r w:rsidR="0061287A">
              <w:t>.</w:t>
            </w:r>
          </w:p>
        </w:tc>
      </w:tr>
      <w:tr w:rsidR="00956BE6" w:rsidRPr="003E4B12" w:rsidTr="003E4B12">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7.</w:t>
            </w:r>
          </w:p>
        </w:tc>
        <w:tc>
          <w:tcPr>
            <w:tcW w:w="232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956BE6" w:rsidRPr="00E03F82" w:rsidRDefault="00956BE6" w:rsidP="006B51D7">
            <w:pPr>
              <w:spacing w:after="120"/>
              <w:jc w:val="both"/>
            </w:pPr>
            <w:r w:rsidRPr="00E03F82">
              <w:t>Vakcinācijas kursu bērniem, kuru vakcinācija sākta ar septiņvalento vakcīnu pret pneimokoku infekciju, pabeidz bērnus vakcinējot ar plašāka spektra vakcīnu, par ko valsts aģentūra „Latvijas Infektoloģijas centrs” ir sagatavojusi skaidrojumu ģimenes ārstiem un attiecīgajām ārstu profesionālajām asociācijām.</w:t>
            </w:r>
          </w:p>
          <w:p w:rsidR="00956BE6" w:rsidRPr="00E03F82" w:rsidRDefault="00956BE6" w:rsidP="006B51D7">
            <w:pPr>
              <w:spacing w:after="120"/>
              <w:jc w:val="both"/>
            </w:pPr>
            <w:r w:rsidRPr="00E03F82">
              <w:t>Veselības ministrijā kopīgi ar Izglītības un zinātnes ministriju ir uzsāktas sarunas par iespējamo Latvijas dalību starptautiskā pētījumā par iemesliem, kādēļ sabiedrībā parādās tendence  pieaugt noraidošai attieksmei pret vakcināciju.</w:t>
            </w:r>
          </w:p>
          <w:p w:rsidR="00956BE6" w:rsidRPr="00E03F82" w:rsidRDefault="00956BE6" w:rsidP="006B51D7">
            <w:pPr>
              <w:autoSpaceDE w:val="0"/>
              <w:autoSpaceDN w:val="0"/>
              <w:adjustRightInd w:val="0"/>
              <w:spacing w:after="120"/>
              <w:jc w:val="both"/>
              <w:rPr>
                <w:color w:val="000000"/>
              </w:rPr>
            </w:pPr>
            <w:r w:rsidRPr="00E03F82">
              <w:rPr>
                <w:color w:val="000000"/>
              </w:rPr>
              <w:t xml:space="preserve">Uzsākot (2010.gadā) bērnu vakcināciju pret pneimokoku infekciju ar </w:t>
            </w:r>
            <w:proofErr w:type="spellStart"/>
            <w:r w:rsidRPr="00E03F82">
              <w:t>septiņvalento</w:t>
            </w:r>
            <w:proofErr w:type="spellEnd"/>
            <w:r w:rsidRPr="00E03F82">
              <w:t xml:space="preserve"> konjugēto pneimokoku vakcīnu</w:t>
            </w:r>
            <w:r w:rsidR="00E03F82">
              <w:t>,</w:t>
            </w:r>
            <w:r w:rsidRPr="00E03F82">
              <w:t xml:space="preserve"> </w:t>
            </w:r>
            <w:r w:rsidRPr="00E03F82">
              <w:rPr>
                <w:color w:val="000000"/>
              </w:rPr>
              <w:t>vakcinēto bērnu aptvere sasniedza 63%, kas starptautiskās imunizācijas prakses kontekstā ir uzskatāms par labu rādītāju pirmajā gadā pēc jaunas vakcīnas ieviešanas. Savukārt</w:t>
            </w:r>
            <w:r w:rsidR="00735D7B" w:rsidRPr="00E03F82">
              <w:rPr>
                <w:color w:val="000000"/>
              </w:rPr>
              <w:t>,</w:t>
            </w:r>
            <w:r w:rsidRPr="00E03F82">
              <w:rPr>
                <w:color w:val="000000"/>
              </w:rPr>
              <w:t xml:space="preserve"> 2011.gada pirmajos desmit mēnešos vakcinācijas aptvere ar vakcīnu pret pneimokoku infekciju ir </w:t>
            </w:r>
            <w:r w:rsidR="00E03F82">
              <w:rPr>
                <w:color w:val="000000"/>
              </w:rPr>
              <w:t xml:space="preserve">jau </w:t>
            </w:r>
            <w:r w:rsidRPr="00E03F82">
              <w:rPr>
                <w:color w:val="000000"/>
              </w:rPr>
              <w:t xml:space="preserve">sasniegusi 86,3%. </w:t>
            </w:r>
          </w:p>
          <w:p w:rsidR="00956BE6" w:rsidRPr="003E4B12" w:rsidRDefault="00956BE6" w:rsidP="006B51D7">
            <w:pPr>
              <w:spacing w:after="120"/>
              <w:jc w:val="both"/>
              <w:rPr>
                <w:u w:val="single"/>
              </w:rPr>
            </w:pPr>
            <w:r w:rsidRPr="00E03F82">
              <w:rPr>
                <w:color w:val="000000"/>
              </w:rPr>
              <w:t xml:space="preserve">Vakcinācijas ietekmi uz bērnu saslimšanas gadījumu skaitu, tai skaitā ar </w:t>
            </w:r>
            <w:r w:rsidRPr="00E03F82">
              <w:t>pneimokoka izraisītām slimībām, p</w:t>
            </w:r>
            <w:r w:rsidRPr="00E03F82">
              <w:rPr>
                <w:color w:val="000000"/>
              </w:rPr>
              <w:t xml:space="preserve">arasti adekvāti var  </w:t>
            </w:r>
            <w:r w:rsidRPr="00E03F82">
              <w:t xml:space="preserve">novērtēt trīs gadus pēc jaunas vakcinācijas ieviešanas valstī, ne </w:t>
            </w:r>
            <w:r w:rsidRPr="00E03F82">
              <w:lastRenderedPageBreak/>
              <w:t>ātrāk pa</w:t>
            </w:r>
            <w:r w:rsidR="00995D80" w:rsidRPr="00E03F82">
              <w:t>r 2013.gadu</w:t>
            </w:r>
            <w:r w:rsidR="0061287A">
              <w:t>.</w:t>
            </w:r>
          </w:p>
        </w:tc>
      </w:tr>
      <w:bookmarkEnd w:id="2"/>
      <w:bookmarkEnd w:id="3"/>
      <w:bookmarkEnd w:id="4"/>
      <w:bookmarkEnd w:id="5"/>
    </w:tbl>
    <w:p w:rsidR="00C8067C" w:rsidRPr="003E4B12" w:rsidRDefault="00C8067C"/>
    <w:tbl>
      <w:tblPr>
        <w:tblW w:w="497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2753"/>
        <w:gridCol w:w="5782"/>
      </w:tblGrid>
      <w:tr w:rsidR="00C8067C" w:rsidRPr="003E4B12" w:rsidTr="00C8067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3E4B12" w:rsidRDefault="00C8067C" w:rsidP="006007F8">
            <w:pPr>
              <w:spacing w:before="100" w:beforeAutospacing="1" w:after="100" w:afterAutospacing="1"/>
              <w:jc w:val="center"/>
              <w:rPr>
                <w:b/>
              </w:rPr>
            </w:pPr>
            <w:r w:rsidRPr="003E4B12">
              <w:rPr>
                <w:b/>
              </w:rPr>
              <w:t>II. Tiesību akta projekta ietekme uz sabiedrību</w:t>
            </w:r>
          </w:p>
        </w:tc>
      </w:tr>
      <w:tr w:rsidR="00956BE6" w:rsidRPr="003E4B12" w:rsidTr="00956BE6">
        <w:trPr>
          <w:trHeight w:val="46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1.</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Sabiedrības mērķgrupa</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spacing w:before="100" w:beforeAutospacing="1" w:after="100" w:afterAutospacing="1"/>
            </w:pPr>
            <w:r w:rsidRPr="003E4B12">
              <w:t>Bērni, kurus vakcinē pret pneimokoku infekciju, apmēram 20 000</w:t>
            </w:r>
          </w:p>
        </w:tc>
      </w:tr>
      <w:tr w:rsidR="00956BE6" w:rsidRPr="003E4B12" w:rsidTr="00956BE6">
        <w:trPr>
          <w:trHeight w:val="523"/>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2.</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Citas sabiedrības grupas (bez mērķgrupas), kuras tiesiskais regulējums arī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7755B7">
            <w:r w:rsidRPr="003E4B12">
              <w:t>Ģimenes ārsti, aptuveni 1370 personas</w:t>
            </w:r>
          </w:p>
          <w:p w:rsidR="00956BE6" w:rsidRPr="003E4B12" w:rsidRDefault="00956BE6" w:rsidP="007755B7">
            <w:pPr>
              <w:autoSpaceDE w:val="0"/>
              <w:autoSpaceDN w:val="0"/>
              <w:adjustRightInd w:val="0"/>
              <w:jc w:val="both"/>
              <w:rPr>
                <w:color w:val="000000"/>
                <w:u w:val="single"/>
              </w:rPr>
            </w:pPr>
            <w:r w:rsidRPr="003E4B12">
              <w:rPr>
                <w:color w:val="000000"/>
                <w:u w:val="single"/>
              </w:rPr>
              <w:t xml:space="preserve"> </w:t>
            </w: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3.</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3E4B12" w:rsidRDefault="00956BE6" w:rsidP="00995D80">
            <w:pPr>
              <w:jc w:val="both"/>
              <w:rPr>
                <w:bCs/>
                <w:iCs/>
              </w:rPr>
            </w:pPr>
            <w:r w:rsidRPr="003E4B12">
              <w:rPr>
                <w:bCs/>
                <w:iCs/>
              </w:rPr>
              <w:t>Tiešas finansiālas izmaksas (nodokļi, nodevas, sodi, institūciju maksas pakalpojumi) nav paredzētas. Netiešas finansiālas izmaksas un ietekme uz ienākumiem nav</w:t>
            </w:r>
            <w:r w:rsidR="0061287A">
              <w:rPr>
                <w:bCs/>
                <w:iCs/>
              </w:rPr>
              <w:t>.</w:t>
            </w:r>
          </w:p>
        </w:tc>
      </w:tr>
      <w:tr w:rsidR="00956BE6" w:rsidRPr="003E4B12"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4.</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nefinansiālā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Bērnu imunitātes uzlabošana pret plaša spektra pneimokoku izraisītām infekcijas slimībām.</w:t>
            </w:r>
          </w:p>
          <w:p w:rsidR="00995D80" w:rsidRPr="003E4B12" w:rsidRDefault="00956BE6" w:rsidP="007755B7">
            <w:pPr>
              <w:jc w:val="both"/>
            </w:pPr>
            <w:r w:rsidRPr="003E4B12">
              <w:t>Imunizācijas nodrošināšanai nepieciešamas trīs potes, iepriekšējo četru vietā</w:t>
            </w:r>
            <w:r w:rsidR="0061287A">
              <w:t>.</w:t>
            </w:r>
          </w:p>
        </w:tc>
      </w:tr>
      <w:tr w:rsidR="00956BE6" w:rsidRPr="003E4B12" w:rsidTr="00956BE6">
        <w:trPr>
          <w:trHeight w:val="531"/>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5.</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Administratīvās procedūras raksturojums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56BE6">
        <w:trPr>
          <w:trHeight w:val="35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6.</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56BE6">
        <w:trPr>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7.</w:t>
            </w:r>
          </w:p>
        </w:tc>
        <w:tc>
          <w:tcPr>
            <w:tcW w:w="152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 informācija</w:t>
            </w:r>
          </w:p>
        </w:tc>
        <w:tc>
          <w:tcPr>
            <w:tcW w:w="3191" w:type="pct"/>
            <w:tcBorders>
              <w:top w:val="outset" w:sz="6" w:space="0" w:color="auto"/>
              <w:left w:val="outset" w:sz="6" w:space="0" w:color="auto"/>
              <w:bottom w:val="outset" w:sz="6" w:space="0" w:color="auto"/>
              <w:right w:val="outset" w:sz="6" w:space="0" w:color="auto"/>
            </w:tcBorders>
            <w:hideMark/>
          </w:tcPr>
          <w:p w:rsidR="00995D80" w:rsidRPr="00E03F82" w:rsidRDefault="00956BE6" w:rsidP="007755B7">
            <w:pPr>
              <w:jc w:val="both"/>
            </w:pPr>
            <w:r w:rsidRPr="00E03F82">
              <w:t xml:space="preserve">Saskaņā ar noteikumu projektu valsts aģentūra „Latvijas Infektoloģijas centrs” ir sagatavojusi vēstuli (būs arī tīmekļa vietnē </w:t>
            </w:r>
            <w:hyperlink r:id="rId8" w:history="1">
              <w:r w:rsidRPr="00E03F82">
                <w:rPr>
                  <w:rStyle w:val="Hyperlink"/>
                  <w:u w:val="none"/>
                </w:rPr>
                <w:t>www.lic.gov.lv</w:t>
              </w:r>
            </w:hyperlink>
            <w:r w:rsidRPr="00E03F82">
              <w:t>) ģimenes ārstiem un attiecīgajām ārstu profesionālajām asociācijām ar informāciju par grozījumiem MK noteikumos un skaidrojumu, kā pabeidzams vakcinācijas kurss bērniem, kuru vakcinācija sākta ar septiņvalento konjugēto vakcīnu pret pneimokoku infekciju</w:t>
            </w:r>
            <w:r w:rsidR="0061287A">
              <w:t>.</w:t>
            </w:r>
          </w:p>
        </w:tc>
      </w:tr>
    </w:tbl>
    <w:p w:rsidR="00EA620B" w:rsidRPr="003E4B12" w:rsidRDefault="00432C60" w:rsidP="00586F93">
      <w:r w:rsidRPr="003E4B12">
        <w:tab/>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7"/>
        <w:gridCol w:w="821"/>
        <w:gridCol w:w="3437"/>
        <w:gridCol w:w="4261"/>
      </w:tblGrid>
      <w:tr w:rsidR="00EA620B" w:rsidRPr="00EA620B" w:rsidTr="00EA620B">
        <w:trPr>
          <w:tblCellSpacing w:w="0" w:type="dxa"/>
        </w:trPr>
        <w:tc>
          <w:tcPr>
            <w:tcW w:w="9116" w:type="dxa"/>
            <w:gridSpan w:val="4"/>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jc w:val="center"/>
              <w:rPr>
                <w:b/>
                <w:bCs/>
              </w:rPr>
            </w:pPr>
            <w:r w:rsidRPr="00EA620B">
              <w:rPr>
                <w:b/>
                <w:bCs/>
              </w:rPr>
              <w:t>VI. Sabiedrības līdzdalība un šīs līdzdalības rezultāti</w:t>
            </w:r>
          </w:p>
        </w:tc>
      </w:tr>
      <w:tr w:rsidR="00EA620B" w:rsidRPr="00EA620B" w:rsidTr="00EA620B">
        <w:tblPrEx>
          <w:tblCellSpacing w:w="0" w:type="nil"/>
          <w:tblCellMar>
            <w:top w:w="30" w:type="dxa"/>
            <w:left w:w="30" w:type="dxa"/>
            <w:bottom w:w="30" w:type="dxa"/>
            <w:right w:w="30" w:type="dxa"/>
          </w:tblCellMar>
        </w:tblPrEx>
        <w:tc>
          <w:tcPr>
            <w:tcW w:w="597" w:type="dxa"/>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1.</w:t>
            </w:r>
          </w:p>
        </w:tc>
        <w:tc>
          <w:tcPr>
            <w:tcW w:w="4258" w:type="dxa"/>
            <w:gridSpan w:val="2"/>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Sabiedrības informēšana par projekta izstrādes uzsākšanu</w:t>
            </w:r>
          </w:p>
        </w:tc>
        <w:tc>
          <w:tcPr>
            <w:tcW w:w="4261" w:type="dxa"/>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t>Nav</w:t>
            </w:r>
          </w:p>
        </w:tc>
      </w:tr>
      <w:tr w:rsidR="00EA620B" w:rsidRPr="00EA620B" w:rsidTr="00EA620B">
        <w:tblPrEx>
          <w:tblCellSpacing w:w="0" w:type="nil"/>
          <w:tblCellMar>
            <w:top w:w="30" w:type="dxa"/>
            <w:left w:w="30" w:type="dxa"/>
            <w:bottom w:w="30" w:type="dxa"/>
            <w:right w:w="30" w:type="dxa"/>
          </w:tblCellMar>
        </w:tblPrEx>
        <w:tc>
          <w:tcPr>
            <w:tcW w:w="597" w:type="dxa"/>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2.</w:t>
            </w:r>
          </w:p>
        </w:tc>
        <w:tc>
          <w:tcPr>
            <w:tcW w:w="4258" w:type="dxa"/>
            <w:gridSpan w:val="2"/>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Sabiedrības līdzdalība projekta izstrādē</w:t>
            </w:r>
          </w:p>
        </w:tc>
        <w:tc>
          <w:tcPr>
            <w:tcW w:w="4261" w:type="dxa"/>
            <w:tcBorders>
              <w:top w:val="outset" w:sz="6" w:space="0" w:color="auto"/>
              <w:left w:val="outset" w:sz="6" w:space="0" w:color="auto"/>
              <w:bottom w:val="outset" w:sz="6" w:space="0" w:color="auto"/>
              <w:right w:val="outset" w:sz="6" w:space="0" w:color="auto"/>
            </w:tcBorders>
            <w:hideMark/>
          </w:tcPr>
          <w:p w:rsidR="00EA620B" w:rsidRPr="00EA620B" w:rsidRDefault="003E2728" w:rsidP="003E2728">
            <w:pPr>
              <w:jc w:val="both"/>
            </w:pPr>
            <w:r>
              <w:t>Noteikumu projektā noteiktā norma – pāreja uz vakcināciju pret pneimokoku vīrusa infekciju, veicot  trīs potes, ir izskatīta Imunizācijas valsts padomes sēdē</w:t>
            </w:r>
            <w:r w:rsidR="00E47996">
              <w:t xml:space="preserve"> </w:t>
            </w:r>
            <w:r>
              <w:t xml:space="preserve">(25.05.2011.), kā arī saskaņota ar Latvijas lauku ģimenes ārstu asociāciju, Latvijas ģimenes ārstu asociāciju, Māmiņu klubu Latvijā, Latvijas Pediatru asociāciju, Latvijas Specializēto pediatru asociāciju. </w:t>
            </w:r>
          </w:p>
        </w:tc>
      </w:tr>
      <w:tr w:rsidR="00EA620B" w:rsidRPr="00EA620B" w:rsidTr="00EA620B">
        <w:tblPrEx>
          <w:tblCellSpacing w:w="0" w:type="nil"/>
          <w:tblCellMar>
            <w:top w:w="30" w:type="dxa"/>
            <w:left w:w="30" w:type="dxa"/>
            <w:bottom w:w="30" w:type="dxa"/>
            <w:right w:w="30" w:type="dxa"/>
          </w:tblCellMar>
        </w:tblPrEx>
        <w:tc>
          <w:tcPr>
            <w:tcW w:w="597" w:type="dxa"/>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3.</w:t>
            </w:r>
          </w:p>
        </w:tc>
        <w:tc>
          <w:tcPr>
            <w:tcW w:w="4258" w:type="dxa"/>
            <w:gridSpan w:val="2"/>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Sabiedrības līdzdalības rezultāti</w:t>
            </w:r>
          </w:p>
        </w:tc>
        <w:tc>
          <w:tcPr>
            <w:tcW w:w="4261" w:type="dxa"/>
            <w:tcBorders>
              <w:top w:val="outset" w:sz="6" w:space="0" w:color="auto"/>
              <w:left w:val="outset" w:sz="6" w:space="0" w:color="auto"/>
              <w:bottom w:val="outset" w:sz="6" w:space="0" w:color="auto"/>
              <w:right w:val="outset" w:sz="6" w:space="0" w:color="auto"/>
            </w:tcBorders>
            <w:hideMark/>
          </w:tcPr>
          <w:p w:rsidR="00EA620B" w:rsidRPr="00EA620B" w:rsidRDefault="003E2728" w:rsidP="00D849D3">
            <w:pPr>
              <w:spacing w:before="100" w:beforeAutospacing="1" w:after="100" w:afterAutospacing="1"/>
            </w:pPr>
            <w:r>
              <w:t xml:space="preserve">Iebildumi </w:t>
            </w:r>
            <w:r w:rsidR="00D849D3">
              <w:t>par noteikumu projektā noteikto normu no nevalstiskajām institūcijām nav saņemti.</w:t>
            </w:r>
          </w:p>
        </w:tc>
      </w:tr>
      <w:tr w:rsidR="00EA620B" w:rsidRPr="00EA620B" w:rsidTr="00EA620B">
        <w:tblPrEx>
          <w:tblCellSpacing w:w="0" w:type="nil"/>
          <w:tblCellMar>
            <w:top w:w="30" w:type="dxa"/>
            <w:left w:w="30" w:type="dxa"/>
            <w:bottom w:w="30" w:type="dxa"/>
            <w:right w:w="30" w:type="dxa"/>
          </w:tblCellMar>
        </w:tblPrEx>
        <w:tc>
          <w:tcPr>
            <w:tcW w:w="597" w:type="dxa"/>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4.</w:t>
            </w:r>
          </w:p>
        </w:tc>
        <w:tc>
          <w:tcPr>
            <w:tcW w:w="4258" w:type="dxa"/>
            <w:gridSpan w:val="2"/>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Saeimas un ekspertu līdzdalība</w:t>
            </w:r>
          </w:p>
        </w:tc>
        <w:tc>
          <w:tcPr>
            <w:tcW w:w="4261" w:type="dxa"/>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t>Nav</w:t>
            </w:r>
          </w:p>
        </w:tc>
      </w:tr>
      <w:tr w:rsidR="00EA620B" w:rsidRPr="00EA620B" w:rsidTr="00EA620B">
        <w:tblPrEx>
          <w:tblCellSpacing w:w="0" w:type="nil"/>
          <w:tblCellMar>
            <w:top w:w="30" w:type="dxa"/>
            <w:left w:w="30" w:type="dxa"/>
            <w:bottom w:w="30" w:type="dxa"/>
            <w:right w:w="30" w:type="dxa"/>
          </w:tblCellMar>
        </w:tblPrEx>
        <w:tc>
          <w:tcPr>
            <w:tcW w:w="597" w:type="dxa"/>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5.</w:t>
            </w:r>
          </w:p>
        </w:tc>
        <w:tc>
          <w:tcPr>
            <w:tcW w:w="4258" w:type="dxa"/>
            <w:gridSpan w:val="2"/>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pPr>
            <w:r w:rsidRPr="00EA620B">
              <w:t>Cita informācija</w:t>
            </w:r>
          </w:p>
        </w:tc>
        <w:tc>
          <w:tcPr>
            <w:tcW w:w="4261" w:type="dxa"/>
            <w:tcBorders>
              <w:top w:val="outset" w:sz="6" w:space="0" w:color="auto"/>
              <w:left w:val="outset" w:sz="6" w:space="0" w:color="auto"/>
              <w:bottom w:val="outset" w:sz="6" w:space="0" w:color="auto"/>
              <w:right w:val="outset" w:sz="6" w:space="0" w:color="auto"/>
            </w:tcBorders>
            <w:hideMark/>
          </w:tcPr>
          <w:p w:rsidR="00EA620B" w:rsidRPr="00EA620B" w:rsidRDefault="003E2728" w:rsidP="00EA620B">
            <w:pPr>
              <w:spacing w:before="100" w:beforeAutospacing="1" w:after="100" w:afterAutospacing="1"/>
            </w:pPr>
            <w:r>
              <w:t>Nav</w:t>
            </w:r>
          </w:p>
        </w:tc>
      </w:tr>
      <w:tr w:rsidR="0091617D" w:rsidRPr="003E4B12" w:rsidTr="00EA620B">
        <w:trPr>
          <w:tblCellSpacing w:w="0" w:type="dxa"/>
        </w:trPr>
        <w:tc>
          <w:tcPr>
            <w:tcW w:w="9116" w:type="dxa"/>
            <w:gridSpan w:val="4"/>
            <w:tcBorders>
              <w:top w:val="outset" w:sz="6" w:space="0" w:color="auto"/>
              <w:left w:val="outset" w:sz="6" w:space="0" w:color="auto"/>
              <w:bottom w:val="outset" w:sz="6" w:space="0" w:color="auto"/>
              <w:right w:val="outset" w:sz="6" w:space="0" w:color="auto"/>
            </w:tcBorders>
            <w:hideMark/>
          </w:tcPr>
          <w:p w:rsidR="0091617D" w:rsidRPr="003E4B12" w:rsidRDefault="0091617D" w:rsidP="00900E0C">
            <w:pPr>
              <w:spacing w:before="100" w:beforeAutospacing="1" w:after="100" w:afterAutospacing="1"/>
              <w:jc w:val="center"/>
            </w:pPr>
            <w:r w:rsidRPr="003E4B12">
              <w:rPr>
                <w:b/>
                <w:bCs/>
              </w:rPr>
              <w:t>VII. Tiesību akta projekta izpildes nodrošināšana un tās ietekme uz institūcijām</w:t>
            </w:r>
          </w:p>
        </w:tc>
      </w:tr>
      <w:tr w:rsidR="00956BE6" w:rsidRPr="003E4B12" w:rsidTr="00EA620B">
        <w:trPr>
          <w:trHeight w:val="427"/>
          <w:tblCellSpacing w:w="0" w:type="dxa"/>
        </w:trPr>
        <w:tc>
          <w:tcPr>
            <w:tcW w:w="1418"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1.</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izpildē iesaistītās institūcijas</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pStyle w:val="BodyTextIndent"/>
              <w:autoSpaceDE w:val="0"/>
              <w:autoSpaceDN w:val="0"/>
              <w:adjustRightInd w:val="0"/>
              <w:spacing w:after="0"/>
              <w:ind w:left="0"/>
              <w:jc w:val="both"/>
            </w:pPr>
            <w:r w:rsidRPr="003E4B12">
              <w:rPr>
                <w:lang w:val="sv-SE"/>
              </w:rPr>
              <w:t xml:space="preserve">Valsts aģentūra ”Latvijas Infektoloģijas centrs”, Nacionālais veselības dienests, Imunizācijas valsts padome, </w:t>
            </w:r>
            <w:r w:rsidRPr="00995D80">
              <w:rPr>
                <w:lang w:val="sv-SE"/>
              </w:rPr>
              <w:t>kuras sastāvā ir arī biedrība ”Māmiņu klubs”</w:t>
            </w:r>
            <w:r w:rsidRPr="003E4B12">
              <w:t xml:space="preserve"> </w:t>
            </w:r>
          </w:p>
        </w:tc>
      </w:tr>
      <w:tr w:rsidR="00956BE6" w:rsidRPr="003E4B12" w:rsidTr="00EA620B">
        <w:trPr>
          <w:trHeight w:val="463"/>
          <w:tblCellSpacing w:w="0" w:type="dxa"/>
        </w:trPr>
        <w:tc>
          <w:tcPr>
            <w:tcW w:w="1418"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2.</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funkcijām</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EA620B">
        <w:trPr>
          <w:trHeight w:val="725"/>
          <w:tblCellSpacing w:w="0" w:type="dxa"/>
        </w:trPr>
        <w:tc>
          <w:tcPr>
            <w:tcW w:w="1418"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3.</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A93C08">
            <w:r w:rsidRPr="003E4B12">
              <w:t> Projekta izpildes ietekme uz pārvaldes institucionālo struktūru.</w:t>
            </w:r>
          </w:p>
          <w:p w:rsidR="00956BE6" w:rsidRPr="003E4B12" w:rsidRDefault="00956BE6" w:rsidP="00A93C08">
            <w:r w:rsidRPr="003E4B12">
              <w:t>Jaunu institūciju izveide</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827932" w:rsidP="00827932">
            <w:pPr>
              <w:jc w:val="both"/>
            </w:pPr>
            <w:r>
              <w:t>Projekts neparedz funkciju paplašināšanu.</w:t>
            </w:r>
          </w:p>
        </w:tc>
      </w:tr>
      <w:tr w:rsidR="00956BE6" w:rsidRPr="003E4B12" w:rsidTr="00EA620B">
        <w:trPr>
          <w:trHeight w:val="780"/>
          <w:tblCellSpacing w:w="0" w:type="dxa"/>
        </w:trPr>
        <w:tc>
          <w:tcPr>
            <w:tcW w:w="1418"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4.</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likvidācija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EA620B">
        <w:trPr>
          <w:trHeight w:val="703"/>
          <w:tblCellSpacing w:w="0" w:type="dxa"/>
        </w:trPr>
        <w:tc>
          <w:tcPr>
            <w:tcW w:w="1418"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5.</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reorganizācija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EA620B">
        <w:trPr>
          <w:trHeight w:val="476"/>
          <w:tblCellSpacing w:w="0" w:type="dxa"/>
        </w:trPr>
        <w:tc>
          <w:tcPr>
            <w:tcW w:w="1418"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6.</w:t>
            </w:r>
          </w:p>
        </w:tc>
        <w:tc>
          <w:tcPr>
            <w:tcW w:w="343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Cita informācija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Nav</w:t>
            </w:r>
          </w:p>
        </w:tc>
      </w:tr>
    </w:tbl>
    <w:p w:rsidR="00E03F82" w:rsidRDefault="00E03F82" w:rsidP="00956BE6">
      <w:pPr>
        <w:pStyle w:val="tvhtml"/>
        <w:rPr>
          <w:rFonts w:ascii="Times New Roman" w:hAnsi="Times New Roman"/>
          <w:i/>
          <w:iCs/>
          <w:sz w:val="24"/>
          <w:szCs w:val="24"/>
        </w:rPr>
      </w:pPr>
    </w:p>
    <w:p w:rsidR="003E4B12" w:rsidRPr="00D85A21" w:rsidRDefault="00900E0C" w:rsidP="00956BE6">
      <w:pPr>
        <w:pStyle w:val="tvhtml"/>
        <w:rPr>
          <w:rFonts w:ascii="Times New Roman" w:hAnsi="Times New Roman"/>
          <w:iCs/>
          <w:sz w:val="24"/>
          <w:szCs w:val="24"/>
        </w:rPr>
      </w:pPr>
      <w:r w:rsidRPr="00D85A21">
        <w:rPr>
          <w:rFonts w:ascii="Times New Roman" w:hAnsi="Times New Roman"/>
          <w:iCs/>
          <w:sz w:val="24"/>
          <w:szCs w:val="24"/>
        </w:rPr>
        <w:t xml:space="preserve">Anotācijas III, </w:t>
      </w:r>
      <w:r w:rsidR="00956BE6" w:rsidRPr="00D85A21">
        <w:rPr>
          <w:rFonts w:ascii="Times New Roman" w:hAnsi="Times New Roman"/>
          <w:iCs/>
          <w:sz w:val="24"/>
          <w:szCs w:val="24"/>
        </w:rPr>
        <w:t xml:space="preserve">IV, </w:t>
      </w:r>
      <w:r w:rsidRPr="00D85A21">
        <w:rPr>
          <w:rFonts w:ascii="Times New Roman" w:hAnsi="Times New Roman"/>
          <w:iCs/>
          <w:sz w:val="24"/>
          <w:szCs w:val="24"/>
        </w:rPr>
        <w:t>V sadaļa – projekts šīs jomas neskar.</w:t>
      </w:r>
    </w:p>
    <w:p w:rsidR="00D85A21" w:rsidRDefault="00D85A21" w:rsidP="00956BE6">
      <w:pPr>
        <w:jc w:val="both"/>
        <w:rPr>
          <w:sz w:val="28"/>
          <w:szCs w:val="28"/>
        </w:rPr>
      </w:pPr>
    </w:p>
    <w:p w:rsidR="00D85A21" w:rsidRDefault="00D85A21" w:rsidP="00956BE6">
      <w:pPr>
        <w:jc w:val="both"/>
        <w:rPr>
          <w:sz w:val="28"/>
          <w:szCs w:val="28"/>
        </w:rPr>
      </w:pPr>
    </w:p>
    <w:p w:rsidR="00D85A21" w:rsidRDefault="00D85A21" w:rsidP="00956BE6">
      <w:pPr>
        <w:jc w:val="both"/>
        <w:rPr>
          <w:sz w:val="28"/>
          <w:szCs w:val="28"/>
        </w:rPr>
      </w:pPr>
    </w:p>
    <w:p w:rsidR="0090617A" w:rsidRDefault="003D5511" w:rsidP="00956BE6">
      <w:pPr>
        <w:jc w:val="both"/>
        <w:rPr>
          <w:sz w:val="28"/>
          <w:szCs w:val="28"/>
        </w:rPr>
      </w:pPr>
      <w:r w:rsidRPr="001C05FE">
        <w:rPr>
          <w:sz w:val="28"/>
          <w:szCs w:val="28"/>
        </w:rPr>
        <w:t>V</w:t>
      </w:r>
      <w:r w:rsidR="00640774" w:rsidRPr="001C05FE">
        <w:rPr>
          <w:sz w:val="28"/>
          <w:szCs w:val="28"/>
        </w:rPr>
        <w:t xml:space="preserve">eselības </w:t>
      </w:r>
      <w:r w:rsidR="002C0FE8" w:rsidRPr="001C05FE">
        <w:rPr>
          <w:sz w:val="28"/>
          <w:szCs w:val="28"/>
        </w:rPr>
        <w:t>ministr</w:t>
      </w:r>
      <w:r w:rsidR="003A3B68">
        <w:rPr>
          <w:sz w:val="28"/>
          <w:szCs w:val="28"/>
        </w:rPr>
        <w:t xml:space="preserve">e </w:t>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proofErr w:type="spellStart"/>
      <w:r w:rsidR="003A3B68">
        <w:rPr>
          <w:sz w:val="28"/>
          <w:szCs w:val="28"/>
        </w:rPr>
        <w:t>I.Circene</w:t>
      </w:r>
      <w:proofErr w:type="spellEnd"/>
      <w:r w:rsidRPr="001C05FE">
        <w:rPr>
          <w:sz w:val="28"/>
          <w:szCs w:val="28"/>
        </w:rPr>
        <w:tab/>
      </w:r>
      <w:r w:rsidRPr="001C05FE">
        <w:rPr>
          <w:sz w:val="28"/>
          <w:szCs w:val="28"/>
        </w:rPr>
        <w:tab/>
      </w:r>
      <w:r w:rsidRPr="001C05FE">
        <w:rPr>
          <w:sz w:val="28"/>
          <w:szCs w:val="28"/>
        </w:rPr>
        <w:tab/>
      </w:r>
      <w:r w:rsidR="00884F2A">
        <w:rPr>
          <w:sz w:val="28"/>
          <w:szCs w:val="28"/>
        </w:rPr>
        <w:tab/>
      </w:r>
      <w:r w:rsidR="00884F2A">
        <w:rPr>
          <w:sz w:val="28"/>
          <w:szCs w:val="28"/>
        </w:rPr>
        <w:tab/>
      </w:r>
      <w:r w:rsidR="00884F2A">
        <w:rPr>
          <w:sz w:val="28"/>
          <w:szCs w:val="28"/>
        </w:rPr>
        <w:tab/>
      </w:r>
      <w:r w:rsidR="00884F2A">
        <w:rPr>
          <w:sz w:val="28"/>
          <w:szCs w:val="28"/>
        </w:rPr>
        <w:tab/>
      </w:r>
    </w:p>
    <w:p w:rsidR="0090617A" w:rsidRDefault="0090617A" w:rsidP="001F27B8">
      <w:pPr>
        <w:pStyle w:val="PlainText"/>
        <w:jc w:val="both"/>
        <w:rPr>
          <w:rFonts w:ascii="Times New Roman" w:hAnsi="Times New Roman" w:cs="Times New Roman"/>
          <w:sz w:val="28"/>
          <w:szCs w:val="28"/>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713B3D" w:rsidRPr="001F27B8" w:rsidRDefault="00E47996" w:rsidP="001F27B8">
      <w:pPr>
        <w:pStyle w:val="PlainText"/>
        <w:jc w:val="both"/>
        <w:rPr>
          <w:rFonts w:ascii="Times New Roman" w:hAnsi="Times New Roman" w:cs="Times New Roman"/>
        </w:rPr>
      </w:pPr>
      <w:r>
        <w:rPr>
          <w:rFonts w:ascii="Times New Roman" w:hAnsi="Times New Roman" w:cs="Times New Roman"/>
        </w:rPr>
        <w:t>04.01.2012 14:30</w:t>
      </w:r>
    </w:p>
    <w:p w:rsidR="00640774" w:rsidRPr="001F27B8" w:rsidRDefault="00EC35E1" w:rsidP="001F27B8">
      <w:pPr>
        <w:pStyle w:val="PlainText"/>
        <w:jc w:val="both"/>
        <w:rPr>
          <w:rFonts w:ascii="Times New Roman" w:hAnsi="Times New Roman" w:cs="Times New Roman"/>
        </w:rPr>
      </w:pPr>
      <w:r>
        <w:rPr>
          <w:rFonts w:ascii="Times New Roman" w:hAnsi="Times New Roman" w:cs="Times New Roman"/>
        </w:rPr>
        <w:t>101</w:t>
      </w:r>
      <w:r w:rsidR="00E47996">
        <w:rPr>
          <w:rFonts w:ascii="Times New Roman" w:hAnsi="Times New Roman" w:cs="Times New Roman"/>
        </w:rPr>
        <w:t>5</w:t>
      </w:r>
    </w:p>
    <w:p w:rsidR="00D85A21" w:rsidRDefault="00D85A21" w:rsidP="001F27B8">
      <w:pPr>
        <w:pStyle w:val="PlainText"/>
        <w:jc w:val="both"/>
        <w:rPr>
          <w:rFonts w:ascii="Times New Roman" w:hAnsi="Times New Roman" w:cs="Times New Roman"/>
        </w:rPr>
      </w:pPr>
      <w:proofErr w:type="spellStart"/>
      <w:r>
        <w:rPr>
          <w:rFonts w:ascii="Times New Roman" w:hAnsi="Times New Roman" w:cs="Times New Roman"/>
        </w:rPr>
        <w:t>D.Viļuma</w:t>
      </w:r>
      <w:proofErr w:type="spellEnd"/>
    </w:p>
    <w:p w:rsidR="00D85A21" w:rsidRDefault="0058350C" w:rsidP="001F27B8">
      <w:pPr>
        <w:pStyle w:val="PlainText"/>
        <w:jc w:val="both"/>
        <w:rPr>
          <w:rFonts w:ascii="Times New Roman" w:hAnsi="Times New Roman" w:cs="Times New Roman"/>
        </w:rPr>
      </w:pPr>
      <w:hyperlink r:id="rId9" w:history="1">
        <w:r w:rsidR="00D85A21" w:rsidRPr="006D6BBD">
          <w:rPr>
            <w:rStyle w:val="Hyperlink"/>
            <w:rFonts w:ascii="Times New Roman" w:hAnsi="Times New Roman" w:cs="Times New Roman"/>
          </w:rPr>
          <w:t>dace.viluma@vm.gov.lv</w:t>
        </w:r>
      </w:hyperlink>
    </w:p>
    <w:p w:rsidR="00D85A21" w:rsidRDefault="00D85A21" w:rsidP="001F27B8">
      <w:pPr>
        <w:pStyle w:val="PlainText"/>
        <w:jc w:val="both"/>
        <w:rPr>
          <w:rFonts w:ascii="Times New Roman" w:hAnsi="Times New Roman" w:cs="Times New Roman"/>
        </w:rPr>
      </w:pPr>
      <w:r>
        <w:rPr>
          <w:rFonts w:ascii="Times New Roman" w:hAnsi="Times New Roman" w:cs="Times New Roman"/>
        </w:rPr>
        <w:t>67876080</w:t>
      </w:r>
    </w:p>
    <w:sectPr w:rsidR="00D85A21" w:rsidSect="006248F0">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28" w:rsidRDefault="003E2728">
      <w:r>
        <w:separator/>
      </w:r>
    </w:p>
  </w:endnote>
  <w:endnote w:type="continuationSeparator" w:id="0">
    <w:p w:rsidR="003E2728" w:rsidRDefault="003E2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28" w:rsidRPr="0023734A" w:rsidRDefault="003E2728" w:rsidP="00CF2D7A">
    <w:pPr>
      <w:jc w:val="both"/>
      <w:rPr>
        <w:sz w:val="20"/>
        <w:szCs w:val="20"/>
      </w:rPr>
    </w:pPr>
    <w:r>
      <w:rPr>
        <w:sz w:val="20"/>
        <w:szCs w:val="20"/>
      </w:rPr>
      <w:t>VManot_040112</w:t>
    </w:r>
    <w:r w:rsidRPr="00AF7124">
      <w:rPr>
        <w:sz w:val="20"/>
        <w:szCs w:val="20"/>
      </w:rPr>
      <w:t>_</w:t>
    </w:r>
    <w:r>
      <w:rPr>
        <w:sz w:val="20"/>
        <w:szCs w:val="20"/>
      </w:rPr>
      <w:t>grvakcin</w:t>
    </w:r>
    <w:r w:rsidRPr="00AF7124">
      <w:rPr>
        <w:sz w:val="20"/>
        <w:szCs w:val="20"/>
      </w:rPr>
      <w:t xml:space="preserve">; </w:t>
    </w:r>
    <w:fldSimple w:instr=" TITLE   \* MERGEFORMAT ">
      <w:r w:rsidR="00E47996" w:rsidRPr="00E47996">
        <w:rPr>
          <w:sz w:val="20"/>
          <w:szCs w:val="20"/>
        </w:rPr>
        <w:t>Ministru kabineta noteikumu projekta “Grozījumi Ministru kabineta 2000.gada 26.septembra noteikumos Nr.330 “Vakcinācijas noteikumi””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28" w:rsidRPr="0023734A" w:rsidRDefault="003E2728" w:rsidP="003B0A8C">
    <w:pPr>
      <w:jc w:val="both"/>
      <w:rPr>
        <w:sz w:val="20"/>
        <w:szCs w:val="20"/>
      </w:rPr>
    </w:pPr>
    <w:r>
      <w:rPr>
        <w:sz w:val="20"/>
        <w:szCs w:val="20"/>
      </w:rPr>
      <w:t>VManot_040112</w:t>
    </w:r>
    <w:r w:rsidRPr="00AF7124">
      <w:rPr>
        <w:sz w:val="20"/>
        <w:szCs w:val="20"/>
      </w:rPr>
      <w:t>_</w:t>
    </w:r>
    <w:r>
      <w:rPr>
        <w:sz w:val="20"/>
        <w:szCs w:val="20"/>
      </w:rPr>
      <w:t>grvakcin</w:t>
    </w:r>
    <w:r w:rsidRPr="00AF7124">
      <w:rPr>
        <w:sz w:val="20"/>
        <w:szCs w:val="20"/>
      </w:rPr>
      <w:t xml:space="preserve">; </w:t>
    </w:r>
    <w:fldSimple w:instr=" TITLE   \* MERGEFORMAT ">
      <w:r w:rsidR="00E47996" w:rsidRPr="00E47996">
        <w:rPr>
          <w:sz w:val="20"/>
          <w:szCs w:val="20"/>
        </w:rPr>
        <w:t>Ministru kabineta noteikumu projekta “Grozījumi Ministru kabineta 2000.gada 26.septembra noteikumos Nr.330 “Vakcinācijas noteikumi””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28" w:rsidRDefault="003E2728">
      <w:r>
        <w:separator/>
      </w:r>
    </w:p>
  </w:footnote>
  <w:footnote w:type="continuationSeparator" w:id="0">
    <w:p w:rsidR="003E2728" w:rsidRDefault="003E2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28" w:rsidRDefault="003E2728"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728" w:rsidRDefault="003E2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28" w:rsidRDefault="003E2728"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996">
      <w:rPr>
        <w:rStyle w:val="PageNumber"/>
        <w:noProof/>
      </w:rPr>
      <w:t>4</w:t>
    </w:r>
    <w:r>
      <w:rPr>
        <w:rStyle w:val="PageNumber"/>
      </w:rPr>
      <w:fldChar w:fldCharType="end"/>
    </w:r>
  </w:p>
  <w:p w:rsidR="003E2728" w:rsidRDefault="003E2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9E3"/>
    <w:rsid w:val="00003293"/>
    <w:rsid w:val="00004359"/>
    <w:rsid w:val="00005DFA"/>
    <w:rsid w:val="00010C72"/>
    <w:rsid w:val="00010DDA"/>
    <w:rsid w:val="00015BE4"/>
    <w:rsid w:val="00016FEA"/>
    <w:rsid w:val="000205A7"/>
    <w:rsid w:val="00021276"/>
    <w:rsid w:val="00021D18"/>
    <w:rsid w:val="00023887"/>
    <w:rsid w:val="0003154A"/>
    <w:rsid w:val="00033E5E"/>
    <w:rsid w:val="0003431E"/>
    <w:rsid w:val="00035450"/>
    <w:rsid w:val="0003583F"/>
    <w:rsid w:val="000460B9"/>
    <w:rsid w:val="000473CC"/>
    <w:rsid w:val="00052C94"/>
    <w:rsid w:val="00057A45"/>
    <w:rsid w:val="00071B24"/>
    <w:rsid w:val="000745B5"/>
    <w:rsid w:val="00076EF5"/>
    <w:rsid w:val="0007735D"/>
    <w:rsid w:val="000947C0"/>
    <w:rsid w:val="00094944"/>
    <w:rsid w:val="00097499"/>
    <w:rsid w:val="000A00D8"/>
    <w:rsid w:val="000A68D7"/>
    <w:rsid w:val="000B04D8"/>
    <w:rsid w:val="000B1841"/>
    <w:rsid w:val="000B664E"/>
    <w:rsid w:val="000C0D48"/>
    <w:rsid w:val="000C682A"/>
    <w:rsid w:val="000D4FF4"/>
    <w:rsid w:val="000D5011"/>
    <w:rsid w:val="000E52AF"/>
    <w:rsid w:val="000E581B"/>
    <w:rsid w:val="000E5874"/>
    <w:rsid w:val="000E5BFF"/>
    <w:rsid w:val="000E705D"/>
    <w:rsid w:val="000F1E99"/>
    <w:rsid w:val="0010194C"/>
    <w:rsid w:val="00106273"/>
    <w:rsid w:val="00107CE4"/>
    <w:rsid w:val="00110EAA"/>
    <w:rsid w:val="001116A8"/>
    <w:rsid w:val="001256C9"/>
    <w:rsid w:val="00126108"/>
    <w:rsid w:val="00133483"/>
    <w:rsid w:val="00135B78"/>
    <w:rsid w:val="00142843"/>
    <w:rsid w:val="00151D4E"/>
    <w:rsid w:val="001536C6"/>
    <w:rsid w:val="001551C6"/>
    <w:rsid w:val="0016645F"/>
    <w:rsid w:val="001676C1"/>
    <w:rsid w:val="00167B6E"/>
    <w:rsid w:val="00176922"/>
    <w:rsid w:val="0018044A"/>
    <w:rsid w:val="0019600B"/>
    <w:rsid w:val="001966C0"/>
    <w:rsid w:val="00197BFC"/>
    <w:rsid w:val="001A495C"/>
    <w:rsid w:val="001A783A"/>
    <w:rsid w:val="001B25AF"/>
    <w:rsid w:val="001C05FE"/>
    <w:rsid w:val="001C3946"/>
    <w:rsid w:val="001C5CEA"/>
    <w:rsid w:val="001D0D61"/>
    <w:rsid w:val="001D11D4"/>
    <w:rsid w:val="001D2C60"/>
    <w:rsid w:val="001D3BEE"/>
    <w:rsid w:val="001D6900"/>
    <w:rsid w:val="001F201E"/>
    <w:rsid w:val="001F27B8"/>
    <w:rsid w:val="001F7E4A"/>
    <w:rsid w:val="00201CB9"/>
    <w:rsid w:val="00201E76"/>
    <w:rsid w:val="00205EED"/>
    <w:rsid w:val="002120B6"/>
    <w:rsid w:val="00214299"/>
    <w:rsid w:val="00214C14"/>
    <w:rsid w:val="00215749"/>
    <w:rsid w:val="0022074C"/>
    <w:rsid w:val="00221ADE"/>
    <w:rsid w:val="00222714"/>
    <w:rsid w:val="002248A3"/>
    <w:rsid w:val="00226548"/>
    <w:rsid w:val="002265D8"/>
    <w:rsid w:val="002266C1"/>
    <w:rsid w:val="002267D6"/>
    <w:rsid w:val="00226CA4"/>
    <w:rsid w:val="00230B5C"/>
    <w:rsid w:val="0023734A"/>
    <w:rsid w:val="002434D6"/>
    <w:rsid w:val="002450C1"/>
    <w:rsid w:val="00245A6F"/>
    <w:rsid w:val="00246C24"/>
    <w:rsid w:val="00250A2D"/>
    <w:rsid w:val="0025234D"/>
    <w:rsid w:val="00253B7F"/>
    <w:rsid w:val="002556E9"/>
    <w:rsid w:val="00263E65"/>
    <w:rsid w:val="00264888"/>
    <w:rsid w:val="00267EB5"/>
    <w:rsid w:val="0027058E"/>
    <w:rsid w:val="00272776"/>
    <w:rsid w:val="00272C1F"/>
    <w:rsid w:val="00281DD1"/>
    <w:rsid w:val="00283F02"/>
    <w:rsid w:val="00284A74"/>
    <w:rsid w:val="0028541D"/>
    <w:rsid w:val="00287B3F"/>
    <w:rsid w:val="002935F0"/>
    <w:rsid w:val="00295590"/>
    <w:rsid w:val="002967F8"/>
    <w:rsid w:val="00296B9D"/>
    <w:rsid w:val="00297635"/>
    <w:rsid w:val="00297F16"/>
    <w:rsid w:val="002A10A8"/>
    <w:rsid w:val="002A179C"/>
    <w:rsid w:val="002A1822"/>
    <w:rsid w:val="002A3CA8"/>
    <w:rsid w:val="002A6687"/>
    <w:rsid w:val="002B1874"/>
    <w:rsid w:val="002B5960"/>
    <w:rsid w:val="002C0DBF"/>
    <w:rsid w:val="002C0FE8"/>
    <w:rsid w:val="002C2C45"/>
    <w:rsid w:val="002C458D"/>
    <w:rsid w:val="002C6C0C"/>
    <w:rsid w:val="002D2047"/>
    <w:rsid w:val="002D24E7"/>
    <w:rsid w:val="002D4E97"/>
    <w:rsid w:val="002D7528"/>
    <w:rsid w:val="002D7D70"/>
    <w:rsid w:val="002E1C26"/>
    <w:rsid w:val="002E2EF1"/>
    <w:rsid w:val="002E3BFA"/>
    <w:rsid w:val="002E7C61"/>
    <w:rsid w:val="002F1748"/>
    <w:rsid w:val="002F17DF"/>
    <w:rsid w:val="002F705C"/>
    <w:rsid w:val="00304C3D"/>
    <w:rsid w:val="00310936"/>
    <w:rsid w:val="003109AF"/>
    <w:rsid w:val="0031200C"/>
    <w:rsid w:val="003147B4"/>
    <w:rsid w:val="0031753A"/>
    <w:rsid w:val="00323832"/>
    <w:rsid w:val="00323BBA"/>
    <w:rsid w:val="0033121E"/>
    <w:rsid w:val="00333143"/>
    <w:rsid w:val="003343BC"/>
    <w:rsid w:val="00334D11"/>
    <w:rsid w:val="0033572B"/>
    <w:rsid w:val="003366B8"/>
    <w:rsid w:val="003368B0"/>
    <w:rsid w:val="00343ECB"/>
    <w:rsid w:val="00345053"/>
    <w:rsid w:val="003472FC"/>
    <w:rsid w:val="0035176B"/>
    <w:rsid w:val="00352238"/>
    <w:rsid w:val="00352CB6"/>
    <w:rsid w:val="00355359"/>
    <w:rsid w:val="0035690D"/>
    <w:rsid w:val="00362B79"/>
    <w:rsid w:val="003630A9"/>
    <w:rsid w:val="00365349"/>
    <w:rsid w:val="00371EAD"/>
    <w:rsid w:val="0037305E"/>
    <w:rsid w:val="00373ADD"/>
    <w:rsid w:val="003747BF"/>
    <w:rsid w:val="00386C81"/>
    <w:rsid w:val="00387954"/>
    <w:rsid w:val="00391A41"/>
    <w:rsid w:val="00391E1D"/>
    <w:rsid w:val="00392F7B"/>
    <w:rsid w:val="0039373A"/>
    <w:rsid w:val="00394804"/>
    <w:rsid w:val="003A0B83"/>
    <w:rsid w:val="003A25AD"/>
    <w:rsid w:val="003A3AD4"/>
    <w:rsid w:val="003A3B68"/>
    <w:rsid w:val="003A3C9F"/>
    <w:rsid w:val="003A64E5"/>
    <w:rsid w:val="003B0034"/>
    <w:rsid w:val="003B0A8C"/>
    <w:rsid w:val="003C002A"/>
    <w:rsid w:val="003C58B7"/>
    <w:rsid w:val="003D076C"/>
    <w:rsid w:val="003D0D07"/>
    <w:rsid w:val="003D2380"/>
    <w:rsid w:val="003D3D72"/>
    <w:rsid w:val="003D5511"/>
    <w:rsid w:val="003D5656"/>
    <w:rsid w:val="003E0241"/>
    <w:rsid w:val="003E2728"/>
    <w:rsid w:val="003E4B12"/>
    <w:rsid w:val="003E657B"/>
    <w:rsid w:val="003E79DE"/>
    <w:rsid w:val="003E7A7E"/>
    <w:rsid w:val="003F3652"/>
    <w:rsid w:val="003F4BA1"/>
    <w:rsid w:val="003F52EF"/>
    <w:rsid w:val="00400A9B"/>
    <w:rsid w:val="00405602"/>
    <w:rsid w:val="00411ECA"/>
    <w:rsid w:val="00416246"/>
    <w:rsid w:val="00417E5D"/>
    <w:rsid w:val="004238D5"/>
    <w:rsid w:val="00423CA2"/>
    <w:rsid w:val="00426858"/>
    <w:rsid w:val="00432C60"/>
    <w:rsid w:val="00434736"/>
    <w:rsid w:val="004406EB"/>
    <w:rsid w:val="0044431D"/>
    <w:rsid w:val="0044472C"/>
    <w:rsid w:val="0044497B"/>
    <w:rsid w:val="004529B0"/>
    <w:rsid w:val="00454124"/>
    <w:rsid w:val="0045427B"/>
    <w:rsid w:val="00454F2F"/>
    <w:rsid w:val="00462184"/>
    <w:rsid w:val="00462DBD"/>
    <w:rsid w:val="00466AC2"/>
    <w:rsid w:val="00467807"/>
    <w:rsid w:val="00467F17"/>
    <w:rsid w:val="00472FC2"/>
    <w:rsid w:val="00473E25"/>
    <w:rsid w:val="0047649A"/>
    <w:rsid w:val="00476E56"/>
    <w:rsid w:val="00482B5D"/>
    <w:rsid w:val="00485E59"/>
    <w:rsid w:val="00490199"/>
    <w:rsid w:val="00492FF8"/>
    <w:rsid w:val="00493F81"/>
    <w:rsid w:val="00496ECA"/>
    <w:rsid w:val="004A00FE"/>
    <w:rsid w:val="004A0B1A"/>
    <w:rsid w:val="004A1436"/>
    <w:rsid w:val="004A290E"/>
    <w:rsid w:val="004A2DE6"/>
    <w:rsid w:val="004A3DB9"/>
    <w:rsid w:val="004A3E3F"/>
    <w:rsid w:val="004B0BBE"/>
    <w:rsid w:val="004B4CAB"/>
    <w:rsid w:val="004B515D"/>
    <w:rsid w:val="004D0540"/>
    <w:rsid w:val="004D1489"/>
    <w:rsid w:val="004F453E"/>
    <w:rsid w:val="004F4C8C"/>
    <w:rsid w:val="004F509D"/>
    <w:rsid w:val="004F5A60"/>
    <w:rsid w:val="004F6A4E"/>
    <w:rsid w:val="0050369C"/>
    <w:rsid w:val="005102C9"/>
    <w:rsid w:val="00511A64"/>
    <w:rsid w:val="00514D1B"/>
    <w:rsid w:val="00516F40"/>
    <w:rsid w:val="00517A7D"/>
    <w:rsid w:val="00521B2E"/>
    <w:rsid w:val="005236E8"/>
    <w:rsid w:val="00523EAC"/>
    <w:rsid w:val="00525143"/>
    <w:rsid w:val="005256A8"/>
    <w:rsid w:val="005275B5"/>
    <w:rsid w:val="00533277"/>
    <w:rsid w:val="005333D0"/>
    <w:rsid w:val="00534946"/>
    <w:rsid w:val="005349D2"/>
    <w:rsid w:val="00535FF1"/>
    <w:rsid w:val="005412BD"/>
    <w:rsid w:val="005439A1"/>
    <w:rsid w:val="00544BCB"/>
    <w:rsid w:val="005454DA"/>
    <w:rsid w:val="00561C3C"/>
    <w:rsid w:val="005621A7"/>
    <w:rsid w:val="005658F4"/>
    <w:rsid w:val="0057222B"/>
    <w:rsid w:val="00575AF7"/>
    <w:rsid w:val="00582FA1"/>
    <w:rsid w:val="0058350C"/>
    <w:rsid w:val="00586F93"/>
    <w:rsid w:val="0058755B"/>
    <w:rsid w:val="005918CC"/>
    <w:rsid w:val="00594E33"/>
    <w:rsid w:val="005A0FA3"/>
    <w:rsid w:val="005B098C"/>
    <w:rsid w:val="005B16C5"/>
    <w:rsid w:val="005B19A4"/>
    <w:rsid w:val="005B443E"/>
    <w:rsid w:val="005B6D49"/>
    <w:rsid w:val="005C0840"/>
    <w:rsid w:val="005C1B7D"/>
    <w:rsid w:val="005E1AD1"/>
    <w:rsid w:val="005E60C6"/>
    <w:rsid w:val="005E6990"/>
    <w:rsid w:val="005F1171"/>
    <w:rsid w:val="005F5E9E"/>
    <w:rsid w:val="005F6124"/>
    <w:rsid w:val="005F6C4D"/>
    <w:rsid w:val="005F7F91"/>
    <w:rsid w:val="006007F8"/>
    <w:rsid w:val="00601DCD"/>
    <w:rsid w:val="00610277"/>
    <w:rsid w:val="006103B7"/>
    <w:rsid w:val="00610601"/>
    <w:rsid w:val="00610A65"/>
    <w:rsid w:val="0061287A"/>
    <w:rsid w:val="0061347B"/>
    <w:rsid w:val="00613768"/>
    <w:rsid w:val="006154F2"/>
    <w:rsid w:val="00617064"/>
    <w:rsid w:val="00617251"/>
    <w:rsid w:val="00623FFD"/>
    <w:rsid w:val="006248F0"/>
    <w:rsid w:val="00624B30"/>
    <w:rsid w:val="00626B4C"/>
    <w:rsid w:val="00626F77"/>
    <w:rsid w:val="00627523"/>
    <w:rsid w:val="00632550"/>
    <w:rsid w:val="006330A8"/>
    <w:rsid w:val="00635561"/>
    <w:rsid w:val="00640774"/>
    <w:rsid w:val="00640C17"/>
    <w:rsid w:val="00645D7D"/>
    <w:rsid w:val="006501C0"/>
    <w:rsid w:val="00657209"/>
    <w:rsid w:val="00657BD6"/>
    <w:rsid w:val="0066046A"/>
    <w:rsid w:val="00665BAB"/>
    <w:rsid w:val="00671D41"/>
    <w:rsid w:val="0067509B"/>
    <w:rsid w:val="006755D8"/>
    <w:rsid w:val="00676221"/>
    <w:rsid w:val="00677CE4"/>
    <w:rsid w:val="00680090"/>
    <w:rsid w:val="00681626"/>
    <w:rsid w:val="006836F3"/>
    <w:rsid w:val="00685D78"/>
    <w:rsid w:val="00685F7B"/>
    <w:rsid w:val="00687DB4"/>
    <w:rsid w:val="00692083"/>
    <w:rsid w:val="00693C20"/>
    <w:rsid w:val="00694455"/>
    <w:rsid w:val="0069556E"/>
    <w:rsid w:val="0069791F"/>
    <w:rsid w:val="006A20B8"/>
    <w:rsid w:val="006A36CC"/>
    <w:rsid w:val="006A4EAD"/>
    <w:rsid w:val="006A7143"/>
    <w:rsid w:val="006B2C6D"/>
    <w:rsid w:val="006B434F"/>
    <w:rsid w:val="006B475A"/>
    <w:rsid w:val="006B51D7"/>
    <w:rsid w:val="006B68CC"/>
    <w:rsid w:val="006C0F84"/>
    <w:rsid w:val="006C5847"/>
    <w:rsid w:val="006C73B3"/>
    <w:rsid w:val="006D13E6"/>
    <w:rsid w:val="006D1F52"/>
    <w:rsid w:val="006D2673"/>
    <w:rsid w:val="006D3E67"/>
    <w:rsid w:val="006D53CE"/>
    <w:rsid w:val="006E16F1"/>
    <w:rsid w:val="006E2526"/>
    <w:rsid w:val="006E33CD"/>
    <w:rsid w:val="006E3F4B"/>
    <w:rsid w:val="006F266A"/>
    <w:rsid w:val="006F6868"/>
    <w:rsid w:val="00705FFB"/>
    <w:rsid w:val="00707C80"/>
    <w:rsid w:val="00707F3A"/>
    <w:rsid w:val="00710975"/>
    <w:rsid w:val="00710BDE"/>
    <w:rsid w:val="00713776"/>
    <w:rsid w:val="00713B3D"/>
    <w:rsid w:val="00715E63"/>
    <w:rsid w:val="00716CD8"/>
    <w:rsid w:val="0072604C"/>
    <w:rsid w:val="007303D0"/>
    <w:rsid w:val="00732F65"/>
    <w:rsid w:val="0073466D"/>
    <w:rsid w:val="007359AA"/>
    <w:rsid w:val="00735D7B"/>
    <w:rsid w:val="007376A3"/>
    <w:rsid w:val="00741FC8"/>
    <w:rsid w:val="00744AC4"/>
    <w:rsid w:val="00744D23"/>
    <w:rsid w:val="0074610C"/>
    <w:rsid w:val="00746D3D"/>
    <w:rsid w:val="0075644D"/>
    <w:rsid w:val="0075695E"/>
    <w:rsid w:val="007576E7"/>
    <w:rsid w:val="007601AB"/>
    <w:rsid w:val="00760875"/>
    <w:rsid w:val="007658D5"/>
    <w:rsid w:val="007666D7"/>
    <w:rsid w:val="00766A87"/>
    <w:rsid w:val="00773E29"/>
    <w:rsid w:val="00774479"/>
    <w:rsid w:val="007755B7"/>
    <w:rsid w:val="00780C45"/>
    <w:rsid w:val="00784919"/>
    <w:rsid w:val="00785007"/>
    <w:rsid w:val="0078779A"/>
    <w:rsid w:val="007929F2"/>
    <w:rsid w:val="007941BE"/>
    <w:rsid w:val="0079601D"/>
    <w:rsid w:val="007A1164"/>
    <w:rsid w:val="007A2DEC"/>
    <w:rsid w:val="007A35D5"/>
    <w:rsid w:val="007A4768"/>
    <w:rsid w:val="007A5BDA"/>
    <w:rsid w:val="007B1778"/>
    <w:rsid w:val="007C0AAE"/>
    <w:rsid w:val="007C0DD8"/>
    <w:rsid w:val="007C26C3"/>
    <w:rsid w:val="007C5E07"/>
    <w:rsid w:val="007E0B03"/>
    <w:rsid w:val="007E4147"/>
    <w:rsid w:val="007E5394"/>
    <w:rsid w:val="007E69C2"/>
    <w:rsid w:val="007F1EFB"/>
    <w:rsid w:val="007F2ED7"/>
    <w:rsid w:val="007F7480"/>
    <w:rsid w:val="00802288"/>
    <w:rsid w:val="00804A3E"/>
    <w:rsid w:val="00805143"/>
    <w:rsid w:val="0080618A"/>
    <w:rsid w:val="008075E1"/>
    <w:rsid w:val="008108D6"/>
    <w:rsid w:val="00813669"/>
    <w:rsid w:val="0081667F"/>
    <w:rsid w:val="00821142"/>
    <w:rsid w:val="008229F3"/>
    <w:rsid w:val="00824591"/>
    <w:rsid w:val="00824744"/>
    <w:rsid w:val="0082500A"/>
    <w:rsid w:val="00827932"/>
    <w:rsid w:val="00830160"/>
    <w:rsid w:val="008313AB"/>
    <w:rsid w:val="00831FDA"/>
    <w:rsid w:val="00836C42"/>
    <w:rsid w:val="00841A26"/>
    <w:rsid w:val="00843BCD"/>
    <w:rsid w:val="00852762"/>
    <w:rsid w:val="00852E04"/>
    <w:rsid w:val="00853F9F"/>
    <w:rsid w:val="00856CB1"/>
    <w:rsid w:val="00857092"/>
    <w:rsid w:val="00871B3A"/>
    <w:rsid w:val="0087467A"/>
    <w:rsid w:val="008814A4"/>
    <w:rsid w:val="0088270D"/>
    <w:rsid w:val="00882F60"/>
    <w:rsid w:val="008834D1"/>
    <w:rsid w:val="00884F2A"/>
    <w:rsid w:val="0089342E"/>
    <w:rsid w:val="00894C4F"/>
    <w:rsid w:val="008974C9"/>
    <w:rsid w:val="008A0F49"/>
    <w:rsid w:val="008A1059"/>
    <w:rsid w:val="008A2DC3"/>
    <w:rsid w:val="008A556A"/>
    <w:rsid w:val="008B149A"/>
    <w:rsid w:val="008B1E9C"/>
    <w:rsid w:val="008B3999"/>
    <w:rsid w:val="008B4D46"/>
    <w:rsid w:val="008C2480"/>
    <w:rsid w:val="008C782C"/>
    <w:rsid w:val="008D1D0C"/>
    <w:rsid w:val="008D35FC"/>
    <w:rsid w:val="008D563C"/>
    <w:rsid w:val="008D62AE"/>
    <w:rsid w:val="008D730D"/>
    <w:rsid w:val="008E3929"/>
    <w:rsid w:val="008E5441"/>
    <w:rsid w:val="008E5FAC"/>
    <w:rsid w:val="008F068B"/>
    <w:rsid w:val="008F1669"/>
    <w:rsid w:val="008F7D4D"/>
    <w:rsid w:val="00900D12"/>
    <w:rsid w:val="00900E0C"/>
    <w:rsid w:val="009032E8"/>
    <w:rsid w:val="0090582A"/>
    <w:rsid w:val="0090617A"/>
    <w:rsid w:val="009077DF"/>
    <w:rsid w:val="00911685"/>
    <w:rsid w:val="009124E0"/>
    <w:rsid w:val="0091273E"/>
    <w:rsid w:val="0091617D"/>
    <w:rsid w:val="00916D86"/>
    <w:rsid w:val="009170B8"/>
    <w:rsid w:val="00920D0B"/>
    <w:rsid w:val="009244A7"/>
    <w:rsid w:val="00930EF1"/>
    <w:rsid w:val="0093437E"/>
    <w:rsid w:val="009344EF"/>
    <w:rsid w:val="0093455F"/>
    <w:rsid w:val="00942C6D"/>
    <w:rsid w:val="00942CBC"/>
    <w:rsid w:val="00943216"/>
    <w:rsid w:val="009434FB"/>
    <w:rsid w:val="00944AC5"/>
    <w:rsid w:val="009469A2"/>
    <w:rsid w:val="00947995"/>
    <w:rsid w:val="009479B9"/>
    <w:rsid w:val="00955820"/>
    <w:rsid w:val="00955CB5"/>
    <w:rsid w:val="00955CBA"/>
    <w:rsid w:val="00956A31"/>
    <w:rsid w:val="00956BE6"/>
    <w:rsid w:val="00960BDA"/>
    <w:rsid w:val="009633D8"/>
    <w:rsid w:val="00964D08"/>
    <w:rsid w:val="00966F8A"/>
    <w:rsid w:val="009678B8"/>
    <w:rsid w:val="0097137F"/>
    <w:rsid w:val="00977526"/>
    <w:rsid w:val="00980754"/>
    <w:rsid w:val="0098497C"/>
    <w:rsid w:val="00985838"/>
    <w:rsid w:val="00990F21"/>
    <w:rsid w:val="0099250E"/>
    <w:rsid w:val="00995D80"/>
    <w:rsid w:val="0099629F"/>
    <w:rsid w:val="009A5066"/>
    <w:rsid w:val="009A6EAC"/>
    <w:rsid w:val="009B3365"/>
    <w:rsid w:val="009B59E3"/>
    <w:rsid w:val="009C1FF4"/>
    <w:rsid w:val="009C25AF"/>
    <w:rsid w:val="009C33C8"/>
    <w:rsid w:val="009C5B69"/>
    <w:rsid w:val="009E14E3"/>
    <w:rsid w:val="009E5806"/>
    <w:rsid w:val="009E66CF"/>
    <w:rsid w:val="009F284F"/>
    <w:rsid w:val="009F6E39"/>
    <w:rsid w:val="009F703C"/>
    <w:rsid w:val="009F716E"/>
    <w:rsid w:val="009F7786"/>
    <w:rsid w:val="009F7FF4"/>
    <w:rsid w:val="00A00CF8"/>
    <w:rsid w:val="00A03895"/>
    <w:rsid w:val="00A06749"/>
    <w:rsid w:val="00A07C98"/>
    <w:rsid w:val="00A1129E"/>
    <w:rsid w:val="00A11C66"/>
    <w:rsid w:val="00A14F23"/>
    <w:rsid w:val="00A150E8"/>
    <w:rsid w:val="00A20426"/>
    <w:rsid w:val="00A278F8"/>
    <w:rsid w:val="00A27954"/>
    <w:rsid w:val="00A30B5C"/>
    <w:rsid w:val="00A321D3"/>
    <w:rsid w:val="00A32B15"/>
    <w:rsid w:val="00A34456"/>
    <w:rsid w:val="00A357F5"/>
    <w:rsid w:val="00A370D1"/>
    <w:rsid w:val="00A37FF2"/>
    <w:rsid w:val="00A40C50"/>
    <w:rsid w:val="00A4239D"/>
    <w:rsid w:val="00A43A0C"/>
    <w:rsid w:val="00A44A09"/>
    <w:rsid w:val="00A50281"/>
    <w:rsid w:val="00A50E47"/>
    <w:rsid w:val="00A5747C"/>
    <w:rsid w:val="00A62AFD"/>
    <w:rsid w:val="00A642C2"/>
    <w:rsid w:val="00A65245"/>
    <w:rsid w:val="00A66C4C"/>
    <w:rsid w:val="00A72845"/>
    <w:rsid w:val="00A77D34"/>
    <w:rsid w:val="00A77E71"/>
    <w:rsid w:val="00A81B3C"/>
    <w:rsid w:val="00A9133A"/>
    <w:rsid w:val="00A93C08"/>
    <w:rsid w:val="00A95F8C"/>
    <w:rsid w:val="00A963D4"/>
    <w:rsid w:val="00A967AA"/>
    <w:rsid w:val="00AA0631"/>
    <w:rsid w:val="00AA0C78"/>
    <w:rsid w:val="00AA2179"/>
    <w:rsid w:val="00AA2AD2"/>
    <w:rsid w:val="00AA418C"/>
    <w:rsid w:val="00AA65A9"/>
    <w:rsid w:val="00AB00F9"/>
    <w:rsid w:val="00AB0B34"/>
    <w:rsid w:val="00AB2C02"/>
    <w:rsid w:val="00AC171D"/>
    <w:rsid w:val="00AC3E86"/>
    <w:rsid w:val="00AC6419"/>
    <w:rsid w:val="00AD15C2"/>
    <w:rsid w:val="00AD4EDB"/>
    <w:rsid w:val="00AD657F"/>
    <w:rsid w:val="00AD6700"/>
    <w:rsid w:val="00AD6FA5"/>
    <w:rsid w:val="00AE1B0C"/>
    <w:rsid w:val="00AE28F9"/>
    <w:rsid w:val="00AE3FF5"/>
    <w:rsid w:val="00AE4B1D"/>
    <w:rsid w:val="00AF0087"/>
    <w:rsid w:val="00AF35B4"/>
    <w:rsid w:val="00AF7124"/>
    <w:rsid w:val="00B0093E"/>
    <w:rsid w:val="00B123DF"/>
    <w:rsid w:val="00B141ED"/>
    <w:rsid w:val="00B154BA"/>
    <w:rsid w:val="00B202FD"/>
    <w:rsid w:val="00B2148C"/>
    <w:rsid w:val="00B224BC"/>
    <w:rsid w:val="00B264B7"/>
    <w:rsid w:val="00B337EA"/>
    <w:rsid w:val="00B34807"/>
    <w:rsid w:val="00B34EB0"/>
    <w:rsid w:val="00B36FE5"/>
    <w:rsid w:val="00B40520"/>
    <w:rsid w:val="00B436BE"/>
    <w:rsid w:val="00B46E55"/>
    <w:rsid w:val="00B51F5C"/>
    <w:rsid w:val="00B5578A"/>
    <w:rsid w:val="00B57293"/>
    <w:rsid w:val="00B60371"/>
    <w:rsid w:val="00B60BD3"/>
    <w:rsid w:val="00B61DF1"/>
    <w:rsid w:val="00B61FFA"/>
    <w:rsid w:val="00B6303C"/>
    <w:rsid w:val="00B633EB"/>
    <w:rsid w:val="00B67AE6"/>
    <w:rsid w:val="00B70A9B"/>
    <w:rsid w:val="00B712E9"/>
    <w:rsid w:val="00B7219C"/>
    <w:rsid w:val="00B7224D"/>
    <w:rsid w:val="00B72FE7"/>
    <w:rsid w:val="00B7303E"/>
    <w:rsid w:val="00B731F6"/>
    <w:rsid w:val="00B74A37"/>
    <w:rsid w:val="00B867E3"/>
    <w:rsid w:val="00BA0328"/>
    <w:rsid w:val="00BA1D5B"/>
    <w:rsid w:val="00BB20D6"/>
    <w:rsid w:val="00BB2815"/>
    <w:rsid w:val="00BB371D"/>
    <w:rsid w:val="00BB4901"/>
    <w:rsid w:val="00BB7FAF"/>
    <w:rsid w:val="00BC1328"/>
    <w:rsid w:val="00BC43AC"/>
    <w:rsid w:val="00BC51D3"/>
    <w:rsid w:val="00BC6CDD"/>
    <w:rsid w:val="00BD074F"/>
    <w:rsid w:val="00BD0B3D"/>
    <w:rsid w:val="00BE04B4"/>
    <w:rsid w:val="00BE0AF5"/>
    <w:rsid w:val="00BE0DB0"/>
    <w:rsid w:val="00BE16A2"/>
    <w:rsid w:val="00BE39ED"/>
    <w:rsid w:val="00BE3D63"/>
    <w:rsid w:val="00BF405B"/>
    <w:rsid w:val="00BF4175"/>
    <w:rsid w:val="00BF65A1"/>
    <w:rsid w:val="00BF771B"/>
    <w:rsid w:val="00BF7728"/>
    <w:rsid w:val="00BF7AF4"/>
    <w:rsid w:val="00C00681"/>
    <w:rsid w:val="00C06CB4"/>
    <w:rsid w:val="00C100BB"/>
    <w:rsid w:val="00C350A3"/>
    <w:rsid w:val="00C35759"/>
    <w:rsid w:val="00C40E33"/>
    <w:rsid w:val="00C420C5"/>
    <w:rsid w:val="00C42345"/>
    <w:rsid w:val="00C50C5B"/>
    <w:rsid w:val="00C54EDC"/>
    <w:rsid w:val="00C55A90"/>
    <w:rsid w:val="00C63AC6"/>
    <w:rsid w:val="00C674E8"/>
    <w:rsid w:val="00C724A7"/>
    <w:rsid w:val="00C77717"/>
    <w:rsid w:val="00C8067C"/>
    <w:rsid w:val="00C807AC"/>
    <w:rsid w:val="00C82731"/>
    <w:rsid w:val="00C827A0"/>
    <w:rsid w:val="00C84133"/>
    <w:rsid w:val="00C90E35"/>
    <w:rsid w:val="00C9138C"/>
    <w:rsid w:val="00CA0A6B"/>
    <w:rsid w:val="00CA76AB"/>
    <w:rsid w:val="00CB27A1"/>
    <w:rsid w:val="00CB2FF0"/>
    <w:rsid w:val="00CB34F0"/>
    <w:rsid w:val="00CC1784"/>
    <w:rsid w:val="00CC31D7"/>
    <w:rsid w:val="00CC75EB"/>
    <w:rsid w:val="00CD0FA2"/>
    <w:rsid w:val="00CD38B4"/>
    <w:rsid w:val="00CD6705"/>
    <w:rsid w:val="00CE5BD2"/>
    <w:rsid w:val="00CE6B79"/>
    <w:rsid w:val="00CF1A17"/>
    <w:rsid w:val="00CF2D7A"/>
    <w:rsid w:val="00CF38CA"/>
    <w:rsid w:val="00CF4C10"/>
    <w:rsid w:val="00CF4E85"/>
    <w:rsid w:val="00D029C2"/>
    <w:rsid w:val="00D03AE8"/>
    <w:rsid w:val="00D07097"/>
    <w:rsid w:val="00D07EBA"/>
    <w:rsid w:val="00D10401"/>
    <w:rsid w:val="00D1073B"/>
    <w:rsid w:val="00D1402D"/>
    <w:rsid w:val="00D20A10"/>
    <w:rsid w:val="00D23B0C"/>
    <w:rsid w:val="00D2623E"/>
    <w:rsid w:val="00D2685E"/>
    <w:rsid w:val="00D338EC"/>
    <w:rsid w:val="00D43E5A"/>
    <w:rsid w:val="00D461B3"/>
    <w:rsid w:val="00D469DC"/>
    <w:rsid w:val="00D50B30"/>
    <w:rsid w:val="00D5219F"/>
    <w:rsid w:val="00D55D6F"/>
    <w:rsid w:val="00D56D16"/>
    <w:rsid w:val="00D577C5"/>
    <w:rsid w:val="00D64A76"/>
    <w:rsid w:val="00D72CA3"/>
    <w:rsid w:val="00D73A62"/>
    <w:rsid w:val="00D849D3"/>
    <w:rsid w:val="00D85A21"/>
    <w:rsid w:val="00D9293A"/>
    <w:rsid w:val="00DA7F89"/>
    <w:rsid w:val="00DB21E5"/>
    <w:rsid w:val="00DB3578"/>
    <w:rsid w:val="00DB37E7"/>
    <w:rsid w:val="00DB3AA0"/>
    <w:rsid w:val="00DB6086"/>
    <w:rsid w:val="00DC30B7"/>
    <w:rsid w:val="00DC4E3C"/>
    <w:rsid w:val="00DC50F8"/>
    <w:rsid w:val="00DD3174"/>
    <w:rsid w:val="00DD32B2"/>
    <w:rsid w:val="00DE10B3"/>
    <w:rsid w:val="00DE39CF"/>
    <w:rsid w:val="00DE3CE1"/>
    <w:rsid w:val="00DE4771"/>
    <w:rsid w:val="00DE4C47"/>
    <w:rsid w:val="00DE4C5C"/>
    <w:rsid w:val="00DF2EE1"/>
    <w:rsid w:val="00DF60D0"/>
    <w:rsid w:val="00E03F82"/>
    <w:rsid w:val="00E12CAD"/>
    <w:rsid w:val="00E14FDA"/>
    <w:rsid w:val="00E20981"/>
    <w:rsid w:val="00E27F89"/>
    <w:rsid w:val="00E31071"/>
    <w:rsid w:val="00E337D5"/>
    <w:rsid w:val="00E34F18"/>
    <w:rsid w:val="00E35773"/>
    <w:rsid w:val="00E35FFA"/>
    <w:rsid w:val="00E4065C"/>
    <w:rsid w:val="00E4144C"/>
    <w:rsid w:val="00E41BED"/>
    <w:rsid w:val="00E42D13"/>
    <w:rsid w:val="00E43488"/>
    <w:rsid w:val="00E43FAD"/>
    <w:rsid w:val="00E44CD2"/>
    <w:rsid w:val="00E47996"/>
    <w:rsid w:val="00E510E3"/>
    <w:rsid w:val="00E557E4"/>
    <w:rsid w:val="00E6640D"/>
    <w:rsid w:val="00E6763C"/>
    <w:rsid w:val="00E711A2"/>
    <w:rsid w:val="00E71FB0"/>
    <w:rsid w:val="00E73E5A"/>
    <w:rsid w:val="00E84E7C"/>
    <w:rsid w:val="00E91620"/>
    <w:rsid w:val="00E93CF9"/>
    <w:rsid w:val="00E95C3B"/>
    <w:rsid w:val="00E960D6"/>
    <w:rsid w:val="00E96954"/>
    <w:rsid w:val="00EA049E"/>
    <w:rsid w:val="00EA620B"/>
    <w:rsid w:val="00EA65FD"/>
    <w:rsid w:val="00EA6B96"/>
    <w:rsid w:val="00EA7EE7"/>
    <w:rsid w:val="00EB15FB"/>
    <w:rsid w:val="00EB2474"/>
    <w:rsid w:val="00EB5B64"/>
    <w:rsid w:val="00EB5DBA"/>
    <w:rsid w:val="00EC35E1"/>
    <w:rsid w:val="00EC3828"/>
    <w:rsid w:val="00ED2279"/>
    <w:rsid w:val="00ED47C6"/>
    <w:rsid w:val="00ED4CAF"/>
    <w:rsid w:val="00ED5A0D"/>
    <w:rsid w:val="00ED605E"/>
    <w:rsid w:val="00EE3497"/>
    <w:rsid w:val="00EE4CC9"/>
    <w:rsid w:val="00EF287C"/>
    <w:rsid w:val="00EF42D0"/>
    <w:rsid w:val="00F0081C"/>
    <w:rsid w:val="00F03278"/>
    <w:rsid w:val="00F04BC9"/>
    <w:rsid w:val="00F10808"/>
    <w:rsid w:val="00F11EC8"/>
    <w:rsid w:val="00F125D3"/>
    <w:rsid w:val="00F237F5"/>
    <w:rsid w:val="00F27903"/>
    <w:rsid w:val="00F31F7E"/>
    <w:rsid w:val="00F32654"/>
    <w:rsid w:val="00F32A96"/>
    <w:rsid w:val="00F32A99"/>
    <w:rsid w:val="00F36C44"/>
    <w:rsid w:val="00F4024F"/>
    <w:rsid w:val="00F41B55"/>
    <w:rsid w:val="00F44401"/>
    <w:rsid w:val="00F461CB"/>
    <w:rsid w:val="00F470A9"/>
    <w:rsid w:val="00F500EC"/>
    <w:rsid w:val="00F55522"/>
    <w:rsid w:val="00F55F58"/>
    <w:rsid w:val="00F6212D"/>
    <w:rsid w:val="00F62EBA"/>
    <w:rsid w:val="00F72B69"/>
    <w:rsid w:val="00F73F7E"/>
    <w:rsid w:val="00F743D0"/>
    <w:rsid w:val="00F744C2"/>
    <w:rsid w:val="00F745E7"/>
    <w:rsid w:val="00F77620"/>
    <w:rsid w:val="00F8285A"/>
    <w:rsid w:val="00F834F6"/>
    <w:rsid w:val="00F876D9"/>
    <w:rsid w:val="00F928E9"/>
    <w:rsid w:val="00F95BB3"/>
    <w:rsid w:val="00F96D3A"/>
    <w:rsid w:val="00FA2AF6"/>
    <w:rsid w:val="00FA508F"/>
    <w:rsid w:val="00FB0F08"/>
    <w:rsid w:val="00FB19CA"/>
    <w:rsid w:val="00FB5625"/>
    <w:rsid w:val="00FB5762"/>
    <w:rsid w:val="00FB593F"/>
    <w:rsid w:val="00FB5ED3"/>
    <w:rsid w:val="00FC1F7B"/>
    <w:rsid w:val="00FC54B9"/>
    <w:rsid w:val="00FC7350"/>
    <w:rsid w:val="00FD1183"/>
    <w:rsid w:val="00FD1DB6"/>
    <w:rsid w:val="00FD3405"/>
    <w:rsid w:val="00FD62CD"/>
    <w:rsid w:val="00FE170A"/>
    <w:rsid w:val="00FE3473"/>
    <w:rsid w:val="00FE63AE"/>
    <w:rsid w:val="00FE7564"/>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vilum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F9F3-7606-464F-9009-56BF0CB6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1015</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2000.gada 26.septembra noteikumos Nr.330 “Vakcinācijas noteikumi”” sākotnējās ietekmes novērtējuma ziņojums (anotācija)</vt:lpstr>
    </vt:vector>
  </TitlesOfParts>
  <Company>Veselības ministrija</Company>
  <LinksUpToDate>false</LinksUpToDate>
  <CharactersWithSpaces>8541</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2000.gada 26.septembra noteikumos Nr.330 “Vakcinācijas noteikumi”” sākotnējās ietekmes novērtējuma ziņojums (anotācija)</dc:title>
  <dc:subject>Anotācija</dc:subject>
  <dc:creator>Dace Viļuma</dc:creator>
  <cp:keywords>Veselības ministrija</cp:keywords>
  <dc:description>dace.viluma@vm.gov.lv, tālr.67876080</dc:description>
  <cp:lastModifiedBy>dviluma</cp:lastModifiedBy>
  <cp:revision>5</cp:revision>
  <cp:lastPrinted>2012-01-04T12:30:00Z</cp:lastPrinted>
  <dcterms:created xsi:type="dcterms:W3CDTF">2012-01-04T11:52:00Z</dcterms:created>
  <dcterms:modified xsi:type="dcterms:W3CDTF">2012-01-04T12:30:00Z</dcterms:modified>
</cp:coreProperties>
</file>