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94" w:rsidRPr="00290C94" w:rsidRDefault="00290C94" w:rsidP="00290C94">
      <w:pPr>
        <w:jc w:val="center"/>
        <w:rPr>
          <w:b/>
        </w:rPr>
      </w:pPr>
      <w:bookmarkStart w:id="0" w:name="OLE_LINK2"/>
      <w:bookmarkStart w:id="1" w:name="OLE_LINK1"/>
      <w:bookmarkStart w:id="2" w:name="OLE_LINK3"/>
      <w:bookmarkStart w:id="3" w:name="OLE_LINK4"/>
      <w:r>
        <w:rPr>
          <w:b/>
        </w:rPr>
        <w:t xml:space="preserve">Ministru kabineta noteikumu projekta </w:t>
      </w:r>
      <w:r w:rsidRPr="00290C94">
        <w:rPr>
          <w:b/>
        </w:rPr>
        <w:t>„Dopinga kontroles kārtība”</w:t>
      </w:r>
    </w:p>
    <w:p w:rsidR="000D2633" w:rsidRPr="00BB58E6" w:rsidRDefault="000D2633" w:rsidP="00290C94">
      <w:pPr>
        <w:jc w:val="center"/>
        <w:rPr>
          <w:b/>
          <w:sz w:val="28"/>
          <w:szCs w:val="28"/>
        </w:rPr>
      </w:pPr>
      <w:r>
        <w:rPr>
          <w:b/>
        </w:rPr>
        <w:t>sākotnējās ietekmes novērtējuma ziņojums (anotācija)</w:t>
      </w:r>
      <w:bookmarkEnd w:id="0"/>
      <w:bookmarkEnd w:id="1"/>
    </w:p>
    <w:bookmarkEnd w:id="2"/>
    <w:bookmarkEnd w:id="3"/>
    <w:p w:rsidR="000D2633" w:rsidRDefault="000D2633" w:rsidP="000D263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"/>
        <w:gridCol w:w="2144"/>
        <w:gridCol w:w="7036"/>
      </w:tblGrid>
      <w:tr w:rsidR="000D2633" w:rsidTr="000D263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0D2633">
            <w:pPr>
              <w:jc w:val="center"/>
              <w:rPr>
                <w:b/>
              </w:rPr>
            </w:pPr>
            <w:r>
              <w:rPr>
                <w:b/>
              </w:rPr>
              <w:t xml:space="preserve">I. 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>
                <w:rPr>
                  <w:b/>
                </w:rPr>
                <w:t>akta</w:t>
              </w:r>
            </w:smartTag>
            <w:r>
              <w:rPr>
                <w:b/>
              </w:rPr>
              <w:t xml:space="preserve"> projekta izstrādes nepieciešamība</w:t>
            </w:r>
          </w:p>
        </w:tc>
      </w:tr>
      <w:tr w:rsidR="000D2633" w:rsidRPr="000D2633" w:rsidTr="000D26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0D2633">
            <w: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0D2633">
            <w:r>
              <w:t> Pamatojums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633" w:rsidRDefault="000D2633">
            <w:pPr>
              <w:jc w:val="both"/>
            </w:pPr>
            <w:r>
              <w:t>Ministru kabineta noteikumu „Dopinga kontroles kārtība” projektu (turpmāk – noteikumi) iniciēja Sporta medicīnas valsts aģentūras (turpmāk – aģentūra) speciālisti, kas veic dopinga kontroles un koordinē citu antidopinga pasākumu veikšanu valstī.</w:t>
            </w:r>
          </w:p>
          <w:p w:rsidR="000D2633" w:rsidRDefault="000D2633">
            <w:pPr>
              <w:jc w:val="both"/>
            </w:pPr>
            <w:r>
              <w:t xml:space="preserve">Aģentūra </w:t>
            </w:r>
            <w:smartTag w:uri="urn:schemas-microsoft-com:office:smarttags" w:element="date">
              <w:smartTagPr>
                <w:attr w:name="Year" w:val="2010"/>
                <w:attr w:name="Month" w:val="12"/>
                <w:attr w:name="Day" w:val="15"/>
              </w:smartTagPr>
              <w:smartTag w:uri="schemas-tilde-lv/tildestengine" w:element="date">
                <w:smartTagPr>
                  <w:attr w:name="Year" w:val="2010"/>
                  <w:attr w:name="Month" w:val="12"/>
                  <w:attr w:name="Day" w:val="15"/>
                </w:smartTagPr>
                <w:r>
                  <w:t>2010.gada 15.decembrī</w:t>
                </w:r>
              </w:smartTag>
            </w:smartTag>
            <w:r>
              <w:t xml:space="preserve"> saņēma UNESCO Latvijas Nacionālās komisijas </w:t>
            </w:r>
            <w:smartTag w:uri="schemas-tilde-lv/tildestengine" w:element="veidnes">
              <w:smartTagPr>
                <w:attr w:name="text" w:val="vēstuli"/>
                <w:attr w:name="id" w:val="-1"/>
                <w:attr w:name="baseform" w:val="vēstul|e"/>
              </w:smartTagPr>
              <w:r>
                <w:t>vēstuli</w:t>
              </w:r>
            </w:smartTag>
            <w:r>
              <w:t xml:space="preserve"> Nr. 4.3./240 par UNESCO ģenerāldirektores </w:t>
            </w:r>
            <w:proofErr w:type="spellStart"/>
            <w:r>
              <w:t>Irinas</w:t>
            </w:r>
            <w:proofErr w:type="spellEnd"/>
            <w:r>
              <w:t xml:space="preserve"> </w:t>
            </w:r>
            <w:proofErr w:type="spellStart"/>
            <w:r>
              <w:t>Bokovas</w:t>
            </w:r>
            <w:proofErr w:type="spellEnd"/>
            <w:r>
              <w:t xml:space="preserve"> </w:t>
            </w:r>
            <w:smartTag w:uri="schemas-tilde-lv/tildestengine" w:element="veidnes">
              <w:smartTagPr>
                <w:attr w:name="text" w:val="paziņojumu"/>
                <w:attr w:name="id" w:val="-1"/>
                <w:attr w:name="baseform" w:val="paziņojum|s"/>
              </w:smartTagPr>
              <w:r>
                <w:t>paziņojumu</w:t>
              </w:r>
            </w:smartTag>
            <w:r>
              <w:t xml:space="preserve"> par Starptautiskās konvencijas pret dopingu s</w:t>
            </w:r>
            <w:r w:rsidR="00F420C3">
              <w:t>portā (turpmāk – konvencija) 1.pielikuma un 2.</w:t>
            </w:r>
            <w:r>
              <w:t>pielikuma grozījumu stāšanos spēkā saskaņā ar konvencijas 34.panta nosacījumiem, jo Pasaules Antidopinga aģentūra (turpmāk – PAA) izmainījusi Starptautisko standartu „Aizliegtais saraksts” un Terapeitiskās lietošanas izņēmumu noteikšanas standartus.</w:t>
            </w:r>
          </w:p>
          <w:p w:rsidR="000D2633" w:rsidRDefault="004F6EC6">
            <w:pPr>
              <w:pStyle w:val="Header"/>
              <w:jc w:val="both"/>
            </w:pPr>
            <w:r>
              <w:t>Ņemot vērā, ka noteikumu 1.</w:t>
            </w:r>
            <w:r w:rsidR="000D2633">
              <w:t>pielikums tiek sagat</w:t>
            </w:r>
            <w:r>
              <w:t>avots saskaņā ar konvencijas 1.</w:t>
            </w:r>
            <w:r w:rsidR="000D2633">
              <w:t>pielikumu, kā arī nepieciešamību no</w:t>
            </w:r>
            <w:r>
              <w:t>teikumos iekļaut konvencijas 2.</w:t>
            </w:r>
            <w:r w:rsidR="000D2633">
              <w:t>pielikuma prasības, ir jāveic a</w:t>
            </w:r>
            <w:r w:rsidR="00290C94">
              <w:t>ttiecīgas izmaiņas normatīvajos aktos</w:t>
            </w:r>
            <w:r w:rsidR="000D2633">
              <w:t>.</w:t>
            </w:r>
          </w:p>
          <w:p w:rsidR="000D2633" w:rsidRDefault="000D2633">
            <w:pPr>
              <w:pStyle w:val="Header"/>
              <w:jc w:val="both"/>
              <w:rPr>
                <w:iCs/>
              </w:rPr>
            </w:pPr>
            <w:r>
              <w:t xml:space="preserve">Atbilstoši Sporta likuma </w:t>
            </w:r>
            <w:r>
              <w:rPr>
                <w:iCs/>
              </w:rPr>
              <w:t xml:space="preserve">6.panta piektās daļas 4.punktam Veselības ministrija </w:t>
            </w:r>
            <w:r w:rsidR="004F6EC6">
              <w:rPr>
                <w:iCs/>
              </w:rPr>
              <w:t>organizē</w:t>
            </w:r>
            <w:r>
              <w:rPr>
                <w:iCs/>
              </w:rPr>
              <w:t xml:space="preserve"> dopinga kontroli un to šobrīd reglamentē Ministru kabineta </w:t>
            </w:r>
            <w:smartTag w:uri="schemas-tilde-lv/tildestengine" w:element="date">
              <w:smartTagPr>
                <w:attr w:name="Day" w:val="30"/>
                <w:attr w:name="Month" w:val="11"/>
                <w:attr w:name="Year" w:val="2004"/>
              </w:smartTagPr>
              <w:r>
                <w:rPr>
                  <w:iCs/>
                </w:rPr>
                <w:t>2004.gada 30.novembra</w:t>
              </w:r>
            </w:smartTag>
            <w:r>
              <w:rPr>
                <w:iCs/>
              </w:rPr>
              <w:t xml:space="preserve"> noteikumi Nr.974</w:t>
            </w:r>
            <w:r w:rsidR="004F6EC6">
              <w:rPr>
                <w:iCs/>
              </w:rPr>
              <w:t xml:space="preserve"> „Dopinga kontroles noteikumi”.</w:t>
            </w:r>
          </w:p>
          <w:p w:rsidR="000D2633" w:rsidRDefault="000D2633" w:rsidP="004F6EC6">
            <w:pPr>
              <w:pStyle w:val="Header"/>
              <w:jc w:val="both"/>
            </w:pPr>
            <w:r>
              <w:rPr>
                <w:iCs/>
              </w:rPr>
              <w:t>Paredzamās izmaiņas dopinga kontroles veikšanas kārtībā, būtiski izmaina esošos noteikumus, tāpēc nepieciešama jaunu noteikumu pieņemšana.</w:t>
            </w:r>
          </w:p>
        </w:tc>
      </w:tr>
      <w:tr w:rsidR="000D2633" w:rsidRPr="000D2633" w:rsidTr="000D26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0D2633">
            <w: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0D2633">
            <w:r>
              <w:t> Pašreizējā situācija un problēmas</w:t>
            </w:r>
          </w:p>
          <w:p w:rsidR="000D2633" w:rsidRDefault="000D2633">
            <w:r>
              <w:t> </w:t>
            </w:r>
          </w:p>
          <w:p w:rsidR="000D2633" w:rsidRDefault="000D2633"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633" w:rsidRDefault="000D2633">
            <w:pPr>
              <w:jc w:val="both"/>
            </w:pPr>
            <w:r>
              <w:t xml:space="preserve">1. PAA katru gadu veic grozījumus Starptautiskajā standartā „Aizliegtais saraksts” un informē par to UNESCO Ģenerālsekretāru, </w:t>
            </w:r>
            <w:r w:rsidR="004F6EC6">
              <w:t>kurš atbilstoši Konvencijas 34.</w:t>
            </w:r>
            <w:r>
              <w:t xml:space="preserve">pantam paziņo par to visām konvencijas Dalībvalstīm, tajā skaitā Latvijai, ierosinot </w:t>
            </w:r>
            <w:r w:rsidR="009F7BFF">
              <w:t>veikt grozījumus konvencijas 1.</w:t>
            </w:r>
            <w:r>
              <w:t>pielikumā. Ja netiek saņemti iebildumi no Dalībvalstīm, ta</w:t>
            </w:r>
            <w:r w:rsidR="009F7BFF">
              <w:t>d grozījumi stājas spēkā. 2011.gada konvencijas 1.</w:t>
            </w:r>
            <w:r>
              <w:t>pielikuma projektam netika izteikti iebi</w:t>
            </w:r>
            <w:r w:rsidR="009F7BFF">
              <w:t>ldumi un tas stājās spēkā 2011.gada 1.janvārī, l</w:t>
            </w:r>
            <w:r>
              <w:t xml:space="preserve">īdz ar to jāmaina </w:t>
            </w:r>
            <w:r w:rsidR="009F7BFF">
              <w:t xml:space="preserve">noteikumu </w:t>
            </w:r>
            <w:r>
              <w:t>1.pielikuma saturs.</w:t>
            </w:r>
          </w:p>
          <w:p w:rsidR="000D2633" w:rsidRDefault="00650D68">
            <w:pPr>
              <w:jc w:val="both"/>
            </w:pPr>
            <w:r>
              <w:t>2. Konvencijas 2.</w:t>
            </w:r>
            <w:r w:rsidR="000D2633">
              <w:t>pielikums „Terapeitiskās lietošanas izņēmumu noteikšanas standarti” nosaka kārtību, kādā sportisti ārstēšanās nolūkā var saņemt atļauju lietot vie</w:t>
            </w:r>
            <w:r w:rsidR="00FD2EE4">
              <w:t>lu, kas iekļauta konvencijas 1.pielikuma sarakstā. 2010.</w:t>
            </w:r>
            <w:r w:rsidR="000D2633">
              <w:t>gada nogalē PAA veica grozījumus Terapeitiskās lietošanas izņēmumu noteikšanas standartos un par to paziņoja UNESCO Ģenerālsekretā</w:t>
            </w:r>
            <w:r w:rsidR="00FD2EE4">
              <w:t>ram. Atbilstoši konvencijas 34.panta prasībām vienlaikus ar 1.</w:t>
            </w:r>
            <w:r w:rsidR="000D2633">
              <w:t>pielikuma grozījumu izsludināšanu u</w:t>
            </w:r>
            <w:r w:rsidR="00FD2EE4">
              <w:t>n apstiprināšanu, notika arī 2.</w:t>
            </w:r>
            <w:r w:rsidR="000D2633">
              <w:t>pielikuma grozījumu izsludināšana un apstiprināšana, par ko UNESCO Ģenerālsekretārs informēja UNES</w:t>
            </w:r>
            <w:r w:rsidR="00FD2EE4">
              <w:t>CO Latvijas Nacionālo komisiju, l</w:t>
            </w:r>
            <w:r w:rsidR="000D2633">
              <w:t xml:space="preserve">īdz ar to jāmaina un jāpapildina </w:t>
            </w:r>
            <w:r w:rsidR="00FD2EE4">
              <w:lastRenderedPageBreak/>
              <w:t xml:space="preserve">noteikumu </w:t>
            </w:r>
            <w:r w:rsidR="000D2633">
              <w:t>2.pielikuma saturs.</w:t>
            </w:r>
          </w:p>
          <w:p w:rsidR="000D2633" w:rsidRDefault="00DA70DF">
            <w:pPr>
              <w:jc w:val="both"/>
            </w:pPr>
            <w:r>
              <w:t>3. 2010.</w:t>
            </w:r>
            <w:r w:rsidR="000D2633">
              <w:t>gadā PAA apstiprināja grozījumus konvencijas informatīvajos papildinājumos – Pasaules Antidopinga kodeksā un Starptautiskajā Pārbaužu standartā. Lai nodrošinātu noteikumu atbilstību pašreiz spēkā esoša</w:t>
            </w:r>
            <w:r>
              <w:t xml:space="preserve">jām starptautiskajām prasībām, </w:t>
            </w:r>
            <w:r w:rsidR="000D2633">
              <w:t xml:space="preserve">noteikumu projektā ir nepieciešams precizēt dopinga kontroles plānošanas kārtību, dopinga kontroles anketas saturu, dopinga pārkāpumu veidus, dopinga kontroles paraugu minimālo tilpumus un </w:t>
            </w:r>
            <w:r>
              <w:t xml:space="preserve">urīna </w:t>
            </w:r>
            <w:r w:rsidR="000D2633">
              <w:t xml:space="preserve">īpatnējā </w:t>
            </w:r>
            <w:r>
              <w:t>svara prasības, kā arī precizē</w:t>
            </w:r>
            <w:r w:rsidR="000D2633">
              <w:t>t sportistu un sporta federāciju atbildību.</w:t>
            </w:r>
          </w:p>
        </w:tc>
      </w:tr>
      <w:tr w:rsidR="000D2633" w:rsidTr="000D26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0D2633">
            <w: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0D2633">
            <w:r>
              <w:t>Saistītie politikas ie</w:t>
            </w:r>
            <w:r w:rsidR="008F7F25">
              <w:t>tekmes novērtējumi un pētījumi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5F104F">
            <w:r>
              <w:t>Projekts šo jomu neskar.</w:t>
            </w:r>
          </w:p>
        </w:tc>
      </w:tr>
      <w:tr w:rsidR="000D2633" w:rsidRPr="000D2633" w:rsidTr="000D26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0D2633">
            <w: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0D2633">
            <w:r>
              <w:t>Tiesiskā regulējuma mērķis un būtība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633" w:rsidRDefault="000D2633" w:rsidP="008F7F25">
            <w:pPr>
              <w:pStyle w:val="naisf"/>
              <w:spacing w:before="0" w:beforeAutospacing="0" w:after="0" w:afterAutospacing="0"/>
            </w:pPr>
            <w:r>
              <w:t>Noteikumu projekts atrisinās visas 2.punktā minētās problēmas.</w:t>
            </w:r>
          </w:p>
          <w:p w:rsidR="000D2633" w:rsidRDefault="00833EB2" w:rsidP="008F7F25">
            <w:pPr>
              <w:jc w:val="both"/>
            </w:pPr>
            <w:r>
              <w:t>1. Veicot izmaiņas noteikumu 1.</w:t>
            </w:r>
            <w:r w:rsidR="000D2633">
              <w:t xml:space="preserve">pielikumā „Aizliegtās dopinga vielas un dopinga metodes”, </w:t>
            </w:r>
            <w:r>
              <w:t>tiek nodrošināta konvencijas 1.</w:t>
            </w:r>
            <w:r w:rsidR="000D2633">
              <w:t>pielikuma Starptautiskais standarts „Aizliegtais saraksts” integrēšan</w:t>
            </w:r>
            <w:r>
              <w:t>a</w:t>
            </w:r>
            <w:r w:rsidR="000D2633">
              <w:t xml:space="preserve"> normatīvajos aktos.</w:t>
            </w:r>
          </w:p>
          <w:p w:rsidR="000D2633" w:rsidRDefault="00833EB2" w:rsidP="008F7F25">
            <w:pPr>
              <w:jc w:val="both"/>
            </w:pPr>
            <w:r>
              <w:t>2. Konvencijas 2.</w:t>
            </w:r>
            <w:r w:rsidR="000D2633">
              <w:t xml:space="preserve">pielikuma „Terapeitiskās lietošanas izņēmumu noteikšanas standarti” jaunā redakcija Dalībvalstīm </w:t>
            </w:r>
            <w:r>
              <w:t>u</w:t>
            </w:r>
            <w:r w:rsidR="000D2633">
              <w:t xml:space="preserve">zliek par pienākumu nodrošināt Terapeitiskās lietošanas izņēmumu komitejas darbību, lai sportistam izsniegtu Terapeitiskās lietošanas izņēmumu atļauju. Ņemot vērā, ka šādas atļaujas piešķiršana ir administratīvs </w:t>
            </w:r>
            <w:smartTag w:uri="schemas-tilde-lv/tildestengine" w:element="veidnes">
              <w:smartTagPr>
                <w:attr w:name="text" w:val="akts"/>
                <w:attr w:name="id" w:val="-1"/>
                <w:attr w:name="baseform" w:val="akt|s"/>
              </w:smartTagPr>
              <w:r w:rsidR="000D2633">
                <w:t>akts</w:t>
              </w:r>
            </w:smartTag>
            <w:r w:rsidR="000D2633">
              <w:t>, tās izsniegšanas kārtību nepieciešams noteikt normatīvajos aktos.</w:t>
            </w:r>
          </w:p>
          <w:p w:rsidR="00DE5B21" w:rsidRPr="008F5403" w:rsidRDefault="000D2633" w:rsidP="00DE5B21">
            <w:pPr>
              <w:jc w:val="both"/>
            </w:pPr>
            <w:r>
              <w:t xml:space="preserve">3. Pieņemot jaunus noteikumos, tiks nodrošināta dopinga kontroles veikšana atbilstoši PAA noteiktajiem standartiem, ieviešot pārbaudāmo sportistu reģistru, precizējot dopinga kontroles anketu, nosakot visus dopinga pārkāpumu veidus, precizējot dopinga parauga </w:t>
            </w:r>
            <w:r w:rsidR="00B14A25">
              <w:t xml:space="preserve">ņemšanas </w:t>
            </w:r>
            <w:r>
              <w:t>pra</w:t>
            </w:r>
            <w:r w:rsidR="00B14A25">
              <w:t>sības, kā arī nosakot sportistu, sporta federāciju at</w:t>
            </w:r>
            <w:r w:rsidR="00531955">
              <w:t>bildību un pienākumus. Noteikumi</w:t>
            </w:r>
            <w:r w:rsidR="00B14A25">
              <w:t xml:space="preserve"> sakārto visu procesā iesaistīto institūciju sa</w:t>
            </w:r>
            <w:r w:rsidR="00816B63">
              <w:t xml:space="preserve">darbību, tiesības un pienākumus, </w:t>
            </w:r>
            <w:r w:rsidR="00816B63" w:rsidRPr="008F5403">
              <w:t>kā arī atbilstoši PAA prasībām tiek noteikts, ka sportists reizi ceturksnī sniedz ziņas aģentūrai par savām plānotajām atrašanās vietām nākamaj</w:t>
            </w:r>
            <w:r w:rsidR="00C2000E" w:rsidRPr="008F5403">
              <w:t>iem</w:t>
            </w:r>
            <w:r w:rsidR="00816B63" w:rsidRPr="008F5403">
              <w:t xml:space="preserve"> trīs mēneš</w:t>
            </w:r>
            <w:r w:rsidR="00833EB2" w:rsidRPr="008F5403">
              <w:t xml:space="preserve">iem, </w:t>
            </w:r>
            <w:r w:rsidR="00C2000E" w:rsidRPr="008F5403">
              <w:t>norādot, kur viņš</w:t>
            </w:r>
            <w:r w:rsidR="00816B63" w:rsidRPr="008F5403">
              <w:t xml:space="preserve"> bū</w:t>
            </w:r>
            <w:r w:rsidR="00C2000E" w:rsidRPr="008F5403">
              <w:t>s</w:t>
            </w:r>
            <w:r w:rsidR="00816B63" w:rsidRPr="008F5403">
              <w:t xml:space="preserve"> pieejams dopinga kontrolei vienu stundu dienā, n</w:t>
            </w:r>
            <w:r w:rsidR="00833EB2" w:rsidRPr="008F5403">
              <w:t>eatkarīgi no uzturēšanās vietas (lai atvieglotu dopinga kontroles plāna izpildi, reģistrā iekļautie sportisti Pasaules Antidopinga aģentūras dopinga kontroles datu bāzē interneta vietnē http://adams.wada-ama.org reizi ceturksnī iesniedz ziņas par savu atrašanās vietu un laiku, kad būs pieejami kontrolei vienu stundu dienā)</w:t>
            </w:r>
            <w:r w:rsidR="00DE5B21" w:rsidRPr="008F5403">
              <w:t xml:space="preserve">. Reģistrā iekļautajiem sportistiem ir tiesības mainīt informāciju par izmaiņām viņu atrašanās vietā un laikā. Pēc aģentūras sniegtās informācijas šādu sportistu ir aptuveni 60. </w:t>
            </w:r>
          </w:p>
          <w:p w:rsidR="00DE5B21" w:rsidRPr="008F5403" w:rsidRDefault="00DE5B21" w:rsidP="00DE5B21">
            <w:pPr>
              <w:jc w:val="both"/>
            </w:pPr>
            <w:r w:rsidRPr="008F5403">
              <w:t xml:space="preserve">Aģentūra Datu valsts inspekcijā ir reģistrējusi datu bāzi „Dopinga kontroles datu bāze”, kura dod tiesības </w:t>
            </w:r>
            <w:r w:rsidR="00F82791" w:rsidRPr="008F5403">
              <w:t xml:space="preserve">aģentūrai </w:t>
            </w:r>
            <w:r w:rsidRPr="008F5403">
              <w:t>ievākt ziņas par  sportistu atrašanās vietu un laiku.</w:t>
            </w:r>
          </w:p>
          <w:p w:rsidR="00372E7E" w:rsidRPr="008F5403" w:rsidRDefault="00372E7E" w:rsidP="008F7F25">
            <w:pPr>
              <w:jc w:val="both"/>
            </w:pPr>
            <w:r w:rsidRPr="008F5403">
              <w:t>Starptautiskās konv</w:t>
            </w:r>
            <w:r w:rsidR="00833EB2" w:rsidRPr="008F5403">
              <w:t>encijas pret dopingu sportā 12.</w:t>
            </w:r>
            <w:r w:rsidRPr="008F5403">
              <w:t>pant</w:t>
            </w:r>
            <w:r w:rsidR="00833EB2" w:rsidRPr="008F5403">
              <w:t xml:space="preserve">a ,,Pasākumi </w:t>
            </w:r>
            <w:r w:rsidR="00833EB2" w:rsidRPr="008F5403">
              <w:lastRenderedPageBreak/>
              <w:t xml:space="preserve">dopinga kontroles </w:t>
            </w:r>
            <w:r w:rsidRPr="008F5403">
              <w:t>nodr</w:t>
            </w:r>
            <w:r w:rsidR="00833EB2" w:rsidRPr="008F5403">
              <w:t xml:space="preserve">ošināšanai” a) daļa nosaka, ka jāatbalsta un jārada </w:t>
            </w:r>
            <w:r w:rsidRPr="008F5403">
              <w:t>apstākļi to jurisdikcijā esošām sport</w:t>
            </w:r>
            <w:r w:rsidR="00833EB2" w:rsidRPr="008F5403">
              <w:t xml:space="preserve">a organizācijām un antidopinga </w:t>
            </w:r>
            <w:r w:rsidRPr="008F5403">
              <w:t>organiz</w:t>
            </w:r>
            <w:r w:rsidR="00833EB2" w:rsidRPr="008F5403">
              <w:t xml:space="preserve">ācijām veikt dopinga </w:t>
            </w:r>
            <w:r w:rsidR="00F072DE" w:rsidRPr="008F5403">
              <w:t>kontroles</w:t>
            </w:r>
            <w:r w:rsidR="00833EB2" w:rsidRPr="008F5403">
              <w:t xml:space="preserve">, kas ir saskaņā </w:t>
            </w:r>
            <w:r w:rsidRPr="008F5403">
              <w:t>ar Kodeksu, tai skaitā bez iepriekšēja brīdinājuma, ārpussacensību un sacensību dopinga kontroles.</w:t>
            </w:r>
          </w:p>
          <w:p w:rsidR="006562F7" w:rsidRPr="008F5403" w:rsidRDefault="00372E7E" w:rsidP="008F7F25">
            <w:pPr>
              <w:jc w:val="both"/>
            </w:pPr>
            <w:r w:rsidRPr="008F5403">
              <w:t>Eiropas padomes Antidopinga konvencijas 7.panta 3.daļa nosaka</w:t>
            </w:r>
            <w:r w:rsidR="00A24165" w:rsidRPr="008F5403">
              <w:t xml:space="preserve">, ka </w:t>
            </w:r>
            <w:r w:rsidRPr="008F5403">
              <w:t xml:space="preserve">Pusēm savās sporta </w:t>
            </w:r>
            <w:r w:rsidR="00A24165" w:rsidRPr="008F5403">
              <w:t xml:space="preserve">organizācijās ir jāveicina </w:t>
            </w:r>
            <w:r w:rsidRPr="008F5403">
              <w:t>efektīvas dopi</w:t>
            </w:r>
            <w:r w:rsidR="00A24165" w:rsidRPr="008F5403">
              <w:t>nga kontroles ieviešana ne vien</w:t>
            </w:r>
            <w:r w:rsidRPr="008F5403">
              <w:t xml:space="preserve"> sacensībās, bet arī bez iepriekšēja b</w:t>
            </w:r>
            <w:r w:rsidR="00A24165" w:rsidRPr="008F5403">
              <w:t>rīdinājuma jebkurā piemērotā</w:t>
            </w:r>
            <w:r w:rsidRPr="008F5403">
              <w:t xml:space="preserve"> brīdī ārpus tām, šādas pārbaudes ir j</w:t>
            </w:r>
            <w:r w:rsidR="00A24165" w:rsidRPr="008F5403">
              <w:t>āveic tā, lai tās būtu vienlīdz</w:t>
            </w:r>
            <w:r w:rsidRPr="008F5403">
              <w:t xml:space="preserve"> taisnīgas pret visiem sportistiem un sportistēm un ietvertu atlasīto personu pārbaudi un atkārtotu pārba</w:t>
            </w:r>
            <w:r w:rsidR="00A24165" w:rsidRPr="008F5403">
              <w:t>udi, kad tas ir lietderīgi, pēc</w:t>
            </w:r>
            <w:r w:rsidRPr="008F5403">
              <w:t xml:space="preserve"> nejaušības principa</w:t>
            </w:r>
            <w:r w:rsidR="00881432" w:rsidRPr="008F5403">
              <w:t>.</w:t>
            </w:r>
            <w:r w:rsidR="001A2887" w:rsidRPr="008F5403">
              <w:t xml:space="preserve"> </w:t>
            </w:r>
          </w:p>
          <w:p w:rsidR="006562F7" w:rsidRPr="00DE348B" w:rsidRDefault="006562F7" w:rsidP="006562F7">
            <w:pPr>
              <w:jc w:val="both"/>
              <w:rPr>
                <w:color w:val="FF0000"/>
              </w:rPr>
            </w:pPr>
            <w:r w:rsidRPr="008F5403">
              <w:t xml:space="preserve">Latvija ir pievienojusies šīm konvencijām un apņēmusies pildīt visas konvencijās minētās prasības līdz </w:t>
            </w:r>
            <w:r w:rsidR="00C9496C" w:rsidRPr="008F5403">
              <w:t xml:space="preserve">ar to akceptējot starptautiski </w:t>
            </w:r>
            <w:r w:rsidRPr="008F5403">
              <w:t xml:space="preserve">atzītas prasības un praksi. </w:t>
            </w:r>
            <w:r w:rsidR="001A2887" w:rsidRPr="008F5403">
              <w:t xml:space="preserve">Tas nozīmē, ka </w:t>
            </w:r>
            <w:r w:rsidR="00DE348B" w:rsidRPr="008F5403">
              <w:t xml:space="preserve">starptautiskā prasība un prakse nosaka to, ka </w:t>
            </w:r>
            <w:r w:rsidR="001A2887" w:rsidRPr="008F5403">
              <w:t xml:space="preserve">dopinga kontroli drīkst </w:t>
            </w:r>
            <w:r w:rsidR="00566C7E" w:rsidRPr="008F5403">
              <w:t xml:space="preserve">veikt </w:t>
            </w:r>
            <w:r w:rsidR="00DE348B" w:rsidRPr="008F5403">
              <w:t xml:space="preserve">jebkad, tātad nepieciešamības gadījumā arī – </w:t>
            </w:r>
            <w:r w:rsidR="001A2887" w:rsidRPr="008F5403">
              <w:t>brīvdienās, svētku dienās, naktī, kā arī personas dzīvesvietā.</w:t>
            </w:r>
            <w:r w:rsidR="00DE348B" w:rsidRPr="008F5403">
              <w:t xml:space="preserve"> </w:t>
            </w:r>
            <w:r w:rsidR="00412DF2" w:rsidRPr="008F5403">
              <w:t xml:space="preserve">Lielākoties arī sporta sacensības notiek brīvdienās un svētku dienās. Nereti gadās, ka sacensības beidzas vēlu vakarā, tāpēc sportistam dopinga kontroli var veikt, piemēram, arī pēc plkst. 23:00. </w:t>
            </w:r>
            <w:r w:rsidR="00DE348B" w:rsidRPr="008F5403">
              <w:t xml:space="preserve">Šāda sportistu pārbaude nav pretrunā ar vispārējām cilvēktiesību normām, jo, piemēram, </w:t>
            </w:r>
            <w:r w:rsidRPr="008F5403">
              <w:t xml:space="preserve">Francijas Augstākās tiesas lēmumā </w:t>
            </w:r>
            <w:proofErr w:type="spellStart"/>
            <w:r w:rsidRPr="008F5403">
              <w:t>Conseil</w:t>
            </w:r>
            <w:proofErr w:type="spellEnd"/>
            <w:r w:rsidRPr="008F5403">
              <w:t xml:space="preserve"> </w:t>
            </w:r>
            <w:proofErr w:type="spellStart"/>
            <w:r w:rsidRPr="008F5403">
              <w:t>d’Etat</w:t>
            </w:r>
            <w:proofErr w:type="spellEnd"/>
            <w:r w:rsidRPr="008F5403">
              <w:t xml:space="preserve"> Nr. 340122, tika uzsvērts, ka antidopinga cīņai nepieciešamo datu iegūšana ir  samērojama ar draudiem, ko dopinga lietošana izraisa, turklāt šādu  datu pieprasīšana nevar tikt</w:t>
            </w:r>
            <w:r w:rsidR="00DE348B" w:rsidRPr="008F5403">
              <w:t xml:space="preserve"> uzskatīta par Cilvēktiesību un</w:t>
            </w:r>
            <w:r w:rsidRPr="008F5403">
              <w:t xml:space="preserve"> pamatbrīvību aizsardzības konvencijas p</w:t>
            </w:r>
            <w:r w:rsidR="00DE348B" w:rsidRPr="008F5403">
              <w:t>ārkāpumu, jo dopinga lietošanas</w:t>
            </w:r>
            <w:r w:rsidRPr="008F5403">
              <w:t xml:space="preserve"> nepieļaušana ir sportistu veselības aizsardzības inter</w:t>
            </w:r>
            <w:r w:rsidR="00DE348B" w:rsidRPr="008F5403">
              <w:t>esēs, un</w:t>
            </w:r>
            <w:r w:rsidRPr="008F5403">
              <w:t xml:space="preserve"> sniedzot datus par atrašanās vie</w:t>
            </w:r>
            <w:r w:rsidR="00DE348B" w:rsidRPr="008F5403">
              <w:t>tu netiek ierobežotas sportista</w:t>
            </w:r>
            <w:r w:rsidRPr="008F5403">
              <w:t xml:space="preserve"> pārvietošanās tiesības.</w:t>
            </w:r>
          </w:p>
        </w:tc>
      </w:tr>
      <w:tr w:rsidR="000D2633" w:rsidTr="000D26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0D2633">
            <w: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0D2633">
            <w:r>
              <w:t>Projekta izstrādē iesaistītās institūcijas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0D2633">
            <w:pPr>
              <w:jc w:val="both"/>
            </w:pPr>
            <w:r>
              <w:t>Sporta medicīnas valsts aģentūra, Latvijas Sporta medicīnas asociācija, Latvijas Sporta federāciju padome, Latvijas Olimpiskā komiteja</w:t>
            </w:r>
          </w:p>
        </w:tc>
      </w:tr>
      <w:tr w:rsidR="000D2633" w:rsidTr="000D26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0D2633">
            <w: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0D2633">
            <w:r>
              <w:t>Iemesli, kādēļ netika nodrošināta sabiedrības līdzdalība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Pr="00FB2701" w:rsidRDefault="00391DC3">
            <w:r>
              <w:t>Projekts šo jomu neskar.</w:t>
            </w:r>
          </w:p>
        </w:tc>
      </w:tr>
      <w:tr w:rsidR="000D2633" w:rsidTr="000D26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0D2633">
            <w: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0D2633">
            <w:r>
              <w:t>Cita informācija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0D2633">
            <w:r>
              <w:t>Nav</w:t>
            </w:r>
          </w:p>
        </w:tc>
      </w:tr>
    </w:tbl>
    <w:p w:rsidR="000D2633" w:rsidRDefault="000D2633" w:rsidP="000D2633">
      <w:pPr>
        <w:jc w:val="both"/>
      </w:pPr>
    </w:p>
    <w:tbl>
      <w:tblPr>
        <w:tblW w:w="9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"/>
        <w:gridCol w:w="3711"/>
        <w:gridCol w:w="5364"/>
      </w:tblGrid>
      <w:tr w:rsidR="000D2633" w:rsidRPr="000D2633" w:rsidTr="00C720F8">
        <w:trPr>
          <w:trHeight w:val="27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0D2633">
            <w:pPr>
              <w:jc w:val="center"/>
              <w:rPr>
                <w:b/>
              </w:rPr>
            </w:pPr>
            <w:r>
              <w:rPr>
                <w:b/>
              </w:rPr>
              <w:t xml:space="preserve">II. Tiesību </w:t>
            </w:r>
            <w:smartTag w:uri="schemas-tilde-lv/tildestengine" w:element="veidnes">
              <w:smartTagPr>
                <w:attr w:name="text" w:val="akta"/>
                <w:attr w:name="id" w:val="-1"/>
                <w:attr w:name="baseform" w:val="akt|s"/>
              </w:smartTagPr>
              <w:r>
                <w:rPr>
                  <w:b/>
                </w:rPr>
                <w:t>akta</w:t>
              </w:r>
            </w:smartTag>
            <w:r>
              <w:rPr>
                <w:b/>
              </w:rPr>
              <w:t xml:space="preserve"> projekta ietekme uz sabiedrību</w:t>
            </w:r>
          </w:p>
        </w:tc>
      </w:tr>
      <w:tr w:rsidR="000D2633" w:rsidTr="00C720F8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0D2633">
            <w:pPr>
              <w:jc w:val="both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0D2633">
            <w:pPr>
              <w:jc w:val="both"/>
            </w:pPr>
            <w:r>
              <w:t>Sabiedrības mērķgrupa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0D2633">
            <w:pPr>
              <w:jc w:val="both"/>
            </w:pPr>
            <w:r>
              <w:t>Sporta ārsti, sportisti un sporta darbinieki</w:t>
            </w:r>
            <w:r w:rsidR="00A34571">
              <w:t>.</w:t>
            </w:r>
          </w:p>
        </w:tc>
      </w:tr>
      <w:tr w:rsidR="000D2633" w:rsidTr="00C720F8">
        <w:trPr>
          <w:trHeight w:val="11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0D2633">
            <w:pPr>
              <w:jc w:val="both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0D2633">
            <w:pPr>
              <w:jc w:val="both"/>
            </w:pPr>
            <w:r>
              <w:t>Citas sabiedrības grupas (bez mērķgrupas), kuras tiesiskais regulējums arī ietekmē vai varētu ietekmēt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633" w:rsidRDefault="000D2633">
            <w:pPr>
              <w:jc w:val="both"/>
            </w:pPr>
            <w:r>
              <w:t>Citas ārstniecības personas</w:t>
            </w:r>
            <w:r w:rsidR="00A34571">
              <w:t>.</w:t>
            </w:r>
          </w:p>
          <w:p w:rsidR="000D2633" w:rsidRDefault="000D2633">
            <w:pPr>
              <w:jc w:val="both"/>
            </w:pPr>
          </w:p>
        </w:tc>
      </w:tr>
      <w:tr w:rsidR="000D2633" w:rsidRPr="000D2633" w:rsidTr="00C720F8">
        <w:trPr>
          <w:trHeight w:val="11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0D2633">
            <w:pPr>
              <w:jc w:val="both"/>
            </w:pPr>
            <w: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633" w:rsidRDefault="000D2633">
            <w:pPr>
              <w:jc w:val="both"/>
            </w:pPr>
            <w:r>
              <w:t>Tiesiskā regulējuma finansiālā ietekme</w:t>
            </w:r>
          </w:p>
          <w:p w:rsidR="000D2633" w:rsidRDefault="000D2633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Pr="00FB2701" w:rsidRDefault="000D2633">
            <w:pPr>
              <w:jc w:val="both"/>
            </w:pPr>
            <w:r w:rsidRPr="00FB2701">
              <w:t>Noteikumu projekts nerada finansiālu ietekmi, tā kā ar noteikumu projektu netiek radītas jaunas administratīvas procedūras, kā arī netiek noteiktas jaunas prasības un pienākumi.</w:t>
            </w:r>
          </w:p>
        </w:tc>
      </w:tr>
      <w:tr w:rsidR="000D2633" w:rsidTr="00C720F8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0D2633">
            <w:pPr>
              <w:jc w:val="both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0D2633">
            <w:pPr>
              <w:jc w:val="both"/>
            </w:pPr>
            <w:r>
              <w:t>Tiesiskā regulējuma nefinansiālā ietekme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Pr="00FB2701" w:rsidRDefault="000D2633" w:rsidP="00B40851">
            <w:pPr>
              <w:tabs>
                <w:tab w:val="center" w:pos="2516"/>
              </w:tabs>
              <w:jc w:val="both"/>
            </w:pPr>
            <w:r w:rsidRPr="00FB2701">
              <w:t>Netiek radītas papildus administratīvās procedūras.</w:t>
            </w:r>
            <w:r w:rsidR="00B40851">
              <w:t xml:space="preserve"> Tiek regulēti profesionālo sportistu pienākumi un noteikta atbildība par dopinga lietošanu.</w:t>
            </w:r>
          </w:p>
        </w:tc>
      </w:tr>
      <w:tr w:rsidR="000D2633" w:rsidTr="00C720F8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0D2633">
            <w:pPr>
              <w:jc w:val="both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0D2633">
            <w:pPr>
              <w:jc w:val="both"/>
            </w:pPr>
            <w:r>
              <w:t xml:space="preserve">Administratīvās procedūras raksturojums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10052B">
            <w:pPr>
              <w:jc w:val="both"/>
            </w:pPr>
            <w:r>
              <w:t>Projekts šo jomu neskar</w:t>
            </w:r>
            <w:r w:rsidR="00E17EC6">
              <w:t>.</w:t>
            </w:r>
          </w:p>
        </w:tc>
      </w:tr>
      <w:tr w:rsidR="000D2633" w:rsidTr="00C720F8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0D2633">
            <w:pPr>
              <w:jc w:val="both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0D2633">
            <w:pPr>
              <w:jc w:val="both"/>
            </w:pPr>
            <w:r>
              <w:t>Administratīvo izmaksu monetārs novērtējums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B40851">
            <w:pPr>
              <w:jc w:val="both"/>
            </w:pPr>
            <w:r>
              <w:t>Projekts šo jomu neskar</w:t>
            </w:r>
            <w:r w:rsidR="00E17EC6">
              <w:t>.</w:t>
            </w:r>
          </w:p>
        </w:tc>
      </w:tr>
      <w:tr w:rsidR="000D2633" w:rsidTr="00C720F8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0D2633">
            <w:pPr>
              <w:jc w:val="both"/>
            </w:pPr>
            <w: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0D2633">
            <w:pPr>
              <w:jc w:val="both"/>
            </w:pPr>
            <w:r>
              <w:t>Cita informācija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0D2633">
            <w:pPr>
              <w:jc w:val="both"/>
            </w:pPr>
            <w:r>
              <w:t>Nav.</w:t>
            </w:r>
          </w:p>
        </w:tc>
      </w:tr>
    </w:tbl>
    <w:p w:rsidR="000D2633" w:rsidRDefault="000D2633" w:rsidP="000D2633">
      <w:pPr>
        <w:jc w:val="both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6"/>
        <w:gridCol w:w="3985"/>
        <w:gridCol w:w="4825"/>
      </w:tblGrid>
      <w:tr w:rsidR="000D2633" w:rsidTr="000D2633">
        <w:trPr>
          <w:trHeight w:val="444"/>
          <w:tblCellSpacing w:w="0" w:type="dxa"/>
        </w:trPr>
        <w:tc>
          <w:tcPr>
            <w:tcW w:w="9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633" w:rsidRDefault="000D2633" w:rsidP="00FB2701">
            <w:pPr>
              <w:pStyle w:val="naisc"/>
            </w:pPr>
            <w:r>
              <w:rPr>
                <w:b/>
                <w:bCs/>
              </w:rPr>
              <w:t>VI. Sabiedrības līdzdalība un šīs līdzdalības rezultāti</w:t>
            </w:r>
          </w:p>
        </w:tc>
      </w:tr>
      <w:tr w:rsidR="000D2633" w:rsidTr="000D2633">
        <w:trPr>
          <w:trHeight w:val="563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633" w:rsidRDefault="000D2633" w:rsidP="00FB2701">
            <w:pPr>
              <w:pStyle w:val="naiskr"/>
            </w:pPr>
            <w:r>
              <w:t> 1.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633" w:rsidRDefault="000D2633" w:rsidP="00FB2701">
            <w:pPr>
              <w:pStyle w:val="naiskr"/>
            </w:pPr>
            <w:r>
              <w:t>Sabiedrības informēšana par projekta izstrādes uzsākšanu</w:t>
            </w: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633" w:rsidRDefault="000D2633" w:rsidP="00FB2701">
            <w:pPr>
              <w:pStyle w:val="naiskr"/>
              <w:jc w:val="both"/>
            </w:pPr>
            <w:r>
              <w:t>Projekts šo jomu neskar</w:t>
            </w:r>
            <w:r w:rsidR="00F7019D">
              <w:t>.</w:t>
            </w:r>
          </w:p>
        </w:tc>
      </w:tr>
      <w:tr w:rsidR="000D2633" w:rsidTr="000D2633">
        <w:trPr>
          <w:trHeight w:val="345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633" w:rsidRDefault="000D2633" w:rsidP="00FB2701">
            <w:pPr>
              <w:pStyle w:val="naiskr"/>
            </w:pPr>
            <w:r>
              <w:t> 2.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633" w:rsidRDefault="000D2633" w:rsidP="00FB2701">
            <w:pPr>
              <w:pStyle w:val="naiskr"/>
            </w:pPr>
            <w:r>
              <w:t>Sabiedrības līdzdalība projekta izstrādē</w:t>
            </w: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633" w:rsidRDefault="000D2633" w:rsidP="000D2633">
            <w:pPr>
              <w:pStyle w:val="naiskr"/>
              <w:jc w:val="both"/>
            </w:pPr>
            <w:r>
              <w:t>Noteikumu projekts izstrādāts ar tiešu Sporta medicīnas valsts aģentūra</w:t>
            </w:r>
            <w:r w:rsidR="00F7019D">
              <w:t>s</w:t>
            </w:r>
            <w:r>
              <w:t>, Latvijas Sporta medicīnas asociācija</w:t>
            </w:r>
            <w:r w:rsidR="00F7019D">
              <w:t>s</w:t>
            </w:r>
            <w:r>
              <w:t>, Latvijas Sporta federāciju padome</w:t>
            </w:r>
            <w:r w:rsidR="00F7019D">
              <w:t>s un</w:t>
            </w:r>
            <w:r>
              <w:t xml:space="preserve"> Latvijas Olimpiskā</w:t>
            </w:r>
            <w:r w:rsidR="00F7019D">
              <w:t>s</w:t>
            </w:r>
            <w:r>
              <w:t xml:space="preserve"> komiteja</w:t>
            </w:r>
            <w:r w:rsidR="00F7019D">
              <w:t>s līdzdalību.</w:t>
            </w:r>
          </w:p>
        </w:tc>
      </w:tr>
      <w:tr w:rsidR="000D2633" w:rsidTr="000D2633">
        <w:trPr>
          <w:trHeight w:val="382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633" w:rsidRDefault="000D2633" w:rsidP="00FB2701">
            <w:pPr>
              <w:pStyle w:val="naiskr"/>
            </w:pPr>
            <w:r>
              <w:t> 3.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633" w:rsidRDefault="000D2633" w:rsidP="00FB2701">
            <w:pPr>
              <w:pStyle w:val="naiskr"/>
            </w:pPr>
            <w:r>
              <w:t>Sabiedrības līdzdalības rezultāti</w:t>
            </w: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633" w:rsidRDefault="000D2633" w:rsidP="000D2633">
            <w:pPr>
              <w:pStyle w:val="naiskr"/>
              <w:jc w:val="both"/>
            </w:pPr>
            <w:r>
              <w:t>Tika saskaņoti viedokļi noteikumu uzbūvei.</w:t>
            </w:r>
          </w:p>
        </w:tc>
      </w:tr>
      <w:tr w:rsidR="000D2633" w:rsidTr="000D2633">
        <w:trPr>
          <w:trHeight w:val="404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633" w:rsidRDefault="000D2633" w:rsidP="00FB2701">
            <w:pPr>
              <w:pStyle w:val="naiskr"/>
            </w:pPr>
            <w:r>
              <w:t> 4.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633" w:rsidRDefault="000D2633" w:rsidP="00FB2701">
            <w:pPr>
              <w:pStyle w:val="naiskr"/>
            </w:pPr>
            <w:r>
              <w:t>Saeimas un ekspertu līdzdalība</w:t>
            </w: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633" w:rsidRDefault="000D2633" w:rsidP="000D2633">
            <w:pPr>
              <w:pStyle w:val="naiskr"/>
            </w:pPr>
            <w:r>
              <w:t>Tika pieaicināti eksperti no Sporta medicīnas valsts aģentūras</w:t>
            </w:r>
            <w:r w:rsidR="00264592">
              <w:t>.</w:t>
            </w:r>
          </w:p>
        </w:tc>
      </w:tr>
      <w:tr w:rsidR="000D2633" w:rsidTr="000D2633">
        <w:trPr>
          <w:trHeight w:val="484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633" w:rsidRDefault="000D2633" w:rsidP="00FB2701">
            <w:pPr>
              <w:pStyle w:val="naiskr"/>
            </w:pPr>
            <w:r>
              <w:t> 5.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633" w:rsidRDefault="000D2633" w:rsidP="00FB2701">
            <w:pPr>
              <w:pStyle w:val="naiskr"/>
            </w:pPr>
            <w:r>
              <w:t>Cita informācija</w:t>
            </w: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633" w:rsidRDefault="000D2633" w:rsidP="00264592">
            <w:pPr>
              <w:pStyle w:val="naiskr"/>
            </w:pPr>
            <w:r>
              <w:t xml:space="preserve">Noteikumu projekts un tā anotācija tiks ievietoti Veselības ministrijas mājas lapā </w:t>
            </w:r>
            <w:hyperlink r:id="rId7" w:history="1">
              <w:r w:rsidRPr="0080163E">
                <w:rPr>
                  <w:rStyle w:val="Hyperlink"/>
                </w:rPr>
                <w:t>www.vm.gov.lv</w:t>
              </w:r>
            </w:hyperlink>
            <w:r w:rsidR="00264592">
              <w:t>.</w:t>
            </w:r>
          </w:p>
        </w:tc>
      </w:tr>
    </w:tbl>
    <w:p w:rsidR="000D2633" w:rsidRDefault="000D2633" w:rsidP="000D2633">
      <w:pPr>
        <w:jc w:val="both"/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1"/>
        <w:gridCol w:w="4241"/>
        <w:gridCol w:w="4679"/>
      </w:tblGrid>
      <w:tr w:rsidR="000D2633" w:rsidRPr="000D2633" w:rsidTr="00C720F8">
        <w:trPr>
          <w:trHeight w:val="26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0D2633">
            <w:pPr>
              <w:jc w:val="center"/>
              <w:rPr>
                <w:b/>
              </w:rPr>
            </w:pPr>
            <w:smartTag w:uri="urn:schemas-microsoft-com:office:smarttags" w:element="stockticker">
              <w:r>
                <w:rPr>
                  <w:b/>
                </w:rPr>
                <w:t>VII</w:t>
              </w:r>
            </w:smartTag>
            <w:r>
              <w:rPr>
                <w:b/>
              </w:rPr>
              <w:t xml:space="preserve">. Tiesību </w:t>
            </w:r>
            <w:smartTag w:uri="schemas-tilde-lv/tildestengine" w:element="veidnes">
              <w:smartTagPr>
                <w:attr w:name="text" w:val="akta"/>
                <w:attr w:name="id" w:val="-1"/>
                <w:attr w:name="baseform" w:val="akt|s"/>
              </w:smartTagPr>
              <w:r>
                <w:rPr>
                  <w:b/>
                </w:rPr>
                <w:t>akta</w:t>
              </w:r>
            </w:smartTag>
            <w:r>
              <w:rPr>
                <w:b/>
              </w:rPr>
              <w:t xml:space="preserve"> projekta izpildes nodrošināšana un tās ietekme uz institūcijām</w:t>
            </w:r>
          </w:p>
        </w:tc>
      </w:tr>
      <w:tr w:rsidR="000D2633" w:rsidRPr="000D2633" w:rsidTr="00C720F8">
        <w:trPr>
          <w:trHeight w:val="26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633" w:rsidRDefault="000D2633">
            <w:pPr>
              <w:jc w:val="both"/>
            </w:pPr>
          </w:p>
        </w:tc>
      </w:tr>
      <w:tr w:rsidR="000D2633" w:rsidTr="00C720F8">
        <w:trPr>
          <w:trHeight w:val="553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0D2633">
            <w:pPr>
              <w:jc w:val="both"/>
            </w:pPr>
            <w:r>
              <w:t>1.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0D2633">
            <w:pPr>
              <w:jc w:val="both"/>
            </w:pPr>
            <w:r>
              <w:t>Projekta izpildē iesaistītās institūcijas</w:t>
            </w: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671435">
            <w:pPr>
              <w:jc w:val="both"/>
            </w:pPr>
            <w:r>
              <w:t>Veselības ministrija</w:t>
            </w:r>
            <w:r w:rsidR="000D2633">
              <w:t>,</w:t>
            </w:r>
            <w:r>
              <w:t xml:space="preserve"> </w:t>
            </w:r>
            <w:r w:rsidR="000D2633">
              <w:t>Sporta medicīnas valsts aģentūra</w:t>
            </w:r>
            <w:r w:rsidR="00CA3A41">
              <w:t>.</w:t>
            </w:r>
          </w:p>
        </w:tc>
      </w:tr>
      <w:tr w:rsidR="000D2633" w:rsidTr="00C720F8">
        <w:trPr>
          <w:trHeight w:val="538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0D2633">
            <w:pPr>
              <w:jc w:val="both"/>
            </w:pPr>
            <w:r>
              <w:t xml:space="preserve">2. 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0D2633">
            <w:pPr>
              <w:jc w:val="both"/>
            </w:pPr>
            <w:r>
              <w:t>Projekta izpildes ietekme uz pārvaldes funkcijām</w:t>
            </w: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Pr="00671435" w:rsidRDefault="000D2633">
            <w:pPr>
              <w:pStyle w:val="naiskr"/>
            </w:pPr>
            <w:r w:rsidRPr="00671435">
              <w:t>Nav paredzama noteikumu projekta ietekme uz valsts pārvaldes funkcijām.</w:t>
            </w:r>
          </w:p>
        </w:tc>
      </w:tr>
      <w:tr w:rsidR="000D2633" w:rsidTr="00C720F8">
        <w:trPr>
          <w:trHeight w:val="822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0D2633">
            <w:pPr>
              <w:jc w:val="both"/>
            </w:pPr>
            <w:r>
              <w:t>3.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0D2633">
            <w:pPr>
              <w:jc w:val="both"/>
            </w:pPr>
            <w:r>
              <w:t>Projekta izpildes ietekme uz pārvaldes institucionālo struktūru.</w:t>
            </w:r>
          </w:p>
          <w:p w:rsidR="000D2633" w:rsidRDefault="000D2633">
            <w:pPr>
              <w:jc w:val="both"/>
            </w:pPr>
            <w:r>
              <w:t>Jaunu institūciju izveide</w:t>
            </w: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Pr="00671435" w:rsidRDefault="000D2633">
            <w:pPr>
              <w:jc w:val="both"/>
            </w:pPr>
            <w:r w:rsidRPr="00671435">
              <w:t>Projekts šo jomu neskar.</w:t>
            </w:r>
          </w:p>
        </w:tc>
      </w:tr>
      <w:tr w:rsidR="000D2633" w:rsidTr="00C720F8">
        <w:trPr>
          <w:trHeight w:val="822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0D2633">
            <w:pPr>
              <w:jc w:val="both"/>
            </w:pPr>
            <w:r>
              <w:t>4.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0D2633">
            <w:pPr>
              <w:jc w:val="both"/>
            </w:pPr>
            <w:r>
              <w:t>Projekta izpildes ietekme uz pārvaldes institucionālo struktūru.</w:t>
            </w:r>
          </w:p>
          <w:p w:rsidR="000D2633" w:rsidRDefault="000D2633">
            <w:pPr>
              <w:jc w:val="both"/>
            </w:pPr>
            <w:r>
              <w:t>Esošo institūciju likvidācija</w:t>
            </w: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Pr="00671435" w:rsidRDefault="000D2633">
            <w:pPr>
              <w:jc w:val="both"/>
            </w:pPr>
            <w:r w:rsidRPr="00671435">
              <w:t>Projekts šo jomu neskar.</w:t>
            </w:r>
          </w:p>
        </w:tc>
      </w:tr>
      <w:tr w:rsidR="000D2633" w:rsidTr="00C720F8">
        <w:trPr>
          <w:trHeight w:val="822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0D2633">
            <w:pPr>
              <w:jc w:val="both"/>
            </w:pPr>
            <w:r>
              <w:t>5.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0D2633">
            <w:pPr>
              <w:jc w:val="both"/>
            </w:pPr>
            <w:r>
              <w:t>Projekta izpildes ietekme uz pārvaldes institucionālo struktūru.</w:t>
            </w:r>
          </w:p>
          <w:p w:rsidR="000D2633" w:rsidRDefault="000D2633">
            <w:pPr>
              <w:jc w:val="both"/>
            </w:pPr>
            <w:r>
              <w:t>Esošo institūciju reorganizācija</w:t>
            </w: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Pr="00671435" w:rsidRDefault="000D2633">
            <w:pPr>
              <w:jc w:val="both"/>
            </w:pPr>
            <w:r w:rsidRPr="00671435">
              <w:t>Projekts šo jomu neskar.</w:t>
            </w:r>
          </w:p>
        </w:tc>
      </w:tr>
      <w:tr w:rsidR="000D2633" w:rsidTr="00C720F8">
        <w:trPr>
          <w:trHeight w:val="284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0D2633">
            <w:pPr>
              <w:jc w:val="both"/>
            </w:pPr>
            <w:r>
              <w:t>6.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0D2633">
            <w:pPr>
              <w:jc w:val="both"/>
            </w:pPr>
            <w:r>
              <w:t>Cita informācija</w:t>
            </w: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33" w:rsidRDefault="000D2633">
            <w:pPr>
              <w:jc w:val="both"/>
            </w:pPr>
            <w:r>
              <w:t>Nav.</w:t>
            </w:r>
          </w:p>
        </w:tc>
      </w:tr>
    </w:tbl>
    <w:p w:rsidR="000D2633" w:rsidRDefault="000D2633" w:rsidP="000D26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Tiesību akta projekta sākotnējās ietekmes novērtējuma ziņojuma III., IV.,V. nodaļas – projekts šīs jomas neskar.</w:t>
      </w:r>
    </w:p>
    <w:p w:rsidR="000D2633" w:rsidRDefault="000D2633" w:rsidP="000D2633">
      <w:pPr>
        <w:jc w:val="both"/>
        <w:rPr>
          <w:sz w:val="28"/>
          <w:szCs w:val="28"/>
        </w:rPr>
      </w:pPr>
    </w:p>
    <w:p w:rsidR="000D2633" w:rsidRDefault="000D2633" w:rsidP="000D2633">
      <w:pPr>
        <w:jc w:val="both"/>
      </w:pPr>
    </w:p>
    <w:p w:rsidR="000D2633" w:rsidRDefault="000D2633" w:rsidP="000D2633">
      <w:pPr>
        <w:rPr>
          <w:sz w:val="28"/>
          <w:szCs w:val="28"/>
        </w:rPr>
      </w:pPr>
      <w:r>
        <w:rPr>
          <w:sz w:val="28"/>
          <w:szCs w:val="28"/>
        </w:rPr>
        <w:t xml:space="preserve">Veselības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J.Bārzdiņš</w:t>
      </w:r>
    </w:p>
    <w:p w:rsidR="000D2633" w:rsidRDefault="000D2633" w:rsidP="000D2633">
      <w:pPr>
        <w:jc w:val="both"/>
        <w:rPr>
          <w:sz w:val="28"/>
          <w:szCs w:val="28"/>
        </w:rPr>
      </w:pPr>
    </w:p>
    <w:p w:rsidR="000D2633" w:rsidRDefault="000D2633" w:rsidP="000D2633">
      <w:pPr>
        <w:jc w:val="both"/>
        <w:rPr>
          <w:sz w:val="28"/>
          <w:szCs w:val="28"/>
        </w:rPr>
      </w:pPr>
    </w:p>
    <w:p w:rsidR="000D2633" w:rsidRDefault="000D2633" w:rsidP="000D2633">
      <w:pPr>
        <w:jc w:val="both"/>
        <w:rPr>
          <w:sz w:val="28"/>
          <w:szCs w:val="28"/>
        </w:rPr>
      </w:pPr>
    </w:p>
    <w:p w:rsidR="00B5418A" w:rsidRDefault="00B5418A" w:rsidP="000D2633">
      <w:pPr>
        <w:jc w:val="both"/>
        <w:rPr>
          <w:sz w:val="28"/>
          <w:szCs w:val="28"/>
        </w:rPr>
      </w:pPr>
    </w:p>
    <w:p w:rsidR="00B5418A" w:rsidRDefault="00B5418A" w:rsidP="000D2633">
      <w:pPr>
        <w:jc w:val="both"/>
        <w:rPr>
          <w:sz w:val="28"/>
          <w:szCs w:val="28"/>
        </w:rPr>
      </w:pPr>
    </w:p>
    <w:p w:rsidR="00AB4024" w:rsidRDefault="00AB4024" w:rsidP="000D2633">
      <w:pPr>
        <w:jc w:val="both"/>
      </w:pPr>
    </w:p>
    <w:p w:rsidR="000D2633" w:rsidRDefault="00412DF2" w:rsidP="000D2633">
      <w:pPr>
        <w:pStyle w:val="Header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04</w:t>
      </w:r>
      <w:r w:rsidR="00AB4024">
        <w:rPr>
          <w:noProof/>
          <w:sz w:val="22"/>
          <w:szCs w:val="22"/>
        </w:rPr>
        <w:t>.</w:t>
      </w:r>
      <w:r w:rsidR="0079211F">
        <w:rPr>
          <w:noProof/>
          <w:sz w:val="22"/>
          <w:szCs w:val="22"/>
        </w:rPr>
        <w:t>10</w:t>
      </w:r>
      <w:r w:rsidR="00CA3481">
        <w:rPr>
          <w:noProof/>
          <w:sz w:val="22"/>
          <w:szCs w:val="22"/>
        </w:rPr>
        <w:t>.2011.</w:t>
      </w:r>
      <w:r w:rsidR="008F5403">
        <w:rPr>
          <w:noProof/>
          <w:sz w:val="22"/>
          <w:szCs w:val="22"/>
        </w:rPr>
        <w:t xml:space="preserve"> 11</w:t>
      </w:r>
      <w:r w:rsidR="00CA3481">
        <w:rPr>
          <w:noProof/>
          <w:sz w:val="22"/>
          <w:szCs w:val="22"/>
        </w:rPr>
        <w:t>:</w:t>
      </w:r>
      <w:r w:rsidR="008F5403">
        <w:rPr>
          <w:noProof/>
          <w:sz w:val="22"/>
          <w:szCs w:val="22"/>
        </w:rPr>
        <w:t>08</w:t>
      </w:r>
    </w:p>
    <w:p w:rsidR="000D2633" w:rsidRDefault="00CA3A41" w:rsidP="000D2633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412DF2">
        <w:rPr>
          <w:sz w:val="22"/>
          <w:szCs w:val="22"/>
        </w:rPr>
        <w:t>206</w:t>
      </w:r>
    </w:p>
    <w:p w:rsidR="000D2633" w:rsidRDefault="000D2633" w:rsidP="000D2633">
      <w:pPr>
        <w:rPr>
          <w:sz w:val="22"/>
          <w:szCs w:val="22"/>
        </w:rPr>
      </w:pPr>
      <w:r>
        <w:rPr>
          <w:sz w:val="22"/>
          <w:szCs w:val="22"/>
        </w:rPr>
        <w:t xml:space="preserve">A.Egle </w:t>
      </w:r>
    </w:p>
    <w:p w:rsidR="0029444B" w:rsidRPr="00CA3A41" w:rsidRDefault="000D2633">
      <w:pPr>
        <w:rPr>
          <w:sz w:val="22"/>
          <w:szCs w:val="22"/>
        </w:rPr>
      </w:pPr>
      <w:r>
        <w:rPr>
          <w:sz w:val="22"/>
          <w:szCs w:val="22"/>
        </w:rPr>
        <w:t xml:space="preserve">67876099, </w:t>
      </w:r>
      <w:hyperlink r:id="rId8" w:history="1">
        <w:r>
          <w:rPr>
            <w:rStyle w:val="Hyperlink"/>
            <w:sz w:val="22"/>
            <w:szCs w:val="22"/>
          </w:rPr>
          <w:t>andris.egle@vm.gov.lv</w:t>
        </w:r>
      </w:hyperlink>
    </w:p>
    <w:sectPr w:rsidR="0029444B" w:rsidRPr="00CA3A41" w:rsidSect="00862E9F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2F7" w:rsidRDefault="006562F7" w:rsidP="00862E9F">
      <w:r>
        <w:separator/>
      </w:r>
    </w:p>
  </w:endnote>
  <w:endnote w:type="continuationSeparator" w:id="0">
    <w:p w:rsidR="006562F7" w:rsidRDefault="006562F7" w:rsidP="00862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2F7" w:rsidRPr="0035138D" w:rsidRDefault="006562F7" w:rsidP="0035138D">
    <w:pPr>
      <w:jc w:val="both"/>
    </w:pPr>
    <w:r>
      <w:t>VManot_</w:t>
    </w:r>
    <w:r w:rsidR="00475083">
      <w:t>0410</w:t>
    </w:r>
    <w:r w:rsidRPr="0035138D">
      <w:t>11_Dop; Ministru kabineta noteikumu projekta „Dopinga kontroles kārtība”</w:t>
    </w:r>
  </w:p>
  <w:p w:rsidR="006562F7" w:rsidRPr="00F7019D" w:rsidRDefault="006562F7" w:rsidP="00F7019D">
    <w:pPr>
      <w:jc w:val="both"/>
      <w:rPr>
        <w:sz w:val="28"/>
        <w:szCs w:val="28"/>
      </w:rPr>
    </w:pPr>
    <w:r w:rsidRPr="0035138D">
      <w:t>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2F7" w:rsidRPr="0035138D" w:rsidRDefault="006562F7" w:rsidP="0035138D">
    <w:pPr>
      <w:jc w:val="both"/>
    </w:pPr>
    <w:r>
      <w:t>VManot_</w:t>
    </w:r>
    <w:r w:rsidR="00475083">
      <w:t>0410</w:t>
    </w:r>
    <w:r w:rsidRPr="0035138D">
      <w:t>11_Dop; Ministru kabineta noteikumu projekta „Dopinga kontroles kārtība”</w:t>
    </w:r>
  </w:p>
  <w:p w:rsidR="006562F7" w:rsidRPr="0035138D" w:rsidRDefault="006562F7" w:rsidP="0035138D">
    <w:pPr>
      <w:jc w:val="both"/>
      <w:rPr>
        <w:sz w:val="28"/>
        <w:szCs w:val="28"/>
      </w:rPr>
    </w:pPr>
    <w:r w:rsidRPr="0035138D">
      <w:t>sākotnējās ietekmes novērtējuma ziņojums (anotācija)</w:t>
    </w:r>
  </w:p>
  <w:p w:rsidR="006562F7" w:rsidRDefault="006562F7" w:rsidP="008036C7">
    <w:pPr>
      <w:pStyle w:val="Footer"/>
    </w:pPr>
  </w:p>
  <w:p w:rsidR="006562F7" w:rsidRDefault="006562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2F7" w:rsidRDefault="006562F7" w:rsidP="00862E9F">
      <w:r>
        <w:separator/>
      </w:r>
    </w:p>
  </w:footnote>
  <w:footnote w:type="continuationSeparator" w:id="0">
    <w:p w:rsidR="006562F7" w:rsidRDefault="006562F7" w:rsidP="00862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079"/>
      <w:docPartObj>
        <w:docPartGallery w:val="Page Numbers (Top of Page)"/>
        <w:docPartUnique/>
      </w:docPartObj>
    </w:sdtPr>
    <w:sdtContent>
      <w:p w:rsidR="006562F7" w:rsidRDefault="00961898">
        <w:pPr>
          <w:pStyle w:val="Header"/>
          <w:jc w:val="center"/>
        </w:pPr>
        <w:fldSimple w:instr=" PAGE   \* MERGEFORMAT ">
          <w:r w:rsidR="008F5403">
            <w:rPr>
              <w:noProof/>
            </w:rPr>
            <w:t>5</w:t>
          </w:r>
        </w:fldSimple>
      </w:p>
    </w:sdtContent>
  </w:sdt>
  <w:p w:rsidR="006562F7" w:rsidRDefault="006562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633"/>
    <w:rsid w:val="0001405F"/>
    <w:rsid w:val="00023A61"/>
    <w:rsid w:val="0008691C"/>
    <w:rsid w:val="000D2633"/>
    <w:rsid w:val="0010052B"/>
    <w:rsid w:val="00152847"/>
    <w:rsid w:val="001A2887"/>
    <w:rsid w:val="00217D36"/>
    <w:rsid w:val="00224FB8"/>
    <w:rsid w:val="00264592"/>
    <w:rsid w:val="00290C94"/>
    <w:rsid w:val="0029444B"/>
    <w:rsid w:val="002E40D6"/>
    <w:rsid w:val="00307A1B"/>
    <w:rsid w:val="0035138D"/>
    <w:rsid w:val="00372E7E"/>
    <w:rsid w:val="00391DC3"/>
    <w:rsid w:val="003E2733"/>
    <w:rsid w:val="00412DF2"/>
    <w:rsid w:val="00472DD2"/>
    <w:rsid w:val="00475083"/>
    <w:rsid w:val="00483B00"/>
    <w:rsid w:val="004D4B44"/>
    <w:rsid w:val="004F6EC6"/>
    <w:rsid w:val="005155FC"/>
    <w:rsid w:val="005175E2"/>
    <w:rsid w:val="005260B8"/>
    <w:rsid w:val="00531955"/>
    <w:rsid w:val="00544B1D"/>
    <w:rsid w:val="00566C7E"/>
    <w:rsid w:val="005A4B3E"/>
    <w:rsid w:val="005C3E11"/>
    <w:rsid w:val="005F104F"/>
    <w:rsid w:val="00650D68"/>
    <w:rsid w:val="006562F7"/>
    <w:rsid w:val="00671435"/>
    <w:rsid w:val="0069408B"/>
    <w:rsid w:val="006967C7"/>
    <w:rsid w:val="006E1D38"/>
    <w:rsid w:val="00743EDA"/>
    <w:rsid w:val="00783CB2"/>
    <w:rsid w:val="0079211F"/>
    <w:rsid w:val="007E6CB9"/>
    <w:rsid w:val="008036C7"/>
    <w:rsid w:val="00816B63"/>
    <w:rsid w:val="00833EB2"/>
    <w:rsid w:val="00862E9F"/>
    <w:rsid w:val="00881432"/>
    <w:rsid w:val="008C68C9"/>
    <w:rsid w:val="008F5403"/>
    <w:rsid w:val="008F7F25"/>
    <w:rsid w:val="00916010"/>
    <w:rsid w:val="00957779"/>
    <w:rsid w:val="00961898"/>
    <w:rsid w:val="00962F75"/>
    <w:rsid w:val="00967BCD"/>
    <w:rsid w:val="009F3EAF"/>
    <w:rsid w:val="009F6D33"/>
    <w:rsid w:val="009F7BFF"/>
    <w:rsid w:val="00A24165"/>
    <w:rsid w:val="00A34571"/>
    <w:rsid w:val="00A44C7D"/>
    <w:rsid w:val="00AB4024"/>
    <w:rsid w:val="00B14A25"/>
    <w:rsid w:val="00B40851"/>
    <w:rsid w:val="00B4094D"/>
    <w:rsid w:val="00B42302"/>
    <w:rsid w:val="00B5418A"/>
    <w:rsid w:val="00B65B2A"/>
    <w:rsid w:val="00BA4EBD"/>
    <w:rsid w:val="00BB58E6"/>
    <w:rsid w:val="00C16A88"/>
    <w:rsid w:val="00C2000E"/>
    <w:rsid w:val="00C6402C"/>
    <w:rsid w:val="00C720F8"/>
    <w:rsid w:val="00C9496C"/>
    <w:rsid w:val="00CA3481"/>
    <w:rsid w:val="00CA3A41"/>
    <w:rsid w:val="00CA4C5F"/>
    <w:rsid w:val="00CD7363"/>
    <w:rsid w:val="00CE0BAB"/>
    <w:rsid w:val="00D74DE3"/>
    <w:rsid w:val="00D80678"/>
    <w:rsid w:val="00D83158"/>
    <w:rsid w:val="00D91282"/>
    <w:rsid w:val="00DA70DF"/>
    <w:rsid w:val="00DE348B"/>
    <w:rsid w:val="00DE5B21"/>
    <w:rsid w:val="00DF1175"/>
    <w:rsid w:val="00E164EB"/>
    <w:rsid w:val="00E17EC6"/>
    <w:rsid w:val="00ED7938"/>
    <w:rsid w:val="00F072DE"/>
    <w:rsid w:val="00F23AC6"/>
    <w:rsid w:val="00F420C3"/>
    <w:rsid w:val="00F7019D"/>
    <w:rsid w:val="00F82791"/>
    <w:rsid w:val="00FB2701"/>
    <w:rsid w:val="00FD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date"/>
  <w:smartTagType w:namespaceuri="schemas-tilde-lv/tildestengine" w:name="dat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26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26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633"/>
    <w:rPr>
      <w:rFonts w:ascii="Times New Roman" w:eastAsia="Times New Roman" w:hAnsi="Times New Roman" w:cs="Times New Roman"/>
      <w:sz w:val="24"/>
      <w:szCs w:val="24"/>
      <w:lang w:val="lv-LV"/>
    </w:rPr>
  </w:style>
  <w:style w:type="paragraph" w:customStyle="1" w:styleId="naisf">
    <w:name w:val="naisf"/>
    <w:basedOn w:val="Normal"/>
    <w:rsid w:val="000D2633"/>
    <w:pPr>
      <w:spacing w:before="100" w:beforeAutospacing="1" w:after="100" w:afterAutospacing="1"/>
    </w:pPr>
    <w:rPr>
      <w:lang w:eastAsia="lv-LV"/>
    </w:rPr>
  </w:style>
  <w:style w:type="paragraph" w:customStyle="1" w:styleId="naiskr">
    <w:name w:val="naiskr"/>
    <w:basedOn w:val="Normal"/>
    <w:rsid w:val="000D2633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rsid w:val="000D2633"/>
    <w:pPr>
      <w:spacing w:before="75" w:after="75"/>
      <w:jc w:val="center"/>
    </w:pPr>
    <w:rPr>
      <w:lang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862E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2E9F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s.egle@v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A24E-7173-4C3E-8420-EA2F3E8F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VManot_140711_Dop; Ministru kabineta noteikumu projekta „Dopinga kontroles kārtība”sākotnējās ietekmes novērtējuma ziņojums (anotācija)</vt:lpstr>
    </vt:vector>
  </TitlesOfParts>
  <Manager>Sabiedrības veselības departaments</Manager>
  <Company>Veselības ministrija</Company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VManot_140711_Dop; Ministru kabineta noteikumu projekta „Dopinga kontroles kārtība”sākotnējās ietekmes novērtējuma ziņojums (anotācija)</dc:title>
  <dc:subject>MK noteikumu anotācija</dc:subject>
  <dc:creator>Andris Egle</dc:creator>
  <cp:keywords/>
  <dc:description>andris.egle@vm.gov.lv
67876099</dc:description>
  <cp:lastModifiedBy>aegle</cp:lastModifiedBy>
  <cp:revision>10</cp:revision>
  <dcterms:created xsi:type="dcterms:W3CDTF">2011-10-04T06:01:00Z</dcterms:created>
  <dcterms:modified xsi:type="dcterms:W3CDTF">2011-10-04T08:08:00Z</dcterms:modified>
</cp:coreProperties>
</file>