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93" w:rsidRPr="002F1241" w:rsidRDefault="00277893" w:rsidP="002F1241">
      <w:pPr>
        <w:spacing w:after="120"/>
        <w:jc w:val="center"/>
        <w:rPr>
          <w:b/>
          <w:sz w:val="28"/>
          <w:szCs w:val="28"/>
        </w:rPr>
      </w:pPr>
      <w:bookmarkStart w:id="0" w:name="OLE_LINK1"/>
      <w:bookmarkStart w:id="1" w:name="OLE_LINK2"/>
      <w:bookmarkStart w:id="2" w:name="OLE_LINK5"/>
      <w:bookmarkStart w:id="3" w:name="OLE_LINK6"/>
      <w:r w:rsidRPr="00957553">
        <w:rPr>
          <w:b/>
          <w:bCs/>
          <w:sz w:val="28"/>
          <w:szCs w:val="28"/>
        </w:rPr>
        <w:t xml:space="preserve">Ministru kabineta noteikumu projekta </w:t>
      </w:r>
      <w:r>
        <w:rPr>
          <w:b/>
          <w:bCs/>
          <w:sz w:val="28"/>
          <w:szCs w:val="28"/>
        </w:rPr>
        <w:t>„</w:t>
      </w:r>
      <w:bookmarkStart w:id="4" w:name="OLE_LINK26"/>
      <w:bookmarkStart w:id="5" w:name="OLE_LINK27"/>
      <w:r w:rsidRPr="00957553">
        <w:rPr>
          <w:b/>
          <w:bCs/>
          <w:sz w:val="28"/>
          <w:szCs w:val="28"/>
        </w:rPr>
        <w:t xml:space="preserve">Grozījumi Ministru kabineta </w:t>
      </w:r>
      <w:bookmarkEnd w:id="4"/>
      <w:bookmarkEnd w:id="5"/>
      <w:r w:rsidRPr="00957553">
        <w:rPr>
          <w:b/>
          <w:bCs/>
          <w:iCs/>
          <w:sz w:val="28"/>
          <w:szCs w:val="28"/>
        </w:rPr>
        <w:t xml:space="preserve">2009.gada 13.janvāra noteikumos Nr.44 </w:t>
      </w:r>
      <w:r>
        <w:rPr>
          <w:b/>
          <w:bCs/>
          <w:iCs/>
          <w:sz w:val="28"/>
          <w:szCs w:val="28"/>
        </w:rPr>
        <w:t>„</w:t>
      </w:r>
      <w:r w:rsidRPr="00957553">
        <w:rPr>
          <w:b/>
          <w:bCs/>
          <w:iCs/>
          <w:sz w:val="28"/>
          <w:szCs w:val="28"/>
        </w:rPr>
        <w:t xml:space="preserve">Noteikumi par darbības programmas </w:t>
      </w:r>
      <w:r>
        <w:rPr>
          <w:b/>
          <w:bCs/>
          <w:iCs/>
          <w:sz w:val="28"/>
          <w:szCs w:val="28"/>
        </w:rPr>
        <w:t>„</w:t>
      </w:r>
      <w:r w:rsidRPr="00957553">
        <w:rPr>
          <w:b/>
          <w:bCs/>
          <w:iCs/>
          <w:sz w:val="28"/>
          <w:szCs w:val="28"/>
        </w:rPr>
        <w:t>Infrastruktūra un pakalpojumi</w:t>
      </w:r>
      <w:r>
        <w:rPr>
          <w:b/>
          <w:bCs/>
          <w:iCs/>
          <w:sz w:val="28"/>
          <w:szCs w:val="28"/>
        </w:rPr>
        <w:t>”</w:t>
      </w:r>
      <w:r w:rsidRPr="00957553">
        <w:rPr>
          <w:b/>
          <w:bCs/>
          <w:iCs/>
          <w:sz w:val="28"/>
          <w:szCs w:val="28"/>
        </w:rPr>
        <w:t xml:space="preserve"> papildinājuma 3.1.5.3.1.apakšaktivitāti </w:t>
      </w:r>
      <w:r>
        <w:rPr>
          <w:b/>
          <w:bCs/>
          <w:iCs/>
          <w:sz w:val="28"/>
          <w:szCs w:val="28"/>
        </w:rPr>
        <w:t>„</w:t>
      </w:r>
      <w:r w:rsidRPr="00957553">
        <w:rPr>
          <w:b/>
          <w:bCs/>
          <w:iCs/>
          <w:sz w:val="28"/>
          <w:szCs w:val="28"/>
        </w:rPr>
        <w:t>Stacionārās veselības aprūpes attīstība</w:t>
      </w:r>
      <w:r>
        <w:rPr>
          <w:b/>
          <w:bCs/>
          <w:iCs/>
          <w:sz w:val="28"/>
          <w:szCs w:val="28"/>
        </w:rPr>
        <w:t>”””</w:t>
      </w:r>
      <w:r w:rsidRPr="00957553">
        <w:rPr>
          <w:b/>
          <w:sz w:val="28"/>
          <w:szCs w:val="28"/>
        </w:rPr>
        <w:t xml:space="preserve"> </w:t>
      </w:r>
      <w:bookmarkEnd w:id="0"/>
      <w:bookmarkEnd w:id="1"/>
      <w:r w:rsidRPr="00957553">
        <w:rPr>
          <w:b/>
          <w:sz w:val="28"/>
          <w:szCs w:val="28"/>
        </w:rPr>
        <w:t>sākotnējās ietekmes novērtējuma ziņojums (anotācija)</w:t>
      </w:r>
      <w:bookmarkEnd w:id="2"/>
      <w:bookmarkEnd w:id="3"/>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2433"/>
        <w:gridCol w:w="6237"/>
      </w:tblGrid>
      <w:tr w:rsidR="00277893" w:rsidRPr="00957553" w:rsidTr="008D7634">
        <w:trPr>
          <w:trHeight w:val="559"/>
        </w:trPr>
        <w:tc>
          <w:tcPr>
            <w:tcW w:w="9322" w:type="dxa"/>
            <w:gridSpan w:val="3"/>
            <w:vAlign w:val="center"/>
          </w:tcPr>
          <w:p w:rsidR="00277893" w:rsidRPr="00957553" w:rsidRDefault="00277893" w:rsidP="00A43650">
            <w:pPr>
              <w:autoSpaceDE w:val="0"/>
              <w:autoSpaceDN w:val="0"/>
              <w:adjustRightInd w:val="0"/>
              <w:jc w:val="center"/>
              <w:rPr>
                <w:noProof/>
                <w:sz w:val="28"/>
                <w:szCs w:val="28"/>
              </w:rPr>
            </w:pPr>
            <w:r w:rsidRPr="00957553">
              <w:rPr>
                <w:b/>
                <w:bCs/>
                <w:lang w:eastAsia="lv-LV" w:bidi="lo-LA"/>
              </w:rPr>
              <w:t>I. Tiesību akta projekta izstrādes nepieciešamība</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1.</w:t>
            </w:r>
          </w:p>
        </w:tc>
        <w:tc>
          <w:tcPr>
            <w:tcW w:w="2433" w:type="dxa"/>
          </w:tcPr>
          <w:p w:rsidR="00277893" w:rsidRPr="00957553" w:rsidRDefault="00277893" w:rsidP="00CE6E01">
            <w:pPr>
              <w:spacing w:before="60" w:after="60"/>
              <w:rPr>
                <w:lang w:eastAsia="lv-LV" w:bidi="lo-LA"/>
              </w:rPr>
            </w:pPr>
            <w:r w:rsidRPr="00957553">
              <w:rPr>
                <w:lang w:eastAsia="lv-LV" w:bidi="lo-LA"/>
              </w:rPr>
              <w:t>Pamatojums</w:t>
            </w:r>
          </w:p>
        </w:tc>
        <w:tc>
          <w:tcPr>
            <w:tcW w:w="6237" w:type="dxa"/>
            <w:vAlign w:val="center"/>
          </w:tcPr>
          <w:p w:rsidR="0048542E" w:rsidRPr="00B825D6" w:rsidRDefault="00277893" w:rsidP="009B089D">
            <w:pPr>
              <w:jc w:val="both"/>
            </w:pPr>
            <w:r w:rsidRPr="00B825D6">
              <w:t xml:space="preserve">Ministru kabineta noteikumu </w:t>
            </w:r>
            <w:r w:rsidRPr="005E3E07">
              <w:rPr>
                <w:i/>
              </w:rPr>
              <w:t>„Grozījumi Ministru kabineta 2009.gada 13.janvāra noteikumos Nr.44 „Noteikumi par darbības programmas „Infrastruktūra un pakalpojumi” papildinājuma 3.1.5.3.1.apakšaktivitāti „Stacionārās veselības aprūpes attīstība”””</w:t>
            </w:r>
            <w:r w:rsidRPr="00B825D6">
              <w:t xml:space="preserve"> projekts (turpmāk –</w:t>
            </w:r>
            <w:r>
              <w:t xml:space="preserve"> </w:t>
            </w:r>
            <w:r w:rsidRPr="00B825D6">
              <w:t>noteikum</w:t>
            </w:r>
            <w:r>
              <w:t>u projekts)</w:t>
            </w:r>
            <w:r w:rsidRPr="00B825D6">
              <w:t xml:space="preserve"> sagatavots pamatojoties uz Eiropas Savienības struktūrfondu un Kohēzijas fonda vadības likuma 18.panta 10.punktu</w:t>
            </w:r>
            <w:r w:rsidR="009B089D">
              <w:t>.</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2.</w:t>
            </w:r>
          </w:p>
        </w:tc>
        <w:tc>
          <w:tcPr>
            <w:tcW w:w="2433" w:type="dxa"/>
          </w:tcPr>
          <w:p w:rsidR="00277893" w:rsidRPr="00957553" w:rsidRDefault="00277893" w:rsidP="00CE6E01">
            <w:pPr>
              <w:spacing w:before="60" w:after="60"/>
              <w:rPr>
                <w:lang w:eastAsia="lv-LV" w:bidi="lo-LA"/>
              </w:rPr>
            </w:pPr>
            <w:r w:rsidRPr="00957553">
              <w:rPr>
                <w:lang w:eastAsia="lv-LV" w:bidi="lo-LA"/>
              </w:rPr>
              <w:t>Pašreizējā situācija un problēmas</w:t>
            </w:r>
          </w:p>
        </w:tc>
        <w:tc>
          <w:tcPr>
            <w:tcW w:w="6237" w:type="dxa"/>
            <w:vAlign w:val="center"/>
          </w:tcPr>
          <w:p w:rsidR="009B089D" w:rsidRPr="00954C54" w:rsidRDefault="00954C54" w:rsidP="00954C54">
            <w:pPr>
              <w:pStyle w:val="ListParagraph"/>
              <w:numPr>
                <w:ilvl w:val="0"/>
                <w:numId w:val="37"/>
              </w:numPr>
              <w:tabs>
                <w:tab w:val="left" w:pos="459"/>
              </w:tabs>
              <w:spacing w:before="240" w:after="120"/>
              <w:ind w:left="34" w:firstLine="0"/>
              <w:contextualSpacing w:val="0"/>
              <w:jc w:val="both"/>
              <w:rPr>
                <w:iCs/>
              </w:rPr>
            </w:pPr>
            <w:r>
              <w:rPr>
                <w:iCs/>
              </w:rPr>
              <w:t>U</w:t>
            </w:r>
            <w:r w:rsidR="009B089D" w:rsidRPr="00954C54">
              <w:rPr>
                <w:iCs/>
              </w:rPr>
              <w:t>z 2013.gada marta beigām</w:t>
            </w:r>
            <w:r w:rsidR="0027195F">
              <w:rPr>
                <w:iCs/>
              </w:rPr>
              <w:t xml:space="preserve"> </w:t>
            </w:r>
            <w:r w:rsidR="00CB449E" w:rsidRPr="00954C54">
              <w:rPr>
                <w:iCs/>
              </w:rPr>
              <w:t xml:space="preserve">darbības programmas "Infrastruktūra un pakalpojumi" papildinājuma 3.1.5.1.2.apakšaktivitātes "Veselības aprūpes centru attīstība" (turpmāk - </w:t>
            </w:r>
            <w:r w:rsidR="009B089D" w:rsidRPr="00954C54">
              <w:rPr>
                <w:iCs/>
              </w:rPr>
              <w:t>3.1.5.1.2.apakšaktivit</w:t>
            </w:r>
            <w:r w:rsidR="00CB449E" w:rsidRPr="00954C54">
              <w:rPr>
                <w:iCs/>
              </w:rPr>
              <w:t>āte</w:t>
            </w:r>
            <w:r w:rsidR="008A7FB6" w:rsidRPr="00954C54">
              <w:rPr>
                <w:iCs/>
              </w:rPr>
              <w:t>) ietvaros konstatēts E</w:t>
            </w:r>
            <w:r w:rsidR="009A214F" w:rsidRPr="00954C54">
              <w:rPr>
                <w:iCs/>
              </w:rPr>
              <w:t xml:space="preserve">iropas </w:t>
            </w:r>
            <w:r w:rsidR="008A7FB6" w:rsidRPr="00954C54">
              <w:rPr>
                <w:iCs/>
              </w:rPr>
              <w:t>S</w:t>
            </w:r>
            <w:r w:rsidR="009A214F" w:rsidRPr="00954C54">
              <w:rPr>
                <w:iCs/>
              </w:rPr>
              <w:t>avienības (turpmāk – ES)</w:t>
            </w:r>
            <w:r w:rsidR="008A7FB6" w:rsidRPr="00954C54">
              <w:rPr>
                <w:iCs/>
              </w:rPr>
              <w:t xml:space="preserve"> fondu </w:t>
            </w:r>
            <w:r w:rsidR="00E3731F">
              <w:rPr>
                <w:iCs/>
              </w:rPr>
              <w:t xml:space="preserve">līdzfinansējuma pārpalikums 185 </w:t>
            </w:r>
            <w:r w:rsidR="008A7FB6" w:rsidRPr="00954C54">
              <w:rPr>
                <w:iCs/>
              </w:rPr>
              <w:t>087 LVL apmērā</w:t>
            </w:r>
            <w:r w:rsidR="00A82475">
              <w:rPr>
                <w:iCs/>
              </w:rPr>
              <w:t xml:space="preserve"> un nacionālā līdzf</w:t>
            </w:r>
            <w:r w:rsidR="00E3731F">
              <w:rPr>
                <w:iCs/>
              </w:rPr>
              <w:t xml:space="preserve">inansējuma pārpalikums 32 662 </w:t>
            </w:r>
            <w:r w:rsidR="00A82475">
              <w:t>LVL</w:t>
            </w:r>
            <w:r w:rsidR="009A214F" w:rsidRPr="00954C54">
              <w:rPr>
                <w:iCs/>
              </w:rPr>
              <w:t>.</w:t>
            </w:r>
          </w:p>
          <w:p w:rsidR="00967959" w:rsidRDefault="00967959" w:rsidP="00954C54">
            <w:pPr>
              <w:spacing w:before="120" w:after="120"/>
              <w:jc w:val="both"/>
              <w:rPr>
                <w:iCs/>
              </w:rPr>
            </w:pPr>
            <w:r>
              <w:rPr>
                <w:iCs/>
              </w:rPr>
              <w:t>Finansējuma p</w:t>
            </w:r>
            <w:r w:rsidR="008A7FB6" w:rsidRPr="008B37E4">
              <w:rPr>
                <w:iCs/>
              </w:rPr>
              <w:t>ārpalikums aprēķināts ņemot vērā Ministru kabineta 2012.gada 8.maija sēdes protokollēmumā</w:t>
            </w:r>
            <w:r w:rsidR="008A7FB6">
              <w:rPr>
                <w:iCs/>
              </w:rPr>
              <w:t xml:space="preserve"> Nr.25</w:t>
            </w:r>
            <w:r w:rsidR="008A7FB6" w:rsidRPr="008B37E4">
              <w:rPr>
                <w:iCs/>
              </w:rPr>
              <w:t xml:space="preserve"> </w:t>
            </w:r>
            <w:bookmarkStart w:id="6" w:name="26"/>
            <w:r w:rsidR="008A7FB6" w:rsidRPr="009F0AD3">
              <w:rPr>
                <w:iCs/>
              </w:rPr>
              <w:t>26.§</w:t>
            </w:r>
            <w:bookmarkEnd w:id="6"/>
            <w:r w:rsidR="008A7FB6" w:rsidRPr="008B37E4">
              <w:rPr>
                <w:iCs/>
              </w:rPr>
              <w:t xml:space="preserve"> </w:t>
            </w:r>
            <w:r w:rsidR="008A7FB6">
              <w:rPr>
                <w:iCs/>
              </w:rPr>
              <w:t xml:space="preserve">7.punktā </w:t>
            </w:r>
            <w:r w:rsidR="008A7FB6" w:rsidRPr="008B37E4">
              <w:rPr>
                <w:iCs/>
              </w:rPr>
              <w:t xml:space="preserve">noteikto, ja </w:t>
            </w:r>
            <w:r w:rsidR="003D4C5F">
              <w:rPr>
                <w:iCs/>
              </w:rPr>
              <w:t xml:space="preserve">ES </w:t>
            </w:r>
            <w:r w:rsidR="008A7FB6" w:rsidRPr="008B37E4">
              <w:rPr>
                <w:iCs/>
              </w:rPr>
              <w:t>fonda prioritātes ietvaros kādā no aktivitātēm ir uzņemtas virssaistības un kādā šīs prioritātes projektā ir konstatēta neatbilstība vai tiek lauzts līgums, atbrīvotais finansējums sākot ar 2012.gada 8.maiju neatbilstoši veikto izdevumu apmērā nevar tikt novirzīts citu ES fonda projektu īstenošanai.</w:t>
            </w:r>
            <w:r w:rsidRPr="002E54FC">
              <w:rPr>
                <w:iCs/>
              </w:rPr>
              <w:t xml:space="preserve"> </w:t>
            </w:r>
          </w:p>
          <w:p w:rsidR="008A7FB6" w:rsidRDefault="00967959" w:rsidP="008A7FB6">
            <w:pPr>
              <w:pStyle w:val="ListParagraph"/>
              <w:tabs>
                <w:tab w:val="left" w:pos="450"/>
              </w:tabs>
              <w:spacing w:after="120"/>
              <w:ind w:left="0"/>
              <w:contextualSpacing w:val="0"/>
              <w:jc w:val="both"/>
              <w:rPr>
                <w:iCs/>
              </w:rPr>
            </w:pPr>
            <w:r w:rsidRPr="002E54FC">
              <w:rPr>
                <w:iCs/>
              </w:rPr>
              <w:t>Lai nodrošinātu racionālu ES fondu līdzekļu izmantošanu veselības jomā</w:t>
            </w:r>
            <w:r>
              <w:rPr>
                <w:iCs/>
              </w:rPr>
              <w:t>,</w:t>
            </w:r>
            <w:r w:rsidR="00DF2432">
              <w:rPr>
                <w:iCs/>
              </w:rPr>
              <w:t xml:space="preserve"> Veselības ministrija </w:t>
            </w:r>
            <w:r w:rsidRPr="009F0AD3">
              <w:rPr>
                <w:iCs/>
              </w:rPr>
              <w:t>pieņēma lēmumu atbalstīt atlikušā 3.1.5.1.</w:t>
            </w:r>
            <w:r w:rsidR="00DF2432">
              <w:rPr>
                <w:iCs/>
              </w:rPr>
              <w:t xml:space="preserve">2.apakšaktivitātes finansējuma 185 087 </w:t>
            </w:r>
            <w:r w:rsidRPr="009F0AD3">
              <w:rPr>
                <w:iCs/>
              </w:rPr>
              <w:t xml:space="preserve">LVL apmērā pārdali </w:t>
            </w:r>
            <w:r w:rsidRPr="003D58D4">
              <w:rPr>
                <w:iCs/>
              </w:rPr>
              <w:t>projekta</w:t>
            </w:r>
            <w:r w:rsidR="00DF2432">
              <w:rPr>
                <w:iCs/>
              </w:rPr>
              <w:t>m</w:t>
            </w:r>
            <w:r w:rsidRPr="003D58D4">
              <w:rPr>
                <w:iCs/>
              </w:rPr>
              <w:t xml:space="preserve"> Nr.3DP/3.1.5.3.1/11/IPIA/VEC009 „</w:t>
            </w:r>
            <w:r w:rsidRPr="00A568A5">
              <w:rPr>
                <w:i/>
                <w:iCs/>
              </w:rPr>
              <w:t>VSIA „Bērnu klīniskā universitātes slimnīca” stacionārās veselības aprūpes infrastruktūras attīstība</w:t>
            </w:r>
            <w:r w:rsidRPr="003D58D4">
              <w:rPr>
                <w:iCs/>
              </w:rPr>
              <w:t>”</w:t>
            </w:r>
            <w:r>
              <w:rPr>
                <w:iCs/>
              </w:rPr>
              <w:t xml:space="preserve"> (turpmāk – BKUS projekts)</w:t>
            </w:r>
            <w:r w:rsidR="00954C54">
              <w:rPr>
                <w:iCs/>
              </w:rPr>
              <w:t xml:space="preserve">, par ko </w:t>
            </w:r>
            <w:r w:rsidR="00954C54" w:rsidRPr="006A0885">
              <w:t>Ministru</w:t>
            </w:r>
            <w:r w:rsidR="00954C54" w:rsidRPr="003D58D4">
              <w:t xml:space="preserve"> kabineta </w:t>
            </w:r>
            <w:r w:rsidR="00954C54">
              <w:t>2013.gada 16.jūlija sēdē apstiprināja rīkojumu</w:t>
            </w:r>
            <w:r w:rsidR="00954C54" w:rsidRPr="003D58D4">
              <w:t xml:space="preserve"> </w:t>
            </w:r>
            <w:r w:rsidR="00954C54" w:rsidRPr="00A50D47">
              <w:rPr>
                <w:i/>
              </w:rPr>
              <w:t>„Grozījums darbības programmas „Infrastruktūra un pakalpojumi” papildinājumā”</w:t>
            </w:r>
            <w:r w:rsidR="00954C54">
              <w:t xml:space="preserve"> (prot. Nr.</w:t>
            </w:r>
            <w:r w:rsidR="00954C54" w:rsidRPr="00D74EC2">
              <w:rPr>
                <w:iCs/>
              </w:rPr>
              <w:t>40 18.§, TA-1510)</w:t>
            </w:r>
            <w:r w:rsidR="00954C54">
              <w:rPr>
                <w:iCs/>
              </w:rPr>
              <w:t xml:space="preserve"> </w:t>
            </w:r>
            <w:r w:rsidR="00954C54">
              <w:t>(turpmāk – DPP grozījumi)</w:t>
            </w:r>
            <w:r w:rsidR="00DF2432">
              <w:rPr>
                <w:iCs/>
              </w:rPr>
              <w:t xml:space="preserve">. </w:t>
            </w:r>
            <w:r w:rsidR="00954C54">
              <w:rPr>
                <w:iCs/>
              </w:rPr>
              <w:t xml:space="preserve">Papildu finansējums BKUS projekta ietvaros tiks novirzīts </w:t>
            </w:r>
            <w:r w:rsidR="00954C54" w:rsidRPr="009F0AD3">
              <w:rPr>
                <w:iCs/>
              </w:rPr>
              <w:t>hematoonkoloģijas nodaļas telpu rekonstrukcijai un iekārtošanai</w:t>
            </w:r>
            <w:r w:rsidR="00954C54">
              <w:rPr>
                <w:iCs/>
              </w:rPr>
              <w:t>, kurās kopējas izmaksas plānotas ap 700 tūkst.LVL</w:t>
            </w:r>
            <w:r w:rsidR="008A7FB6" w:rsidRPr="009F0AD3">
              <w:rPr>
                <w:iCs/>
              </w:rPr>
              <w:t xml:space="preserve">. </w:t>
            </w:r>
            <w:r w:rsidR="00954C54">
              <w:rPr>
                <w:iCs/>
              </w:rPr>
              <w:t>Papildu n</w:t>
            </w:r>
            <w:r w:rsidR="008A7FB6">
              <w:rPr>
                <w:iCs/>
              </w:rPr>
              <w:t>epieciešamo finansējumu paredzēts iegūt:</w:t>
            </w:r>
          </w:p>
          <w:p w:rsidR="00954C54" w:rsidRDefault="00954C54" w:rsidP="00392859">
            <w:pPr>
              <w:pStyle w:val="ListParagraph"/>
              <w:numPr>
                <w:ilvl w:val="0"/>
                <w:numId w:val="32"/>
              </w:numPr>
              <w:spacing w:before="60" w:after="60"/>
              <w:ind w:left="318" w:hanging="284"/>
              <w:contextualSpacing w:val="0"/>
              <w:jc w:val="both"/>
              <w:rPr>
                <w:iCs/>
              </w:rPr>
            </w:pPr>
            <w:r w:rsidRPr="00954C54">
              <w:rPr>
                <w:iCs/>
              </w:rPr>
              <w:t>no</w:t>
            </w:r>
            <w:r w:rsidR="008A7FB6" w:rsidRPr="00954C54">
              <w:rPr>
                <w:iCs/>
              </w:rPr>
              <w:t xml:space="preserve"> Bērnu slimnīcas fonda rīkotās labdarības akcijas </w:t>
            </w:r>
            <w:r w:rsidR="008A7FB6" w:rsidRPr="00954C54">
              <w:rPr>
                <w:iCs/>
              </w:rPr>
              <w:lastRenderedPageBreak/>
              <w:t>„Saulaino dienu akcija”;</w:t>
            </w:r>
          </w:p>
          <w:p w:rsidR="00954C54" w:rsidRDefault="00954C54" w:rsidP="00392859">
            <w:pPr>
              <w:pStyle w:val="ListParagraph"/>
              <w:numPr>
                <w:ilvl w:val="0"/>
                <w:numId w:val="32"/>
              </w:numPr>
              <w:spacing w:before="60" w:after="60"/>
              <w:ind w:left="318" w:hanging="284"/>
              <w:contextualSpacing w:val="0"/>
              <w:jc w:val="both"/>
              <w:rPr>
                <w:iCs/>
              </w:rPr>
            </w:pPr>
            <w:r>
              <w:rPr>
                <w:iCs/>
              </w:rPr>
              <w:t xml:space="preserve">no </w:t>
            </w:r>
            <w:r w:rsidR="00CE63B1" w:rsidRPr="00954C54">
              <w:rPr>
                <w:iCs/>
              </w:rPr>
              <w:t xml:space="preserve">BKUS projekta </w:t>
            </w:r>
            <w:r w:rsidRPr="00954C54">
              <w:rPr>
                <w:iCs/>
              </w:rPr>
              <w:t xml:space="preserve">citu aktivitāšu </w:t>
            </w:r>
            <w:r w:rsidR="008A7FB6" w:rsidRPr="00954C54">
              <w:rPr>
                <w:iCs/>
              </w:rPr>
              <w:t>ietvaros</w:t>
            </w:r>
            <w:r w:rsidRPr="00954C54">
              <w:rPr>
                <w:iCs/>
              </w:rPr>
              <w:t xml:space="preserve"> </w:t>
            </w:r>
            <w:r>
              <w:rPr>
                <w:iCs/>
              </w:rPr>
              <w:t>ietaupītiem līdzekļiem</w:t>
            </w:r>
            <w:r w:rsidR="008A7FB6" w:rsidRPr="00954C54">
              <w:rPr>
                <w:iCs/>
              </w:rPr>
              <w:t>;</w:t>
            </w:r>
          </w:p>
          <w:p w:rsidR="00392859" w:rsidRDefault="00954C54" w:rsidP="00392859">
            <w:pPr>
              <w:pStyle w:val="ListParagraph"/>
              <w:numPr>
                <w:ilvl w:val="0"/>
                <w:numId w:val="32"/>
              </w:numPr>
              <w:spacing w:before="60" w:after="60"/>
              <w:ind w:left="318" w:hanging="284"/>
              <w:contextualSpacing w:val="0"/>
              <w:jc w:val="both"/>
              <w:rPr>
                <w:iCs/>
              </w:rPr>
            </w:pPr>
            <w:r>
              <w:rPr>
                <w:iCs/>
              </w:rPr>
              <w:t xml:space="preserve">no </w:t>
            </w:r>
            <w:r w:rsidRPr="00954C54">
              <w:rPr>
                <w:iCs/>
              </w:rPr>
              <w:t xml:space="preserve">darbības programmas "Infrastruktūra un pakalpojumi" papildinājuma </w:t>
            </w:r>
            <w:r w:rsidR="008A7FB6" w:rsidRPr="00954C54">
              <w:rPr>
                <w:iCs/>
              </w:rPr>
              <w:t xml:space="preserve">3.1.5.3.1.apakšaktivitātes </w:t>
            </w:r>
            <w:r>
              <w:rPr>
                <w:iCs/>
              </w:rPr>
              <w:t>„Stacionārās veselības aprūpes attīstība”</w:t>
            </w:r>
            <w:r w:rsidR="0027195F">
              <w:rPr>
                <w:iCs/>
              </w:rPr>
              <w:t xml:space="preserve"> </w:t>
            </w:r>
            <w:r>
              <w:rPr>
                <w:iCs/>
              </w:rPr>
              <w:t xml:space="preserve">(turpmāk – 3.1.5.3.1.apakšaktivitāte) </w:t>
            </w:r>
            <w:r w:rsidR="00A65D67">
              <w:rPr>
                <w:iCs/>
              </w:rPr>
              <w:t>atlikuma</w:t>
            </w:r>
            <w:r w:rsidR="00A82475">
              <w:rPr>
                <w:iCs/>
              </w:rPr>
              <w:t xml:space="preserve"> </w:t>
            </w:r>
            <w:r w:rsidR="00CD61A7">
              <w:rPr>
                <w:iCs/>
              </w:rPr>
              <w:t xml:space="preserve"> </w:t>
            </w:r>
            <w:r w:rsidR="002A03BF">
              <w:rPr>
                <w:iCs/>
              </w:rPr>
              <w:t>Eiropas Reģionālā attīstības fonda (turpmāk – ERAF)</w:t>
            </w:r>
            <w:r w:rsidR="00CD61A7">
              <w:rPr>
                <w:iCs/>
              </w:rPr>
              <w:t xml:space="preserve">un privātā līdzfinansējuma </w:t>
            </w:r>
            <w:r w:rsidR="00CD61A7" w:rsidRPr="00CD61A7">
              <w:t>69 867,06</w:t>
            </w:r>
            <w:r w:rsidR="00A82475">
              <w:t xml:space="preserve"> LVL apmērā, </w:t>
            </w:r>
            <w:r w:rsidR="00392859">
              <w:rPr>
                <w:iCs/>
              </w:rPr>
              <w:t>tai skaitā:</w:t>
            </w:r>
          </w:p>
          <w:p w:rsidR="00392859" w:rsidRPr="00DF6F66" w:rsidRDefault="00392859" w:rsidP="00392859">
            <w:pPr>
              <w:numPr>
                <w:ilvl w:val="0"/>
                <w:numId w:val="20"/>
              </w:numPr>
              <w:spacing w:before="20" w:after="20"/>
              <w:ind w:left="602" w:hanging="284"/>
              <w:jc w:val="both"/>
            </w:pPr>
            <w:r>
              <w:t>no SIA</w:t>
            </w:r>
            <w:r w:rsidRPr="00583DAC">
              <w:t xml:space="preserve"> "Daugavpils reģionālā slimnīca"</w:t>
            </w:r>
            <w:r>
              <w:t xml:space="preserve"> pirmās projektu iesniegumu atlases kārtas projekta 22 591,02 LVL apmērā (</w:t>
            </w:r>
            <w:r w:rsidR="00CD61A7">
              <w:t xml:space="preserve">t.sk. </w:t>
            </w:r>
            <w:r>
              <w:t>ERAF</w:t>
            </w:r>
            <w:r w:rsidR="00CD61A7">
              <w:t xml:space="preserve"> </w:t>
            </w:r>
            <w:r w:rsidR="002D55B2">
              <w:t xml:space="preserve">19 202,37 </w:t>
            </w:r>
            <w:r w:rsidR="00CD61A7">
              <w:t>LVL</w:t>
            </w:r>
            <w:r>
              <w:t xml:space="preserve"> un privātais finansējums</w:t>
            </w:r>
            <w:r w:rsidR="00CD61A7">
              <w:t xml:space="preserve"> </w:t>
            </w:r>
            <w:r w:rsidR="002D55B2">
              <w:t xml:space="preserve">3 388,65 </w:t>
            </w:r>
            <w:r w:rsidR="00CD61A7">
              <w:t>LVL</w:t>
            </w:r>
            <w:r>
              <w:t>);</w:t>
            </w:r>
          </w:p>
          <w:p w:rsidR="00392859" w:rsidRDefault="00392859" w:rsidP="00392859">
            <w:pPr>
              <w:numPr>
                <w:ilvl w:val="0"/>
                <w:numId w:val="20"/>
              </w:numPr>
              <w:spacing w:before="20" w:after="20"/>
              <w:ind w:left="602" w:hanging="284"/>
              <w:jc w:val="both"/>
            </w:pPr>
            <w:r>
              <w:t xml:space="preserve">no SIA </w:t>
            </w:r>
            <w:r w:rsidRPr="00583DAC">
              <w:t>"Jelgavas pilsētas slimnīca"</w:t>
            </w:r>
            <w:r>
              <w:t xml:space="preserve"> pirmās projektu iesniegumu atlases kārtas projekta 0,01 LVL apmērā (ERAF</w:t>
            </w:r>
            <w:r w:rsidR="00CD61A7">
              <w:t xml:space="preserve"> finansējums</w:t>
            </w:r>
            <w:r>
              <w:t>);</w:t>
            </w:r>
          </w:p>
          <w:p w:rsidR="00392859" w:rsidRDefault="00392859" w:rsidP="00392859">
            <w:pPr>
              <w:numPr>
                <w:ilvl w:val="0"/>
                <w:numId w:val="20"/>
              </w:numPr>
              <w:spacing w:before="20" w:after="20"/>
              <w:ind w:left="602" w:hanging="284"/>
              <w:jc w:val="both"/>
            </w:pPr>
            <w:r>
              <w:t xml:space="preserve">no SIA </w:t>
            </w:r>
            <w:r w:rsidRPr="00583DAC">
              <w:t>"</w:t>
            </w:r>
            <w:r>
              <w:t xml:space="preserve">Liepājas reģionālā </w:t>
            </w:r>
            <w:r w:rsidRPr="00583DAC">
              <w:t>slimnīca"</w:t>
            </w:r>
            <w:r>
              <w:t xml:space="preserve"> pirmās projektu iesniegumu atlases kārtas projekta 117,22 LVL apmērā (</w:t>
            </w:r>
            <w:r w:rsidR="00813FC9">
              <w:t xml:space="preserve">t.sk. </w:t>
            </w:r>
            <w:r>
              <w:t>ERAF</w:t>
            </w:r>
            <w:r w:rsidR="00813FC9">
              <w:t xml:space="preserve"> 99,64 LVL</w:t>
            </w:r>
            <w:r>
              <w:t xml:space="preserve"> un privātais finansējums</w:t>
            </w:r>
            <w:r w:rsidR="00813FC9">
              <w:t xml:space="preserve"> 17,58 LVL</w:t>
            </w:r>
            <w:r>
              <w:t>);</w:t>
            </w:r>
          </w:p>
          <w:p w:rsidR="00392859" w:rsidRDefault="00392859" w:rsidP="00392859">
            <w:pPr>
              <w:numPr>
                <w:ilvl w:val="0"/>
                <w:numId w:val="20"/>
              </w:numPr>
              <w:spacing w:before="20" w:after="20"/>
              <w:ind w:left="602" w:hanging="284"/>
              <w:jc w:val="both"/>
            </w:pPr>
            <w:r>
              <w:t>no VSIA</w:t>
            </w:r>
            <w:r w:rsidRPr="00B70CF5">
              <w:t xml:space="preserve"> "Traumatoloģijas un ortopēdijas slimnīca"</w:t>
            </w:r>
            <w:r>
              <w:t xml:space="preserve"> pirmās projektu iesniegumu atlases kārtas projekta </w:t>
            </w:r>
            <w:r w:rsidRPr="00B70CF5">
              <w:t>5 729,69</w:t>
            </w:r>
            <w:r>
              <w:t xml:space="preserve"> LVL apmērā (</w:t>
            </w:r>
            <w:r w:rsidR="008E1347">
              <w:t xml:space="preserve">t.sk. </w:t>
            </w:r>
            <w:r>
              <w:t>ERAF</w:t>
            </w:r>
            <w:r w:rsidR="008E1347">
              <w:t xml:space="preserve"> 4 870,24 LVL</w:t>
            </w:r>
            <w:r>
              <w:t xml:space="preserve"> un privātais finansējums</w:t>
            </w:r>
            <w:r w:rsidR="008E1347">
              <w:t xml:space="preserve"> 859,45 LVL</w:t>
            </w:r>
            <w:r>
              <w:t>);</w:t>
            </w:r>
          </w:p>
          <w:p w:rsidR="00392859" w:rsidRDefault="00392859" w:rsidP="00392859">
            <w:pPr>
              <w:numPr>
                <w:ilvl w:val="0"/>
                <w:numId w:val="20"/>
              </w:numPr>
              <w:spacing w:before="20" w:after="20"/>
              <w:ind w:left="602" w:hanging="284"/>
              <w:jc w:val="both"/>
            </w:pPr>
            <w:r>
              <w:t xml:space="preserve">no SIA </w:t>
            </w:r>
            <w:r w:rsidRPr="00583DAC">
              <w:t>"</w:t>
            </w:r>
            <w:r>
              <w:t>Rēzeknes slimnīca</w:t>
            </w:r>
            <w:r w:rsidRPr="00583DAC">
              <w:t>"</w:t>
            </w:r>
            <w:r>
              <w:t xml:space="preserve"> pirmās projektu iesniegumu atlases kārtas projekta 25,00 LVL apmērā (</w:t>
            </w:r>
            <w:r w:rsidR="00CD61A7">
              <w:t xml:space="preserve">t.sk. </w:t>
            </w:r>
            <w:r>
              <w:t>ERAF</w:t>
            </w:r>
            <w:r w:rsidR="00CD61A7">
              <w:t xml:space="preserve"> 21,25 LVL</w:t>
            </w:r>
            <w:r>
              <w:t xml:space="preserve"> un privātais finansējums</w:t>
            </w:r>
            <w:r w:rsidR="00CD61A7">
              <w:t xml:space="preserve"> 3,75 LVL</w:t>
            </w:r>
            <w:r>
              <w:t>);</w:t>
            </w:r>
          </w:p>
          <w:p w:rsidR="00392859" w:rsidRDefault="00392859" w:rsidP="00392859">
            <w:pPr>
              <w:numPr>
                <w:ilvl w:val="0"/>
                <w:numId w:val="20"/>
              </w:numPr>
              <w:spacing w:before="20" w:after="20"/>
              <w:ind w:left="602" w:hanging="284"/>
              <w:jc w:val="both"/>
            </w:pPr>
            <w:r>
              <w:t xml:space="preserve">no SIA </w:t>
            </w:r>
            <w:r w:rsidRPr="00583DAC">
              <w:t>"</w:t>
            </w:r>
            <w:r>
              <w:t>Kuldīgas slimnīca</w:t>
            </w:r>
            <w:r w:rsidRPr="00583DAC">
              <w:t>"</w:t>
            </w:r>
            <w:r>
              <w:t xml:space="preserve"> pirmās projektu iesniegum</w:t>
            </w:r>
            <w:r w:rsidR="00A807FC">
              <w:t>u atlases kārtas projekta 200,61</w:t>
            </w:r>
            <w:r>
              <w:t xml:space="preserve"> LVL apmērā (</w:t>
            </w:r>
            <w:r w:rsidR="00A807FC">
              <w:t xml:space="preserve">t.sk. </w:t>
            </w:r>
            <w:r>
              <w:t>ERAF</w:t>
            </w:r>
            <w:r w:rsidR="00A807FC">
              <w:t xml:space="preserve"> 170,52 LVL</w:t>
            </w:r>
            <w:r>
              <w:t xml:space="preserve"> un privātais finansējums</w:t>
            </w:r>
            <w:r w:rsidR="00A807FC">
              <w:t xml:space="preserve"> 30,09 LVL</w:t>
            </w:r>
            <w:r>
              <w:t xml:space="preserve">); </w:t>
            </w:r>
          </w:p>
          <w:p w:rsidR="00392859" w:rsidRDefault="00392859" w:rsidP="00392859">
            <w:pPr>
              <w:numPr>
                <w:ilvl w:val="0"/>
                <w:numId w:val="20"/>
              </w:numPr>
              <w:spacing w:before="20" w:after="20"/>
              <w:ind w:left="602" w:hanging="284"/>
              <w:jc w:val="both"/>
            </w:pPr>
            <w:r>
              <w:t xml:space="preserve">no SIA </w:t>
            </w:r>
            <w:r w:rsidRPr="00B70CF5">
              <w:t>"Jūrmalas slimnīca"</w:t>
            </w:r>
            <w:r>
              <w:t xml:space="preserve"> otrās projektu iesniegumu atlases kārtas projekta 25 919,27 LVL apmērā (</w:t>
            </w:r>
            <w:r w:rsidR="00A807FC">
              <w:t xml:space="preserve">t.sk. </w:t>
            </w:r>
            <w:r>
              <w:t>ERAF</w:t>
            </w:r>
            <w:r w:rsidR="00A807FC">
              <w:t xml:space="preserve"> 22 031,38 LVL</w:t>
            </w:r>
            <w:r>
              <w:t xml:space="preserve"> un privātais finansējums</w:t>
            </w:r>
            <w:r w:rsidR="00A807FC">
              <w:t xml:space="preserve"> 3 887,89 LVL</w:t>
            </w:r>
            <w:r>
              <w:t>);</w:t>
            </w:r>
          </w:p>
          <w:p w:rsidR="00392859" w:rsidRDefault="00392859" w:rsidP="00392859">
            <w:pPr>
              <w:numPr>
                <w:ilvl w:val="0"/>
                <w:numId w:val="20"/>
              </w:numPr>
              <w:spacing w:before="20" w:after="20"/>
              <w:ind w:left="602" w:hanging="284"/>
              <w:jc w:val="both"/>
            </w:pPr>
            <w:r>
              <w:t xml:space="preserve">no SIA </w:t>
            </w:r>
            <w:r w:rsidRPr="00583DAC">
              <w:t>"</w:t>
            </w:r>
            <w:r>
              <w:t>Aizkraukles slimnīca</w:t>
            </w:r>
            <w:r w:rsidRPr="00583DAC">
              <w:t>"</w:t>
            </w:r>
            <w:r>
              <w:t xml:space="preserve"> otrās projektu iesniegumu atlases kārtas projekta 5 764,53</w:t>
            </w:r>
            <w:r w:rsidR="0027195F">
              <w:t xml:space="preserve"> </w:t>
            </w:r>
            <w:r>
              <w:t>LVL apmērā (</w:t>
            </w:r>
            <w:r w:rsidR="008E1347">
              <w:t xml:space="preserve">t. sk. </w:t>
            </w:r>
            <w:r>
              <w:t>ERAF</w:t>
            </w:r>
            <w:r w:rsidR="008E1347">
              <w:t xml:space="preserve"> 4899,85 LVL</w:t>
            </w:r>
            <w:r>
              <w:t xml:space="preserve"> un privātais finansējums</w:t>
            </w:r>
            <w:r w:rsidR="008E1347">
              <w:t xml:space="preserve"> 864,68 LVL</w:t>
            </w:r>
            <w:r>
              <w:t>);</w:t>
            </w:r>
          </w:p>
          <w:p w:rsidR="00392859" w:rsidRDefault="00392859" w:rsidP="00392859">
            <w:pPr>
              <w:numPr>
                <w:ilvl w:val="0"/>
                <w:numId w:val="20"/>
              </w:numPr>
              <w:spacing w:before="20" w:after="20"/>
              <w:ind w:left="602" w:hanging="284"/>
              <w:jc w:val="both"/>
            </w:pPr>
            <w:r>
              <w:t xml:space="preserve">no SIA </w:t>
            </w:r>
            <w:r w:rsidRPr="00583DAC">
              <w:t>"</w:t>
            </w:r>
            <w:r>
              <w:t>Bauskas slimnīca</w:t>
            </w:r>
            <w:r w:rsidRPr="00583DAC">
              <w:t>"</w:t>
            </w:r>
            <w:r>
              <w:t xml:space="preserve"> otrās projektu iesniegumu atlases kārtas projekta 1 719,34 LVL apmērā (</w:t>
            </w:r>
            <w:r w:rsidR="008E1347">
              <w:t xml:space="preserve">t.sk. </w:t>
            </w:r>
            <w:r>
              <w:t>ERAF</w:t>
            </w:r>
            <w:r w:rsidR="008E1347">
              <w:t xml:space="preserve"> 1461,44 LVL</w:t>
            </w:r>
            <w:r>
              <w:t xml:space="preserve"> un privātais finansējums</w:t>
            </w:r>
            <w:r w:rsidR="008E1347">
              <w:t xml:space="preserve"> 257,90 LVL</w:t>
            </w:r>
            <w:r>
              <w:t>);</w:t>
            </w:r>
          </w:p>
          <w:p w:rsidR="00392859" w:rsidRDefault="00392859" w:rsidP="00392859">
            <w:pPr>
              <w:numPr>
                <w:ilvl w:val="0"/>
                <w:numId w:val="20"/>
              </w:numPr>
              <w:spacing w:before="20" w:after="20"/>
              <w:ind w:left="602" w:hanging="284"/>
              <w:jc w:val="both"/>
            </w:pPr>
            <w:r>
              <w:t xml:space="preserve">no Rīgas pašvaldības SIA </w:t>
            </w:r>
            <w:r w:rsidRPr="00583DAC">
              <w:t>"</w:t>
            </w:r>
            <w:r>
              <w:t>Rīgas 2.slimnīca</w:t>
            </w:r>
            <w:r w:rsidRPr="00583DAC">
              <w:t>"</w:t>
            </w:r>
            <w:r>
              <w:t xml:space="preserve"> otrās projektu iesniegumu atlases kārtas projekta 1 531,29 LVL apmērā (</w:t>
            </w:r>
            <w:r w:rsidR="008E1347">
              <w:t xml:space="preserve">t.sk. </w:t>
            </w:r>
            <w:r>
              <w:t>ERAF</w:t>
            </w:r>
            <w:r w:rsidR="008E1347">
              <w:t xml:space="preserve"> 1301,60 LVL</w:t>
            </w:r>
            <w:r>
              <w:t xml:space="preserve"> un privātais finansējums</w:t>
            </w:r>
            <w:r w:rsidR="008E1347">
              <w:t xml:space="preserve"> 229,69 LVL</w:t>
            </w:r>
            <w:r>
              <w:t>);</w:t>
            </w:r>
          </w:p>
          <w:p w:rsidR="00392859" w:rsidRDefault="00392859" w:rsidP="00392859">
            <w:pPr>
              <w:numPr>
                <w:ilvl w:val="0"/>
                <w:numId w:val="20"/>
              </w:numPr>
              <w:spacing w:before="20" w:after="20"/>
              <w:ind w:left="602" w:hanging="284"/>
              <w:jc w:val="both"/>
            </w:pPr>
            <w:r>
              <w:t xml:space="preserve">no Rīgas rajona pašvaldības SIA </w:t>
            </w:r>
            <w:r w:rsidRPr="00583DAC">
              <w:t>"</w:t>
            </w:r>
            <w:r>
              <w:t xml:space="preserve">Rīgas rajona </w:t>
            </w:r>
            <w:r>
              <w:lastRenderedPageBreak/>
              <w:t>slimnīca</w:t>
            </w:r>
            <w:r w:rsidRPr="00583DAC">
              <w:t>"</w:t>
            </w:r>
            <w:r>
              <w:t xml:space="preserve"> otrās projektu iesniegumu atlases kārtas projekta 423,49 LVL apmērā (</w:t>
            </w:r>
            <w:r w:rsidR="008E1347">
              <w:t xml:space="preserve">t.sk. </w:t>
            </w:r>
            <w:r>
              <w:t>ERAF</w:t>
            </w:r>
            <w:r w:rsidR="008E1347">
              <w:t xml:space="preserve"> 359,97 LVL</w:t>
            </w:r>
            <w:r>
              <w:t xml:space="preserve"> un privātais finansējums</w:t>
            </w:r>
            <w:r w:rsidR="008E1347">
              <w:t xml:space="preserve"> 63,52 LVL</w:t>
            </w:r>
            <w:r>
              <w:t>);</w:t>
            </w:r>
          </w:p>
          <w:p w:rsidR="008A7FB6" w:rsidRPr="00954C54" w:rsidRDefault="00392859" w:rsidP="00392859">
            <w:pPr>
              <w:numPr>
                <w:ilvl w:val="0"/>
                <w:numId w:val="20"/>
              </w:numPr>
              <w:spacing w:before="20" w:after="20"/>
              <w:ind w:left="602" w:hanging="284"/>
              <w:jc w:val="both"/>
              <w:rPr>
                <w:iCs/>
              </w:rPr>
            </w:pPr>
            <w:r>
              <w:t xml:space="preserve">no VSIA </w:t>
            </w:r>
            <w:r w:rsidRPr="00583DAC">
              <w:t>"</w:t>
            </w:r>
            <w:r>
              <w:t>Nacionālais rehabilitācijas centrs „Vaivari”</w:t>
            </w:r>
            <w:r w:rsidRPr="00583DAC">
              <w:t>"</w:t>
            </w:r>
            <w:r>
              <w:t xml:space="preserve"> pirmās projektu iesniegumu atlases kārtas projekta 0,01 LVL apmērā (ERAF finansējums).</w:t>
            </w:r>
          </w:p>
          <w:p w:rsidR="0024456D" w:rsidRDefault="00354C21" w:rsidP="00954C54">
            <w:pPr>
              <w:pStyle w:val="ListParagraph"/>
              <w:numPr>
                <w:ilvl w:val="0"/>
                <w:numId w:val="37"/>
              </w:numPr>
              <w:tabs>
                <w:tab w:val="left" w:pos="459"/>
              </w:tabs>
              <w:spacing w:before="240" w:after="120"/>
              <w:ind w:left="34" w:firstLine="0"/>
              <w:contextualSpacing w:val="0"/>
              <w:jc w:val="both"/>
              <w:rPr>
                <w:iCs/>
              </w:rPr>
            </w:pPr>
            <w:r>
              <w:rPr>
                <w:iCs/>
              </w:rPr>
              <w:t xml:space="preserve">2013.gada 27.februārī </w:t>
            </w:r>
            <w:r w:rsidR="003B1B8D" w:rsidRPr="003B1B8D">
              <w:rPr>
                <w:iCs/>
              </w:rPr>
              <w:t xml:space="preserve">tika </w:t>
            </w:r>
            <w:r>
              <w:rPr>
                <w:iCs/>
              </w:rPr>
              <w:t>apstiprināti</w:t>
            </w:r>
            <w:r w:rsidRPr="003B1B8D">
              <w:rPr>
                <w:iCs/>
              </w:rPr>
              <w:t xml:space="preserve"> </w:t>
            </w:r>
            <w:r w:rsidR="003B1B8D" w:rsidRPr="003B1B8D">
              <w:rPr>
                <w:iCs/>
              </w:rPr>
              <w:t>grozījumi 2009.gada 13.jan</w:t>
            </w:r>
            <w:r w:rsidR="0041311C">
              <w:rPr>
                <w:iCs/>
              </w:rPr>
              <w:t>vāra Ministru kabineta noteikumos</w:t>
            </w:r>
            <w:r w:rsidR="003B1B8D" w:rsidRPr="003B1B8D">
              <w:rPr>
                <w:iCs/>
              </w:rPr>
              <w:t xml:space="preserve"> Nr.44 "</w:t>
            </w:r>
            <w:r w:rsidR="003B1B8D" w:rsidRPr="0027195F">
              <w:rPr>
                <w:i/>
                <w:iCs/>
              </w:rPr>
              <w:t>Noteikumi par darbības programmas “Infrastruktūra un pakalpojumi” papildinājuma 3.1.5.3.1.apakšaktivitāti “Stacionārās veselības aprūpes attīstība”</w:t>
            </w:r>
            <w:r w:rsidR="003B1B8D">
              <w:rPr>
                <w:iCs/>
              </w:rPr>
              <w:t xml:space="preserve">” (turpmāk – noteikumi Nr.44), kas </w:t>
            </w:r>
            <w:r w:rsidR="00403C30">
              <w:rPr>
                <w:iCs/>
              </w:rPr>
              <w:t xml:space="preserve">papildināja noteikumus Nr.44 ar valsts atbalsta aprēķināšanas nosacījumiem, kā arī </w:t>
            </w:r>
            <w:r w:rsidR="003B1B8D">
              <w:rPr>
                <w:iCs/>
              </w:rPr>
              <w:t xml:space="preserve">precizēja </w:t>
            </w:r>
            <w:r w:rsidR="008705FD">
              <w:rPr>
                <w:iCs/>
              </w:rPr>
              <w:t xml:space="preserve">noteikumu Nr.44 </w:t>
            </w:r>
            <w:r w:rsidR="0041311C">
              <w:rPr>
                <w:iCs/>
              </w:rPr>
              <w:t>5.punkt</w:t>
            </w:r>
            <w:r w:rsidR="0024456D">
              <w:rPr>
                <w:iCs/>
              </w:rPr>
              <w:t>ā noteikto</w:t>
            </w:r>
            <w:r w:rsidR="003B1B8D" w:rsidRPr="003B1B8D">
              <w:rPr>
                <w:iCs/>
              </w:rPr>
              <w:t xml:space="preserve"> 3.1.5.3.1.</w:t>
            </w:r>
            <w:r w:rsidR="00172D3A">
              <w:rPr>
                <w:iCs/>
              </w:rPr>
              <w:t>apakš</w:t>
            </w:r>
            <w:r w:rsidR="003B1B8D" w:rsidRPr="003B1B8D">
              <w:rPr>
                <w:iCs/>
              </w:rPr>
              <w:t>aktivitātes pieejamā kopējā finansējuma sa</w:t>
            </w:r>
            <w:r w:rsidR="003B1B8D">
              <w:rPr>
                <w:iCs/>
              </w:rPr>
              <w:t>dalījumu pa avotiem</w:t>
            </w:r>
            <w:r w:rsidR="003B1B8D" w:rsidRPr="003B1B8D">
              <w:rPr>
                <w:iCs/>
              </w:rPr>
              <w:t xml:space="preserve">. </w:t>
            </w:r>
            <w:r w:rsidR="00A05974">
              <w:rPr>
                <w:iCs/>
              </w:rPr>
              <w:t>Ti</w:t>
            </w:r>
            <w:r w:rsidR="003B1B8D" w:rsidRPr="003B1B8D">
              <w:rPr>
                <w:iCs/>
              </w:rPr>
              <w:t xml:space="preserve">ka </w:t>
            </w:r>
            <w:r w:rsidR="00403C30">
              <w:rPr>
                <w:iCs/>
              </w:rPr>
              <w:t>precizēts</w:t>
            </w:r>
            <w:r w:rsidR="003B1B8D" w:rsidRPr="003B1B8D">
              <w:rPr>
                <w:iCs/>
              </w:rPr>
              <w:t>, ka 3.1.5.3.1.</w:t>
            </w:r>
            <w:r w:rsidR="00B866F0">
              <w:rPr>
                <w:iCs/>
              </w:rPr>
              <w:t>apakš</w:t>
            </w:r>
            <w:r w:rsidR="003B1B8D" w:rsidRPr="003B1B8D">
              <w:rPr>
                <w:iCs/>
              </w:rPr>
              <w:t xml:space="preserve">aktivitātes pieejamais kopējais finansējums ietver </w:t>
            </w:r>
            <w:r w:rsidR="003B1B8D">
              <w:rPr>
                <w:iCs/>
              </w:rPr>
              <w:t xml:space="preserve">ERAF </w:t>
            </w:r>
            <w:r w:rsidR="003B1B8D" w:rsidRPr="003B1B8D">
              <w:rPr>
                <w:iCs/>
              </w:rPr>
              <w:t xml:space="preserve">līdzfinansējumu un nacionālo finansējumu. </w:t>
            </w:r>
            <w:r w:rsidR="00D12518">
              <w:rPr>
                <w:iCs/>
              </w:rPr>
              <w:t>Savukārt, n</w:t>
            </w:r>
            <w:r w:rsidR="003B1B8D" w:rsidRPr="003B1B8D">
              <w:rPr>
                <w:iCs/>
              </w:rPr>
              <w:t>acionālais finansējums ietver sevī valsts</w:t>
            </w:r>
            <w:r w:rsidR="0024456D">
              <w:rPr>
                <w:iCs/>
              </w:rPr>
              <w:t xml:space="preserve"> budžeta</w:t>
            </w:r>
            <w:r w:rsidR="003B1B8D" w:rsidRPr="003B1B8D">
              <w:rPr>
                <w:iCs/>
              </w:rPr>
              <w:t>, pašvaldību</w:t>
            </w:r>
            <w:r w:rsidR="0024456D">
              <w:rPr>
                <w:iCs/>
              </w:rPr>
              <w:t xml:space="preserve"> budžeta</w:t>
            </w:r>
            <w:r w:rsidR="003B1B8D" w:rsidRPr="003B1B8D">
              <w:rPr>
                <w:iCs/>
              </w:rPr>
              <w:t xml:space="preserve">, citu </w:t>
            </w:r>
            <w:r w:rsidR="00345DA7">
              <w:rPr>
                <w:iCs/>
              </w:rPr>
              <w:t xml:space="preserve">publisko </w:t>
            </w:r>
            <w:r w:rsidR="003B1B8D" w:rsidRPr="003B1B8D">
              <w:rPr>
                <w:iCs/>
              </w:rPr>
              <w:t>finansējumu</w:t>
            </w:r>
            <w:r w:rsidR="0024456D">
              <w:rPr>
                <w:iCs/>
              </w:rPr>
              <w:t xml:space="preserve"> un privāto finansējumu</w:t>
            </w:r>
            <w:r w:rsidR="003B1B8D" w:rsidRPr="003B1B8D">
              <w:rPr>
                <w:iCs/>
              </w:rPr>
              <w:t xml:space="preserve">. </w:t>
            </w:r>
            <w:r w:rsidR="00403C30">
              <w:rPr>
                <w:iCs/>
              </w:rPr>
              <w:t>Ņemot vērā</w:t>
            </w:r>
            <w:r w:rsidR="0024456D">
              <w:rPr>
                <w:iCs/>
              </w:rPr>
              <w:t xml:space="preserve"> minēto</w:t>
            </w:r>
            <w:r w:rsidR="00403C30">
              <w:rPr>
                <w:iCs/>
              </w:rPr>
              <w:t xml:space="preserve">, </w:t>
            </w:r>
            <w:r w:rsidR="0041311C">
              <w:rPr>
                <w:iCs/>
              </w:rPr>
              <w:t xml:space="preserve">nepieciešams </w:t>
            </w:r>
            <w:r w:rsidR="003B1B8D" w:rsidRPr="003B1B8D">
              <w:rPr>
                <w:iCs/>
              </w:rPr>
              <w:t>veik</w:t>
            </w:r>
            <w:r w:rsidR="003B1B8D">
              <w:rPr>
                <w:iCs/>
              </w:rPr>
              <w:t xml:space="preserve">t grozījumus noteikumu Nr.44 </w:t>
            </w:r>
            <w:r w:rsidR="003B1B8D" w:rsidRPr="003B1B8D">
              <w:rPr>
                <w:iCs/>
              </w:rPr>
              <w:t>5.3</w:t>
            </w:r>
            <w:r w:rsidR="0041311C">
              <w:rPr>
                <w:iCs/>
              </w:rPr>
              <w:t>.1.</w:t>
            </w:r>
            <w:r w:rsidR="00DE1CFA">
              <w:rPr>
                <w:iCs/>
              </w:rPr>
              <w:t>, 12.1.,</w:t>
            </w:r>
            <w:r w:rsidR="00483DC3">
              <w:rPr>
                <w:iCs/>
              </w:rPr>
              <w:t xml:space="preserve"> 12.2. un</w:t>
            </w:r>
            <w:r w:rsidR="00DE1CFA">
              <w:rPr>
                <w:iCs/>
              </w:rPr>
              <w:t xml:space="preserve"> </w:t>
            </w:r>
            <w:r w:rsidR="0041311C">
              <w:rPr>
                <w:iCs/>
              </w:rPr>
              <w:t>23.3.apakšpunktā</w:t>
            </w:r>
            <w:r w:rsidR="008C15DA">
              <w:rPr>
                <w:iCs/>
              </w:rPr>
              <w:t>,</w:t>
            </w:r>
            <w:r w:rsidR="00DE1CFA">
              <w:rPr>
                <w:iCs/>
              </w:rPr>
              <w:t xml:space="preserve"> 1.</w:t>
            </w:r>
            <w:r w:rsidR="008C15DA">
              <w:rPr>
                <w:iCs/>
              </w:rPr>
              <w:t>pielikumā un 3.</w:t>
            </w:r>
            <w:r w:rsidR="00DE1CFA">
              <w:rPr>
                <w:iCs/>
              </w:rPr>
              <w:t>pielikumā</w:t>
            </w:r>
            <w:r w:rsidR="0041311C">
              <w:rPr>
                <w:iCs/>
              </w:rPr>
              <w:t>,</w:t>
            </w:r>
            <w:r w:rsidR="0024456D">
              <w:rPr>
                <w:iCs/>
              </w:rPr>
              <w:t xml:space="preserve"> nodrošinot to atbilstību iepriekš veiktajiem grozījumiem noteikumu Nr.44 5.punktā</w:t>
            </w:r>
            <w:r w:rsidR="003B1B8D" w:rsidRPr="003B1B8D">
              <w:rPr>
                <w:iCs/>
              </w:rPr>
              <w:t>.</w:t>
            </w:r>
            <w:r w:rsidR="0024456D">
              <w:rPr>
                <w:iCs/>
              </w:rPr>
              <w:t xml:space="preserve"> </w:t>
            </w:r>
          </w:p>
          <w:p w:rsidR="003D4C5F" w:rsidRDefault="0024456D" w:rsidP="0024456D">
            <w:pPr>
              <w:spacing w:before="120" w:after="120"/>
              <w:jc w:val="both"/>
              <w:rPr>
                <w:iCs/>
              </w:rPr>
            </w:pPr>
            <w:r>
              <w:rPr>
                <w:iCs/>
              </w:rPr>
              <w:t>Papildus noteikumu projekts paredz turpmāk ne</w:t>
            </w:r>
            <w:r w:rsidR="00772E1D">
              <w:rPr>
                <w:iCs/>
              </w:rPr>
              <w:t>at</w:t>
            </w:r>
            <w:r>
              <w:rPr>
                <w:iCs/>
              </w:rPr>
              <w:t>dalīt pašvaldības budžetu no cita publiskā finansējuma</w:t>
            </w:r>
            <w:r w:rsidR="0027195F">
              <w:rPr>
                <w:iCs/>
              </w:rPr>
              <w:t xml:space="preserve"> (grozījumi noteikumu Nr.44 5.punktā, 12.1.apakšpunktā, 23.3.apakšpunktā, 1.pielikumā un 3.pielikuma A daļas 8.sadaļā un C.daļā)</w:t>
            </w:r>
            <w:r>
              <w:rPr>
                <w:iCs/>
              </w:rPr>
              <w:t>, jo attiecīgā informācija netiek vērtēta un turpmāk izmantota, savukārt atsevišķos gadījumos veidojas problēmas ar finansējuma sadalījumu starp minētiem avotiem.</w:t>
            </w:r>
          </w:p>
          <w:p w:rsidR="00C33419" w:rsidRDefault="00C33419" w:rsidP="0024456D">
            <w:pPr>
              <w:spacing w:before="120" w:after="120"/>
              <w:jc w:val="both"/>
              <w:rPr>
                <w:iCs/>
              </w:rPr>
            </w:pPr>
            <w:r>
              <w:rPr>
                <w:iCs/>
              </w:rPr>
              <w:t xml:space="preserve">Paredzēts, ka projektu finansēšanai tiks piesaistīti šādi </w:t>
            </w:r>
            <w:r w:rsidR="00081513">
              <w:rPr>
                <w:iCs/>
              </w:rPr>
              <w:t xml:space="preserve">finansēšanas avoti: </w:t>
            </w:r>
            <w:r w:rsidR="00081513">
              <w:t>ERAF finansējums, nacionālais publiskais finansējums (valsts un cits publiskais finansējums (</w:t>
            </w:r>
            <w:r w:rsidR="00081513">
              <w:rPr>
                <w:lang w:bidi="lo-LA"/>
              </w:rPr>
              <w:t>piemēram,</w:t>
            </w:r>
            <w:r w:rsidR="00081513" w:rsidRPr="001E53B4">
              <w:rPr>
                <w:lang w:bidi="lo-LA"/>
              </w:rPr>
              <w:t xml:space="preserve"> </w:t>
            </w:r>
            <w:r w:rsidR="00081513" w:rsidRPr="004918BD">
              <w:rPr>
                <w:lang w:bidi="lo-LA"/>
              </w:rPr>
              <w:t>pašvaldību kredītlīdzekļi projekta realizēšanai, kas saņemti kā aizdevums Valsts kasē</w:t>
            </w:r>
            <w:r w:rsidR="00081513">
              <w:rPr>
                <w:lang w:bidi="lo-LA"/>
              </w:rPr>
              <w:t>;</w:t>
            </w:r>
            <w:r w:rsidR="00081513" w:rsidRPr="001E53B4">
              <w:rPr>
                <w:lang w:bidi="lo-LA"/>
              </w:rPr>
              <w:t xml:space="preserve"> pašvaldības </w:t>
            </w:r>
            <w:r w:rsidR="00081513">
              <w:rPr>
                <w:lang w:bidi="lo-LA"/>
              </w:rPr>
              <w:t xml:space="preserve">ieguldījumi finansējuma </w:t>
            </w:r>
            <w:r w:rsidR="00081513" w:rsidRPr="001E53B4">
              <w:rPr>
                <w:lang w:bidi="lo-LA"/>
              </w:rPr>
              <w:t>saņēmēja</w:t>
            </w:r>
            <w:r w:rsidR="00081513">
              <w:rPr>
                <w:lang w:bidi="lo-LA"/>
              </w:rPr>
              <w:t xml:space="preserve"> pamatkapitāla palielināšanā; ārstniecības iestāžu kredītlīdzekļi </w:t>
            </w:r>
            <w:r w:rsidR="00081513" w:rsidRPr="00A33AD1">
              <w:rPr>
                <w:lang w:bidi="lo-LA"/>
              </w:rPr>
              <w:t>projekta realizēš</w:t>
            </w:r>
            <w:r w:rsidR="00081513">
              <w:rPr>
                <w:lang w:bidi="lo-LA"/>
              </w:rPr>
              <w:t>anai, kas saņemti kā aizdevums Valsts kasē ar samazinātu kredītprocentu likmi u.c.</w:t>
            </w:r>
            <w:r w:rsidR="00081513">
              <w:t>) un privātais finansējums.</w:t>
            </w:r>
          </w:p>
          <w:p w:rsidR="00172D3A" w:rsidRPr="006E4FAA" w:rsidRDefault="002A03BF" w:rsidP="0024456D">
            <w:pPr>
              <w:pStyle w:val="ListParagraph"/>
              <w:numPr>
                <w:ilvl w:val="0"/>
                <w:numId w:val="37"/>
              </w:numPr>
              <w:tabs>
                <w:tab w:val="left" w:pos="459"/>
              </w:tabs>
              <w:spacing w:before="240" w:after="120"/>
              <w:ind w:left="34" w:firstLine="0"/>
              <w:contextualSpacing w:val="0"/>
              <w:jc w:val="both"/>
            </w:pPr>
            <w:r w:rsidRPr="003B1B8D">
              <w:rPr>
                <w:iCs/>
              </w:rPr>
              <w:t>3.1.5.3.1.</w:t>
            </w:r>
            <w:r>
              <w:rPr>
                <w:iCs/>
              </w:rPr>
              <w:t>apakš</w:t>
            </w:r>
            <w:r w:rsidRPr="003B1B8D">
              <w:rPr>
                <w:iCs/>
              </w:rPr>
              <w:t xml:space="preserve">aktivitātes </w:t>
            </w:r>
            <w:r>
              <w:rPr>
                <w:iCs/>
              </w:rPr>
              <w:t xml:space="preserve">ietvaros </w:t>
            </w:r>
            <w:r w:rsidR="00172D3A" w:rsidRPr="006E4FAA">
              <w:t>VSIA „Paula Stradiņa klīniskā universitātes slimnīca”</w:t>
            </w:r>
            <w:r w:rsidR="00172D3A">
              <w:t xml:space="preserve"> (turpmāk – PSKUS)</w:t>
            </w:r>
            <w:r w:rsidR="00A17EF5">
              <w:t xml:space="preserve"> </w:t>
            </w:r>
            <w:r w:rsidR="00172D3A" w:rsidRPr="006E4FAA">
              <w:t>realizē šādus projektus:</w:t>
            </w:r>
          </w:p>
          <w:p w:rsidR="00172D3A" w:rsidRPr="006E4FAA" w:rsidRDefault="00172D3A" w:rsidP="0027195F">
            <w:pPr>
              <w:pStyle w:val="ListParagraph"/>
              <w:numPr>
                <w:ilvl w:val="0"/>
                <w:numId w:val="32"/>
              </w:numPr>
              <w:spacing w:before="60" w:after="60"/>
              <w:ind w:left="318" w:hanging="284"/>
              <w:contextualSpacing w:val="0"/>
              <w:jc w:val="both"/>
            </w:pPr>
            <w:r w:rsidRPr="0027195F">
              <w:rPr>
                <w:iCs/>
              </w:rPr>
              <w:t>projektu</w:t>
            </w:r>
            <w:r w:rsidRPr="006E4FAA">
              <w:t xml:space="preserve"> Nr.3DP/3.1.5.3.1/IPIA/VSMTVA/013 „</w:t>
            </w:r>
            <w:r w:rsidRPr="00A568A5">
              <w:rPr>
                <w:i/>
              </w:rPr>
              <w:t>Paula Stradiņa klīniskās universitātes slimnīcas infrastruktūras attīstība, uzlabojot veselības aprūpes pakalpojumu kvalitāti un izmaksu efektivitāti</w:t>
            </w:r>
            <w:r w:rsidRPr="006E4FAA">
              <w:t xml:space="preserve">” ar kopējām </w:t>
            </w:r>
            <w:r w:rsidRPr="006E4FAA">
              <w:lastRenderedPageBreak/>
              <w:t>izmaksām 14 020 300,00 LVL, t.sk. ERAF līdzfinansējums 8 500 000,00 LVL, valsts budžeta līdzfinansējums 1 321 000,00 LVL un privātais līdzfinansējums 4 199 300 LVL</w:t>
            </w:r>
            <w:r>
              <w:t>;</w:t>
            </w:r>
          </w:p>
          <w:p w:rsidR="00172D3A" w:rsidRPr="006E4FAA" w:rsidRDefault="00172D3A" w:rsidP="0027195F">
            <w:pPr>
              <w:pStyle w:val="ListParagraph"/>
              <w:numPr>
                <w:ilvl w:val="0"/>
                <w:numId w:val="32"/>
              </w:numPr>
              <w:spacing w:before="60" w:after="60"/>
              <w:ind w:left="318" w:hanging="284"/>
              <w:contextualSpacing w:val="0"/>
              <w:jc w:val="both"/>
            </w:pPr>
            <w:r w:rsidRPr="0027195F">
              <w:rPr>
                <w:iCs/>
              </w:rPr>
              <w:t>projektu</w:t>
            </w:r>
            <w:r w:rsidRPr="006E4FAA">
              <w:t xml:space="preserve"> Nr.3DP/3.1.5.3.1/11/IPIA/VEC/012 „</w:t>
            </w:r>
            <w:r w:rsidRPr="00A568A5">
              <w:rPr>
                <w:i/>
              </w:rPr>
              <w:t>Paula Stradiņa klīniskās universitātes slimnīcas infrastruktūras attīstība, uzlabojot veselības aprūpes pakalpojumu kvalitāti un izmaksu efektivitāti, 2.kārta</w:t>
            </w:r>
            <w:r w:rsidRPr="006E4FAA">
              <w:t>” ar kopējam izmaksām 10 000 494,25 LVL, t.sk. ERAF līdzfinansējums 8 421 416,19 LVL un privātais līdzfinansējums 1 579 078,06 LVL</w:t>
            </w:r>
            <w:r>
              <w:t>;</w:t>
            </w:r>
          </w:p>
          <w:p w:rsidR="00DE70EB" w:rsidRDefault="00172D3A" w:rsidP="0027195F">
            <w:pPr>
              <w:pStyle w:val="ListParagraph"/>
              <w:numPr>
                <w:ilvl w:val="0"/>
                <w:numId w:val="32"/>
              </w:numPr>
              <w:spacing w:before="60" w:after="60"/>
              <w:ind w:left="318" w:hanging="284"/>
              <w:contextualSpacing w:val="0"/>
              <w:jc w:val="both"/>
            </w:pPr>
            <w:r w:rsidRPr="0027195F">
              <w:rPr>
                <w:iCs/>
              </w:rPr>
              <w:t>valsts</w:t>
            </w:r>
            <w:r w:rsidRPr="006E4FAA">
              <w:t xml:space="preserve"> galvotā aizdevuma projektu „</w:t>
            </w:r>
            <w:r w:rsidRPr="00A568A5">
              <w:rPr>
                <w:i/>
              </w:rPr>
              <w:t>Jaunā korpusa 1.kārtas būvniecība</w:t>
            </w:r>
            <w:r w:rsidRPr="006E4FAA">
              <w:t>” ar kopējām izmaksām</w:t>
            </w:r>
            <w:r w:rsidR="00D12518">
              <w:t xml:space="preserve"> 46 400 000,00</w:t>
            </w:r>
            <w:r w:rsidR="0027195F">
              <w:t xml:space="preserve"> </w:t>
            </w:r>
            <w:r w:rsidRPr="006E4FAA">
              <w:t>LVL.</w:t>
            </w:r>
          </w:p>
          <w:p w:rsidR="00F35AFE" w:rsidRPr="005F1641" w:rsidRDefault="00DE70EB" w:rsidP="0027195F">
            <w:pPr>
              <w:spacing w:before="120" w:after="120"/>
              <w:jc w:val="both"/>
            </w:pPr>
            <w:r w:rsidRPr="006E4FAA">
              <w:t>Ministru kabineta 2007.gada 26.jūnija noteikumu Nr.419 „</w:t>
            </w:r>
            <w:r w:rsidRPr="0027195F">
              <w:rPr>
                <w:i/>
              </w:rPr>
              <w:t xml:space="preserve">Kārtība, </w:t>
            </w:r>
            <w:r w:rsidRPr="0027195F">
              <w:rPr>
                <w:i/>
                <w:iCs/>
              </w:rPr>
              <w:t>kādā</w:t>
            </w:r>
            <w:r w:rsidRPr="0027195F">
              <w:rPr>
                <w:i/>
              </w:rPr>
              <w:t xml:space="preserve"> Eiropas Savienības struktūrfondu un Kohēzijas fonda vadībā iesaistītās institūcijas nodrošina plānošanas dokumentu sagatavošanu un šo fondu ieviešanu</w:t>
            </w:r>
            <w:r w:rsidRPr="006E4FAA">
              <w:t xml:space="preserve">” 22.punkts nosaka, ka, ja ES fonda projekta sākotnēji apstiprinātās izmaksas pieaug virs lielā projekta minimālā finansiālā </w:t>
            </w:r>
            <w:r w:rsidRPr="00C748EF">
              <w:t xml:space="preserve">apjoma (t.i </w:t>
            </w:r>
            <w:r w:rsidR="00406B47" w:rsidRPr="00C748EF">
              <w:t xml:space="preserve">projektu </w:t>
            </w:r>
            <w:r w:rsidR="00185364" w:rsidRPr="00C748EF">
              <w:t xml:space="preserve">kopējās </w:t>
            </w:r>
            <w:r w:rsidR="00406B47" w:rsidRPr="00C748EF">
              <w:t xml:space="preserve">izmaksas pārsniedz </w:t>
            </w:r>
            <w:r w:rsidR="00185364" w:rsidRPr="00C748EF">
              <w:t>50 000 000 euro</w:t>
            </w:r>
            <w:r w:rsidRPr="00C748EF">
              <w:t>),</w:t>
            </w:r>
            <w:r w:rsidRPr="006E4FAA">
              <w:t xml:space="preserve"> finansējuma saņēmējs izdara grozījumus ES fonda projektā un virza to apstiprināšanai kā lielo projektu.</w:t>
            </w:r>
            <w:r w:rsidR="00F35AFE" w:rsidRPr="005F1641">
              <w:t xml:space="preserve"> Tā kā visiem</w:t>
            </w:r>
            <w:r w:rsidR="00F35AFE">
              <w:t xml:space="preserve"> </w:t>
            </w:r>
            <w:r w:rsidR="00A568A5">
              <w:t xml:space="preserve">minētajiem </w:t>
            </w:r>
            <w:r w:rsidR="00F35AFE">
              <w:t>PSKUS</w:t>
            </w:r>
            <w:r w:rsidR="00F35AFE" w:rsidRPr="005F1641">
              <w:t xml:space="preserve"> projektiem faktiski ir vienots mērķis – slimnīcas jaunā korpusa A daļas būvniecība, kā arī mērķu sasniegšanai tiek rīkots viens iepirkums, tādejādi projekts </w:t>
            </w:r>
            <w:r w:rsidR="00F35AFE">
              <w:t xml:space="preserve">tiek </w:t>
            </w:r>
            <w:r w:rsidR="00F35AFE" w:rsidRPr="005F1641">
              <w:t xml:space="preserve">uzskatīts par lielo projektu atbilstoši </w:t>
            </w:r>
            <w:r w:rsidR="00C11D6B" w:rsidRPr="0060769A">
              <w:t xml:space="preserve">Eiropas Savienības </w:t>
            </w:r>
            <w:r w:rsidR="00F35AFE" w:rsidRPr="005F1641">
              <w:t xml:space="preserve">Padomes Regulas (EK) Nr.1083/2006, ar ko paredz vispārīgus noteikumus par ERAF, Eiropas Sociālo fondu un Kohēzijas fondu un atceļ Regulu (EK) Nr.1260/1999 (turpmāk – </w:t>
            </w:r>
            <w:r w:rsidR="007B1640">
              <w:t>Komisijas</w:t>
            </w:r>
            <w:r w:rsidR="00F35AFE" w:rsidRPr="005F1641">
              <w:t xml:space="preserve"> Regula</w:t>
            </w:r>
            <w:r w:rsidR="007B1640" w:rsidRPr="005F1641">
              <w:t xml:space="preserve"> Nr.1083/2006</w:t>
            </w:r>
            <w:r w:rsidR="00F35AFE" w:rsidRPr="005F1641">
              <w:t>) 39.-41.pantam.</w:t>
            </w:r>
          </w:p>
          <w:p w:rsidR="00172D3A" w:rsidRDefault="00F35AFE" w:rsidP="00A568A5">
            <w:pPr>
              <w:spacing w:before="120" w:after="120"/>
              <w:jc w:val="both"/>
            </w:pPr>
            <w:r>
              <w:t xml:space="preserve">Līdz ar to, lai nodrošinātu PSKUS projekta </w:t>
            </w:r>
            <w:r w:rsidR="00406B47">
              <w:t>iesnieguma atbilstību</w:t>
            </w:r>
            <w:r>
              <w:t xml:space="preserve"> </w:t>
            </w:r>
            <w:r w:rsidR="007B1640">
              <w:t>Komisijas</w:t>
            </w:r>
            <w:r w:rsidR="007B1640" w:rsidRPr="005F1641">
              <w:t xml:space="preserve"> Regula Nr.1083/2006</w:t>
            </w:r>
            <w:r>
              <w:t>, noteikumos Nr.44 nepi</w:t>
            </w:r>
            <w:r w:rsidR="00F440A9">
              <w:t xml:space="preserve">eciešams veikt </w:t>
            </w:r>
            <w:r w:rsidR="008B41BE">
              <w:t xml:space="preserve">noteikumos </w:t>
            </w:r>
            <w:r w:rsidR="00A568A5">
              <w:t>Nr.44</w:t>
            </w:r>
            <w:r w:rsidR="008B41BE">
              <w:t>, papildinot</w:t>
            </w:r>
            <w:r w:rsidR="00A568A5">
              <w:t xml:space="preserve"> ar jaunu 14</w:t>
            </w:r>
            <w:r w:rsidR="00A568A5" w:rsidRPr="00A568A5">
              <w:rPr>
                <w:vertAlign w:val="superscript"/>
              </w:rPr>
              <w:t>1</w:t>
            </w:r>
            <w:r w:rsidR="00A568A5">
              <w:t>.punktu</w:t>
            </w:r>
            <w:r>
              <w:t xml:space="preserve">, kas </w:t>
            </w:r>
            <w:r w:rsidR="00D12518">
              <w:t>noteiks</w:t>
            </w:r>
            <w:r w:rsidR="008B41BE">
              <w:t xml:space="preserve"> rīcību gadījumā, ja projektu īstenošanas laikā projekta izmaksas sasniedz</w:t>
            </w:r>
            <w:r w:rsidR="00D12518">
              <w:t xml:space="preserve"> </w:t>
            </w:r>
            <w:r>
              <w:t>lielā projekta</w:t>
            </w:r>
            <w:r w:rsidR="008B41BE">
              <w:t xml:space="preserve"> robežu</w:t>
            </w:r>
            <w:r>
              <w:t>.</w:t>
            </w:r>
          </w:p>
          <w:p w:rsidR="00A0621C" w:rsidRDefault="00A7783E" w:rsidP="00A0621C">
            <w:pPr>
              <w:pStyle w:val="ListParagraph"/>
              <w:numPr>
                <w:ilvl w:val="0"/>
                <w:numId w:val="37"/>
              </w:numPr>
              <w:tabs>
                <w:tab w:val="left" w:pos="459"/>
              </w:tabs>
              <w:spacing w:before="240" w:after="120"/>
              <w:ind w:left="34" w:firstLine="0"/>
              <w:contextualSpacing w:val="0"/>
              <w:jc w:val="both"/>
            </w:pPr>
            <w:r>
              <w:t xml:space="preserve">Šobrīd noteikumos Nr.44 </w:t>
            </w:r>
            <w:r w:rsidR="002A03BF">
              <w:t>Centrālajai finanšu un līguma aģentūrai (turpmāk - S</w:t>
            </w:r>
            <w:r>
              <w:t>adarbības iestāde</w:t>
            </w:r>
            <w:r w:rsidR="002A03BF">
              <w:t>)</w:t>
            </w:r>
            <w:r>
              <w:t xml:space="preserve"> nav pietiekami precīzi noteikts pārbaužu apjoms attiecībā uz </w:t>
            </w:r>
            <w:r w:rsidRPr="00A7783E">
              <w:t>proporcij</w:t>
            </w:r>
            <w:r>
              <w:t>as</w:t>
            </w:r>
            <w:r w:rsidRPr="00A7783E">
              <w:t>, kādā projekta ietvaros attīstīto infrastruktūru ir paredzēts izmantot valsts apmaksāto veselības aprūpes pakalpojumu sniegšanai un citu darbību veikšanai (turpmāk – infrastruktūras izmantošanas proporcija)</w:t>
            </w:r>
            <w:r>
              <w:t xml:space="preserve">, aprēķinu un ievērošanas kontroli. Līdz ar to noteikumi Nr.44 papildināti ar jaunu </w:t>
            </w:r>
            <w:r w:rsidR="00A94FB5">
              <w:t>10.11</w:t>
            </w:r>
            <w:r w:rsidR="00A94FB5" w:rsidRPr="00A94FB5">
              <w:rPr>
                <w:vertAlign w:val="superscript"/>
              </w:rPr>
              <w:t>1</w:t>
            </w:r>
            <w:r w:rsidR="00A94FB5">
              <w:t>.apakš</w:t>
            </w:r>
            <w:r>
              <w:t xml:space="preserve">punktu, kas nosaka </w:t>
            </w:r>
            <w:r w:rsidR="002A03BF">
              <w:t>S</w:t>
            </w:r>
            <w:r>
              <w:t>adarbības iestādes pārbaužu veikšanas</w:t>
            </w:r>
            <w:r w:rsidR="00A0621C">
              <w:t xml:space="preserve"> apjomu, paredzot</w:t>
            </w:r>
            <w:r>
              <w:t xml:space="preserve">, ka infrastruktūras izmantošanas proporciju pārbauda visām projekta izmaksām, </w:t>
            </w:r>
            <w:r>
              <w:lastRenderedPageBreak/>
              <w:t>nevis atsevišķi attiecināmajām un neattiecināmajām.</w:t>
            </w:r>
            <w:r w:rsidR="00A0621C">
              <w:t xml:space="preserve"> </w:t>
            </w:r>
          </w:p>
          <w:p w:rsidR="000D2DB2" w:rsidRDefault="00A0621C" w:rsidP="00D10C5B">
            <w:pPr>
              <w:spacing w:before="120" w:after="120"/>
              <w:jc w:val="both"/>
            </w:pPr>
            <w:r>
              <w:t xml:space="preserve">Paredzēts ka kontroles ietvaros </w:t>
            </w:r>
            <w:r w:rsidR="002A03BF">
              <w:t>S</w:t>
            </w:r>
            <w:r>
              <w:t>adarbības iestāde pārliecināsies par minimāli nepieciešamā finansējuma piesaisti, pārbaudot vai projekta ietvaros</w:t>
            </w:r>
            <w:r w:rsidR="00BC4625">
              <w:t xml:space="preserve"> atbilstoši veiktajam </w:t>
            </w:r>
            <w:r w:rsidR="00BC4625" w:rsidRPr="00A7783E">
              <w:t>infrastruktūras izmantošanas proporcija</w:t>
            </w:r>
            <w:r w:rsidR="00BC4625">
              <w:t xml:space="preserve">s aprēķinam </w:t>
            </w:r>
            <w:r>
              <w:t xml:space="preserve"> tika veikti maksājumi par minimāli nepieciešamo privāto finansējumu un to fina</w:t>
            </w:r>
            <w:r w:rsidR="00D10C5B">
              <w:t>nsēšanas avots ir tiešam privātais finansējums</w:t>
            </w:r>
            <w:r>
              <w:t>.</w:t>
            </w:r>
          </w:p>
          <w:p w:rsidR="003C6A6F" w:rsidRDefault="003C6A6F" w:rsidP="004E0A86">
            <w:pPr>
              <w:spacing w:before="120" w:after="120"/>
              <w:jc w:val="both"/>
            </w:pPr>
            <w:r>
              <w:t>Gadījumos, kad finansējuma saņēmējs nevar</w:t>
            </w:r>
            <w:r w:rsidR="004E0A86">
              <w:t>ē</w:t>
            </w:r>
            <w:r>
              <w:t>s nodrošināt minimālo privāto finansējumu atbilstoši infrastruktūras izmantošanas proporcijas aprēķinam, ņemot vērā noteikumu Nr.44 29</w:t>
            </w:r>
            <w:r w:rsidRPr="003C6A6F">
              <w:rPr>
                <w:vertAlign w:val="superscript"/>
              </w:rPr>
              <w:t>6</w:t>
            </w:r>
            <w:r>
              <w:t xml:space="preserve">.punktu, </w:t>
            </w:r>
            <w:r w:rsidR="002A03BF">
              <w:t>S</w:t>
            </w:r>
            <w:r>
              <w:t xml:space="preserve">adarbības iestāde pieprasīs finansējuma saņēmējam atmaksāt pārmērīgo </w:t>
            </w:r>
            <w:r w:rsidR="00BC4625">
              <w:t xml:space="preserve">kompnesāciju </w:t>
            </w:r>
            <w:r>
              <w:t>proporcionāli attiecināmo izmaksu īpatsvaram kopējo projekta izmaksu ietvaros.</w:t>
            </w:r>
          </w:p>
          <w:p w:rsidR="00B73244" w:rsidRDefault="00B73244" w:rsidP="009065BA">
            <w:pPr>
              <w:spacing w:before="120" w:after="120"/>
              <w:jc w:val="both"/>
            </w:pPr>
            <w:r w:rsidRPr="009065BA">
              <w:t xml:space="preserve">Papildus </w:t>
            </w:r>
            <w:r w:rsidR="00E044EF">
              <w:t>nepieciešams</w:t>
            </w:r>
            <w:r w:rsidRPr="009065BA">
              <w:t xml:space="preserve"> papildināt </w:t>
            </w:r>
            <w:r w:rsidR="0094218C">
              <w:t>n</w:t>
            </w:r>
            <w:r w:rsidRPr="009065BA">
              <w:t xml:space="preserve">oteikumu Nr.44 10.15.apakšpunktu, ar nosacījumu, ka </w:t>
            </w:r>
            <w:r w:rsidR="002A03BF">
              <w:t>S</w:t>
            </w:r>
            <w:r w:rsidRPr="009065BA">
              <w:t>ad</w:t>
            </w:r>
            <w:r w:rsidR="009065BA" w:rsidRPr="009065BA">
              <w:t>arbīb</w:t>
            </w:r>
            <w:r w:rsidRPr="009065BA">
              <w:t xml:space="preserve">as iestāde izstrādā </w:t>
            </w:r>
            <w:r w:rsidR="009065BA" w:rsidRPr="009065BA">
              <w:t>iekšējo procedūru aprakstu arī</w:t>
            </w:r>
            <w:r w:rsidRPr="009065BA">
              <w:t xml:space="preserve"> noteikumu</w:t>
            </w:r>
            <w:r w:rsidR="00BC4625">
              <w:t xml:space="preserve"> Nr.44</w:t>
            </w:r>
            <w:r w:rsidR="009065BA" w:rsidRPr="009065BA">
              <w:t xml:space="preserve"> </w:t>
            </w:r>
            <w:r w:rsidRPr="009065BA">
              <w:t>10.11</w:t>
            </w:r>
            <w:r w:rsidRPr="009065BA">
              <w:rPr>
                <w:vertAlign w:val="superscript"/>
              </w:rPr>
              <w:t>1</w:t>
            </w:r>
            <w:r w:rsidRPr="009065BA">
              <w:t>.apakšpunkt</w:t>
            </w:r>
            <w:r w:rsidR="009065BA" w:rsidRPr="009065BA">
              <w:t>ā note</w:t>
            </w:r>
            <w:r w:rsidR="009065BA">
              <w:t>ik</w:t>
            </w:r>
            <w:r w:rsidR="009065BA" w:rsidRPr="009065BA">
              <w:t>tajai</w:t>
            </w:r>
            <w:r w:rsidR="009065BA">
              <w:t xml:space="preserve"> funkcijai.</w:t>
            </w:r>
          </w:p>
          <w:p w:rsidR="006A3705" w:rsidRDefault="00942DC2">
            <w:pPr>
              <w:pStyle w:val="ListParagraph"/>
              <w:numPr>
                <w:ilvl w:val="0"/>
                <w:numId w:val="37"/>
              </w:numPr>
              <w:spacing w:before="120" w:after="120"/>
              <w:ind w:left="34" w:firstLine="0"/>
              <w:jc w:val="both"/>
            </w:pPr>
            <w:r w:rsidRPr="006E5523">
              <w:t xml:space="preserve">Ministru kabineta 2012.gada 12.jūnija sēdes protokollēmuma (prot. Nr.33  53.§) </w:t>
            </w:r>
            <w:r w:rsidRPr="00E044EF">
              <w:rPr>
                <w:i/>
              </w:rPr>
              <w:t>„Informatīvais ziņojums „Par komercdarbības atbalsta normu piemērošanu Eiropas Savienības fondu darbības programmas „Infrastruktūra un pakalpojumi” papildinājuma 3.1.5.3.1.apakšaktivitātes „Stacionārās veselības aprūpes attīstība” atbalstam””</w:t>
            </w:r>
            <w:r w:rsidRPr="006E5523">
              <w:t xml:space="preserve"> 3.punkt</w:t>
            </w:r>
            <w:r w:rsidR="0010180A">
              <w:t>a</w:t>
            </w:r>
            <w:r w:rsidRPr="006E5523">
              <w:t xml:space="preserve"> uzdevum</w:t>
            </w:r>
            <w:r w:rsidR="0010180A">
              <w:t>s</w:t>
            </w:r>
            <w:r w:rsidR="005326E6" w:rsidRPr="006E5523">
              <w:t xml:space="preserve"> nosaka </w:t>
            </w:r>
            <w:r w:rsidR="005326E6" w:rsidRPr="006E5523">
              <w:rPr>
                <w:color w:val="2A2A2A"/>
              </w:rPr>
              <w:t>Finanšu ministrijai (Centrālajai finanšu un līgumu aģentūrai) līdz 2012.gada 31.decembrim veikt grozījumus 3.1.5.3.1.apakšaktivitātes pabeigtajos projektos un veikt citas nepieciešamās darbības atbilstoši normatīvajiem aktiem komercdarbības atbalsta jomā, precizējot attiecināmo un neattiecināmo izmaksu proporciju</w:t>
            </w:r>
            <w:r w:rsidR="0098556F">
              <w:rPr>
                <w:color w:val="2A2A2A"/>
              </w:rPr>
              <w:t>. A</w:t>
            </w:r>
            <w:r w:rsidR="005326E6" w:rsidRPr="006E5523">
              <w:rPr>
                <w:color w:val="2A2A2A"/>
              </w:rPr>
              <w:t xml:space="preserve">ttiecīgi ar </w:t>
            </w:r>
            <w:r w:rsidR="0010180A" w:rsidRPr="0098556F">
              <w:rPr>
                <w:color w:val="2A2A2A"/>
              </w:rPr>
              <w:t>Ministru kabineta 2012.gada 13.novembra sēdes protokollēmuma (prot. Nr.64  25.§)</w:t>
            </w:r>
            <w:r w:rsidRPr="0098556F">
              <w:rPr>
                <w:color w:val="2A2A2A"/>
              </w:rPr>
              <w:t xml:space="preserve"> </w:t>
            </w:r>
            <w:r w:rsidR="0010180A" w:rsidRPr="0098556F">
              <w:rPr>
                <w:color w:val="2A2A2A"/>
              </w:rPr>
              <w:t>uzdevuma izpildes termiņš tika pagarināts līdz 2013.gada 30.jūnijam</w:t>
            </w:r>
            <w:r w:rsidR="0098556F" w:rsidRPr="0098556F">
              <w:rPr>
                <w:color w:val="2A2A2A"/>
              </w:rPr>
              <w:t xml:space="preserve"> un ar Ministru kabineta 19.02.2013.sēdes </w:t>
            </w:r>
            <w:r w:rsidR="0098556F" w:rsidRPr="00CA7539">
              <w:rPr>
                <w:color w:val="2A2A2A"/>
              </w:rPr>
              <w:t xml:space="preserve">protokola Nr. 10  14.§ līdz 2013.gada 31.augustam. </w:t>
            </w:r>
            <w:r w:rsidR="00BC4625">
              <w:rPr>
                <w:color w:val="2A2A2A"/>
              </w:rPr>
              <w:t>Sadarbības iestādei</w:t>
            </w:r>
            <w:r w:rsidR="00483DC3">
              <w:rPr>
                <w:color w:val="2A2A2A"/>
              </w:rPr>
              <w:t xml:space="preserve"> nebija iespējams</w:t>
            </w:r>
            <w:r w:rsidR="00CA7539" w:rsidRPr="00CA7539">
              <w:rPr>
                <w:color w:val="2A2A2A"/>
              </w:rPr>
              <w:t xml:space="preserve"> nodrošinā</w:t>
            </w:r>
            <w:r w:rsidR="00483DC3">
              <w:rPr>
                <w:color w:val="2A2A2A"/>
              </w:rPr>
              <w:t>t</w:t>
            </w:r>
            <w:r w:rsidR="00CA7539" w:rsidRPr="00CA7539">
              <w:rPr>
                <w:color w:val="2A2A2A"/>
              </w:rPr>
              <w:t xml:space="preserve"> </w:t>
            </w:r>
            <w:r w:rsidR="0098556F" w:rsidRPr="00CA7539">
              <w:rPr>
                <w:color w:val="2A2A2A"/>
              </w:rPr>
              <w:t xml:space="preserve">uzdevuma izpildi, </w:t>
            </w:r>
            <w:r w:rsidR="00483DC3">
              <w:rPr>
                <w:color w:val="2A2A2A"/>
              </w:rPr>
              <w:t xml:space="preserve">jo uzdevuma izpilde ir </w:t>
            </w:r>
            <w:r w:rsidR="00D26347">
              <w:rPr>
                <w:color w:val="2A2A2A"/>
              </w:rPr>
              <w:t xml:space="preserve">tieši </w:t>
            </w:r>
            <w:r w:rsidR="00483DC3">
              <w:rPr>
                <w:color w:val="2A2A2A"/>
              </w:rPr>
              <w:t>atkarīgā no finansējuma saņēmēju rīcības un Veselības ministrijas finansējuma saņēmēju konsultāciju par infrastruktūras izmantošanas proporcijas aprēķin</w:t>
            </w:r>
            <w:r w:rsidR="00D26347">
              <w:rPr>
                <w:color w:val="2A2A2A"/>
              </w:rPr>
              <w:t>āšanu</w:t>
            </w:r>
            <w:r w:rsidR="00483DC3">
              <w:rPr>
                <w:color w:val="2A2A2A"/>
              </w:rPr>
              <w:t xml:space="preserve"> pieejamības</w:t>
            </w:r>
            <w:r w:rsidR="00CA7539" w:rsidRPr="00CA7539">
              <w:t>.</w:t>
            </w:r>
            <w:r w:rsidR="00483DC3">
              <w:t xml:space="preserve"> Šobrīd i</w:t>
            </w:r>
            <w:r w:rsidR="00D26347">
              <w:t>r</w:t>
            </w:r>
            <w:r w:rsidR="00483DC3">
              <w:t xml:space="preserve"> nokonsultēti visi finansējuma saņēmēji, savukārt konsultāciju procesā konstat</w:t>
            </w:r>
            <w:r w:rsidR="00D26347">
              <w:t>ētā</w:t>
            </w:r>
            <w:r w:rsidR="00483DC3">
              <w:t>s noteikumu Nr.44 nepilnības, kas aprakstītas augstāk, līdz ar to infrastruktūras izmantošanas proporcijas aprēķinu un attiecīgu projektu iesniegumu grozījumu veikšana šobrīd aizkavējas.</w:t>
            </w:r>
            <w:r w:rsidR="00E044EF">
              <w:t xml:space="preserve"> </w:t>
            </w:r>
            <w:r w:rsidR="00483DC3">
              <w:t>Ņemot vērā minēto</w:t>
            </w:r>
            <w:r w:rsidR="00483DC3" w:rsidRPr="00CA7539">
              <w:t xml:space="preserve"> </w:t>
            </w:r>
            <w:r w:rsidR="00CA7539" w:rsidRPr="00CA7539">
              <w:t>nepieciešams pagarināt uzdevuma izpildes termiņu līdz 2014.gada 31.decembrim</w:t>
            </w:r>
            <w:r w:rsidR="00CA7539">
              <w:t>.</w:t>
            </w:r>
          </w:p>
          <w:p w:rsidR="004522B0" w:rsidRDefault="004522B0" w:rsidP="004522B0">
            <w:pPr>
              <w:pStyle w:val="ListParagraph"/>
              <w:spacing w:before="120" w:after="120"/>
              <w:ind w:left="34"/>
              <w:jc w:val="both"/>
            </w:pPr>
          </w:p>
        </w:tc>
      </w:tr>
      <w:tr w:rsidR="00277893" w:rsidRPr="00957553" w:rsidTr="008D7634">
        <w:trPr>
          <w:trHeight w:val="478"/>
        </w:trPr>
        <w:tc>
          <w:tcPr>
            <w:tcW w:w="652" w:type="dxa"/>
          </w:tcPr>
          <w:p w:rsidR="00277893" w:rsidRPr="00957553" w:rsidRDefault="00277893" w:rsidP="00CE6E01">
            <w:pPr>
              <w:spacing w:before="60" w:after="60"/>
              <w:rPr>
                <w:lang w:eastAsia="lv-LV" w:bidi="lo-LA"/>
              </w:rPr>
            </w:pPr>
            <w:r w:rsidRPr="00957553">
              <w:rPr>
                <w:lang w:eastAsia="lv-LV" w:bidi="lo-LA"/>
              </w:rPr>
              <w:lastRenderedPageBreak/>
              <w:t> 3.</w:t>
            </w:r>
          </w:p>
        </w:tc>
        <w:tc>
          <w:tcPr>
            <w:tcW w:w="2433" w:type="dxa"/>
          </w:tcPr>
          <w:p w:rsidR="00277893" w:rsidRPr="00957553" w:rsidRDefault="00277893" w:rsidP="00CE6E01">
            <w:pPr>
              <w:spacing w:before="60" w:after="60"/>
              <w:rPr>
                <w:lang w:eastAsia="lv-LV" w:bidi="lo-LA"/>
              </w:rPr>
            </w:pPr>
            <w:r w:rsidRPr="00957553">
              <w:rPr>
                <w:lang w:eastAsia="lv-LV" w:bidi="lo-LA"/>
              </w:rPr>
              <w:t>Saistītie politikas ietekmes novērtējumi un pētījumi</w:t>
            </w:r>
          </w:p>
        </w:tc>
        <w:tc>
          <w:tcPr>
            <w:tcW w:w="6237" w:type="dxa"/>
            <w:vAlign w:val="center"/>
          </w:tcPr>
          <w:p w:rsidR="00277893" w:rsidRPr="00957553" w:rsidRDefault="00277893" w:rsidP="00FA22FB">
            <w:pPr>
              <w:spacing w:before="60" w:after="60"/>
              <w:jc w:val="both"/>
            </w:pPr>
            <w:r>
              <w:t>Projekts šo jomu neskar.</w:t>
            </w:r>
          </w:p>
        </w:tc>
      </w:tr>
      <w:tr w:rsidR="00277893" w:rsidRPr="00957553" w:rsidTr="008D7634">
        <w:tc>
          <w:tcPr>
            <w:tcW w:w="652" w:type="dxa"/>
          </w:tcPr>
          <w:p w:rsidR="00277893" w:rsidRPr="00DE50BB" w:rsidRDefault="00277893" w:rsidP="00CE6E01">
            <w:pPr>
              <w:spacing w:before="60" w:after="60"/>
              <w:rPr>
                <w:lang w:eastAsia="lv-LV" w:bidi="lo-LA"/>
              </w:rPr>
            </w:pPr>
            <w:r w:rsidRPr="00DE50BB">
              <w:rPr>
                <w:lang w:eastAsia="lv-LV" w:bidi="lo-LA"/>
              </w:rPr>
              <w:t> 4.</w:t>
            </w:r>
          </w:p>
        </w:tc>
        <w:tc>
          <w:tcPr>
            <w:tcW w:w="2433" w:type="dxa"/>
          </w:tcPr>
          <w:p w:rsidR="00277893" w:rsidRPr="00DE50BB" w:rsidRDefault="00277893" w:rsidP="00CE6E01">
            <w:pPr>
              <w:spacing w:before="60" w:after="60"/>
              <w:rPr>
                <w:lang w:eastAsia="lv-LV" w:bidi="lo-LA"/>
              </w:rPr>
            </w:pPr>
            <w:r w:rsidRPr="00DE50BB">
              <w:rPr>
                <w:lang w:eastAsia="lv-LV" w:bidi="lo-LA"/>
              </w:rPr>
              <w:t>Tiesiskā regulējuma mērķis un būtība</w:t>
            </w:r>
          </w:p>
        </w:tc>
        <w:tc>
          <w:tcPr>
            <w:tcW w:w="6237" w:type="dxa"/>
            <w:vAlign w:val="center"/>
          </w:tcPr>
          <w:p w:rsidR="000E519F" w:rsidRPr="00890267" w:rsidRDefault="000E519F" w:rsidP="000D2DB2">
            <w:pPr>
              <w:spacing w:before="120" w:after="120"/>
              <w:jc w:val="both"/>
            </w:pPr>
            <w:r>
              <w:t>N</w:t>
            </w:r>
            <w:r w:rsidRPr="003D58D4">
              <w:t xml:space="preserve">oteikumu projekta mērķis ir nodrošināt racionālu ES fondu līdzekļu izlietojumu </w:t>
            </w:r>
            <w:r w:rsidR="00C62C55">
              <w:t xml:space="preserve">stacionāro </w:t>
            </w:r>
            <w:r w:rsidRPr="003D58D4">
              <w:t>veselības aprūpes pakalpojumu uzlabošanai</w:t>
            </w:r>
            <w:r w:rsidR="00C62C55">
              <w:t>, tai skaitā</w:t>
            </w:r>
            <w:r w:rsidR="008D45B2">
              <w:t xml:space="preserve"> nodrošināt </w:t>
            </w:r>
            <w:r w:rsidR="00A7783E">
              <w:t>papildu finansējuma piesaisti prioritārajām vajadzībām</w:t>
            </w:r>
            <w:r w:rsidR="00D12518">
              <w:t xml:space="preserve">, </w:t>
            </w:r>
            <w:r w:rsidR="00C62C55">
              <w:t xml:space="preserve">precizēt 3.1.5.3.1.apakšaktivitātes finansēšanas nosacījumus, </w:t>
            </w:r>
            <w:r w:rsidR="00D12518">
              <w:t xml:space="preserve">noteikt lielā projekta </w:t>
            </w:r>
            <w:r w:rsidR="00187A41">
              <w:t>iesnieguma</w:t>
            </w:r>
            <w:r w:rsidR="00D12518" w:rsidRPr="00D12518">
              <w:t xml:space="preserve"> sagatavošanas un vērtēšanas nosacījumus atbilstoši </w:t>
            </w:r>
            <w:r w:rsidR="00404303">
              <w:t>Komisijas</w:t>
            </w:r>
            <w:r w:rsidR="00404303" w:rsidRPr="005F1641">
              <w:t xml:space="preserve"> Regula</w:t>
            </w:r>
            <w:r w:rsidR="00404303">
              <w:t>s</w:t>
            </w:r>
            <w:r w:rsidR="00404303" w:rsidRPr="005F1641">
              <w:t xml:space="preserve"> Nr.1083/2006</w:t>
            </w:r>
            <w:r w:rsidR="00404303">
              <w:t xml:space="preserve"> </w:t>
            </w:r>
            <w:r w:rsidR="00D12518" w:rsidRPr="00D12518">
              <w:t>pras</w:t>
            </w:r>
            <w:r w:rsidR="00D12518">
              <w:t>ībām</w:t>
            </w:r>
            <w:r w:rsidR="00C62C55">
              <w:t xml:space="preserve"> un precizēt </w:t>
            </w:r>
            <w:r w:rsidR="00A7783E">
              <w:t>infrastruktūras izmantošanas proporcijas aprēķināšanas un kontroles</w:t>
            </w:r>
            <w:r w:rsidR="00C62C55">
              <w:t xml:space="preserve"> nosacījumus</w:t>
            </w:r>
            <w:r w:rsidR="00D12518">
              <w:t>.</w:t>
            </w:r>
          </w:p>
          <w:p w:rsidR="00A568A5" w:rsidRDefault="00A568A5" w:rsidP="00A568A5">
            <w:pPr>
              <w:pStyle w:val="ListParagraph"/>
              <w:numPr>
                <w:ilvl w:val="0"/>
                <w:numId w:val="38"/>
              </w:numPr>
              <w:tabs>
                <w:tab w:val="left" w:pos="317"/>
              </w:tabs>
              <w:spacing w:before="240" w:after="120"/>
              <w:ind w:left="34" w:firstLine="0"/>
              <w:contextualSpacing w:val="0"/>
              <w:jc w:val="both"/>
            </w:pPr>
            <w:r>
              <w:t xml:space="preserve">Lai nodrošinātu BKUS </w:t>
            </w:r>
            <w:r w:rsidRPr="009F0AD3">
              <w:rPr>
                <w:iCs/>
              </w:rPr>
              <w:t>hematoonkoloģijas nodaļas telpu rekonstrukcij</w:t>
            </w:r>
            <w:r>
              <w:rPr>
                <w:iCs/>
              </w:rPr>
              <w:t>u</w:t>
            </w:r>
            <w:r w:rsidRPr="009F0AD3">
              <w:rPr>
                <w:iCs/>
              </w:rPr>
              <w:t xml:space="preserve"> un iekārtošan</w:t>
            </w:r>
            <w:r>
              <w:rPr>
                <w:iCs/>
              </w:rPr>
              <w:t>u</w:t>
            </w:r>
            <w:r w:rsidR="000E519F" w:rsidRPr="003D58D4">
              <w:t xml:space="preserve">, </w:t>
            </w:r>
            <w:r w:rsidR="000E519F">
              <w:t>noteikumu projekts paredz</w:t>
            </w:r>
            <w:r w:rsidR="000E519F" w:rsidRPr="003D58D4">
              <w:t xml:space="preserve"> </w:t>
            </w:r>
            <w:r w:rsidR="000E519F">
              <w:t>palielināt 3.1.5.3.1.apakšaktivitātei</w:t>
            </w:r>
            <w:r w:rsidR="000E519F" w:rsidRPr="003D58D4">
              <w:t xml:space="preserve"> </w:t>
            </w:r>
            <w:r w:rsidR="00DB5AFA">
              <w:t>pieejamo kopējo finansējumu</w:t>
            </w:r>
            <w:r>
              <w:t xml:space="preserve"> un konkrēti </w:t>
            </w:r>
            <w:r w:rsidR="00DB5AFA">
              <w:t xml:space="preserve">trešās kārtas BKUS projekta </w:t>
            </w:r>
            <w:r>
              <w:t>finansējumu:</w:t>
            </w:r>
          </w:p>
          <w:p w:rsidR="00A568A5" w:rsidRDefault="00A568A5" w:rsidP="00A568A5">
            <w:pPr>
              <w:pStyle w:val="ListParagraph"/>
              <w:numPr>
                <w:ilvl w:val="0"/>
                <w:numId w:val="32"/>
              </w:numPr>
              <w:spacing w:before="60" w:after="60"/>
              <w:ind w:left="318" w:hanging="284"/>
              <w:contextualSpacing w:val="0"/>
              <w:jc w:val="both"/>
            </w:pPr>
            <w:r>
              <w:t xml:space="preserve">novirzot </w:t>
            </w:r>
            <w:r w:rsidR="00DB5AFA">
              <w:t xml:space="preserve">no </w:t>
            </w:r>
            <w:r w:rsidR="00DB5AFA" w:rsidRPr="001B1B32">
              <w:rPr>
                <w:iCs/>
              </w:rPr>
              <w:t>3.1.5.1.2.apakšaktivitāte</w:t>
            </w:r>
            <w:r w:rsidR="00DB5AFA">
              <w:rPr>
                <w:iCs/>
              </w:rPr>
              <w:t>s</w:t>
            </w:r>
            <w:r w:rsidR="00DB5AFA">
              <w:t xml:space="preserve"> </w:t>
            </w:r>
            <w:r w:rsidR="000E519F">
              <w:t>ERAF finansējum</w:t>
            </w:r>
            <w:r w:rsidR="00F34807">
              <w:t>u</w:t>
            </w:r>
            <w:r w:rsidR="000E519F">
              <w:t xml:space="preserve"> </w:t>
            </w:r>
            <w:r w:rsidR="00957C69">
              <w:rPr>
                <w:iCs/>
              </w:rPr>
              <w:t>185</w:t>
            </w:r>
            <w:r w:rsidR="00403C30">
              <w:rPr>
                <w:iCs/>
              </w:rPr>
              <w:t> </w:t>
            </w:r>
            <w:r w:rsidR="00957C69">
              <w:rPr>
                <w:iCs/>
              </w:rPr>
              <w:t>087</w:t>
            </w:r>
            <w:r w:rsidR="00403C30">
              <w:rPr>
                <w:iCs/>
              </w:rPr>
              <w:t>,00</w:t>
            </w:r>
            <w:r w:rsidR="00957C69">
              <w:rPr>
                <w:iCs/>
              </w:rPr>
              <w:t xml:space="preserve"> </w:t>
            </w:r>
            <w:r w:rsidR="000E519F">
              <w:t>LVL</w:t>
            </w:r>
            <w:r w:rsidR="00F34807">
              <w:t xml:space="preserve"> apmērā</w:t>
            </w:r>
            <w:r w:rsidR="000E519F">
              <w:t xml:space="preserve"> un </w:t>
            </w:r>
            <w:r w:rsidR="00DE2BDE">
              <w:t>nacionālo līdzfinansējumu</w:t>
            </w:r>
            <w:r w:rsidR="000E519F">
              <w:t xml:space="preserve"> </w:t>
            </w:r>
            <w:r w:rsidR="00957C69">
              <w:rPr>
                <w:iCs/>
              </w:rPr>
              <w:t>32</w:t>
            </w:r>
            <w:r w:rsidR="00403C30">
              <w:rPr>
                <w:iCs/>
              </w:rPr>
              <w:t> </w:t>
            </w:r>
            <w:r w:rsidR="00957C69">
              <w:rPr>
                <w:iCs/>
              </w:rPr>
              <w:t>662</w:t>
            </w:r>
            <w:r w:rsidR="00403C30">
              <w:rPr>
                <w:iCs/>
              </w:rPr>
              <w:t>,00</w:t>
            </w:r>
            <w:r w:rsidR="000E519F">
              <w:t xml:space="preserve"> LVL</w:t>
            </w:r>
            <w:r w:rsidR="00DB5AFA">
              <w:t xml:space="preserve"> apmērā</w:t>
            </w:r>
            <w:r>
              <w:t>;</w:t>
            </w:r>
          </w:p>
          <w:p w:rsidR="002B0C0C" w:rsidRDefault="00A568A5" w:rsidP="00A568A5">
            <w:pPr>
              <w:pStyle w:val="ListParagraph"/>
              <w:numPr>
                <w:ilvl w:val="0"/>
                <w:numId w:val="32"/>
              </w:numPr>
              <w:spacing w:before="60" w:after="60"/>
              <w:ind w:left="318" w:hanging="284"/>
              <w:contextualSpacing w:val="0"/>
              <w:jc w:val="both"/>
            </w:pPr>
            <w:r>
              <w:t>veicot</w:t>
            </w:r>
            <w:r w:rsidR="00F34807">
              <w:t xml:space="preserve"> finansējuma pārdali </w:t>
            </w:r>
            <w:r w:rsidR="00CE3AA1">
              <w:t xml:space="preserve">3.1.5.3.1.apakšaktivitātes </w:t>
            </w:r>
            <w:r w:rsidR="00F34807">
              <w:t xml:space="preserve">ietvaros, pārdalot </w:t>
            </w:r>
            <w:r w:rsidR="00CE3AA1">
              <w:t xml:space="preserve">pirmās un otrās kārtas projektu ERAF finansējuma </w:t>
            </w:r>
            <w:r w:rsidR="008705FD">
              <w:t xml:space="preserve">atlikumu </w:t>
            </w:r>
            <w:r w:rsidR="00263742">
              <w:t>59</w:t>
            </w:r>
            <w:r w:rsidR="00403C30">
              <w:t> </w:t>
            </w:r>
            <w:r w:rsidR="00263742">
              <w:t>387</w:t>
            </w:r>
            <w:r w:rsidR="00403C30">
              <w:t>,00</w:t>
            </w:r>
            <w:r w:rsidR="008705FD">
              <w:t xml:space="preserve"> </w:t>
            </w:r>
            <w:r w:rsidR="00CE3AA1">
              <w:t>LVL</w:t>
            </w:r>
            <w:r w:rsidR="00DB5AFA">
              <w:t xml:space="preserve"> apmērā</w:t>
            </w:r>
            <w:r w:rsidR="00A3635D">
              <w:t xml:space="preserve"> un </w:t>
            </w:r>
            <w:r w:rsidR="00DE2BDE">
              <w:t>nacionālo līdzfinansējumu</w:t>
            </w:r>
            <w:r w:rsidR="00A3635D">
              <w:t xml:space="preserve"> 10 480,06 LVL apmērā</w:t>
            </w:r>
            <w:r w:rsidR="00A561C0" w:rsidRPr="008B37E4">
              <w:t>.</w:t>
            </w:r>
          </w:p>
          <w:p w:rsidR="000D2DB2" w:rsidRDefault="000D2DB2" w:rsidP="000D2DB2">
            <w:pPr>
              <w:spacing w:before="120" w:after="120"/>
              <w:jc w:val="both"/>
            </w:pPr>
            <w:r>
              <w:t>Attiecīgi grozījumi veikti noteikumu Nr.44 5.punktā precizējot 3.1.5.3.1.apakšaktvitātei pieejamo finansējumu un tā sadalījumu pa avotiem, un 1.pielikumā, precizējot finansējuma sadalījumu pa projektiem</w:t>
            </w:r>
            <w:r w:rsidR="00A05974">
              <w:t xml:space="preserve"> </w:t>
            </w:r>
            <w:r w:rsidR="00A05974">
              <w:rPr>
                <w:iCs/>
              </w:rPr>
              <w:t xml:space="preserve">(attiecīgi noteikumu projekta </w:t>
            </w:r>
            <w:r w:rsidR="00C748EF">
              <w:rPr>
                <w:iCs/>
              </w:rPr>
              <w:t>1. un 11</w:t>
            </w:r>
            <w:r w:rsidR="00A05974">
              <w:rPr>
                <w:iCs/>
              </w:rPr>
              <w:t>.punkts)</w:t>
            </w:r>
            <w:r>
              <w:t>.</w:t>
            </w:r>
          </w:p>
          <w:p w:rsidR="000D2DB2" w:rsidRPr="000D2DB2" w:rsidRDefault="00A568A5" w:rsidP="00A568A5">
            <w:pPr>
              <w:pStyle w:val="ListParagraph"/>
              <w:numPr>
                <w:ilvl w:val="0"/>
                <w:numId w:val="38"/>
              </w:numPr>
              <w:tabs>
                <w:tab w:val="left" w:pos="317"/>
              </w:tabs>
              <w:spacing w:before="240" w:after="120"/>
              <w:ind w:left="34" w:firstLine="0"/>
              <w:contextualSpacing w:val="0"/>
              <w:jc w:val="both"/>
            </w:pPr>
            <w:r>
              <w:rPr>
                <w:iCs/>
              </w:rPr>
              <w:t>Lai nodrošinātu noteikumu</w:t>
            </w:r>
            <w:r w:rsidR="008705FD">
              <w:rPr>
                <w:iCs/>
              </w:rPr>
              <w:t xml:space="preserve"> </w:t>
            </w:r>
            <w:r>
              <w:rPr>
                <w:iCs/>
              </w:rPr>
              <w:t xml:space="preserve">Nr.44 punktu savstarpēju saskaņotību, kā arī </w:t>
            </w:r>
            <w:r w:rsidR="000D2DB2">
              <w:rPr>
                <w:iCs/>
              </w:rPr>
              <w:t xml:space="preserve">izņemtu prasības attiecībā uz pašvaldības budžeta </w:t>
            </w:r>
            <w:r w:rsidR="00772E1D">
              <w:rPr>
                <w:iCs/>
              </w:rPr>
              <w:t>norādi atsevišķi</w:t>
            </w:r>
            <w:r w:rsidR="000D2DB2">
              <w:rPr>
                <w:iCs/>
              </w:rPr>
              <w:t xml:space="preserve"> no cita publiskā finansējuma, </w:t>
            </w:r>
            <w:r w:rsidR="008705FD">
              <w:rPr>
                <w:iCs/>
              </w:rPr>
              <w:t xml:space="preserve">nepieciešams </w:t>
            </w:r>
            <w:r w:rsidR="008705FD" w:rsidRPr="003B1B8D">
              <w:rPr>
                <w:iCs/>
              </w:rPr>
              <w:t>veik</w:t>
            </w:r>
            <w:r w:rsidR="008705FD">
              <w:rPr>
                <w:iCs/>
              </w:rPr>
              <w:t xml:space="preserve">t </w:t>
            </w:r>
            <w:r w:rsidR="008E50C6">
              <w:rPr>
                <w:iCs/>
              </w:rPr>
              <w:t xml:space="preserve">šādus </w:t>
            </w:r>
            <w:r w:rsidR="008705FD">
              <w:rPr>
                <w:iCs/>
              </w:rPr>
              <w:t>grozījumus noteikumu Nr.44</w:t>
            </w:r>
            <w:r w:rsidR="000D2DB2">
              <w:rPr>
                <w:iCs/>
              </w:rPr>
              <w:t>:</w:t>
            </w:r>
          </w:p>
          <w:p w:rsidR="000D2DB2" w:rsidRPr="000D2DB2" w:rsidRDefault="008705FD" w:rsidP="000D2DB2">
            <w:pPr>
              <w:pStyle w:val="ListParagraph"/>
              <w:numPr>
                <w:ilvl w:val="0"/>
                <w:numId w:val="32"/>
              </w:numPr>
              <w:spacing w:before="60" w:after="60"/>
              <w:ind w:left="318" w:hanging="284"/>
              <w:contextualSpacing w:val="0"/>
              <w:jc w:val="both"/>
            </w:pPr>
            <w:r w:rsidRPr="000D2DB2">
              <w:rPr>
                <w:iCs/>
              </w:rPr>
              <w:t>5.</w:t>
            </w:r>
            <w:r w:rsidR="000D2DB2" w:rsidRPr="000D2DB2">
              <w:t>punktā</w:t>
            </w:r>
            <w:r w:rsidR="000D2DB2">
              <w:t xml:space="preserve">, precizējot finansējuma </w:t>
            </w:r>
            <w:r w:rsidR="00C33419">
              <w:t>sadalījumu pa finansēšanas avotiem</w:t>
            </w:r>
            <w:r w:rsidR="00A05974">
              <w:t xml:space="preserve"> </w:t>
            </w:r>
            <w:r w:rsidR="00A05974">
              <w:rPr>
                <w:iCs/>
              </w:rPr>
              <w:t>(attiecīgi noteikumu projekta 1.punkts)</w:t>
            </w:r>
            <w:r w:rsidR="000D2DB2">
              <w:t>;</w:t>
            </w:r>
          </w:p>
          <w:p w:rsidR="000D2DB2" w:rsidRPr="004A6B81" w:rsidRDefault="008C15DA" w:rsidP="000D2DB2">
            <w:pPr>
              <w:pStyle w:val="ListParagraph"/>
              <w:numPr>
                <w:ilvl w:val="0"/>
                <w:numId w:val="32"/>
              </w:numPr>
              <w:spacing w:before="60" w:after="60"/>
              <w:ind w:left="318" w:hanging="284"/>
              <w:contextualSpacing w:val="0"/>
              <w:jc w:val="both"/>
            </w:pPr>
            <w:r w:rsidRPr="000D2DB2">
              <w:rPr>
                <w:iCs/>
              </w:rPr>
              <w:t>12.1.</w:t>
            </w:r>
            <w:r w:rsidR="00C33419">
              <w:rPr>
                <w:iCs/>
              </w:rPr>
              <w:t>apakšpunktā, precizējot finansējuma avotu nosaukumus</w:t>
            </w:r>
            <w:r w:rsidR="00C748EF">
              <w:rPr>
                <w:iCs/>
              </w:rPr>
              <w:t xml:space="preserve"> (attiecīgi noteikumu projekta 5</w:t>
            </w:r>
            <w:r w:rsidR="00A05974">
              <w:rPr>
                <w:iCs/>
              </w:rPr>
              <w:t>.punkts)</w:t>
            </w:r>
            <w:r w:rsidR="00C33419">
              <w:rPr>
                <w:iCs/>
              </w:rPr>
              <w:t>;</w:t>
            </w:r>
          </w:p>
          <w:p w:rsidR="004A6B81" w:rsidRPr="00433355" w:rsidRDefault="004A6B81" w:rsidP="000D2DB2">
            <w:pPr>
              <w:pStyle w:val="ListParagraph"/>
              <w:numPr>
                <w:ilvl w:val="0"/>
                <w:numId w:val="32"/>
              </w:numPr>
              <w:spacing w:before="60" w:after="60"/>
              <w:ind w:left="318" w:hanging="284"/>
              <w:contextualSpacing w:val="0"/>
              <w:jc w:val="both"/>
            </w:pPr>
            <w:r>
              <w:rPr>
                <w:iCs/>
              </w:rPr>
              <w:t>12.2.apakšpunktā, precizējot finansējuma avotu</w:t>
            </w:r>
            <w:r w:rsidR="00433355">
              <w:rPr>
                <w:iCs/>
              </w:rPr>
              <w:t xml:space="preserve"> uz citu nacionālo līdzfinansējumu</w:t>
            </w:r>
            <w:r w:rsidR="00C748EF">
              <w:rPr>
                <w:iCs/>
              </w:rPr>
              <w:t xml:space="preserve"> (attiecīgi noteikumu projekta 5</w:t>
            </w:r>
            <w:r w:rsidR="00433355">
              <w:rPr>
                <w:iCs/>
              </w:rPr>
              <w:t>.punkts);</w:t>
            </w:r>
          </w:p>
          <w:p w:rsidR="00433355" w:rsidRPr="000D2DB2" w:rsidRDefault="00433355" w:rsidP="000D2DB2">
            <w:pPr>
              <w:pStyle w:val="ListParagraph"/>
              <w:numPr>
                <w:ilvl w:val="0"/>
                <w:numId w:val="32"/>
              </w:numPr>
              <w:spacing w:before="60" w:after="60"/>
              <w:ind w:left="318" w:hanging="284"/>
              <w:contextualSpacing w:val="0"/>
              <w:jc w:val="both"/>
            </w:pPr>
            <w:r>
              <w:rPr>
                <w:iCs/>
              </w:rPr>
              <w:t>12.3.apakšpunktu svītrot, jo nav juridiskā sloga</w:t>
            </w:r>
            <w:r w:rsidR="00C748EF">
              <w:rPr>
                <w:iCs/>
              </w:rPr>
              <w:t xml:space="preserve"> (attiecīgi noteikumu projekta 6</w:t>
            </w:r>
            <w:r>
              <w:rPr>
                <w:iCs/>
              </w:rPr>
              <w:t>.punkts);</w:t>
            </w:r>
          </w:p>
          <w:p w:rsidR="000D2DB2" w:rsidRPr="006311C9" w:rsidRDefault="008C15DA" w:rsidP="000D2DB2">
            <w:pPr>
              <w:pStyle w:val="ListParagraph"/>
              <w:numPr>
                <w:ilvl w:val="0"/>
                <w:numId w:val="32"/>
              </w:numPr>
              <w:spacing w:before="60" w:after="60"/>
              <w:ind w:left="318" w:hanging="284"/>
              <w:contextualSpacing w:val="0"/>
              <w:jc w:val="both"/>
            </w:pPr>
            <w:r w:rsidRPr="000D2DB2">
              <w:rPr>
                <w:iCs/>
              </w:rPr>
              <w:t xml:space="preserve">23.3.apakšpunktā, </w:t>
            </w:r>
            <w:r w:rsidR="00C33419">
              <w:rPr>
                <w:iCs/>
              </w:rPr>
              <w:t xml:space="preserve">paredzot, ka projektu finansēšanai var piesaistīt </w:t>
            </w:r>
            <w:r w:rsidR="00D26347">
              <w:rPr>
                <w:iCs/>
              </w:rPr>
              <w:t xml:space="preserve">arī </w:t>
            </w:r>
            <w:r w:rsidR="00C33419">
              <w:rPr>
                <w:iCs/>
              </w:rPr>
              <w:t>citu publisku finansējumu</w:t>
            </w:r>
            <w:r w:rsidR="00433355">
              <w:rPr>
                <w:iCs/>
              </w:rPr>
              <w:t xml:space="preserve"> (attiecīgi </w:t>
            </w:r>
            <w:r w:rsidR="00C748EF">
              <w:rPr>
                <w:iCs/>
              </w:rPr>
              <w:lastRenderedPageBreak/>
              <w:t>noteikumu projekta 8</w:t>
            </w:r>
            <w:r w:rsidR="00A05974">
              <w:rPr>
                <w:iCs/>
              </w:rPr>
              <w:t>.punkts)</w:t>
            </w:r>
            <w:r w:rsidR="00C33419">
              <w:rPr>
                <w:iCs/>
              </w:rPr>
              <w:t>;</w:t>
            </w:r>
          </w:p>
          <w:p w:rsidR="006311C9" w:rsidRPr="000D2DB2" w:rsidRDefault="006311C9" w:rsidP="000D2DB2">
            <w:pPr>
              <w:pStyle w:val="ListParagraph"/>
              <w:numPr>
                <w:ilvl w:val="0"/>
                <w:numId w:val="32"/>
              </w:numPr>
              <w:spacing w:before="60" w:after="60"/>
              <w:ind w:left="318" w:hanging="284"/>
              <w:contextualSpacing w:val="0"/>
              <w:jc w:val="both"/>
            </w:pPr>
            <w:r>
              <w:rPr>
                <w:iCs/>
              </w:rPr>
              <w:t>23.3.3.apakšpunktu</w:t>
            </w:r>
            <w:r w:rsidR="0091269A">
              <w:rPr>
                <w:iCs/>
              </w:rPr>
              <w:t xml:space="preserve"> </w:t>
            </w:r>
            <w:r w:rsidR="006A3705">
              <w:rPr>
                <w:iCs/>
              </w:rPr>
              <w:t xml:space="preserve">izteikt </w:t>
            </w:r>
            <w:r w:rsidR="0091269A">
              <w:rPr>
                <w:iCs/>
              </w:rPr>
              <w:t>jaunā redakcijā</w:t>
            </w:r>
            <w:r w:rsidR="00D26347">
              <w:rPr>
                <w:iCs/>
              </w:rPr>
              <w:t xml:space="preserve">, kas paredz, ka </w:t>
            </w:r>
            <w:r w:rsidR="00255C4F">
              <w:rPr>
                <w:iCs/>
              </w:rPr>
              <w:t>citu nacionālo līdzfinansējumu finansējuma saņēmējs nodrošina no pašu līdzekļiem</w:t>
            </w:r>
            <w:r w:rsidR="001C3562">
              <w:rPr>
                <w:iCs/>
              </w:rPr>
              <w:t xml:space="preserve"> </w:t>
            </w:r>
            <w:r w:rsidR="00C748EF">
              <w:rPr>
                <w:iCs/>
              </w:rPr>
              <w:t>(attiecīgi noteikumu projekta 9</w:t>
            </w:r>
            <w:r>
              <w:rPr>
                <w:iCs/>
              </w:rPr>
              <w:t xml:space="preserve">.punkts); </w:t>
            </w:r>
          </w:p>
          <w:p w:rsidR="000D2DB2" w:rsidRPr="000D2DB2" w:rsidRDefault="008705FD" w:rsidP="000D2DB2">
            <w:pPr>
              <w:pStyle w:val="ListParagraph"/>
              <w:numPr>
                <w:ilvl w:val="0"/>
                <w:numId w:val="32"/>
              </w:numPr>
              <w:spacing w:before="60" w:after="60"/>
              <w:ind w:left="318" w:hanging="284"/>
              <w:contextualSpacing w:val="0"/>
              <w:jc w:val="both"/>
            </w:pPr>
            <w:r w:rsidRPr="000D2DB2">
              <w:rPr>
                <w:iCs/>
              </w:rPr>
              <w:t>1.pielikumā</w:t>
            </w:r>
            <w:r w:rsidR="00C33419">
              <w:rPr>
                <w:iCs/>
              </w:rPr>
              <w:t>, precizējot finansējuma avotu nosaukumus</w:t>
            </w:r>
            <w:r w:rsidR="00433355">
              <w:rPr>
                <w:iCs/>
              </w:rPr>
              <w:t xml:space="preserve"> </w:t>
            </w:r>
            <w:r w:rsidR="00C748EF">
              <w:rPr>
                <w:iCs/>
              </w:rPr>
              <w:t>(attiecīgi noteikumu projekta 11</w:t>
            </w:r>
            <w:r w:rsidR="00A05974">
              <w:rPr>
                <w:iCs/>
              </w:rPr>
              <w:t>.punkts)</w:t>
            </w:r>
            <w:r w:rsidR="00C33419">
              <w:rPr>
                <w:iCs/>
              </w:rPr>
              <w:t>;</w:t>
            </w:r>
          </w:p>
          <w:p w:rsidR="00C33419" w:rsidRPr="00C33419" w:rsidRDefault="00C33419" w:rsidP="000D2DB2">
            <w:pPr>
              <w:pStyle w:val="ListParagraph"/>
              <w:numPr>
                <w:ilvl w:val="0"/>
                <w:numId w:val="32"/>
              </w:numPr>
              <w:spacing w:before="60" w:after="60"/>
              <w:ind w:left="318" w:hanging="284"/>
              <w:contextualSpacing w:val="0"/>
              <w:jc w:val="both"/>
            </w:pPr>
            <w:r>
              <w:rPr>
                <w:iCs/>
              </w:rPr>
              <w:t>3.pielikuma A daļas 8.sadaļā un C daļā, precizējot finansējuma avotu nosaukumus</w:t>
            </w:r>
            <w:r w:rsidR="00A05974">
              <w:rPr>
                <w:iCs/>
              </w:rPr>
              <w:t xml:space="preserve"> </w:t>
            </w:r>
            <w:r w:rsidR="00C748EF">
              <w:rPr>
                <w:iCs/>
              </w:rPr>
              <w:t>(attiecīgi noteikumu projekta 12</w:t>
            </w:r>
            <w:r w:rsidR="00A05974">
              <w:rPr>
                <w:iCs/>
              </w:rPr>
              <w:t>.</w:t>
            </w:r>
            <w:r w:rsidR="00C36CA6">
              <w:rPr>
                <w:iCs/>
              </w:rPr>
              <w:t xml:space="preserve"> </w:t>
            </w:r>
            <w:r w:rsidR="00C748EF">
              <w:rPr>
                <w:iCs/>
              </w:rPr>
              <w:t>un 13</w:t>
            </w:r>
            <w:r w:rsidR="00C36CA6">
              <w:rPr>
                <w:iCs/>
              </w:rPr>
              <w:t>.</w:t>
            </w:r>
            <w:r w:rsidR="00A05974">
              <w:rPr>
                <w:iCs/>
              </w:rPr>
              <w:t>punkts)</w:t>
            </w:r>
            <w:r>
              <w:rPr>
                <w:iCs/>
              </w:rPr>
              <w:t>.</w:t>
            </w:r>
          </w:p>
          <w:p w:rsidR="00DE621D" w:rsidRDefault="00512999" w:rsidP="00E044EF">
            <w:pPr>
              <w:pStyle w:val="ListParagraph"/>
              <w:numPr>
                <w:ilvl w:val="0"/>
                <w:numId w:val="38"/>
              </w:numPr>
              <w:tabs>
                <w:tab w:val="left" w:pos="317"/>
              </w:tabs>
              <w:spacing w:before="240" w:after="120"/>
              <w:ind w:left="34" w:firstLine="0"/>
              <w:contextualSpacing w:val="0"/>
              <w:jc w:val="both"/>
            </w:pPr>
            <w:r>
              <w:t xml:space="preserve">Lai nodrošinātu iespēju noteikumu </w:t>
            </w:r>
            <w:r w:rsidR="00DE621D">
              <w:t>Nr.44</w:t>
            </w:r>
            <w:r>
              <w:t xml:space="preserve"> ietvaros īstenot lielo projektu atbilstoši </w:t>
            </w:r>
            <w:r w:rsidR="007B1640">
              <w:t>Komisijas</w:t>
            </w:r>
            <w:r w:rsidR="007B1640" w:rsidRPr="005F1641">
              <w:t xml:space="preserve"> Regula Nr.1083/2006</w:t>
            </w:r>
            <w:r>
              <w:t xml:space="preserve">, </w:t>
            </w:r>
            <w:r w:rsidR="00DE621D">
              <w:t xml:space="preserve">noteikumu </w:t>
            </w:r>
            <w:r w:rsidR="008B41BE">
              <w:t xml:space="preserve">projekts tiks papildināts </w:t>
            </w:r>
            <w:r w:rsidR="005C77E1">
              <w:t xml:space="preserve">ar jaunu </w:t>
            </w:r>
            <w:r w:rsidR="005C77E1" w:rsidRPr="005C77E1">
              <w:t>14</w:t>
            </w:r>
            <w:r w:rsidR="005C77E1" w:rsidRPr="00E044EF">
              <w:rPr>
                <w:vertAlign w:val="superscript"/>
              </w:rPr>
              <w:t>1</w:t>
            </w:r>
            <w:r w:rsidR="005C77E1">
              <w:t>.punktu, nos</w:t>
            </w:r>
            <w:r w:rsidR="009E6EC3">
              <w:t>a</w:t>
            </w:r>
            <w:r w:rsidR="005C77E1">
              <w:t>kot</w:t>
            </w:r>
            <w:r w:rsidR="008B41BE">
              <w:t xml:space="preserve">, ka </w:t>
            </w:r>
            <w:r w:rsidR="005C77E1">
              <w:t xml:space="preserve"> </w:t>
            </w:r>
            <w:r w:rsidR="008B41BE" w:rsidRPr="00E044EF">
              <w:rPr>
                <w:bCs/>
                <w:iCs/>
              </w:rPr>
              <w:t>gadījumos, kad aktivitātes ietvaros projektu,</w:t>
            </w:r>
            <w:r w:rsidR="008B41BE" w:rsidRPr="00E044EF">
              <w:rPr>
                <w:bCs/>
                <w:iCs/>
                <w:sz w:val="28"/>
                <w:szCs w:val="28"/>
              </w:rPr>
              <w:t xml:space="preserve"> </w:t>
            </w:r>
            <w:r w:rsidR="008B41BE" w:rsidRPr="00E044EF">
              <w:rPr>
                <w:bCs/>
                <w:iCs/>
              </w:rPr>
              <w:t xml:space="preserve">kuriem ir kopīgs mērķis, kopējā summa sasniedz </w:t>
            </w:r>
            <w:r w:rsidR="007B1640">
              <w:t>Komisijas</w:t>
            </w:r>
            <w:r w:rsidR="007B1640" w:rsidRPr="005F1641">
              <w:t xml:space="preserve"> Regula</w:t>
            </w:r>
            <w:r w:rsidR="007B1640">
              <w:t>s</w:t>
            </w:r>
            <w:r w:rsidR="007B1640" w:rsidRPr="005F1641">
              <w:t xml:space="preserve"> Nr.1083/2006</w:t>
            </w:r>
            <w:r w:rsidR="008B41BE" w:rsidRPr="00E044EF">
              <w:rPr>
                <w:bCs/>
                <w:iCs/>
              </w:rPr>
              <w:t xml:space="preserve"> 39.pantā noteikto (t.i. 50 000 000 EUR), tiek sagatavots lielā projekta iesniegums Eiropas Komisijai atbilstoši Ministru kabineta 2007.gada 26.jūnija noteikumos Nr.419 „Kārtība, kādā Eiropas Savienības struktūrfondu un Kohēzijas fonda vadībā iesaistītās institūcijas nodrošina plānošanas dokumentu sagatavošanu un šo fondu ieviešanu” ietvertajiem nosacījumiem (</w:t>
            </w:r>
            <w:r w:rsidR="008B41BE" w:rsidRPr="00E044EF">
              <w:rPr>
                <w:iCs/>
              </w:rPr>
              <w:t>attiecīgi noteikumu projekta 5.punkts).</w:t>
            </w:r>
            <w:r w:rsidR="00FD5CF0">
              <w:rPr>
                <w:iCs/>
              </w:rPr>
              <w:t xml:space="preserve"> </w:t>
            </w:r>
            <w:r w:rsidR="00D106D9">
              <w:rPr>
                <w:iCs/>
              </w:rPr>
              <w:t>N</w:t>
            </w:r>
            <w:r w:rsidR="00FD5CF0">
              <w:rPr>
                <w:iCs/>
              </w:rPr>
              <w:t>oteikumu projekts papildināts ar 9.7.</w:t>
            </w:r>
            <w:r w:rsidR="003349DF">
              <w:rPr>
                <w:iCs/>
              </w:rPr>
              <w:t>apakšpunktu</w:t>
            </w:r>
            <w:r w:rsidR="00FD5CF0">
              <w:rPr>
                <w:iCs/>
              </w:rPr>
              <w:t xml:space="preserve"> </w:t>
            </w:r>
            <w:r w:rsidR="00D106D9">
              <w:rPr>
                <w:iCs/>
              </w:rPr>
              <w:t>(attiecīgi noteikumu projekta 2.</w:t>
            </w:r>
            <w:r w:rsidR="003349DF">
              <w:rPr>
                <w:iCs/>
              </w:rPr>
              <w:t>punkts)</w:t>
            </w:r>
            <w:r w:rsidR="00FD5CF0">
              <w:rPr>
                <w:iCs/>
              </w:rPr>
              <w:t>, kas ietve</w:t>
            </w:r>
            <w:r w:rsidR="00D106D9">
              <w:rPr>
                <w:iCs/>
              </w:rPr>
              <w:t>r lielā projekta iesnieguma grozījumu izvērtēšanas, grozījumu veikšanas un</w:t>
            </w:r>
            <w:r w:rsidR="00E41527">
              <w:rPr>
                <w:iCs/>
              </w:rPr>
              <w:t xml:space="preserve"> </w:t>
            </w:r>
            <w:r w:rsidR="003349DF">
              <w:rPr>
                <w:iCs/>
              </w:rPr>
              <w:t>tālākās virzības nosacījumus</w:t>
            </w:r>
            <w:r w:rsidR="00D106D9">
              <w:rPr>
                <w:iCs/>
              </w:rPr>
              <w:t xml:space="preserve">. </w:t>
            </w:r>
          </w:p>
          <w:p w:rsidR="00A0621C" w:rsidRDefault="00A0621C" w:rsidP="00A0621C">
            <w:pPr>
              <w:pStyle w:val="ListParagraph"/>
              <w:numPr>
                <w:ilvl w:val="0"/>
                <w:numId w:val="38"/>
              </w:numPr>
              <w:tabs>
                <w:tab w:val="left" w:pos="317"/>
              </w:tabs>
              <w:spacing w:before="240" w:after="120"/>
              <w:ind w:left="34" w:firstLine="0"/>
              <w:contextualSpacing w:val="0"/>
              <w:jc w:val="both"/>
            </w:pPr>
            <w:r>
              <w:t>Lai pilnveidotu infrastruktūras izmantošanas proporcijas aprēķināšanas un kontroles nosacījumus, noteikumus Nr.44 paredzēts papildināt ar jaunu 10.11</w:t>
            </w:r>
            <w:r w:rsidR="00D037DF">
              <w:t>.</w:t>
            </w:r>
            <w:r w:rsidRPr="00A0621C">
              <w:rPr>
                <w:vertAlign w:val="superscript"/>
              </w:rPr>
              <w:t>1</w:t>
            </w:r>
            <w:r w:rsidR="00D037DF">
              <w:t xml:space="preserve"> </w:t>
            </w:r>
            <w:r>
              <w:t xml:space="preserve">apakšpunktu, nosakot, ka </w:t>
            </w:r>
            <w:r w:rsidR="002A03BF">
              <w:t>S</w:t>
            </w:r>
            <w:r>
              <w:t>adarbības iestāde pārliecinās par minimālā finansējuma piesaisti kopējo projekta izmaksu ietvaros</w:t>
            </w:r>
            <w:r w:rsidR="00AA0C25">
              <w:t xml:space="preserve"> </w:t>
            </w:r>
            <w:r w:rsidR="00AA0C25">
              <w:rPr>
                <w:bCs/>
                <w:iCs/>
              </w:rPr>
              <w:t>(</w:t>
            </w:r>
            <w:r w:rsidR="00763840">
              <w:rPr>
                <w:iCs/>
              </w:rPr>
              <w:t>attiecīgi noteikumu projekta 3</w:t>
            </w:r>
            <w:r w:rsidR="00AA0C25">
              <w:rPr>
                <w:iCs/>
              </w:rPr>
              <w:t>.punkts)</w:t>
            </w:r>
            <w:r>
              <w:t>.</w:t>
            </w:r>
            <w:r w:rsidR="000A388A">
              <w:t xml:space="preserve"> </w:t>
            </w:r>
            <w:r w:rsidR="00AA0C25">
              <w:t xml:space="preserve">Vienlaikus </w:t>
            </w:r>
            <w:r w:rsidR="00CD65E4">
              <w:t>tiek</w:t>
            </w:r>
            <w:r w:rsidR="00AA0C25">
              <w:t xml:space="preserve"> </w:t>
            </w:r>
            <w:r w:rsidR="00CD65E4">
              <w:t>precizēts 1</w:t>
            </w:r>
            <w:r w:rsidR="00CD65E4" w:rsidRPr="009065BA">
              <w:t>0.15.apakšpunkt</w:t>
            </w:r>
            <w:r w:rsidR="00CD65E4">
              <w:t>s</w:t>
            </w:r>
            <w:r w:rsidR="00CD65E4" w:rsidRPr="009065BA">
              <w:t xml:space="preserve">, </w:t>
            </w:r>
            <w:r w:rsidR="00CD65E4">
              <w:t>papildinot ar</w:t>
            </w:r>
            <w:r w:rsidR="00CD65E4" w:rsidRPr="009065BA">
              <w:t xml:space="preserve"> nosacījumu, ka </w:t>
            </w:r>
            <w:r w:rsidR="002A03BF">
              <w:t>S</w:t>
            </w:r>
            <w:r w:rsidR="00CD65E4" w:rsidRPr="009065BA">
              <w:t xml:space="preserve">adarbības iestāde izstrādā </w:t>
            </w:r>
            <w:r w:rsidR="00CD65E4">
              <w:t xml:space="preserve">arī </w:t>
            </w:r>
            <w:r w:rsidR="00CD65E4" w:rsidRPr="009065BA">
              <w:t>iekšējo procedūru aprakstu note</w:t>
            </w:r>
            <w:r w:rsidR="00CD65E4">
              <w:t>ik</w:t>
            </w:r>
            <w:r w:rsidR="00CD65E4" w:rsidRPr="009065BA">
              <w:t>tajai</w:t>
            </w:r>
            <w:r w:rsidR="00CD65E4">
              <w:t xml:space="preserve"> funkcijai </w:t>
            </w:r>
            <w:r w:rsidR="00CD65E4" w:rsidRPr="00A7783E">
              <w:t>infrastruktūras izmantošanas proporcija</w:t>
            </w:r>
            <w:r w:rsidR="00CD65E4">
              <w:t xml:space="preserve">s aprēķinu un ievērošanas kontrolei </w:t>
            </w:r>
            <w:r w:rsidR="00CD65E4">
              <w:rPr>
                <w:bCs/>
                <w:iCs/>
              </w:rPr>
              <w:t>(</w:t>
            </w:r>
            <w:r w:rsidR="00763840">
              <w:rPr>
                <w:iCs/>
              </w:rPr>
              <w:t>attiecīgi noteikumu projekta 4</w:t>
            </w:r>
            <w:r w:rsidR="00CD65E4">
              <w:rPr>
                <w:iCs/>
              </w:rPr>
              <w:t>.punkts)</w:t>
            </w:r>
            <w:r w:rsidR="00CD65E4">
              <w:t>.</w:t>
            </w:r>
            <w:r w:rsidR="00AA0C25">
              <w:t xml:space="preserve"> </w:t>
            </w:r>
            <w:r w:rsidR="000A388A">
              <w:t xml:space="preserve">Papildus tehniski precizēts </w:t>
            </w:r>
            <w:r w:rsidR="000C5666">
              <w:t>noteikumu</w:t>
            </w:r>
            <w:r w:rsidR="0094218C">
              <w:t xml:space="preserve"> Nr.44 </w:t>
            </w:r>
            <w:r w:rsidR="000A388A">
              <w:t>29</w:t>
            </w:r>
            <w:r w:rsidR="00763840">
              <w:t>.</w:t>
            </w:r>
            <w:r w:rsidR="000A388A" w:rsidRPr="000A388A">
              <w:rPr>
                <w:vertAlign w:val="superscript"/>
              </w:rPr>
              <w:t>2</w:t>
            </w:r>
            <w:r w:rsidR="000A388A">
              <w:t>.punkts</w:t>
            </w:r>
            <w:r w:rsidR="00586A9E">
              <w:t xml:space="preserve"> </w:t>
            </w:r>
            <w:r w:rsidR="00586A9E">
              <w:rPr>
                <w:bCs/>
                <w:iCs/>
              </w:rPr>
              <w:t>(</w:t>
            </w:r>
            <w:r w:rsidR="00586A9E">
              <w:rPr>
                <w:iCs/>
              </w:rPr>
              <w:t xml:space="preserve">attiecīgi noteikumu projekta </w:t>
            </w:r>
            <w:r w:rsidR="00763840">
              <w:rPr>
                <w:iCs/>
              </w:rPr>
              <w:t>10</w:t>
            </w:r>
            <w:r w:rsidR="000B31BB">
              <w:rPr>
                <w:iCs/>
              </w:rPr>
              <w:t>.</w:t>
            </w:r>
            <w:r w:rsidR="00586A9E">
              <w:rPr>
                <w:iCs/>
              </w:rPr>
              <w:t>punkts)</w:t>
            </w:r>
            <w:r w:rsidR="000A388A">
              <w:t>.</w:t>
            </w:r>
          </w:p>
          <w:p w:rsidR="004A46B1" w:rsidRDefault="00FE253C" w:rsidP="004522B0">
            <w:pPr>
              <w:pStyle w:val="ListParagraph"/>
              <w:numPr>
                <w:ilvl w:val="0"/>
                <w:numId w:val="38"/>
              </w:numPr>
              <w:tabs>
                <w:tab w:val="left" w:pos="317"/>
              </w:tabs>
              <w:spacing w:before="240" w:after="120"/>
              <w:ind w:left="34" w:firstLine="0"/>
              <w:contextualSpacing w:val="0"/>
              <w:jc w:val="both"/>
            </w:pPr>
            <w:r w:rsidRPr="00FE253C">
              <w:t xml:space="preserve">Lai nodrošinātu Ministru kabineta 2012.gada 12.jūnija sēdes protokollēmuma (prot. Nr.33  53.§) 3.punkta izpildi, nepieciešams pagarināt uzdevuma izpildes termiņu līdz 2014.gada 31.decembrim, attiecīgi pievienojot noteikumu projektam protokollēmuma projektu. </w:t>
            </w:r>
            <w:r w:rsidR="008653B6" w:rsidRPr="003D58D4">
              <w:t>Ar noteikumu</w:t>
            </w:r>
            <w:r w:rsidR="0027195F">
              <w:t xml:space="preserve"> </w:t>
            </w:r>
            <w:r w:rsidR="008653B6" w:rsidRPr="003D58D4">
              <w:t>projektu plānots atrisināt anotācijas I. sadaļas 2.punktā minētās problēmas.</w:t>
            </w:r>
          </w:p>
          <w:p w:rsidR="004522B0" w:rsidRPr="004543F2" w:rsidRDefault="004522B0" w:rsidP="00E06B2D">
            <w:pPr>
              <w:tabs>
                <w:tab w:val="left" w:pos="317"/>
              </w:tabs>
              <w:spacing w:before="240" w:after="120"/>
              <w:ind w:left="34"/>
              <w:jc w:val="both"/>
            </w:pP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lastRenderedPageBreak/>
              <w:t> 5.</w:t>
            </w:r>
          </w:p>
        </w:tc>
        <w:tc>
          <w:tcPr>
            <w:tcW w:w="2433" w:type="dxa"/>
          </w:tcPr>
          <w:p w:rsidR="00277893" w:rsidRPr="00957553" w:rsidRDefault="00277893" w:rsidP="00CE6E01">
            <w:pPr>
              <w:spacing w:before="60" w:after="60"/>
              <w:rPr>
                <w:lang w:eastAsia="lv-LV" w:bidi="lo-LA"/>
              </w:rPr>
            </w:pPr>
            <w:r w:rsidRPr="00957553">
              <w:rPr>
                <w:lang w:eastAsia="lv-LV" w:bidi="lo-LA"/>
              </w:rPr>
              <w:t>Projekta izstrādē iesaistītās institūcijas</w:t>
            </w:r>
          </w:p>
        </w:tc>
        <w:tc>
          <w:tcPr>
            <w:tcW w:w="6237" w:type="dxa"/>
            <w:vAlign w:val="center"/>
          </w:tcPr>
          <w:p w:rsidR="00277893" w:rsidRPr="00957553" w:rsidRDefault="00277893" w:rsidP="00FA22FB">
            <w:pPr>
              <w:spacing w:before="60" w:after="60"/>
              <w:ind w:right="244"/>
              <w:jc w:val="both"/>
              <w:rPr>
                <w:iCs/>
              </w:rPr>
            </w:pPr>
            <w:r w:rsidRPr="00957553">
              <w:t>Noteikumu projekta izstrādei speciāla darba grupa netika veidota</w:t>
            </w:r>
            <w:r w:rsidRPr="00957553">
              <w:rPr>
                <w:iCs/>
                <w:sz w:val="22"/>
                <w:szCs w:val="22"/>
              </w:rPr>
              <w:t>.</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6.</w:t>
            </w:r>
          </w:p>
        </w:tc>
        <w:tc>
          <w:tcPr>
            <w:tcW w:w="2433" w:type="dxa"/>
          </w:tcPr>
          <w:p w:rsidR="00277893" w:rsidRPr="00957553" w:rsidRDefault="00277893" w:rsidP="00CE6E01">
            <w:pPr>
              <w:spacing w:before="60" w:after="60"/>
              <w:rPr>
                <w:lang w:eastAsia="lv-LV" w:bidi="lo-LA"/>
              </w:rPr>
            </w:pPr>
            <w:r w:rsidRPr="00957553">
              <w:rPr>
                <w:lang w:eastAsia="lv-LV" w:bidi="lo-LA"/>
              </w:rPr>
              <w:t>Iemesli, kādēļ netika nodrošināta sabiedrības līdzdalība</w:t>
            </w:r>
          </w:p>
        </w:tc>
        <w:tc>
          <w:tcPr>
            <w:tcW w:w="6237" w:type="dxa"/>
            <w:vAlign w:val="center"/>
          </w:tcPr>
          <w:p w:rsidR="00277893" w:rsidRPr="00957553" w:rsidRDefault="000A388A" w:rsidP="009E6EC3">
            <w:pPr>
              <w:spacing w:before="60" w:after="60"/>
              <w:jc w:val="both"/>
            </w:pPr>
            <w:r>
              <w:t>Noteikumu projekts neparedz stingrākās prasības nekā jau noteiktas noteikumos Nr.44, izņemot prasības attiecībā uz lielā projekta īstenošanu, kas noteikt</w:t>
            </w:r>
            <w:r w:rsidR="009E6EC3">
              <w:t>as</w:t>
            </w:r>
            <w:r>
              <w:t xml:space="preserve"> atbilstoši </w:t>
            </w:r>
            <w:r w:rsidR="00404303">
              <w:t>Komisijas</w:t>
            </w:r>
            <w:r w:rsidR="00404303" w:rsidRPr="005F1641">
              <w:t xml:space="preserve"> Regula</w:t>
            </w:r>
            <w:r w:rsidR="00404303">
              <w:t>s</w:t>
            </w:r>
            <w:r w:rsidR="00404303" w:rsidRPr="005F1641">
              <w:t xml:space="preserve"> Nr.1083/2006</w:t>
            </w:r>
            <w:r>
              <w:t xml:space="preserve"> minimālām prasībām, līdz ar to sabiedrības līdzdalība </w:t>
            </w:r>
            <w:r w:rsidR="009E6EC3">
              <w:t>nav nepieciešama.</w:t>
            </w:r>
          </w:p>
        </w:tc>
      </w:tr>
      <w:tr w:rsidR="00277893" w:rsidRPr="00957553" w:rsidTr="008D7634">
        <w:trPr>
          <w:trHeight w:val="70"/>
        </w:trPr>
        <w:tc>
          <w:tcPr>
            <w:tcW w:w="652" w:type="dxa"/>
          </w:tcPr>
          <w:p w:rsidR="00277893" w:rsidRPr="00957553" w:rsidRDefault="00277893" w:rsidP="00CE6E01">
            <w:pPr>
              <w:spacing w:before="60" w:after="60"/>
              <w:rPr>
                <w:lang w:eastAsia="lv-LV" w:bidi="lo-LA"/>
              </w:rPr>
            </w:pPr>
            <w:r w:rsidRPr="00957553">
              <w:rPr>
                <w:lang w:eastAsia="lv-LV" w:bidi="lo-LA"/>
              </w:rPr>
              <w:t> 7.</w:t>
            </w:r>
          </w:p>
        </w:tc>
        <w:tc>
          <w:tcPr>
            <w:tcW w:w="2433" w:type="dxa"/>
          </w:tcPr>
          <w:p w:rsidR="00277893" w:rsidRPr="00957553" w:rsidRDefault="00277893" w:rsidP="00CE6E01">
            <w:pPr>
              <w:spacing w:before="60" w:after="60"/>
              <w:rPr>
                <w:lang w:eastAsia="lv-LV" w:bidi="lo-LA"/>
              </w:rPr>
            </w:pPr>
            <w:r w:rsidRPr="00957553">
              <w:rPr>
                <w:lang w:eastAsia="lv-LV" w:bidi="lo-LA"/>
              </w:rPr>
              <w:t>Cita informācija</w:t>
            </w:r>
          </w:p>
        </w:tc>
        <w:tc>
          <w:tcPr>
            <w:tcW w:w="6237" w:type="dxa"/>
            <w:vAlign w:val="center"/>
          </w:tcPr>
          <w:p w:rsidR="00277893" w:rsidRPr="00957553" w:rsidRDefault="00277893" w:rsidP="00FA22FB">
            <w:pPr>
              <w:spacing w:before="60" w:after="60"/>
            </w:pPr>
            <w:r w:rsidRPr="00957553">
              <w:t>Nav</w:t>
            </w:r>
            <w:r>
              <w:t>.</w:t>
            </w:r>
          </w:p>
        </w:tc>
      </w:tr>
    </w:tbl>
    <w:p w:rsidR="00B80490" w:rsidRPr="00957553" w:rsidRDefault="00B80490"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715"/>
        <w:gridCol w:w="5918"/>
      </w:tblGrid>
      <w:tr w:rsidR="00277893" w:rsidRPr="00957553" w:rsidTr="001E3003">
        <w:trPr>
          <w:trHeight w:val="503"/>
        </w:trPr>
        <w:tc>
          <w:tcPr>
            <w:tcW w:w="9287" w:type="dxa"/>
            <w:gridSpan w:val="3"/>
            <w:vAlign w:val="center"/>
          </w:tcPr>
          <w:p w:rsidR="00277893" w:rsidRPr="00957553" w:rsidRDefault="00277893" w:rsidP="00A43650">
            <w:pPr>
              <w:autoSpaceDE w:val="0"/>
              <w:autoSpaceDN w:val="0"/>
              <w:adjustRightInd w:val="0"/>
              <w:jc w:val="center"/>
              <w:rPr>
                <w:b/>
                <w:noProof/>
                <w:sz w:val="28"/>
                <w:szCs w:val="28"/>
              </w:rPr>
            </w:pPr>
            <w:r w:rsidRPr="00957553">
              <w:rPr>
                <w:b/>
                <w:lang w:eastAsia="lv-LV" w:bidi="lo-LA"/>
              </w:rPr>
              <w:t>II. Tiesību akta projekta ietekme uz sabiedrību</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1.</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Sabiedrības mērķgrupa</w:t>
            </w:r>
          </w:p>
        </w:tc>
        <w:tc>
          <w:tcPr>
            <w:tcW w:w="5918" w:type="dxa"/>
            <w:vAlign w:val="center"/>
          </w:tcPr>
          <w:p w:rsidR="00807F6D" w:rsidRPr="00957553" w:rsidRDefault="000E2451" w:rsidP="000E2451">
            <w:pPr>
              <w:jc w:val="both"/>
            </w:pPr>
            <w:r>
              <w:t>Stacionārās veselības aprūpes iestādes un valsts apmaksāto stacionāro veselības aprūpes pakalpojumu saņēmēji.</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2.</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Citas sabiedrības grupas (bez mērķgrupas), kuras tiesiskais regulējums arī ietekmē vai varētu ietekmēt</w:t>
            </w:r>
          </w:p>
        </w:tc>
        <w:tc>
          <w:tcPr>
            <w:tcW w:w="5918" w:type="dxa"/>
            <w:vAlign w:val="center"/>
          </w:tcPr>
          <w:p w:rsidR="00277893" w:rsidRPr="00957553" w:rsidRDefault="00277893" w:rsidP="00FA22FB">
            <w:pPr>
              <w:pStyle w:val="naiskr"/>
            </w:pPr>
            <w:r>
              <w:t>Projekts šo jomu neskar.</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3.</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Tiesiskā regulējuma finansiālā ietekme</w:t>
            </w:r>
          </w:p>
        </w:tc>
        <w:tc>
          <w:tcPr>
            <w:tcW w:w="5918" w:type="dxa"/>
            <w:vAlign w:val="center"/>
          </w:tcPr>
          <w:p w:rsidR="00277893" w:rsidRPr="00957553" w:rsidRDefault="00277893" w:rsidP="001E3003">
            <w:pPr>
              <w:pStyle w:val="naiskr"/>
              <w:spacing w:before="0" w:beforeAutospacing="0" w:after="0" w:afterAutospacing="0"/>
              <w:ind w:left="318"/>
              <w:jc w:val="both"/>
              <w:rPr>
                <w:b/>
              </w:rPr>
            </w:pPr>
            <w:r w:rsidRPr="00957553">
              <w:rPr>
                <w:b/>
              </w:rPr>
              <w:t>Tiešās finansiālās izmaksas</w:t>
            </w:r>
          </w:p>
          <w:p w:rsidR="00277893" w:rsidRPr="00957553" w:rsidRDefault="00277893" w:rsidP="001E3003">
            <w:pPr>
              <w:pStyle w:val="naiskr"/>
              <w:spacing w:before="0" w:beforeAutospacing="0" w:after="0" w:afterAutospacing="0"/>
              <w:jc w:val="both"/>
            </w:pPr>
            <w:r>
              <w:t>N</w:t>
            </w:r>
            <w:r w:rsidRPr="00957553">
              <w:t xml:space="preserve">oteikumu projektam nav ietekmes uz tiešajām finansiālajām izmaksām. </w:t>
            </w:r>
          </w:p>
          <w:p w:rsidR="00277893" w:rsidRPr="00957553" w:rsidRDefault="00277893" w:rsidP="001E3003">
            <w:pPr>
              <w:pStyle w:val="naiskr"/>
              <w:spacing w:before="0" w:beforeAutospacing="0" w:after="0" w:afterAutospacing="0"/>
              <w:ind w:left="318"/>
              <w:jc w:val="both"/>
              <w:rPr>
                <w:b/>
              </w:rPr>
            </w:pPr>
            <w:r w:rsidRPr="00957553">
              <w:rPr>
                <w:b/>
              </w:rPr>
              <w:t>Netiešās finansiālās izmaksas</w:t>
            </w:r>
          </w:p>
          <w:p w:rsidR="00277893" w:rsidRPr="00957553" w:rsidRDefault="00277893" w:rsidP="001E3003">
            <w:pPr>
              <w:pStyle w:val="naiskr"/>
              <w:spacing w:before="0" w:beforeAutospacing="0" w:after="0" w:afterAutospacing="0"/>
              <w:ind w:left="34"/>
              <w:jc w:val="both"/>
            </w:pPr>
            <w:r>
              <w:t>N</w:t>
            </w:r>
            <w:r w:rsidRPr="00957553">
              <w:t xml:space="preserve">oteikumu projektam nav ietekmes uz netiešajām finansiālajām izmaksām. </w:t>
            </w:r>
          </w:p>
          <w:p w:rsidR="00277893" w:rsidRPr="00957553" w:rsidRDefault="00277893" w:rsidP="001E3003">
            <w:pPr>
              <w:pStyle w:val="naiskr"/>
              <w:spacing w:before="0" w:beforeAutospacing="0" w:after="0" w:afterAutospacing="0"/>
              <w:ind w:left="318"/>
              <w:jc w:val="both"/>
              <w:rPr>
                <w:b/>
              </w:rPr>
            </w:pPr>
            <w:r w:rsidRPr="00957553">
              <w:rPr>
                <w:b/>
              </w:rPr>
              <w:t>Ietekme uz ienākumiem</w:t>
            </w:r>
          </w:p>
          <w:p w:rsidR="00277893" w:rsidRPr="00957553" w:rsidRDefault="00277893" w:rsidP="001E3003">
            <w:pPr>
              <w:pStyle w:val="naiskr"/>
              <w:spacing w:before="0" w:beforeAutospacing="0" w:after="0" w:afterAutospacing="0"/>
              <w:ind w:left="34"/>
              <w:jc w:val="both"/>
            </w:pPr>
            <w:r>
              <w:t>N</w:t>
            </w:r>
            <w:r w:rsidRPr="00957553">
              <w:t>oteikumu projektam nav ietekmes uz ienākumiem.</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4.</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Tiesiskā regulējuma nefinansiālā ietekme</w:t>
            </w:r>
          </w:p>
        </w:tc>
        <w:tc>
          <w:tcPr>
            <w:tcW w:w="5918" w:type="dxa"/>
          </w:tcPr>
          <w:p w:rsidR="00277893" w:rsidRDefault="00277893">
            <w:r w:rsidRPr="003E6FDD">
              <w:t>Projekts šo jomu neskar</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5.</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Administratīvās procedūras raksturojums</w:t>
            </w:r>
          </w:p>
        </w:tc>
        <w:tc>
          <w:tcPr>
            <w:tcW w:w="5918" w:type="dxa"/>
          </w:tcPr>
          <w:p w:rsidR="00277893" w:rsidRDefault="00277893">
            <w:r w:rsidRPr="003E6FDD">
              <w:t>Projekts šo jomu neskar</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6.</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Administratīvo izmaksu monetārs novērtējums</w:t>
            </w:r>
          </w:p>
        </w:tc>
        <w:tc>
          <w:tcPr>
            <w:tcW w:w="5918" w:type="dxa"/>
          </w:tcPr>
          <w:p w:rsidR="00277893" w:rsidRDefault="00277893">
            <w:r w:rsidRPr="003E6FDD">
              <w:t>Projekts šo jomu neskar</w:t>
            </w:r>
          </w:p>
        </w:tc>
      </w:tr>
      <w:tr w:rsidR="00277893" w:rsidRPr="00957553" w:rsidTr="001E3003">
        <w:trPr>
          <w:trHeight w:val="174"/>
        </w:trPr>
        <w:tc>
          <w:tcPr>
            <w:tcW w:w="654" w:type="dxa"/>
            <w:vAlign w:val="center"/>
          </w:tcPr>
          <w:p w:rsidR="00277893" w:rsidRPr="00957553" w:rsidRDefault="00277893" w:rsidP="001E3003">
            <w:pPr>
              <w:spacing w:before="100" w:beforeAutospacing="1" w:after="100" w:afterAutospacing="1"/>
              <w:rPr>
                <w:lang w:eastAsia="lv-LV" w:bidi="lo-LA"/>
              </w:rPr>
            </w:pPr>
            <w:r w:rsidRPr="00957553">
              <w:rPr>
                <w:lang w:eastAsia="lv-LV" w:bidi="lo-LA"/>
              </w:rPr>
              <w:t> 7.</w:t>
            </w:r>
          </w:p>
        </w:tc>
        <w:tc>
          <w:tcPr>
            <w:tcW w:w="2715" w:type="dxa"/>
            <w:vAlign w:val="center"/>
          </w:tcPr>
          <w:p w:rsidR="00277893" w:rsidRPr="00957553" w:rsidRDefault="00277893" w:rsidP="001E3003">
            <w:pPr>
              <w:spacing w:before="100" w:beforeAutospacing="1" w:after="100" w:afterAutospacing="1"/>
              <w:rPr>
                <w:lang w:eastAsia="lv-LV" w:bidi="lo-LA"/>
              </w:rPr>
            </w:pPr>
            <w:r w:rsidRPr="00957553">
              <w:rPr>
                <w:lang w:eastAsia="lv-LV" w:bidi="lo-LA"/>
              </w:rPr>
              <w:t>Cita informācija</w:t>
            </w:r>
          </w:p>
        </w:tc>
        <w:tc>
          <w:tcPr>
            <w:tcW w:w="5918" w:type="dxa"/>
            <w:vAlign w:val="center"/>
          </w:tcPr>
          <w:p w:rsidR="00277893" w:rsidRPr="00957553" w:rsidRDefault="00277893" w:rsidP="00FA22FB">
            <w:pPr>
              <w:pStyle w:val="naiskr"/>
            </w:pPr>
            <w:r w:rsidRPr="00957553">
              <w:t>Nav</w:t>
            </w:r>
          </w:p>
        </w:tc>
      </w:tr>
    </w:tbl>
    <w:p w:rsidR="00277893" w:rsidRDefault="00277893" w:rsidP="00B9292C">
      <w:pPr>
        <w:autoSpaceDE w:val="0"/>
        <w:autoSpaceDN w:val="0"/>
        <w:adjustRightInd w:val="0"/>
        <w:rPr>
          <w:noProof/>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276"/>
        <w:gridCol w:w="1276"/>
        <w:gridCol w:w="1276"/>
        <w:gridCol w:w="1392"/>
        <w:gridCol w:w="1159"/>
      </w:tblGrid>
      <w:tr w:rsidR="00277893" w:rsidRPr="00957553" w:rsidTr="008D7634">
        <w:trPr>
          <w:trHeight w:val="551"/>
        </w:trPr>
        <w:tc>
          <w:tcPr>
            <w:tcW w:w="9322" w:type="dxa"/>
            <w:gridSpan w:val="6"/>
            <w:vAlign w:val="center"/>
          </w:tcPr>
          <w:p w:rsidR="00277893" w:rsidRPr="00957553" w:rsidRDefault="00277893" w:rsidP="00123DA9">
            <w:pPr>
              <w:autoSpaceDE w:val="0"/>
              <w:autoSpaceDN w:val="0"/>
              <w:adjustRightInd w:val="0"/>
              <w:jc w:val="center"/>
              <w:rPr>
                <w:b/>
                <w:noProof/>
                <w:sz w:val="28"/>
                <w:szCs w:val="28"/>
              </w:rPr>
            </w:pPr>
            <w:r w:rsidRPr="00957553">
              <w:rPr>
                <w:b/>
                <w:lang w:eastAsia="lv-LV" w:bidi="lo-LA"/>
              </w:rPr>
              <w:t>III. Tiesību akta projekta ietekme uz valsts budžetu un pašvaldību budžetiem</w:t>
            </w:r>
          </w:p>
        </w:tc>
      </w:tr>
      <w:tr w:rsidR="00277893" w:rsidRPr="00957553" w:rsidTr="00344E26">
        <w:tc>
          <w:tcPr>
            <w:tcW w:w="2943" w:type="dxa"/>
            <w:vMerge w:val="restart"/>
            <w:vAlign w:val="center"/>
          </w:tcPr>
          <w:p w:rsidR="00277893" w:rsidRPr="00957553" w:rsidRDefault="00277893" w:rsidP="00136848">
            <w:pPr>
              <w:autoSpaceDE w:val="0"/>
              <w:autoSpaceDN w:val="0"/>
              <w:adjustRightInd w:val="0"/>
              <w:jc w:val="center"/>
              <w:rPr>
                <w:noProof/>
                <w:sz w:val="28"/>
                <w:szCs w:val="28"/>
              </w:rPr>
            </w:pPr>
            <w:r w:rsidRPr="00957553">
              <w:rPr>
                <w:bCs/>
                <w:lang w:eastAsia="lv-LV" w:bidi="lo-LA"/>
              </w:rPr>
              <w:t>Rādītāji</w:t>
            </w:r>
          </w:p>
        </w:tc>
        <w:tc>
          <w:tcPr>
            <w:tcW w:w="2552" w:type="dxa"/>
            <w:gridSpan w:val="2"/>
            <w:vMerge w:val="restart"/>
            <w:vAlign w:val="center"/>
          </w:tcPr>
          <w:p w:rsidR="00277893" w:rsidRPr="00957553" w:rsidRDefault="00277893" w:rsidP="00136848">
            <w:pPr>
              <w:autoSpaceDE w:val="0"/>
              <w:autoSpaceDN w:val="0"/>
              <w:adjustRightInd w:val="0"/>
              <w:jc w:val="center"/>
              <w:rPr>
                <w:noProof/>
                <w:sz w:val="28"/>
                <w:szCs w:val="28"/>
              </w:rPr>
            </w:pPr>
            <w:r w:rsidRPr="00957553">
              <w:rPr>
                <w:bCs/>
                <w:lang w:eastAsia="lv-LV" w:bidi="lo-LA"/>
              </w:rPr>
              <w:t>201</w:t>
            </w:r>
            <w:r>
              <w:rPr>
                <w:bCs/>
                <w:lang w:eastAsia="lv-LV" w:bidi="lo-LA"/>
              </w:rPr>
              <w:t>3</w:t>
            </w:r>
            <w:r w:rsidRPr="00957553">
              <w:rPr>
                <w:bCs/>
                <w:lang w:eastAsia="lv-LV" w:bidi="lo-LA"/>
              </w:rPr>
              <w:t>.</w:t>
            </w:r>
          </w:p>
        </w:tc>
        <w:tc>
          <w:tcPr>
            <w:tcW w:w="3827" w:type="dxa"/>
            <w:gridSpan w:val="3"/>
            <w:vAlign w:val="center"/>
          </w:tcPr>
          <w:p w:rsidR="00277893" w:rsidRPr="00957553" w:rsidRDefault="00277893" w:rsidP="00136848">
            <w:pPr>
              <w:autoSpaceDE w:val="0"/>
              <w:autoSpaceDN w:val="0"/>
              <w:adjustRightInd w:val="0"/>
              <w:jc w:val="center"/>
              <w:rPr>
                <w:noProof/>
                <w:sz w:val="28"/>
                <w:szCs w:val="28"/>
              </w:rPr>
            </w:pPr>
            <w:r w:rsidRPr="00957553">
              <w:rPr>
                <w:lang w:eastAsia="lv-LV" w:bidi="lo-LA"/>
              </w:rPr>
              <w:t xml:space="preserve">Turpmākie trīs gadi (tūkst. </w:t>
            </w:r>
            <w:r w:rsidR="001475B2">
              <w:rPr>
                <w:lang w:eastAsia="lv-LV" w:bidi="lo-LA"/>
              </w:rPr>
              <w:t>LVL</w:t>
            </w:r>
            <w:r w:rsidRPr="00957553">
              <w:rPr>
                <w:lang w:eastAsia="lv-LV" w:bidi="lo-LA"/>
              </w:rPr>
              <w:t>)</w:t>
            </w:r>
          </w:p>
        </w:tc>
      </w:tr>
      <w:tr w:rsidR="00277893" w:rsidRPr="00957553" w:rsidTr="00344E26">
        <w:tc>
          <w:tcPr>
            <w:tcW w:w="2943" w:type="dxa"/>
            <w:vMerge/>
          </w:tcPr>
          <w:p w:rsidR="00277893" w:rsidRPr="00957553" w:rsidRDefault="00277893" w:rsidP="00136848">
            <w:pPr>
              <w:autoSpaceDE w:val="0"/>
              <w:autoSpaceDN w:val="0"/>
              <w:adjustRightInd w:val="0"/>
              <w:jc w:val="center"/>
              <w:rPr>
                <w:noProof/>
                <w:sz w:val="28"/>
                <w:szCs w:val="28"/>
              </w:rPr>
            </w:pPr>
          </w:p>
        </w:tc>
        <w:tc>
          <w:tcPr>
            <w:tcW w:w="2552" w:type="dxa"/>
            <w:gridSpan w:val="2"/>
            <w:vMerge/>
            <w:vAlign w:val="center"/>
          </w:tcPr>
          <w:p w:rsidR="00277893" w:rsidRPr="00957553" w:rsidRDefault="00277893" w:rsidP="00136848">
            <w:pPr>
              <w:autoSpaceDE w:val="0"/>
              <w:autoSpaceDN w:val="0"/>
              <w:adjustRightInd w:val="0"/>
              <w:jc w:val="center"/>
              <w:rPr>
                <w:noProof/>
                <w:sz w:val="28"/>
                <w:szCs w:val="28"/>
              </w:rPr>
            </w:pPr>
          </w:p>
        </w:tc>
        <w:tc>
          <w:tcPr>
            <w:tcW w:w="1276"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4</w:t>
            </w:r>
            <w:r w:rsidRPr="00957553">
              <w:rPr>
                <w:lang w:eastAsia="lv-LV" w:bidi="lo-LA"/>
              </w:rPr>
              <w:t>.</w:t>
            </w:r>
          </w:p>
        </w:tc>
        <w:tc>
          <w:tcPr>
            <w:tcW w:w="1392"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5</w:t>
            </w:r>
            <w:r w:rsidRPr="00957553">
              <w:rPr>
                <w:lang w:eastAsia="lv-LV" w:bidi="lo-LA"/>
              </w:rPr>
              <w:t>.</w:t>
            </w:r>
          </w:p>
        </w:tc>
        <w:tc>
          <w:tcPr>
            <w:tcW w:w="1159"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6</w:t>
            </w:r>
            <w:r w:rsidRPr="00957553">
              <w:rPr>
                <w:lang w:eastAsia="lv-LV" w:bidi="lo-LA"/>
              </w:rPr>
              <w:t>.</w:t>
            </w:r>
          </w:p>
        </w:tc>
      </w:tr>
      <w:tr w:rsidR="00277893" w:rsidRPr="00957553" w:rsidTr="00344E26">
        <w:tc>
          <w:tcPr>
            <w:tcW w:w="2943" w:type="dxa"/>
            <w:vMerge/>
          </w:tcPr>
          <w:p w:rsidR="00277893" w:rsidRPr="00957553" w:rsidRDefault="00277893" w:rsidP="00136848">
            <w:pPr>
              <w:autoSpaceDE w:val="0"/>
              <w:autoSpaceDN w:val="0"/>
              <w:adjustRightInd w:val="0"/>
              <w:jc w:val="center"/>
              <w:rPr>
                <w:noProof/>
                <w:sz w:val="28"/>
                <w:szCs w:val="28"/>
              </w:rPr>
            </w:pPr>
          </w:p>
        </w:tc>
        <w:tc>
          <w:tcPr>
            <w:tcW w:w="1276"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Saskaņā ar valsts budžetu kārtējam gadam</w:t>
            </w:r>
          </w:p>
        </w:tc>
        <w:tc>
          <w:tcPr>
            <w:tcW w:w="1276"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kārtējā gadā, salīdzinot ar budžetu kārtējam gadam</w:t>
            </w:r>
          </w:p>
        </w:tc>
        <w:tc>
          <w:tcPr>
            <w:tcW w:w="1276"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c>
          <w:tcPr>
            <w:tcW w:w="1392"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c>
          <w:tcPr>
            <w:tcW w:w="1159"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r>
      <w:tr w:rsidR="00943151" w:rsidRPr="00957553" w:rsidTr="00943151">
        <w:trPr>
          <w:trHeight w:val="302"/>
        </w:trPr>
        <w:tc>
          <w:tcPr>
            <w:tcW w:w="2943" w:type="dxa"/>
          </w:tcPr>
          <w:p w:rsidR="00943151" w:rsidRPr="00957553" w:rsidRDefault="00943151" w:rsidP="00136848">
            <w:pPr>
              <w:spacing w:before="100" w:beforeAutospacing="1" w:after="100" w:afterAutospacing="1"/>
              <w:rPr>
                <w:b/>
                <w:lang w:eastAsia="lv-LV" w:bidi="lo-LA"/>
              </w:rPr>
            </w:pPr>
            <w:r w:rsidRPr="00957553">
              <w:rPr>
                <w:b/>
                <w:lang w:eastAsia="lv-LV" w:bidi="lo-LA"/>
              </w:rPr>
              <w:t> 1. Budžeta ieņēmumi:</w:t>
            </w:r>
          </w:p>
        </w:tc>
        <w:tc>
          <w:tcPr>
            <w:tcW w:w="1276" w:type="dxa"/>
            <w:vAlign w:val="center"/>
          </w:tcPr>
          <w:p w:rsidR="00943151" w:rsidRPr="00943151" w:rsidRDefault="0096328E" w:rsidP="00943151">
            <w:pPr>
              <w:jc w:val="center"/>
              <w:rPr>
                <w:b/>
              </w:rPr>
            </w:pPr>
            <w:r>
              <w:rPr>
                <w:b/>
              </w:rPr>
              <w:t>18 301,2</w:t>
            </w:r>
          </w:p>
        </w:tc>
        <w:tc>
          <w:tcPr>
            <w:tcW w:w="1276" w:type="dxa"/>
            <w:vAlign w:val="center"/>
          </w:tcPr>
          <w:p w:rsidR="00943151" w:rsidRPr="00943151" w:rsidRDefault="00943151" w:rsidP="00943151">
            <w:pPr>
              <w:jc w:val="center"/>
              <w:rPr>
                <w:b/>
              </w:rPr>
            </w:pPr>
            <w:r w:rsidRPr="00943151">
              <w:rPr>
                <w:b/>
              </w:rPr>
              <w:t>0,0</w:t>
            </w:r>
          </w:p>
        </w:tc>
        <w:tc>
          <w:tcPr>
            <w:tcW w:w="1276" w:type="dxa"/>
            <w:vAlign w:val="center"/>
          </w:tcPr>
          <w:p w:rsidR="00943151" w:rsidRPr="00943151" w:rsidRDefault="0096328E" w:rsidP="00943151">
            <w:pPr>
              <w:jc w:val="center"/>
              <w:rPr>
                <w:b/>
              </w:rPr>
            </w:pPr>
            <w:r>
              <w:rPr>
                <w:b/>
              </w:rPr>
              <w:t>-889,1</w:t>
            </w:r>
          </w:p>
        </w:tc>
        <w:tc>
          <w:tcPr>
            <w:tcW w:w="1392" w:type="dxa"/>
            <w:vAlign w:val="center"/>
          </w:tcPr>
          <w:p w:rsidR="00943151" w:rsidRPr="00943151" w:rsidRDefault="00B13F51" w:rsidP="00B13F51">
            <w:pPr>
              <w:jc w:val="center"/>
              <w:rPr>
                <w:b/>
              </w:rPr>
            </w:pPr>
            <w:r>
              <w:rPr>
                <w:b/>
              </w:rPr>
              <w:t>-5 335,6</w:t>
            </w:r>
          </w:p>
        </w:tc>
        <w:tc>
          <w:tcPr>
            <w:tcW w:w="1159" w:type="dxa"/>
            <w:vAlign w:val="center"/>
          </w:tcPr>
          <w:p w:rsidR="00943151" w:rsidRPr="00943151" w:rsidRDefault="001411AF" w:rsidP="00943151">
            <w:pPr>
              <w:jc w:val="center"/>
              <w:rPr>
                <w:b/>
              </w:rPr>
            </w:pPr>
            <w:r>
              <w:rPr>
                <w:b/>
              </w:rPr>
              <w:t>-18 301,2</w:t>
            </w:r>
          </w:p>
        </w:tc>
      </w:tr>
      <w:tr w:rsidR="00943151" w:rsidRPr="00957553" w:rsidTr="00943151">
        <w:tc>
          <w:tcPr>
            <w:tcW w:w="2943" w:type="dxa"/>
          </w:tcPr>
          <w:p w:rsidR="00943151" w:rsidRPr="00957553" w:rsidRDefault="00943151" w:rsidP="0078524D">
            <w:pPr>
              <w:rPr>
                <w:lang w:eastAsia="lv-LV" w:bidi="lo-LA"/>
              </w:rPr>
            </w:pPr>
            <w:r>
              <w:rPr>
                <w:lang w:eastAsia="lv-LV" w:bidi="lo-LA"/>
              </w:rPr>
              <w:lastRenderedPageBreak/>
              <w:t xml:space="preserve">1.1. </w:t>
            </w:r>
            <w:r w:rsidRPr="00957553">
              <w:rPr>
                <w:lang w:eastAsia="lv-LV" w:bidi="lo-LA"/>
              </w:rPr>
              <w:t>valsts pamatbudžets, tai skaitā ieņēmumi no maksas pakalpojumiem un citi pašu ieņēmumi</w:t>
            </w:r>
            <w:r>
              <w:rPr>
                <w:lang w:eastAsia="lv-LV" w:bidi="lo-LA"/>
              </w:rPr>
              <w:t>:</w:t>
            </w:r>
          </w:p>
        </w:tc>
        <w:tc>
          <w:tcPr>
            <w:tcW w:w="1276" w:type="dxa"/>
            <w:vAlign w:val="center"/>
          </w:tcPr>
          <w:p w:rsidR="00943151" w:rsidRPr="004D6162" w:rsidRDefault="0096328E" w:rsidP="00943151">
            <w:pPr>
              <w:jc w:val="center"/>
            </w:pPr>
            <w:r>
              <w:t>18 301,2</w:t>
            </w:r>
          </w:p>
        </w:tc>
        <w:tc>
          <w:tcPr>
            <w:tcW w:w="1276" w:type="dxa"/>
            <w:vAlign w:val="center"/>
          </w:tcPr>
          <w:p w:rsidR="00943151" w:rsidRPr="004D6162" w:rsidRDefault="00943151" w:rsidP="00943151">
            <w:pPr>
              <w:jc w:val="center"/>
            </w:pPr>
            <w:r w:rsidRPr="004D6162">
              <w:t>0,0</w:t>
            </w:r>
          </w:p>
        </w:tc>
        <w:tc>
          <w:tcPr>
            <w:tcW w:w="1276" w:type="dxa"/>
            <w:vAlign w:val="center"/>
          </w:tcPr>
          <w:p w:rsidR="00943151" w:rsidRPr="004D6162" w:rsidRDefault="0096328E" w:rsidP="00943151">
            <w:pPr>
              <w:jc w:val="center"/>
            </w:pPr>
            <w:r>
              <w:t>-889,1</w:t>
            </w:r>
          </w:p>
        </w:tc>
        <w:tc>
          <w:tcPr>
            <w:tcW w:w="1392" w:type="dxa"/>
            <w:vAlign w:val="center"/>
          </w:tcPr>
          <w:p w:rsidR="00943151" w:rsidRPr="004D6162" w:rsidRDefault="00B13F51" w:rsidP="00B13F51">
            <w:pPr>
              <w:jc w:val="center"/>
            </w:pPr>
            <w:r>
              <w:t>-5 335,6</w:t>
            </w:r>
          </w:p>
        </w:tc>
        <w:tc>
          <w:tcPr>
            <w:tcW w:w="1159" w:type="dxa"/>
            <w:vAlign w:val="center"/>
          </w:tcPr>
          <w:p w:rsidR="00943151" w:rsidRDefault="001411AF" w:rsidP="00943151">
            <w:pPr>
              <w:jc w:val="center"/>
            </w:pPr>
            <w:r>
              <w:t>-18 301,2</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1.2. valsts speciālais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center"/>
            </w:pPr>
            <w:r w:rsidRPr="00957553">
              <w:t>0,0</w:t>
            </w:r>
          </w:p>
        </w:tc>
        <w:tc>
          <w:tcPr>
            <w:tcW w:w="1159" w:type="dxa"/>
          </w:tcPr>
          <w:p w:rsidR="0078524D" w:rsidRPr="00957553" w:rsidRDefault="0078524D" w:rsidP="00EF6542">
            <w:pPr>
              <w:jc w:val="center"/>
            </w:pPr>
            <w:r w:rsidRPr="00957553">
              <w:t>0,0</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1.3. pašvaldību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center"/>
            </w:pPr>
            <w:r w:rsidRPr="00957553">
              <w:t>0,0</w:t>
            </w:r>
          </w:p>
        </w:tc>
        <w:tc>
          <w:tcPr>
            <w:tcW w:w="1159" w:type="dxa"/>
          </w:tcPr>
          <w:p w:rsidR="0078524D" w:rsidRPr="00957553" w:rsidRDefault="0078524D" w:rsidP="00EF6542">
            <w:pPr>
              <w:jc w:val="center"/>
            </w:pPr>
            <w:r w:rsidRPr="00957553">
              <w:t>0,0</w:t>
            </w:r>
          </w:p>
        </w:tc>
      </w:tr>
      <w:tr w:rsidR="009C7C99" w:rsidRPr="00957553" w:rsidTr="00344E26">
        <w:tc>
          <w:tcPr>
            <w:tcW w:w="2943" w:type="dxa"/>
          </w:tcPr>
          <w:p w:rsidR="009C7C99" w:rsidRPr="00957553" w:rsidRDefault="009C7C99" w:rsidP="00EF6542">
            <w:pPr>
              <w:spacing w:before="100" w:beforeAutospacing="1" w:after="100" w:afterAutospacing="1"/>
              <w:rPr>
                <w:b/>
                <w:lang w:eastAsia="lv-LV" w:bidi="lo-LA"/>
              </w:rPr>
            </w:pPr>
            <w:r w:rsidRPr="00957553">
              <w:rPr>
                <w:b/>
                <w:lang w:eastAsia="lv-LV" w:bidi="lo-LA"/>
              </w:rPr>
              <w:t> 2. Budžeta izdevumi:</w:t>
            </w:r>
          </w:p>
        </w:tc>
        <w:tc>
          <w:tcPr>
            <w:tcW w:w="1276" w:type="dxa"/>
          </w:tcPr>
          <w:p w:rsidR="009C7C99" w:rsidRPr="005A7D16" w:rsidRDefault="0096328E" w:rsidP="005A7D16">
            <w:pPr>
              <w:jc w:val="right"/>
              <w:rPr>
                <w:b/>
              </w:rPr>
            </w:pPr>
            <w:r>
              <w:rPr>
                <w:b/>
              </w:rPr>
              <w:t>19 442,8</w:t>
            </w:r>
          </w:p>
        </w:tc>
        <w:tc>
          <w:tcPr>
            <w:tcW w:w="1276" w:type="dxa"/>
          </w:tcPr>
          <w:p w:rsidR="009C7C99" w:rsidRPr="005A7D16" w:rsidRDefault="009C7C99" w:rsidP="005A7D16">
            <w:pPr>
              <w:jc w:val="right"/>
              <w:rPr>
                <w:b/>
              </w:rPr>
            </w:pPr>
            <w:r w:rsidRPr="005A7D16">
              <w:rPr>
                <w:b/>
              </w:rPr>
              <w:t>0,0</w:t>
            </w:r>
          </w:p>
        </w:tc>
        <w:tc>
          <w:tcPr>
            <w:tcW w:w="1276" w:type="dxa"/>
          </w:tcPr>
          <w:p w:rsidR="009C7C99" w:rsidRPr="005A7D16" w:rsidRDefault="0096328E" w:rsidP="00384974">
            <w:pPr>
              <w:jc w:val="right"/>
              <w:rPr>
                <w:b/>
              </w:rPr>
            </w:pPr>
            <w:r>
              <w:rPr>
                <w:b/>
              </w:rPr>
              <w:t>-483,7</w:t>
            </w:r>
          </w:p>
        </w:tc>
        <w:tc>
          <w:tcPr>
            <w:tcW w:w="1392" w:type="dxa"/>
          </w:tcPr>
          <w:p w:rsidR="009C7C99" w:rsidRPr="005A7D16" w:rsidRDefault="00B13F51" w:rsidP="005A7D16">
            <w:pPr>
              <w:jc w:val="right"/>
              <w:rPr>
                <w:b/>
              </w:rPr>
            </w:pPr>
            <w:r>
              <w:rPr>
                <w:b/>
              </w:rPr>
              <w:t>-6 273,3</w:t>
            </w:r>
          </w:p>
        </w:tc>
        <w:tc>
          <w:tcPr>
            <w:tcW w:w="1159" w:type="dxa"/>
          </w:tcPr>
          <w:p w:rsidR="009C7C99" w:rsidRPr="005A7D16" w:rsidRDefault="001411AF" w:rsidP="005A7D16">
            <w:pPr>
              <w:jc w:val="right"/>
              <w:rPr>
                <w:b/>
              </w:rPr>
            </w:pPr>
            <w:r>
              <w:rPr>
                <w:b/>
              </w:rPr>
              <w:t>-19 442,8</w:t>
            </w:r>
          </w:p>
        </w:tc>
      </w:tr>
      <w:tr w:rsidR="009C7C99" w:rsidRPr="00957553" w:rsidTr="00344E26">
        <w:trPr>
          <w:trHeight w:val="335"/>
        </w:trPr>
        <w:tc>
          <w:tcPr>
            <w:tcW w:w="2943" w:type="dxa"/>
          </w:tcPr>
          <w:p w:rsidR="009C7C99" w:rsidRPr="005A7D16" w:rsidRDefault="009C7C99" w:rsidP="005A7D16">
            <w:pPr>
              <w:rPr>
                <w:lang w:eastAsia="lv-LV" w:bidi="lo-LA"/>
              </w:rPr>
            </w:pPr>
            <w:r w:rsidRPr="00957553">
              <w:rPr>
                <w:lang w:eastAsia="lv-LV" w:bidi="lo-LA"/>
              </w:rPr>
              <w:t> 2.1. valsts pamatbudžets</w:t>
            </w:r>
            <w:r>
              <w:rPr>
                <w:lang w:eastAsia="lv-LV" w:bidi="lo-LA"/>
              </w:rPr>
              <w:t>:</w:t>
            </w:r>
          </w:p>
        </w:tc>
        <w:tc>
          <w:tcPr>
            <w:tcW w:w="1276" w:type="dxa"/>
          </w:tcPr>
          <w:p w:rsidR="009C7C99" w:rsidRPr="005A7D16" w:rsidRDefault="0096328E" w:rsidP="005A7D16">
            <w:pPr>
              <w:jc w:val="right"/>
              <w:rPr>
                <w:b/>
              </w:rPr>
            </w:pPr>
            <w:r>
              <w:t>19 442,8</w:t>
            </w:r>
          </w:p>
        </w:tc>
        <w:tc>
          <w:tcPr>
            <w:tcW w:w="1276" w:type="dxa"/>
          </w:tcPr>
          <w:p w:rsidR="009C7C99" w:rsidRPr="005A7D16" w:rsidRDefault="009C7C99" w:rsidP="005A7D16">
            <w:pPr>
              <w:jc w:val="right"/>
            </w:pPr>
            <w:r w:rsidRPr="00957553">
              <w:t>0,0</w:t>
            </w:r>
          </w:p>
        </w:tc>
        <w:tc>
          <w:tcPr>
            <w:tcW w:w="1276" w:type="dxa"/>
          </w:tcPr>
          <w:p w:rsidR="009C7C99" w:rsidRPr="005A7D16" w:rsidRDefault="0096328E" w:rsidP="00384974">
            <w:pPr>
              <w:jc w:val="right"/>
            </w:pPr>
            <w:r>
              <w:t>-483,7</w:t>
            </w:r>
          </w:p>
        </w:tc>
        <w:tc>
          <w:tcPr>
            <w:tcW w:w="1392" w:type="dxa"/>
          </w:tcPr>
          <w:p w:rsidR="009C7C99" w:rsidRPr="005A7D16" w:rsidRDefault="00B13F51" w:rsidP="005A7D16">
            <w:pPr>
              <w:jc w:val="right"/>
            </w:pPr>
            <w:r>
              <w:rPr>
                <w:b/>
              </w:rPr>
              <w:t>-6 273,3</w:t>
            </w:r>
          </w:p>
        </w:tc>
        <w:tc>
          <w:tcPr>
            <w:tcW w:w="1159" w:type="dxa"/>
          </w:tcPr>
          <w:p w:rsidR="009C7C99" w:rsidRPr="005A7D16" w:rsidRDefault="001411AF" w:rsidP="005A7D16">
            <w:pPr>
              <w:jc w:val="right"/>
            </w:pPr>
            <w:r>
              <w:rPr>
                <w:b/>
              </w:rPr>
              <w:t>-19 442,8</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2.2. valsts speciālais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right"/>
            </w:pPr>
            <w:r w:rsidRPr="00957553">
              <w:t>0,0</w:t>
            </w:r>
          </w:p>
        </w:tc>
        <w:tc>
          <w:tcPr>
            <w:tcW w:w="1159" w:type="dxa"/>
          </w:tcPr>
          <w:p w:rsidR="0078524D" w:rsidRPr="00957553" w:rsidRDefault="0078524D" w:rsidP="00EF6542">
            <w:pPr>
              <w:jc w:val="right"/>
            </w:pPr>
            <w:r w:rsidRPr="00957553">
              <w:t>0,0</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2.3. pašvaldību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right"/>
            </w:pPr>
            <w:r w:rsidRPr="00957553">
              <w:t>0,0</w:t>
            </w:r>
          </w:p>
        </w:tc>
        <w:tc>
          <w:tcPr>
            <w:tcW w:w="1159" w:type="dxa"/>
          </w:tcPr>
          <w:p w:rsidR="0078524D" w:rsidRPr="00957553" w:rsidRDefault="0078524D" w:rsidP="00EF6542">
            <w:pPr>
              <w:jc w:val="right"/>
            </w:pPr>
            <w:r w:rsidRPr="00957553">
              <w:t>0,0</w:t>
            </w:r>
          </w:p>
        </w:tc>
      </w:tr>
      <w:tr w:rsidR="0078524D" w:rsidRPr="00957553" w:rsidTr="00344E26">
        <w:tc>
          <w:tcPr>
            <w:tcW w:w="2943" w:type="dxa"/>
          </w:tcPr>
          <w:p w:rsidR="0078524D" w:rsidRPr="00957553" w:rsidRDefault="0078524D" w:rsidP="00EF6542">
            <w:pPr>
              <w:spacing w:before="100" w:beforeAutospacing="1" w:after="100" w:afterAutospacing="1"/>
              <w:rPr>
                <w:b/>
                <w:lang w:eastAsia="lv-LV" w:bidi="lo-LA"/>
              </w:rPr>
            </w:pPr>
            <w:r w:rsidRPr="00957553">
              <w:rPr>
                <w:b/>
                <w:lang w:eastAsia="lv-LV" w:bidi="lo-LA"/>
              </w:rPr>
              <w:t> 3. Finansiālā ietekme:</w:t>
            </w:r>
          </w:p>
        </w:tc>
        <w:tc>
          <w:tcPr>
            <w:tcW w:w="1276" w:type="dxa"/>
          </w:tcPr>
          <w:p w:rsidR="0078524D" w:rsidRPr="005A7D16" w:rsidRDefault="00AB7B81" w:rsidP="0096328E">
            <w:pPr>
              <w:jc w:val="center"/>
              <w:rPr>
                <w:b/>
              </w:rPr>
            </w:pPr>
            <w:r>
              <w:rPr>
                <w:b/>
              </w:rPr>
              <w:t>-</w:t>
            </w:r>
            <w:r w:rsidR="0096328E">
              <w:rPr>
                <w:b/>
              </w:rPr>
              <w:t>1 141,6</w:t>
            </w:r>
          </w:p>
        </w:tc>
        <w:tc>
          <w:tcPr>
            <w:tcW w:w="1276" w:type="dxa"/>
          </w:tcPr>
          <w:p w:rsidR="0078524D" w:rsidRPr="005A7D16" w:rsidRDefault="0078524D" w:rsidP="005A7D16">
            <w:pPr>
              <w:jc w:val="right"/>
              <w:rPr>
                <w:b/>
              </w:rPr>
            </w:pPr>
            <w:r w:rsidRPr="00697DD4">
              <w:rPr>
                <w:b/>
              </w:rPr>
              <w:t>0,0</w:t>
            </w:r>
          </w:p>
        </w:tc>
        <w:tc>
          <w:tcPr>
            <w:tcW w:w="1276" w:type="dxa"/>
          </w:tcPr>
          <w:p w:rsidR="0078524D" w:rsidRPr="005A7D16" w:rsidRDefault="0096328E" w:rsidP="005A7D16">
            <w:pPr>
              <w:jc w:val="right"/>
              <w:rPr>
                <w:b/>
              </w:rPr>
            </w:pPr>
            <w:r>
              <w:rPr>
                <w:b/>
              </w:rPr>
              <w:t>-405,4</w:t>
            </w:r>
          </w:p>
        </w:tc>
        <w:tc>
          <w:tcPr>
            <w:tcW w:w="1392" w:type="dxa"/>
          </w:tcPr>
          <w:p w:rsidR="0078524D" w:rsidRPr="005A7D16" w:rsidRDefault="00B13F51" w:rsidP="005A7D16">
            <w:pPr>
              <w:jc w:val="right"/>
              <w:rPr>
                <w:b/>
              </w:rPr>
            </w:pPr>
            <w:r>
              <w:rPr>
                <w:b/>
              </w:rPr>
              <w:t>937,7</w:t>
            </w:r>
          </w:p>
        </w:tc>
        <w:tc>
          <w:tcPr>
            <w:tcW w:w="1159" w:type="dxa"/>
          </w:tcPr>
          <w:p w:rsidR="0078524D" w:rsidRPr="005A7D16" w:rsidRDefault="001411AF" w:rsidP="005A7D16">
            <w:pPr>
              <w:jc w:val="right"/>
              <w:rPr>
                <w:b/>
              </w:rPr>
            </w:pPr>
            <w:r>
              <w:rPr>
                <w:b/>
              </w:rPr>
              <w:t>1 141,6</w:t>
            </w:r>
          </w:p>
        </w:tc>
      </w:tr>
      <w:tr w:rsidR="0078524D" w:rsidRPr="00957553" w:rsidTr="00344E26">
        <w:trPr>
          <w:trHeight w:val="353"/>
        </w:trPr>
        <w:tc>
          <w:tcPr>
            <w:tcW w:w="2943" w:type="dxa"/>
          </w:tcPr>
          <w:p w:rsidR="0078524D" w:rsidRPr="005A7D16" w:rsidRDefault="0078524D" w:rsidP="005A7D16">
            <w:r>
              <w:t xml:space="preserve"> 3.1. </w:t>
            </w:r>
            <w:r w:rsidRPr="00D80774">
              <w:t>valsts pamatbudžets</w:t>
            </w:r>
          </w:p>
        </w:tc>
        <w:tc>
          <w:tcPr>
            <w:tcW w:w="1276" w:type="dxa"/>
          </w:tcPr>
          <w:p w:rsidR="0078524D" w:rsidRPr="005A7D16" w:rsidRDefault="004D20A1" w:rsidP="0096328E">
            <w:pPr>
              <w:jc w:val="center"/>
            </w:pPr>
            <w:r>
              <w:rPr>
                <w:b/>
              </w:rPr>
              <w:t>-</w:t>
            </w:r>
            <w:r w:rsidR="0096328E">
              <w:t>1 141,6</w:t>
            </w:r>
          </w:p>
        </w:tc>
        <w:tc>
          <w:tcPr>
            <w:tcW w:w="1276" w:type="dxa"/>
          </w:tcPr>
          <w:p w:rsidR="0078524D" w:rsidRPr="005A7D16" w:rsidRDefault="0078524D" w:rsidP="005A7D16">
            <w:pPr>
              <w:jc w:val="right"/>
            </w:pPr>
            <w:r w:rsidRPr="005A7D16">
              <w:t>0,0</w:t>
            </w:r>
          </w:p>
        </w:tc>
        <w:tc>
          <w:tcPr>
            <w:tcW w:w="1276" w:type="dxa"/>
          </w:tcPr>
          <w:p w:rsidR="0078524D" w:rsidRPr="005A7D16" w:rsidRDefault="0096328E" w:rsidP="005A7D16">
            <w:pPr>
              <w:jc w:val="right"/>
            </w:pPr>
            <w:r>
              <w:t>-405,4</w:t>
            </w:r>
          </w:p>
        </w:tc>
        <w:tc>
          <w:tcPr>
            <w:tcW w:w="1392" w:type="dxa"/>
          </w:tcPr>
          <w:p w:rsidR="0078524D" w:rsidRPr="005A7D16" w:rsidRDefault="00B13F51" w:rsidP="005A7D16">
            <w:pPr>
              <w:jc w:val="right"/>
            </w:pPr>
            <w:r>
              <w:t>937,7</w:t>
            </w:r>
          </w:p>
        </w:tc>
        <w:tc>
          <w:tcPr>
            <w:tcW w:w="1159" w:type="dxa"/>
          </w:tcPr>
          <w:p w:rsidR="0078524D" w:rsidRPr="005A7D16" w:rsidRDefault="001411AF" w:rsidP="005A7D16">
            <w:pPr>
              <w:jc w:val="right"/>
            </w:pPr>
            <w:r>
              <w:t>1 141,6</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3.2. speciālais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right"/>
            </w:pPr>
            <w:r w:rsidRPr="00957553">
              <w:t>0,0</w:t>
            </w:r>
          </w:p>
        </w:tc>
        <w:tc>
          <w:tcPr>
            <w:tcW w:w="1159" w:type="dxa"/>
          </w:tcPr>
          <w:p w:rsidR="0078524D" w:rsidRPr="00957553" w:rsidRDefault="0078524D" w:rsidP="00EF6542">
            <w:pPr>
              <w:jc w:val="right"/>
            </w:pPr>
            <w:r w:rsidRPr="00957553">
              <w:t>0,0</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3.3. pašvaldību budžets</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right"/>
            </w:pPr>
            <w:r w:rsidRPr="00957553">
              <w:t>0,0</w:t>
            </w:r>
          </w:p>
        </w:tc>
        <w:tc>
          <w:tcPr>
            <w:tcW w:w="1159" w:type="dxa"/>
          </w:tcPr>
          <w:p w:rsidR="0078524D" w:rsidRPr="00957553" w:rsidRDefault="0078524D" w:rsidP="00EF6542">
            <w:pPr>
              <w:jc w:val="right"/>
            </w:pPr>
            <w:r w:rsidRPr="00957553">
              <w:t>0,0</w:t>
            </w:r>
          </w:p>
        </w:tc>
      </w:tr>
      <w:tr w:rsidR="0078524D" w:rsidRPr="00957553" w:rsidTr="00344E26">
        <w:trPr>
          <w:trHeight w:val="125"/>
        </w:trPr>
        <w:tc>
          <w:tcPr>
            <w:tcW w:w="2943" w:type="dxa"/>
            <w:vMerge w:val="restart"/>
          </w:tcPr>
          <w:p w:rsidR="0078524D" w:rsidRPr="00957553" w:rsidRDefault="0078524D" w:rsidP="00EF6542">
            <w:pPr>
              <w:spacing w:before="100" w:beforeAutospacing="1" w:after="100" w:afterAutospacing="1"/>
              <w:rPr>
                <w:lang w:eastAsia="lv-LV" w:bidi="lo-LA"/>
              </w:rPr>
            </w:pPr>
            <w:r w:rsidRPr="00957553">
              <w:rPr>
                <w:lang w:eastAsia="lv-LV" w:bidi="lo-LA"/>
              </w:rPr>
              <w:t> 4. Finanšu līdzekļi papildu izde</w:t>
            </w:r>
            <w:r w:rsidRPr="00957553">
              <w:rPr>
                <w:lang w:eastAsia="lv-LV" w:bidi="lo-LA"/>
              </w:rPr>
              <w:softHyphen/>
              <w:t xml:space="preserve">vumu finansēšanai (kompensējošu izdevumu samazinājumu norāda ar </w:t>
            </w:r>
            <w:r>
              <w:rPr>
                <w:lang w:eastAsia="lv-LV" w:bidi="lo-LA"/>
              </w:rPr>
              <w:t>„</w:t>
            </w:r>
            <w:r w:rsidRPr="00957553">
              <w:rPr>
                <w:lang w:eastAsia="lv-LV" w:bidi="lo-LA"/>
              </w:rPr>
              <w:t>+</w:t>
            </w:r>
            <w:r>
              <w:rPr>
                <w:lang w:eastAsia="lv-LV" w:bidi="lo-LA"/>
              </w:rPr>
              <w:t>”</w:t>
            </w:r>
            <w:r w:rsidRPr="00957553">
              <w:rPr>
                <w:lang w:eastAsia="lv-LV" w:bidi="lo-LA"/>
              </w:rPr>
              <w:t xml:space="preserve"> zīmi)</w:t>
            </w:r>
          </w:p>
        </w:tc>
        <w:tc>
          <w:tcPr>
            <w:tcW w:w="1276" w:type="dxa"/>
            <w:vMerge w:val="restart"/>
            <w:vAlign w:val="center"/>
          </w:tcPr>
          <w:p w:rsidR="0078524D" w:rsidRDefault="0078524D" w:rsidP="00EF6542">
            <w:pPr>
              <w:autoSpaceDE w:val="0"/>
              <w:autoSpaceDN w:val="0"/>
              <w:adjustRightInd w:val="0"/>
              <w:jc w:val="center"/>
              <w:rPr>
                <w:noProof/>
                <w:sz w:val="28"/>
                <w:szCs w:val="28"/>
              </w:rPr>
            </w:pPr>
            <w:r w:rsidRPr="00957553">
              <w:rPr>
                <w:noProof/>
                <w:sz w:val="28"/>
                <w:szCs w:val="28"/>
              </w:rPr>
              <w:t>X</w:t>
            </w:r>
          </w:p>
          <w:p w:rsidR="00B15FB2" w:rsidRPr="00957553" w:rsidRDefault="00B15FB2" w:rsidP="00EF6542">
            <w:pPr>
              <w:autoSpaceDE w:val="0"/>
              <w:autoSpaceDN w:val="0"/>
              <w:adjustRightInd w:val="0"/>
              <w:jc w:val="center"/>
              <w:rPr>
                <w:noProof/>
                <w:sz w:val="28"/>
                <w:szCs w:val="28"/>
              </w:rPr>
            </w:pPr>
          </w:p>
        </w:tc>
        <w:tc>
          <w:tcPr>
            <w:tcW w:w="1276" w:type="dxa"/>
            <w:vAlign w:val="center"/>
          </w:tcPr>
          <w:p w:rsidR="0078524D" w:rsidRPr="00957553" w:rsidRDefault="0078524D" w:rsidP="00EF6542">
            <w:pPr>
              <w:jc w:val="right"/>
            </w:pPr>
            <w:r w:rsidRPr="00957553">
              <w:t>0,0</w:t>
            </w:r>
          </w:p>
        </w:tc>
        <w:tc>
          <w:tcPr>
            <w:tcW w:w="1276" w:type="dxa"/>
          </w:tcPr>
          <w:p w:rsidR="0078524D" w:rsidRPr="00957553" w:rsidRDefault="0078524D" w:rsidP="00EF6542">
            <w:pPr>
              <w:jc w:val="right"/>
            </w:pPr>
            <w:r w:rsidRPr="00957553">
              <w:t>0,0</w:t>
            </w:r>
          </w:p>
        </w:tc>
        <w:tc>
          <w:tcPr>
            <w:tcW w:w="1392" w:type="dxa"/>
          </w:tcPr>
          <w:p w:rsidR="0078524D" w:rsidRPr="00957553" w:rsidRDefault="0078524D" w:rsidP="00EF6542">
            <w:pPr>
              <w:jc w:val="right"/>
            </w:pPr>
            <w:r w:rsidRPr="00957553">
              <w:t>0,0</w:t>
            </w:r>
          </w:p>
        </w:tc>
        <w:tc>
          <w:tcPr>
            <w:tcW w:w="1159" w:type="dxa"/>
          </w:tcPr>
          <w:p w:rsidR="0078524D" w:rsidRPr="00957553" w:rsidRDefault="0078524D" w:rsidP="00EF6542">
            <w:pPr>
              <w:jc w:val="right"/>
            </w:pPr>
            <w:r w:rsidRPr="00957553">
              <w:t>0,0</w:t>
            </w:r>
          </w:p>
        </w:tc>
      </w:tr>
      <w:tr w:rsidR="0078524D" w:rsidRPr="00957553" w:rsidTr="00344E26">
        <w:trPr>
          <w:trHeight w:val="293"/>
        </w:trPr>
        <w:tc>
          <w:tcPr>
            <w:tcW w:w="2943" w:type="dxa"/>
            <w:vMerge/>
            <w:vAlign w:val="center"/>
          </w:tcPr>
          <w:p w:rsidR="0078524D" w:rsidRPr="00957553" w:rsidRDefault="0078524D" w:rsidP="00136848">
            <w:pPr>
              <w:rPr>
                <w:lang w:eastAsia="lv-LV" w:bidi="lo-LA"/>
              </w:rPr>
            </w:pPr>
          </w:p>
        </w:tc>
        <w:tc>
          <w:tcPr>
            <w:tcW w:w="1276" w:type="dxa"/>
            <w:vMerge/>
            <w:vAlign w:val="center"/>
          </w:tcPr>
          <w:p w:rsidR="0078524D" w:rsidRPr="00957553" w:rsidRDefault="0078524D" w:rsidP="00136848">
            <w:pPr>
              <w:autoSpaceDE w:val="0"/>
              <w:autoSpaceDN w:val="0"/>
              <w:adjustRightInd w:val="0"/>
              <w:jc w:val="center"/>
              <w:rPr>
                <w:noProof/>
                <w:sz w:val="28"/>
                <w:szCs w:val="28"/>
              </w:rPr>
            </w:pPr>
          </w:p>
        </w:tc>
        <w:tc>
          <w:tcPr>
            <w:tcW w:w="1276" w:type="dxa"/>
            <w:vAlign w:val="center"/>
          </w:tcPr>
          <w:p w:rsidR="0078524D" w:rsidRPr="00957553" w:rsidRDefault="0078524D" w:rsidP="00136848">
            <w:pPr>
              <w:jc w:val="right"/>
            </w:pPr>
            <w:r w:rsidRPr="00957553">
              <w:t>0,0</w:t>
            </w:r>
          </w:p>
        </w:tc>
        <w:tc>
          <w:tcPr>
            <w:tcW w:w="1276" w:type="dxa"/>
            <w:vAlign w:val="center"/>
          </w:tcPr>
          <w:p w:rsidR="0078524D" w:rsidRPr="00957553" w:rsidRDefault="0078524D" w:rsidP="00136848">
            <w:pPr>
              <w:jc w:val="right"/>
            </w:pPr>
            <w:r w:rsidRPr="00957553">
              <w:t>0,0</w:t>
            </w:r>
          </w:p>
        </w:tc>
        <w:tc>
          <w:tcPr>
            <w:tcW w:w="1392" w:type="dxa"/>
            <w:vAlign w:val="center"/>
          </w:tcPr>
          <w:p w:rsidR="0078524D" w:rsidRPr="00957553" w:rsidRDefault="0078524D" w:rsidP="00136848">
            <w:pPr>
              <w:jc w:val="right"/>
            </w:pPr>
            <w:r w:rsidRPr="00957553">
              <w:t>0,0</w:t>
            </w:r>
          </w:p>
        </w:tc>
        <w:tc>
          <w:tcPr>
            <w:tcW w:w="1159" w:type="dxa"/>
            <w:vAlign w:val="center"/>
          </w:tcPr>
          <w:p w:rsidR="0078524D" w:rsidRPr="00957553" w:rsidRDefault="0078524D" w:rsidP="00136848">
            <w:pPr>
              <w:jc w:val="right"/>
            </w:pPr>
            <w:r w:rsidRPr="00957553">
              <w:t>0,0</w:t>
            </w:r>
          </w:p>
        </w:tc>
      </w:tr>
      <w:tr w:rsidR="0078524D" w:rsidRPr="00957553" w:rsidTr="00344E26">
        <w:trPr>
          <w:trHeight w:val="70"/>
        </w:trPr>
        <w:tc>
          <w:tcPr>
            <w:tcW w:w="2943" w:type="dxa"/>
            <w:vMerge/>
            <w:vAlign w:val="center"/>
          </w:tcPr>
          <w:p w:rsidR="0078524D" w:rsidRPr="00957553" w:rsidRDefault="0078524D" w:rsidP="00136848">
            <w:pPr>
              <w:rPr>
                <w:lang w:eastAsia="lv-LV" w:bidi="lo-LA"/>
              </w:rPr>
            </w:pPr>
          </w:p>
        </w:tc>
        <w:tc>
          <w:tcPr>
            <w:tcW w:w="1276" w:type="dxa"/>
            <w:vMerge/>
            <w:vAlign w:val="center"/>
          </w:tcPr>
          <w:p w:rsidR="0078524D" w:rsidRPr="00957553" w:rsidRDefault="0078524D" w:rsidP="00136848">
            <w:pPr>
              <w:autoSpaceDE w:val="0"/>
              <w:autoSpaceDN w:val="0"/>
              <w:adjustRightInd w:val="0"/>
              <w:jc w:val="center"/>
              <w:rPr>
                <w:noProof/>
                <w:sz w:val="28"/>
                <w:szCs w:val="28"/>
              </w:rPr>
            </w:pPr>
          </w:p>
        </w:tc>
        <w:tc>
          <w:tcPr>
            <w:tcW w:w="1276" w:type="dxa"/>
            <w:vAlign w:val="center"/>
          </w:tcPr>
          <w:p w:rsidR="0078524D" w:rsidRPr="00957553" w:rsidRDefault="0078524D" w:rsidP="00136848">
            <w:pPr>
              <w:jc w:val="right"/>
            </w:pPr>
            <w:r w:rsidRPr="00957553">
              <w:t>0,0</w:t>
            </w:r>
          </w:p>
        </w:tc>
        <w:tc>
          <w:tcPr>
            <w:tcW w:w="1276" w:type="dxa"/>
            <w:vAlign w:val="center"/>
          </w:tcPr>
          <w:p w:rsidR="0078524D" w:rsidRPr="00957553" w:rsidRDefault="0078524D" w:rsidP="00136848">
            <w:pPr>
              <w:jc w:val="right"/>
            </w:pPr>
            <w:r w:rsidRPr="00957553">
              <w:t>0,0</w:t>
            </w:r>
          </w:p>
        </w:tc>
        <w:tc>
          <w:tcPr>
            <w:tcW w:w="1392" w:type="dxa"/>
            <w:vAlign w:val="center"/>
          </w:tcPr>
          <w:p w:rsidR="0078524D" w:rsidRPr="00957553" w:rsidRDefault="0078524D" w:rsidP="00136848">
            <w:pPr>
              <w:jc w:val="right"/>
            </w:pPr>
            <w:r w:rsidRPr="00957553">
              <w:t>0,0</w:t>
            </w:r>
          </w:p>
        </w:tc>
        <w:tc>
          <w:tcPr>
            <w:tcW w:w="1159" w:type="dxa"/>
            <w:vAlign w:val="center"/>
          </w:tcPr>
          <w:p w:rsidR="0078524D" w:rsidRPr="00957553" w:rsidRDefault="0078524D" w:rsidP="00136848">
            <w:pPr>
              <w:jc w:val="right"/>
            </w:pPr>
            <w:r w:rsidRPr="00957553">
              <w:t>0,0</w:t>
            </w:r>
          </w:p>
        </w:tc>
      </w:tr>
      <w:tr w:rsidR="0078524D" w:rsidRPr="00957553" w:rsidTr="00344E26">
        <w:tc>
          <w:tcPr>
            <w:tcW w:w="2943" w:type="dxa"/>
          </w:tcPr>
          <w:p w:rsidR="0078524D" w:rsidRPr="00957553" w:rsidRDefault="0078524D" w:rsidP="00EF6542">
            <w:pPr>
              <w:spacing w:before="100" w:beforeAutospacing="1" w:after="100" w:afterAutospacing="1"/>
              <w:rPr>
                <w:lang w:eastAsia="lv-LV" w:bidi="lo-LA"/>
              </w:rPr>
            </w:pPr>
            <w:r w:rsidRPr="00957553">
              <w:rPr>
                <w:lang w:eastAsia="lv-LV" w:bidi="lo-LA"/>
              </w:rPr>
              <w:t> 5. Precizēta finansiālā ietekme:</w:t>
            </w:r>
          </w:p>
        </w:tc>
        <w:tc>
          <w:tcPr>
            <w:tcW w:w="1276" w:type="dxa"/>
            <w:vMerge w:val="restart"/>
            <w:vAlign w:val="center"/>
          </w:tcPr>
          <w:p w:rsidR="0078524D" w:rsidRPr="00957553" w:rsidRDefault="0078524D" w:rsidP="00EF6542">
            <w:pPr>
              <w:autoSpaceDE w:val="0"/>
              <w:autoSpaceDN w:val="0"/>
              <w:adjustRightInd w:val="0"/>
              <w:jc w:val="center"/>
              <w:rPr>
                <w:noProof/>
                <w:sz w:val="28"/>
                <w:szCs w:val="28"/>
              </w:rPr>
            </w:pPr>
            <w:r w:rsidRPr="00957553">
              <w:rPr>
                <w:noProof/>
                <w:sz w:val="28"/>
                <w:szCs w:val="28"/>
              </w:rPr>
              <w:t>X</w:t>
            </w:r>
          </w:p>
        </w:tc>
        <w:tc>
          <w:tcPr>
            <w:tcW w:w="1276" w:type="dxa"/>
            <w:vAlign w:val="center"/>
          </w:tcPr>
          <w:p w:rsidR="0078524D" w:rsidRPr="003B7EA5" w:rsidRDefault="0078524D" w:rsidP="00EF6542">
            <w:pPr>
              <w:jc w:val="center"/>
              <w:rPr>
                <w:b/>
              </w:rPr>
            </w:pPr>
            <w:r w:rsidRPr="003B7EA5">
              <w:rPr>
                <w:b/>
              </w:rPr>
              <w:t>0,0</w:t>
            </w:r>
          </w:p>
        </w:tc>
        <w:tc>
          <w:tcPr>
            <w:tcW w:w="1276" w:type="dxa"/>
            <w:vAlign w:val="center"/>
          </w:tcPr>
          <w:p w:rsidR="0078524D" w:rsidRPr="003B7EA5" w:rsidRDefault="0078524D" w:rsidP="00EF6542">
            <w:pPr>
              <w:jc w:val="center"/>
              <w:rPr>
                <w:b/>
              </w:rPr>
            </w:pPr>
            <w:r w:rsidRPr="003B7EA5">
              <w:rPr>
                <w:b/>
              </w:rPr>
              <w:t>0,0</w:t>
            </w:r>
          </w:p>
        </w:tc>
        <w:tc>
          <w:tcPr>
            <w:tcW w:w="1392" w:type="dxa"/>
            <w:vAlign w:val="center"/>
          </w:tcPr>
          <w:p w:rsidR="0078524D" w:rsidRPr="003B7EA5" w:rsidRDefault="0078524D" w:rsidP="00EF6542">
            <w:pPr>
              <w:jc w:val="center"/>
              <w:rPr>
                <w:b/>
              </w:rPr>
            </w:pPr>
            <w:r w:rsidRPr="003B7EA5">
              <w:rPr>
                <w:b/>
              </w:rPr>
              <w:t>0,0</w:t>
            </w:r>
          </w:p>
        </w:tc>
        <w:tc>
          <w:tcPr>
            <w:tcW w:w="1159" w:type="dxa"/>
            <w:vAlign w:val="center"/>
          </w:tcPr>
          <w:p w:rsidR="0078524D" w:rsidRPr="003B7EA5" w:rsidRDefault="0078524D" w:rsidP="00EF6542">
            <w:pPr>
              <w:jc w:val="center"/>
              <w:rPr>
                <w:b/>
              </w:rPr>
            </w:pPr>
            <w:r w:rsidRPr="003B7EA5">
              <w:rPr>
                <w:b/>
              </w:rPr>
              <w:t>0,0</w:t>
            </w:r>
          </w:p>
        </w:tc>
      </w:tr>
      <w:tr w:rsidR="0078524D" w:rsidRPr="00957553" w:rsidTr="00344E26">
        <w:tc>
          <w:tcPr>
            <w:tcW w:w="2943" w:type="dxa"/>
          </w:tcPr>
          <w:p w:rsidR="0078524D" w:rsidRPr="00957553" w:rsidRDefault="0078524D" w:rsidP="00136848">
            <w:pPr>
              <w:spacing w:before="100" w:beforeAutospacing="1" w:after="100" w:afterAutospacing="1"/>
              <w:ind w:left="284"/>
              <w:rPr>
                <w:lang w:eastAsia="lv-LV" w:bidi="lo-LA"/>
              </w:rPr>
            </w:pPr>
            <w:r w:rsidRPr="00957553">
              <w:rPr>
                <w:lang w:eastAsia="lv-LV" w:bidi="lo-LA"/>
              </w:rPr>
              <w:t> 5.1. valsts pamatbudžets</w:t>
            </w:r>
          </w:p>
        </w:tc>
        <w:tc>
          <w:tcPr>
            <w:tcW w:w="1276" w:type="dxa"/>
            <w:vMerge/>
          </w:tcPr>
          <w:p w:rsidR="0078524D" w:rsidRPr="00957553" w:rsidRDefault="0078524D" w:rsidP="00136848">
            <w:pPr>
              <w:autoSpaceDE w:val="0"/>
              <w:autoSpaceDN w:val="0"/>
              <w:adjustRightInd w:val="0"/>
              <w:rPr>
                <w:noProof/>
                <w:sz w:val="28"/>
                <w:szCs w:val="28"/>
              </w:rPr>
            </w:pPr>
          </w:p>
        </w:tc>
        <w:tc>
          <w:tcPr>
            <w:tcW w:w="1276" w:type="dxa"/>
            <w:vAlign w:val="center"/>
          </w:tcPr>
          <w:p w:rsidR="0078524D" w:rsidRPr="00957553" w:rsidRDefault="0078524D" w:rsidP="00136848">
            <w:pPr>
              <w:jc w:val="right"/>
            </w:pPr>
            <w:r w:rsidRPr="00957553">
              <w:t>0,0</w:t>
            </w:r>
          </w:p>
        </w:tc>
        <w:tc>
          <w:tcPr>
            <w:tcW w:w="1276" w:type="dxa"/>
            <w:vAlign w:val="center"/>
          </w:tcPr>
          <w:p w:rsidR="0078524D" w:rsidRPr="00957553" w:rsidRDefault="0078524D" w:rsidP="00136848">
            <w:pPr>
              <w:jc w:val="right"/>
            </w:pPr>
            <w:r w:rsidRPr="00957553">
              <w:t>0,0</w:t>
            </w:r>
          </w:p>
        </w:tc>
        <w:tc>
          <w:tcPr>
            <w:tcW w:w="1392" w:type="dxa"/>
            <w:vAlign w:val="center"/>
          </w:tcPr>
          <w:p w:rsidR="0078524D" w:rsidRPr="00957553" w:rsidRDefault="0078524D" w:rsidP="00136848">
            <w:pPr>
              <w:jc w:val="right"/>
            </w:pPr>
            <w:r w:rsidRPr="00957553">
              <w:t>0,0</w:t>
            </w:r>
          </w:p>
        </w:tc>
        <w:tc>
          <w:tcPr>
            <w:tcW w:w="1159" w:type="dxa"/>
            <w:vAlign w:val="center"/>
          </w:tcPr>
          <w:p w:rsidR="0078524D" w:rsidRPr="00957553" w:rsidRDefault="0078524D" w:rsidP="00136848">
            <w:pPr>
              <w:jc w:val="right"/>
            </w:pPr>
            <w:r w:rsidRPr="00957553">
              <w:t>0,0</w:t>
            </w:r>
          </w:p>
        </w:tc>
      </w:tr>
      <w:tr w:rsidR="0078524D" w:rsidRPr="00957553" w:rsidTr="00344E26">
        <w:tc>
          <w:tcPr>
            <w:tcW w:w="2943" w:type="dxa"/>
          </w:tcPr>
          <w:p w:rsidR="0078524D" w:rsidRPr="00957553" w:rsidRDefault="0078524D" w:rsidP="00136848">
            <w:pPr>
              <w:spacing w:before="100" w:beforeAutospacing="1" w:after="100" w:afterAutospacing="1"/>
              <w:ind w:left="284"/>
              <w:rPr>
                <w:lang w:eastAsia="lv-LV" w:bidi="lo-LA"/>
              </w:rPr>
            </w:pPr>
            <w:r w:rsidRPr="00957553">
              <w:rPr>
                <w:lang w:eastAsia="lv-LV" w:bidi="lo-LA"/>
              </w:rPr>
              <w:t> 5.2. speciālais budžets</w:t>
            </w:r>
          </w:p>
        </w:tc>
        <w:tc>
          <w:tcPr>
            <w:tcW w:w="1276" w:type="dxa"/>
            <w:vMerge/>
          </w:tcPr>
          <w:p w:rsidR="0078524D" w:rsidRPr="00957553" w:rsidRDefault="0078524D" w:rsidP="00136848">
            <w:pPr>
              <w:autoSpaceDE w:val="0"/>
              <w:autoSpaceDN w:val="0"/>
              <w:adjustRightInd w:val="0"/>
              <w:rPr>
                <w:noProof/>
                <w:sz w:val="28"/>
                <w:szCs w:val="28"/>
              </w:rPr>
            </w:pPr>
          </w:p>
        </w:tc>
        <w:tc>
          <w:tcPr>
            <w:tcW w:w="1276" w:type="dxa"/>
            <w:vAlign w:val="center"/>
          </w:tcPr>
          <w:p w:rsidR="0078524D" w:rsidRPr="00957553" w:rsidRDefault="0078524D" w:rsidP="00136848">
            <w:pPr>
              <w:jc w:val="right"/>
            </w:pPr>
            <w:r w:rsidRPr="00957553">
              <w:t>0,0</w:t>
            </w:r>
          </w:p>
        </w:tc>
        <w:tc>
          <w:tcPr>
            <w:tcW w:w="1276" w:type="dxa"/>
            <w:vAlign w:val="center"/>
          </w:tcPr>
          <w:p w:rsidR="0078524D" w:rsidRPr="00957553" w:rsidRDefault="0078524D" w:rsidP="00136848">
            <w:pPr>
              <w:jc w:val="right"/>
            </w:pPr>
            <w:r w:rsidRPr="00957553">
              <w:t>0,0</w:t>
            </w:r>
          </w:p>
        </w:tc>
        <w:tc>
          <w:tcPr>
            <w:tcW w:w="1392" w:type="dxa"/>
            <w:vAlign w:val="center"/>
          </w:tcPr>
          <w:p w:rsidR="0078524D" w:rsidRPr="00957553" w:rsidRDefault="0078524D" w:rsidP="00136848">
            <w:pPr>
              <w:jc w:val="right"/>
            </w:pPr>
            <w:r w:rsidRPr="00957553">
              <w:t>0,0</w:t>
            </w:r>
          </w:p>
        </w:tc>
        <w:tc>
          <w:tcPr>
            <w:tcW w:w="1159" w:type="dxa"/>
            <w:vAlign w:val="center"/>
          </w:tcPr>
          <w:p w:rsidR="0078524D" w:rsidRPr="00957553" w:rsidRDefault="0078524D" w:rsidP="00136848">
            <w:pPr>
              <w:jc w:val="right"/>
            </w:pPr>
            <w:r w:rsidRPr="00957553">
              <w:t>0,0</w:t>
            </w:r>
          </w:p>
        </w:tc>
      </w:tr>
      <w:tr w:rsidR="0078524D" w:rsidRPr="00957553" w:rsidTr="00344E26">
        <w:tc>
          <w:tcPr>
            <w:tcW w:w="2943" w:type="dxa"/>
          </w:tcPr>
          <w:p w:rsidR="0078524D" w:rsidRPr="00957553" w:rsidRDefault="0078524D" w:rsidP="00136848">
            <w:pPr>
              <w:spacing w:before="100" w:beforeAutospacing="1" w:after="100" w:afterAutospacing="1"/>
              <w:ind w:left="284"/>
              <w:rPr>
                <w:lang w:eastAsia="lv-LV" w:bidi="lo-LA"/>
              </w:rPr>
            </w:pPr>
            <w:r w:rsidRPr="00957553">
              <w:rPr>
                <w:lang w:eastAsia="lv-LV" w:bidi="lo-LA"/>
              </w:rPr>
              <w:t> 5.3. pašvaldību budžets</w:t>
            </w:r>
          </w:p>
        </w:tc>
        <w:tc>
          <w:tcPr>
            <w:tcW w:w="1276" w:type="dxa"/>
            <w:vMerge/>
          </w:tcPr>
          <w:p w:rsidR="0078524D" w:rsidRPr="00957553" w:rsidRDefault="0078524D" w:rsidP="00136848">
            <w:pPr>
              <w:autoSpaceDE w:val="0"/>
              <w:autoSpaceDN w:val="0"/>
              <w:adjustRightInd w:val="0"/>
              <w:rPr>
                <w:noProof/>
                <w:sz w:val="28"/>
                <w:szCs w:val="28"/>
              </w:rPr>
            </w:pPr>
          </w:p>
        </w:tc>
        <w:tc>
          <w:tcPr>
            <w:tcW w:w="1276" w:type="dxa"/>
            <w:vAlign w:val="center"/>
          </w:tcPr>
          <w:p w:rsidR="0078524D" w:rsidRPr="00957553" w:rsidRDefault="0078524D" w:rsidP="00136848">
            <w:pPr>
              <w:jc w:val="right"/>
            </w:pPr>
            <w:r w:rsidRPr="00957553">
              <w:t>0,0</w:t>
            </w:r>
          </w:p>
        </w:tc>
        <w:tc>
          <w:tcPr>
            <w:tcW w:w="1276" w:type="dxa"/>
            <w:vAlign w:val="center"/>
          </w:tcPr>
          <w:p w:rsidR="0078524D" w:rsidRPr="00957553" w:rsidRDefault="0078524D" w:rsidP="00136848">
            <w:pPr>
              <w:jc w:val="right"/>
            </w:pPr>
            <w:r w:rsidRPr="00957553">
              <w:t>0,0</w:t>
            </w:r>
          </w:p>
        </w:tc>
        <w:tc>
          <w:tcPr>
            <w:tcW w:w="1392" w:type="dxa"/>
            <w:vAlign w:val="center"/>
          </w:tcPr>
          <w:p w:rsidR="0078524D" w:rsidRPr="00957553" w:rsidRDefault="0078524D" w:rsidP="00136848">
            <w:pPr>
              <w:jc w:val="right"/>
            </w:pPr>
            <w:r w:rsidRPr="00957553">
              <w:t>0,0</w:t>
            </w:r>
          </w:p>
        </w:tc>
        <w:tc>
          <w:tcPr>
            <w:tcW w:w="1159" w:type="dxa"/>
            <w:vAlign w:val="center"/>
          </w:tcPr>
          <w:p w:rsidR="0078524D" w:rsidRPr="00957553" w:rsidRDefault="0078524D" w:rsidP="00136848">
            <w:pPr>
              <w:jc w:val="right"/>
            </w:pPr>
            <w:r w:rsidRPr="00957553">
              <w:t>0,0</w:t>
            </w:r>
          </w:p>
        </w:tc>
      </w:tr>
      <w:tr w:rsidR="0078524D" w:rsidRPr="00957553" w:rsidTr="00344E26">
        <w:tc>
          <w:tcPr>
            <w:tcW w:w="2943" w:type="dxa"/>
          </w:tcPr>
          <w:p w:rsidR="0078524D" w:rsidRPr="00957553" w:rsidRDefault="0078524D" w:rsidP="00136848">
            <w:pPr>
              <w:spacing w:before="100" w:beforeAutospacing="1" w:after="100" w:afterAutospacing="1"/>
              <w:rPr>
                <w:lang w:eastAsia="lv-LV" w:bidi="lo-LA"/>
              </w:rPr>
            </w:pPr>
            <w:r w:rsidRPr="00957553">
              <w:rPr>
                <w:lang w:eastAsia="lv-LV" w:bidi="lo-LA"/>
              </w:rPr>
              <w:t> 6. Detalizēts ieņēmumu un izdevu</w:t>
            </w:r>
            <w:r w:rsidRPr="00957553">
              <w:rPr>
                <w:lang w:eastAsia="lv-LV" w:bidi="lo-LA"/>
              </w:rPr>
              <w:softHyphen/>
              <w:t>mu aprēķins (ja nepieciešams, detalizētu ieņēmumu un izdevumu aprēķinu var pievienot anotācijas pielikumā):</w:t>
            </w:r>
          </w:p>
        </w:tc>
        <w:tc>
          <w:tcPr>
            <w:tcW w:w="6379" w:type="dxa"/>
            <w:gridSpan w:val="5"/>
            <w:vMerge w:val="restart"/>
            <w:vAlign w:val="center"/>
          </w:tcPr>
          <w:p w:rsidR="00322F35" w:rsidRPr="00AA2E89" w:rsidRDefault="0078524D" w:rsidP="00322F35">
            <w:pPr>
              <w:autoSpaceDE w:val="0"/>
              <w:autoSpaceDN w:val="0"/>
              <w:adjustRightInd w:val="0"/>
              <w:ind w:left="34" w:firstLine="283"/>
              <w:jc w:val="both"/>
            </w:pPr>
            <w:r>
              <w:rPr>
                <w:color w:val="000000"/>
                <w:lang w:eastAsia="lv-LV"/>
              </w:rPr>
              <w:t xml:space="preserve">Ņemot vērā, ka </w:t>
            </w:r>
            <w:r>
              <w:t xml:space="preserve">ES </w:t>
            </w:r>
            <w:r w:rsidRPr="00895E02">
              <w:t xml:space="preserve">fondu </w:t>
            </w:r>
            <w:r w:rsidR="002A03BF">
              <w:t>S</w:t>
            </w:r>
            <w:r w:rsidRPr="00895E02">
              <w:t xml:space="preserve">adarbības </w:t>
            </w:r>
            <w:r w:rsidR="005815B5">
              <w:t xml:space="preserve">iestādes funkcijas pilda </w:t>
            </w:r>
            <w:r w:rsidRPr="00895E02">
              <w:t>Centrālā finanšu un līgumu aģentūra</w:t>
            </w:r>
            <w:r>
              <w:t>, valsts budžeta finansējumu avansiem un atmaksām ES fondu fin</w:t>
            </w:r>
            <w:r w:rsidR="007775C2">
              <w:t xml:space="preserve">ansējuma saņēmējiem, kas īsteno </w:t>
            </w:r>
            <w:r>
              <w:rPr>
                <w:bCs/>
              </w:rPr>
              <w:t>3.1.5.3.1.apakšaktivitātes</w:t>
            </w:r>
            <w:r w:rsidR="00951106">
              <w:rPr>
                <w:bCs/>
              </w:rPr>
              <w:t xml:space="preserve"> </w:t>
            </w:r>
            <w:r w:rsidR="007B2EC1">
              <w:t xml:space="preserve">projektus, </w:t>
            </w:r>
            <w:r w:rsidR="00322F35" w:rsidRPr="00AA2E89">
              <w:t xml:space="preserve">plāno Finanšu ministrijas budžeta programmas 62.00.00 „Eiropas Reģionālās attīstības fonda (ERAF) projektu un pasākumu īstenošana” apakšprogrammā 62.06.00 „Eiropas Reģionālās attīstības fonda (ERAF) avansa maksājumi un atmaksas finansējuma saņēmējiem (2007-2013)”. </w:t>
            </w:r>
          </w:p>
          <w:p w:rsidR="00322F35" w:rsidRPr="00AA2E89" w:rsidRDefault="007D4335" w:rsidP="00322F35">
            <w:pPr>
              <w:jc w:val="both"/>
              <w:rPr>
                <w:b/>
                <w:color w:val="000000"/>
                <w:u w:val="single"/>
                <w:lang w:eastAsia="lv-LV"/>
              </w:rPr>
            </w:pPr>
            <w:r>
              <w:rPr>
                <w:bCs/>
              </w:rPr>
              <w:t xml:space="preserve">Budžeta ieņēmumi ir </w:t>
            </w:r>
            <w:r w:rsidR="00322F35">
              <w:rPr>
                <w:bCs/>
              </w:rPr>
              <w:t xml:space="preserve">ERAF </w:t>
            </w:r>
            <w:r w:rsidR="00322F35" w:rsidRPr="00AA2E89">
              <w:rPr>
                <w:bCs/>
              </w:rPr>
              <w:t>daļa un budžeta izdevumi ir kopējie nepieciešamie ERAF un valsts budžeta līdzekļi attiecīgajā gadā.</w:t>
            </w:r>
          </w:p>
          <w:p w:rsidR="0078524D" w:rsidRPr="00895E02" w:rsidRDefault="0078524D" w:rsidP="00A561C0">
            <w:pPr>
              <w:autoSpaceDE w:val="0"/>
              <w:autoSpaceDN w:val="0"/>
              <w:adjustRightInd w:val="0"/>
              <w:ind w:left="34" w:firstLine="283"/>
              <w:jc w:val="both"/>
            </w:pPr>
            <w:r w:rsidRPr="00C05A65">
              <w:rPr>
                <w:bCs/>
              </w:rPr>
              <w:t xml:space="preserve">Atbilstoši </w:t>
            </w:r>
            <w:r w:rsidR="00003CEA">
              <w:rPr>
                <w:bCs/>
              </w:rPr>
              <w:t xml:space="preserve">darbības programmas papildinājumā „Infrastruktūra un pakalpojumi” </w:t>
            </w:r>
            <w:r w:rsidRPr="00C05A65">
              <w:rPr>
                <w:bCs/>
              </w:rPr>
              <w:t>ietverta</w:t>
            </w:r>
            <w:r>
              <w:rPr>
                <w:bCs/>
              </w:rPr>
              <w:t>ja</w:t>
            </w:r>
            <w:r w:rsidRPr="00C05A65">
              <w:rPr>
                <w:bCs/>
              </w:rPr>
              <w:t>m finanšu plānam 3.1.5.3.1.apakšaktivitātei pieejamais kopēja</w:t>
            </w:r>
            <w:r>
              <w:rPr>
                <w:bCs/>
              </w:rPr>
              <w:t xml:space="preserve">is attiecināmais finansējums ir </w:t>
            </w:r>
            <w:r w:rsidRPr="00C05A65">
              <w:rPr>
                <w:bCs/>
              </w:rPr>
              <w:t>141 794 220 </w:t>
            </w:r>
            <w:r w:rsidR="001475B2">
              <w:rPr>
                <w:bCs/>
              </w:rPr>
              <w:t>LVL</w:t>
            </w:r>
            <w:r w:rsidRPr="00C05A65">
              <w:rPr>
                <w:bCs/>
              </w:rPr>
              <w:t xml:space="preserve">, tai skaitā ERAF finansējuma apmērs ir 120 075 088 </w:t>
            </w:r>
            <w:r w:rsidR="001475B2">
              <w:rPr>
                <w:bCs/>
              </w:rPr>
              <w:t>LVL</w:t>
            </w:r>
            <w:r w:rsidR="0027195F">
              <w:rPr>
                <w:bCs/>
              </w:rPr>
              <w:t xml:space="preserve"> </w:t>
            </w:r>
            <w:r w:rsidRPr="00C05A65">
              <w:rPr>
                <w:bCs/>
              </w:rPr>
              <w:t xml:space="preserve">un valsts budžets </w:t>
            </w:r>
            <w:r>
              <w:rPr>
                <w:bCs/>
              </w:rPr>
              <w:t xml:space="preserve">10 700 320 </w:t>
            </w:r>
            <w:r w:rsidR="001475B2">
              <w:rPr>
                <w:bCs/>
              </w:rPr>
              <w:t>LVL</w:t>
            </w:r>
            <w:r>
              <w:rPr>
                <w:bCs/>
              </w:rPr>
              <w:t xml:space="preserve">, </w:t>
            </w:r>
            <w:r w:rsidR="00802913">
              <w:rPr>
                <w:bCs/>
              </w:rPr>
              <w:t xml:space="preserve">pārējo </w:t>
            </w:r>
            <w:r w:rsidR="00802913">
              <w:t xml:space="preserve">3.1.5.3.1.apakšaktivitātes </w:t>
            </w:r>
            <w:r w:rsidRPr="00C05A65">
              <w:rPr>
                <w:bCs/>
              </w:rPr>
              <w:t xml:space="preserve">līdzfinansējumu veido privātais finansējums, ko nodrošina projekta iesniedzējs, ne mazāk </w:t>
            </w:r>
            <w:r>
              <w:rPr>
                <w:bCs/>
              </w:rPr>
              <w:t xml:space="preserve">kā 11 018 812 </w:t>
            </w:r>
            <w:r w:rsidR="001475B2">
              <w:rPr>
                <w:bCs/>
              </w:rPr>
              <w:t>LVL</w:t>
            </w:r>
            <w:r w:rsidRPr="00C05A65">
              <w:rPr>
                <w:bCs/>
              </w:rPr>
              <w:t>.</w:t>
            </w:r>
          </w:p>
          <w:p w:rsidR="0078524D" w:rsidRPr="00957553" w:rsidRDefault="0078524D" w:rsidP="00A561C0">
            <w:pPr>
              <w:pStyle w:val="naisf"/>
              <w:tabs>
                <w:tab w:val="num" w:pos="1391"/>
              </w:tabs>
              <w:spacing w:before="0" w:beforeAutospacing="0" w:after="0" w:afterAutospacing="0"/>
              <w:rPr>
                <w:bCs/>
                <w:lang w:val="lv-LV"/>
              </w:rPr>
            </w:pPr>
            <w:r w:rsidRPr="000427CE">
              <w:rPr>
                <w:lang w:val="lv-LV"/>
              </w:rPr>
              <w:t xml:space="preserve">3.1.5.3.1.apakšaktivitātes </w:t>
            </w:r>
            <w:r w:rsidRPr="00957553">
              <w:rPr>
                <w:bCs/>
                <w:lang w:val="lv-LV"/>
              </w:rPr>
              <w:t>ieviešana tika uzsākta 2009.gadā un tās projektu īs</w:t>
            </w:r>
            <w:r>
              <w:rPr>
                <w:bCs/>
                <w:lang w:val="lv-LV"/>
              </w:rPr>
              <w:t xml:space="preserve">tenošanai finansējuma piesaiste nodrošināta </w:t>
            </w:r>
            <w:r w:rsidRPr="00957553">
              <w:rPr>
                <w:bCs/>
                <w:lang w:val="lv-LV"/>
              </w:rPr>
              <w:t>šādos apmēros:</w:t>
            </w:r>
          </w:p>
          <w:p w:rsidR="0078524D" w:rsidRPr="00957553" w:rsidRDefault="0078524D" w:rsidP="00A561C0">
            <w:pPr>
              <w:numPr>
                <w:ilvl w:val="0"/>
                <w:numId w:val="11"/>
              </w:numPr>
              <w:jc w:val="both"/>
              <w:rPr>
                <w:bCs/>
              </w:rPr>
            </w:pPr>
            <w:r w:rsidRPr="000427CE">
              <w:lastRenderedPageBreak/>
              <w:t xml:space="preserve">3.1.5.3.1.apakšaktivitātes </w:t>
            </w:r>
            <w:r w:rsidRPr="00957553">
              <w:rPr>
                <w:bCs/>
              </w:rPr>
              <w:t>īstenošanai 2009.gadā tika piesaistīts</w:t>
            </w:r>
            <w:r>
              <w:rPr>
                <w:bCs/>
              </w:rPr>
              <w:t xml:space="preserve"> finansējums 14 562 438 </w:t>
            </w:r>
            <w:r w:rsidR="001475B2">
              <w:rPr>
                <w:bCs/>
              </w:rPr>
              <w:t>LVL</w:t>
            </w:r>
            <w:r>
              <w:rPr>
                <w:bCs/>
              </w:rPr>
              <w:t xml:space="preserve"> apmērā, t.sk.,</w:t>
            </w:r>
            <w:r w:rsidR="0027195F">
              <w:rPr>
                <w:bCs/>
              </w:rPr>
              <w:t xml:space="preserve"> </w:t>
            </w:r>
            <w:r>
              <w:rPr>
                <w:bCs/>
              </w:rPr>
              <w:t>ERAF</w:t>
            </w:r>
            <w:r w:rsidRPr="00957553">
              <w:rPr>
                <w:bCs/>
              </w:rPr>
              <w:t xml:space="preserve"> </w:t>
            </w:r>
            <w:r>
              <w:rPr>
                <w:bCs/>
              </w:rPr>
              <w:t xml:space="preserve">finansējums 12 526 839 </w:t>
            </w:r>
            <w:r w:rsidR="001475B2">
              <w:rPr>
                <w:bCs/>
              </w:rPr>
              <w:t>LVL</w:t>
            </w:r>
            <w:r w:rsidRPr="00957553">
              <w:rPr>
                <w:bCs/>
              </w:rPr>
              <w:t xml:space="preserve"> u</w:t>
            </w:r>
            <w:r>
              <w:rPr>
                <w:bCs/>
              </w:rPr>
              <w:t>n valsts budžeta finansējums</w:t>
            </w:r>
            <w:r w:rsidRPr="00957553">
              <w:rPr>
                <w:bCs/>
              </w:rPr>
              <w:t xml:space="preserve"> </w:t>
            </w:r>
            <w:r w:rsidR="00D863DA">
              <w:rPr>
                <w:bCs/>
              </w:rPr>
              <w:t xml:space="preserve">2 035 599 </w:t>
            </w:r>
            <w:r w:rsidR="001475B2">
              <w:rPr>
                <w:bCs/>
              </w:rPr>
              <w:t>LVL</w:t>
            </w:r>
            <w:r>
              <w:rPr>
                <w:bCs/>
              </w:rPr>
              <w:t>;</w:t>
            </w:r>
          </w:p>
          <w:p w:rsidR="0078524D" w:rsidRPr="00357958" w:rsidRDefault="0078524D" w:rsidP="00A561C0">
            <w:pPr>
              <w:numPr>
                <w:ilvl w:val="0"/>
                <w:numId w:val="11"/>
              </w:numPr>
              <w:jc w:val="both"/>
              <w:rPr>
                <w:bCs/>
              </w:rPr>
            </w:pPr>
            <w:r w:rsidRPr="000427CE">
              <w:t xml:space="preserve">3.1.5.3.1.apakšaktivitātes </w:t>
            </w:r>
            <w:r w:rsidRPr="00357958">
              <w:rPr>
                <w:bCs/>
              </w:rPr>
              <w:t xml:space="preserve">īstenošanai 2010.gadā </w:t>
            </w:r>
            <w:r w:rsidRPr="00957553">
              <w:rPr>
                <w:bCs/>
              </w:rPr>
              <w:t>tika piesaistīts</w:t>
            </w:r>
            <w:r>
              <w:rPr>
                <w:bCs/>
              </w:rPr>
              <w:t xml:space="preserve"> finansējums 19 476 641 </w:t>
            </w:r>
            <w:r w:rsidR="001475B2">
              <w:rPr>
                <w:bCs/>
              </w:rPr>
              <w:t>LVL</w:t>
            </w:r>
            <w:r>
              <w:rPr>
                <w:bCs/>
              </w:rPr>
              <w:t xml:space="preserve"> apmērā, t.sk.,</w:t>
            </w:r>
            <w:r w:rsidR="0027195F">
              <w:rPr>
                <w:bCs/>
              </w:rPr>
              <w:t xml:space="preserve"> </w:t>
            </w:r>
            <w:r>
              <w:rPr>
                <w:bCs/>
              </w:rPr>
              <w:t xml:space="preserve">ERAF finansējums 17 582 191 lats </w:t>
            </w:r>
            <w:r w:rsidRPr="00357958">
              <w:rPr>
                <w:bCs/>
              </w:rPr>
              <w:t>un valsts bu</w:t>
            </w:r>
            <w:r>
              <w:rPr>
                <w:bCs/>
              </w:rPr>
              <w:t xml:space="preserve">džeta finansējums 1 894 450 </w:t>
            </w:r>
            <w:r w:rsidR="001475B2">
              <w:rPr>
                <w:bCs/>
              </w:rPr>
              <w:t>LVL</w:t>
            </w:r>
            <w:r>
              <w:rPr>
                <w:bCs/>
              </w:rPr>
              <w:t>;</w:t>
            </w:r>
          </w:p>
          <w:p w:rsidR="0078524D" w:rsidRPr="00BC197A" w:rsidRDefault="0078524D" w:rsidP="00A561C0">
            <w:pPr>
              <w:numPr>
                <w:ilvl w:val="0"/>
                <w:numId w:val="11"/>
              </w:numPr>
              <w:jc w:val="both"/>
              <w:rPr>
                <w:color w:val="FF0000"/>
              </w:rPr>
            </w:pPr>
            <w:r w:rsidRPr="00DD0B19">
              <w:t xml:space="preserve">3.1.5.3.1.apakšaktivitātes </w:t>
            </w:r>
            <w:r>
              <w:rPr>
                <w:bCs/>
              </w:rPr>
              <w:t xml:space="preserve">īstenošanai 2011.gadā </w:t>
            </w:r>
            <w:r w:rsidRPr="00957553">
              <w:rPr>
                <w:bCs/>
              </w:rPr>
              <w:t>tika piesaistīts</w:t>
            </w:r>
            <w:r>
              <w:rPr>
                <w:bCs/>
              </w:rPr>
              <w:t xml:space="preserve"> finansējums 26 595 671 </w:t>
            </w:r>
            <w:r w:rsidR="001475B2">
              <w:rPr>
                <w:bCs/>
              </w:rPr>
              <w:t>LVL</w:t>
            </w:r>
            <w:r>
              <w:rPr>
                <w:bCs/>
              </w:rPr>
              <w:t xml:space="preserve"> apmērā, t.sk.,</w:t>
            </w:r>
            <w:r w:rsidR="0027195F">
              <w:rPr>
                <w:bCs/>
              </w:rPr>
              <w:t xml:space="preserve"> </w:t>
            </w:r>
            <w:r>
              <w:rPr>
                <w:bCs/>
              </w:rPr>
              <w:t>ERAF</w:t>
            </w:r>
            <w:r w:rsidRPr="00DD0B19">
              <w:rPr>
                <w:bCs/>
              </w:rPr>
              <w:t xml:space="preserve"> finansējums</w:t>
            </w:r>
            <w:r w:rsidRPr="00357958">
              <w:rPr>
                <w:bCs/>
              </w:rPr>
              <w:t xml:space="preserve"> </w:t>
            </w:r>
            <w:r>
              <w:t xml:space="preserve">23 824 101 </w:t>
            </w:r>
            <w:r>
              <w:rPr>
                <w:bCs/>
              </w:rPr>
              <w:t xml:space="preserve">lats </w:t>
            </w:r>
            <w:r w:rsidRPr="00357958">
              <w:rPr>
                <w:bCs/>
              </w:rPr>
              <w:t xml:space="preserve">un valsts budžeta </w:t>
            </w:r>
            <w:r>
              <w:rPr>
                <w:bCs/>
              </w:rPr>
              <w:t>finansējums</w:t>
            </w:r>
            <w:r w:rsidRPr="00357958">
              <w:rPr>
                <w:bCs/>
              </w:rPr>
              <w:t xml:space="preserve"> </w:t>
            </w:r>
            <w:r>
              <w:t xml:space="preserve">2 771 570 </w:t>
            </w:r>
            <w:r w:rsidR="001475B2">
              <w:rPr>
                <w:bCs/>
              </w:rPr>
              <w:t>LVL</w:t>
            </w:r>
            <w:r>
              <w:rPr>
                <w:bCs/>
              </w:rPr>
              <w:t>;</w:t>
            </w:r>
          </w:p>
          <w:p w:rsidR="0078524D" w:rsidRDefault="0078524D" w:rsidP="00A561C0">
            <w:pPr>
              <w:numPr>
                <w:ilvl w:val="0"/>
                <w:numId w:val="11"/>
              </w:numPr>
              <w:jc w:val="both"/>
              <w:rPr>
                <w:bCs/>
              </w:rPr>
            </w:pPr>
            <w:r w:rsidRPr="000427CE">
              <w:t xml:space="preserve">3.1.5.3.1.apakšaktivitātes </w:t>
            </w:r>
            <w:r w:rsidRPr="00357958">
              <w:rPr>
                <w:bCs/>
              </w:rPr>
              <w:t xml:space="preserve">īstenošanai 2012.gadā </w:t>
            </w:r>
            <w:r>
              <w:rPr>
                <w:bCs/>
              </w:rPr>
              <w:t>tika</w:t>
            </w:r>
            <w:r w:rsidRPr="00957553">
              <w:rPr>
                <w:bCs/>
              </w:rPr>
              <w:t xml:space="preserve"> piesaistīts</w:t>
            </w:r>
            <w:r>
              <w:rPr>
                <w:bCs/>
              </w:rPr>
              <w:t xml:space="preserve"> finansējums </w:t>
            </w:r>
            <w:r w:rsidR="00D863DA">
              <w:t xml:space="preserve">18 754 272 </w:t>
            </w:r>
            <w:r w:rsidR="001475B2">
              <w:t>LVL</w:t>
            </w:r>
            <w:r w:rsidRPr="000D2306">
              <w:t xml:space="preserve"> apmērā,</w:t>
            </w:r>
            <w:r>
              <w:rPr>
                <w:i/>
              </w:rPr>
              <w:t xml:space="preserve"> </w:t>
            </w:r>
            <w:r>
              <w:rPr>
                <w:bCs/>
              </w:rPr>
              <w:t>t.sk.,</w:t>
            </w:r>
            <w:r w:rsidR="0027195F">
              <w:rPr>
                <w:bCs/>
              </w:rPr>
              <w:t xml:space="preserve"> </w:t>
            </w:r>
            <w:r>
              <w:rPr>
                <w:bCs/>
              </w:rPr>
              <w:t>ERAF finansējums</w:t>
            </w:r>
            <w:r w:rsidRPr="00357958">
              <w:rPr>
                <w:bCs/>
              </w:rPr>
              <w:t xml:space="preserve"> </w:t>
            </w:r>
            <w:r w:rsidR="00D863DA">
              <w:t xml:space="preserve">17 647 922 </w:t>
            </w:r>
            <w:r w:rsidR="001475B2">
              <w:rPr>
                <w:bCs/>
              </w:rPr>
              <w:t>LVL</w:t>
            </w:r>
            <w:r w:rsidRPr="00357958">
              <w:rPr>
                <w:bCs/>
              </w:rPr>
              <w:t xml:space="preserve"> </w:t>
            </w:r>
            <w:r>
              <w:rPr>
                <w:bCs/>
              </w:rPr>
              <w:t>un valsts budžeta finansējums</w:t>
            </w:r>
            <w:r w:rsidRPr="00357958">
              <w:rPr>
                <w:bCs/>
              </w:rPr>
              <w:t xml:space="preserve"> </w:t>
            </w:r>
            <w:r w:rsidR="00D863DA">
              <w:t xml:space="preserve">1 106 350 </w:t>
            </w:r>
            <w:r w:rsidR="001475B2">
              <w:rPr>
                <w:bCs/>
              </w:rPr>
              <w:t>LVL</w:t>
            </w:r>
            <w:r>
              <w:rPr>
                <w:bCs/>
              </w:rPr>
              <w:t>;</w:t>
            </w:r>
          </w:p>
          <w:p w:rsidR="00697E89" w:rsidRDefault="00697E89" w:rsidP="00697E89">
            <w:pPr>
              <w:numPr>
                <w:ilvl w:val="0"/>
                <w:numId w:val="11"/>
              </w:numPr>
              <w:jc w:val="both"/>
              <w:rPr>
                <w:bCs/>
              </w:rPr>
            </w:pPr>
            <w:r w:rsidRPr="000427CE">
              <w:t xml:space="preserve">3.1.5.3.1.apakšaktivitātes </w:t>
            </w:r>
            <w:r>
              <w:rPr>
                <w:bCs/>
              </w:rPr>
              <w:t>īstenošanai 2013</w:t>
            </w:r>
            <w:r w:rsidRPr="00357958">
              <w:rPr>
                <w:bCs/>
              </w:rPr>
              <w:t xml:space="preserve">.gadā </w:t>
            </w:r>
            <w:r>
              <w:rPr>
                <w:bCs/>
              </w:rPr>
              <w:t>atbilstoši likumam „Par valsts budžetu 2013.gadam” tika</w:t>
            </w:r>
            <w:r w:rsidRPr="00957553">
              <w:rPr>
                <w:bCs/>
              </w:rPr>
              <w:t xml:space="preserve"> piesaistīts</w:t>
            </w:r>
            <w:r>
              <w:rPr>
                <w:bCs/>
              </w:rPr>
              <w:t xml:space="preserve"> finansējums </w:t>
            </w:r>
            <w:r>
              <w:t xml:space="preserve">19 442 804 </w:t>
            </w:r>
            <w:r w:rsidR="001475B2">
              <w:t>LVL</w:t>
            </w:r>
            <w:r w:rsidRPr="000D2306">
              <w:t xml:space="preserve"> apmērā,</w:t>
            </w:r>
            <w:r>
              <w:rPr>
                <w:i/>
              </w:rPr>
              <w:t xml:space="preserve"> </w:t>
            </w:r>
            <w:r>
              <w:rPr>
                <w:bCs/>
              </w:rPr>
              <w:t>t.sk., ERAF finansējums</w:t>
            </w:r>
            <w:r w:rsidRPr="00357958">
              <w:rPr>
                <w:bCs/>
              </w:rPr>
              <w:t xml:space="preserve"> </w:t>
            </w:r>
            <w:r>
              <w:t xml:space="preserve">18 301 246 </w:t>
            </w:r>
            <w:r w:rsidR="001475B2">
              <w:rPr>
                <w:bCs/>
              </w:rPr>
              <w:t>LVL</w:t>
            </w:r>
            <w:r w:rsidRPr="00357958">
              <w:rPr>
                <w:bCs/>
              </w:rPr>
              <w:t xml:space="preserve"> </w:t>
            </w:r>
            <w:r>
              <w:rPr>
                <w:bCs/>
              </w:rPr>
              <w:t>un valsts budžeta finansējums</w:t>
            </w:r>
            <w:r w:rsidRPr="00357958">
              <w:rPr>
                <w:bCs/>
              </w:rPr>
              <w:t xml:space="preserve"> </w:t>
            </w:r>
            <w:r>
              <w:t xml:space="preserve">1 141 558 </w:t>
            </w:r>
            <w:r w:rsidR="001475B2">
              <w:rPr>
                <w:bCs/>
              </w:rPr>
              <w:t>LVL</w:t>
            </w:r>
            <w:r>
              <w:rPr>
                <w:bCs/>
              </w:rPr>
              <w:t>;</w:t>
            </w:r>
          </w:p>
          <w:p w:rsidR="00E4284F" w:rsidRPr="00697E89" w:rsidRDefault="00697E89" w:rsidP="00697E89">
            <w:pPr>
              <w:numPr>
                <w:ilvl w:val="0"/>
                <w:numId w:val="11"/>
              </w:numPr>
              <w:jc w:val="both"/>
              <w:rPr>
                <w:bCs/>
              </w:rPr>
            </w:pPr>
            <w:r w:rsidRPr="000427CE">
              <w:t xml:space="preserve">3.1.5.3.1.apakšaktivitātes </w:t>
            </w:r>
            <w:r>
              <w:rPr>
                <w:bCs/>
              </w:rPr>
              <w:t>īstenošanai 2014</w:t>
            </w:r>
            <w:r w:rsidRPr="00357958">
              <w:rPr>
                <w:bCs/>
              </w:rPr>
              <w:t xml:space="preserve">.gadā </w:t>
            </w:r>
            <w:r>
              <w:rPr>
                <w:bCs/>
              </w:rPr>
              <w:t xml:space="preserve">plānots piesaistīt </w:t>
            </w:r>
            <w:r w:rsidRPr="00957553">
              <w:rPr>
                <w:bCs/>
              </w:rPr>
              <w:t xml:space="preserve"> </w:t>
            </w:r>
            <w:r>
              <w:rPr>
                <w:bCs/>
              </w:rPr>
              <w:t xml:space="preserve">finansējumu </w:t>
            </w:r>
            <w:r>
              <w:t xml:space="preserve">18 959 132 </w:t>
            </w:r>
            <w:r w:rsidR="001475B2">
              <w:t>LVL</w:t>
            </w:r>
            <w:r w:rsidRPr="000D2306">
              <w:t xml:space="preserve"> apmērā,</w:t>
            </w:r>
            <w:r>
              <w:rPr>
                <w:i/>
              </w:rPr>
              <w:t xml:space="preserve"> </w:t>
            </w:r>
            <w:r>
              <w:rPr>
                <w:bCs/>
              </w:rPr>
              <w:t>t.sk., ERAF finansējums</w:t>
            </w:r>
            <w:r w:rsidRPr="00357958">
              <w:rPr>
                <w:bCs/>
              </w:rPr>
              <w:t xml:space="preserve"> </w:t>
            </w:r>
            <w:r>
              <w:t xml:space="preserve">17 412 210 </w:t>
            </w:r>
            <w:r w:rsidR="001475B2">
              <w:rPr>
                <w:bCs/>
              </w:rPr>
              <w:t>LVL</w:t>
            </w:r>
            <w:r w:rsidRPr="00357958">
              <w:rPr>
                <w:bCs/>
              </w:rPr>
              <w:t xml:space="preserve"> </w:t>
            </w:r>
            <w:r>
              <w:rPr>
                <w:bCs/>
              </w:rPr>
              <w:t>un valsts budžeta finansējums</w:t>
            </w:r>
            <w:r w:rsidRPr="00357958">
              <w:rPr>
                <w:bCs/>
              </w:rPr>
              <w:t xml:space="preserve"> </w:t>
            </w:r>
            <w:r>
              <w:t xml:space="preserve">1 546 922 </w:t>
            </w:r>
            <w:r w:rsidR="001475B2">
              <w:rPr>
                <w:bCs/>
              </w:rPr>
              <w:t>LVL</w:t>
            </w:r>
            <w:r>
              <w:rPr>
                <w:bCs/>
              </w:rPr>
              <w:t>;</w:t>
            </w:r>
          </w:p>
          <w:p w:rsidR="00137091" w:rsidRPr="007D4335" w:rsidRDefault="00322F35" w:rsidP="00137091">
            <w:pPr>
              <w:numPr>
                <w:ilvl w:val="0"/>
                <w:numId w:val="11"/>
              </w:numPr>
              <w:jc w:val="both"/>
              <w:rPr>
                <w:bCs/>
              </w:rPr>
            </w:pPr>
            <w:r w:rsidRPr="00AA2E89">
              <w:t xml:space="preserve">3.1.5.3.1.apakšaktivitātes </w:t>
            </w:r>
            <w:r w:rsidR="00697E89">
              <w:rPr>
                <w:bCs/>
              </w:rPr>
              <w:t>īstenošanai 2015</w:t>
            </w:r>
            <w:r w:rsidRPr="00AA2E89">
              <w:rPr>
                <w:bCs/>
              </w:rPr>
              <w:t xml:space="preserve">.gadā plānots piesaistīt finansējumu </w:t>
            </w:r>
            <w:r w:rsidR="00697E89">
              <w:rPr>
                <w:bCs/>
              </w:rPr>
              <w:t xml:space="preserve">12 984 450 </w:t>
            </w:r>
            <w:r w:rsidR="001475B2">
              <w:rPr>
                <w:bCs/>
              </w:rPr>
              <w:t>LVL</w:t>
            </w:r>
            <w:r w:rsidRPr="00AA2E89">
              <w:rPr>
                <w:bCs/>
              </w:rPr>
              <w:t xml:space="preserve"> apmērā, t.sk., ERAF finansējums </w:t>
            </w:r>
            <w:r w:rsidR="00E16F45">
              <w:t>12 780 579</w:t>
            </w:r>
            <w:r w:rsidR="00697E89">
              <w:t xml:space="preserve"> </w:t>
            </w:r>
            <w:r w:rsidR="001475B2">
              <w:rPr>
                <w:bCs/>
              </w:rPr>
              <w:t>LVL</w:t>
            </w:r>
            <w:r w:rsidRPr="00AA2E89">
              <w:rPr>
                <w:bCs/>
              </w:rPr>
              <w:t xml:space="preserve"> un valsts budžeta finansējums </w:t>
            </w:r>
            <w:r w:rsidR="00E16F45">
              <w:t>203 871</w:t>
            </w:r>
            <w:r w:rsidR="00697E89">
              <w:t xml:space="preserve"> </w:t>
            </w:r>
            <w:r w:rsidR="001475B2">
              <w:rPr>
                <w:bCs/>
              </w:rPr>
              <w:t>LVL</w:t>
            </w:r>
            <w:r w:rsidRPr="00AA2E89">
              <w:t>.</w:t>
            </w:r>
            <w:r w:rsidR="007D4335">
              <w:t xml:space="preserve"> </w:t>
            </w:r>
            <w:r w:rsidR="003634C2">
              <w:t xml:space="preserve">Pēc </w:t>
            </w:r>
            <w:r w:rsidR="00951106" w:rsidRPr="007D4335">
              <w:rPr>
                <w:bCs/>
              </w:rPr>
              <w:t xml:space="preserve">noteikumu projekta </w:t>
            </w:r>
            <w:r w:rsidR="00951106">
              <w:t>apstiprināšanas 3.1.5.3.1.a</w:t>
            </w:r>
            <w:r w:rsidR="00371542">
              <w:t>pakšaktivitātes īstenošanai 2015</w:t>
            </w:r>
            <w:r w:rsidR="00951106">
              <w:t xml:space="preserve">.gadā piesaistāmā finansējuma apmērs </w:t>
            </w:r>
            <w:r w:rsidR="00137091" w:rsidRPr="00AA2E89">
              <w:t>būs</w:t>
            </w:r>
            <w:r w:rsidR="00137091">
              <w:t xml:space="preserve"> </w:t>
            </w:r>
            <w:r w:rsidR="00292EC1">
              <w:t xml:space="preserve">13 169 537 </w:t>
            </w:r>
            <w:r w:rsidR="001475B2">
              <w:rPr>
                <w:bCs/>
              </w:rPr>
              <w:t>LVL</w:t>
            </w:r>
            <w:r w:rsidR="00137091" w:rsidRPr="007D4335">
              <w:rPr>
                <w:bCs/>
              </w:rPr>
              <w:t xml:space="preserve">, t.sk., ERAF finansējums </w:t>
            </w:r>
            <w:r w:rsidR="00E16F45">
              <w:t>12 965 666</w:t>
            </w:r>
            <w:r w:rsidR="00292EC1">
              <w:t xml:space="preserve"> </w:t>
            </w:r>
            <w:r w:rsidR="001475B2">
              <w:rPr>
                <w:bCs/>
              </w:rPr>
              <w:t>LVL</w:t>
            </w:r>
            <w:r w:rsidR="00137091" w:rsidRPr="007D4335">
              <w:rPr>
                <w:bCs/>
              </w:rPr>
              <w:t xml:space="preserve"> un valsts budžeta finansējums </w:t>
            </w:r>
            <w:r w:rsidR="00E16F45">
              <w:t>203 871</w:t>
            </w:r>
            <w:r w:rsidR="00292EC1">
              <w:t xml:space="preserve"> </w:t>
            </w:r>
            <w:r w:rsidR="001475B2">
              <w:rPr>
                <w:bCs/>
              </w:rPr>
              <w:t>LVL</w:t>
            </w:r>
            <w:r w:rsidR="00137091" w:rsidRPr="007D4335">
              <w:rPr>
                <w:bCs/>
              </w:rPr>
              <w:t>.</w:t>
            </w:r>
          </w:p>
          <w:p w:rsidR="00137091" w:rsidRPr="00AA2E89" w:rsidRDefault="00137091" w:rsidP="00137091">
            <w:pPr>
              <w:jc w:val="both"/>
              <w:rPr>
                <w:bCs/>
              </w:rPr>
            </w:pPr>
          </w:p>
          <w:p w:rsidR="000C5666" w:rsidRDefault="0078524D" w:rsidP="00A561C0">
            <w:pPr>
              <w:jc w:val="both"/>
              <w:rPr>
                <w:bCs/>
              </w:rPr>
            </w:pPr>
            <w:r>
              <w:rPr>
                <w:bCs/>
              </w:rPr>
              <w:t xml:space="preserve">Uz 2013.gada martu 3.1.5.1.2.apakšaktivitātes projektu ietvaros konstatēts ES fondu līdzfinansējuma pārpalikums </w:t>
            </w:r>
            <w:r w:rsidR="00137091" w:rsidRPr="00CE17C7">
              <w:rPr>
                <w:bCs/>
              </w:rPr>
              <w:t>185</w:t>
            </w:r>
            <w:r w:rsidR="00137091">
              <w:rPr>
                <w:bCs/>
              </w:rPr>
              <w:t> </w:t>
            </w:r>
            <w:r w:rsidR="00137091" w:rsidRPr="00CE17C7">
              <w:rPr>
                <w:bCs/>
              </w:rPr>
              <w:t xml:space="preserve">087 </w:t>
            </w:r>
            <w:r w:rsidR="001475B2">
              <w:rPr>
                <w:bCs/>
              </w:rPr>
              <w:t>LVL</w:t>
            </w:r>
            <w:r w:rsidR="0081642E">
              <w:rPr>
                <w:bCs/>
              </w:rPr>
              <w:t xml:space="preserve"> un 3.1.5.3.1.apakšaktivitātes projektu ietvaros konstatēts ES fondu līdzfinansējuma pārpalikums</w:t>
            </w:r>
            <w:r w:rsidR="005B0BA7">
              <w:rPr>
                <w:bCs/>
              </w:rPr>
              <w:t xml:space="preserve"> 69 867,06</w:t>
            </w:r>
            <w:r w:rsidR="00EF63BD">
              <w:rPr>
                <w:bCs/>
              </w:rPr>
              <w:t xml:space="preserve"> LVL</w:t>
            </w:r>
            <w:r w:rsidR="005B0BA7">
              <w:rPr>
                <w:bCs/>
              </w:rPr>
              <w:t xml:space="preserve">, tajā skaitā ERAF finansējums </w:t>
            </w:r>
            <w:r w:rsidR="00137091">
              <w:rPr>
                <w:bCs/>
              </w:rPr>
              <w:t>59</w:t>
            </w:r>
            <w:r w:rsidR="005B0BA7">
              <w:rPr>
                <w:bCs/>
              </w:rPr>
              <w:t> </w:t>
            </w:r>
            <w:r w:rsidR="00137091">
              <w:rPr>
                <w:bCs/>
              </w:rPr>
              <w:t>387</w:t>
            </w:r>
            <w:r w:rsidR="005B0BA7">
              <w:rPr>
                <w:bCs/>
              </w:rPr>
              <w:t xml:space="preserve">,00 </w:t>
            </w:r>
            <w:r w:rsidR="001475B2">
              <w:rPr>
                <w:bCs/>
              </w:rPr>
              <w:t>LVL</w:t>
            </w:r>
            <w:r w:rsidR="0081642E">
              <w:rPr>
                <w:bCs/>
              </w:rPr>
              <w:t xml:space="preserve"> un privātais finansējums, </w:t>
            </w:r>
            <w:r w:rsidR="0081642E" w:rsidRPr="00C05A65">
              <w:rPr>
                <w:bCs/>
              </w:rPr>
              <w:t>ko nodrošina projekta iesniedzējs</w:t>
            </w:r>
            <w:r w:rsidR="0081642E">
              <w:rPr>
                <w:bCs/>
              </w:rPr>
              <w:t xml:space="preserve"> </w:t>
            </w:r>
            <w:r w:rsidR="005B0BA7">
              <w:rPr>
                <w:bCs/>
              </w:rPr>
              <w:t>10 480,06</w:t>
            </w:r>
            <w:r w:rsidR="0081642E">
              <w:rPr>
                <w:bCs/>
              </w:rPr>
              <w:t xml:space="preserve"> </w:t>
            </w:r>
            <w:r w:rsidR="001475B2">
              <w:rPr>
                <w:bCs/>
              </w:rPr>
              <w:t>LVL</w:t>
            </w:r>
            <w:r>
              <w:rPr>
                <w:bCs/>
              </w:rPr>
              <w:t xml:space="preserve">. Lai nodrošinātu racionālu ES fondu līdzekļu izlietošanu 3.1.5.1.2.apakšaktivitātes ietvaros, konstatēto pārpalikumu </w:t>
            </w:r>
            <w:r w:rsidR="00137091" w:rsidRPr="00CE17C7">
              <w:rPr>
                <w:bCs/>
              </w:rPr>
              <w:t xml:space="preserve">185 087 </w:t>
            </w:r>
            <w:r w:rsidR="001475B2">
              <w:rPr>
                <w:bCs/>
              </w:rPr>
              <w:t>LVL</w:t>
            </w:r>
            <w:r w:rsidR="00137091" w:rsidRPr="00CE17C7">
              <w:rPr>
                <w:bCs/>
              </w:rPr>
              <w:t xml:space="preserve"> (263 355 </w:t>
            </w:r>
            <w:r w:rsidR="00137091">
              <w:rPr>
                <w:bCs/>
              </w:rPr>
              <w:t xml:space="preserve">eiro) </w:t>
            </w:r>
            <w:r>
              <w:rPr>
                <w:bCs/>
              </w:rPr>
              <w:t xml:space="preserve">apmērā (neatbilstoši veiktie izdevumi un projektu ietvaros izveidojies salētinājums līdz 2012.gada 8.maijam) kopā ar privāto līdzfinansējumu </w:t>
            </w:r>
            <w:r w:rsidR="00137091" w:rsidRPr="00CE17C7">
              <w:rPr>
                <w:bCs/>
              </w:rPr>
              <w:t xml:space="preserve">32 662 </w:t>
            </w:r>
            <w:r w:rsidR="001475B2">
              <w:rPr>
                <w:bCs/>
              </w:rPr>
              <w:t>LVL</w:t>
            </w:r>
            <w:r w:rsidR="00137091" w:rsidRPr="00CE17C7">
              <w:rPr>
                <w:bCs/>
              </w:rPr>
              <w:t xml:space="preserve"> (46 474 eiro)</w:t>
            </w:r>
            <w:r w:rsidR="00137091">
              <w:rPr>
                <w:bCs/>
              </w:rPr>
              <w:t xml:space="preserve"> </w:t>
            </w:r>
            <w:r w:rsidRPr="00EE674C">
              <w:rPr>
                <w:bCs/>
              </w:rPr>
              <w:t>apmērā</w:t>
            </w:r>
            <w:r w:rsidR="00003CEA">
              <w:rPr>
                <w:bCs/>
              </w:rPr>
              <w:t xml:space="preserve"> plānots novirzīt </w:t>
            </w:r>
            <w:r>
              <w:t xml:space="preserve">3.1.5.3.1.apakšaktivitātes </w:t>
            </w:r>
            <w:r w:rsidR="0072081C">
              <w:t xml:space="preserve">BKUS projekta </w:t>
            </w:r>
            <w:r w:rsidR="003634C2">
              <w:t xml:space="preserve">īstenošanai. </w:t>
            </w:r>
            <w:r w:rsidR="007775C2">
              <w:t xml:space="preserve">Līdz ar to pēc </w:t>
            </w:r>
            <w:r w:rsidR="00003CEA">
              <w:rPr>
                <w:bCs/>
              </w:rPr>
              <w:t xml:space="preserve">noteikumu projekta </w:t>
            </w:r>
            <w:r w:rsidR="007775C2">
              <w:t xml:space="preserve">apstiprināšanas </w:t>
            </w:r>
            <w:r>
              <w:t xml:space="preserve">3.1.5.3.1.apakšaktivitātes </w:t>
            </w:r>
            <w:r w:rsidRPr="00193DDA">
              <w:t xml:space="preserve">pieejamais kopējais attiecināmais finansējums būs </w:t>
            </w:r>
            <w:r w:rsidR="00C168C7" w:rsidRPr="007168A2">
              <w:t xml:space="preserve">142 011 969 </w:t>
            </w:r>
            <w:r w:rsidR="001475B2">
              <w:t>LVL</w:t>
            </w:r>
            <w:r w:rsidR="00C168C7" w:rsidRPr="007168A2">
              <w:t xml:space="preserve"> (202 064 827 eiro)</w:t>
            </w:r>
            <w:r w:rsidRPr="00193DDA">
              <w:t xml:space="preserve">, </w:t>
            </w:r>
            <w:r w:rsidR="00C168C7" w:rsidRPr="007168A2">
              <w:t xml:space="preserve">t.sk. </w:t>
            </w:r>
            <w:r w:rsidR="00C168C7" w:rsidRPr="007168A2">
              <w:lastRenderedPageBreak/>
              <w:t>ERAF finansējuma</w:t>
            </w:r>
            <w:r w:rsidR="00C168C7" w:rsidRPr="007168A2">
              <w:rPr>
                <w:bCs/>
              </w:rPr>
              <w:t xml:space="preserve"> apmērs 120 260 175 </w:t>
            </w:r>
            <w:r w:rsidR="001475B2">
              <w:rPr>
                <w:bCs/>
              </w:rPr>
              <w:t>LVL</w:t>
            </w:r>
            <w:r w:rsidR="00C168C7" w:rsidRPr="007168A2">
              <w:rPr>
                <w:bCs/>
              </w:rPr>
              <w:t xml:space="preserve"> </w:t>
            </w:r>
            <w:r w:rsidR="00C168C7" w:rsidRPr="007168A2">
              <w:t>(171 114 813 eiro)</w:t>
            </w:r>
            <w:r w:rsidR="00C168C7" w:rsidRPr="007168A2">
              <w:rPr>
                <w:bCs/>
              </w:rPr>
              <w:t xml:space="preserve">, valsts budžets 10 700 320 </w:t>
            </w:r>
            <w:r w:rsidR="001475B2">
              <w:rPr>
                <w:bCs/>
              </w:rPr>
              <w:t>LVL</w:t>
            </w:r>
            <w:r w:rsidR="00C168C7" w:rsidRPr="007168A2">
              <w:rPr>
                <w:bCs/>
              </w:rPr>
              <w:t xml:space="preserve"> </w:t>
            </w:r>
            <w:r w:rsidR="00C168C7" w:rsidRPr="007168A2">
              <w:t>(15 225 184 eiro)</w:t>
            </w:r>
            <w:r w:rsidR="00C168C7" w:rsidRPr="007168A2">
              <w:rPr>
                <w:bCs/>
              </w:rPr>
              <w:t xml:space="preserve"> un privātais finansējums, ko nodrošina projekta iesniedzējs, ne mazāk kā 11 051 474 </w:t>
            </w:r>
            <w:r w:rsidR="001475B2">
              <w:rPr>
                <w:bCs/>
              </w:rPr>
              <w:t>LVL</w:t>
            </w:r>
            <w:r w:rsidR="00C168C7" w:rsidRPr="007168A2">
              <w:rPr>
                <w:bCs/>
              </w:rPr>
              <w:t xml:space="preserve"> </w:t>
            </w:r>
            <w:r w:rsidR="00C168C7" w:rsidRPr="007168A2">
              <w:t>(15 724 831 eiro)</w:t>
            </w:r>
            <w:r w:rsidR="007775C2">
              <w:rPr>
                <w:bCs/>
              </w:rPr>
              <w:t>.</w:t>
            </w:r>
            <w:r w:rsidR="00C168C7">
              <w:rPr>
                <w:bCs/>
              </w:rPr>
              <w:t xml:space="preserve"> </w:t>
            </w:r>
          </w:p>
          <w:p w:rsidR="0078524D" w:rsidRPr="00FE5A68" w:rsidRDefault="0078524D" w:rsidP="00951106">
            <w:pPr>
              <w:jc w:val="both"/>
              <w:rPr>
                <w:bCs/>
              </w:rPr>
            </w:pPr>
            <w:r>
              <w:rPr>
                <w:color w:val="000000"/>
                <w:lang w:eastAsia="lv-LV"/>
              </w:rPr>
              <w:t>Noteikumu projekta īstenošana tiks nodrošināta esošo finanšu līdzekļu ietvaros, līdz ar to noteikumu projekta finansiālā ietekme uz valsts budžetu 2013.gadā un turpmākajos gados ir 0.</w:t>
            </w:r>
          </w:p>
        </w:tc>
      </w:tr>
      <w:tr w:rsidR="0078524D" w:rsidRPr="00957553" w:rsidTr="00344E26">
        <w:tc>
          <w:tcPr>
            <w:tcW w:w="2943" w:type="dxa"/>
          </w:tcPr>
          <w:p w:rsidR="0078524D" w:rsidRPr="00957553" w:rsidRDefault="0078524D" w:rsidP="00136848">
            <w:pPr>
              <w:spacing w:before="100" w:beforeAutospacing="1" w:after="100" w:afterAutospacing="1"/>
              <w:ind w:left="284"/>
              <w:rPr>
                <w:lang w:eastAsia="lv-LV" w:bidi="lo-LA"/>
              </w:rPr>
            </w:pPr>
            <w:r w:rsidRPr="00957553">
              <w:rPr>
                <w:lang w:eastAsia="lv-LV" w:bidi="lo-LA"/>
              </w:rPr>
              <w:t> 6.1. detalizēts ieņēmumu aprēķins</w:t>
            </w:r>
          </w:p>
        </w:tc>
        <w:tc>
          <w:tcPr>
            <w:tcW w:w="6379" w:type="dxa"/>
            <w:gridSpan w:val="5"/>
            <w:vMerge/>
          </w:tcPr>
          <w:p w:rsidR="0078524D" w:rsidRPr="00957553" w:rsidRDefault="0078524D" w:rsidP="00136848">
            <w:pPr>
              <w:autoSpaceDE w:val="0"/>
              <w:autoSpaceDN w:val="0"/>
              <w:adjustRightInd w:val="0"/>
              <w:rPr>
                <w:noProof/>
                <w:sz w:val="28"/>
                <w:szCs w:val="28"/>
              </w:rPr>
            </w:pPr>
          </w:p>
        </w:tc>
      </w:tr>
      <w:tr w:rsidR="0078524D" w:rsidRPr="00957553" w:rsidTr="00344E26">
        <w:tc>
          <w:tcPr>
            <w:tcW w:w="2943" w:type="dxa"/>
          </w:tcPr>
          <w:p w:rsidR="0078524D" w:rsidRPr="00957553" w:rsidRDefault="0078524D" w:rsidP="00136848">
            <w:pPr>
              <w:spacing w:before="100" w:beforeAutospacing="1" w:after="100" w:afterAutospacing="1"/>
              <w:ind w:left="284"/>
              <w:rPr>
                <w:lang w:eastAsia="lv-LV" w:bidi="lo-LA"/>
              </w:rPr>
            </w:pPr>
            <w:r w:rsidRPr="00957553">
              <w:rPr>
                <w:lang w:eastAsia="lv-LV" w:bidi="lo-LA"/>
              </w:rPr>
              <w:t> 6.2. detalizēts izdevumu aprēķins</w:t>
            </w:r>
          </w:p>
        </w:tc>
        <w:tc>
          <w:tcPr>
            <w:tcW w:w="6379" w:type="dxa"/>
            <w:gridSpan w:val="5"/>
            <w:vMerge/>
          </w:tcPr>
          <w:p w:rsidR="0078524D" w:rsidRPr="00957553" w:rsidRDefault="0078524D" w:rsidP="00136848">
            <w:pPr>
              <w:autoSpaceDE w:val="0"/>
              <w:autoSpaceDN w:val="0"/>
              <w:adjustRightInd w:val="0"/>
              <w:rPr>
                <w:noProof/>
                <w:sz w:val="28"/>
                <w:szCs w:val="28"/>
              </w:rPr>
            </w:pPr>
          </w:p>
        </w:tc>
      </w:tr>
      <w:tr w:rsidR="0078524D" w:rsidRPr="00957553" w:rsidTr="00344E26">
        <w:tc>
          <w:tcPr>
            <w:tcW w:w="2943" w:type="dxa"/>
          </w:tcPr>
          <w:p w:rsidR="0078524D" w:rsidRPr="00957553" w:rsidRDefault="0078524D" w:rsidP="00136848">
            <w:pPr>
              <w:spacing w:before="100" w:beforeAutospacing="1" w:after="100" w:afterAutospacing="1"/>
              <w:rPr>
                <w:lang w:eastAsia="lv-LV" w:bidi="lo-LA"/>
              </w:rPr>
            </w:pPr>
            <w:r w:rsidRPr="00957553">
              <w:rPr>
                <w:lang w:eastAsia="lv-LV" w:bidi="lo-LA"/>
              </w:rPr>
              <w:lastRenderedPageBreak/>
              <w:t> 7. Cita informācija</w:t>
            </w:r>
          </w:p>
        </w:tc>
        <w:tc>
          <w:tcPr>
            <w:tcW w:w="6379" w:type="dxa"/>
            <w:gridSpan w:val="5"/>
          </w:tcPr>
          <w:p w:rsidR="0078524D" w:rsidRPr="00BA558A" w:rsidRDefault="0078524D" w:rsidP="00890584">
            <w:pPr>
              <w:jc w:val="both"/>
              <w:rPr>
                <w:color w:val="000000"/>
              </w:rPr>
            </w:pPr>
            <w:r w:rsidRPr="00A83905">
              <w:t xml:space="preserve">Noteikumu projekta īstenošana </w:t>
            </w:r>
            <w:r w:rsidR="00890584" w:rsidRPr="00017CAA">
              <w:rPr>
                <w:lang w:eastAsia="lv-LV"/>
              </w:rPr>
              <w:t>tiks nodrošināta</w:t>
            </w:r>
            <w:r w:rsidR="00890584">
              <w:rPr>
                <w:lang w:eastAsia="lv-LV"/>
              </w:rPr>
              <w:t xml:space="preserve"> Finanšu ministrijas budžeta </w:t>
            </w:r>
            <w:r w:rsidR="00890584">
              <w:t>programmas 62.00.00 „</w:t>
            </w:r>
            <w:r w:rsidR="00890584" w:rsidRPr="002451BE">
              <w:t>Eiropas Reģionālās attīstības fonda (ERAF) proj</w:t>
            </w:r>
            <w:r w:rsidR="00890584">
              <w:t>ektu un pasākumu īstenošana” apakšprogrammā 62.06.00 „</w:t>
            </w:r>
            <w:r w:rsidR="00890584" w:rsidRPr="002451BE">
              <w:t>Eiropas Reģionālās attīstības fonda (ERAF) avansa maksājumi un atmaksas finansē</w:t>
            </w:r>
            <w:r w:rsidR="00890584">
              <w:t xml:space="preserve">juma saņēmējiem (2007-2013)” </w:t>
            </w:r>
            <w:r w:rsidR="00890584" w:rsidRPr="00017CAA">
              <w:rPr>
                <w:lang w:eastAsia="lv-LV"/>
              </w:rPr>
              <w:t xml:space="preserve">esošo finanšu līdzekļu ietvaros, līdz ar to </w:t>
            </w:r>
            <w:r w:rsidR="00890584">
              <w:rPr>
                <w:lang w:eastAsia="lv-LV"/>
              </w:rPr>
              <w:t>noteikumu projekta</w:t>
            </w:r>
            <w:r w:rsidR="00890584" w:rsidRPr="00017CAA">
              <w:rPr>
                <w:lang w:eastAsia="lv-LV"/>
              </w:rPr>
              <w:t xml:space="preserve"> finansiālā ietekme uz valsts budžetu 2013.gadā un turpmākajos gados ir 0.</w:t>
            </w:r>
            <w:r w:rsidR="00890584">
              <w:rPr>
                <w:lang w:eastAsia="lv-LV"/>
              </w:rPr>
              <w:t xml:space="preserve"> </w:t>
            </w:r>
          </w:p>
        </w:tc>
      </w:tr>
    </w:tbl>
    <w:p w:rsidR="00344E26" w:rsidRDefault="00344E26" w:rsidP="002F1241">
      <w:pPr>
        <w:autoSpaceDE w:val="0"/>
        <w:autoSpaceDN w:val="0"/>
        <w:adjustRightInd w:val="0"/>
        <w:jc w:val="center"/>
        <w:rPr>
          <w:b/>
          <w:bCs/>
          <w:lang w:eastAsia="lv-LV" w:bidi="lo-L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6095"/>
      </w:tblGrid>
      <w:tr w:rsidR="009A5205" w:rsidTr="009A5205">
        <w:tc>
          <w:tcPr>
            <w:tcW w:w="9464" w:type="dxa"/>
            <w:gridSpan w:val="3"/>
            <w:vAlign w:val="center"/>
          </w:tcPr>
          <w:p w:rsidR="009A5205" w:rsidRPr="009A5205" w:rsidRDefault="009A5205" w:rsidP="009A5205">
            <w:pPr>
              <w:autoSpaceDE w:val="0"/>
              <w:autoSpaceDN w:val="0"/>
              <w:adjustRightInd w:val="0"/>
              <w:rPr>
                <w:b/>
                <w:noProof/>
                <w:sz w:val="28"/>
                <w:szCs w:val="28"/>
              </w:rPr>
            </w:pPr>
            <w:r w:rsidRPr="009A5205">
              <w:rPr>
                <w:b/>
                <w:lang w:eastAsia="lv-LV" w:bidi="lo-LA"/>
              </w:rPr>
              <w:t>IV. Tiesību akta projekta ietekme uz spēkā esošo tiesību normu sistēmu</w:t>
            </w:r>
          </w:p>
        </w:tc>
      </w:tr>
      <w:tr w:rsidR="009A5205" w:rsidRPr="00A33261" w:rsidTr="009A5205">
        <w:tc>
          <w:tcPr>
            <w:tcW w:w="675" w:type="dxa"/>
          </w:tcPr>
          <w:p w:rsidR="009A5205" w:rsidRPr="00A33261" w:rsidRDefault="009A5205" w:rsidP="009A5205">
            <w:pPr>
              <w:spacing w:before="100" w:beforeAutospacing="1" w:after="100" w:afterAutospacing="1"/>
              <w:rPr>
                <w:lang w:eastAsia="lv-LV" w:bidi="lo-LA"/>
              </w:rPr>
            </w:pPr>
            <w:r w:rsidRPr="00A33261">
              <w:rPr>
                <w:lang w:eastAsia="lv-LV" w:bidi="lo-LA"/>
              </w:rPr>
              <w:t>1.</w:t>
            </w:r>
          </w:p>
        </w:tc>
        <w:tc>
          <w:tcPr>
            <w:tcW w:w="2694" w:type="dxa"/>
          </w:tcPr>
          <w:p w:rsidR="009A5205" w:rsidRPr="00A33261" w:rsidRDefault="009A5205" w:rsidP="009A5205">
            <w:pPr>
              <w:spacing w:before="100" w:beforeAutospacing="1" w:after="100" w:afterAutospacing="1"/>
              <w:rPr>
                <w:lang w:eastAsia="lv-LV" w:bidi="lo-LA"/>
              </w:rPr>
            </w:pPr>
            <w:r w:rsidRPr="00A33261">
              <w:rPr>
                <w:lang w:eastAsia="lv-LV" w:bidi="lo-LA"/>
              </w:rPr>
              <w:t>Nepieciešamie saistītie tiesību aktu projekti</w:t>
            </w:r>
          </w:p>
        </w:tc>
        <w:tc>
          <w:tcPr>
            <w:tcW w:w="6095" w:type="dxa"/>
            <w:vAlign w:val="center"/>
          </w:tcPr>
          <w:p w:rsidR="009A5205" w:rsidRPr="00A33261" w:rsidRDefault="009A5205" w:rsidP="00F52DB0">
            <w:pPr>
              <w:spacing w:before="120" w:after="120"/>
              <w:jc w:val="both"/>
            </w:pPr>
            <w:r>
              <w:t xml:space="preserve">Nepieciešams </w:t>
            </w:r>
            <w:r w:rsidRPr="00A33261">
              <w:t xml:space="preserve">veikt atbilstošus grozījumus </w:t>
            </w:r>
            <w:r w:rsidRPr="009A5205">
              <w:rPr>
                <w:bCs/>
              </w:rPr>
              <w:t>Ministru kabineta</w:t>
            </w:r>
            <w:r w:rsidR="00F52DB0">
              <w:rPr>
                <w:bCs/>
                <w:sz w:val="23"/>
                <w:szCs w:val="23"/>
              </w:rPr>
              <w:t xml:space="preserve"> 2010.gada 12.janvāra noteikumos Nr.33</w:t>
            </w:r>
            <w:r w:rsidRPr="009A5205">
              <w:rPr>
                <w:bCs/>
                <w:sz w:val="23"/>
                <w:szCs w:val="23"/>
              </w:rPr>
              <w:t xml:space="preserve"> „</w:t>
            </w:r>
            <w:r w:rsidRPr="009A5205">
              <w:rPr>
                <w:bCs/>
              </w:rPr>
              <w:t>Noteikumi par darbības programmas “Infrastruktūra un pakalpojumi” papildinājum</w:t>
            </w:r>
            <w:r w:rsidR="00F52DB0">
              <w:rPr>
                <w:bCs/>
              </w:rPr>
              <w:t>a 3.1.5.1.2</w:t>
            </w:r>
            <w:r w:rsidRPr="009A5205">
              <w:rPr>
                <w:bCs/>
              </w:rPr>
              <w:t>.apakšaktivitāti “</w:t>
            </w:r>
            <w:r w:rsidR="00F52DB0">
              <w:rPr>
                <w:bCs/>
              </w:rPr>
              <w:t xml:space="preserve">Veselības aprūpes centru </w:t>
            </w:r>
            <w:r w:rsidRPr="009A5205">
              <w:rPr>
                <w:bCs/>
              </w:rPr>
              <w:t>attīstība”</w:t>
            </w:r>
            <w:r w:rsidR="00596CC9">
              <w:rPr>
                <w:bCs/>
              </w:rPr>
              <w:t>.</w:t>
            </w:r>
          </w:p>
        </w:tc>
      </w:tr>
      <w:tr w:rsidR="009A5205" w:rsidRPr="00A33261" w:rsidTr="009A5205">
        <w:tc>
          <w:tcPr>
            <w:tcW w:w="675" w:type="dxa"/>
          </w:tcPr>
          <w:p w:rsidR="009A5205" w:rsidRPr="00A33261" w:rsidRDefault="009A5205" w:rsidP="009A5205">
            <w:pPr>
              <w:spacing w:before="100" w:beforeAutospacing="1" w:after="100" w:afterAutospacing="1"/>
              <w:rPr>
                <w:lang w:eastAsia="lv-LV" w:bidi="lo-LA"/>
              </w:rPr>
            </w:pPr>
            <w:r w:rsidRPr="00A33261">
              <w:rPr>
                <w:lang w:eastAsia="lv-LV" w:bidi="lo-LA"/>
              </w:rPr>
              <w:t>2.</w:t>
            </w:r>
          </w:p>
        </w:tc>
        <w:tc>
          <w:tcPr>
            <w:tcW w:w="2694" w:type="dxa"/>
          </w:tcPr>
          <w:p w:rsidR="009A5205" w:rsidRPr="00A33261" w:rsidRDefault="009A5205" w:rsidP="009A5205">
            <w:pPr>
              <w:spacing w:before="100" w:beforeAutospacing="1" w:after="100" w:afterAutospacing="1"/>
              <w:rPr>
                <w:lang w:eastAsia="lv-LV" w:bidi="lo-LA"/>
              </w:rPr>
            </w:pPr>
            <w:r w:rsidRPr="00A33261">
              <w:rPr>
                <w:lang w:eastAsia="lv-LV" w:bidi="lo-LA"/>
              </w:rPr>
              <w:t>Cita informācija</w:t>
            </w:r>
          </w:p>
        </w:tc>
        <w:tc>
          <w:tcPr>
            <w:tcW w:w="6095" w:type="dxa"/>
            <w:vAlign w:val="center"/>
          </w:tcPr>
          <w:p w:rsidR="009A5205" w:rsidRPr="00A33261" w:rsidRDefault="009A5205" w:rsidP="009A5205">
            <w:pPr>
              <w:autoSpaceDE w:val="0"/>
              <w:autoSpaceDN w:val="0"/>
              <w:adjustRightInd w:val="0"/>
              <w:jc w:val="both"/>
            </w:pPr>
            <w:r w:rsidRPr="00A33261">
              <w:t>Nav</w:t>
            </w:r>
          </w:p>
        </w:tc>
      </w:tr>
    </w:tbl>
    <w:p w:rsidR="00277893" w:rsidRDefault="00277893" w:rsidP="009A5205">
      <w:pPr>
        <w:autoSpaceDE w:val="0"/>
        <w:autoSpaceDN w:val="0"/>
        <w:adjustRightInd w:val="0"/>
        <w:rPr>
          <w:b/>
          <w:noProof/>
        </w:rPr>
      </w:pPr>
    </w:p>
    <w:p w:rsidR="00C11D6B" w:rsidRDefault="00C11D6B" w:rsidP="002F1241">
      <w:pPr>
        <w:autoSpaceDE w:val="0"/>
        <w:autoSpaceDN w:val="0"/>
        <w:adjustRightInd w:val="0"/>
        <w:jc w:val="center"/>
        <w:rPr>
          <w:b/>
          <w:lang w:eastAsia="lv-LV" w:bidi="lo-LA"/>
        </w:rPr>
      </w:pP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2693"/>
        <w:gridCol w:w="5953"/>
      </w:tblGrid>
      <w:tr w:rsidR="00C11D6B" w:rsidRPr="00BA3C4F" w:rsidTr="00772E1D">
        <w:tc>
          <w:tcPr>
            <w:tcW w:w="9214" w:type="dxa"/>
            <w:gridSpan w:val="3"/>
            <w:tcBorders>
              <w:top w:val="outset" w:sz="6" w:space="0" w:color="auto"/>
              <w:left w:val="outset" w:sz="6" w:space="0" w:color="auto"/>
              <w:bottom w:val="outset" w:sz="6" w:space="0" w:color="auto"/>
              <w:right w:val="outset" w:sz="6" w:space="0" w:color="auto"/>
            </w:tcBorders>
            <w:vAlign w:val="center"/>
          </w:tcPr>
          <w:p w:rsidR="00C11D6B" w:rsidRPr="00BA3C4F" w:rsidRDefault="00C11D6B" w:rsidP="00772E1D">
            <w:pPr>
              <w:jc w:val="center"/>
              <w:rPr>
                <w:b/>
              </w:rPr>
            </w:pPr>
            <w:r w:rsidRPr="00BA3C4F">
              <w:rPr>
                <w:b/>
              </w:rPr>
              <w:t>V. Tiesību akta projekta atbilstība Latvijas Republikas starptautiskajām saistībām</w:t>
            </w:r>
          </w:p>
        </w:tc>
      </w:tr>
      <w:tr w:rsidR="00C11D6B" w:rsidRPr="00BA3C4F" w:rsidTr="00772E1D">
        <w:tc>
          <w:tcPr>
            <w:tcW w:w="568"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1.</w:t>
            </w:r>
          </w:p>
        </w:tc>
        <w:tc>
          <w:tcPr>
            <w:tcW w:w="2693"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Saistības pret Eiropas Savienību</w:t>
            </w:r>
          </w:p>
        </w:tc>
        <w:tc>
          <w:tcPr>
            <w:tcW w:w="5953" w:type="dxa"/>
            <w:tcBorders>
              <w:top w:val="outset" w:sz="6" w:space="0" w:color="auto"/>
              <w:left w:val="outset" w:sz="6" w:space="0" w:color="auto"/>
              <w:bottom w:val="outset" w:sz="6" w:space="0" w:color="auto"/>
              <w:right w:val="outset" w:sz="6" w:space="0" w:color="auto"/>
            </w:tcBorders>
          </w:tcPr>
          <w:p w:rsidR="00C11D6B" w:rsidRPr="00EC2AEC" w:rsidRDefault="00C11D6B" w:rsidP="007B1640">
            <w:pPr>
              <w:tabs>
                <w:tab w:val="left" w:pos="9000"/>
                <w:tab w:val="left" w:pos="9900"/>
              </w:tabs>
              <w:jc w:val="both"/>
            </w:pPr>
            <w:r w:rsidRPr="00EC2AEC">
              <w:rPr>
                <w:bCs/>
              </w:rPr>
              <w:t xml:space="preserve">Ar tiesību akta projektu tiks </w:t>
            </w:r>
            <w:r w:rsidR="007B1640" w:rsidRPr="00EC2AEC">
              <w:rPr>
                <w:bCs/>
              </w:rPr>
              <w:t>pārņemt</w:t>
            </w:r>
            <w:r w:rsidR="007B1640">
              <w:rPr>
                <w:bCs/>
              </w:rPr>
              <w:t>a</w:t>
            </w:r>
            <w:r w:rsidR="007B1640" w:rsidRPr="00EC2AEC">
              <w:rPr>
                <w:bCs/>
              </w:rPr>
              <w:t xml:space="preserve"> </w:t>
            </w:r>
            <w:r w:rsidR="006A65BD">
              <w:rPr>
                <w:szCs w:val="28"/>
              </w:rPr>
              <w:t xml:space="preserve">Komisijas Regula </w:t>
            </w:r>
            <w:r>
              <w:t xml:space="preserve"> Nr.1083/2006</w:t>
            </w:r>
            <w:r w:rsidRPr="00546844">
              <w:rPr>
                <w:szCs w:val="28"/>
              </w:rPr>
              <w:t>.</w:t>
            </w:r>
          </w:p>
        </w:tc>
      </w:tr>
      <w:tr w:rsidR="00C11D6B" w:rsidRPr="00BA3C4F" w:rsidTr="00772E1D">
        <w:tc>
          <w:tcPr>
            <w:tcW w:w="568"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2.</w:t>
            </w:r>
          </w:p>
        </w:tc>
        <w:tc>
          <w:tcPr>
            <w:tcW w:w="2693"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Citas starptautiskās saistības</w:t>
            </w:r>
          </w:p>
        </w:tc>
        <w:tc>
          <w:tcPr>
            <w:tcW w:w="5953"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Pr>
                <w:color w:val="2A2A2A"/>
              </w:rPr>
              <w:t>Projekts šo jomu neskar.</w:t>
            </w:r>
          </w:p>
        </w:tc>
      </w:tr>
      <w:tr w:rsidR="00C11D6B" w:rsidRPr="00BA3C4F" w:rsidTr="00772E1D">
        <w:tc>
          <w:tcPr>
            <w:tcW w:w="568"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3.</w:t>
            </w:r>
          </w:p>
        </w:tc>
        <w:tc>
          <w:tcPr>
            <w:tcW w:w="2693"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rsidRPr="00BA3C4F">
              <w:t>Cita informācija</w:t>
            </w:r>
          </w:p>
        </w:tc>
        <w:tc>
          <w:tcPr>
            <w:tcW w:w="5953" w:type="dxa"/>
            <w:tcBorders>
              <w:top w:val="outset" w:sz="6" w:space="0" w:color="auto"/>
              <w:left w:val="outset" w:sz="6" w:space="0" w:color="auto"/>
              <w:bottom w:val="outset" w:sz="6" w:space="0" w:color="auto"/>
              <w:right w:val="outset" w:sz="6" w:space="0" w:color="auto"/>
            </w:tcBorders>
          </w:tcPr>
          <w:p w:rsidR="00C11D6B" w:rsidRPr="00BA3C4F" w:rsidRDefault="00C11D6B" w:rsidP="00772E1D">
            <w:pPr>
              <w:ind w:left="57"/>
            </w:pPr>
            <w:r>
              <w:t>Nav attiecināms</w:t>
            </w:r>
          </w:p>
        </w:tc>
      </w:tr>
    </w:tbl>
    <w:p w:rsidR="00C11D6B" w:rsidRDefault="00C11D6B" w:rsidP="00C11D6B">
      <w:pPr>
        <w:autoSpaceDE w:val="0"/>
        <w:autoSpaceDN w:val="0"/>
        <w:adjustRightInd w:val="0"/>
        <w:jc w:val="both"/>
        <w:rPr>
          <w:i/>
          <w:noProof/>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984"/>
        <w:gridCol w:w="1985"/>
        <w:gridCol w:w="2517"/>
      </w:tblGrid>
      <w:tr w:rsidR="00C11D6B" w:rsidRPr="003672FF" w:rsidTr="00772E1D">
        <w:tc>
          <w:tcPr>
            <w:tcW w:w="9288" w:type="dxa"/>
            <w:gridSpan w:val="4"/>
            <w:vAlign w:val="center"/>
          </w:tcPr>
          <w:p w:rsidR="00C11D6B" w:rsidRPr="003672FF" w:rsidRDefault="00C11D6B" w:rsidP="00772E1D">
            <w:pPr>
              <w:pStyle w:val="naisnod"/>
              <w:spacing w:before="0" w:beforeAutospacing="0" w:after="0" w:afterAutospacing="0"/>
              <w:jc w:val="center"/>
              <w:rPr>
                <w:b/>
              </w:rPr>
            </w:pPr>
            <w:r w:rsidRPr="003672FF">
              <w:rPr>
                <w:b/>
              </w:rPr>
              <w:t>1.tabula</w:t>
            </w:r>
          </w:p>
          <w:p w:rsidR="00C11D6B" w:rsidRPr="003672FF" w:rsidRDefault="00C11D6B" w:rsidP="00772E1D">
            <w:pPr>
              <w:autoSpaceDE w:val="0"/>
              <w:autoSpaceDN w:val="0"/>
              <w:adjustRightInd w:val="0"/>
              <w:jc w:val="center"/>
              <w:rPr>
                <w:b/>
                <w:i/>
              </w:rPr>
            </w:pPr>
            <w:r w:rsidRPr="003672FF">
              <w:rPr>
                <w:b/>
              </w:rPr>
              <w:t>Tiesību akta projekta atbilstība ES tiesību aktiem</w:t>
            </w:r>
          </w:p>
        </w:tc>
      </w:tr>
      <w:tr w:rsidR="00C11D6B" w:rsidRPr="003672FF" w:rsidTr="00772E1D">
        <w:trPr>
          <w:trHeight w:val="1801"/>
        </w:trPr>
        <w:tc>
          <w:tcPr>
            <w:tcW w:w="2802" w:type="dxa"/>
            <w:vAlign w:val="center"/>
          </w:tcPr>
          <w:p w:rsidR="00C11D6B" w:rsidRPr="00A21204" w:rsidRDefault="00C11D6B" w:rsidP="00007989">
            <w:pPr>
              <w:pStyle w:val="naiskr"/>
              <w:spacing w:before="0" w:beforeAutospacing="0" w:after="0" w:afterAutospacing="0"/>
              <w:jc w:val="both"/>
            </w:pPr>
            <w:r w:rsidRPr="00A21204">
              <w:t>Attiecīgā ES tiesību akta datums, numurs un nosaukums</w:t>
            </w:r>
          </w:p>
        </w:tc>
        <w:tc>
          <w:tcPr>
            <w:tcW w:w="6486" w:type="dxa"/>
            <w:gridSpan w:val="3"/>
          </w:tcPr>
          <w:p w:rsidR="00C11D6B" w:rsidRPr="00A21204" w:rsidRDefault="00C11D6B" w:rsidP="007B1640">
            <w:pPr>
              <w:tabs>
                <w:tab w:val="left" w:pos="9000"/>
                <w:tab w:val="left" w:pos="9900"/>
              </w:tabs>
              <w:jc w:val="both"/>
            </w:pPr>
            <w:r>
              <w:t>1. Komisijas Regula Nr.1083/2006.</w:t>
            </w:r>
          </w:p>
        </w:tc>
      </w:tr>
      <w:tr w:rsidR="00C11D6B" w:rsidRPr="003672FF" w:rsidTr="00772E1D">
        <w:tc>
          <w:tcPr>
            <w:tcW w:w="2802" w:type="dxa"/>
            <w:vAlign w:val="center"/>
          </w:tcPr>
          <w:p w:rsidR="00C11D6B" w:rsidRPr="00A21204" w:rsidRDefault="00C11D6B" w:rsidP="00772E1D">
            <w:pPr>
              <w:pStyle w:val="naiskr"/>
              <w:spacing w:before="0" w:beforeAutospacing="0" w:after="0" w:afterAutospacing="0"/>
              <w:jc w:val="center"/>
            </w:pPr>
            <w:r w:rsidRPr="00A21204">
              <w:t>A</w:t>
            </w:r>
          </w:p>
        </w:tc>
        <w:tc>
          <w:tcPr>
            <w:tcW w:w="1984" w:type="dxa"/>
            <w:vAlign w:val="center"/>
          </w:tcPr>
          <w:p w:rsidR="00C11D6B" w:rsidRPr="00A21204" w:rsidRDefault="00C11D6B" w:rsidP="00772E1D">
            <w:pPr>
              <w:pStyle w:val="naiskr"/>
              <w:spacing w:before="0" w:beforeAutospacing="0" w:after="0" w:afterAutospacing="0"/>
              <w:jc w:val="center"/>
            </w:pPr>
            <w:r w:rsidRPr="00A21204">
              <w:t>B</w:t>
            </w:r>
          </w:p>
        </w:tc>
        <w:tc>
          <w:tcPr>
            <w:tcW w:w="1985" w:type="dxa"/>
            <w:vAlign w:val="center"/>
          </w:tcPr>
          <w:p w:rsidR="00C11D6B" w:rsidRPr="00A21204" w:rsidRDefault="00C11D6B" w:rsidP="00772E1D">
            <w:pPr>
              <w:pStyle w:val="naiskr"/>
              <w:spacing w:before="0" w:beforeAutospacing="0" w:after="0" w:afterAutospacing="0"/>
              <w:jc w:val="center"/>
            </w:pPr>
            <w:r w:rsidRPr="00A21204">
              <w:t>C</w:t>
            </w:r>
          </w:p>
        </w:tc>
        <w:tc>
          <w:tcPr>
            <w:tcW w:w="2517" w:type="dxa"/>
            <w:vAlign w:val="center"/>
          </w:tcPr>
          <w:p w:rsidR="00C11D6B" w:rsidRPr="00A21204" w:rsidRDefault="00C11D6B" w:rsidP="00772E1D">
            <w:pPr>
              <w:pStyle w:val="naiskr"/>
              <w:spacing w:before="0" w:beforeAutospacing="0" w:after="0" w:afterAutospacing="0"/>
              <w:jc w:val="center"/>
            </w:pPr>
            <w:r w:rsidRPr="00A21204">
              <w:t>D</w:t>
            </w:r>
          </w:p>
        </w:tc>
      </w:tr>
      <w:tr w:rsidR="00C11D6B" w:rsidRPr="003672FF" w:rsidTr="00772E1D">
        <w:tc>
          <w:tcPr>
            <w:tcW w:w="2802" w:type="dxa"/>
          </w:tcPr>
          <w:p w:rsidR="00C11D6B" w:rsidRPr="00A21204" w:rsidRDefault="00C11D6B" w:rsidP="00007989">
            <w:pPr>
              <w:pStyle w:val="naiskr"/>
              <w:spacing w:before="0" w:beforeAutospacing="0" w:after="0" w:afterAutospacing="0"/>
              <w:jc w:val="both"/>
            </w:pPr>
            <w:r w:rsidRPr="00A21204">
              <w:t xml:space="preserve">Attiecīgā ES tiesību akta panta numurs (uzskaitot katru tiesību akta </w:t>
            </w:r>
            <w:r w:rsidRPr="00A21204">
              <w:br/>
              <w:t>vienību – pantu, daļu, punktu, apakšpunktu)</w:t>
            </w:r>
          </w:p>
        </w:tc>
        <w:tc>
          <w:tcPr>
            <w:tcW w:w="1984" w:type="dxa"/>
          </w:tcPr>
          <w:p w:rsidR="00C11D6B" w:rsidRPr="00A21204" w:rsidRDefault="00C11D6B" w:rsidP="00772E1D">
            <w:pPr>
              <w:pStyle w:val="naiskr"/>
              <w:spacing w:before="0" w:beforeAutospacing="0" w:after="0" w:afterAutospacing="0"/>
              <w:jc w:val="both"/>
            </w:pPr>
            <w:r w:rsidRPr="00A21204">
              <w:t>Projekta vienība, kas pārņem vai ievieš katru šīs tabulas A ailē minēto ES tiesību akta vienību</w:t>
            </w:r>
          </w:p>
        </w:tc>
        <w:tc>
          <w:tcPr>
            <w:tcW w:w="1985" w:type="dxa"/>
          </w:tcPr>
          <w:p w:rsidR="00C11D6B" w:rsidRPr="00A21204" w:rsidRDefault="00C11D6B" w:rsidP="00772E1D">
            <w:pPr>
              <w:pStyle w:val="naiskr"/>
              <w:spacing w:before="0" w:beforeAutospacing="0" w:after="0" w:afterAutospacing="0"/>
              <w:jc w:val="both"/>
            </w:pPr>
            <w:r w:rsidRPr="00A21204">
              <w:t xml:space="preserve">Informācija par to, vai šīs tabulas A ailē minētās ES tiesību akta vienības tiek pārņemtas vai </w:t>
            </w:r>
            <w:r w:rsidRPr="00A21204">
              <w:lastRenderedPageBreak/>
              <w:t>ieviestas pilnībā vai daļēji.</w:t>
            </w:r>
          </w:p>
        </w:tc>
        <w:tc>
          <w:tcPr>
            <w:tcW w:w="2517" w:type="dxa"/>
          </w:tcPr>
          <w:p w:rsidR="00C11D6B" w:rsidRPr="00A21204" w:rsidRDefault="00C11D6B" w:rsidP="00772E1D">
            <w:pPr>
              <w:pStyle w:val="naiskr"/>
              <w:spacing w:before="0" w:beforeAutospacing="0" w:after="0" w:afterAutospacing="0"/>
              <w:jc w:val="both"/>
            </w:pPr>
            <w:r w:rsidRPr="00A21204">
              <w:lastRenderedPageBreak/>
              <w:t xml:space="preserve">Informācija par to, vai šīs tabulas B ailē minētās projekta vienības paredz stingrākas prasības nekā šīs tabulas A ailē </w:t>
            </w:r>
            <w:r w:rsidRPr="00A21204">
              <w:lastRenderedPageBreak/>
              <w:t>minētās ES tiesību akta vienības.</w:t>
            </w:r>
          </w:p>
        </w:tc>
      </w:tr>
      <w:tr w:rsidR="00C11D6B" w:rsidRPr="003672FF" w:rsidTr="00772E1D">
        <w:tc>
          <w:tcPr>
            <w:tcW w:w="2802" w:type="dxa"/>
          </w:tcPr>
          <w:p w:rsidR="00C11D6B" w:rsidRPr="005D60EC" w:rsidRDefault="00C11D6B" w:rsidP="00007989">
            <w:pPr>
              <w:tabs>
                <w:tab w:val="left" w:pos="9000"/>
                <w:tab w:val="left" w:pos="9900"/>
              </w:tabs>
              <w:jc w:val="both"/>
            </w:pPr>
            <w:r>
              <w:lastRenderedPageBreak/>
              <w:t xml:space="preserve">Komisijas Regula Nr.1083/2006 </w:t>
            </w:r>
            <w:r w:rsidR="007B1640">
              <w:t>39.-41.pants</w:t>
            </w:r>
          </w:p>
        </w:tc>
        <w:tc>
          <w:tcPr>
            <w:tcW w:w="1984" w:type="dxa"/>
          </w:tcPr>
          <w:p w:rsidR="00C11D6B" w:rsidRPr="00A21204" w:rsidRDefault="00DF095B" w:rsidP="00772E1D">
            <w:pPr>
              <w:jc w:val="both"/>
              <w:rPr>
                <w:lang w:eastAsia="en-GB"/>
              </w:rPr>
            </w:pPr>
            <w:r>
              <w:rPr>
                <w:lang w:eastAsia="en-GB"/>
              </w:rPr>
              <w:t>Noteikumu projekta 7.punkts</w:t>
            </w:r>
          </w:p>
        </w:tc>
        <w:tc>
          <w:tcPr>
            <w:tcW w:w="1985" w:type="dxa"/>
          </w:tcPr>
          <w:p w:rsidR="00C11D6B" w:rsidRPr="00A21204" w:rsidRDefault="00C11D6B" w:rsidP="00DF4BC9">
            <w:pPr>
              <w:jc w:val="both"/>
            </w:pPr>
            <w:r w:rsidRPr="005D60EC">
              <w:t xml:space="preserve">Šīs tabulas A ailē minētās ES tiesību </w:t>
            </w:r>
            <w:smartTag w:uri="schemas-tilde-lv/tildestengine" w:element="veidnes">
              <w:smartTagPr>
                <w:attr w:name="text" w:val="akta"/>
                <w:attr w:name="id" w:val="-1"/>
                <w:attr w:name="baseform" w:val="akt|s"/>
              </w:smartTagPr>
              <w:r w:rsidRPr="005D60EC">
                <w:t>akta</w:t>
              </w:r>
            </w:smartTag>
            <w:r w:rsidRPr="005D60EC">
              <w:t xml:space="preserve"> vienības tiek ieviestas pilnībā.</w:t>
            </w:r>
          </w:p>
        </w:tc>
        <w:tc>
          <w:tcPr>
            <w:tcW w:w="2517" w:type="dxa"/>
          </w:tcPr>
          <w:p w:rsidR="00C11D6B" w:rsidRPr="00A21204" w:rsidRDefault="00C11D6B" w:rsidP="00DF4BC9">
            <w:pPr>
              <w:jc w:val="both"/>
            </w:pPr>
            <w:r w:rsidRPr="005D60EC">
              <w:t xml:space="preserve">B ailē minētās projekta vienība neparedz stingrākas prasības nekā šīs tabulas A ailē minētās ES tiesību akta vienības. </w:t>
            </w:r>
          </w:p>
        </w:tc>
      </w:tr>
      <w:tr w:rsidR="00C11D6B" w:rsidRPr="003672FF" w:rsidTr="00772E1D">
        <w:tc>
          <w:tcPr>
            <w:tcW w:w="2802" w:type="dxa"/>
            <w:vAlign w:val="center"/>
          </w:tcPr>
          <w:p w:rsidR="00C11D6B" w:rsidRPr="00A21204" w:rsidRDefault="00C11D6B" w:rsidP="006040B5">
            <w:pPr>
              <w:jc w:val="both"/>
              <w:rPr>
                <w:i/>
              </w:rPr>
            </w:pPr>
            <w:r w:rsidRPr="00A2120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6" w:type="dxa"/>
            <w:gridSpan w:val="3"/>
          </w:tcPr>
          <w:p w:rsidR="00C11D6B" w:rsidRPr="00A21204" w:rsidRDefault="00C11D6B" w:rsidP="00772E1D">
            <w:pPr>
              <w:autoSpaceDE w:val="0"/>
              <w:autoSpaceDN w:val="0"/>
              <w:adjustRightInd w:val="0"/>
              <w:rPr>
                <w:i/>
              </w:rPr>
            </w:pPr>
            <w:r w:rsidRPr="00A21204">
              <w:rPr>
                <w:color w:val="2A2A2A"/>
              </w:rPr>
              <w:t>Projekts šo jomu neskar.</w:t>
            </w:r>
            <w:r w:rsidRPr="00A21204">
              <w:rPr>
                <w:i/>
              </w:rPr>
              <w:t xml:space="preserve"> </w:t>
            </w:r>
          </w:p>
        </w:tc>
      </w:tr>
      <w:tr w:rsidR="00C11D6B" w:rsidRPr="003672FF" w:rsidTr="00772E1D">
        <w:tc>
          <w:tcPr>
            <w:tcW w:w="2802" w:type="dxa"/>
          </w:tcPr>
          <w:p w:rsidR="00C11D6B" w:rsidRPr="00A21204" w:rsidRDefault="00C11D6B" w:rsidP="00772E1D">
            <w:pPr>
              <w:pStyle w:val="naiskr"/>
              <w:spacing w:before="0" w:beforeAutospacing="0" w:after="0" w:afterAutospacing="0"/>
              <w:rPr>
                <w:i/>
              </w:rPr>
            </w:pPr>
            <w:r w:rsidRPr="00A21204">
              <w:t>Cita informācija</w:t>
            </w:r>
          </w:p>
        </w:tc>
        <w:tc>
          <w:tcPr>
            <w:tcW w:w="6486" w:type="dxa"/>
            <w:gridSpan w:val="3"/>
          </w:tcPr>
          <w:p w:rsidR="00C11D6B" w:rsidRPr="00A21204" w:rsidRDefault="00C11D6B" w:rsidP="00772E1D">
            <w:pPr>
              <w:autoSpaceDE w:val="0"/>
              <w:autoSpaceDN w:val="0"/>
              <w:adjustRightInd w:val="0"/>
              <w:rPr>
                <w:i/>
              </w:rPr>
            </w:pPr>
            <w:r w:rsidRPr="00A21204">
              <w:t>Nav.</w:t>
            </w:r>
          </w:p>
        </w:tc>
      </w:tr>
    </w:tbl>
    <w:p w:rsidR="00C11D6B" w:rsidRDefault="00C11D6B" w:rsidP="002F1241">
      <w:pPr>
        <w:autoSpaceDE w:val="0"/>
        <w:autoSpaceDN w:val="0"/>
        <w:adjustRightInd w:val="0"/>
        <w:jc w:val="center"/>
        <w:rPr>
          <w:b/>
          <w:lang w:eastAsia="lv-LV" w:bidi="lo-LA"/>
        </w:rPr>
      </w:pPr>
    </w:p>
    <w:p w:rsidR="00277893" w:rsidRDefault="00277893" w:rsidP="002F1241">
      <w:pPr>
        <w:autoSpaceDE w:val="0"/>
        <w:autoSpaceDN w:val="0"/>
        <w:adjustRightInd w:val="0"/>
        <w:jc w:val="center"/>
        <w:rPr>
          <w:b/>
          <w:bCs/>
          <w:lang w:eastAsia="lv-LV" w:bidi="lo-LA"/>
        </w:rPr>
      </w:pPr>
      <w:r w:rsidRPr="007141EE">
        <w:rPr>
          <w:b/>
          <w:lang w:eastAsia="lv-LV" w:bidi="lo-LA"/>
        </w:rPr>
        <w:t xml:space="preserve">Anotācijas </w:t>
      </w:r>
      <w:r w:rsidRPr="007141EE">
        <w:rPr>
          <w:b/>
          <w:bCs/>
          <w:lang w:eastAsia="lv-LV" w:bidi="lo-LA"/>
        </w:rPr>
        <w:t>VI.sadaļa -</w:t>
      </w:r>
      <w:r w:rsidR="0027195F">
        <w:rPr>
          <w:b/>
          <w:bCs/>
          <w:lang w:eastAsia="lv-LV" w:bidi="lo-LA"/>
        </w:rPr>
        <w:t xml:space="preserve"> </w:t>
      </w:r>
      <w:r>
        <w:rPr>
          <w:b/>
          <w:color w:val="2A2A2A"/>
        </w:rPr>
        <w:t>projekts šo jomu</w:t>
      </w:r>
      <w:r w:rsidRPr="007141EE">
        <w:rPr>
          <w:b/>
          <w:color w:val="2A2A2A"/>
        </w:rPr>
        <w:t xml:space="preserve"> neskar</w:t>
      </w:r>
      <w:r w:rsidRPr="007141EE">
        <w:rPr>
          <w:b/>
          <w:bCs/>
          <w:lang w:eastAsia="lv-LV" w:bidi="lo-LA"/>
        </w:rPr>
        <w:t>.</w:t>
      </w:r>
    </w:p>
    <w:p w:rsidR="009A5205" w:rsidRPr="002F1241" w:rsidRDefault="009A5205" w:rsidP="002F1241">
      <w:pPr>
        <w:autoSpaceDE w:val="0"/>
        <w:autoSpaceDN w:val="0"/>
        <w:adjustRightInd w:val="0"/>
        <w:jc w:val="center"/>
        <w:rPr>
          <w:b/>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4272"/>
        <w:gridCol w:w="4359"/>
      </w:tblGrid>
      <w:tr w:rsidR="00277893" w:rsidRPr="00957553" w:rsidTr="00471B09">
        <w:trPr>
          <w:trHeight w:val="527"/>
        </w:trPr>
        <w:tc>
          <w:tcPr>
            <w:tcW w:w="9287" w:type="dxa"/>
            <w:gridSpan w:val="3"/>
            <w:vAlign w:val="center"/>
          </w:tcPr>
          <w:p w:rsidR="00277893" w:rsidRPr="00957553" w:rsidRDefault="00277893" w:rsidP="00F05A22">
            <w:pPr>
              <w:rPr>
                <w:lang w:eastAsia="lv-LV" w:bidi="lo-LA"/>
              </w:rPr>
            </w:pPr>
            <w:r w:rsidRPr="00957553">
              <w:rPr>
                <w:b/>
                <w:bCs/>
                <w:lang w:eastAsia="lv-LV" w:bidi="lo-LA"/>
              </w:rPr>
              <w:t>VII. Tiesību akta projekta izpildes nodrošināšana un tās ietekme uz institūcijām</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1.</w:t>
            </w:r>
          </w:p>
        </w:tc>
        <w:tc>
          <w:tcPr>
            <w:tcW w:w="4272" w:type="dxa"/>
          </w:tcPr>
          <w:p w:rsidR="00277893" w:rsidRPr="00957553" w:rsidRDefault="00277893" w:rsidP="00C37452">
            <w:pPr>
              <w:rPr>
                <w:lang w:eastAsia="lv-LV" w:bidi="lo-LA"/>
              </w:rPr>
            </w:pPr>
            <w:r w:rsidRPr="00957553">
              <w:rPr>
                <w:lang w:eastAsia="lv-LV" w:bidi="lo-LA"/>
              </w:rPr>
              <w:t>Projekta izpildē iesaistītās institūcijas</w:t>
            </w:r>
          </w:p>
        </w:tc>
        <w:tc>
          <w:tcPr>
            <w:tcW w:w="4359" w:type="dxa"/>
          </w:tcPr>
          <w:p w:rsidR="00F136FD" w:rsidRDefault="009A5205" w:rsidP="009A5205">
            <w:pPr>
              <w:rPr>
                <w:lang w:eastAsia="lv-LV" w:bidi="lo-LA"/>
              </w:rPr>
            </w:pPr>
            <w:r w:rsidRPr="0018508C">
              <w:rPr>
                <w:lang w:eastAsia="lv-LV" w:bidi="lo-LA"/>
              </w:rPr>
              <w:t>Veselības ministrija.</w:t>
            </w:r>
          </w:p>
          <w:p w:rsidR="00277893" w:rsidRPr="00957553" w:rsidRDefault="009A5205" w:rsidP="009A5205">
            <w:pPr>
              <w:rPr>
                <w:lang w:eastAsia="lv-LV" w:bidi="lo-LA"/>
              </w:rPr>
            </w:pPr>
            <w:r w:rsidRPr="0018508C">
              <w:rPr>
                <w:lang w:eastAsia="lv-LV" w:bidi="lo-LA"/>
              </w:rPr>
              <w:t>Centrālā finanšu un līgumu aģentūra.</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2.</w:t>
            </w:r>
          </w:p>
        </w:tc>
        <w:tc>
          <w:tcPr>
            <w:tcW w:w="4272" w:type="dxa"/>
          </w:tcPr>
          <w:p w:rsidR="00277893" w:rsidRPr="00957553" w:rsidRDefault="00277893" w:rsidP="00C37452">
            <w:pPr>
              <w:rPr>
                <w:lang w:eastAsia="lv-LV" w:bidi="lo-LA"/>
              </w:rPr>
            </w:pPr>
            <w:r w:rsidRPr="00957553">
              <w:rPr>
                <w:lang w:eastAsia="lv-LV" w:bidi="lo-LA"/>
              </w:rPr>
              <w:t>Projekta izpildes ietekme uz pārvaldes funkcijām</w:t>
            </w:r>
          </w:p>
        </w:tc>
        <w:tc>
          <w:tcPr>
            <w:tcW w:w="4359" w:type="dxa"/>
          </w:tcPr>
          <w:p w:rsidR="00277893" w:rsidRDefault="00277893">
            <w:r w:rsidRPr="005E3721">
              <w:t>Projekts šo jomu neskar</w:t>
            </w:r>
            <w:r>
              <w:t>.</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3.</w:t>
            </w:r>
          </w:p>
        </w:tc>
        <w:tc>
          <w:tcPr>
            <w:tcW w:w="4272"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Jaunu institūciju izveide</w:t>
            </w:r>
          </w:p>
        </w:tc>
        <w:tc>
          <w:tcPr>
            <w:tcW w:w="4359" w:type="dxa"/>
          </w:tcPr>
          <w:p w:rsidR="00277893" w:rsidRDefault="00277893">
            <w:r w:rsidRPr="005E3721">
              <w:t>Projekts šo jomu neskar</w:t>
            </w:r>
            <w:r>
              <w:t>.</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4.</w:t>
            </w:r>
          </w:p>
        </w:tc>
        <w:tc>
          <w:tcPr>
            <w:tcW w:w="4272"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Esošu institūciju likvidācija</w:t>
            </w:r>
          </w:p>
        </w:tc>
        <w:tc>
          <w:tcPr>
            <w:tcW w:w="4359" w:type="dxa"/>
          </w:tcPr>
          <w:p w:rsidR="00277893" w:rsidRDefault="00277893">
            <w:r w:rsidRPr="005E3721">
              <w:t>Projekts šo jomu neskar</w:t>
            </w:r>
            <w:r>
              <w:t>.</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5.</w:t>
            </w:r>
          </w:p>
        </w:tc>
        <w:tc>
          <w:tcPr>
            <w:tcW w:w="4272"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Esošu institūciju reorganizācija</w:t>
            </w:r>
          </w:p>
        </w:tc>
        <w:tc>
          <w:tcPr>
            <w:tcW w:w="4359" w:type="dxa"/>
          </w:tcPr>
          <w:p w:rsidR="00277893" w:rsidRDefault="00277893">
            <w:r w:rsidRPr="005E3721">
              <w:t>Projekts šo jomu neskar</w:t>
            </w:r>
            <w:r>
              <w:t>.</w:t>
            </w:r>
          </w:p>
        </w:tc>
      </w:tr>
      <w:tr w:rsidR="00277893" w:rsidRPr="00957553" w:rsidTr="00406C31">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6.</w:t>
            </w:r>
          </w:p>
        </w:tc>
        <w:tc>
          <w:tcPr>
            <w:tcW w:w="4272" w:type="dxa"/>
          </w:tcPr>
          <w:p w:rsidR="00277893" w:rsidRPr="00957553" w:rsidRDefault="00277893" w:rsidP="00C37452">
            <w:pPr>
              <w:rPr>
                <w:lang w:eastAsia="lv-LV" w:bidi="lo-LA"/>
              </w:rPr>
            </w:pPr>
            <w:r w:rsidRPr="00957553">
              <w:rPr>
                <w:lang w:eastAsia="lv-LV" w:bidi="lo-LA"/>
              </w:rPr>
              <w:t>Cita informācija</w:t>
            </w:r>
          </w:p>
        </w:tc>
        <w:tc>
          <w:tcPr>
            <w:tcW w:w="4359" w:type="dxa"/>
          </w:tcPr>
          <w:p w:rsidR="00277893" w:rsidRPr="00957553" w:rsidRDefault="00277893" w:rsidP="00F05A22">
            <w:pPr>
              <w:rPr>
                <w:lang w:eastAsia="lv-LV" w:bidi="lo-LA"/>
              </w:rPr>
            </w:pPr>
            <w:r w:rsidRPr="00957553">
              <w:rPr>
                <w:lang w:eastAsia="lv-LV" w:bidi="lo-LA"/>
              </w:rPr>
              <w:t>Nav</w:t>
            </w:r>
          </w:p>
        </w:tc>
      </w:tr>
    </w:tbl>
    <w:p w:rsidR="00F440A9" w:rsidRDefault="00F440A9" w:rsidP="00533D0C">
      <w:pPr>
        <w:tabs>
          <w:tab w:val="left" w:pos="6804"/>
        </w:tabs>
        <w:rPr>
          <w:sz w:val="28"/>
          <w:szCs w:val="28"/>
          <w:lang w:eastAsia="lv-LV" w:bidi="lo-LA"/>
        </w:rPr>
      </w:pPr>
    </w:p>
    <w:p w:rsidR="00406C31" w:rsidRDefault="00406C31" w:rsidP="00533D0C">
      <w:pPr>
        <w:tabs>
          <w:tab w:val="left" w:pos="6804"/>
        </w:tabs>
        <w:rPr>
          <w:sz w:val="28"/>
          <w:szCs w:val="28"/>
          <w:lang w:eastAsia="lv-LV" w:bidi="lo-LA"/>
        </w:rPr>
      </w:pPr>
    </w:p>
    <w:p w:rsidR="00277893" w:rsidRPr="00DC19A2" w:rsidRDefault="00277893" w:rsidP="00DC19A2">
      <w:pPr>
        <w:autoSpaceDE w:val="0"/>
        <w:autoSpaceDN w:val="0"/>
        <w:adjustRightInd w:val="0"/>
        <w:rPr>
          <w:color w:val="000000"/>
          <w:sz w:val="28"/>
          <w:szCs w:val="28"/>
          <w:lang w:eastAsia="lv-LV"/>
        </w:rPr>
      </w:pPr>
      <w:r>
        <w:rPr>
          <w:color w:val="000000"/>
          <w:sz w:val="28"/>
          <w:szCs w:val="28"/>
          <w:lang w:eastAsia="lv-LV"/>
        </w:rPr>
        <w:t xml:space="preserve">Veselības ministre </w:t>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t>I.Circene</w:t>
      </w:r>
    </w:p>
    <w:p w:rsidR="00335277" w:rsidRPr="00957553" w:rsidRDefault="00335277" w:rsidP="00E97A91">
      <w:pPr>
        <w:ind w:right="4818"/>
        <w:rPr>
          <w:sz w:val="20"/>
          <w:szCs w:val="20"/>
        </w:rPr>
      </w:pPr>
    </w:p>
    <w:p w:rsidR="007B1640" w:rsidRPr="00ED6F6B" w:rsidRDefault="002D649A" w:rsidP="007B1640">
      <w:pPr>
        <w:ind w:right="4818"/>
        <w:rPr>
          <w:sz w:val="20"/>
          <w:szCs w:val="20"/>
        </w:rPr>
      </w:pPr>
      <w:r>
        <w:rPr>
          <w:sz w:val="20"/>
          <w:szCs w:val="20"/>
        </w:rPr>
        <w:t>04.12</w:t>
      </w:r>
      <w:r w:rsidR="007B1640" w:rsidRPr="00ED6F6B">
        <w:rPr>
          <w:sz w:val="20"/>
          <w:szCs w:val="20"/>
        </w:rPr>
        <w:t xml:space="preserve">.2013 </w:t>
      </w:r>
      <w:r>
        <w:rPr>
          <w:sz w:val="20"/>
          <w:szCs w:val="20"/>
        </w:rPr>
        <w:t>13</w:t>
      </w:r>
      <w:r w:rsidR="000C5666">
        <w:rPr>
          <w:sz w:val="20"/>
          <w:szCs w:val="20"/>
        </w:rPr>
        <w:t>:</w:t>
      </w:r>
      <w:r>
        <w:rPr>
          <w:sz w:val="20"/>
          <w:szCs w:val="20"/>
        </w:rPr>
        <w:t>53</w:t>
      </w:r>
    </w:p>
    <w:p w:rsidR="007B1640" w:rsidRDefault="00D722D5" w:rsidP="007B1640">
      <w:pPr>
        <w:ind w:right="4818"/>
        <w:rPr>
          <w:sz w:val="20"/>
          <w:szCs w:val="20"/>
        </w:rPr>
      </w:pPr>
      <w:r w:rsidRPr="00ED6F6B">
        <w:rPr>
          <w:sz w:val="20"/>
          <w:szCs w:val="20"/>
        </w:rPr>
        <w:fldChar w:fldCharType="begin"/>
      </w:r>
      <w:r w:rsidR="007B1640" w:rsidRPr="00ED6F6B">
        <w:rPr>
          <w:sz w:val="20"/>
          <w:szCs w:val="20"/>
        </w:rPr>
        <w:instrText xml:space="preserve"> NUMWORDS  \# "# ##0"  \* MERGEFORMAT </w:instrText>
      </w:r>
      <w:r w:rsidRPr="00ED6F6B">
        <w:rPr>
          <w:sz w:val="20"/>
          <w:szCs w:val="20"/>
        </w:rPr>
        <w:fldChar w:fldCharType="separate"/>
      </w:r>
      <w:r w:rsidR="002D649A">
        <w:rPr>
          <w:noProof/>
          <w:sz w:val="20"/>
          <w:szCs w:val="20"/>
        </w:rPr>
        <w:t>3 307</w:t>
      </w:r>
      <w:r w:rsidRPr="00ED6F6B">
        <w:rPr>
          <w:sz w:val="20"/>
          <w:szCs w:val="20"/>
        </w:rPr>
        <w:fldChar w:fldCharType="end"/>
      </w:r>
    </w:p>
    <w:p w:rsidR="00277893" w:rsidRPr="00C74DFE" w:rsidRDefault="00191748" w:rsidP="007B1640">
      <w:pPr>
        <w:ind w:right="4818"/>
        <w:rPr>
          <w:sz w:val="20"/>
          <w:szCs w:val="20"/>
        </w:rPr>
      </w:pPr>
      <w:r w:rsidRPr="00C74DFE">
        <w:rPr>
          <w:sz w:val="20"/>
          <w:szCs w:val="20"/>
        </w:rPr>
        <w:t>J.Zalcmanis</w:t>
      </w:r>
      <w:r w:rsidR="00277893" w:rsidRPr="00C74DFE">
        <w:rPr>
          <w:sz w:val="20"/>
          <w:szCs w:val="20"/>
        </w:rPr>
        <w:t xml:space="preserve">, </w:t>
      </w:r>
      <w:bookmarkStart w:id="7" w:name="OLE_LINK7"/>
      <w:bookmarkStart w:id="8" w:name="OLE_LINK8"/>
      <w:r w:rsidRPr="00C74DFE">
        <w:rPr>
          <w:sz w:val="20"/>
          <w:szCs w:val="20"/>
        </w:rPr>
        <w:t>67876013</w:t>
      </w:r>
    </w:p>
    <w:p w:rsidR="00277893" w:rsidRPr="00C74DFE" w:rsidRDefault="00191748" w:rsidP="00354B0D">
      <w:pPr>
        <w:ind w:right="4818"/>
        <w:rPr>
          <w:sz w:val="20"/>
          <w:szCs w:val="20"/>
        </w:rPr>
      </w:pPr>
      <w:r w:rsidRPr="00C74DFE">
        <w:rPr>
          <w:sz w:val="20"/>
          <w:szCs w:val="20"/>
        </w:rPr>
        <w:t>Janis.Zalcmanis</w:t>
      </w:r>
      <w:r w:rsidR="00277893" w:rsidRPr="00C74DFE">
        <w:rPr>
          <w:sz w:val="20"/>
          <w:szCs w:val="20"/>
        </w:rPr>
        <w:t>@vm.gov.lv</w:t>
      </w:r>
      <w:bookmarkEnd w:id="7"/>
      <w:bookmarkEnd w:id="8"/>
    </w:p>
    <w:sectPr w:rsidR="00277893" w:rsidRPr="00C74DFE" w:rsidSect="000F14B1">
      <w:headerReference w:type="even" r:id="rId8"/>
      <w:headerReference w:type="default" r:id="rId9"/>
      <w:footerReference w:type="default" r:id="rId10"/>
      <w:footerReference w:type="first" r:id="rId11"/>
      <w:pgSz w:w="11906" w:h="16838" w:code="9"/>
      <w:pgMar w:top="1418" w:right="1134" w:bottom="1134" w:left="1701" w:header="567"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71" w:rsidRDefault="000B1B71">
      <w:r>
        <w:separator/>
      </w:r>
    </w:p>
  </w:endnote>
  <w:endnote w:type="continuationSeparator" w:id="1">
    <w:p w:rsidR="000B1B71" w:rsidRDefault="000B1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71" w:rsidRPr="00354B0D" w:rsidRDefault="002D649A" w:rsidP="00354B0D">
    <w:pPr>
      <w:pStyle w:val="naisc"/>
      <w:spacing w:before="0" w:after="0"/>
      <w:jc w:val="both"/>
    </w:pPr>
    <w:r>
      <w:rPr>
        <w:noProof/>
        <w:sz w:val="20"/>
        <w:szCs w:val="20"/>
      </w:rPr>
      <w:t>VManot_0412</w:t>
    </w:r>
    <w:r w:rsidR="000B1B71">
      <w:rPr>
        <w:noProof/>
        <w:sz w:val="20"/>
        <w:szCs w:val="20"/>
      </w:rPr>
      <w:t>13_not44</w:t>
    </w:r>
    <w:r w:rsidR="000B1B71" w:rsidRPr="00D473C0">
      <w:rPr>
        <w:noProof/>
        <w:sz w:val="20"/>
        <w:szCs w:val="20"/>
      </w:rPr>
      <w:t xml:space="preserve">; </w:t>
    </w:r>
    <w:r w:rsidR="000B1B71" w:rsidRPr="003C6A36">
      <w:rPr>
        <w:noProof/>
        <w:sz w:val="20"/>
        <w:szCs w:val="20"/>
      </w:rPr>
      <w:t xml:space="preserve">Ministru kabineta noteikumu projekta </w:t>
    </w:r>
    <w:r w:rsidR="000B1B71">
      <w:rPr>
        <w:noProof/>
        <w:sz w:val="20"/>
        <w:szCs w:val="20"/>
      </w:rPr>
      <w:t>„</w:t>
    </w:r>
    <w:r w:rsidR="000B1B71" w:rsidRPr="003C6A36">
      <w:rPr>
        <w:noProof/>
        <w:sz w:val="20"/>
        <w:szCs w:val="20"/>
      </w:rPr>
      <w:t xml:space="preserve">Grozījumi Ministru kabineta 2009.gada 13.janvāra noteikumos Nr.44 </w:t>
    </w:r>
    <w:r w:rsidR="000B1B71">
      <w:rPr>
        <w:noProof/>
        <w:sz w:val="20"/>
        <w:szCs w:val="20"/>
      </w:rPr>
      <w:t>„</w:t>
    </w:r>
    <w:r w:rsidR="000B1B71" w:rsidRPr="003C6A36">
      <w:rPr>
        <w:noProof/>
        <w:sz w:val="20"/>
        <w:szCs w:val="20"/>
      </w:rPr>
      <w:t xml:space="preserve">Noteikumi par darbības programmas </w:t>
    </w:r>
    <w:r w:rsidR="000B1B71">
      <w:rPr>
        <w:noProof/>
        <w:sz w:val="20"/>
        <w:szCs w:val="20"/>
      </w:rPr>
      <w:t>„</w:t>
    </w:r>
    <w:r w:rsidR="000B1B71" w:rsidRPr="003C6A36">
      <w:rPr>
        <w:noProof/>
        <w:sz w:val="20"/>
        <w:szCs w:val="20"/>
      </w:rPr>
      <w:t>Infrastruktūra un pakalpojumi</w:t>
    </w:r>
    <w:r w:rsidR="000B1B71">
      <w:rPr>
        <w:noProof/>
        <w:sz w:val="20"/>
        <w:szCs w:val="20"/>
      </w:rPr>
      <w:t>”</w:t>
    </w:r>
    <w:r w:rsidR="000B1B71" w:rsidRPr="003C6A36">
      <w:rPr>
        <w:noProof/>
        <w:sz w:val="20"/>
        <w:szCs w:val="20"/>
      </w:rPr>
      <w:t xml:space="preserve"> papildinājuma 3.1.5.3.1.apakšaktivitāti </w:t>
    </w:r>
    <w:r w:rsidR="000B1B71">
      <w:rPr>
        <w:noProof/>
        <w:sz w:val="20"/>
        <w:szCs w:val="20"/>
      </w:rPr>
      <w:t>„</w:t>
    </w:r>
    <w:r w:rsidR="000B1B71" w:rsidRPr="003C6A36">
      <w:rPr>
        <w:noProof/>
        <w:sz w:val="20"/>
        <w:szCs w:val="20"/>
      </w:rPr>
      <w:t>Stacionārās veselības aprūpes attīstība</w:t>
    </w:r>
    <w:r w:rsidR="000B1B71">
      <w:rPr>
        <w:noProof/>
        <w:sz w:val="20"/>
        <w:szCs w:val="20"/>
      </w:rPr>
      <w:t>”””</w:t>
    </w:r>
    <w:r w:rsidR="000B1B71" w:rsidRPr="00C37452">
      <w:rPr>
        <w:noProof/>
        <w:sz w:val="20"/>
        <w:szCs w:val="20"/>
      </w:rPr>
      <w:t xml:space="preserve"> </w:t>
    </w:r>
    <w:r w:rsidR="000B1B71" w:rsidRPr="00354B0D">
      <w:rPr>
        <w:noProof/>
        <w:sz w:val="20"/>
        <w:szCs w:val="20"/>
      </w:rPr>
      <w:t xml:space="preserve">sākotnējās ietekmes novērtējuma </w:t>
    </w:r>
    <w:smartTag w:uri="schemas-tilde-lv/tildestengine" w:element="veidnes">
      <w:smartTagPr>
        <w:attr w:name="text" w:val="ziņojums"/>
        <w:attr w:name="baseform" w:val="ziņojums"/>
        <w:attr w:name="id" w:val="-1"/>
      </w:smartTagPr>
      <w:r w:rsidR="000B1B71" w:rsidRPr="00354B0D">
        <w:rPr>
          <w:noProof/>
          <w:sz w:val="20"/>
          <w:szCs w:val="20"/>
        </w:rPr>
        <w:t>ziņojums</w:t>
      </w:r>
    </w:smartTag>
    <w:r w:rsidR="000B1B71" w:rsidRPr="00354B0D">
      <w:rPr>
        <w:noProof/>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71" w:rsidRPr="00354B0D" w:rsidRDefault="002D649A" w:rsidP="00354B0D">
    <w:pPr>
      <w:pStyle w:val="naisc"/>
      <w:spacing w:before="0" w:after="0"/>
      <w:jc w:val="both"/>
    </w:pPr>
    <w:r>
      <w:rPr>
        <w:noProof/>
        <w:sz w:val="20"/>
        <w:szCs w:val="20"/>
      </w:rPr>
      <w:t>VManot_0412</w:t>
    </w:r>
    <w:r w:rsidR="000B1B71">
      <w:rPr>
        <w:noProof/>
        <w:sz w:val="20"/>
        <w:szCs w:val="20"/>
      </w:rPr>
      <w:t>13_not44</w:t>
    </w:r>
    <w:r w:rsidR="000B1B71" w:rsidRPr="00D473C0">
      <w:rPr>
        <w:noProof/>
        <w:sz w:val="20"/>
        <w:szCs w:val="20"/>
      </w:rPr>
      <w:t xml:space="preserve">; </w:t>
    </w:r>
    <w:r w:rsidR="000B1B71" w:rsidRPr="003C6A36">
      <w:rPr>
        <w:noProof/>
        <w:sz w:val="20"/>
        <w:szCs w:val="20"/>
      </w:rPr>
      <w:t xml:space="preserve">Ministru kabineta noteikumu projekta </w:t>
    </w:r>
    <w:r w:rsidR="000B1B71">
      <w:rPr>
        <w:noProof/>
        <w:sz w:val="20"/>
        <w:szCs w:val="20"/>
      </w:rPr>
      <w:t>„</w:t>
    </w:r>
    <w:r w:rsidR="000B1B71" w:rsidRPr="003C6A36">
      <w:rPr>
        <w:noProof/>
        <w:sz w:val="20"/>
        <w:szCs w:val="20"/>
      </w:rPr>
      <w:t xml:space="preserve">Grozījumi Ministru kabineta 2009.gada 13.janvāra noteikumos Nr.44 </w:t>
    </w:r>
    <w:r w:rsidR="000B1B71">
      <w:rPr>
        <w:noProof/>
        <w:sz w:val="20"/>
        <w:szCs w:val="20"/>
      </w:rPr>
      <w:t>„</w:t>
    </w:r>
    <w:r w:rsidR="000B1B71" w:rsidRPr="003C6A36">
      <w:rPr>
        <w:noProof/>
        <w:sz w:val="20"/>
        <w:szCs w:val="20"/>
      </w:rPr>
      <w:t xml:space="preserve">Noteikumi par darbības programmas </w:t>
    </w:r>
    <w:r w:rsidR="000B1B71">
      <w:rPr>
        <w:noProof/>
        <w:sz w:val="20"/>
        <w:szCs w:val="20"/>
      </w:rPr>
      <w:t>„</w:t>
    </w:r>
    <w:r w:rsidR="000B1B71" w:rsidRPr="003C6A36">
      <w:rPr>
        <w:noProof/>
        <w:sz w:val="20"/>
        <w:szCs w:val="20"/>
      </w:rPr>
      <w:t>Infrastruktūra un pakalpojumi</w:t>
    </w:r>
    <w:r w:rsidR="000B1B71">
      <w:rPr>
        <w:noProof/>
        <w:sz w:val="20"/>
        <w:szCs w:val="20"/>
      </w:rPr>
      <w:t>”</w:t>
    </w:r>
    <w:r w:rsidR="000B1B71" w:rsidRPr="003C6A36">
      <w:rPr>
        <w:noProof/>
        <w:sz w:val="20"/>
        <w:szCs w:val="20"/>
      </w:rPr>
      <w:t xml:space="preserve"> papildinājuma 3.1.5.3.1.apakšaktivitāti </w:t>
    </w:r>
    <w:r w:rsidR="000B1B71">
      <w:rPr>
        <w:noProof/>
        <w:sz w:val="20"/>
        <w:szCs w:val="20"/>
      </w:rPr>
      <w:t>„</w:t>
    </w:r>
    <w:r w:rsidR="000B1B71" w:rsidRPr="003C6A36">
      <w:rPr>
        <w:noProof/>
        <w:sz w:val="20"/>
        <w:szCs w:val="20"/>
      </w:rPr>
      <w:t>Stacionārās veselības aprūpes attīstība</w:t>
    </w:r>
    <w:r w:rsidR="000B1B71">
      <w:rPr>
        <w:noProof/>
        <w:sz w:val="20"/>
        <w:szCs w:val="20"/>
      </w:rPr>
      <w:t>”””</w:t>
    </w:r>
    <w:r w:rsidR="000B1B71" w:rsidRPr="00C37452">
      <w:rPr>
        <w:noProof/>
        <w:sz w:val="20"/>
        <w:szCs w:val="20"/>
      </w:rPr>
      <w:t xml:space="preserve"> </w:t>
    </w:r>
    <w:r w:rsidR="000B1B71" w:rsidRPr="00354B0D">
      <w:rPr>
        <w:noProof/>
        <w:sz w:val="20"/>
        <w:szCs w:val="20"/>
      </w:rPr>
      <w:t xml:space="preserve">sākotnējās ietekmes novērtējuma </w:t>
    </w:r>
    <w:smartTag w:uri="schemas-tilde-lv/tildestengine" w:element="veidnes">
      <w:smartTagPr>
        <w:attr w:name="text" w:val="ziņojums"/>
        <w:attr w:name="baseform" w:val="ziņojums"/>
        <w:attr w:name="id" w:val="-1"/>
      </w:smartTagPr>
      <w:r w:rsidR="000B1B71" w:rsidRPr="00354B0D">
        <w:rPr>
          <w:noProof/>
          <w:sz w:val="20"/>
          <w:szCs w:val="20"/>
        </w:rPr>
        <w:t>ziņojums</w:t>
      </w:r>
    </w:smartTag>
    <w:r w:rsidR="000B1B71" w:rsidRPr="00354B0D">
      <w:rPr>
        <w:noProof/>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71" w:rsidRDefault="000B1B71">
      <w:r>
        <w:separator/>
      </w:r>
    </w:p>
  </w:footnote>
  <w:footnote w:type="continuationSeparator" w:id="1">
    <w:p w:rsidR="000B1B71" w:rsidRDefault="000B1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71" w:rsidRDefault="00D722D5">
    <w:pPr>
      <w:pStyle w:val="Header"/>
      <w:framePr w:wrap="around" w:vAnchor="text" w:hAnchor="margin" w:xAlign="center" w:y="1"/>
      <w:rPr>
        <w:rStyle w:val="PageNumber"/>
      </w:rPr>
    </w:pPr>
    <w:r>
      <w:rPr>
        <w:rStyle w:val="PageNumber"/>
      </w:rPr>
      <w:fldChar w:fldCharType="begin"/>
    </w:r>
    <w:r w:rsidR="000B1B71">
      <w:rPr>
        <w:rStyle w:val="PageNumber"/>
      </w:rPr>
      <w:instrText xml:space="preserve">PAGE  </w:instrText>
    </w:r>
    <w:r>
      <w:rPr>
        <w:rStyle w:val="PageNumber"/>
      </w:rPr>
      <w:fldChar w:fldCharType="end"/>
    </w:r>
  </w:p>
  <w:p w:rsidR="000B1B71" w:rsidRDefault="000B1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71" w:rsidRDefault="00D722D5">
    <w:pPr>
      <w:pStyle w:val="Header"/>
      <w:framePr w:wrap="around" w:vAnchor="text" w:hAnchor="margin" w:xAlign="center" w:y="1"/>
      <w:rPr>
        <w:rStyle w:val="PageNumber"/>
      </w:rPr>
    </w:pPr>
    <w:r>
      <w:rPr>
        <w:rStyle w:val="PageNumber"/>
      </w:rPr>
      <w:fldChar w:fldCharType="begin"/>
    </w:r>
    <w:r w:rsidR="000B1B71">
      <w:rPr>
        <w:rStyle w:val="PageNumber"/>
      </w:rPr>
      <w:instrText xml:space="preserve">PAGE  </w:instrText>
    </w:r>
    <w:r>
      <w:rPr>
        <w:rStyle w:val="PageNumber"/>
      </w:rPr>
      <w:fldChar w:fldCharType="separate"/>
    </w:r>
    <w:r w:rsidR="002D649A">
      <w:rPr>
        <w:rStyle w:val="PageNumber"/>
        <w:noProof/>
      </w:rPr>
      <w:t>12</w:t>
    </w:r>
    <w:r>
      <w:rPr>
        <w:rStyle w:val="PageNumber"/>
      </w:rPr>
      <w:fldChar w:fldCharType="end"/>
    </w:r>
  </w:p>
  <w:p w:rsidR="000B1B71" w:rsidRDefault="000B1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D06E3C5"/>
    <w:multiLevelType w:val="hybridMultilevel"/>
    <w:tmpl w:val="05B74D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34A6BF9"/>
    <w:multiLevelType w:val="hybridMultilevel"/>
    <w:tmpl w:val="85F6A6C0"/>
    <w:lvl w:ilvl="0" w:tplc="78B2DA90">
      <w:numFmt w:val="bullet"/>
      <w:lvlText w:val="-"/>
      <w:lvlJc w:val="left"/>
      <w:pPr>
        <w:ind w:left="535" w:hanging="360"/>
      </w:pPr>
      <w:rPr>
        <w:rFonts w:ascii="Times New Roman" w:eastAsia="Times New Roman" w:hAnsi="Times New Roman" w:hint="default"/>
      </w:rPr>
    </w:lvl>
    <w:lvl w:ilvl="1" w:tplc="04260003" w:tentative="1">
      <w:start w:val="1"/>
      <w:numFmt w:val="bullet"/>
      <w:lvlText w:val="o"/>
      <w:lvlJc w:val="left"/>
      <w:pPr>
        <w:ind w:left="1255" w:hanging="360"/>
      </w:pPr>
      <w:rPr>
        <w:rFonts w:ascii="Courier New" w:hAnsi="Courier New" w:hint="default"/>
      </w:rPr>
    </w:lvl>
    <w:lvl w:ilvl="2" w:tplc="04260005" w:tentative="1">
      <w:start w:val="1"/>
      <w:numFmt w:val="bullet"/>
      <w:lvlText w:val=""/>
      <w:lvlJc w:val="left"/>
      <w:pPr>
        <w:ind w:left="1975" w:hanging="360"/>
      </w:pPr>
      <w:rPr>
        <w:rFonts w:ascii="Wingdings" w:hAnsi="Wingdings" w:hint="default"/>
      </w:rPr>
    </w:lvl>
    <w:lvl w:ilvl="3" w:tplc="04260001" w:tentative="1">
      <w:start w:val="1"/>
      <w:numFmt w:val="bullet"/>
      <w:lvlText w:val=""/>
      <w:lvlJc w:val="left"/>
      <w:pPr>
        <w:ind w:left="2695" w:hanging="360"/>
      </w:pPr>
      <w:rPr>
        <w:rFonts w:ascii="Symbol" w:hAnsi="Symbol" w:hint="default"/>
      </w:rPr>
    </w:lvl>
    <w:lvl w:ilvl="4" w:tplc="04260003" w:tentative="1">
      <w:start w:val="1"/>
      <w:numFmt w:val="bullet"/>
      <w:lvlText w:val="o"/>
      <w:lvlJc w:val="left"/>
      <w:pPr>
        <w:ind w:left="3415" w:hanging="360"/>
      </w:pPr>
      <w:rPr>
        <w:rFonts w:ascii="Courier New" w:hAnsi="Courier New" w:hint="default"/>
      </w:rPr>
    </w:lvl>
    <w:lvl w:ilvl="5" w:tplc="04260005" w:tentative="1">
      <w:start w:val="1"/>
      <w:numFmt w:val="bullet"/>
      <w:lvlText w:val=""/>
      <w:lvlJc w:val="left"/>
      <w:pPr>
        <w:ind w:left="4135" w:hanging="360"/>
      </w:pPr>
      <w:rPr>
        <w:rFonts w:ascii="Wingdings" w:hAnsi="Wingdings" w:hint="default"/>
      </w:rPr>
    </w:lvl>
    <w:lvl w:ilvl="6" w:tplc="04260001" w:tentative="1">
      <w:start w:val="1"/>
      <w:numFmt w:val="bullet"/>
      <w:lvlText w:val=""/>
      <w:lvlJc w:val="left"/>
      <w:pPr>
        <w:ind w:left="4855" w:hanging="360"/>
      </w:pPr>
      <w:rPr>
        <w:rFonts w:ascii="Symbol" w:hAnsi="Symbol" w:hint="default"/>
      </w:rPr>
    </w:lvl>
    <w:lvl w:ilvl="7" w:tplc="04260003" w:tentative="1">
      <w:start w:val="1"/>
      <w:numFmt w:val="bullet"/>
      <w:lvlText w:val="o"/>
      <w:lvlJc w:val="left"/>
      <w:pPr>
        <w:ind w:left="5575" w:hanging="360"/>
      </w:pPr>
      <w:rPr>
        <w:rFonts w:ascii="Courier New" w:hAnsi="Courier New" w:hint="default"/>
      </w:rPr>
    </w:lvl>
    <w:lvl w:ilvl="8" w:tplc="04260005" w:tentative="1">
      <w:start w:val="1"/>
      <w:numFmt w:val="bullet"/>
      <w:lvlText w:val=""/>
      <w:lvlJc w:val="left"/>
      <w:pPr>
        <w:ind w:left="6295"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D354CB4"/>
    <w:multiLevelType w:val="hybridMultilevel"/>
    <w:tmpl w:val="59AEFCE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4721E6B"/>
    <w:multiLevelType w:val="hybridMultilevel"/>
    <w:tmpl w:val="486E1C70"/>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nsid w:val="14967C37"/>
    <w:multiLevelType w:val="hybridMultilevel"/>
    <w:tmpl w:val="253CC1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D31015"/>
    <w:multiLevelType w:val="hybridMultilevel"/>
    <w:tmpl w:val="36C208F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7217B31"/>
    <w:multiLevelType w:val="hybridMultilevel"/>
    <w:tmpl w:val="D4DC8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F8282C"/>
    <w:multiLevelType w:val="hybridMultilevel"/>
    <w:tmpl w:val="89B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E62DE"/>
    <w:multiLevelType w:val="hybridMultilevel"/>
    <w:tmpl w:val="4698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476CF"/>
    <w:multiLevelType w:val="hybridMultilevel"/>
    <w:tmpl w:val="392843F8"/>
    <w:lvl w:ilvl="0" w:tplc="B534FF94">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27D73026"/>
    <w:multiLevelType w:val="hybridMultilevel"/>
    <w:tmpl w:val="AFD03D5C"/>
    <w:lvl w:ilvl="0" w:tplc="04260003">
      <w:start w:val="1"/>
      <w:numFmt w:val="bullet"/>
      <w:lvlText w:val="o"/>
      <w:lvlJc w:val="left"/>
      <w:pPr>
        <w:ind w:left="780" w:hanging="360"/>
      </w:pPr>
      <w:rPr>
        <w:rFonts w:ascii="Courier New" w:hAnsi="Courier New"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2B674AC1"/>
    <w:multiLevelType w:val="hybridMultilevel"/>
    <w:tmpl w:val="129EB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57553"/>
    <w:multiLevelType w:val="hybridMultilevel"/>
    <w:tmpl w:val="8012C33C"/>
    <w:lvl w:ilvl="0" w:tplc="04260001">
      <w:start w:val="1"/>
      <w:numFmt w:val="bullet"/>
      <w:lvlText w:val=""/>
      <w:lvlJc w:val="left"/>
      <w:pPr>
        <w:ind w:left="1094" w:hanging="360"/>
      </w:pPr>
      <w:rPr>
        <w:rFonts w:ascii="Symbol" w:hAnsi="Symbol" w:hint="default"/>
      </w:rPr>
    </w:lvl>
    <w:lvl w:ilvl="1" w:tplc="04260003" w:tentative="1">
      <w:start w:val="1"/>
      <w:numFmt w:val="bullet"/>
      <w:lvlText w:val="o"/>
      <w:lvlJc w:val="left"/>
      <w:pPr>
        <w:ind w:left="1814" w:hanging="360"/>
      </w:pPr>
      <w:rPr>
        <w:rFonts w:ascii="Courier New" w:hAnsi="Courier New" w:hint="default"/>
      </w:rPr>
    </w:lvl>
    <w:lvl w:ilvl="2" w:tplc="04260005" w:tentative="1">
      <w:start w:val="1"/>
      <w:numFmt w:val="bullet"/>
      <w:lvlText w:val=""/>
      <w:lvlJc w:val="left"/>
      <w:pPr>
        <w:ind w:left="2534" w:hanging="360"/>
      </w:pPr>
      <w:rPr>
        <w:rFonts w:ascii="Wingdings" w:hAnsi="Wingdings" w:hint="default"/>
      </w:rPr>
    </w:lvl>
    <w:lvl w:ilvl="3" w:tplc="04260001" w:tentative="1">
      <w:start w:val="1"/>
      <w:numFmt w:val="bullet"/>
      <w:lvlText w:val=""/>
      <w:lvlJc w:val="left"/>
      <w:pPr>
        <w:ind w:left="3254" w:hanging="360"/>
      </w:pPr>
      <w:rPr>
        <w:rFonts w:ascii="Symbol" w:hAnsi="Symbol" w:hint="default"/>
      </w:rPr>
    </w:lvl>
    <w:lvl w:ilvl="4" w:tplc="04260003" w:tentative="1">
      <w:start w:val="1"/>
      <w:numFmt w:val="bullet"/>
      <w:lvlText w:val="o"/>
      <w:lvlJc w:val="left"/>
      <w:pPr>
        <w:ind w:left="3974" w:hanging="360"/>
      </w:pPr>
      <w:rPr>
        <w:rFonts w:ascii="Courier New" w:hAnsi="Courier New" w:hint="default"/>
      </w:rPr>
    </w:lvl>
    <w:lvl w:ilvl="5" w:tplc="04260005" w:tentative="1">
      <w:start w:val="1"/>
      <w:numFmt w:val="bullet"/>
      <w:lvlText w:val=""/>
      <w:lvlJc w:val="left"/>
      <w:pPr>
        <w:ind w:left="4694" w:hanging="360"/>
      </w:pPr>
      <w:rPr>
        <w:rFonts w:ascii="Wingdings" w:hAnsi="Wingdings" w:hint="default"/>
      </w:rPr>
    </w:lvl>
    <w:lvl w:ilvl="6" w:tplc="04260001" w:tentative="1">
      <w:start w:val="1"/>
      <w:numFmt w:val="bullet"/>
      <w:lvlText w:val=""/>
      <w:lvlJc w:val="left"/>
      <w:pPr>
        <w:ind w:left="5414" w:hanging="360"/>
      </w:pPr>
      <w:rPr>
        <w:rFonts w:ascii="Symbol" w:hAnsi="Symbol" w:hint="default"/>
      </w:rPr>
    </w:lvl>
    <w:lvl w:ilvl="7" w:tplc="04260003" w:tentative="1">
      <w:start w:val="1"/>
      <w:numFmt w:val="bullet"/>
      <w:lvlText w:val="o"/>
      <w:lvlJc w:val="left"/>
      <w:pPr>
        <w:ind w:left="6134" w:hanging="360"/>
      </w:pPr>
      <w:rPr>
        <w:rFonts w:ascii="Courier New" w:hAnsi="Courier New" w:hint="default"/>
      </w:rPr>
    </w:lvl>
    <w:lvl w:ilvl="8" w:tplc="04260005" w:tentative="1">
      <w:start w:val="1"/>
      <w:numFmt w:val="bullet"/>
      <w:lvlText w:val=""/>
      <w:lvlJc w:val="left"/>
      <w:pPr>
        <w:ind w:left="6854" w:hanging="360"/>
      </w:pPr>
      <w:rPr>
        <w:rFonts w:ascii="Wingdings" w:hAnsi="Wingdings" w:hint="default"/>
      </w:rPr>
    </w:lvl>
  </w:abstractNum>
  <w:abstractNum w:abstractNumId="16">
    <w:nsid w:val="2E4A066E"/>
    <w:multiLevelType w:val="hybridMultilevel"/>
    <w:tmpl w:val="F4A60C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A508D7"/>
    <w:multiLevelType w:val="hybridMultilevel"/>
    <w:tmpl w:val="920E97B6"/>
    <w:lvl w:ilvl="0" w:tplc="C898158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nsid w:val="3DDC5D93"/>
    <w:multiLevelType w:val="hybridMultilevel"/>
    <w:tmpl w:val="5B7AB3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8113A9"/>
    <w:multiLevelType w:val="hybridMultilevel"/>
    <w:tmpl w:val="A364C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A54355"/>
    <w:multiLevelType w:val="hybridMultilevel"/>
    <w:tmpl w:val="89B42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F10E0"/>
    <w:multiLevelType w:val="hybridMultilevel"/>
    <w:tmpl w:val="CB90F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EE439D"/>
    <w:multiLevelType w:val="hybridMultilevel"/>
    <w:tmpl w:val="59102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5EF7D72"/>
    <w:multiLevelType w:val="hybridMultilevel"/>
    <w:tmpl w:val="ADA05BD8"/>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7">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786" w:hanging="360"/>
      </w:pPr>
      <w:rPr>
        <w:rFonts w:ascii="Courier New" w:hAnsi="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30">
    <w:nsid w:val="672424C1"/>
    <w:multiLevelType w:val="hybridMultilevel"/>
    <w:tmpl w:val="5EA425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nsid w:val="694D0D6B"/>
    <w:multiLevelType w:val="hybridMultilevel"/>
    <w:tmpl w:val="F29CF488"/>
    <w:lvl w:ilvl="0" w:tplc="B534FF94">
      <w:start w:val="1"/>
      <w:numFmt w:val="bullet"/>
      <w:lvlText w:val=""/>
      <w:lvlJc w:val="left"/>
      <w:pPr>
        <w:ind w:left="360" w:hanging="360"/>
      </w:pPr>
      <w:rPr>
        <w:rFonts w:ascii="Wingdings" w:hAnsi="Wingdings" w:hint="default"/>
        <w:color w:val="auto"/>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A2324E"/>
    <w:multiLevelType w:val="hybridMultilevel"/>
    <w:tmpl w:val="22DE269A"/>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33">
    <w:nsid w:val="69FD56BA"/>
    <w:multiLevelType w:val="hybridMultilevel"/>
    <w:tmpl w:val="6116FC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nsid w:val="6B0F6C79"/>
    <w:multiLevelType w:val="hybridMultilevel"/>
    <w:tmpl w:val="B6521C18"/>
    <w:lvl w:ilvl="0" w:tplc="F232FE2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nsid w:val="6B806536"/>
    <w:multiLevelType w:val="hybridMultilevel"/>
    <w:tmpl w:val="2646CDF2"/>
    <w:lvl w:ilvl="0" w:tplc="00CAC57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1FA5384"/>
    <w:multiLevelType w:val="hybridMultilevel"/>
    <w:tmpl w:val="47109C3A"/>
    <w:lvl w:ilvl="0" w:tplc="061486BA">
      <w:start w:val="1"/>
      <w:numFmt w:val="bullet"/>
      <w:lvlText w:val=""/>
      <w:lvlJc w:val="left"/>
      <w:pPr>
        <w:ind w:left="1255" w:hanging="360"/>
      </w:pPr>
      <w:rPr>
        <w:rFonts w:ascii="Wingdings" w:hAnsi="Wingdings" w:hint="default"/>
        <w:color w:val="FF0000"/>
      </w:rPr>
    </w:lvl>
    <w:lvl w:ilvl="1" w:tplc="04260003" w:tentative="1">
      <w:start w:val="1"/>
      <w:numFmt w:val="bullet"/>
      <w:lvlText w:val="o"/>
      <w:lvlJc w:val="left"/>
      <w:pPr>
        <w:ind w:left="1975" w:hanging="360"/>
      </w:pPr>
      <w:rPr>
        <w:rFonts w:ascii="Courier New" w:hAnsi="Courier New" w:hint="default"/>
      </w:rPr>
    </w:lvl>
    <w:lvl w:ilvl="2" w:tplc="04260005" w:tentative="1">
      <w:start w:val="1"/>
      <w:numFmt w:val="bullet"/>
      <w:lvlText w:val=""/>
      <w:lvlJc w:val="left"/>
      <w:pPr>
        <w:ind w:left="2695" w:hanging="360"/>
      </w:pPr>
      <w:rPr>
        <w:rFonts w:ascii="Wingdings" w:hAnsi="Wingdings" w:hint="default"/>
      </w:rPr>
    </w:lvl>
    <w:lvl w:ilvl="3" w:tplc="04260001" w:tentative="1">
      <w:start w:val="1"/>
      <w:numFmt w:val="bullet"/>
      <w:lvlText w:val=""/>
      <w:lvlJc w:val="left"/>
      <w:pPr>
        <w:ind w:left="3415" w:hanging="360"/>
      </w:pPr>
      <w:rPr>
        <w:rFonts w:ascii="Symbol" w:hAnsi="Symbol" w:hint="default"/>
      </w:rPr>
    </w:lvl>
    <w:lvl w:ilvl="4" w:tplc="04260003" w:tentative="1">
      <w:start w:val="1"/>
      <w:numFmt w:val="bullet"/>
      <w:lvlText w:val="o"/>
      <w:lvlJc w:val="left"/>
      <w:pPr>
        <w:ind w:left="4135" w:hanging="360"/>
      </w:pPr>
      <w:rPr>
        <w:rFonts w:ascii="Courier New" w:hAnsi="Courier New" w:hint="default"/>
      </w:rPr>
    </w:lvl>
    <w:lvl w:ilvl="5" w:tplc="04260005" w:tentative="1">
      <w:start w:val="1"/>
      <w:numFmt w:val="bullet"/>
      <w:lvlText w:val=""/>
      <w:lvlJc w:val="left"/>
      <w:pPr>
        <w:ind w:left="4855" w:hanging="360"/>
      </w:pPr>
      <w:rPr>
        <w:rFonts w:ascii="Wingdings" w:hAnsi="Wingdings" w:hint="default"/>
      </w:rPr>
    </w:lvl>
    <w:lvl w:ilvl="6" w:tplc="04260001" w:tentative="1">
      <w:start w:val="1"/>
      <w:numFmt w:val="bullet"/>
      <w:lvlText w:val=""/>
      <w:lvlJc w:val="left"/>
      <w:pPr>
        <w:ind w:left="5575" w:hanging="360"/>
      </w:pPr>
      <w:rPr>
        <w:rFonts w:ascii="Symbol" w:hAnsi="Symbol" w:hint="default"/>
      </w:rPr>
    </w:lvl>
    <w:lvl w:ilvl="7" w:tplc="04260003" w:tentative="1">
      <w:start w:val="1"/>
      <w:numFmt w:val="bullet"/>
      <w:lvlText w:val="o"/>
      <w:lvlJc w:val="left"/>
      <w:pPr>
        <w:ind w:left="6295" w:hanging="360"/>
      </w:pPr>
      <w:rPr>
        <w:rFonts w:ascii="Courier New" w:hAnsi="Courier New" w:hint="default"/>
      </w:rPr>
    </w:lvl>
    <w:lvl w:ilvl="8" w:tplc="04260005" w:tentative="1">
      <w:start w:val="1"/>
      <w:numFmt w:val="bullet"/>
      <w:lvlText w:val=""/>
      <w:lvlJc w:val="left"/>
      <w:pPr>
        <w:ind w:left="7015" w:hanging="360"/>
      </w:pPr>
      <w:rPr>
        <w:rFonts w:ascii="Wingdings" w:hAnsi="Wingdings" w:hint="default"/>
      </w:rPr>
    </w:lvl>
  </w:abstractNum>
  <w:abstractNum w:abstractNumId="37">
    <w:nsid w:val="7DB56128"/>
    <w:multiLevelType w:val="hybridMultilevel"/>
    <w:tmpl w:val="195EB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2"/>
  </w:num>
  <w:num w:numId="4">
    <w:abstractNumId w:val="1"/>
  </w:num>
  <w:num w:numId="5">
    <w:abstractNumId w:val="0"/>
  </w:num>
  <w:num w:numId="6">
    <w:abstractNumId w:val="4"/>
  </w:num>
  <w:num w:numId="7">
    <w:abstractNumId w:val="29"/>
  </w:num>
  <w:num w:numId="8">
    <w:abstractNumId w:val="20"/>
  </w:num>
  <w:num w:numId="9">
    <w:abstractNumId w:val="16"/>
  </w:num>
  <w:num w:numId="10">
    <w:abstractNumId w:val="18"/>
  </w:num>
  <w:num w:numId="11">
    <w:abstractNumId w:val="31"/>
  </w:num>
  <w:num w:numId="12">
    <w:abstractNumId w:val="14"/>
  </w:num>
  <w:num w:numId="13">
    <w:abstractNumId w:val="15"/>
  </w:num>
  <w:num w:numId="14">
    <w:abstractNumId w:val="8"/>
  </w:num>
  <w:num w:numId="15">
    <w:abstractNumId w:val="30"/>
  </w:num>
  <w:num w:numId="16">
    <w:abstractNumId w:val="33"/>
  </w:num>
  <w:num w:numId="17">
    <w:abstractNumId w:val="9"/>
  </w:num>
  <w:num w:numId="18">
    <w:abstractNumId w:val="24"/>
  </w:num>
  <w:num w:numId="19">
    <w:abstractNumId w:val="13"/>
  </w:num>
  <w:num w:numId="20">
    <w:abstractNumId w:val="12"/>
  </w:num>
  <w:num w:numId="21">
    <w:abstractNumId w:val="25"/>
  </w:num>
  <w:num w:numId="22">
    <w:abstractNumId w:val="5"/>
  </w:num>
  <w:num w:numId="23">
    <w:abstractNumId w:val="3"/>
  </w:num>
  <w:num w:numId="24">
    <w:abstractNumId w:val="36"/>
  </w:num>
  <w:num w:numId="25">
    <w:abstractNumId w:val="26"/>
  </w:num>
  <w:num w:numId="26">
    <w:abstractNumId w:val="32"/>
  </w:num>
  <w:num w:numId="27">
    <w:abstractNumId w:val="7"/>
  </w:num>
  <w:num w:numId="28">
    <w:abstractNumId w:val="6"/>
  </w:num>
  <w:num w:numId="29">
    <w:abstractNumId w:val="27"/>
  </w:num>
  <w:num w:numId="30">
    <w:abstractNumId w:val="23"/>
  </w:num>
  <w:num w:numId="31">
    <w:abstractNumId w:val="35"/>
  </w:num>
  <w:num w:numId="32">
    <w:abstractNumId w:val="17"/>
  </w:num>
  <w:num w:numId="33">
    <w:abstractNumId w:val="19"/>
  </w:num>
  <w:num w:numId="34">
    <w:abstractNumId w:val="34"/>
  </w:num>
  <w:num w:numId="35">
    <w:abstractNumId w:val="37"/>
  </w:num>
  <w:num w:numId="36">
    <w:abstractNumId w:val="11"/>
  </w:num>
  <w:num w:numId="37">
    <w:abstractNumId w:val="2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footnotePr>
    <w:footnote w:id="0"/>
    <w:footnote w:id="1"/>
  </w:footnotePr>
  <w:endnotePr>
    <w:endnote w:id="0"/>
    <w:endnote w:id="1"/>
  </w:endnotePr>
  <w:compat/>
  <w:rsids>
    <w:rsidRoot w:val="00051A1C"/>
    <w:rsid w:val="000006CF"/>
    <w:rsid w:val="00002859"/>
    <w:rsid w:val="0000392C"/>
    <w:rsid w:val="00003CEA"/>
    <w:rsid w:val="00007989"/>
    <w:rsid w:val="00010234"/>
    <w:rsid w:val="00010573"/>
    <w:rsid w:val="000106D5"/>
    <w:rsid w:val="00014819"/>
    <w:rsid w:val="0001496E"/>
    <w:rsid w:val="00016826"/>
    <w:rsid w:val="00016A2E"/>
    <w:rsid w:val="00016BD9"/>
    <w:rsid w:val="00017DF7"/>
    <w:rsid w:val="000209FC"/>
    <w:rsid w:val="00021364"/>
    <w:rsid w:val="00022523"/>
    <w:rsid w:val="000225E5"/>
    <w:rsid w:val="00023A89"/>
    <w:rsid w:val="00023BA6"/>
    <w:rsid w:val="00023EAD"/>
    <w:rsid w:val="0002480A"/>
    <w:rsid w:val="00031B47"/>
    <w:rsid w:val="00032A9F"/>
    <w:rsid w:val="000331F5"/>
    <w:rsid w:val="000350F7"/>
    <w:rsid w:val="000401EE"/>
    <w:rsid w:val="00040261"/>
    <w:rsid w:val="00040280"/>
    <w:rsid w:val="000404F1"/>
    <w:rsid w:val="0004188B"/>
    <w:rsid w:val="000419AE"/>
    <w:rsid w:val="000427CE"/>
    <w:rsid w:val="00043261"/>
    <w:rsid w:val="0004341C"/>
    <w:rsid w:val="00043687"/>
    <w:rsid w:val="00044751"/>
    <w:rsid w:val="00044811"/>
    <w:rsid w:val="000461A6"/>
    <w:rsid w:val="00046C46"/>
    <w:rsid w:val="00046C62"/>
    <w:rsid w:val="00046D48"/>
    <w:rsid w:val="00050028"/>
    <w:rsid w:val="000518C5"/>
    <w:rsid w:val="00051A1C"/>
    <w:rsid w:val="00051C99"/>
    <w:rsid w:val="0005514A"/>
    <w:rsid w:val="0005631C"/>
    <w:rsid w:val="000563AF"/>
    <w:rsid w:val="0005680A"/>
    <w:rsid w:val="00060FDE"/>
    <w:rsid w:val="0006285F"/>
    <w:rsid w:val="00062879"/>
    <w:rsid w:val="00062E81"/>
    <w:rsid w:val="000657E4"/>
    <w:rsid w:val="00065C4A"/>
    <w:rsid w:val="000700EC"/>
    <w:rsid w:val="000703FA"/>
    <w:rsid w:val="000748B8"/>
    <w:rsid w:val="00074C50"/>
    <w:rsid w:val="00075C90"/>
    <w:rsid w:val="00075FE6"/>
    <w:rsid w:val="0007617E"/>
    <w:rsid w:val="0008105E"/>
    <w:rsid w:val="0008118C"/>
    <w:rsid w:val="00081513"/>
    <w:rsid w:val="00081E56"/>
    <w:rsid w:val="00082220"/>
    <w:rsid w:val="000838C4"/>
    <w:rsid w:val="0008397F"/>
    <w:rsid w:val="00084A64"/>
    <w:rsid w:val="00084DDC"/>
    <w:rsid w:val="000876AA"/>
    <w:rsid w:val="00087787"/>
    <w:rsid w:val="00087912"/>
    <w:rsid w:val="000879A1"/>
    <w:rsid w:val="000879EB"/>
    <w:rsid w:val="00090780"/>
    <w:rsid w:val="0009078A"/>
    <w:rsid w:val="000920DD"/>
    <w:rsid w:val="00092C08"/>
    <w:rsid w:val="00092C69"/>
    <w:rsid w:val="00092F8F"/>
    <w:rsid w:val="00093955"/>
    <w:rsid w:val="00093E32"/>
    <w:rsid w:val="00094A86"/>
    <w:rsid w:val="00094D29"/>
    <w:rsid w:val="00094F8F"/>
    <w:rsid w:val="00095C56"/>
    <w:rsid w:val="0009711C"/>
    <w:rsid w:val="000A0B0B"/>
    <w:rsid w:val="000A0FF3"/>
    <w:rsid w:val="000A1230"/>
    <w:rsid w:val="000A2285"/>
    <w:rsid w:val="000A249F"/>
    <w:rsid w:val="000A388A"/>
    <w:rsid w:val="000A3D7C"/>
    <w:rsid w:val="000A632A"/>
    <w:rsid w:val="000A6B35"/>
    <w:rsid w:val="000A7B2A"/>
    <w:rsid w:val="000B0A3D"/>
    <w:rsid w:val="000B18FD"/>
    <w:rsid w:val="000B1B71"/>
    <w:rsid w:val="000B1BF6"/>
    <w:rsid w:val="000B31BB"/>
    <w:rsid w:val="000B5EC2"/>
    <w:rsid w:val="000B64CD"/>
    <w:rsid w:val="000C0894"/>
    <w:rsid w:val="000C11F7"/>
    <w:rsid w:val="000C1806"/>
    <w:rsid w:val="000C232B"/>
    <w:rsid w:val="000C326C"/>
    <w:rsid w:val="000C328B"/>
    <w:rsid w:val="000C3AA5"/>
    <w:rsid w:val="000C4947"/>
    <w:rsid w:val="000C5666"/>
    <w:rsid w:val="000C62B6"/>
    <w:rsid w:val="000C69A8"/>
    <w:rsid w:val="000C7607"/>
    <w:rsid w:val="000C7F03"/>
    <w:rsid w:val="000D0990"/>
    <w:rsid w:val="000D0E9D"/>
    <w:rsid w:val="000D0EC9"/>
    <w:rsid w:val="000D10A0"/>
    <w:rsid w:val="000D1DF2"/>
    <w:rsid w:val="000D2306"/>
    <w:rsid w:val="000D2DB2"/>
    <w:rsid w:val="000D3507"/>
    <w:rsid w:val="000D3C37"/>
    <w:rsid w:val="000D40AC"/>
    <w:rsid w:val="000D4485"/>
    <w:rsid w:val="000D5A1E"/>
    <w:rsid w:val="000D60D0"/>
    <w:rsid w:val="000D7C2B"/>
    <w:rsid w:val="000E0490"/>
    <w:rsid w:val="000E2002"/>
    <w:rsid w:val="000E2451"/>
    <w:rsid w:val="000E3B43"/>
    <w:rsid w:val="000E3FAE"/>
    <w:rsid w:val="000E50F3"/>
    <w:rsid w:val="000E519F"/>
    <w:rsid w:val="000E6D22"/>
    <w:rsid w:val="000E7021"/>
    <w:rsid w:val="000E73E7"/>
    <w:rsid w:val="000F079B"/>
    <w:rsid w:val="000F08FF"/>
    <w:rsid w:val="000F099A"/>
    <w:rsid w:val="000F0B0D"/>
    <w:rsid w:val="000F14B1"/>
    <w:rsid w:val="000F42B4"/>
    <w:rsid w:val="000F5852"/>
    <w:rsid w:val="000F694E"/>
    <w:rsid w:val="000F7DCA"/>
    <w:rsid w:val="0010180A"/>
    <w:rsid w:val="00101A99"/>
    <w:rsid w:val="001022F4"/>
    <w:rsid w:val="00102B64"/>
    <w:rsid w:val="00103B3E"/>
    <w:rsid w:val="00103B6C"/>
    <w:rsid w:val="00103DB6"/>
    <w:rsid w:val="00104722"/>
    <w:rsid w:val="001056DC"/>
    <w:rsid w:val="00106780"/>
    <w:rsid w:val="00106ABE"/>
    <w:rsid w:val="00106C4B"/>
    <w:rsid w:val="00106FF3"/>
    <w:rsid w:val="0010708D"/>
    <w:rsid w:val="00107C46"/>
    <w:rsid w:val="001108E9"/>
    <w:rsid w:val="00111190"/>
    <w:rsid w:val="0011122E"/>
    <w:rsid w:val="00111307"/>
    <w:rsid w:val="0011132A"/>
    <w:rsid w:val="001118C1"/>
    <w:rsid w:val="00111D17"/>
    <w:rsid w:val="00113461"/>
    <w:rsid w:val="00113E50"/>
    <w:rsid w:val="00115C48"/>
    <w:rsid w:val="00117BB9"/>
    <w:rsid w:val="0012089E"/>
    <w:rsid w:val="00121708"/>
    <w:rsid w:val="00122EC9"/>
    <w:rsid w:val="00123DA9"/>
    <w:rsid w:val="00124003"/>
    <w:rsid w:val="0012583B"/>
    <w:rsid w:val="00125ED6"/>
    <w:rsid w:val="001268E7"/>
    <w:rsid w:val="001274D6"/>
    <w:rsid w:val="00127A88"/>
    <w:rsid w:val="00130286"/>
    <w:rsid w:val="0013083A"/>
    <w:rsid w:val="00130B15"/>
    <w:rsid w:val="00132010"/>
    <w:rsid w:val="00132477"/>
    <w:rsid w:val="00132673"/>
    <w:rsid w:val="001342F6"/>
    <w:rsid w:val="001343E2"/>
    <w:rsid w:val="0013473F"/>
    <w:rsid w:val="00136848"/>
    <w:rsid w:val="00137091"/>
    <w:rsid w:val="00137712"/>
    <w:rsid w:val="0013783F"/>
    <w:rsid w:val="001411AF"/>
    <w:rsid w:val="001420EE"/>
    <w:rsid w:val="0014373C"/>
    <w:rsid w:val="001437C1"/>
    <w:rsid w:val="001442C4"/>
    <w:rsid w:val="001445AA"/>
    <w:rsid w:val="00146DB1"/>
    <w:rsid w:val="001475B2"/>
    <w:rsid w:val="00147FEA"/>
    <w:rsid w:val="001507FC"/>
    <w:rsid w:val="00151E3F"/>
    <w:rsid w:val="00151F95"/>
    <w:rsid w:val="001526CD"/>
    <w:rsid w:val="00152866"/>
    <w:rsid w:val="00152D07"/>
    <w:rsid w:val="00153393"/>
    <w:rsid w:val="00155F8A"/>
    <w:rsid w:val="00156B34"/>
    <w:rsid w:val="00160053"/>
    <w:rsid w:val="0016187F"/>
    <w:rsid w:val="0016188D"/>
    <w:rsid w:val="00161E92"/>
    <w:rsid w:val="00162A40"/>
    <w:rsid w:val="00165AF4"/>
    <w:rsid w:val="00166407"/>
    <w:rsid w:val="0016725E"/>
    <w:rsid w:val="001673CB"/>
    <w:rsid w:val="001674EA"/>
    <w:rsid w:val="0016756C"/>
    <w:rsid w:val="00172D3A"/>
    <w:rsid w:val="00172E1B"/>
    <w:rsid w:val="00173657"/>
    <w:rsid w:val="00173DB7"/>
    <w:rsid w:val="00174F93"/>
    <w:rsid w:val="00175779"/>
    <w:rsid w:val="00175FE2"/>
    <w:rsid w:val="00176498"/>
    <w:rsid w:val="001777FC"/>
    <w:rsid w:val="0018006E"/>
    <w:rsid w:val="00180ACF"/>
    <w:rsid w:val="00180D14"/>
    <w:rsid w:val="0018142B"/>
    <w:rsid w:val="00182AA3"/>
    <w:rsid w:val="00183B82"/>
    <w:rsid w:val="00184C32"/>
    <w:rsid w:val="001851B3"/>
    <w:rsid w:val="00185364"/>
    <w:rsid w:val="00185B8D"/>
    <w:rsid w:val="00187A41"/>
    <w:rsid w:val="00187B52"/>
    <w:rsid w:val="00187BCA"/>
    <w:rsid w:val="00190925"/>
    <w:rsid w:val="00190E51"/>
    <w:rsid w:val="00191748"/>
    <w:rsid w:val="00191D21"/>
    <w:rsid w:val="00193692"/>
    <w:rsid w:val="001942EB"/>
    <w:rsid w:val="00194CC7"/>
    <w:rsid w:val="001950BA"/>
    <w:rsid w:val="00195FE5"/>
    <w:rsid w:val="00197678"/>
    <w:rsid w:val="001A033A"/>
    <w:rsid w:val="001A0B18"/>
    <w:rsid w:val="001A22CB"/>
    <w:rsid w:val="001A28C3"/>
    <w:rsid w:val="001A3B62"/>
    <w:rsid w:val="001A4BFB"/>
    <w:rsid w:val="001A4EE7"/>
    <w:rsid w:val="001A5CA1"/>
    <w:rsid w:val="001A5F95"/>
    <w:rsid w:val="001A6264"/>
    <w:rsid w:val="001A788A"/>
    <w:rsid w:val="001B02E4"/>
    <w:rsid w:val="001B0E85"/>
    <w:rsid w:val="001B0FB3"/>
    <w:rsid w:val="001B1B32"/>
    <w:rsid w:val="001B1DEC"/>
    <w:rsid w:val="001B1E8D"/>
    <w:rsid w:val="001B7153"/>
    <w:rsid w:val="001B71F8"/>
    <w:rsid w:val="001C02F2"/>
    <w:rsid w:val="001C07E0"/>
    <w:rsid w:val="001C11EA"/>
    <w:rsid w:val="001C1423"/>
    <w:rsid w:val="001C338C"/>
    <w:rsid w:val="001C3562"/>
    <w:rsid w:val="001C457A"/>
    <w:rsid w:val="001C493F"/>
    <w:rsid w:val="001C5F71"/>
    <w:rsid w:val="001C68E9"/>
    <w:rsid w:val="001D0025"/>
    <w:rsid w:val="001D0BE3"/>
    <w:rsid w:val="001D2D91"/>
    <w:rsid w:val="001D2F3C"/>
    <w:rsid w:val="001D3051"/>
    <w:rsid w:val="001D3987"/>
    <w:rsid w:val="001D4584"/>
    <w:rsid w:val="001D49E8"/>
    <w:rsid w:val="001D6102"/>
    <w:rsid w:val="001D6DB1"/>
    <w:rsid w:val="001E155F"/>
    <w:rsid w:val="001E1C78"/>
    <w:rsid w:val="001E20B3"/>
    <w:rsid w:val="001E3003"/>
    <w:rsid w:val="001E32B2"/>
    <w:rsid w:val="001E4130"/>
    <w:rsid w:val="001E4513"/>
    <w:rsid w:val="001E6859"/>
    <w:rsid w:val="001E6CEC"/>
    <w:rsid w:val="001E7771"/>
    <w:rsid w:val="001F04E9"/>
    <w:rsid w:val="001F1DDC"/>
    <w:rsid w:val="001F1DDE"/>
    <w:rsid w:val="001F2426"/>
    <w:rsid w:val="001F2F1B"/>
    <w:rsid w:val="001F31EB"/>
    <w:rsid w:val="001F36EF"/>
    <w:rsid w:val="001F39B6"/>
    <w:rsid w:val="001F3FB8"/>
    <w:rsid w:val="001F4E23"/>
    <w:rsid w:val="001F6BC5"/>
    <w:rsid w:val="001F76D3"/>
    <w:rsid w:val="001F7F06"/>
    <w:rsid w:val="00200E3B"/>
    <w:rsid w:val="0020206A"/>
    <w:rsid w:val="00202099"/>
    <w:rsid w:val="0020264D"/>
    <w:rsid w:val="00202856"/>
    <w:rsid w:val="0020494B"/>
    <w:rsid w:val="00205006"/>
    <w:rsid w:val="00205ADF"/>
    <w:rsid w:val="002070E9"/>
    <w:rsid w:val="002105B1"/>
    <w:rsid w:val="00210B37"/>
    <w:rsid w:val="0021141D"/>
    <w:rsid w:val="0021148A"/>
    <w:rsid w:val="00211DB8"/>
    <w:rsid w:val="00212E13"/>
    <w:rsid w:val="00213AD2"/>
    <w:rsid w:val="0021470A"/>
    <w:rsid w:val="00214F9A"/>
    <w:rsid w:val="002164FB"/>
    <w:rsid w:val="00216724"/>
    <w:rsid w:val="00217705"/>
    <w:rsid w:val="002178A0"/>
    <w:rsid w:val="002209CB"/>
    <w:rsid w:val="00221576"/>
    <w:rsid w:val="0022195A"/>
    <w:rsid w:val="00221A24"/>
    <w:rsid w:val="00224ACA"/>
    <w:rsid w:val="00226A91"/>
    <w:rsid w:val="002313AD"/>
    <w:rsid w:val="00231B6A"/>
    <w:rsid w:val="00232CEC"/>
    <w:rsid w:val="00233132"/>
    <w:rsid w:val="00234B35"/>
    <w:rsid w:val="002352C7"/>
    <w:rsid w:val="00235360"/>
    <w:rsid w:val="0023643A"/>
    <w:rsid w:val="00236630"/>
    <w:rsid w:val="00236F7C"/>
    <w:rsid w:val="00241E38"/>
    <w:rsid w:val="00241EAF"/>
    <w:rsid w:val="00241FC0"/>
    <w:rsid w:val="00243493"/>
    <w:rsid w:val="002440D4"/>
    <w:rsid w:val="0024456D"/>
    <w:rsid w:val="0024551A"/>
    <w:rsid w:val="0024567A"/>
    <w:rsid w:val="00245E4D"/>
    <w:rsid w:val="0024688C"/>
    <w:rsid w:val="00250273"/>
    <w:rsid w:val="00250E14"/>
    <w:rsid w:val="00251191"/>
    <w:rsid w:val="002518B4"/>
    <w:rsid w:val="00251CA4"/>
    <w:rsid w:val="00252F83"/>
    <w:rsid w:val="00253E28"/>
    <w:rsid w:val="00255C4F"/>
    <w:rsid w:val="00257286"/>
    <w:rsid w:val="00260DED"/>
    <w:rsid w:val="00260F8B"/>
    <w:rsid w:val="00262B6A"/>
    <w:rsid w:val="00263742"/>
    <w:rsid w:val="0026440F"/>
    <w:rsid w:val="00265B3A"/>
    <w:rsid w:val="00266AD1"/>
    <w:rsid w:val="00270922"/>
    <w:rsid w:val="0027195F"/>
    <w:rsid w:val="002729EE"/>
    <w:rsid w:val="00272DE6"/>
    <w:rsid w:val="00273157"/>
    <w:rsid w:val="002742A1"/>
    <w:rsid w:val="00275505"/>
    <w:rsid w:val="00275599"/>
    <w:rsid w:val="00277893"/>
    <w:rsid w:val="00277C09"/>
    <w:rsid w:val="00277CFA"/>
    <w:rsid w:val="00280BA2"/>
    <w:rsid w:val="00282642"/>
    <w:rsid w:val="002845C6"/>
    <w:rsid w:val="0028551C"/>
    <w:rsid w:val="0028615F"/>
    <w:rsid w:val="002871B8"/>
    <w:rsid w:val="00287987"/>
    <w:rsid w:val="00290C29"/>
    <w:rsid w:val="0029164B"/>
    <w:rsid w:val="0029194F"/>
    <w:rsid w:val="00291DAD"/>
    <w:rsid w:val="00291E72"/>
    <w:rsid w:val="00292EC1"/>
    <w:rsid w:val="0029403B"/>
    <w:rsid w:val="00295EAE"/>
    <w:rsid w:val="00295F5A"/>
    <w:rsid w:val="00297DDD"/>
    <w:rsid w:val="002A0184"/>
    <w:rsid w:val="002A0382"/>
    <w:rsid w:val="002A03BF"/>
    <w:rsid w:val="002A0E81"/>
    <w:rsid w:val="002A1432"/>
    <w:rsid w:val="002A198C"/>
    <w:rsid w:val="002A31D0"/>
    <w:rsid w:val="002A46CA"/>
    <w:rsid w:val="002A49D0"/>
    <w:rsid w:val="002A725C"/>
    <w:rsid w:val="002B0032"/>
    <w:rsid w:val="002B0124"/>
    <w:rsid w:val="002B013F"/>
    <w:rsid w:val="002B0C0C"/>
    <w:rsid w:val="002B2135"/>
    <w:rsid w:val="002B2148"/>
    <w:rsid w:val="002B2650"/>
    <w:rsid w:val="002B29C1"/>
    <w:rsid w:val="002B35F0"/>
    <w:rsid w:val="002B3DFA"/>
    <w:rsid w:val="002B5A80"/>
    <w:rsid w:val="002B5D9A"/>
    <w:rsid w:val="002B68CE"/>
    <w:rsid w:val="002B6B54"/>
    <w:rsid w:val="002B6C72"/>
    <w:rsid w:val="002B70B0"/>
    <w:rsid w:val="002B711B"/>
    <w:rsid w:val="002B78C1"/>
    <w:rsid w:val="002C02D4"/>
    <w:rsid w:val="002C13CF"/>
    <w:rsid w:val="002C3857"/>
    <w:rsid w:val="002C3C50"/>
    <w:rsid w:val="002C3F14"/>
    <w:rsid w:val="002C5D12"/>
    <w:rsid w:val="002C605B"/>
    <w:rsid w:val="002C6AD5"/>
    <w:rsid w:val="002D0DEF"/>
    <w:rsid w:val="002D15EC"/>
    <w:rsid w:val="002D1C06"/>
    <w:rsid w:val="002D2859"/>
    <w:rsid w:val="002D2992"/>
    <w:rsid w:val="002D33E0"/>
    <w:rsid w:val="002D3906"/>
    <w:rsid w:val="002D3EA8"/>
    <w:rsid w:val="002D3F36"/>
    <w:rsid w:val="002D48B0"/>
    <w:rsid w:val="002D55B2"/>
    <w:rsid w:val="002D599A"/>
    <w:rsid w:val="002D649A"/>
    <w:rsid w:val="002D6C23"/>
    <w:rsid w:val="002D70CB"/>
    <w:rsid w:val="002E1AA0"/>
    <w:rsid w:val="002E1C0E"/>
    <w:rsid w:val="002E3222"/>
    <w:rsid w:val="002E4977"/>
    <w:rsid w:val="002E64EC"/>
    <w:rsid w:val="002E6680"/>
    <w:rsid w:val="002E70B4"/>
    <w:rsid w:val="002E77C2"/>
    <w:rsid w:val="002F0610"/>
    <w:rsid w:val="002F1089"/>
    <w:rsid w:val="002F1241"/>
    <w:rsid w:val="002F1C53"/>
    <w:rsid w:val="002F25D5"/>
    <w:rsid w:val="002F2A6C"/>
    <w:rsid w:val="002F2C30"/>
    <w:rsid w:val="002F3222"/>
    <w:rsid w:val="002F35E2"/>
    <w:rsid w:val="002F3C9C"/>
    <w:rsid w:val="002F3DAD"/>
    <w:rsid w:val="002F4AA1"/>
    <w:rsid w:val="002F5298"/>
    <w:rsid w:val="002F55B9"/>
    <w:rsid w:val="002F5C8A"/>
    <w:rsid w:val="002F6DDC"/>
    <w:rsid w:val="00301E92"/>
    <w:rsid w:val="00303ECC"/>
    <w:rsid w:val="00304268"/>
    <w:rsid w:val="00304FAC"/>
    <w:rsid w:val="00304FB3"/>
    <w:rsid w:val="00305147"/>
    <w:rsid w:val="003053E2"/>
    <w:rsid w:val="00306FC9"/>
    <w:rsid w:val="00312F4F"/>
    <w:rsid w:val="00314B70"/>
    <w:rsid w:val="003207B2"/>
    <w:rsid w:val="00320DFD"/>
    <w:rsid w:val="0032178A"/>
    <w:rsid w:val="003225AA"/>
    <w:rsid w:val="00322F35"/>
    <w:rsid w:val="003233AF"/>
    <w:rsid w:val="00323DD9"/>
    <w:rsid w:val="00323E40"/>
    <w:rsid w:val="003255B6"/>
    <w:rsid w:val="00325FE3"/>
    <w:rsid w:val="00327D98"/>
    <w:rsid w:val="00327F2F"/>
    <w:rsid w:val="00330ACA"/>
    <w:rsid w:val="003312B4"/>
    <w:rsid w:val="00332010"/>
    <w:rsid w:val="00332500"/>
    <w:rsid w:val="003349DF"/>
    <w:rsid w:val="00335277"/>
    <w:rsid w:val="0033566F"/>
    <w:rsid w:val="00340B9C"/>
    <w:rsid w:val="00341476"/>
    <w:rsid w:val="0034346D"/>
    <w:rsid w:val="003444B0"/>
    <w:rsid w:val="00344E26"/>
    <w:rsid w:val="00345DA7"/>
    <w:rsid w:val="0034660F"/>
    <w:rsid w:val="00350BD6"/>
    <w:rsid w:val="00352853"/>
    <w:rsid w:val="003536D5"/>
    <w:rsid w:val="00354B0D"/>
    <w:rsid w:val="00354C21"/>
    <w:rsid w:val="00355D4B"/>
    <w:rsid w:val="00357041"/>
    <w:rsid w:val="00357958"/>
    <w:rsid w:val="00357977"/>
    <w:rsid w:val="00357DCB"/>
    <w:rsid w:val="0036029D"/>
    <w:rsid w:val="00360990"/>
    <w:rsid w:val="003615C2"/>
    <w:rsid w:val="0036166B"/>
    <w:rsid w:val="00361F5B"/>
    <w:rsid w:val="00362A62"/>
    <w:rsid w:val="0036313C"/>
    <w:rsid w:val="003634C2"/>
    <w:rsid w:val="0036354A"/>
    <w:rsid w:val="00363DC2"/>
    <w:rsid w:val="00365A5C"/>
    <w:rsid w:val="003672FF"/>
    <w:rsid w:val="0036772C"/>
    <w:rsid w:val="00367D95"/>
    <w:rsid w:val="00367F43"/>
    <w:rsid w:val="00371542"/>
    <w:rsid w:val="00371CAB"/>
    <w:rsid w:val="00371F83"/>
    <w:rsid w:val="003720ED"/>
    <w:rsid w:val="00372200"/>
    <w:rsid w:val="00374E68"/>
    <w:rsid w:val="0037552B"/>
    <w:rsid w:val="00375726"/>
    <w:rsid w:val="0037578F"/>
    <w:rsid w:val="0037684B"/>
    <w:rsid w:val="00376899"/>
    <w:rsid w:val="00376A85"/>
    <w:rsid w:val="00376CD4"/>
    <w:rsid w:val="00377438"/>
    <w:rsid w:val="003777F9"/>
    <w:rsid w:val="0038256D"/>
    <w:rsid w:val="00383560"/>
    <w:rsid w:val="003845D9"/>
    <w:rsid w:val="00384797"/>
    <w:rsid w:val="00384974"/>
    <w:rsid w:val="00384D18"/>
    <w:rsid w:val="00386E5C"/>
    <w:rsid w:val="00390B0A"/>
    <w:rsid w:val="00391A0D"/>
    <w:rsid w:val="00392859"/>
    <w:rsid w:val="00392AD8"/>
    <w:rsid w:val="0039369E"/>
    <w:rsid w:val="00394632"/>
    <w:rsid w:val="00394AC9"/>
    <w:rsid w:val="00395167"/>
    <w:rsid w:val="003958D7"/>
    <w:rsid w:val="00397A86"/>
    <w:rsid w:val="003A33E3"/>
    <w:rsid w:val="003A3490"/>
    <w:rsid w:val="003A4FD6"/>
    <w:rsid w:val="003A5810"/>
    <w:rsid w:val="003A58AA"/>
    <w:rsid w:val="003A68AD"/>
    <w:rsid w:val="003A71D9"/>
    <w:rsid w:val="003A743D"/>
    <w:rsid w:val="003B1B8D"/>
    <w:rsid w:val="003B27A7"/>
    <w:rsid w:val="003B4946"/>
    <w:rsid w:val="003B5988"/>
    <w:rsid w:val="003B7EA5"/>
    <w:rsid w:val="003C1481"/>
    <w:rsid w:val="003C1A61"/>
    <w:rsid w:val="003C1A7F"/>
    <w:rsid w:val="003C575D"/>
    <w:rsid w:val="003C6A36"/>
    <w:rsid w:val="003C6A6F"/>
    <w:rsid w:val="003C71C8"/>
    <w:rsid w:val="003D19D5"/>
    <w:rsid w:val="003D2D26"/>
    <w:rsid w:val="003D36AC"/>
    <w:rsid w:val="003D3737"/>
    <w:rsid w:val="003D4C14"/>
    <w:rsid w:val="003D4C5F"/>
    <w:rsid w:val="003D55EC"/>
    <w:rsid w:val="003D6096"/>
    <w:rsid w:val="003D6919"/>
    <w:rsid w:val="003D6FF6"/>
    <w:rsid w:val="003D7E98"/>
    <w:rsid w:val="003E093F"/>
    <w:rsid w:val="003E1C44"/>
    <w:rsid w:val="003E2064"/>
    <w:rsid w:val="003E5383"/>
    <w:rsid w:val="003E55A2"/>
    <w:rsid w:val="003E5FE9"/>
    <w:rsid w:val="003E65D2"/>
    <w:rsid w:val="003E6926"/>
    <w:rsid w:val="003E6BA0"/>
    <w:rsid w:val="003E6FDD"/>
    <w:rsid w:val="003F02B2"/>
    <w:rsid w:val="003F1001"/>
    <w:rsid w:val="003F1C03"/>
    <w:rsid w:val="003F1D51"/>
    <w:rsid w:val="003F2C9C"/>
    <w:rsid w:val="003F3283"/>
    <w:rsid w:val="003F4890"/>
    <w:rsid w:val="003F64ED"/>
    <w:rsid w:val="003F6E17"/>
    <w:rsid w:val="003F6E3D"/>
    <w:rsid w:val="003F7881"/>
    <w:rsid w:val="003F7B8E"/>
    <w:rsid w:val="0040092E"/>
    <w:rsid w:val="00402AEB"/>
    <w:rsid w:val="00403525"/>
    <w:rsid w:val="004039F0"/>
    <w:rsid w:val="00403AB7"/>
    <w:rsid w:val="00403C30"/>
    <w:rsid w:val="00404303"/>
    <w:rsid w:val="00404336"/>
    <w:rsid w:val="00406460"/>
    <w:rsid w:val="00406A38"/>
    <w:rsid w:val="00406B47"/>
    <w:rsid w:val="00406C31"/>
    <w:rsid w:val="00407067"/>
    <w:rsid w:val="004078CC"/>
    <w:rsid w:val="00407AD9"/>
    <w:rsid w:val="004106D1"/>
    <w:rsid w:val="004118F3"/>
    <w:rsid w:val="00411C0E"/>
    <w:rsid w:val="00412639"/>
    <w:rsid w:val="0041311C"/>
    <w:rsid w:val="00413FE9"/>
    <w:rsid w:val="00414A2E"/>
    <w:rsid w:val="00415285"/>
    <w:rsid w:val="004217B1"/>
    <w:rsid w:val="00422021"/>
    <w:rsid w:val="00424CEE"/>
    <w:rsid w:val="00425F1A"/>
    <w:rsid w:val="00425FA9"/>
    <w:rsid w:val="004273E1"/>
    <w:rsid w:val="00427E7B"/>
    <w:rsid w:val="00430918"/>
    <w:rsid w:val="00431DE8"/>
    <w:rsid w:val="00431ED9"/>
    <w:rsid w:val="00433355"/>
    <w:rsid w:val="00435509"/>
    <w:rsid w:val="00437540"/>
    <w:rsid w:val="0043756A"/>
    <w:rsid w:val="004405CB"/>
    <w:rsid w:val="00443CA4"/>
    <w:rsid w:val="00444DC2"/>
    <w:rsid w:val="0044514D"/>
    <w:rsid w:val="00445515"/>
    <w:rsid w:val="00445E18"/>
    <w:rsid w:val="00450353"/>
    <w:rsid w:val="00450759"/>
    <w:rsid w:val="00451DF3"/>
    <w:rsid w:val="00452170"/>
    <w:rsid w:val="004522B0"/>
    <w:rsid w:val="00452DC4"/>
    <w:rsid w:val="0045306C"/>
    <w:rsid w:val="004543CC"/>
    <w:rsid w:val="004543F2"/>
    <w:rsid w:val="0045495E"/>
    <w:rsid w:val="004555F5"/>
    <w:rsid w:val="0045569D"/>
    <w:rsid w:val="00455BC4"/>
    <w:rsid w:val="004565AB"/>
    <w:rsid w:val="0045670D"/>
    <w:rsid w:val="00457097"/>
    <w:rsid w:val="004605AA"/>
    <w:rsid w:val="004612BD"/>
    <w:rsid w:val="004614BE"/>
    <w:rsid w:val="00461752"/>
    <w:rsid w:val="004621BB"/>
    <w:rsid w:val="0046222A"/>
    <w:rsid w:val="00462E58"/>
    <w:rsid w:val="00463E49"/>
    <w:rsid w:val="0046543B"/>
    <w:rsid w:val="00465F24"/>
    <w:rsid w:val="00467A6A"/>
    <w:rsid w:val="0047035C"/>
    <w:rsid w:val="0047129B"/>
    <w:rsid w:val="00471B09"/>
    <w:rsid w:val="00471F5C"/>
    <w:rsid w:val="004725FC"/>
    <w:rsid w:val="0047285A"/>
    <w:rsid w:val="00472AC0"/>
    <w:rsid w:val="004733BB"/>
    <w:rsid w:val="00473F24"/>
    <w:rsid w:val="0047573C"/>
    <w:rsid w:val="00476A6E"/>
    <w:rsid w:val="00480AFD"/>
    <w:rsid w:val="00482EF1"/>
    <w:rsid w:val="004832CE"/>
    <w:rsid w:val="004837AB"/>
    <w:rsid w:val="00483DC3"/>
    <w:rsid w:val="00484837"/>
    <w:rsid w:val="0048532F"/>
    <w:rsid w:val="0048542E"/>
    <w:rsid w:val="00487AEB"/>
    <w:rsid w:val="00487B43"/>
    <w:rsid w:val="0049217F"/>
    <w:rsid w:val="00497CBE"/>
    <w:rsid w:val="004A289F"/>
    <w:rsid w:val="004A303C"/>
    <w:rsid w:val="004A3942"/>
    <w:rsid w:val="004A41D5"/>
    <w:rsid w:val="004A455D"/>
    <w:rsid w:val="004A46B1"/>
    <w:rsid w:val="004A4F3B"/>
    <w:rsid w:val="004A60A4"/>
    <w:rsid w:val="004A60DF"/>
    <w:rsid w:val="004A6B81"/>
    <w:rsid w:val="004B0DBD"/>
    <w:rsid w:val="004B232E"/>
    <w:rsid w:val="004B2405"/>
    <w:rsid w:val="004B3557"/>
    <w:rsid w:val="004B42CC"/>
    <w:rsid w:val="004B4C51"/>
    <w:rsid w:val="004B5FCF"/>
    <w:rsid w:val="004B6222"/>
    <w:rsid w:val="004B6226"/>
    <w:rsid w:val="004B6C05"/>
    <w:rsid w:val="004C0B9C"/>
    <w:rsid w:val="004C242C"/>
    <w:rsid w:val="004C2B40"/>
    <w:rsid w:val="004C31D0"/>
    <w:rsid w:val="004C6D39"/>
    <w:rsid w:val="004D014F"/>
    <w:rsid w:val="004D01D2"/>
    <w:rsid w:val="004D20A1"/>
    <w:rsid w:val="004D2866"/>
    <w:rsid w:val="004D2C63"/>
    <w:rsid w:val="004D2DF4"/>
    <w:rsid w:val="004D5B1B"/>
    <w:rsid w:val="004D6813"/>
    <w:rsid w:val="004D7897"/>
    <w:rsid w:val="004D7FD8"/>
    <w:rsid w:val="004E0434"/>
    <w:rsid w:val="004E0A86"/>
    <w:rsid w:val="004E1ACE"/>
    <w:rsid w:val="004E1B75"/>
    <w:rsid w:val="004E2610"/>
    <w:rsid w:val="004E3019"/>
    <w:rsid w:val="004E37E9"/>
    <w:rsid w:val="004E6143"/>
    <w:rsid w:val="004E75D5"/>
    <w:rsid w:val="004E79AE"/>
    <w:rsid w:val="004F0A8A"/>
    <w:rsid w:val="004F3397"/>
    <w:rsid w:val="004F3D53"/>
    <w:rsid w:val="004F3F9F"/>
    <w:rsid w:val="004F68A9"/>
    <w:rsid w:val="004F75B0"/>
    <w:rsid w:val="00500693"/>
    <w:rsid w:val="005009F7"/>
    <w:rsid w:val="00502C2B"/>
    <w:rsid w:val="00503011"/>
    <w:rsid w:val="0050302F"/>
    <w:rsid w:val="0050386C"/>
    <w:rsid w:val="00503B34"/>
    <w:rsid w:val="00504667"/>
    <w:rsid w:val="00504727"/>
    <w:rsid w:val="00505E68"/>
    <w:rsid w:val="00506220"/>
    <w:rsid w:val="00507B6B"/>
    <w:rsid w:val="00510BE4"/>
    <w:rsid w:val="00511C30"/>
    <w:rsid w:val="00511CEB"/>
    <w:rsid w:val="0051270C"/>
    <w:rsid w:val="00512999"/>
    <w:rsid w:val="0051564B"/>
    <w:rsid w:val="00515706"/>
    <w:rsid w:val="00516912"/>
    <w:rsid w:val="00517DEB"/>
    <w:rsid w:val="005212B1"/>
    <w:rsid w:val="00521C3F"/>
    <w:rsid w:val="00523695"/>
    <w:rsid w:val="00524751"/>
    <w:rsid w:val="00525855"/>
    <w:rsid w:val="00527A13"/>
    <w:rsid w:val="0053051B"/>
    <w:rsid w:val="00530D0A"/>
    <w:rsid w:val="00531C98"/>
    <w:rsid w:val="00532516"/>
    <w:rsid w:val="005326E6"/>
    <w:rsid w:val="00533053"/>
    <w:rsid w:val="00533845"/>
    <w:rsid w:val="00533D0C"/>
    <w:rsid w:val="005342C7"/>
    <w:rsid w:val="00534EF5"/>
    <w:rsid w:val="00535AB8"/>
    <w:rsid w:val="00536F46"/>
    <w:rsid w:val="0054229B"/>
    <w:rsid w:val="0054254F"/>
    <w:rsid w:val="0054383D"/>
    <w:rsid w:val="00545588"/>
    <w:rsid w:val="005456A4"/>
    <w:rsid w:val="00545862"/>
    <w:rsid w:val="005473E7"/>
    <w:rsid w:val="00547F42"/>
    <w:rsid w:val="00550437"/>
    <w:rsid w:val="00550601"/>
    <w:rsid w:val="00552627"/>
    <w:rsid w:val="00553314"/>
    <w:rsid w:val="005540B9"/>
    <w:rsid w:val="005548BD"/>
    <w:rsid w:val="005557A1"/>
    <w:rsid w:val="005561EC"/>
    <w:rsid w:val="00556A19"/>
    <w:rsid w:val="00557784"/>
    <w:rsid w:val="0056168A"/>
    <w:rsid w:val="00562116"/>
    <w:rsid w:val="0056303D"/>
    <w:rsid w:val="00564B00"/>
    <w:rsid w:val="00564D01"/>
    <w:rsid w:val="00565F33"/>
    <w:rsid w:val="00567E9D"/>
    <w:rsid w:val="00570845"/>
    <w:rsid w:val="00570F82"/>
    <w:rsid w:val="0057109A"/>
    <w:rsid w:val="005715E6"/>
    <w:rsid w:val="00572022"/>
    <w:rsid w:val="005727D4"/>
    <w:rsid w:val="00572B38"/>
    <w:rsid w:val="005749A7"/>
    <w:rsid w:val="00574DD5"/>
    <w:rsid w:val="00574FA8"/>
    <w:rsid w:val="0057502B"/>
    <w:rsid w:val="005759D8"/>
    <w:rsid w:val="00575F0F"/>
    <w:rsid w:val="00575FAC"/>
    <w:rsid w:val="0057699A"/>
    <w:rsid w:val="0057699F"/>
    <w:rsid w:val="00580558"/>
    <w:rsid w:val="00581270"/>
    <w:rsid w:val="005815B5"/>
    <w:rsid w:val="00582808"/>
    <w:rsid w:val="00583CA4"/>
    <w:rsid w:val="00583DAC"/>
    <w:rsid w:val="00584848"/>
    <w:rsid w:val="00584D91"/>
    <w:rsid w:val="00585F96"/>
    <w:rsid w:val="00586A9E"/>
    <w:rsid w:val="00592472"/>
    <w:rsid w:val="005940DF"/>
    <w:rsid w:val="00594DA9"/>
    <w:rsid w:val="0059541B"/>
    <w:rsid w:val="00595DFB"/>
    <w:rsid w:val="005962B9"/>
    <w:rsid w:val="005968B7"/>
    <w:rsid w:val="00596CC9"/>
    <w:rsid w:val="005A0203"/>
    <w:rsid w:val="005A0358"/>
    <w:rsid w:val="005A0993"/>
    <w:rsid w:val="005A1F05"/>
    <w:rsid w:val="005A5899"/>
    <w:rsid w:val="005A5968"/>
    <w:rsid w:val="005A64A8"/>
    <w:rsid w:val="005A64CD"/>
    <w:rsid w:val="005A6E26"/>
    <w:rsid w:val="005A7247"/>
    <w:rsid w:val="005A7340"/>
    <w:rsid w:val="005A7D16"/>
    <w:rsid w:val="005B073D"/>
    <w:rsid w:val="005B0BA7"/>
    <w:rsid w:val="005B143B"/>
    <w:rsid w:val="005B28B0"/>
    <w:rsid w:val="005B2CE0"/>
    <w:rsid w:val="005B4AA4"/>
    <w:rsid w:val="005B598E"/>
    <w:rsid w:val="005C0F88"/>
    <w:rsid w:val="005C112F"/>
    <w:rsid w:val="005C1472"/>
    <w:rsid w:val="005C1D29"/>
    <w:rsid w:val="005C357B"/>
    <w:rsid w:val="005C3CDE"/>
    <w:rsid w:val="005C528A"/>
    <w:rsid w:val="005C5317"/>
    <w:rsid w:val="005C5C77"/>
    <w:rsid w:val="005C7386"/>
    <w:rsid w:val="005C77E1"/>
    <w:rsid w:val="005D106F"/>
    <w:rsid w:val="005D2CAC"/>
    <w:rsid w:val="005D3DEE"/>
    <w:rsid w:val="005D4D8A"/>
    <w:rsid w:val="005D6A38"/>
    <w:rsid w:val="005D764D"/>
    <w:rsid w:val="005D7ED3"/>
    <w:rsid w:val="005E1132"/>
    <w:rsid w:val="005E3721"/>
    <w:rsid w:val="005E3E07"/>
    <w:rsid w:val="005E5B42"/>
    <w:rsid w:val="005E627E"/>
    <w:rsid w:val="005E62FD"/>
    <w:rsid w:val="005E6A79"/>
    <w:rsid w:val="005F13B6"/>
    <w:rsid w:val="005F1481"/>
    <w:rsid w:val="005F1991"/>
    <w:rsid w:val="005F2C42"/>
    <w:rsid w:val="005F5643"/>
    <w:rsid w:val="005F5711"/>
    <w:rsid w:val="005F74F8"/>
    <w:rsid w:val="006007D6"/>
    <w:rsid w:val="006017BB"/>
    <w:rsid w:val="00603A61"/>
    <w:rsid w:val="00603B17"/>
    <w:rsid w:val="006040B5"/>
    <w:rsid w:val="0060706B"/>
    <w:rsid w:val="006105E7"/>
    <w:rsid w:val="006108AB"/>
    <w:rsid w:val="00611B0E"/>
    <w:rsid w:val="00612FE3"/>
    <w:rsid w:val="00617A54"/>
    <w:rsid w:val="00617EAE"/>
    <w:rsid w:val="00621CE5"/>
    <w:rsid w:val="00623154"/>
    <w:rsid w:val="00623AE2"/>
    <w:rsid w:val="00624CE3"/>
    <w:rsid w:val="00626EFE"/>
    <w:rsid w:val="006274C9"/>
    <w:rsid w:val="00627C44"/>
    <w:rsid w:val="006303F8"/>
    <w:rsid w:val="006311C9"/>
    <w:rsid w:val="0063122B"/>
    <w:rsid w:val="00631464"/>
    <w:rsid w:val="00631A45"/>
    <w:rsid w:val="00631C66"/>
    <w:rsid w:val="006321F4"/>
    <w:rsid w:val="00633058"/>
    <w:rsid w:val="00633373"/>
    <w:rsid w:val="00633A90"/>
    <w:rsid w:val="00633C24"/>
    <w:rsid w:val="00634A76"/>
    <w:rsid w:val="006359CA"/>
    <w:rsid w:val="00635F13"/>
    <w:rsid w:val="00636ECF"/>
    <w:rsid w:val="00636F5B"/>
    <w:rsid w:val="00637547"/>
    <w:rsid w:val="00640263"/>
    <w:rsid w:val="00640E74"/>
    <w:rsid w:val="00641585"/>
    <w:rsid w:val="00641671"/>
    <w:rsid w:val="00641770"/>
    <w:rsid w:val="006419FF"/>
    <w:rsid w:val="00641A95"/>
    <w:rsid w:val="0064310B"/>
    <w:rsid w:val="00643D50"/>
    <w:rsid w:val="00643EA4"/>
    <w:rsid w:val="006446A6"/>
    <w:rsid w:val="00644EF0"/>
    <w:rsid w:val="006450C2"/>
    <w:rsid w:val="00645213"/>
    <w:rsid w:val="00645C03"/>
    <w:rsid w:val="00646424"/>
    <w:rsid w:val="00646C96"/>
    <w:rsid w:val="00652422"/>
    <w:rsid w:val="006526A1"/>
    <w:rsid w:val="00653354"/>
    <w:rsid w:val="00653419"/>
    <w:rsid w:val="00653689"/>
    <w:rsid w:val="006559AC"/>
    <w:rsid w:val="00656B85"/>
    <w:rsid w:val="00656CBC"/>
    <w:rsid w:val="00656EA7"/>
    <w:rsid w:val="0065733C"/>
    <w:rsid w:val="00657610"/>
    <w:rsid w:val="006605C7"/>
    <w:rsid w:val="0066117F"/>
    <w:rsid w:val="00661348"/>
    <w:rsid w:val="00662DF2"/>
    <w:rsid w:val="00663891"/>
    <w:rsid w:val="00664806"/>
    <w:rsid w:val="00665D86"/>
    <w:rsid w:val="0066675E"/>
    <w:rsid w:val="00666E06"/>
    <w:rsid w:val="006671FB"/>
    <w:rsid w:val="00670776"/>
    <w:rsid w:val="00670D7F"/>
    <w:rsid w:val="00671BFB"/>
    <w:rsid w:val="00672058"/>
    <w:rsid w:val="006721D7"/>
    <w:rsid w:val="006726FB"/>
    <w:rsid w:val="00673220"/>
    <w:rsid w:val="00674E83"/>
    <w:rsid w:val="0067660E"/>
    <w:rsid w:val="006771FC"/>
    <w:rsid w:val="00681332"/>
    <w:rsid w:val="00683498"/>
    <w:rsid w:val="00683A57"/>
    <w:rsid w:val="00684614"/>
    <w:rsid w:val="0068626A"/>
    <w:rsid w:val="0068746E"/>
    <w:rsid w:val="00687949"/>
    <w:rsid w:val="00687AF8"/>
    <w:rsid w:val="00687FC1"/>
    <w:rsid w:val="0069120C"/>
    <w:rsid w:val="00692632"/>
    <w:rsid w:val="00692EB2"/>
    <w:rsid w:val="00694459"/>
    <w:rsid w:val="00694C8F"/>
    <w:rsid w:val="0069680F"/>
    <w:rsid w:val="00696EFF"/>
    <w:rsid w:val="00697E89"/>
    <w:rsid w:val="006A03CD"/>
    <w:rsid w:val="006A1C2F"/>
    <w:rsid w:val="006A2A78"/>
    <w:rsid w:val="006A3077"/>
    <w:rsid w:val="006A35B8"/>
    <w:rsid w:val="006A3705"/>
    <w:rsid w:val="006A5E10"/>
    <w:rsid w:val="006A60F3"/>
    <w:rsid w:val="006A64E5"/>
    <w:rsid w:val="006A65BD"/>
    <w:rsid w:val="006A7274"/>
    <w:rsid w:val="006B1174"/>
    <w:rsid w:val="006B1587"/>
    <w:rsid w:val="006B1F86"/>
    <w:rsid w:val="006B2120"/>
    <w:rsid w:val="006B2CDB"/>
    <w:rsid w:val="006B2FB5"/>
    <w:rsid w:val="006B3B57"/>
    <w:rsid w:val="006B3FEE"/>
    <w:rsid w:val="006B669A"/>
    <w:rsid w:val="006B7013"/>
    <w:rsid w:val="006C21D2"/>
    <w:rsid w:val="006C27D1"/>
    <w:rsid w:val="006C7625"/>
    <w:rsid w:val="006C7DDE"/>
    <w:rsid w:val="006D0547"/>
    <w:rsid w:val="006D13AF"/>
    <w:rsid w:val="006D203D"/>
    <w:rsid w:val="006D28DC"/>
    <w:rsid w:val="006D3EC5"/>
    <w:rsid w:val="006D45E1"/>
    <w:rsid w:val="006D4755"/>
    <w:rsid w:val="006D4D60"/>
    <w:rsid w:val="006D7A15"/>
    <w:rsid w:val="006E0234"/>
    <w:rsid w:val="006E08A3"/>
    <w:rsid w:val="006E5523"/>
    <w:rsid w:val="006E56CA"/>
    <w:rsid w:val="006E6F24"/>
    <w:rsid w:val="006E719B"/>
    <w:rsid w:val="006E7387"/>
    <w:rsid w:val="006E7DAB"/>
    <w:rsid w:val="006F0008"/>
    <w:rsid w:val="006F1150"/>
    <w:rsid w:val="006F13BE"/>
    <w:rsid w:val="006F291D"/>
    <w:rsid w:val="006F45D6"/>
    <w:rsid w:val="006F507E"/>
    <w:rsid w:val="006F55BB"/>
    <w:rsid w:val="00700B62"/>
    <w:rsid w:val="00701287"/>
    <w:rsid w:val="0070404F"/>
    <w:rsid w:val="007044DA"/>
    <w:rsid w:val="0070475C"/>
    <w:rsid w:val="00704D5E"/>
    <w:rsid w:val="00705713"/>
    <w:rsid w:val="00706479"/>
    <w:rsid w:val="00706598"/>
    <w:rsid w:val="00707159"/>
    <w:rsid w:val="00707983"/>
    <w:rsid w:val="00707BDE"/>
    <w:rsid w:val="00707DCB"/>
    <w:rsid w:val="00710816"/>
    <w:rsid w:val="007126BC"/>
    <w:rsid w:val="007137E9"/>
    <w:rsid w:val="00713DE8"/>
    <w:rsid w:val="00713F7B"/>
    <w:rsid w:val="00713FE4"/>
    <w:rsid w:val="007141EE"/>
    <w:rsid w:val="00714B02"/>
    <w:rsid w:val="00715B84"/>
    <w:rsid w:val="00717D11"/>
    <w:rsid w:val="0072081C"/>
    <w:rsid w:val="007222EA"/>
    <w:rsid w:val="00722800"/>
    <w:rsid w:val="00723AD0"/>
    <w:rsid w:val="007278DA"/>
    <w:rsid w:val="00727B39"/>
    <w:rsid w:val="00733CBD"/>
    <w:rsid w:val="00734027"/>
    <w:rsid w:val="00735911"/>
    <w:rsid w:val="00735F67"/>
    <w:rsid w:val="007371EA"/>
    <w:rsid w:val="00740F76"/>
    <w:rsid w:val="00744429"/>
    <w:rsid w:val="00744650"/>
    <w:rsid w:val="00744E2C"/>
    <w:rsid w:val="0074576E"/>
    <w:rsid w:val="007476F3"/>
    <w:rsid w:val="007505C2"/>
    <w:rsid w:val="00752183"/>
    <w:rsid w:val="00752565"/>
    <w:rsid w:val="00752662"/>
    <w:rsid w:val="007545DD"/>
    <w:rsid w:val="007560F0"/>
    <w:rsid w:val="007565E0"/>
    <w:rsid w:val="00757C4D"/>
    <w:rsid w:val="00760F9F"/>
    <w:rsid w:val="00763141"/>
    <w:rsid w:val="0076380C"/>
    <w:rsid w:val="00763840"/>
    <w:rsid w:val="00763C01"/>
    <w:rsid w:val="007647F0"/>
    <w:rsid w:val="007652CA"/>
    <w:rsid w:val="00765592"/>
    <w:rsid w:val="00765A46"/>
    <w:rsid w:val="007667EC"/>
    <w:rsid w:val="00770756"/>
    <w:rsid w:val="007710B2"/>
    <w:rsid w:val="00771460"/>
    <w:rsid w:val="00771DF1"/>
    <w:rsid w:val="00772511"/>
    <w:rsid w:val="00772E1D"/>
    <w:rsid w:val="00776058"/>
    <w:rsid w:val="007775C2"/>
    <w:rsid w:val="007812D1"/>
    <w:rsid w:val="00781671"/>
    <w:rsid w:val="0078524D"/>
    <w:rsid w:val="0078572B"/>
    <w:rsid w:val="00787D01"/>
    <w:rsid w:val="00790A31"/>
    <w:rsid w:val="0079215A"/>
    <w:rsid w:val="00792C43"/>
    <w:rsid w:val="007952DD"/>
    <w:rsid w:val="007968DD"/>
    <w:rsid w:val="00797404"/>
    <w:rsid w:val="00797FEA"/>
    <w:rsid w:val="007A0784"/>
    <w:rsid w:val="007A0EB3"/>
    <w:rsid w:val="007A122F"/>
    <w:rsid w:val="007A1919"/>
    <w:rsid w:val="007A3E83"/>
    <w:rsid w:val="007A4D6B"/>
    <w:rsid w:val="007A4F56"/>
    <w:rsid w:val="007A5FB2"/>
    <w:rsid w:val="007A6598"/>
    <w:rsid w:val="007A709C"/>
    <w:rsid w:val="007A70EB"/>
    <w:rsid w:val="007A7C8B"/>
    <w:rsid w:val="007B1640"/>
    <w:rsid w:val="007B2107"/>
    <w:rsid w:val="007B2923"/>
    <w:rsid w:val="007B2EC1"/>
    <w:rsid w:val="007B3BCC"/>
    <w:rsid w:val="007B5209"/>
    <w:rsid w:val="007B5C03"/>
    <w:rsid w:val="007B675A"/>
    <w:rsid w:val="007C0858"/>
    <w:rsid w:val="007C4095"/>
    <w:rsid w:val="007C4099"/>
    <w:rsid w:val="007C4A52"/>
    <w:rsid w:val="007C5559"/>
    <w:rsid w:val="007C57CD"/>
    <w:rsid w:val="007C718B"/>
    <w:rsid w:val="007C782F"/>
    <w:rsid w:val="007C788E"/>
    <w:rsid w:val="007D021B"/>
    <w:rsid w:val="007D09E6"/>
    <w:rsid w:val="007D11D4"/>
    <w:rsid w:val="007D132E"/>
    <w:rsid w:val="007D28CF"/>
    <w:rsid w:val="007D3BCC"/>
    <w:rsid w:val="007D4335"/>
    <w:rsid w:val="007D4B95"/>
    <w:rsid w:val="007D4C79"/>
    <w:rsid w:val="007D5722"/>
    <w:rsid w:val="007D703B"/>
    <w:rsid w:val="007D7B79"/>
    <w:rsid w:val="007E0B71"/>
    <w:rsid w:val="007E21EC"/>
    <w:rsid w:val="007E2BDE"/>
    <w:rsid w:val="007E5047"/>
    <w:rsid w:val="007E63FA"/>
    <w:rsid w:val="007E7080"/>
    <w:rsid w:val="007E7909"/>
    <w:rsid w:val="007E795C"/>
    <w:rsid w:val="007E7A21"/>
    <w:rsid w:val="007F1156"/>
    <w:rsid w:val="007F17A3"/>
    <w:rsid w:val="007F2488"/>
    <w:rsid w:val="007F2A84"/>
    <w:rsid w:val="007F2B5D"/>
    <w:rsid w:val="007F3581"/>
    <w:rsid w:val="007F361A"/>
    <w:rsid w:val="007F428D"/>
    <w:rsid w:val="007F45A2"/>
    <w:rsid w:val="007F72A8"/>
    <w:rsid w:val="007F7C4B"/>
    <w:rsid w:val="00802913"/>
    <w:rsid w:val="00804315"/>
    <w:rsid w:val="00804E4E"/>
    <w:rsid w:val="00805AF2"/>
    <w:rsid w:val="008061A5"/>
    <w:rsid w:val="00807F6D"/>
    <w:rsid w:val="0081067C"/>
    <w:rsid w:val="00810E47"/>
    <w:rsid w:val="008134E4"/>
    <w:rsid w:val="0081374A"/>
    <w:rsid w:val="00813FC9"/>
    <w:rsid w:val="00814165"/>
    <w:rsid w:val="00814FCE"/>
    <w:rsid w:val="00815A18"/>
    <w:rsid w:val="0081642E"/>
    <w:rsid w:val="008164E0"/>
    <w:rsid w:val="00817F1B"/>
    <w:rsid w:val="00820CDF"/>
    <w:rsid w:val="0082170C"/>
    <w:rsid w:val="00822D82"/>
    <w:rsid w:val="00824D3A"/>
    <w:rsid w:val="00825EF0"/>
    <w:rsid w:val="00826192"/>
    <w:rsid w:val="008270FC"/>
    <w:rsid w:val="00827901"/>
    <w:rsid w:val="00830790"/>
    <w:rsid w:val="00831928"/>
    <w:rsid w:val="00832686"/>
    <w:rsid w:val="008327AE"/>
    <w:rsid w:val="00832F8E"/>
    <w:rsid w:val="00833D31"/>
    <w:rsid w:val="008361C3"/>
    <w:rsid w:val="00837738"/>
    <w:rsid w:val="00837E60"/>
    <w:rsid w:val="00841D0C"/>
    <w:rsid w:val="00841E0F"/>
    <w:rsid w:val="00842F1F"/>
    <w:rsid w:val="00844751"/>
    <w:rsid w:val="008447F2"/>
    <w:rsid w:val="0084592A"/>
    <w:rsid w:val="00846CED"/>
    <w:rsid w:val="00847124"/>
    <w:rsid w:val="00850871"/>
    <w:rsid w:val="00850D9A"/>
    <w:rsid w:val="008530B9"/>
    <w:rsid w:val="00853D0E"/>
    <w:rsid w:val="0085438B"/>
    <w:rsid w:val="00854D50"/>
    <w:rsid w:val="008557BC"/>
    <w:rsid w:val="008564C4"/>
    <w:rsid w:val="00857C47"/>
    <w:rsid w:val="00860888"/>
    <w:rsid w:val="0086096A"/>
    <w:rsid w:val="0086170A"/>
    <w:rsid w:val="00864C89"/>
    <w:rsid w:val="008653B6"/>
    <w:rsid w:val="0087028D"/>
    <w:rsid w:val="008705FD"/>
    <w:rsid w:val="008724E9"/>
    <w:rsid w:val="0087453A"/>
    <w:rsid w:val="00874B9F"/>
    <w:rsid w:val="00874EED"/>
    <w:rsid w:val="008751D7"/>
    <w:rsid w:val="00875DE7"/>
    <w:rsid w:val="00881A2A"/>
    <w:rsid w:val="00882444"/>
    <w:rsid w:val="0088309F"/>
    <w:rsid w:val="008832C4"/>
    <w:rsid w:val="00883458"/>
    <w:rsid w:val="00884187"/>
    <w:rsid w:val="0088421E"/>
    <w:rsid w:val="00885691"/>
    <w:rsid w:val="00887095"/>
    <w:rsid w:val="00887D3B"/>
    <w:rsid w:val="00890451"/>
    <w:rsid w:val="00890584"/>
    <w:rsid w:val="00890A41"/>
    <w:rsid w:val="00895AAA"/>
    <w:rsid w:val="00895E02"/>
    <w:rsid w:val="00895E1C"/>
    <w:rsid w:val="00896E66"/>
    <w:rsid w:val="008974D5"/>
    <w:rsid w:val="00897FD3"/>
    <w:rsid w:val="008A1044"/>
    <w:rsid w:val="008A321E"/>
    <w:rsid w:val="008A3670"/>
    <w:rsid w:val="008A4E49"/>
    <w:rsid w:val="008A4E9F"/>
    <w:rsid w:val="008A5924"/>
    <w:rsid w:val="008A5A2D"/>
    <w:rsid w:val="008A63FF"/>
    <w:rsid w:val="008A652A"/>
    <w:rsid w:val="008A6BF2"/>
    <w:rsid w:val="008A7545"/>
    <w:rsid w:val="008A7FB6"/>
    <w:rsid w:val="008B0407"/>
    <w:rsid w:val="008B2B87"/>
    <w:rsid w:val="008B2D02"/>
    <w:rsid w:val="008B2F47"/>
    <w:rsid w:val="008B3998"/>
    <w:rsid w:val="008B41BE"/>
    <w:rsid w:val="008B4A54"/>
    <w:rsid w:val="008B7445"/>
    <w:rsid w:val="008B75DB"/>
    <w:rsid w:val="008C045E"/>
    <w:rsid w:val="008C0FE1"/>
    <w:rsid w:val="008C10FA"/>
    <w:rsid w:val="008C15DA"/>
    <w:rsid w:val="008C225D"/>
    <w:rsid w:val="008C2C5E"/>
    <w:rsid w:val="008C3050"/>
    <w:rsid w:val="008C4258"/>
    <w:rsid w:val="008C432F"/>
    <w:rsid w:val="008C54DF"/>
    <w:rsid w:val="008C5A12"/>
    <w:rsid w:val="008C5DA9"/>
    <w:rsid w:val="008C68C1"/>
    <w:rsid w:val="008C7DE5"/>
    <w:rsid w:val="008D10A6"/>
    <w:rsid w:val="008D2C1D"/>
    <w:rsid w:val="008D35AB"/>
    <w:rsid w:val="008D45B2"/>
    <w:rsid w:val="008D69E8"/>
    <w:rsid w:val="008D7634"/>
    <w:rsid w:val="008D7BCB"/>
    <w:rsid w:val="008E007A"/>
    <w:rsid w:val="008E1347"/>
    <w:rsid w:val="008E2128"/>
    <w:rsid w:val="008E28DE"/>
    <w:rsid w:val="008E2D79"/>
    <w:rsid w:val="008E2E18"/>
    <w:rsid w:val="008E4ED4"/>
    <w:rsid w:val="008E50C6"/>
    <w:rsid w:val="008E557E"/>
    <w:rsid w:val="008E5715"/>
    <w:rsid w:val="008E593B"/>
    <w:rsid w:val="008E60A1"/>
    <w:rsid w:val="008E6C07"/>
    <w:rsid w:val="008E6DAC"/>
    <w:rsid w:val="008E765E"/>
    <w:rsid w:val="008F1099"/>
    <w:rsid w:val="008F1146"/>
    <w:rsid w:val="008F32EF"/>
    <w:rsid w:val="008F3F39"/>
    <w:rsid w:val="008F4E95"/>
    <w:rsid w:val="008F738A"/>
    <w:rsid w:val="008F7577"/>
    <w:rsid w:val="008F7D20"/>
    <w:rsid w:val="008F7EE4"/>
    <w:rsid w:val="00903AF4"/>
    <w:rsid w:val="009048CA"/>
    <w:rsid w:val="009048CE"/>
    <w:rsid w:val="00904E2B"/>
    <w:rsid w:val="00905C40"/>
    <w:rsid w:val="00906428"/>
    <w:rsid w:val="00906472"/>
    <w:rsid w:val="009065BA"/>
    <w:rsid w:val="009067AD"/>
    <w:rsid w:val="009072E8"/>
    <w:rsid w:val="00907682"/>
    <w:rsid w:val="00907E0C"/>
    <w:rsid w:val="00907FDA"/>
    <w:rsid w:val="00910DD0"/>
    <w:rsid w:val="00912093"/>
    <w:rsid w:val="0091213A"/>
    <w:rsid w:val="009125C8"/>
    <w:rsid w:val="0091269A"/>
    <w:rsid w:val="00912CDC"/>
    <w:rsid w:val="00912DA3"/>
    <w:rsid w:val="00913A63"/>
    <w:rsid w:val="00914B80"/>
    <w:rsid w:val="00916CCF"/>
    <w:rsid w:val="00916CEF"/>
    <w:rsid w:val="00916EE5"/>
    <w:rsid w:val="00920A5B"/>
    <w:rsid w:val="00921A8D"/>
    <w:rsid w:val="009239C5"/>
    <w:rsid w:val="00924FE3"/>
    <w:rsid w:val="009257DB"/>
    <w:rsid w:val="0092787E"/>
    <w:rsid w:val="00927B54"/>
    <w:rsid w:val="00934387"/>
    <w:rsid w:val="00934CE1"/>
    <w:rsid w:val="00937B91"/>
    <w:rsid w:val="0094218C"/>
    <w:rsid w:val="00942202"/>
    <w:rsid w:val="009422B9"/>
    <w:rsid w:val="00942DC2"/>
    <w:rsid w:val="00943151"/>
    <w:rsid w:val="00946E18"/>
    <w:rsid w:val="00947C31"/>
    <w:rsid w:val="009504DE"/>
    <w:rsid w:val="00951106"/>
    <w:rsid w:val="00952C19"/>
    <w:rsid w:val="00952CE8"/>
    <w:rsid w:val="00953330"/>
    <w:rsid w:val="009543B2"/>
    <w:rsid w:val="0095449B"/>
    <w:rsid w:val="00954C54"/>
    <w:rsid w:val="00954E9D"/>
    <w:rsid w:val="00955292"/>
    <w:rsid w:val="009561E1"/>
    <w:rsid w:val="009566DF"/>
    <w:rsid w:val="00956BE0"/>
    <w:rsid w:val="00957553"/>
    <w:rsid w:val="00957C69"/>
    <w:rsid w:val="00961203"/>
    <w:rsid w:val="0096161C"/>
    <w:rsid w:val="0096328E"/>
    <w:rsid w:val="009669AC"/>
    <w:rsid w:val="009669E7"/>
    <w:rsid w:val="00966E20"/>
    <w:rsid w:val="00967959"/>
    <w:rsid w:val="00971CF8"/>
    <w:rsid w:val="0097389F"/>
    <w:rsid w:val="00973E2B"/>
    <w:rsid w:val="00977C9D"/>
    <w:rsid w:val="00982293"/>
    <w:rsid w:val="009848F8"/>
    <w:rsid w:val="0098556F"/>
    <w:rsid w:val="0098566E"/>
    <w:rsid w:val="0098570E"/>
    <w:rsid w:val="00985D59"/>
    <w:rsid w:val="00987542"/>
    <w:rsid w:val="00987B37"/>
    <w:rsid w:val="00991D8E"/>
    <w:rsid w:val="00994F5E"/>
    <w:rsid w:val="009969BB"/>
    <w:rsid w:val="009A1AD8"/>
    <w:rsid w:val="009A214F"/>
    <w:rsid w:val="009A2C7D"/>
    <w:rsid w:val="009A3100"/>
    <w:rsid w:val="009A3B53"/>
    <w:rsid w:val="009A4137"/>
    <w:rsid w:val="009A43BD"/>
    <w:rsid w:val="009A5205"/>
    <w:rsid w:val="009A537E"/>
    <w:rsid w:val="009A6648"/>
    <w:rsid w:val="009A690C"/>
    <w:rsid w:val="009A7369"/>
    <w:rsid w:val="009B089D"/>
    <w:rsid w:val="009B0A7B"/>
    <w:rsid w:val="009B2734"/>
    <w:rsid w:val="009B3E22"/>
    <w:rsid w:val="009B4456"/>
    <w:rsid w:val="009B4D86"/>
    <w:rsid w:val="009B5142"/>
    <w:rsid w:val="009B5305"/>
    <w:rsid w:val="009B7177"/>
    <w:rsid w:val="009B7188"/>
    <w:rsid w:val="009B78CA"/>
    <w:rsid w:val="009B791E"/>
    <w:rsid w:val="009C0829"/>
    <w:rsid w:val="009C3139"/>
    <w:rsid w:val="009C449D"/>
    <w:rsid w:val="009C4F84"/>
    <w:rsid w:val="009C70D7"/>
    <w:rsid w:val="009C7705"/>
    <w:rsid w:val="009C7C99"/>
    <w:rsid w:val="009C7DED"/>
    <w:rsid w:val="009C7F06"/>
    <w:rsid w:val="009D02B6"/>
    <w:rsid w:val="009D0F62"/>
    <w:rsid w:val="009D4640"/>
    <w:rsid w:val="009D6D8F"/>
    <w:rsid w:val="009D715C"/>
    <w:rsid w:val="009E053A"/>
    <w:rsid w:val="009E28B7"/>
    <w:rsid w:val="009E3028"/>
    <w:rsid w:val="009E4020"/>
    <w:rsid w:val="009E52C1"/>
    <w:rsid w:val="009E6C51"/>
    <w:rsid w:val="009E6EC3"/>
    <w:rsid w:val="009F1B0A"/>
    <w:rsid w:val="009F2063"/>
    <w:rsid w:val="009F297E"/>
    <w:rsid w:val="009F2D95"/>
    <w:rsid w:val="009F3DDB"/>
    <w:rsid w:val="009F411E"/>
    <w:rsid w:val="009F52EB"/>
    <w:rsid w:val="009F5349"/>
    <w:rsid w:val="009F65A7"/>
    <w:rsid w:val="009F663F"/>
    <w:rsid w:val="009F681B"/>
    <w:rsid w:val="009F68D4"/>
    <w:rsid w:val="009F6950"/>
    <w:rsid w:val="009F6F63"/>
    <w:rsid w:val="009F6FFC"/>
    <w:rsid w:val="009F7206"/>
    <w:rsid w:val="00A00C4F"/>
    <w:rsid w:val="00A02148"/>
    <w:rsid w:val="00A02ABA"/>
    <w:rsid w:val="00A02F44"/>
    <w:rsid w:val="00A03770"/>
    <w:rsid w:val="00A0400F"/>
    <w:rsid w:val="00A04118"/>
    <w:rsid w:val="00A04E8A"/>
    <w:rsid w:val="00A05974"/>
    <w:rsid w:val="00A05C48"/>
    <w:rsid w:val="00A06121"/>
    <w:rsid w:val="00A0621C"/>
    <w:rsid w:val="00A06CFC"/>
    <w:rsid w:val="00A0723C"/>
    <w:rsid w:val="00A0772D"/>
    <w:rsid w:val="00A07B3B"/>
    <w:rsid w:val="00A07CBD"/>
    <w:rsid w:val="00A10138"/>
    <w:rsid w:val="00A112AE"/>
    <w:rsid w:val="00A114A4"/>
    <w:rsid w:val="00A11B1F"/>
    <w:rsid w:val="00A11DF0"/>
    <w:rsid w:val="00A12AAB"/>
    <w:rsid w:val="00A12CFF"/>
    <w:rsid w:val="00A12E4A"/>
    <w:rsid w:val="00A1405D"/>
    <w:rsid w:val="00A15840"/>
    <w:rsid w:val="00A17BB6"/>
    <w:rsid w:val="00A17EF5"/>
    <w:rsid w:val="00A2076A"/>
    <w:rsid w:val="00A20B68"/>
    <w:rsid w:val="00A21204"/>
    <w:rsid w:val="00A21D3B"/>
    <w:rsid w:val="00A21D51"/>
    <w:rsid w:val="00A25691"/>
    <w:rsid w:val="00A259C5"/>
    <w:rsid w:val="00A26E45"/>
    <w:rsid w:val="00A311A5"/>
    <w:rsid w:val="00A31701"/>
    <w:rsid w:val="00A3235E"/>
    <w:rsid w:val="00A3455E"/>
    <w:rsid w:val="00A3480D"/>
    <w:rsid w:val="00A35D22"/>
    <w:rsid w:val="00A3635D"/>
    <w:rsid w:val="00A374FB"/>
    <w:rsid w:val="00A406D4"/>
    <w:rsid w:val="00A40FED"/>
    <w:rsid w:val="00A42AC6"/>
    <w:rsid w:val="00A42DED"/>
    <w:rsid w:val="00A43650"/>
    <w:rsid w:val="00A45172"/>
    <w:rsid w:val="00A456AA"/>
    <w:rsid w:val="00A4669E"/>
    <w:rsid w:val="00A46848"/>
    <w:rsid w:val="00A478CF"/>
    <w:rsid w:val="00A47ABD"/>
    <w:rsid w:val="00A52FC4"/>
    <w:rsid w:val="00A53705"/>
    <w:rsid w:val="00A53E1A"/>
    <w:rsid w:val="00A56161"/>
    <w:rsid w:val="00A561C0"/>
    <w:rsid w:val="00A568A5"/>
    <w:rsid w:val="00A56D95"/>
    <w:rsid w:val="00A573C2"/>
    <w:rsid w:val="00A5789D"/>
    <w:rsid w:val="00A61668"/>
    <w:rsid w:val="00A65B68"/>
    <w:rsid w:val="00A65D67"/>
    <w:rsid w:val="00A65F5E"/>
    <w:rsid w:val="00A666EA"/>
    <w:rsid w:val="00A66872"/>
    <w:rsid w:val="00A678BC"/>
    <w:rsid w:val="00A67BC9"/>
    <w:rsid w:val="00A7112C"/>
    <w:rsid w:val="00A71548"/>
    <w:rsid w:val="00A7163C"/>
    <w:rsid w:val="00A723F7"/>
    <w:rsid w:val="00A737E5"/>
    <w:rsid w:val="00A73C44"/>
    <w:rsid w:val="00A745BF"/>
    <w:rsid w:val="00A7474F"/>
    <w:rsid w:val="00A74F92"/>
    <w:rsid w:val="00A7585E"/>
    <w:rsid w:val="00A758E3"/>
    <w:rsid w:val="00A75DBC"/>
    <w:rsid w:val="00A75FE0"/>
    <w:rsid w:val="00A763EF"/>
    <w:rsid w:val="00A76668"/>
    <w:rsid w:val="00A76F55"/>
    <w:rsid w:val="00A7763B"/>
    <w:rsid w:val="00A7783E"/>
    <w:rsid w:val="00A807E0"/>
    <w:rsid w:val="00A807FC"/>
    <w:rsid w:val="00A82475"/>
    <w:rsid w:val="00A82B3C"/>
    <w:rsid w:val="00A83905"/>
    <w:rsid w:val="00A86AF2"/>
    <w:rsid w:val="00A86DA7"/>
    <w:rsid w:val="00A86E1B"/>
    <w:rsid w:val="00A86F66"/>
    <w:rsid w:val="00A9244D"/>
    <w:rsid w:val="00A94FB5"/>
    <w:rsid w:val="00A95059"/>
    <w:rsid w:val="00A95CF7"/>
    <w:rsid w:val="00A95EE4"/>
    <w:rsid w:val="00A96A2A"/>
    <w:rsid w:val="00A9791B"/>
    <w:rsid w:val="00AA0C25"/>
    <w:rsid w:val="00AA2569"/>
    <w:rsid w:val="00AA2D54"/>
    <w:rsid w:val="00AA3501"/>
    <w:rsid w:val="00AA37A2"/>
    <w:rsid w:val="00AA37B3"/>
    <w:rsid w:val="00AA3CDF"/>
    <w:rsid w:val="00AA4C09"/>
    <w:rsid w:val="00AA7901"/>
    <w:rsid w:val="00AB0D00"/>
    <w:rsid w:val="00AB2A1F"/>
    <w:rsid w:val="00AB380B"/>
    <w:rsid w:val="00AB433B"/>
    <w:rsid w:val="00AB4BCB"/>
    <w:rsid w:val="00AB5202"/>
    <w:rsid w:val="00AB551F"/>
    <w:rsid w:val="00AB57AC"/>
    <w:rsid w:val="00AB6F09"/>
    <w:rsid w:val="00AB7B81"/>
    <w:rsid w:val="00AB7CE1"/>
    <w:rsid w:val="00AC0B8D"/>
    <w:rsid w:val="00AC1EA1"/>
    <w:rsid w:val="00AC4C44"/>
    <w:rsid w:val="00AC51C4"/>
    <w:rsid w:val="00AC756B"/>
    <w:rsid w:val="00AD07E9"/>
    <w:rsid w:val="00AD0E18"/>
    <w:rsid w:val="00AD17F2"/>
    <w:rsid w:val="00AD4A55"/>
    <w:rsid w:val="00AD4AEA"/>
    <w:rsid w:val="00AD528C"/>
    <w:rsid w:val="00AD52AB"/>
    <w:rsid w:val="00AD63DB"/>
    <w:rsid w:val="00AD7418"/>
    <w:rsid w:val="00AE0DCA"/>
    <w:rsid w:val="00AE18BF"/>
    <w:rsid w:val="00AE281B"/>
    <w:rsid w:val="00AE298A"/>
    <w:rsid w:val="00AE2E33"/>
    <w:rsid w:val="00AE44FB"/>
    <w:rsid w:val="00AE50A7"/>
    <w:rsid w:val="00AE50BB"/>
    <w:rsid w:val="00AE5414"/>
    <w:rsid w:val="00AE619C"/>
    <w:rsid w:val="00AE7341"/>
    <w:rsid w:val="00AE7EBE"/>
    <w:rsid w:val="00AF1DE6"/>
    <w:rsid w:val="00AF44AF"/>
    <w:rsid w:val="00AF452A"/>
    <w:rsid w:val="00AF53F0"/>
    <w:rsid w:val="00B04B2A"/>
    <w:rsid w:val="00B04EBB"/>
    <w:rsid w:val="00B06149"/>
    <w:rsid w:val="00B0793C"/>
    <w:rsid w:val="00B1027E"/>
    <w:rsid w:val="00B10C8F"/>
    <w:rsid w:val="00B115B5"/>
    <w:rsid w:val="00B115D0"/>
    <w:rsid w:val="00B129E4"/>
    <w:rsid w:val="00B13C3A"/>
    <w:rsid w:val="00B13F51"/>
    <w:rsid w:val="00B14161"/>
    <w:rsid w:val="00B15208"/>
    <w:rsid w:val="00B15B83"/>
    <w:rsid w:val="00B15FB2"/>
    <w:rsid w:val="00B15FB3"/>
    <w:rsid w:val="00B16A64"/>
    <w:rsid w:val="00B2041F"/>
    <w:rsid w:val="00B214D8"/>
    <w:rsid w:val="00B223EB"/>
    <w:rsid w:val="00B23B86"/>
    <w:rsid w:val="00B2586B"/>
    <w:rsid w:val="00B25A49"/>
    <w:rsid w:val="00B27A53"/>
    <w:rsid w:val="00B27FB9"/>
    <w:rsid w:val="00B31260"/>
    <w:rsid w:val="00B3195A"/>
    <w:rsid w:val="00B31994"/>
    <w:rsid w:val="00B319F8"/>
    <w:rsid w:val="00B32C55"/>
    <w:rsid w:val="00B33C07"/>
    <w:rsid w:val="00B3546D"/>
    <w:rsid w:val="00B3622E"/>
    <w:rsid w:val="00B36C34"/>
    <w:rsid w:val="00B3720F"/>
    <w:rsid w:val="00B40722"/>
    <w:rsid w:val="00B42702"/>
    <w:rsid w:val="00B43465"/>
    <w:rsid w:val="00B43941"/>
    <w:rsid w:val="00B43976"/>
    <w:rsid w:val="00B43D3B"/>
    <w:rsid w:val="00B44346"/>
    <w:rsid w:val="00B44738"/>
    <w:rsid w:val="00B44BD3"/>
    <w:rsid w:val="00B44C20"/>
    <w:rsid w:val="00B46AF9"/>
    <w:rsid w:val="00B509FB"/>
    <w:rsid w:val="00B50FF5"/>
    <w:rsid w:val="00B516DB"/>
    <w:rsid w:val="00B5176A"/>
    <w:rsid w:val="00B519A4"/>
    <w:rsid w:val="00B52A17"/>
    <w:rsid w:val="00B52F1B"/>
    <w:rsid w:val="00B53560"/>
    <w:rsid w:val="00B53E5E"/>
    <w:rsid w:val="00B5458B"/>
    <w:rsid w:val="00B55987"/>
    <w:rsid w:val="00B56FBC"/>
    <w:rsid w:val="00B57EB6"/>
    <w:rsid w:val="00B57EE4"/>
    <w:rsid w:val="00B6044F"/>
    <w:rsid w:val="00B60701"/>
    <w:rsid w:val="00B613D4"/>
    <w:rsid w:val="00B6225B"/>
    <w:rsid w:val="00B62302"/>
    <w:rsid w:val="00B629D0"/>
    <w:rsid w:val="00B632A3"/>
    <w:rsid w:val="00B662A2"/>
    <w:rsid w:val="00B6722B"/>
    <w:rsid w:val="00B7057D"/>
    <w:rsid w:val="00B70CF5"/>
    <w:rsid w:val="00B70FC8"/>
    <w:rsid w:val="00B712D0"/>
    <w:rsid w:val="00B71713"/>
    <w:rsid w:val="00B71AAB"/>
    <w:rsid w:val="00B722C7"/>
    <w:rsid w:val="00B73244"/>
    <w:rsid w:val="00B73532"/>
    <w:rsid w:val="00B74BBB"/>
    <w:rsid w:val="00B75FAB"/>
    <w:rsid w:val="00B76575"/>
    <w:rsid w:val="00B76F4B"/>
    <w:rsid w:val="00B80490"/>
    <w:rsid w:val="00B8102D"/>
    <w:rsid w:val="00B81520"/>
    <w:rsid w:val="00B817F5"/>
    <w:rsid w:val="00B8184B"/>
    <w:rsid w:val="00B818EB"/>
    <w:rsid w:val="00B825D6"/>
    <w:rsid w:val="00B84473"/>
    <w:rsid w:val="00B8465B"/>
    <w:rsid w:val="00B84FF5"/>
    <w:rsid w:val="00B8503D"/>
    <w:rsid w:val="00B85AE4"/>
    <w:rsid w:val="00B866F0"/>
    <w:rsid w:val="00B900A5"/>
    <w:rsid w:val="00B91676"/>
    <w:rsid w:val="00B91B33"/>
    <w:rsid w:val="00B923BE"/>
    <w:rsid w:val="00B9292C"/>
    <w:rsid w:val="00B92F25"/>
    <w:rsid w:val="00B94A4B"/>
    <w:rsid w:val="00B95B41"/>
    <w:rsid w:val="00B95D61"/>
    <w:rsid w:val="00B96350"/>
    <w:rsid w:val="00B96CE1"/>
    <w:rsid w:val="00BA02A0"/>
    <w:rsid w:val="00BA0CE5"/>
    <w:rsid w:val="00BA1188"/>
    <w:rsid w:val="00BA2CD0"/>
    <w:rsid w:val="00BA3412"/>
    <w:rsid w:val="00BA3C4F"/>
    <w:rsid w:val="00BA558A"/>
    <w:rsid w:val="00BA6479"/>
    <w:rsid w:val="00BA6835"/>
    <w:rsid w:val="00BA6D42"/>
    <w:rsid w:val="00BB01E8"/>
    <w:rsid w:val="00BB0B79"/>
    <w:rsid w:val="00BB1429"/>
    <w:rsid w:val="00BB368C"/>
    <w:rsid w:val="00BB3A3A"/>
    <w:rsid w:val="00BB61CF"/>
    <w:rsid w:val="00BB68CD"/>
    <w:rsid w:val="00BB7397"/>
    <w:rsid w:val="00BB788F"/>
    <w:rsid w:val="00BC0D29"/>
    <w:rsid w:val="00BC197A"/>
    <w:rsid w:val="00BC19F6"/>
    <w:rsid w:val="00BC2B6E"/>
    <w:rsid w:val="00BC3F5B"/>
    <w:rsid w:val="00BC4231"/>
    <w:rsid w:val="00BC4625"/>
    <w:rsid w:val="00BC528F"/>
    <w:rsid w:val="00BC5649"/>
    <w:rsid w:val="00BC5D2D"/>
    <w:rsid w:val="00BC6BB9"/>
    <w:rsid w:val="00BC7204"/>
    <w:rsid w:val="00BC73D7"/>
    <w:rsid w:val="00BD76C0"/>
    <w:rsid w:val="00BE05D8"/>
    <w:rsid w:val="00BE09F3"/>
    <w:rsid w:val="00BE0C68"/>
    <w:rsid w:val="00BE1CBA"/>
    <w:rsid w:val="00BE2355"/>
    <w:rsid w:val="00BE2DBA"/>
    <w:rsid w:val="00BE320E"/>
    <w:rsid w:val="00BE3636"/>
    <w:rsid w:val="00BE44FA"/>
    <w:rsid w:val="00BE4BE4"/>
    <w:rsid w:val="00BF018D"/>
    <w:rsid w:val="00BF09CD"/>
    <w:rsid w:val="00BF1C44"/>
    <w:rsid w:val="00BF1F42"/>
    <w:rsid w:val="00BF2774"/>
    <w:rsid w:val="00BF309E"/>
    <w:rsid w:val="00BF3978"/>
    <w:rsid w:val="00BF3BC6"/>
    <w:rsid w:val="00BF41FA"/>
    <w:rsid w:val="00BF43D0"/>
    <w:rsid w:val="00BF5CC3"/>
    <w:rsid w:val="00BF67BC"/>
    <w:rsid w:val="00BF7279"/>
    <w:rsid w:val="00BF74B8"/>
    <w:rsid w:val="00BF7785"/>
    <w:rsid w:val="00C01058"/>
    <w:rsid w:val="00C01D30"/>
    <w:rsid w:val="00C02558"/>
    <w:rsid w:val="00C02E96"/>
    <w:rsid w:val="00C039B1"/>
    <w:rsid w:val="00C040B7"/>
    <w:rsid w:val="00C04C2C"/>
    <w:rsid w:val="00C05A65"/>
    <w:rsid w:val="00C06827"/>
    <w:rsid w:val="00C07D5A"/>
    <w:rsid w:val="00C11D6B"/>
    <w:rsid w:val="00C1604E"/>
    <w:rsid w:val="00C168C7"/>
    <w:rsid w:val="00C17B13"/>
    <w:rsid w:val="00C21D87"/>
    <w:rsid w:val="00C21DFA"/>
    <w:rsid w:val="00C22C45"/>
    <w:rsid w:val="00C23677"/>
    <w:rsid w:val="00C24972"/>
    <w:rsid w:val="00C24B96"/>
    <w:rsid w:val="00C26649"/>
    <w:rsid w:val="00C267DD"/>
    <w:rsid w:val="00C3055C"/>
    <w:rsid w:val="00C3125C"/>
    <w:rsid w:val="00C31A86"/>
    <w:rsid w:val="00C3226E"/>
    <w:rsid w:val="00C33018"/>
    <w:rsid w:val="00C33419"/>
    <w:rsid w:val="00C3434D"/>
    <w:rsid w:val="00C36190"/>
    <w:rsid w:val="00C36450"/>
    <w:rsid w:val="00C36CA6"/>
    <w:rsid w:val="00C3734F"/>
    <w:rsid w:val="00C37452"/>
    <w:rsid w:val="00C37760"/>
    <w:rsid w:val="00C40D44"/>
    <w:rsid w:val="00C41B42"/>
    <w:rsid w:val="00C439BF"/>
    <w:rsid w:val="00C4486F"/>
    <w:rsid w:val="00C45455"/>
    <w:rsid w:val="00C45CF2"/>
    <w:rsid w:val="00C46167"/>
    <w:rsid w:val="00C461E6"/>
    <w:rsid w:val="00C5021D"/>
    <w:rsid w:val="00C52487"/>
    <w:rsid w:val="00C53E8C"/>
    <w:rsid w:val="00C541AC"/>
    <w:rsid w:val="00C5513A"/>
    <w:rsid w:val="00C553BE"/>
    <w:rsid w:val="00C5750D"/>
    <w:rsid w:val="00C5785D"/>
    <w:rsid w:val="00C61639"/>
    <w:rsid w:val="00C62C55"/>
    <w:rsid w:val="00C63A40"/>
    <w:rsid w:val="00C647FC"/>
    <w:rsid w:val="00C65542"/>
    <w:rsid w:val="00C66009"/>
    <w:rsid w:val="00C663CC"/>
    <w:rsid w:val="00C6663F"/>
    <w:rsid w:val="00C66D50"/>
    <w:rsid w:val="00C67598"/>
    <w:rsid w:val="00C71E4B"/>
    <w:rsid w:val="00C71ECB"/>
    <w:rsid w:val="00C721F0"/>
    <w:rsid w:val="00C722E4"/>
    <w:rsid w:val="00C74370"/>
    <w:rsid w:val="00C748EF"/>
    <w:rsid w:val="00C74DFE"/>
    <w:rsid w:val="00C763FE"/>
    <w:rsid w:val="00C768EA"/>
    <w:rsid w:val="00C772C8"/>
    <w:rsid w:val="00C77E43"/>
    <w:rsid w:val="00C826AF"/>
    <w:rsid w:val="00C83002"/>
    <w:rsid w:val="00C84C11"/>
    <w:rsid w:val="00C85131"/>
    <w:rsid w:val="00C85FE1"/>
    <w:rsid w:val="00C861C1"/>
    <w:rsid w:val="00C9038C"/>
    <w:rsid w:val="00C9072D"/>
    <w:rsid w:val="00C90748"/>
    <w:rsid w:val="00C9192A"/>
    <w:rsid w:val="00C91E7B"/>
    <w:rsid w:val="00C922F6"/>
    <w:rsid w:val="00C94164"/>
    <w:rsid w:val="00C94C21"/>
    <w:rsid w:val="00C95269"/>
    <w:rsid w:val="00C97483"/>
    <w:rsid w:val="00CA0795"/>
    <w:rsid w:val="00CA0E93"/>
    <w:rsid w:val="00CA13C3"/>
    <w:rsid w:val="00CA14D2"/>
    <w:rsid w:val="00CA19D7"/>
    <w:rsid w:val="00CA1BC0"/>
    <w:rsid w:val="00CA2C99"/>
    <w:rsid w:val="00CA2CE9"/>
    <w:rsid w:val="00CA3654"/>
    <w:rsid w:val="00CA6069"/>
    <w:rsid w:val="00CA6C76"/>
    <w:rsid w:val="00CA7539"/>
    <w:rsid w:val="00CA7EC8"/>
    <w:rsid w:val="00CB0270"/>
    <w:rsid w:val="00CB06D4"/>
    <w:rsid w:val="00CB34C2"/>
    <w:rsid w:val="00CB449E"/>
    <w:rsid w:val="00CB4A5A"/>
    <w:rsid w:val="00CB4C19"/>
    <w:rsid w:val="00CB4DA5"/>
    <w:rsid w:val="00CB6196"/>
    <w:rsid w:val="00CB6BCB"/>
    <w:rsid w:val="00CB7251"/>
    <w:rsid w:val="00CB7CF1"/>
    <w:rsid w:val="00CC14E4"/>
    <w:rsid w:val="00CC208A"/>
    <w:rsid w:val="00CC23C0"/>
    <w:rsid w:val="00CC353E"/>
    <w:rsid w:val="00CC3C46"/>
    <w:rsid w:val="00CC4507"/>
    <w:rsid w:val="00CC49D7"/>
    <w:rsid w:val="00CC4D4B"/>
    <w:rsid w:val="00CC62CA"/>
    <w:rsid w:val="00CC6303"/>
    <w:rsid w:val="00CC74E5"/>
    <w:rsid w:val="00CD03C2"/>
    <w:rsid w:val="00CD1E1F"/>
    <w:rsid w:val="00CD1FEB"/>
    <w:rsid w:val="00CD26A6"/>
    <w:rsid w:val="00CD31C3"/>
    <w:rsid w:val="00CD342D"/>
    <w:rsid w:val="00CD3D9B"/>
    <w:rsid w:val="00CD424F"/>
    <w:rsid w:val="00CD4889"/>
    <w:rsid w:val="00CD48F4"/>
    <w:rsid w:val="00CD49E6"/>
    <w:rsid w:val="00CD61A7"/>
    <w:rsid w:val="00CD65E4"/>
    <w:rsid w:val="00CD7164"/>
    <w:rsid w:val="00CD740C"/>
    <w:rsid w:val="00CE00A3"/>
    <w:rsid w:val="00CE0325"/>
    <w:rsid w:val="00CE0D9D"/>
    <w:rsid w:val="00CE14D4"/>
    <w:rsid w:val="00CE1CB1"/>
    <w:rsid w:val="00CE2B42"/>
    <w:rsid w:val="00CE3AA1"/>
    <w:rsid w:val="00CE3CF6"/>
    <w:rsid w:val="00CE44AA"/>
    <w:rsid w:val="00CE63B1"/>
    <w:rsid w:val="00CE6E01"/>
    <w:rsid w:val="00CE73C8"/>
    <w:rsid w:val="00CE7987"/>
    <w:rsid w:val="00CF40A7"/>
    <w:rsid w:val="00CF47F3"/>
    <w:rsid w:val="00CF7299"/>
    <w:rsid w:val="00CF7434"/>
    <w:rsid w:val="00CF7E20"/>
    <w:rsid w:val="00D002CA"/>
    <w:rsid w:val="00D00C59"/>
    <w:rsid w:val="00D01272"/>
    <w:rsid w:val="00D020C5"/>
    <w:rsid w:val="00D0263B"/>
    <w:rsid w:val="00D0309B"/>
    <w:rsid w:val="00D0369B"/>
    <w:rsid w:val="00D037DF"/>
    <w:rsid w:val="00D04158"/>
    <w:rsid w:val="00D041AD"/>
    <w:rsid w:val="00D042B6"/>
    <w:rsid w:val="00D05230"/>
    <w:rsid w:val="00D05454"/>
    <w:rsid w:val="00D057C9"/>
    <w:rsid w:val="00D05E51"/>
    <w:rsid w:val="00D0659C"/>
    <w:rsid w:val="00D078A1"/>
    <w:rsid w:val="00D106D9"/>
    <w:rsid w:val="00D10C5B"/>
    <w:rsid w:val="00D10D99"/>
    <w:rsid w:val="00D1131F"/>
    <w:rsid w:val="00D117EB"/>
    <w:rsid w:val="00D11AAA"/>
    <w:rsid w:val="00D121E5"/>
    <w:rsid w:val="00D12518"/>
    <w:rsid w:val="00D1273D"/>
    <w:rsid w:val="00D1323D"/>
    <w:rsid w:val="00D1442D"/>
    <w:rsid w:val="00D147EB"/>
    <w:rsid w:val="00D1525E"/>
    <w:rsid w:val="00D15843"/>
    <w:rsid w:val="00D15DDC"/>
    <w:rsid w:val="00D16D57"/>
    <w:rsid w:val="00D177BC"/>
    <w:rsid w:val="00D17B99"/>
    <w:rsid w:val="00D2060A"/>
    <w:rsid w:val="00D20CD7"/>
    <w:rsid w:val="00D24255"/>
    <w:rsid w:val="00D2440C"/>
    <w:rsid w:val="00D25B38"/>
    <w:rsid w:val="00D26347"/>
    <w:rsid w:val="00D2651F"/>
    <w:rsid w:val="00D27030"/>
    <w:rsid w:val="00D27A64"/>
    <w:rsid w:val="00D305DA"/>
    <w:rsid w:val="00D306F3"/>
    <w:rsid w:val="00D32B01"/>
    <w:rsid w:val="00D32BEF"/>
    <w:rsid w:val="00D334E7"/>
    <w:rsid w:val="00D33BEB"/>
    <w:rsid w:val="00D359FC"/>
    <w:rsid w:val="00D41348"/>
    <w:rsid w:val="00D41AA3"/>
    <w:rsid w:val="00D4246D"/>
    <w:rsid w:val="00D4399A"/>
    <w:rsid w:val="00D45088"/>
    <w:rsid w:val="00D473C0"/>
    <w:rsid w:val="00D477B5"/>
    <w:rsid w:val="00D50665"/>
    <w:rsid w:val="00D50E4C"/>
    <w:rsid w:val="00D50E74"/>
    <w:rsid w:val="00D51AA7"/>
    <w:rsid w:val="00D54FB4"/>
    <w:rsid w:val="00D55B8D"/>
    <w:rsid w:val="00D56869"/>
    <w:rsid w:val="00D606F0"/>
    <w:rsid w:val="00D60B19"/>
    <w:rsid w:val="00D622DD"/>
    <w:rsid w:val="00D62B81"/>
    <w:rsid w:val="00D631D3"/>
    <w:rsid w:val="00D65492"/>
    <w:rsid w:val="00D661E3"/>
    <w:rsid w:val="00D704F7"/>
    <w:rsid w:val="00D70E1B"/>
    <w:rsid w:val="00D722D5"/>
    <w:rsid w:val="00D7291E"/>
    <w:rsid w:val="00D7321D"/>
    <w:rsid w:val="00D73D89"/>
    <w:rsid w:val="00D74353"/>
    <w:rsid w:val="00D74EC2"/>
    <w:rsid w:val="00D75260"/>
    <w:rsid w:val="00D75358"/>
    <w:rsid w:val="00D75A33"/>
    <w:rsid w:val="00D75CA0"/>
    <w:rsid w:val="00D763F6"/>
    <w:rsid w:val="00D7643B"/>
    <w:rsid w:val="00D7651B"/>
    <w:rsid w:val="00D7720D"/>
    <w:rsid w:val="00D7753E"/>
    <w:rsid w:val="00D80C2E"/>
    <w:rsid w:val="00D8102D"/>
    <w:rsid w:val="00D81390"/>
    <w:rsid w:val="00D81BC3"/>
    <w:rsid w:val="00D82A0B"/>
    <w:rsid w:val="00D82E71"/>
    <w:rsid w:val="00D838FF"/>
    <w:rsid w:val="00D83C3B"/>
    <w:rsid w:val="00D83E2F"/>
    <w:rsid w:val="00D84732"/>
    <w:rsid w:val="00D863DA"/>
    <w:rsid w:val="00D87883"/>
    <w:rsid w:val="00D87BBB"/>
    <w:rsid w:val="00D87DA6"/>
    <w:rsid w:val="00D90A48"/>
    <w:rsid w:val="00D912B1"/>
    <w:rsid w:val="00D91629"/>
    <w:rsid w:val="00D94887"/>
    <w:rsid w:val="00DA1C34"/>
    <w:rsid w:val="00DA22A6"/>
    <w:rsid w:val="00DA2F3A"/>
    <w:rsid w:val="00DA320A"/>
    <w:rsid w:val="00DA5DF8"/>
    <w:rsid w:val="00DA60C3"/>
    <w:rsid w:val="00DA62C6"/>
    <w:rsid w:val="00DA74EE"/>
    <w:rsid w:val="00DB01CE"/>
    <w:rsid w:val="00DB0843"/>
    <w:rsid w:val="00DB08F6"/>
    <w:rsid w:val="00DB18A3"/>
    <w:rsid w:val="00DB1AAD"/>
    <w:rsid w:val="00DB2ABA"/>
    <w:rsid w:val="00DB3650"/>
    <w:rsid w:val="00DB3655"/>
    <w:rsid w:val="00DB36CD"/>
    <w:rsid w:val="00DB440E"/>
    <w:rsid w:val="00DB44B0"/>
    <w:rsid w:val="00DB4848"/>
    <w:rsid w:val="00DB4E32"/>
    <w:rsid w:val="00DB574B"/>
    <w:rsid w:val="00DB58A6"/>
    <w:rsid w:val="00DB5AFA"/>
    <w:rsid w:val="00DB63B9"/>
    <w:rsid w:val="00DB7BC2"/>
    <w:rsid w:val="00DC099D"/>
    <w:rsid w:val="00DC14D7"/>
    <w:rsid w:val="00DC19A2"/>
    <w:rsid w:val="00DC1A0A"/>
    <w:rsid w:val="00DC2FD0"/>
    <w:rsid w:val="00DC35F3"/>
    <w:rsid w:val="00DC4551"/>
    <w:rsid w:val="00DC5A48"/>
    <w:rsid w:val="00DD0B19"/>
    <w:rsid w:val="00DD2256"/>
    <w:rsid w:val="00DD2393"/>
    <w:rsid w:val="00DD449D"/>
    <w:rsid w:val="00DD60E5"/>
    <w:rsid w:val="00DD7CDF"/>
    <w:rsid w:val="00DE1CFA"/>
    <w:rsid w:val="00DE28CC"/>
    <w:rsid w:val="00DE2BDE"/>
    <w:rsid w:val="00DE2BE1"/>
    <w:rsid w:val="00DE3623"/>
    <w:rsid w:val="00DE42A2"/>
    <w:rsid w:val="00DE4791"/>
    <w:rsid w:val="00DE50BB"/>
    <w:rsid w:val="00DE5470"/>
    <w:rsid w:val="00DE6093"/>
    <w:rsid w:val="00DE621D"/>
    <w:rsid w:val="00DE70EB"/>
    <w:rsid w:val="00DF017E"/>
    <w:rsid w:val="00DF0395"/>
    <w:rsid w:val="00DF095B"/>
    <w:rsid w:val="00DF2432"/>
    <w:rsid w:val="00DF2479"/>
    <w:rsid w:val="00DF2ED7"/>
    <w:rsid w:val="00DF4002"/>
    <w:rsid w:val="00DF4189"/>
    <w:rsid w:val="00DF4BC9"/>
    <w:rsid w:val="00DF50C3"/>
    <w:rsid w:val="00DF5418"/>
    <w:rsid w:val="00DF56F5"/>
    <w:rsid w:val="00DF5B54"/>
    <w:rsid w:val="00DF6C15"/>
    <w:rsid w:val="00DF6F66"/>
    <w:rsid w:val="00E022FD"/>
    <w:rsid w:val="00E03CE2"/>
    <w:rsid w:val="00E044EF"/>
    <w:rsid w:val="00E04AF5"/>
    <w:rsid w:val="00E05326"/>
    <w:rsid w:val="00E05863"/>
    <w:rsid w:val="00E05C5D"/>
    <w:rsid w:val="00E064B2"/>
    <w:rsid w:val="00E0672A"/>
    <w:rsid w:val="00E06B2D"/>
    <w:rsid w:val="00E1053D"/>
    <w:rsid w:val="00E10794"/>
    <w:rsid w:val="00E11E82"/>
    <w:rsid w:val="00E12271"/>
    <w:rsid w:val="00E12501"/>
    <w:rsid w:val="00E129A6"/>
    <w:rsid w:val="00E13144"/>
    <w:rsid w:val="00E13AE0"/>
    <w:rsid w:val="00E13BBE"/>
    <w:rsid w:val="00E15B9B"/>
    <w:rsid w:val="00E165C9"/>
    <w:rsid w:val="00E16F45"/>
    <w:rsid w:val="00E177DE"/>
    <w:rsid w:val="00E202C4"/>
    <w:rsid w:val="00E207AF"/>
    <w:rsid w:val="00E20FBE"/>
    <w:rsid w:val="00E23C93"/>
    <w:rsid w:val="00E24823"/>
    <w:rsid w:val="00E27338"/>
    <w:rsid w:val="00E273E7"/>
    <w:rsid w:val="00E27A85"/>
    <w:rsid w:val="00E31E2D"/>
    <w:rsid w:val="00E32DB2"/>
    <w:rsid w:val="00E3474A"/>
    <w:rsid w:val="00E347ED"/>
    <w:rsid w:val="00E35173"/>
    <w:rsid w:val="00E35782"/>
    <w:rsid w:val="00E357C1"/>
    <w:rsid w:val="00E35E57"/>
    <w:rsid w:val="00E36CE6"/>
    <w:rsid w:val="00E3731F"/>
    <w:rsid w:val="00E40695"/>
    <w:rsid w:val="00E41527"/>
    <w:rsid w:val="00E42210"/>
    <w:rsid w:val="00E4284F"/>
    <w:rsid w:val="00E429BB"/>
    <w:rsid w:val="00E43729"/>
    <w:rsid w:val="00E46C46"/>
    <w:rsid w:val="00E472C5"/>
    <w:rsid w:val="00E5049F"/>
    <w:rsid w:val="00E532A2"/>
    <w:rsid w:val="00E535EE"/>
    <w:rsid w:val="00E553AD"/>
    <w:rsid w:val="00E56145"/>
    <w:rsid w:val="00E561A5"/>
    <w:rsid w:val="00E564A1"/>
    <w:rsid w:val="00E57F0C"/>
    <w:rsid w:val="00E60C9D"/>
    <w:rsid w:val="00E60DB9"/>
    <w:rsid w:val="00E63958"/>
    <w:rsid w:val="00E63CC0"/>
    <w:rsid w:val="00E64ED0"/>
    <w:rsid w:val="00E664EE"/>
    <w:rsid w:val="00E66A0C"/>
    <w:rsid w:val="00E6702F"/>
    <w:rsid w:val="00E675BE"/>
    <w:rsid w:val="00E7042B"/>
    <w:rsid w:val="00E70761"/>
    <w:rsid w:val="00E70A7F"/>
    <w:rsid w:val="00E71719"/>
    <w:rsid w:val="00E72705"/>
    <w:rsid w:val="00E72977"/>
    <w:rsid w:val="00E72F02"/>
    <w:rsid w:val="00E737FF"/>
    <w:rsid w:val="00E738C0"/>
    <w:rsid w:val="00E7488B"/>
    <w:rsid w:val="00E7532B"/>
    <w:rsid w:val="00E7566A"/>
    <w:rsid w:val="00E76692"/>
    <w:rsid w:val="00E77306"/>
    <w:rsid w:val="00E77ED4"/>
    <w:rsid w:val="00E77F00"/>
    <w:rsid w:val="00E80185"/>
    <w:rsid w:val="00E80B62"/>
    <w:rsid w:val="00E80E9B"/>
    <w:rsid w:val="00E81442"/>
    <w:rsid w:val="00E83705"/>
    <w:rsid w:val="00E8370A"/>
    <w:rsid w:val="00E84508"/>
    <w:rsid w:val="00E850B5"/>
    <w:rsid w:val="00E86CDC"/>
    <w:rsid w:val="00E87D80"/>
    <w:rsid w:val="00E90A37"/>
    <w:rsid w:val="00E915C6"/>
    <w:rsid w:val="00E931DC"/>
    <w:rsid w:val="00E93DCD"/>
    <w:rsid w:val="00E945D5"/>
    <w:rsid w:val="00E97A91"/>
    <w:rsid w:val="00EA0248"/>
    <w:rsid w:val="00EA12B1"/>
    <w:rsid w:val="00EA2165"/>
    <w:rsid w:val="00EA41E7"/>
    <w:rsid w:val="00EA4808"/>
    <w:rsid w:val="00EA5611"/>
    <w:rsid w:val="00EB1AC1"/>
    <w:rsid w:val="00EB3F57"/>
    <w:rsid w:val="00EB4803"/>
    <w:rsid w:val="00EB5D54"/>
    <w:rsid w:val="00EB6276"/>
    <w:rsid w:val="00EB66EA"/>
    <w:rsid w:val="00EC19AA"/>
    <w:rsid w:val="00EC21C0"/>
    <w:rsid w:val="00EC253D"/>
    <w:rsid w:val="00EC2AEC"/>
    <w:rsid w:val="00EC3C23"/>
    <w:rsid w:val="00EC3D25"/>
    <w:rsid w:val="00EC3F34"/>
    <w:rsid w:val="00EC466F"/>
    <w:rsid w:val="00EC4A5B"/>
    <w:rsid w:val="00EC5193"/>
    <w:rsid w:val="00EC5DB1"/>
    <w:rsid w:val="00EC6394"/>
    <w:rsid w:val="00EC67D7"/>
    <w:rsid w:val="00EC6B2B"/>
    <w:rsid w:val="00EC6D23"/>
    <w:rsid w:val="00EC7219"/>
    <w:rsid w:val="00EC7ABC"/>
    <w:rsid w:val="00ED05F2"/>
    <w:rsid w:val="00ED17D9"/>
    <w:rsid w:val="00ED1F3B"/>
    <w:rsid w:val="00ED2509"/>
    <w:rsid w:val="00ED5237"/>
    <w:rsid w:val="00ED6914"/>
    <w:rsid w:val="00ED7219"/>
    <w:rsid w:val="00EE0335"/>
    <w:rsid w:val="00EE255E"/>
    <w:rsid w:val="00EE3EE8"/>
    <w:rsid w:val="00EE4281"/>
    <w:rsid w:val="00EE43E2"/>
    <w:rsid w:val="00EE4DD8"/>
    <w:rsid w:val="00EE5ED7"/>
    <w:rsid w:val="00EE662E"/>
    <w:rsid w:val="00EF2BB1"/>
    <w:rsid w:val="00EF3E07"/>
    <w:rsid w:val="00EF555E"/>
    <w:rsid w:val="00EF63A1"/>
    <w:rsid w:val="00EF63BD"/>
    <w:rsid w:val="00EF6542"/>
    <w:rsid w:val="00EF6588"/>
    <w:rsid w:val="00EF6864"/>
    <w:rsid w:val="00F000FB"/>
    <w:rsid w:val="00F034A3"/>
    <w:rsid w:val="00F057CE"/>
    <w:rsid w:val="00F059BD"/>
    <w:rsid w:val="00F05A22"/>
    <w:rsid w:val="00F05C68"/>
    <w:rsid w:val="00F0696F"/>
    <w:rsid w:val="00F102D6"/>
    <w:rsid w:val="00F11797"/>
    <w:rsid w:val="00F120F0"/>
    <w:rsid w:val="00F12899"/>
    <w:rsid w:val="00F136FD"/>
    <w:rsid w:val="00F13E3B"/>
    <w:rsid w:val="00F13ECE"/>
    <w:rsid w:val="00F152E7"/>
    <w:rsid w:val="00F1573A"/>
    <w:rsid w:val="00F16864"/>
    <w:rsid w:val="00F17C34"/>
    <w:rsid w:val="00F21799"/>
    <w:rsid w:val="00F21EB4"/>
    <w:rsid w:val="00F25AEA"/>
    <w:rsid w:val="00F25F18"/>
    <w:rsid w:val="00F26FA6"/>
    <w:rsid w:val="00F3003D"/>
    <w:rsid w:val="00F31326"/>
    <w:rsid w:val="00F33D25"/>
    <w:rsid w:val="00F34807"/>
    <w:rsid w:val="00F35AFE"/>
    <w:rsid w:val="00F362C5"/>
    <w:rsid w:val="00F36468"/>
    <w:rsid w:val="00F36C7D"/>
    <w:rsid w:val="00F36CCA"/>
    <w:rsid w:val="00F3738F"/>
    <w:rsid w:val="00F40558"/>
    <w:rsid w:val="00F40DA5"/>
    <w:rsid w:val="00F42455"/>
    <w:rsid w:val="00F440A9"/>
    <w:rsid w:val="00F459FA"/>
    <w:rsid w:val="00F45B55"/>
    <w:rsid w:val="00F45F7F"/>
    <w:rsid w:val="00F46134"/>
    <w:rsid w:val="00F46706"/>
    <w:rsid w:val="00F50A21"/>
    <w:rsid w:val="00F50B42"/>
    <w:rsid w:val="00F52A7D"/>
    <w:rsid w:val="00F52DB0"/>
    <w:rsid w:val="00F53AD8"/>
    <w:rsid w:val="00F563E0"/>
    <w:rsid w:val="00F60C0F"/>
    <w:rsid w:val="00F61709"/>
    <w:rsid w:val="00F62B10"/>
    <w:rsid w:val="00F62D9F"/>
    <w:rsid w:val="00F6306B"/>
    <w:rsid w:val="00F63616"/>
    <w:rsid w:val="00F639C8"/>
    <w:rsid w:val="00F63F7C"/>
    <w:rsid w:val="00F65AD8"/>
    <w:rsid w:val="00F7063B"/>
    <w:rsid w:val="00F70B7F"/>
    <w:rsid w:val="00F718F9"/>
    <w:rsid w:val="00F72C4D"/>
    <w:rsid w:val="00F73795"/>
    <w:rsid w:val="00F738E9"/>
    <w:rsid w:val="00F7428B"/>
    <w:rsid w:val="00F758FB"/>
    <w:rsid w:val="00F76442"/>
    <w:rsid w:val="00F766CD"/>
    <w:rsid w:val="00F76BCD"/>
    <w:rsid w:val="00F77604"/>
    <w:rsid w:val="00F8173C"/>
    <w:rsid w:val="00F82713"/>
    <w:rsid w:val="00F82EF7"/>
    <w:rsid w:val="00F83C8A"/>
    <w:rsid w:val="00F84679"/>
    <w:rsid w:val="00F84CF9"/>
    <w:rsid w:val="00F8579C"/>
    <w:rsid w:val="00F85C3A"/>
    <w:rsid w:val="00F85EFE"/>
    <w:rsid w:val="00F876F2"/>
    <w:rsid w:val="00F87A21"/>
    <w:rsid w:val="00F87BFB"/>
    <w:rsid w:val="00F9044E"/>
    <w:rsid w:val="00F90A99"/>
    <w:rsid w:val="00F924F5"/>
    <w:rsid w:val="00F92599"/>
    <w:rsid w:val="00F92D1C"/>
    <w:rsid w:val="00F937A5"/>
    <w:rsid w:val="00F93ADD"/>
    <w:rsid w:val="00F93E87"/>
    <w:rsid w:val="00F958DE"/>
    <w:rsid w:val="00F96301"/>
    <w:rsid w:val="00F96978"/>
    <w:rsid w:val="00F96B3B"/>
    <w:rsid w:val="00F9787F"/>
    <w:rsid w:val="00FA07D5"/>
    <w:rsid w:val="00FA10BC"/>
    <w:rsid w:val="00FA15E0"/>
    <w:rsid w:val="00FA161D"/>
    <w:rsid w:val="00FA22FB"/>
    <w:rsid w:val="00FA23E0"/>
    <w:rsid w:val="00FA3EB8"/>
    <w:rsid w:val="00FA41CE"/>
    <w:rsid w:val="00FA52EA"/>
    <w:rsid w:val="00FA6EF1"/>
    <w:rsid w:val="00FB0C41"/>
    <w:rsid w:val="00FB14D0"/>
    <w:rsid w:val="00FB1501"/>
    <w:rsid w:val="00FB25E0"/>
    <w:rsid w:val="00FB3546"/>
    <w:rsid w:val="00FB61D2"/>
    <w:rsid w:val="00FB6BE5"/>
    <w:rsid w:val="00FC23EB"/>
    <w:rsid w:val="00FC2CD8"/>
    <w:rsid w:val="00FC3507"/>
    <w:rsid w:val="00FC430C"/>
    <w:rsid w:val="00FC4F09"/>
    <w:rsid w:val="00FC67B2"/>
    <w:rsid w:val="00FD036F"/>
    <w:rsid w:val="00FD056E"/>
    <w:rsid w:val="00FD080B"/>
    <w:rsid w:val="00FD208F"/>
    <w:rsid w:val="00FD243E"/>
    <w:rsid w:val="00FD26C0"/>
    <w:rsid w:val="00FD2B55"/>
    <w:rsid w:val="00FD40D7"/>
    <w:rsid w:val="00FD495A"/>
    <w:rsid w:val="00FD5CF0"/>
    <w:rsid w:val="00FD5F2B"/>
    <w:rsid w:val="00FD7AD8"/>
    <w:rsid w:val="00FE0FCD"/>
    <w:rsid w:val="00FE1D0B"/>
    <w:rsid w:val="00FE253C"/>
    <w:rsid w:val="00FE300F"/>
    <w:rsid w:val="00FE3954"/>
    <w:rsid w:val="00FE5A68"/>
    <w:rsid w:val="00FE65EF"/>
    <w:rsid w:val="00FF29AD"/>
    <w:rsid w:val="00FF2C90"/>
    <w:rsid w:val="00FF3B3C"/>
    <w:rsid w:val="00FF3E8A"/>
    <w:rsid w:val="00FF471C"/>
    <w:rsid w:val="00FF5E53"/>
    <w:rsid w:val="00FF6726"/>
    <w:rsid w:val="00FF6C9C"/>
    <w:rsid w:val="00FF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3D"/>
    <w:rPr>
      <w:rFonts w:ascii="Cambria" w:hAnsi="Cambria" w:cs="Times New Roman"/>
      <w:b/>
      <w:bCs/>
      <w:kern w:val="32"/>
      <w:sz w:val="32"/>
      <w:szCs w:val="32"/>
      <w:lang w:val="lv-LV"/>
    </w:rPr>
  </w:style>
  <w:style w:type="character" w:customStyle="1" w:styleId="Heading2Char">
    <w:name w:val="Heading 2 Char"/>
    <w:basedOn w:val="DefaultParagraphFont"/>
    <w:link w:val="Heading2"/>
    <w:uiPriority w:val="99"/>
    <w:semiHidden/>
    <w:locked/>
    <w:rsid w:val="00D1273D"/>
    <w:rPr>
      <w:rFonts w:ascii="Cambria" w:hAnsi="Cambria" w:cs="Times New Roman"/>
      <w:b/>
      <w:bCs/>
      <w:i/>
      <w:iCs/>
      <w:sz w:val="28"/>
      <w:szCs w:val="28"/>
      <w:lang w:val="lv-LV"/>
    </w:rPr>
  </w:style>
  <w:style w:type="character" w:customStyle="1" w:styleId="Heading4Char">
    <w:name w:val="Heading 4 Char"/>
    <w:basedOn w:val="DefaultParagraphFont"/>
    <w:link w:val="Heading4"/>
    <w:uiPriority w:val="99"/>
    <w:semiHidden/>
    <w:locked/>
    <w:rsid w:val="00D1273D"/>
    <w:rPr>
      <w:rFonts w:ascii="Calibri" w:hAnsi="Calibri" w:cs="Times New Roman"/>
      <w:b/>
      <w:bCs/>
      <w:sz w:val="28"/>
      <w:szCs w:val="28"/>
      <w:lang w:val="lv-LV"/>
    </w:rPr>
  </w:style>
  <w:style w:type="character" w:customStyle="1" w:styleId="Heading5Char">
    <w:name w:val="Heading 5 Char"/>
    <w:basedOn w:val="DefaultParagraphFont"/>
    <w:link w:val="Heading5"/>
    <w:uiPriority w:val="99"/>
    <w:semiHidden/>
    <w:locked/>
    <w:rsid w:val="00D1273D"/>
    <w:rPr>
      <w:rFonts w:ascii="Calibri" w:hAnsi="Calibri" w:cs="Times New Roman"/>
      <w:b/>
      <w:bCs/>
      <w:i/>
      <w:iCs/>
      <w:sz w:val="26"/>
      <w:szCs w:val="26"/>
      <w:lang w:val="lv-LV"/>
    </w:rPr>
  </w:style>
  <w:style w:type="character" w:customStyle="1" w:styleId="Heading7Char">
    <w:name w:val="Heading 7 Char"/>
    <w:basedOn w:val="DefaultParagraphFont"/>
    <w:link w:val="Heading7"/>
    <w:uiPriority w:val="99"/>
    <w:semiHidden/>
    <w:locked/>
    <w:rsid w:val="00D1273D"/>
    <w:rPr>
      <w:rFonts w:ascii="Calibri"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locked/>
    <w:rsid w:val="00D1273D"/>
    <w:rPr>
      <w:rFonts w:cs="Times New Roman"/>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locked/>
    <w:rsid w:val="00D1273D"/>
    <w:rPr>
      <w:rFonts w:cs="Times New Roman"/>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locked/>
    <w:rsid w:val="00D1273D"/>
    <w:rPr>
      <w:rFonts w:cs="Times New Roman"/>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locked/>
    <w:rsid w:val="00D1273D"/>
    <w:rPr>
      <w:rFonts w:cs="Times New Roman"/>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99"/>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locked/>
    <w:rsid w:val="00D1273D"/>
    <w:rPr>
      <w:rFonts w:cs="Times New Roman"/>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character" w:customStyle="1" w:styleId="FootnoteTextChar1">
    <w:name w:val="Footnote Text Char1"/>
    <w:basedOn w:val="DefaultParagraphFont"/>
    <w:link w:val="FootnoteText"/>
    <w:uiPriority w:val="99"/>
    <w:semiHidden/>
    <w:rsid w:val="007F2DA7"/>
    <w:rPr>
      <w:sz w:val="20"/>
      <w:szCs w:val="20"/>
      <w:lang w:val="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locked/>
    <w:rsid w:val="00D1273D"/>
    <w:rPr>
      <w:rFonts w:cs="Times New Roman"/>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locked/>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paragraph" w:customStyle="1" w:styleId="CharChar4CharCharCharChar">
    <w:name w:val="Char Char4 Char Char Char Char"/>
    <w:basedOn w:val="Normal"/>
    <w:next w:val="BlockText"/>
    <w:uiPriority w:val="99"/>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FD495A"/>
    <w:pPr>
      <w:spacing w:after="160" w:line="240" w:lineRule="exact"/>
    </w:pPr>
    <w:rPr>
      <w:rFonts w:ascii="Tahoma" w:hAnsi="Tahoma"/>
      <w:sz w:val="20"/>
      <w:szCs w:val="20"/>
      <w:lang w:val="en-US"/>
    </w:rPr>
  </w:style>
  <w:style w:type="paragraph" w:customStyle="1" w:styleId="Default">
    <w:name w:val="Default"/>
    <w:uiPriority w:val="99"/>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uiPriority w:val="99"/>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uiPriority w:val="99"/>
    <w:rsid w:val="00FB0C41"/>
    <w:pPr>
      <w:spacing w:before="100" w:beforeAutospacing="1" w:after="100" w:afterAutospacing="1"/>
    </w:pPr>
    <w:rPr>
      <w:lang w:eastAsia="lv-LV" w:bidi="lo-LA"/>
    </w:rPr>
  </w:style>
  <w:style w:type="character" w:customStyle="1" w:styleId="spelle">
    <w:name w:val="spelle"/>
    <w:basedOn w:val="DefaultParagraphFont"/>
    <w:uiPriority w:val="99"/>
    <w:rsid w:val="002F4AA1"/>
    <w:rPr>
      <w:rFonts w:cs="Times New Roman"/>
    </w:rPr>
  </w:style>
  <w:style w:type="table" w:styleId="TableGrid">
    <w:name w:val="Table Grid"/>
    <w:basedOn w:val="TableNormal"/>
    <w:uiPriority w:val="59"/>
    <w:rsid w:val="00BE09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approved">
    <w:name w:val="notapproved"/>
    <w:basedOn w:val="DefaultParagraphFont"/>
    <w:uiPriority w:val="99"/>
    <w:rsid w:val="00A40FED"/>
    <w:rPr>
      <w:rFonts w:cs="Times New Roman"/>
    </w:rPr>
  </w:style>
  <w:style w:type="character" w:customStyle="1" w:styleId="tvhtml1">
    <w:name w:val="tv_html1"/>
    <w:basedOn w:val="DefaultParagraphFont"/>
    <w:uiPriority w:val="99"/>
    <w:rsid w:val="00213AD2"/>
    <w:rPr>
      <w:rFonts w:ascii="Verdana" w:hAnsi="Verdana" w:cs="Times New Roman"/>
      <w:sz w:val="18"/>
      <w:szCs w:val="18"/>
    </w:rPr>
  </w:style>
  <w:style w:type="paragraph" w:styleId="Revision">
    <w:name w:val="Revision"/>
    <w:hidden/>
    <w:uiPriority w:val="99"/>
    <w:semiHidden/>
    <w:rsid w:val="00B662A2"/>
    <w:rPr>
      <w:sz w:val="24"/>
      <w:szCs w:val="24"/>
      <w:lang w:val="lv-LV"/>
    </w:rPr>
  </w:style>
  <w:style w:type="paragraph" w:styleId="ListParagraph">
    <w:name w:val="List Paragraph"/>
    <w:basedOn w:val="Normal"/>
    <w:uiPriority w:val="34"/>
    <w:qFormat/>
    <w:rsid w:val="00122EC9"/>
    <w:pPr>
      <w:ind w:left="720"/>
      <w:contextualSpacing/>
    </w:pPr>
  </w:style>
</w:styles>
</file>

<file path=word/webSettings.xml><?xml version="1.0" encoding="utf-8"?>
<w:webSettings xmlns:r="http://schemas.openxmlformats.org/officeDocument/2006/relationships" xmlns:w="http://schemas.openxmlformats.org/wordprocessingml/2006/main">
  <w:divs>
    <w:div w:id="615794417">
      <w:marLeft w:val="0"/>
      <w:marRight w:val="0"/>
      <w:marTop w:val="0"/>
      <w:marBottom w:val="0"/>
      <w:divBdr>
        <w:top w:val="none" w:sz="0" w:space="0" w:color="auto"/>
        <w:left w:val="none" w:sz="0" w:space="0" w:color="auto"/>
        <w:bottom w:val="none" w:sz="0" w:space="0" w:color="auto"/>
        <w:right w:val="none" w:sz="0" w:space="0" w:color="auto"/>
      </w:divBdr>
    </w:div>
    <w:div w:id="615794418">
      <w:marLeft w:val="0"/>
      <w:marRight w:val="0"/>
      <w:marTop w:val="0"/>
      <w:marBottom w:val="0"/>
      <w:divBdr>
        <w:top w:val="none" w:sz="0" w:space="0" w:color="auto"/>
        <w:left w:val="none" w:sz="0" w:space="0" w:color="auto"/>
        <w:bottom w:val="none" w:sz="0" w:space="0" w:color="auto"/>
        <w:right w:val="none" w:sz="0" w:space="0" w:color="auto"/>
      </w:divBdr>
      <w:divsChild>
        <w:div w:id="615794464">
          <w:marLeft w:val="0"/>
          <w:marRight w:val="0"/>
          <w:marTop w:val="0"/>
          <w:marBottom w:val="0"/>
          <w:divBdr>
            <w:top w:val="none" w:sz="0" w:space="0" w:color="auto"/>
            <w:left w:val="none" w:sz="0" w:space="0" w:color="auto"/>
            <w:bottom w:val="none" w:sz="0" w:space="0" w:color="auto"/>
            <w:right w:val="none" w:sz="0" w:space="0" w:color="auto"/>
          </w:divBdr>
        </w:div>
      </w:divsChild>
    </w:div>
    <w:div w:id="615794419">
      <w:marLeft w:val="0"/>
      <w:marRight w:val="0"/>
      <w:marTop w:val="0"/>
      <w:marBottom w:val="0"/>
      <w:divBdr>
        <w:top w:val="none" w:sz="0" w:space="0" w:color="auto"/>
        <w:left w:val="none" w:sz="0" w:space="0" w:color="auto"/>
        <w:bottom w:val="none" w:sz="0" w:space="0" w:color="auto"/>
        <w:right w:val="none" w:sz="0" w:space="0" w:color="auto"/>
      </w:divBdr>
    </w:div>
    <w:div w:id="615794420">
      <w:marLeft w:val="45"/>
      <w:marRight w:val="45"/>
      <w:marTop w:val="90"/>
      <w:marBottom w:val="90"/>
      <w:divBdr>
        <w:top w:val="none" w:sz="0" w:space="0" w:color="auto"/>
        <w:left w:val="none" w:sz="0" w:space="0" w:color="auto"/>
        <w:bottom w:val="none" w:sz="0" w:space="0" w:color="auto"/>
        <w:right w:val="none" w:sz="0" w:space="0" w:color="auto"/>
      </w:divBdr>
      <w:divsChild>
        <w:div w:id="615794467">
          <w:marLeft w:val="0"/>
          <w:marRight w:val="0"/>
          <w:marTop w:val="0"/>
          <w:marBottom w:val="567"/>
          <w:divBdr>
            <w:top w:val="none" w:sz="0" w:space="0" w:color="auto"/>
            <w:left w:val="none" w:sz="0" w:space="0" w:color="auto"/>
            <w:bottom w:val="none" w:sz="0" w:space="0" w:color="auto"/>
            <w:right w:val="none" w:sz="0" w:space="0" w:color="auto"/>
          </w:divBdr>
        </w:div>
      </w:divsChild>
    </w:div>
    <w:div w:id="615794421">
      <w:marLeft w:val="0"/>
      <w:marRight w:val="0"/>
      <w:marTop w:val="0"/>
      <w:marBottom w:val="0"/>
      <w:divBdr>
        <w:top w:val="none" w:sz="0" w:space="0" w:color="auto"/>
        <w:left w:val="none" w:sz="0" w:space="0" w:color="auto"/>
        <w:bottom w:val="none" w:sz="0" w:space="0" w:color="auto"/>
        <w:right w:val="none" w:sz="0" w:space="0" w:color="auto"/>
      </w:divBdr>
    </w:div>
    <w:div w:id="615794422">
      <w:marLeft w:val="0"/>
      <w:marRight w:val="0"/>
      <w:marTop w:val="0"/>
      <w:marBottom w:val="0"/>
      <w:divBdr>
        <w:top w:val="none" w:sz="0" w:space="0" w:color="auto"/>
        <w:left w:val="none" w:sz="0" w:space="0" w:color="auto"/>
        <w:bottom w:val="none" w:sz="0" w:space="0" w:color="auto"/>
        <w:right w:val="none" w:sz="0" w:space="0" w:color="auto"/>
      </w:divBdr>
    </w:div>
    <w:div w:id="615794423">
      <w:marLeft w:val="0"/>
      <w:marRight w:val="0"/>
      <w:marTop w:val="0"/>
      <w:marBottom w:val="0"/>
      <w:divBdr>
        <w:top w:val="none" w:sz="0" w:space="0" w:color="auto"/>
        <w:left w:val="none" w:sz="0" w:space="0" w:color="auto"/>
        <w:bottom w:val="none" w:sz="0" w:space="0" w:color="auto"/>
        <w:right w:val="none" w:sz="0" w:space="0" w:color="auto"/>
      </w:divBdr>
    </w:div>
    <w:div w:id="615794424">
      <w:marLeft w:val="0"/>
      <w:marRight w:val="0"/>
      <w:marTop w:val="0"/>
      <w:marBottom w:val="0"/>
      <w:divBdr>
        <w:top w:val="none" w:sz="0" w:space="0" w:color="auto"/>
        <w:left w:val="none" w:sz="0" w:space="0" w:color="auto"/>
        <w:bottom w:val="none" w:sz="0" w:space="0" w:color="auto"/>
        <w:right w:val="none" w:sz="0" w:space="0" w:color="auto"/>
      </w:divBdr>
    </w:div>
    <w:div w:id="615794426">
      <w:marLeft w:val="0"/>
      <w:marRight w:val="0"/>
      <w:marTop w:val="0"/>
      <w:marBottom w:val="0"/>
      <w:divBdr>
        <w:top w:val="none" w:sz="0" w:space="0" w:color="auto"/>
        <w:left w:val="none" w:sz="0" w:space="0" w:color="auto"/>
        <w:bottom w:val="none" w:sz="0" w:space="0" w:color="auto"/>
        <w:right w:val="none" w:sz="0" w:space="0" w:color="auto"/>
      </w:divBdr>
    </w:div>
    <w:div w:id="615794427">
      <w:marLeft w:val="0"/>
      <w:marRight w:val="0"/>
      <w:marTop w:val="0"/>
      <w:marBottom w:val="0"/>
      <w:divBdr>
        <w:top w:val="none" w:sz="0" w:space="0" w:color="auto"/>
        <w:left w:val="none" w:sz="0" w:space="0" w:color="auto"/>
        <w:bottom w:val="none" w:sz="0" w:space="0" w:color="auto"/>
        <w:right w:val="none" w:sz="0" w:space="0" w:color="auto"/>
      </w:divBdr>
    </w:div>
    <w:div w:id="615794428">
      <w:marLeft w:val="0"/>
      <w:marRight w:val="0"/>
      <w:marTop w:val="0"/>
      <w:marBottom w:val="0"/>
      <w:divBdr>
        <w:top w:val="none" w:sz="0" w:space="0" w:color="auto"/>
        <w:left w:val="none" w:sz="0" w:space="0" w:color="auto"/>
        <w:bottom w:val="none" w:sz="0" w:space="0" w:color="auto"/>
        <w:right w:val="none" w:sz="0" w:space="0" w:color="auto"/>
      </w:divBdr>
    </w:div>
    <w:div w:id="615794435">
      <w:marLeft w:val="0"/>
      <w:marRight w:val="0"/>
      <w:marTop w:val="0"/>
      <w:marBottom w:val="0"/>
      <w:divBdr>
        <w:top w:val="none" w:sz="0" w:space="0" w:color="auto"/>
        <w:left w:val="none" w:sz="0" w:space="0" w:color="auto"/>
        <w:bottom w:val="none" w:sz="0" w:space="0" w:color="auto"/>
        <w:right w:val="none" w:sz="0" w:space="0" w:color="auto"/>
      </w:divBdr>
      <w:divsChild>
        <w:div w:id="615794429">
          <w:marLeft w:val="0"/>
          <w:marRight w:val="0"/>
          <w:marTop w:val="0"/>
          <w:marBottom w:val="0"/>
          <w:divBdr>
            <w:top w:val="none" w:sz="0" w:space="0" w:color="auto"/>
            <w:left w:val="none" w:sz="0" w:space="0" w:color="auto"/>
            <w:bottom w:val="none" w:sz="0" w:space="0" w:color="auto"/>
            <w:right w:val="none" w:sz="0" w:space="0" w:color="auto"/>
          </w:divBdr>
        </w:div>
        <w:div w:id="615794432">
          <w:marLeft w:val="0"/>
          <w:marRight w:val="0"/>
          <w:marTop w:val="0"/>
          <w:marBottom w:val="0"/>
          <w:divBdr>
            <w:top w:val="none" w:sz="0" w:space="0" w:color="auto"/>
            <w:left w:val="none" w:sz="0" w:space="0" w:color="auto"/>
            <w:bottom w:val="none" w:sz="0" w:space="0" w:color="auto"/>
            <w:right w:val="none" w:sz="0" w:space="0" w:color="auto"/>
          </w:divBdr>
        </w:div>
        <w:div w:id="615794434">
          <w:marLeft w:val="0"/>
          <w:marRight w:val="0"/>
          <w:marTop w:val="0"/>
          <w:marBottom w:val="0"/>
          <w:divBdr>
            <w:top w:val="none" w:sz="0" w:space="0" w:color="auto"/>
            <w:left w:val="none" w:sz="0" w:space="0" w:color="auto"/>
            <w:bottom w:val="none" w:sz="0" w:space="0" w:color="auto"/>
            <w:right w:val="none" w:sz="0" w:space="0" w:color="auto"/>
          </w:divBdr>
        </w:div>
        <w:div w:id="615794438">
          <w:marLeft w:val="0"/>
          <w:marRight w:val="0"/>
          <w:marTop w:val="0"/>
          <w:marBottom w:val="0"/>
          <w:divBdr>
            <w:top w:val="none" w:sz="0" w:space="0" w:color="auto"/>
            <w:left w:val="none" w:sz="0" w:space="0" w:color="auto"/>
            <w:bottom w:val="none" w:sz="0" w:space="0" w:color="auto"/>
            <w:right w:val="none" w:sz="0" w:space="0" w:color="auto"/>
          </w:divBdr>
        </w:div>
        <w:div w:id="615794439">
          <w:marLeft w:val="0"/>
          <w:marRight w:val="0"/>
          <w:marTop w:val="0"/>
          <w:marBottom w:val="0"/>
          <w:divBdr>
            <w:top w:val="none" w:sz="0" w:space="0" w:color="auto"/>
            <w:left w:val="none" w:sz="0" w:space="0" w:color="auto"/>
            <w:bottom w:val="none" w:sz="0" w:space="0" w:color="auto"/>
            <w:right w:val="none" w:sz="0" w:space="0" w:color="auto"/>
          </w:divBdr>
        </w:div>
        <w:div w:id="615794441">
          <w:marLeft w:val="0"/>
          <w:marRight w:val="0"/>
          <w:marTop w:val="0"/>
          <w:marBottom w:val="0"/>
          <w:divBdr>
            <w:top w:val="none" w:sz="0" w:space="0" w:color="auto"/>
            <w:left w:val="none" w:sz="0" w:space="0" w:color="auto"/>
            <w:bottom w:val="none" w:sz="0" w:space="0" w:color="auto"/>
            <w:right w:val="none" w:sz="0" w:space="0" w:color="auto"/>
          </w:divBdr>
        </w:div>
        <w:div w:id="615794443">
          <w:marLeft w:val="0"/>
          <w:marRight w:val="0"/>
          <w:marTop w:val="0"/>
          <w:marBottom w:val="0"/>
          <w:divBdr>
            <w:top w:val="none" w:sz="0" w:space="0" w:color="auto"/>
            <w:left w:val="none" w:sz="0" w:space="0" w:color="auto"/>
            <w:bottom w:val="none" w:sz="0" w:space="0" w:color="auto"/>
            <w:right w:val="none" w:sz="0" w:space="0" w:color="auto"/>
          </w:divBdr>
        </w:div>
        <w:div w:id="615794448">
          <w:marLeft w:val="0"/>
          <w:marRight w:val="0"/>
          <w:marTop w:val="0"/>
          <w:marBottom w:val="0"/>
          <w:divBdr>
            <w:top w:val="none" w:sz="0" w:space="0" w:color="auto"/>
            <w:left w:val="none" w:sz="0" w:space="0" w:color="auto"/>
            <w:bottom w:val="none" w:sz="0" w:space="0" w:color="auto"/>
            <w:right w:val="none" w:sz="0" w:space="0" w:color="auto"/>
          </w:divBdr>
        </w:div>
        <w:div w:id="615794450">
          <w:marLeft w:val="0"/>
          <w:marRight w:val="0"/>
          <w:marTop w:val="0"/>
          <w:marBottom w:val="0"/>
          <w:divBdr>
            <w:top w:val="none" w:sz="0" w:space="0" w:color="auto"/>
            <w:left w:val="none" w:sz="0" w:space="0" w:color="auto"/>
            <w:bottom w:val="none" w:sz="0" w:space="0" w:color="auto"/>
            <w:right w:val="none" w:sz="0" w:space="0" w:color="auto"/>
          </w:divBdr>
        </w:div>
        <w:div w:id="615794452">
          <w:marLeft w:val="0"/>
          <w:marRight w:val="0"/>
          <w:marTop w:val="0"/>
          <w:marBottom w:val="0"/>
          <w:divBdr>
            <w:top w:val="none" w:sz="0" w:space="0" w:color="auto"/>
            <w:left w:val="none" w:sz="0" w:space="0" w:color="auto"/>
            <w:bottom w:val="none" w:sz="0" w:space="0" w:color="auto"/>
            <w:right w:val="none" w:sz="0" w:space="0" w:color="auto"/>
          </w:divBdr>
        </w:div>
        <w:div w:id="615794454">
          <w:marLeft w:val="0"/>
          <w:marRight w:val="0"/>
          <w:marTop w:val="0"/>
          <w:marBottom w:val="0"/>
          <w:divBdr>
            <w:top w:val="none" w:sz="0" w:space="0" w:color="auto"/>
            <w:left w:val="none" w:sz="0" w:space="0" w:color="auto"/>
            <w:bottom w:val="none" w:sz="0" w:space="0" w:color="auto"/>
            <w:right w:val="none" w:sz="0" w:space="0" w:color="auto"/>
          </w:divBdr>
        </w:div>
        <w:div w:id="615794455">
          <w:marLeft w:val="0"/>
          <w:marRight w:val="0"/>
          <w:marTop w:val="0"/>
          <w:marBottom w:val="0"/>
          <w:divBdr>
            <w:top w:val="none" w:sz="0" w:space="0" w:color="auto"/>
            <w:left w:val="none" w:sz="0" w:space="0" w:color="auto"/>
            <w:bottom w:val="none" w:sz="0" w:space="0" w:color="auto"/>
            <w:right w:val="none" w:sz="0" w:space="0" w:color="auto"/>
          </w:divBdr>
        </w:div>
      </w:divsChild>
    </w:div>
    <w:div w:id="615794440">
      <w:marLeft w:val="0"/>
      <w:marRight w:val="0"/>
      <w:marTop w:val="0"/>
      <w:marBottom w:val="0"/>
      <w:divBdr>
        <w:top w:val="none" w:sz="0" w:space="0" w:color="auto"/>
        <w:left w:val="none" w:sz="0" w:space="0" w:color="auto"/>
        <w:bottom w:val="none" w:sz="0" w:space="0" w:color="auto"/>
        <w:right w:val="none" w:sz="0" w:space="0" w:color="auto"/>
      </w:divBdr>
    </w:div>
    <w:div w:id="615794447">
      <w:marLeft w:val="0"/>
      <w:marRight w:val="0"/>
      <w:marTop w:val="0"/>
      <w:marBottom w:val="0"/>
      <w:divBdr>
        <w:top w:val="none" w:sz="0" w:space="0" w:color="auto"/>
        <w:left w:val="none" w:sz="0" w:space="0" w:color="auto"/>
        <w:bottom w:val="none" w:sz="0" w:space="0" w:color="auto"/>
        <w:right w:val="none" w:sz="0" w:space="0" w:color="auto"/>
      </w:divBdr>
      <w:divsChild>
        <w:div w:id="615794430">
          <w:marLeft w:val="0"/>
          <w:marRight w:val="0"/>
          <w:marTop w:val="0"/>
          <w:marBottom w:val="0"/>
          <w:divBdr>
            <w:top w:val="none" w:sz="0" w:space="0" w:color="auto"/>
            <w:left w:val="none" w:sz="0" w:space="0" w:color="auto"/>
            <w:bottom w:val="none" w:sz="0" w:space="0" w:color="auto"/>
            <w:right w:val="none" w:sz="0" w:space="0" w:color="auto"/>
          </w:divBdr>
        </w:div>
        <w:div w:id="615794431">
          <w:marLeft w:val="0"/>
          <w:marRight w:val="0"/>
          <w:marTop w:val="0"/>
          <w:marBottom w:val="0"/>
          <w:divBdr>
            <w:top w:val="none" w:sz="0" w:space="0" w:color="auto"/>
            <w:left w:val="none" w:sz="0" w:space="0" w:color="auto"/>
            <w:bottom w:val="none" w:sz="0" w:space="0" w:color="auto"/>
            <w:right w:val="none" w:sz="0" w:space="0" w:color="auto"/>
          </w:divBdr>
        </w:div>
        <w:div w:id="615794433">
          <w:marLeft w:val="0"/>
          <w:marRight w:val="0"/>
          <w:marTop w:val="0"/>
          <w:marBottom w:val="0"/>
          <w:divBdr>
            <w:top w:val="none" w:sz="0" w:space="0" w:color="auto"/>
            <w:left w:val="none" w:sz="0" w:space="0" w:color="auto"/>
            <w:bottom w:val="none" w:sz="0" w:space="0" w:color="auto"/>
            <w:right w:val="none" w:sz="0" w:space="0" w:color="auto"/>
          </w:divBdr>
        </w:div>
        <w:div w:id="615794436">
          <w:marLeft w:val="0"/>
          <w:marRight w:val="0"/>
          <w:marTop w:val="0"/>
          <w:marBottom w:val="0"/>
          <w:divBdr>
            <w:top w:val="none" w:sz="0" w:space="0" w:color="auto"/>
            <w:left w:val="none" w:sz="0" w:space="0" w:color="auto"/>
            <w:bottom w:val="none" w:sz="0" w:space="0" w:color="auto"/>
            <w:right w:val="none" w:sz="0" w:space="0" w:color="auto"/>
          </w:divBdr>
        </w:div>
        <w:div w:id="615794437">
          <w:marLeft w:val="0"/>
          <w:marRight w:val="0"/>
          <w:marTop w:val="0"/>
          <w:marBottom w:val="0"/>
          <w:divBdr>
            <w:top w:val="none" w:sz="0" w:space="0" w:color="auto"/>
            <w:left w:val="none" w:sz="0" w:space="0" w:color="auto"/>
            <w:bottom w:val="none" w:sz="0" w:space="0" w:color="auto"/>
            <w:right w:val="none" w:sz="0" w:space="0" w:color="auto"/>
          </w:divBdr>
        </w:div>
        <w:div w:id="615794442">
          <w:marLeft w:val="0"/>
          <w:marRight w:val="0"/>
          <w:marTop w:val="0"/>
          <w:marBottom w:val="0"/>
          <w:divBdr>
            <w:top w:val="none" w:sz="0" w:space="0" w:color="auto"/>
            <w:left w:val="none" w:sz="0" w:space="0" w:color="auto"/>
            <w:bottom w:val="none" w:sz="0" w:space="0" w:color="auto"/>
            <w:right w:val="none" w:sz="0" w:space="0" w:color="auto"/>
          </w:divBdr>
        </w:div>
        <w:div w:id="615794444">
          <w:marLeft w:val="0"/>
          <w:marRight w:val="0"/>
          <w:marTop w:val="0"/>
          <w:marBottom w:val="0"/>
          <w:divBdr>
            <w:top w:val="none" w:sz="0" w:space="0" w:color="auto"/>
            <w:left w:val="none" w:sz="0" w:space="0" w:color="auto"/>
            <w:bottom w:val="none" w:sz="0" w:space="0" w:color="auto"/>
            <w:right w:val="none" w:sz="0" w:space="0" w:color="auto"/>
          </w:divBdr>
        </w:div>
        <w:div w:id="615794445">
          <w:marLeft w:val="0"/>
          <w:marRight w:val="0"/>
          <w:marTop w:val="0"/>
          <w:marBottom w:val="0"/>
          <w:divBdr>
            <w:top w:val="none" w:sz="0" w:space="0" w:color="auto"/>
            <w:left w:val="none" w:sz="0" w:space="0" w:color="auto"/>
            <w:bottom w:val="none" w:sz="0" w:space="0" w:color="auto"/>
            <w:right w:val="none" w:sz="0" w:space="0" w:color="auto"/>
          </w:divBdr>
        </w:div>
        <w:div w:id="615794446">
          <w:marLeft w:val="0"/>
          <w:marRight w:val="0"/>
          <w:marTop w:val="0"/>
          <w:marBottom w:val="0"/>
          <w:divBdr>
            <w:top w:val="none" w:sz="0" w:space="0" w:color="auto"/>
            <w:left w:val="none" w:sz="0" w:space="0" w:color="auto"/>
            <w:bottom w:val="none" w:sz="0" w:space="0" w:color="auto"/>
            <w:right w:val="none" w:sz="0" w:space="0" w:color="auto"/>
          </w:divBdr>
        </w:div>
        <w:div w:id="615794449">
          <w:marLeft w:val="0"/>
          <w:marRight w:val="0"/>
          <w:marTop w:val="0"/>
          <w:marBottom w:val="0"/>
          <w:divBdr>
            <w:top w:val="none" w:sz="0" w:space="0" w:color="auto"/>
            <w:left w:val="none" w:sz="0" w:space="0" w:color="auto"/>
            <w:bottom w:val="none" w:sz="0" w:space="0" w:color="auto"/>
            <w:right w:val="none" w:sz="0" w:space="0" w:color="auto"/>
          </w:divBdr>
        </w:div>
        <w:div w:id="615794451">
          <w:marLeft w:val="0"/>
          <w:marRight w:val="0"/>
          <w:marTop w:val="0"/>
          <w:marBottom w:val="0"/>
          <w:divBdr>
            <w:top w:val="none" w:sz="0" w:space="0" w:color="auto"/>
            <w:left w:val="none" w:sz="0" w:space="0" w:color="auto"/>
            <w:bottom w:val="none" w:sz="0" w:space="0" w:color="auto"/>
            <w:right w:val="none" w:sz="0" w:space="0" w:color="auto"/>
          </w:divBdr>
        </w:div>
        <w:div w:id="615794453">
          <w:marLeft w:val="0"/>
          <w:marRight w:val="0"/>
          <w:marTop w:val="0"/>
          <w:marBottom w:val="0"/>
          <w:divBdr>
            <w:top w:val="none" w:sz="0" w:space="0" w:color="auto"/>
            <w:left w:val="none" w:sz="0" w:space="0" w:color="auto"/>
            <w:bottom w:val="none" w:sz="0" w:space="0" w:color="auto"/>
            <w:right w:val="none" w:sz="0" w:space="0" w:color="auto"/>
          </w:divBdr>
        </w:div>
      </w:divsChild>
    </w:div>
    <w:div w:id="615794456">
      <w:marLeft w:val="0"/>
      <w:marRight w:val="0"/>
      <w:marTop w:val="0"/>
      <w:marBottom w:val="0"/>
      <w:divBdr>
        <w:top w:val="none" w:sz="0" w:space="0" w:color="auto"/>
        <w:left w:val="none" w:sz="0" w:space="0" w:color="auto"/>
        <w:bottom w:val="none" w:sz="0" w:space="0" w:color="auto"/>
        <w:right w:val="none" w:sz="0" w:space="0" w:color="auto"/>
      </w:divBdr>
    </w:div>
    <w:div w:id="615794457">
      <w:marLeft w:val="0"/>
      <w:marRight w:val="0"/>
      <w:marTop w:val="0"/>
      <w:marBottom w:val="0"/>
      <w:divBdr>
        <w:top w:val="none" w:sz="0" w:space="0" w:color="auto"/>
        <w:left w:val="none" w:sz="0" w:space="0" w:color="auto"/>
        <w:bottom w:val="none" w:sz="0" w:space="0" w:color="auto"/>
        <w:right w:val="none" w:sz="0" w:space="0" w:color="auto"/>
      </w:divBdr>
    </w:div>
    <w:div w:id="615794458">
      <w:marLeft w:val="0"/>
      <w:marRight w:val="0"/>
      <w:marTop w:val="0"/>
      <w:marBottom w:val="0"/>
      <w:divBdr>
        <w:top w:val="none" w:sz="0" w:space="0" w:color="auto"/>
        <w:left w:val="none" w:sz="0" w:space="0" w:color="auto"/>
        <w:bottom w:val="none" w:sz="0" w:space="0" w:color="auto"/>
        <w:right w:val="none" w:sz="0" w:space="0" w:color="auto"/>
      </w:divBdr>
    </w:div>
    <w:div w:id="615794459">
      <w:marLeft w:val="0"/>
      <w:marRight w:val="0"/>
      <w:marTop w:val="0"/>
      <w:marBottom w:val="0"/>
      <w:divBdr>
        <w:top w:val="none" w:sz="0" w:space="0" w:color="auto"/>
        <w:left w:val="none" w:sz="0" w:space="0" w:color="auto"/>
        <w:bottom w:val="none" w:sz="0" w:space="0" w:color="auto"/>
        <w:right w:val="none" w:sz="0" w:space="0" w:color="auto"/>
      </w:divBdr>
    </w:div>
    <w:div w:id="615794460">
      <w:marLeft w:val="0"/>
      <w:marRight w:val="0"/>
      <w:marTop w:val="0"/>
      <w:marBottom w:val="0"/>
      <w:divBdr>
        <w:top w:val="none" w:sz="0" w:space="0" w:color="auto"/>
        <w:left w:val="none" w:sz="0" w:space="0" w:color="auto"/>
        <w:bottom w:val="none" w:sz="0" w:space="0" w:color="auto"/>
        <w:right w:val="none" w:sz="0" w:space="0" w:color="auto"/>
      </w:divBdr>
      <w:divsChild>
        <w:div w:id="615794425">
          <w:marLeft w:val="0"/>
          <w:marRight w:val="0"/>
          <w:marTop w:val="0"/>
          <w:marBottom w:val="0"/>
          <w:divBdr>
            <w:top w:val="none" w:sz="0" w:space="0" w:color="auto"/>
            <w:left w:val="none" w:sz="0" w:space="0" w:color="auto"/>
            <w:bottom w:val="none" w:sz="0" w:space="0" w:color="auto"/>
            <w:right w:val="none" w:sz="0" w:space="0" w:color="auto"/>
          </w:divBdr>
        </w:div>
      </w:divsChild>
    </w:div>
    <w:div w:id="615794461">
      <w:marLeft w:val="0"/>
      <w:marRight w:val="0"/>
      <w:marTop w:val="0"/>
      <w:marBottom w:val="0"/>
      <w:divBdr>
        <w:top w:val="none" w:sz="0" w:space="0" w:color="auto"/>
        <w:left w:val="none" w:sz="0" w:space="0" w:color="auto"/>
        <w:bottom w:val="none" w:sz="0" w:space="0" w:color="auto"/>
        <w:right w:val="none" w:sz="0" w:space="0" w:color="auto"/>
      </w:divBdr>
    </w:div>
    <w:div w:id="615794462">
      <w:marLeft w:val="0"/>
      <w:marRight w:val="0"/>
      <w:marTop w:val="0"/>
      <w:marBottom w:val="0"/>
      <w:divBdr>
        <w:top w:val="none" w:sz="0" w:space="0" w:color="auto"/>
        <w:left w:val="none" w:sz="0" w:space="0" w:color="auto"/>
        <w:bottom w:val="none" w:sz="0" w:space="0" w:color="auto"/>
        <w:right w:val="none" w:sz="0" w:space="0" w:color="auto"/>
      </w:divBdr>
    </w:div>
    <w:div w:id="615794463">
      <w:marLeft w:val="0"/>
      <w:marRight w:val="0"/>
      <w:marTop w:val="0"/>
      <w:marBottom w:val="0"/>
      <w:divBdr>
        <w:top w:val="none" w:sz="0" w:space="0" w:color="auto"/>
        <w:left w:val="none" w:sz="0" w:space="0" w:color="auto"/>
        <w:bottom w:val="none" w:sz="0" w:space="0" w:color="auto"/>
        <w:right w:val="none" w:sz="0" w:space="0" w:color="auto"/>
      </w:divBdr>
    </w:div>
    <w:div w:id="615794465">
      <w:marLeft w:val="0"/>
      <w:marRight w:val="0"/>
      <w:marTop w:val="0"/>
      <w:marBottom w:val="0"/>
      <w:divBdr>
        <w:top w:val="none" w:sz="0" w:space="0" w:color="auto"/>
        <w:left w:val="none" w:sz="0" w:space="0" w:color="auto"/>
        <w:bottom w:val="none" w:sz="0" w:space="0" w:color="auto"/>
        <w:right w:val="none" w:sz="0" w:space="0" w:color="auto"/>
      </w:divBdr>
    </w:div>
    <w:div w:id="615794466">
      <w:marLeft w:val="0"/>
      <w:marRight w:val="0"/>
      <w:marTop w:val="0"/>
      <w:marBottom w:val="0"/>
      <w:divBdr>
        <w:top w:val="none" w:sz="0" w:space="0" w:color="auto"/>
        <w:left w:val="none" w:sz="0" w:space="0" w:color="auto"/>
        <w:bottom w:val="none" w:sz="0" w:space="0" w:color="auto"/>
        <w:right w:val="none" w:sz="0" w:space="0" w:color="auto"/>
      </w:divBdr>
    </w:div>
    <w:div w:id="615794468">
      <w:marLeft w:val="0"/>
      <w:marRight w:val="0"/>
      <w:marTop w:val="0"/>
      <w:marBottom w:val="0"/>
      <w:divBdr>
        <w:top w:val="none" w:sz="0" w:space="0" w:color="auto"/>
        <w:left w:val="none" w:sz="0" w:space="0" w:color="auto"/>
        <w:bottom w:val="none" w:sz="0" w:space="0" w:color="auto"/>
        <w:right w:val="none" w:sz="0" w:space="0" w:color="auto"/>
      </w:divBdr>
    </w:div>
    <w:div w:id="615794469">
      <w:marLeft w:val="0"/>
      <w:marRight w:val="0"/>
      <w:marTop w:val="0"/>
      <w:marBottom w:val="0"/>
      <w:divBdr>
        <w:top w:val="none" w:sz="0" w:space="0" w:color="auto"/>
        <w:left w:val="none" w:sz="0" w:space="0" w:color="auto"/>
        <w:bottom w:val="none" w:sz="0" w:space="0" w:color="auto"/>
        <w:right w:val="none" w:sz="0" w:space="0" w:color="auto"/>
      </w:divBdr>
    </w:div>
    <w:div w:id="615794470">
      <w:marLeft w:val="0"/>
      <w:marRight w:val="0"/>
      <w:marTop w:val="0"/>
      <w:marBottom w:val="0"/>
      <w:divBdr>
        <w:top w:val="none" w:sz="0" w:space="0" w:color="auto"/>
        <w:left w:val="none" w:sz="0" w:space="0" w:color="auto"/>
        <w:bottom w:val="none" w:sz="0" w:space="0" w:color="auto"/>
        <w:right w:val="none" w:sz="0" w:space="0" w:color="auto"/>
      </w:divBdr>
    </w:div>
    <w:div w:id="615794471">
      <w:marLeft w:val="0"/>
      <w:marRight w:val="0"/>
      <w:marTop w:val="0"/>
      <w:marBottom w:val="0"/>
      <w:divBdr>
        <w:top w:val="none" w:sz="0" w:space="0" w:color="auto"/>
        <w:left w:val="none" w:sz="0" w:space="0" w:color="auto"/>
        <w:bottom w:val="none" w:sz="0" w:space="0" w:color="auto"/>
        <w:right w:val="none" w:sz="0" w:space="0" w:color="auto"/>
      </w:divBdr>
    </w:div>
    <w:div w:id="615794472">
      <w:marLeft w:val="0"/>
      <w:marRight w:val="0"/>
      <w:marTop w:val="0"/>
      <w:marBottom w:val="0"/>
      <w:divBdr>
        <w:top w:val="none" w:sz="0" w:space="0" w:color="auto"/>
        <w:left w:val="none" w:sz="0" w:space="0" w:color="auto"/>
        <w:bottom w:val="none" w:sz="0" w:space="0" w:color="auto"/>
        <w:right w:val="none" w:sz="0" w:space="0" w:color="auto"/>
      </w:divBdr>
    </w:div>
    <w:div w:id="615794473">
      <w:marLeft w:val="0"/>
      <w:marRight w:val="0"/>
      <w:marTop w:val="0"/>
      <w:marBottom w:val="0"/>
      <w:divBdr>
        <w:top w:val="none" w:sz="0" w:space="0" w:color="auto"/>
        <w:left w:val="none" w:sz="0" w:space="0" w:color="auto"/>
        <w:bottom w:val="none" w:sz="0" w:space="0" w:color="auto"/>
        <w:right w:val="none" w:sz="0" w:space="0" w:color="auto"/>
      </w:divBdr>
    </w:div>
    <w:div w:id="809983752">
      <w:bodyDiv w:val="1"/>
      <w:marLeft w:val="0"/>
      <w:marRight w:val="0"/>
      <w:marTop w:val="0"/>
      <w:marBottom w:val="0"/>
      <w:divBdr>
        <w:top w:val="none" w:sz="0" w:space="0" w:color="auto"/>
        <w:left w:val="none" w:sz="0" w:space="0" w:color="auto"/>
        <w:bottom w:val="none" w:sz="0" w:space="0" w:color="auto"/>
        <w:right w:val="none" w:sz="0" w:space="0" w:color="auto"/>
      </w:divBdr>
    </w:div>
    <w:div w:id="20037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9E81-0C2D-4CBB-9791-3A26DB84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3325</Words>
  <Characters>23544</Characters>
  <Application>Microsoft Office Word</Application>
  <DocSecurity>0</DocSecurity>
  <Lines>811</Lines>
  <Paragraphs>340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13.janvāra noteikumos Nr.44 „Noteikumi par darbības programmas „Infrastruktūra un pakalpojumi” papildinājuma 3.1.5.3.1.apakšaktivitāti „Stacionārās veselības aprūpes attīstība”” s</vt:lpstr>
    </vt:vector>
  </TitlesOfParts>
  <Company>Veselības minsitrija</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13.janvāra noteikumos Nr.44 „Noteikumi par darbības programmas „Infrastruktūra un pakalpojumi” papildinājuma 3.1.5.3.1.apakšaktivitāti „Stacionārās veselības aprūpes attīstība”” s</dc:title>
  <dc:subject>Anotācija</dc:subject>
  <dc:creator>Jānis Zalcmanis</dc:creator>
  <dc:description>ES fondu departamenta ES fondu ieviešanas nodaļas referents
Jānis Zalcmanis
janis.zalcmanis@vm.gov.lv
tālr.67876013</dc:description>
  <cp:lastModifiedBy>jzalcmanis</cp:lastModifiedBy>
  <cp:revision>46</cp:revision>
  <cp:lastPrinted>2013-06-13T14:12:00Z</cp:lastPrinted>
  <dcterms:created xsi:type="dcterms:W3CDTF">2013-10-04T10:14:00Z</dcterms:created>
  <dcterms:modified xsi:type="dcterms:W3CDTF">2013-12-04T11:53:00Z</dcterms:modified>
</cp:coreProperties>
</file>