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42" w:rsidRPr="007C0F2C" w:rsidRDefault="00852042" w:rsidP="00214094">
      <w:pPr>
        <w:pStyle w:val="naislab"/>
        <w:spacing w:before="0" w:after="0"/>
        <w:rPr>
          <w:sz w:val="28"/>
          <w:szCs w:val="28"/>
        </w:rPr>
      </w:pPr>
    </w:p>
    <w:p w:rsidR="00EC4125" w:rsidRPr="00B3741D" w:rsidRDefault="00EC4125" w:rsidP="000D2409">
      <w:pPr>
        <w:jc w:val="center"/>
        <w:rPr>
          <w:b/>
          <w:sz w:val="28"/>
          <w:szCs w:val="28"/>
        </w:rPr>
      </w:pPr>
      <w:r w:rsidRPr="00B3741D">
        <w:rPr>
          <w:b/>
          <w:sz w:val="28"/>
          <w:szCs w:val="28"/>
        </w:rPr>
        <w:t>Ministru kabineta noteikumu projekta</w:t>
      </w:r>
    </w:p>
    <w:p w:rsidR="008C5649" w:rsidRPr="00B3741D" w:rsidRDefault="00EC4125" w:rsidP="000D2409">
      <w:pPr>
        <w:jc w:val="center"/>
        <w:rPr>
          <w:b/>
          <w:sz w:val="28"/>
          <w:szCs w:val="28"/>
        </w:rPr>
      </w:pPr>
      <w:r w:rsidRPr="00B3741D">
        <w:rPr>
          <w:b/>
          <w:sz w:val="28"/>
          <w:szCs w:val="28"/>
        </w:rPr>
        <w:t>„</w:t>
      </w:r>
      <w:r w:rsidR="000D2409" w:rsidRPr="00B3741D">
        <w:rPr>
          <w:b/>
          <w:sz w:val="28"/>
          <w:szCs w:val="28"/>
        </w:rPr>
        <w:t>Uztura normas izglītības iestāžu izglītojamiem, sociālās aprūpes un sociālās rehabilitācijas institūciju klientiem un ārstniecības iestāžu pacientiem</w:t>
      </w:r>
      <w:r w:rsidRPr="00B3741D">
        <w:rPr>
          <w:b/>
          <w:sz w:val="28"/>
          <w:szCs w:val="28"/>
        </w:rPr>
        <w:t xml:space="preserve">” </w:t>
      </w:r>
      <w:r w:rsidR="00852042" w:rsidRPr="00B3741D">
        <w:rPr>
          <w:b/>
          <w:sz w:val="28"/>
          <w:szCs w:val="28"/>
        </w:rPr>
        <w:t>sākotnējā</w:t>
      </w:r>
      <w:r w:rsidR="002D3306" w:rsidRPr="00B3741D">
        <w:rPr>
          <w:b/>
          <w:sz w:val="28"/>
          <w:szCs w:val="28"/>
        </w:rPr>
        <w:t>s</w:t>
      </w:r>
      <w:r w:rsidR="00852042" w:rsidRPr="00B3741D">
        <w:rPr>
          <w:b/>
          <w:sz w:val="28"/>
          <w:szCs w:val="28"/>
        </w:rPr>
        <w:t xml:space="preserve"> ietekmes novērtējuma </w:t>
      </w:r>
      <w:smartTag w:uri="schemas-tilde-lv/tildestengine" w:element="veidnes">
        <w:smartTagPr>
          <w:attr w:name="id" w:val="-1"/>
          <w:attr w:name="baseform" w:val="ziņojums"/>
          <w:attr w:name="text" w:val="ziņojums"/>
        </w:smartTagPr>
        <w:r w:rsidR="00852042" w:rsidRPr="00B3741D">
          <w:rPr>
            <w:b/>
            <w:sz w:val="28"/>
            <w:szCs w:val="28"/>
          </w:rPr>
          <w:t>ziņojums</w:t>
        </w:r>
      </w:smartTag>
      <w:r w:rsidR="00852042" w:rsidRPr="00B3741D">
        <w:rPr>
          <w:b/>
          <w:sz w:val="28"/>
          <w:szCs w:val="28"/>
        </w:rPr>
        <w:t xml:space="preserve"> (anotācija)</w:t>
      </w:r>
    </w:p>
    <w:p w:rsidR="001643B4" w:rsidRPr="00B3741D" w:rsidRDefault="001643B4" w:rsidP="00EC4125">
      <w:pPr>
        <w:jc w:val="center"/>
        <w:rPr>
          <w:b/>
          <w:sz w:val="28"/>
          <w:szCs w:val="28"/>
        </w:rPr>
      </w:pPr>
    </w:p>
    <w:p w:rsidR="001643B4" w:rsidRPr="00B3741D" w:rsidRDefault="001643B4" w:rsidP="00EC4125">
      <w:pPr>
        <w:jc w:val="center"/>
        <w:rPr>
          <w:sz w:val="28"/>
          <w:szCs w:val="28"/>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432"/>
        <w:gridCol w:w="6743"/>
      </w:tblGrid>
      <w:tr w:rsidR="00852042" w:rsidRPr="00B3741D">
        <w:tc>
          <w:tcPr>
            <w:tcW w:w="9725" w:type="dxa"/>
            <w:gridSpan w:val="3"/>
            <w:vAlign w:val="center"/>
          </w:tcPr>
          <w:p w:rsidR="00852042" w:rsidRPr="00B3741D" w:rsidRDefault="00852042" w:rsidP="006C4607">
            <w:pPr>
              <w:pStyle w:val="naisnod"/>
              <w:spacing w:before="0" w:after="0"/>
            </w:pPr>
            <w:r w:rsidRPr="00B3741D">
              <w:t>I</w:t>
            </w:r>
            <w:r w:rsidR="000941C5" w:rsidRPr="00B3741D">
              <w:t>.</w:t>
            </w:r>
            <w:r w:rsidRPr="00B3741D">
              <w:t xml:space="preserve"> Tiesību akta </w:t>
            </w:r>
            <w:r w:rsidR="002E3FF4" w:rsidRPr="00B3741D">
              <w:t xml:space="preserve">projekta </w:t>
            </w:r>
            <w:r w:rsidRPr="00B3741D">
              <w:t>izstrādes nepieciešamība</w:t>
            </w:r>
          </w:p>
        </w:tc>
      </w:tr>
      <w:tr w:rsidR="00262E2B" w:rsidRPr="00B3741D" w:rsidTr="005D1909">
        <w:trPr>
          <w:trHeight w:val="630"/>
        </w:trPr>
        <w:tc>
          <w:tcPr>
            <w:tcW w:w="550" w:type="dxa"/>
          </w:tcPr>
          <w:p w:rsidR="00262E2B" w:rsidRPr="00B3741D" w:rsidRDefault="00262E2B" w:rsidP="006C4607">
            <w:pPr>
              <w:pStyle w:val="naiskr"/>
              <w:spacing w:before="0" w:after="0"/>
              <w:rPr>
                <w:sz w:val="22"/>
                <w:szCs w:val="22"/>
              </w:rPr>
            </w:pPr>
            <w:r w:rsidRPr="00B3741D">
              <w:rPr>
                <w:sz w:val="22"/>
                <w:szCs w:val="22"/>
              </w:rPr>
              <w:t>1.</w:t>
            </w:r>
          </w:p>
        </w:tc>
        <w:tc>
          <w:tcPr>
            <w:tcW w:w="2432" w:type="dxa"/>
          </w:tcPr>
          <w:p w:rsidR="00262E2B" w:rsidRPr="00B3741D" w:rsidRDefault="002D7F54" w:rsidP="006C4607">
            <w:pPr>
              <w:pStyle w:val="naiskr"/>
              <w:spacing w:before="0" w:after="0"/>
              <w:ind w:hanging="10"/>
              <w:rPr>
                <w:sz w:val="22"/>
                <w:szCs w:val="22"/>
              </w:rPr>
            </w:pPr>
            <w:r w:rsidRPr="00B3741D">
              <w:rPr>
                <w:sz w:val="22"/>
                <w:szCs w:val="22"/>
              </w:rPr>
              <w:t>Pamatojums</w:t>
            </w:r>
          </w:p>
        </w:tc>
        <w:tc>
          <w:tcPr>
            <w:tcW w:w="6743" w:type="dxa"/>
          </w:tcPr>
          <w:p w:rsidR="00262E2B" w:rsidRPr="00B3741D" w:rsidRDefault="00EC4125" w:rsidP="00770B47">
            <w:pPr>
              <w:pStyle w:val="naisf"/>
              <w:ind w:firstLine="0"/>
              <w:rPr>
                <w:sz w:val="22"/>
                <w:szCs w:val="22"/>
              </w:rPr>
            </w:pPr>
            <w:r w:rsidRPr="00B3741D">
              <w:t>Pārtikas aprites uzraudzības likum</w:t>
            </w:r>
            <w:r w:rsidR="00770B47" w:rsidRPr="00B3741D">
              <w:t xml:space="preserve">a 19.panta </w:t>
            </w:r>
            <w:r w:rsidRPr="00B3741D">
              <w:t>3</w:t>
            </w:r>
            <w:r w:rsidR="00A874A5">
              <w:t>.</w:t>
            </w:r>
            <w:r w:rsidRPr="00B3741D">
              <w:rPr>
                <w:vertAlign w:val="superscript"/>
              </w:rPr>
              <w:t>1</w:t>
            </w:r>
            <w:r w:rsidR="00770B47" w:rsidRPr="00B3741D">
              <w:t xml:space="preserve"> daļa.</w:t>
            </w:r>
          </w:p>
        </w:tc>
      </w:tr>
      <w:tr w:rsidR="00262E2B" w:rsidRPr="00B3741D" w:rsidTr="005D1909">
        <w:trPr>
          <w:trHeight w:val="472"/>
        </w:trPr>
        <w:tc>
          <w:tcPr>
            <w:tcW w:w="550" w:type="dxa"/>
          </w:tcPr>
          <w:p w:rsidR="00262E2B" w:rsidRPr="00B3741D" w:rsidRDefault="00262E2B" w:rsidP="006C4607">
            <w:pPr>
              <w:pStyle w:val="naiskr"/>
              <w:spacing w:before="0" w:after="0"/>
              <w:rPr>
                <w:sz w:val="22"/>
                <w:szCs w:val="22"/>
              </w:rPr>
            </w:pPr>
            <w:r w:rsidRPr="00B3741D">
              <w:rPr>
                <w:sz w:val="22"/>
                <w:szCs w:val="22"/>
              </w:rPr>
              <w:t>2.</w:t>
            </w:r>
          </w:p>
        </w:tc>
        <w:tc>
          <w:tcPr>
            <w:tcW w:w="2432" w:type="dxa"/>
          </w:tcPr>
          <w:p w:rsidR="00262E2B" w:rsidRPr="00B3741D" w:rsidRDefault="00262E2B" w:rsidP="006C4607">
            <w:pPr>
              <w:pStyle w:val="naiskr"/>
              <w:tabs>
                <w:tab w:val="left" w:pos="170"/>
              </w:tabs>
              <w:spacing w:before="0" w:after="0"/>
              <w:rPr>
                <w:sz w:val="22"/>
                <w:szCs w:val="22"/>
              </w:rPr>
            </w:pPr>
            <w:r w:rsidRPr="00B3741D">
              <w:rPr>
                <w:sz w:val="22"/>
                <w:szCs w:val="22"/>
              </w:rPr>
              <w:t>Pašreizējā situācija</w:t>
            </w:r>
            <w:r w:rsidR="001F5CD6" w:rsidRPr="00B3741D">
              <w:rPr>
                <w:sz w:val="22"/>
                <w:szCs w:val="22"/>
              </w:rPr>
              <w:t xml:space="preserve"> un problēmas</w:t>
            </w:r>
          </w:p>
        </w:tc>
        <w:tc>
          <w:tcPr>
            <w:tcW w:w="6743" w:type="dxa"/>
          </w:tcPr>
          <w:p w:rsidR="0058138E" w:rsidRPr="00B3741D" w:rsidRDefault="00D04C90" w:rsidP="00CC07F2">
            <w:pPr>
              <w:jc w:val="both"/>
            </w:pPr>
            <w:r w:rsidRPr="00B3741D">
              <w:rPr>
                <w:bCs/>
              </w:rPr>
              <w:t>Ēdināšanu izglītības iestādēs šobrīd regulē Ministru kabineta 2002.gada 27.decembra noteikumi Nr.610 „Higiēnas prasības vispārējās pamatizglītības, vispārējās vidējās izglītības un profesionālās izglītības iestādēm” un Ministru kabineta 2002.gada 27.decembra noteikumi Nr.596 „Higiēnas prasības izglītības iestādēm, kas īsteno pirmsskolas izglītības programmas” nosaka, ka šajās iestādēs ē</w:t>
            </w:r>
            <w:r w:rsidRPr="00B3741D">
              <w:t>dināšanu organizē saskaņā ar ēdienkarti atbilstoši veselīga uztura principiem</w:t>
            </w:r>
            <w:r w:rsidR="009A3A46" w:rsidRPr="00B3741D">
              <w:t xml:space="preserve"> (tos neprecizējot),</w:t>
            </w:r>
            <w:r w:rsidRPr="00B3741D">
              <w:t xml:space="preserve"> kā arī paredz, ka izglītības iestādēs neizplata atsevišķus pārtikas produktus, kas nav nepieciešami bērnu ikdienas uzturā (saldumus un košļājamās gumijas,  bezalkoholiskos dzērienus ar pārtikas piedevām – konservantiem, saldinātājiem un krāsvielām, enerģijas dzērienus, kā arī sāļās uzkodas). </w:t>
            </w:r>
          </w:p>
          <w:p w:rsidR="0058138E" w:rsidRPr="00B3741D" w:rsidRDefault="0058138E" w:rsidP="00CC07F2">
            <w:pPr>
              <w:jc w:val="both"/>
              <w:outlineLvl w:val="3"/>
              <w:rPr>
                <w:bCs/>
                <w:sz w:val="28"/>
                <w:szCs w:val="28"/>
              </w:rPr>
            </w:pPr>
            <w:r w:rsidRPr="00B3741D">
              <w:rPr>
                <w:bCs/>
              </w:rPr>
              <w:t xml:space="preserve">Ministru kabineta </w:t>
            </w:r>
            <w:r w:rsidRPr="00B3741D">
              <w:t>2010.gada 28.decembra noteikumi Nr.1206 „</w:t>
            </w:r>
            <w:r w:rsidRPr="00B3741D">
              <w:rPr>
                <w:bCs/>
              </w:rPr>
              <w:t>Kārtība, kādā aprēķina, piešķir un izlieto valsts budžetā paredzētos līdzekļus pašvaldībām pamatizglītības iestādes skolēnu ēdināšanai” nosaka prasības vienas dienas pusdienu ēdienkartei</w:t>
            </w:r>
            <w:r w:rsidR="009A3A46" w:rsidRPr="00B3741D">
              <w:rPr>
                <w:bCs/>
              </w:rPr>
              <w:t xml:space="preserve"> tiem izglītojamajiem, kas saņem no valsts budžeta apmaksātās brīvpusdienas (1.klašu skolēni)</w:t>
            </w:r>
            <w:r w:rsidRPr="00B3741D">
              <w:rPr>
                <w:bCs/>
              </w:rPr>
              <w:t>, paredzot pusdienās iekļaujamos un neiekļaujamos pārtikas produktus, bet nenosakot pusdienu enerģētisko vērtību un uzturvērtību.</w:t>
            </w:r>
          </w:p>
          <w:p w:rsidR="00CC07F2" w:rsidRPr="00B3741D" w:rsidRDefault="00D04C90" w:rsidP="00CC07F2">
            <w:pPr>
              <w:jc w:val="both"/>
              <w:rPr>
                <w:bCs/>
              </w:rPr>
            </w:pPr>
            <w:r w:rsidRPr="00B3741D">
              <w:rPr>
                <w:bCs/>
              </w:rPr>
              <w:t xml:space="preserve">Šobrīd normatīvie akti nenosaka vienas dienas </w:t>
            </w:r>
            <w:r w:rsidRPr="00B3741D">
              <w:t>enerģijas un uzturvielu devas</w:t>
            </w:r>
            <w:r w:rsidRPr="00B3741D">
              <w:rPr>
                <w:bCs/>
              </w:rPr>
              <w:t xml:space="preserve"> izglītojamajam vispārējās pamatizglītības, vispārējās vidējās izglītības iestādēs un izglītības iestādēs, kas īsteno pirmsskolas izglītības programmas. </w:t>
            </w:r>
            <w:r w:rsidR="00E359D9" w:rsidRPr="00B3741D">
              <w:rPr>
                <w:bCs/>
              </w:rPr>
              <w:t xml:space="preserve"> Normatīvie akti nenosaka arī vienas dienas enerģijas un uzturvielu devas ārstniecības iestāžu pacientiem un ilgstošas sociālās aprūpes un sociālās rehabilitācijas institūciju klientiem. </w:t>
            </w:r>
            <w:r w:rsidRPr="00B3741D">
              <w:rPr>
                <w:bCs/>
              </w:rPr>
              <w:t>Līdz ar to var rasties situācija, kad izglītības iestādes</w:t>
            </w:r>
            <w:r w:rsidR="00E359D9">
              <w:rPr>
                <w:bCs/>
              </w:rPr>
              <w:t xml:space="preserve">, ārstniecības iestādes vai sociālās institūcijas </w:t>
            </w:r>
            <w:r w:rsidRPr="00B3741D">
              <w:rPr>
                <w:bCs/>
              </w:rPr>
              <w:t>ēdienreižu (brokastu, pusdienu, launaga) uzturvērtība ir pārāk maza vai pārāk liela, kas veicina nesabalansēta uztura (daudz tauku, maz olbaltumvielu) lietošanu. Tas savukārt ietekmē izglītojamo</w:t>
            </w:r>
            <w:r w:rsidR="00E359D9">
              <w:rPr>
                <w:bCs/>
              </w:rPr>
              <w:t>, pacientu, sociālās institūcijas klientu</w:t>
            </w:r>
            <w:r w:rsidRPr="00B3741D">
              <w:rPr>
                <w:bCs/>
              </w:rPr>
              <w:t xml:space="preserve"> veselības stāvokli –</w:t>
            </w:r>
            <w:r w:rsidR="00E359D9">
              <w:rPr>
                <w:bCs/>
              </w:rPr>
              <w:t xml:space="preserve"> </w:t>
            </w:r>
            <w:r w:rsidRPr="00B3741D">
              <w:rPr>
                <w:bCs/>
              </w:rPr>
              <w:t xml:space="preserve">ķermeņa masa var būtiski palielināties vai samazināties, radot risku saslimt ar infekcijas un neinfekcijas slimībām. </w:t>
            </w:r>
            <w:r w:rsidR="00E359D9">
              <w:rPr>
                <w:bCs/>
              </w:rPr>
              <w:t>Nepietiekama olbaltumvielu uzņemšana kavē augšanu un attīstību, samazinās organisma pretošanās spējas slimībām.</w:t>
            </w:r>
            <w:r w:rsidR="003E3E81">
              <w:rPr>
                <w:bCs/>
              </w:rPr>
              <w:t xml:space="preserve"> Pareizās proporcijās cilvēka uzturā ir nepieciešami arī ogļhidrāti un tauki, kas ir svarīgi dažādām dzīvības norisēm (vielmaiņai, enerģijai, u.c.). vitamīni un minerālvielas ir nepieciešami </w:t>
            </w:r>
            <w:r w:rsidR="003E3E81">
              <w:rPr>
                <w:bCs/>
              </w:rPr>
              <w:lastRenderedPageBreak/>
              <w:t>vielmaiņas bioķīmiskajās reakcijās. Nepietiekams minerālvielu un vitamīnu daudzums uzturā izraisa dažādas veselības problēmas: augšanas un attīstības apstāšanos, kavētu brūču dzīšanu, samazinātu spēju pretoties infekcijām, mazasinību, u.c. (avots: Zariņš Z.,</w:t>
            </w:r>
            <w:r w:rsidR="0072661E">
              <w:rPr>
                <w:bCs/>
              </w:rPr>
              <w:t xml:space="preserve"> N</w:t>
            </w:r>
            <w:r w:rsidR="003E3E81">
              <w:rPr>
                <w:bCs/>
              </w:rPr>
              <w:t xml:space="preserve">eimane L. Uztura mācība, 1999). </w:t>
            </w:r>
          </w:p>
          <w:p w:rsidR="00D772B3" w:rsidRPr="00B3741D" w:rsidRDefault="00D772B3" w:rsidP="000D76DD">
            <w:pPr>
              <w:autoSpaceDE w:val="0"/>
              <w:autoSpaceDN w:val="0"/>
              <w:adjustRightInd w:val="0"/>
              <w:jc w:val="both"/>
              <w:rPr>
                <w:rFonts w:ascii="TimesNewRomanPS-BoldMT" w:hAnsi="TimesNewRomanPS-BoldMT" w:cs="TimesNewRomanPS-BoldMT"/>
                <w:bCs/>
                <w:lang w:eastAsia="en-US"/>
              </w:rPr>
            </w:pPr>
            <w:r w:rsidRPr="00B3741D">
              <w:rPr>
                <w:bCs/>
              </w:rPr>
              <w:t xml:space="preserve">Veselības ministrijas „Ieteikumi </w:t>
            </w:r>
            <w:r w:rsidRPr="00B3741D">
              <w:rPr>
                <w:rFonts w:ascii="TimesNewRomanPS-BoldMT" w:hAnsi="TimesNewRomanPS-BoldMT" w:cs="TimesNewRomanPS-BoldMT"/>
                <w:bCs/>
                <w:lang w:eastAsia="en-US"/>
              </w:rPr>
              <w:t>veselīga uztura pagatavošanai bērniem vecumā no diviem līdz</w:t>
            </w:r>
            <w:r w:rsidR="001E0C54" w:rsidRPr="00B3741D">
              <w:rPr>
                <w:rFonts w:ascii="TimesNewRomanPS-BoldMT" w:hAnsi="TimesNewRomanPS-BoldMT" w:cs="TimesNewRomanPS-BoldMT"/>
                <w:bCs/>
                <w:lang w:eastAsia="en-US"/>
              </w:rPr>
              <w:t xml:space="preserve"> </w:t>
            </w:r>
            <w:r w:rsidRPr="00B3741D">
              <w:rPr>
                <w:rFonts w:ascii="TimesNewRomanPS-BoldMT" w:hAnsi="TimesNewRomanPS-BoldMT" w:cs="TimesNewRomanPS-BoldMT"/>
                <w:bCs/>
                <w:lang w:eastAsia="en-US"/>
              </w:rPr>
              <w:t>astoņpadsmit gadiem” (</w:t>
            </w:r>
            <w:r w:rsidRPr="00B3741D">
              <w:rPr>
                <w:rFonts w:ascii="TimesNewRomanPSMT" w:hAnsi="TimesNewRomanPSMT" w:cs="TimesNewRomanPSMT"/>
                <w:lang w:eastAsia="en-US"/>
              </w:rPr>
              <w:t xml:space="preserve">apstiprināti ar Veselības ministrijas 2003.gada 25.jūlija rīkojumu Nr.202) </w:t>
            </w:r>
            <w:r w:rsidRPr="00B3741D">
              <w:rPr>
                <w:rFonts w:ascii="TimesNewRomanPS-BoldMT" w:hAnsi="TimesNewRomanPS-BoldMT" w:cs="TimesNewRomanPS-BoldMT"/>
                <w:bCs/>
                <w:lang w:eastAsia="en-US"/>
              </w:rPr>
              <w:t>ir noteikti tie pārtikas produkti un pārtikas produktu grupas, kas ir iekļaujamas bērnu uztur</w:t>
            </w:r>
            <w:r w:rsidR="00FA3397">
              <w:rPr>
                <w:rFonts w:ascii="TimesNewRomanPS-BoldMT" w:hAnsi="TimesNewRomanPS-BoldMT" w:cs="TimesNewRomanPS-BoldMT"/>
                <w:bCs/>
                <w:lang w:eastAsia="en-US"/>
              </w:rPr>
              <w:t>ā</w:t>
            </w:r>
            <w:r w:rsidRPr="00B3741D">
              <w:rPr>
                <w:rFonts w:ascii="TimesNewRomanPS-BoldMT" w:hAnsi="TimesNewRomanPS-BoldMT" w:cs="TimesNewRomanPS-BoldMT"/>
                <w:bCs/>
                <w:lang w:eastAsia="en-US"/>
              </w:rPr>
              <w:t>, t.i.:</w:t>
            </w:r>
          </w:p>
          <w:p w:rsidR="00D772B3" w:rsidRPr="00B3741D" w:rsidRDefault="00D772B3" w:rsidP="000D76DD">
            <w:pPr>
              <w:pStyle w:val="ListParagraph"/>
              <w:numPr>
                <w:ilvl w:val="0"/>
                <w:numId w:val="16"/>
              </w:numPr>
              <w:autoSpaceDE w:val="0"/>
              <w:autoSpaceDN w:val="0"/>
              <w:adjustRightInd w:val="0"/>
              <w:spacing w:after="0" w:line="240" w:lineRule="auto"/>
              <w:ind w:left="527" w:hanging="357"/>
              <w:jc w:val="both"/>
              <w:rPr>
                <w:rFonts w:ascii="TimesNewRomanPS-BoldMT" w:hAnsi="TimesNewRomanPS-BoldMT" w:cs="TimesNewRomanPS-BoldMT"/>
                <w:bCs/>
              </w:rPr>
            </w:pPr>
            <w:r w:rsidRPr="00B3741D">
              <w:rPr>
                <w:rFonts w:ascii="TimesNewRomanPS-BoldMT" w:hAnsi="TimesNewRomanPS-BoldMT" w:cs="TimesNewRomanPS-BoldMT"/>
                <w:bCs/>
              </w:rPr>
              <w:t>maize, putraimi, makaroni, kartupeļi,</w:t>
            </w:r>
          </w:p>
          <w:p w:rsidR="00D772B3" w:rsidRPr="00B3741D" w:rsidRDefault="00D772B3" w:rsidP="000D76DD">
            <w:pPr>
              <w:pStyle w:val="ListParagraph"/>
              <w:numPr>
                <w:ilvl w:val="0"/>
                <w:numId w:val="16"/>
              </w:numPr>
              <w:autoSpaceDE w:val="0"/>
              <w:autoSpaceDN w:val="0"/>
              <w:adjustRightInd w:val="0"/>
              <w:spacing w:after="0" w:line="240" w:lineRule="auto"/>
              <w:ind w:left="527" w:hanging="357"/>
              <w:jc w:val="both"/>
              <w:rPr>
                <w:rFonts w:ascii="TimesNewRomanPS-BoldMT" w:hAnsi="TimesNewRomanPS-BoldMT" w:cs="TimesNewRomanPS-BoldMT"/>
                <w:bCs/>
              </w:rPr>
            </w:pPr>
            <w:r w:rsidRPr="00B3741D">
              <w:rPr>
                <w:rFonts w:ascii="TimesNewRomanPS-BoldMT" w:hAnsi="TimesNewRomanPS-BoldMT" w:cs="TimesNewRomanPS-BoldMT"/>
                <w:bCs/>
              </w:rPr>
              <w:t>dārzeņi, zaļumi, augļi un ogas,</w:t>
            </w:r>
          </w:p>
          <w:p w:rsidR="00D772B3" w:rsidRPr="00B3741D" w:rsidRDefault="00D772B3" w:rsidP="000D76DD">
            <w:pPr>
              <w:pStyle w:val="ListParagraph"/>
              <w:numPr>
                <w:ilvl w:val="0"/>
                <w:numId w:val="16"/>
              </w:numPr>
              <w:autoSpaceDE w:val="0"/>
              <w:autoSpaceDN w:val="0"/>
              <w:adjustRightInd w:val="0"/>
              <w:spacing w:after="0" w:line="240" w:lineRule="auto"/>
              <w:ind w:left="527" w:hanging="357"/>
              <w:jc w:val="both"/>
              <w:rPr>
                <w:rFonts w:ascii="TimesNewRomanPS-BoldMT" w:hAnsi="TimesNewRomanPS-BoldMT" w:cs="TimesNewRomanPS-BoldMT"/>
                <w:bCs/>
              </w:rPr>
            </w:pPr>
            <w:r w:rsidRPr="00B3741D">
              <w:rPr>
                <w:rFonts w:ascii="TimesNewRomanPS-BoldMT" w:hAnsi="TimesNewRomanPS-BoldMT" w:cs="TimesNewRomanPS-BoldMT"/>
                <w:bCs/>
              </w:rPr>
              <w:t>piens un piena produkti,</w:t>
            </w:r>
          </w:p>
          <w:p w:rsidR="00D772B3" w:rsidRPr="00B3741D" w:rsidRDefault="00D772B3" w:rsidP="000D76DD">
            <w:pPr>
              <w:pStyle w:val="ListParagraph"/>
              <w:numPr>
                <w:ilvl w:val="0"/>
                <w:numId w:val="16"/>
              </w:numPr>
              <w:autoSpaceDE w:val="0"/>
              <w:autoSpaceDN w:val="0"/>
              <w:adjustRightInd w:val="0"/>
              <w:spacing w:after="0" w:line="240" w:lineRule="auto"/>
              <w:ind w:left="527" w:hanging="357"/>
              <w:jc w:val="both"/>
              <w:rPr>
                <w:rFonts w:ascii="TimesNewRomanPS-BoldMT" w:hAnsi="TimesNewRomanPS-BoldMT" w:cs="TimesNewRomanPS-BoldMT"/>
                <w:bCs/>
              </w:rPr>
            </w:pPr>
            <w:r w:rsidRPr="00B3741D">
              <w:rPr>
                <w:rFonts w:ascii="TimesNewRomanPS-BoldMT" w:hAnsi="TimesNewRomanPS-BoldMT" w:cs="TimesNewRomanPS-BoldMT"/>
                <w:bCs/>
              </w:rPr>
              <w:t>liesa gaļa, zivis, olas, pākšaugi, rieksti.</w:t>
            </w:r>
          </w:p>
          <w:p w:rsidR="009E6C46" w:rsidRPr="00B3741D" w:rsidRDefault="00D772B3" w:rsidP="00C07778">
            <w:pPr>
              <w:autoSpaceDE w:val="0"/>
              <w:autoSpaceDN w:val="0"/>
              <w:adjustRightInd w:val="0"/>
              <w:jc w:val="both"/>
              <w:rPr>
                <w:rFonts w:ascii="TimesNewRomanPS-BoldMT" w:hAnsi="TimesNewRomanPS-BoldMT" w:cs="TimesNewRomanPS-BoldMT"/>
                <w:bCs/>
                <w:lang w:eastAsia="en-US"/>
              </w:rPr>
            </w:pPr>
            <w:r w:rsidRPr="00B3741D">
              <w:rPr>
                <w:rFonts w:ascii="TimesNewRomanPS-BoldMT" w:hAnsi="TimesNewRomanPS-BoldMT" w:cs="TimesNewRomanPS-BoldMT"/>
                <w:bCs/>
                <w:lang w:eastAsia="en-US"/>
              </w:rPr>
              <w:t xml:space="preserve">Tāpat </w:t>
            </w:r>
            <w:r w:rsidR="001E0C54" w:rsidRPr="00B3741D">
              <w:rPr>
                <w:rFonts w:ascii="TimesNewRomanPS-BoldMT" w:hAnsi="TimesNewRomanPS-BoldMT" w:cs="TimesNewRomanPS-BoldMT"/>
                <w:bCs/>
                <w:lang w:eastAsia="en-US"/>
              </w:rPr>
              <w:t xml:space="preserve">ieteikumos </w:t>
            </w:r>
            <w:r w:rsidRPr="00B3741D">
              <w:rPr>
                <w:rFonts w:ascii="TimesNewRomanPS-BoldMT" w:hAnsi="TimesNewRomanPS-BoldMT" w:cs="TimesNewRomanPS-BoldMT"/>
                <w:bCs/>
                <w:lang w:eastAsia="en-US"/>
              </w:rPr>
              <w:t>noteikti arī bērnu uzturā nevēlamie pārtikas produkti – saldumi, konditorejas izstrādājumi, majonēze, u.c.</w:t>
            </w:r>
            <w:r w:rsidR="00D04B73" w:rsidRPr="00B3741D">
              <w:rPr>
                <w:rFonts w:ascii="TimesNewRomanPS-BoldMT" w:hAnsi="TimesNewRomanPS-BoldMT" w:cs="TimesNewRomanPS-BoldMT"/>
                <w:bCs/>
                <w:lang w:eastAsia="en-US"/>
              </w:rPr>
              <w:t xml:space="preserve"> </w:t>
            </w:r>
            <w:r w:rsidR="001E0C54" w:rsidRPr="00B3741D">
              <w:rPr>
                <w:rFonts w:ascii="TimesNewRomanPS-BoldMT" w:hAnsi="TimesNewRomanPS-BoldMT" w:cs="TimesNewRomanPS-BoldMT"/>
                <w:bCs/>
                <w:lang w:eastAsia="en-US"/>
              </w:rPr>
              <w:t>Savukārt l</w:t>
            </w:r>
            <w:r w:rsidR="00CB3137" w:rsidRPr="00B3741D">
              <w:rPr>
                <w:rFonts w:ascii="TimesNewRomanPS-BoldMT" w:hAnsi="TimesNewRomanPS-BoldMT" w:cs="TimesNewRomanPS-BoldMT"/>
                <w:bCs/>
                <w:lang w:eastAsia="en-US"/>
              </w:rPr>
              <w:t xml:space="preserve">iteratūrā par bērnu uzturu </w:t>
            </w:r>
            <w:r w:rsidR="00CB3137" w:rsidRPr="00B3741D">
              <w:rPr>
                <w:rFonts w:ascii="TimesNewRomanPS-BoldMT" w:hAnsi="TimesNewRomanPS-BoldMT" w:cs="TimesNewRomanPS-BoldMT"/>
                <w:bCs/>
                <w:i/>
                <w:lang w:eastAsia="en-US"/>
              </w:rPr>
              <w:t>(Vilsa J. Bērnu uzturs, Jāņa Rozes apgāds, 2009)</w:t>
            </w:r>
            <w:r w:rsidR="00CB3137" w:rsidRPr="00B3741D">
              <w:rPr>
                <w:rFonts w:ascii="TimesNewRomanPS-BoldMT" w:hAnsi="TimesNewRomanPS-BoldMT" w:cs="TimesNewRomanPS-BoldMT"/>
                <w:bCs/>
                <w:lang w:eastAsia="en-US"/>
              </w:rPr>
              <w:t xml:space="preserve"> ir noteikts, ka liesa gaļa ir svarīgs </w:t>
            </w:r>
            <w:r w:rsidR="00CB3137" w:rsidRPr="00B3741D">
              <w:rPr>
                <w:rFonts w:ascii="TimesNewRomanPS-BoldMT" w:hAnsi="TimesNewRomanPS-BoldMT" w:cs="TimesNewRomanPS-BoldMT" w:hint="eastAsia"/>
                <w:bCs/>
                <w:lang w:eastAsia="en-US"/>
              </w:rPr>
              <w:t>pilnvērtīgo</w:t>
            </w:r>
            <w:r w:rsidR="00CB3137" w:rsidRPr="00B3741D">
              <w:rPr>
                <w:rFonts w:ascii="TimesNewRomanPS-BoldMT" w:hAnsi="TimesNewRomanPS-BoldMT" w:cs="TimesNewRomanPS-BoldMT"/>
                <w:bCs/>
                <w:lang w:eastAsia="en-US"/>
              </w:rPr>
              <w:t xml:space="preserve"> (dzīvnieku valsts) olbaltumvielu un dzelzs avots, kas ir īpaši nepieciešami augošam bērna organismam. Lietojot uzturā </w:t>
            </w:r>
            <w:r w:rsidR="00E50CC8" w:rsidRPr="00B3741D">
              <w:rPr>
                <w:rFonts w:ascii="TimesNewRomanPS-BoldMT" w:hAnsi="TimesNewRomanPS-BoldMT" w:cs="TimesNewRomanPS-BoldMT"/>
                <w:bCs/>
                <w:lang w:eastAsia="en-US"/>
              </w:rPr>
              <w:t>gaļas</w:t>
            </w:r>
            <w:r w:rsidR="00CB3137" w:rsidRPr="00B3741D">
              <w:rPr>
                <w:rFonts w:ascii="TimesNewRomanPS-BoldMT" w:hAnsi="TimesNewRomanPS-BoldMT" w:cs="TimesNewRomanPS-BoldMT"/>
                <w:bCs/>
                <w:lang w:eastAsia="en-US"/>
              </w:rPr>
              <w:t xml:space="preserve"> produktus (piemēram, desas, cīsiņus, utml.), </w:t>
            </w:r>
            <w:r w:rsidR="009E6C46" w:rsidRPr="00B3741D">
              <w:rPr>
                <w:rFonts w:ascii="TimesNewRomanPS-BoldMT" w:hAnsi="TimesNewRomanPS-BoldMT" w:cs="TimesNewRomanPS-BoldMT"/>
                <w:bCs/>
                <w:lang w:eastAsia="en-US"/>
              </w:rPr>
              <w:t xml:space="preserve">tiem </w:t>
            </w:r>
            <w:r w:rsidR="009E6C46" w:rsidRPr="00B3741D">
              <w:rPr>
                <w:rFonts w:ascii="TimesNewRomanPS-BoldMT" w:hAnsi="TimesNewRomanPS-BoldMT" w:cs="TimesNewRomanPS-BoldMT"/>
                <w:bCs/>
              </w:rPr>
              <w:t xml:space="preserve">nav vienāds olbaltumvielu un </w:t>
            </w:r>
            <w:r w:rsidR="00C07778" w:rsidRPr="00B3741D">
              <w:rPr>
                <w:rFonts w:ascii="TimesNewRomanPS-BoldMT" w:hAnsi="TimesNewRomanPS-BoldMT" w:cs="TimesNewRomanPS-BoldMT"/>
                <w:bCs/>
              </w:rPr>
              <w:t xml:space="preserve">veselīgo </w:t>
            </w:r>
            <w:r w:rsidR="009E6C46" w:rsidRPr="00B3741D">
              <w:rPr>
                <w:rFonts w:ascii="TimesNewRomanPS-BoldMT" w:hAnsi="TimesNewRomanPS-BoldMT" w:cs="TimesNewRomanPS-BoldMT"/>
                <w:bCs/>
              </w:rPr>
              <w:t>tauku saturs</w:t>
            </w:r>
            <w:r w:rsidR="00C07778" w:rsidRPr="00B3741D">
              <w:rPr>
                <w:rFonts w:ascii="TimesNewRomanPS-BoldMT" w:hAnsi="TimesNewRomanPS-BoldMT" w:cs="TimesNewRomanPS-BoldMT"/>
                <w:bCs/>
              </w:rPr>
              <w:t>,</w:t>
            </w:r>
            <w:r w:rsidR="009E6C46" w:rsidRPr="00B3741D">
              <w:rPr>
                <w:rFonts w:ascii="TimesNewRomanPS-BoldMT" w:hAnsi="TimesNewRomanPS-BoldMT" w:cs="TimesNewRomanPS-BoldMT"/>
                <w:bCs/>
              </w:rPr>
              <w:t xml:space="preserve"> kā tāda paša daudzuma un apjoma liesai gaļai un zivīm. Ja bērns uzturā liesas gaļas vai zivju vietā saņem gaļas produktus ar augstu sāls,  tauku saturu</w:t>
            </w:r>
            <w:r w:rsidR="009E6C46" w:rsidRPr="00B3741D">
              <w:rPr>
                <w:rFonts w:ascii="TimesNewRomanPS-BoldMT" w:hAnsi="TimesNewRomanPS-BoldMT" w:cs="TimesNewRomanPS-BoldMT"/>
                <w:bCs/>
                <w:lang w:eastAsia="en-US"/>
              </w:rPr>
              <w:t xml:space="preserve">, </w:t>
            </w:r>
            <w:r w:rsidR="00C07778" w:rsidRPr="00B3741D">
              <w:rPr>
                <w:rFonts w:ascii="TimesNewRomanPS-BoldMT" w:hAnsi="TimesNewRomanPS-BoldMT" w:cs="TimesNewRomanPS-BoldMT"/>
                <w:bCs/>
                <w:lang w:eastAsia="en-US"/>
              </w:rPr>
              <w:t>kā</w:t>
            </w:r>
            <w:r w:rsidR="009E6C46" w:rsidRPr="00B3741D">
              <w:rPr>
                <w:rFonts w:ascii="TimesNewRomanPS-BoldMT" w:hAnsi="TimesNewRomanPS-BoldMT" w:cs="TimesNewRomanPS-BoldMT"/>
                <w:bCs/>
                <w:lang w:eastAsia="en-US"/>
              </w:rPr>
              <w:t xml:space="preserve"> arī bērnu uzturā nevēlamo pārtikas piedevu </w:t>
            </w:r>
            <w:r w:rsidR="009E6C46" w:rsidRPr="00B3741D">
              <w:rPr>
                <w:rFonts w:ascii="TimesNewRomanPS-BoldMT" w:hAnsi="TimesNewRomanPS-BoldMT" w:cs="TimesNewRomanPS-BoldMT"/>
                <w:bCs/>
              </w:rPr>
              <w:t>un samazinātu olbaltumvielu daudzumu, tas neatbilst veselīga uztura ieteikumiem un nav vēlama šādu produktu lietošana  bērnu uzturā</w:t>
            </w:r>
            <w:r w:rsidR="009E6C46" w:rsidRPr="00B3741D">
              <w:rPr>
                <w:rFonts w:ascii="TimesNewRomanPS-BoldMT" w:hAnsi="TimesNewRomanPS-BoldMT" w:cs="TimesNewRomanPS-BoldMT"/>
                <w:bCs/>
                <w:lang w:eastAsia="en-US"/>
              </w:rPr>
              <w:t>.</w:t>
            </w:r>
          </w:p>
          <w:p w:rsidR="0019592A" w:rsidRPr="00B3741D" w:rsidRDefault="0019592A" w:rsidP="0019592A">
            <w:pPr>
              <w:pStyle w:val="NoSpacing"/>
              <w:jc w:val="both"/>
              <w:rPr>
                <w:rFonts w:ascii="Times New Roman" w:hAnsi="Times New Roman"/>
                <w:sz w:val="24"/>
                <w:szCs w:val="24"/>
                <w:lang w:val="lv-LV"/>
              </w:rPr>
            </w:pPr>
            <w:r w:rsidRPr="00B3741D">
              <w:rPr>
                <w:rFonts w:ascii="Times New Roman" w:hAnsi="Times New Roman"/>
                <w:sz w:val="24"/>
                <w:szCs w:val="24"/>
                <w:lang w:val="lv-LV"/>
              </w:rPr>
              <w:t>Šo sabiedrības grupu uzturam ir jābūt sabalansētam un tā pagatavošanā jāizmanto svaigi produkti. Ja nav pieejami svaigi produkti, atsevišķos gadījumos pieļaujams izmantot saldētus produktus – saldētus dārzeņus ziemas periodā vai saldētu zivs fileju, jo pareizi sasaldētos un uzglabātos svaigos pārtikas produktos saglabājas lielākā daļa vitamīnu. Turpretī saldētu pusfabrikātu lietošana šo sabiedrības grupu ikdienas uzturā nav vēlama, jo tie nav  vērtīgs olbaltumvielu avots, bet satur daudz sāli, piesātinātos taukus, pārtikas  piedevas.</w:t>
            </w:r>
          </w:p>
          <w:p w:rsidR="00F55051" w:rsidRPr="00B3741D" w:rsidRDefault="00F55051" w:rsidP="00F55051">
            <w:pPr>
              <w:autoSpaceDE w:val="0"/>
              <w:autoSpaceDN w:val="0"/>
              <w:adjustRightInd w:val="0"/>
              <w:jc w:val="both"/>
              <w:rPr>
                <w:lang w:eastAsia="en-US"/>
              </w:rPr>
            </w:pPr>
            <w:r w:rsidRPr="00B3741D">
              <w:rPr>
                <w:bCs/>
                <w:lang w:eastAsia="en-US"/>
              </w:rPr>
              <w:t xml:space="preserve">Pasaules Veselības organizācija ir atzinusi, ka skolēnu uzturā </w:t>
            </w:r>
            <w:r w:rsidR="00474DA5" w:rsidRPr="00B3741D">
              <w:rPr>
                <w:bCs/>
                <w:lang w:eastAsia="en-US"/>
              </w:rPr>
              <w:t>nav vēlami gaļas produkti un trekna gaļa. Tādi gaļas produkti kā desas, pīrāgi, salami un gaļas konservi</w:t>
            </w:r>
            <w:r w:rsidRPr="00B3741D">
              <w:rPr>
                <w:lang w:eastAsia="en-US"/>
              </w:rPr>
              <w:t xml:space="preserve"> </w:t>
            </w:r>
            <w:r w:rsidR="00474DA5" w:rsidRPr="00B3741D">
              <w:rPr>
                <w:lang w:eastAsia="en-US"/>
              </w:rPr>
              <w:t xml:space="preserve">satur daudz piesātināto tauku un sāls, tādēļ tie </w:t>
            </w:r>
            <w:r w:rsidR="00474DA5" w:rsidRPr="00B3741D">
              <w:rPr>
                <w:bCs/>
                <w:lang w:eastAsia="en-US"/>
              </w:rPr>
              <w:t>ir jāaizstāj ar pākšaugiem, zivīm, olām, putnu gaļu vai liesu gaļu</w:t>
            </w:r>
            <w:r w:rsidR="00474DA5" w:rsidRPr="00B3741D">
              <w:rPr>
                <w:lang w:eastAsia="en-US"/>
              </w:rPr>
              <w:t xml:space="preserve"> (</w:t>
            </w:r>
            <w:r w:rsidRPr="00B3741D">
              <w:rPr>
                <w:lang w:eastAsia="en-US"/>
              </w:rPr>
              <w:t>Food and nutrition policy for schools</w:t>
            </w:r>
            <w:r w:rsidR="00474DA5" w:rsidRPr="00B3741D">
              <w:rPr>
                <w:lang w:eastAsia="en-US"/>
              </w:rPr>
              <w:t>, World health Organization, Copenhagen, 2006, 26.lpp.).</w:t>
            </w:r>
          </w:p>
          <w:p w:rsidR="00881355" w:rsidRPr="00334AAD" w:rsidRDefault="00881355" w:rsidP="00881355">
            <w:pPr>
              <w:pStyle w:val="NoSpacing"/>
              <w:jc w:val="both"/>
              <w:rPr>
                <w:rFonts w:ascii="Times New Roman" w:hAnsi="Times New Roman"/>
                <w:sz w:val="24"/>
                <w:szCs w:val="24"/>
                <w:lang w:val="lv-LV"/>
              </w:rPr>
            </w:pPr>
            <w:r w:rsidRPr="00334AAD">
              <w:rPr>
                <w:rFonts w:ascii="Times New Roman" w:hAnsi="Times New Roman"/>
                <w:sz w:val="24"/>
                <w:szCs w:val="24"/>
                <w:lang w:val="lv-LV"/>
              </w:rPr>
              <w:t>Kritēriji pārtikas produktu i</w:t>
            </w:r>
            <w:r w:rsidR="003E3E81">
              <w:rPr>
                <w:rFonts w:ascii="Times New Roman" w:hAnsi="Times New Roman"/>
                <w:sz w:val="24"/>
                <w:szCs w:val="24"/>
                <w:lang w:val="lv-LV"/>
              </w:rPr>
              <w:t>erobežošanai</w:t>
            </w:r>
            <w:r w:rsidRPr="00334AAD">
              <w:rPr>
                <w:rFonts w:ascii="Times New Roman" w:hAnsi="Times New Roman"/>
                <w:sz w:val="24"/>
                <w:szCs w:val="24"/>
                <w:lang w:val="lv-LV"/>
              </w:rPr>
              <w:t xml:space="preserve"> bērnu un slimnieku uztur</w:t>
            </w:r>
            <w:r w:rsidR="003E3E81">
              <w:rPr>
                <w:rFonts w:ascii="Times New Roman" w:hAnsi="Times New Roman"/>
                <w:sz w:val="24"/>
                <w:szCs w:val="24"/>
                <w:lang w:val="lv-LV"/>
              </w:rPr>
              <w:t>ā</w:t>
            </w:r>
            <w:r w:rsidRPr="00334AAD">
              <w:rPr>
                <w:rFonts w:ascii="Times New Roman" w:hAnsi="Times New Roman"/>
                <w:sz w:val="24"/>
                <w:szCs w:val="24"/>
                <w:lang w:val="lv-LV"/>
              </w:rPr>
              <w:t xml:space="preserve"> ir:</w:t>
            </w:r>
          </w:p>
          <w:p w:rsidR="00881355" w:rsidRPr="00334AAD" w:rsidRDefault="00881355" w:rsidP="00881355">
            <w:pPr>
              <w:pStyle w:val="NoSpacing"/>
              <w:numPr>
                <w:ilvl w:val="0"/>
                <w:numId w:val="17"/>
              </w:numPr>
              <w:jc w:val="both"/>
              <w:rPr>
                <w:rFonts w:ascii="Times New Roman" w:hAnsi="Times New Roman"/>
                <w:sz w:val="24"/>
                <w:szCs w:val="24"/>
                <w:lang w:val="lv-LV"/>
              </w:rPr>
            </w:pPr>
            <w:r w:rsidRPr="00334AAD">
              <w:rPr>
                <w:rFonts w:ascii="Times New Roman" w:hAnsi="Times New Roman"/>
                <w:sz w:val="24"/>
                <w:szCs w:val="24"/>
                <w:lang w:val="lv-LV"/>
              </w:rPr>
              <w:t>sastāvs (piemēram, pārtikas produkti, kas satur daudz sāls, piesātināto tauku, hidrogenēto augu tauku);</w:t>
            </w:r>
          </w:p>
          <w:p w:rsidR="00881355" w:rsidRPr="00334AAD" w:rsidRDefault="00881355" w:rsidP="00881355">
            <w:pPr>
              <w:pStyle w:val="NoSpacing"/>
              <w:numPr>
                <w:ilvl w:val="0"/>
                <w:numId w:val="17"/>
              </w:numPr>
              <w:jc w:val="both"/>
              <w:rPr>
                <w:rFonts w:ascii="Times New Roman" w:hAnsi="Times New Roman"/>
                <w:sz w:val="24"/>
                <w:szCs w:val="24"/>
                <w:lang w:val="lv-LV"/>
              </w:rPr>
            </w:pPr>
            <w:r w:rsidRPr="00334AAD">
              <w:rPr>
                <w:rFonts w:ascii="Times New Roman" w:hAnsi="Times New Roman"/>
                <w:sz w:val="24"/>
                <w:szCs w:val="24"/>
                <w:lang w:val="lv-LV"/>
              </w:rPr>
              <w:t>apstrāde</w:t>
            </w:r>
            <w:r>
              <w:rPr>
                <w:rFonts w:ascii="Times New Roman" w:hAnsi="Times New Roman"/>
                <w:sz w:val="24"/>
                <w:szCs w:val="24"/>
                <w:lang w:val="lv-LV"/>
              </w:rPr>
              <w:t>s veids</w:t>
            </w:r>
            <w:r w:rsidRPr="00334AAD">
              <w:rPr>
                <w:rFonts w:ascii="Times New Roman" w:hAnsi="Times New Roman"/>
                <w:sz w:val="24"/>
                <w:szCs w:val="24"/>
                <w:lang w:val="lv-LV"/>
              </w:rPr>
              <w:t xml:space="preserve"> (piemēram, vārīšana eļļā</w:t>
            </w:r>
            <w:r>
              <w:rPr>
                <w:rFonts w:ascii="Times New Roman" w:hAnsi="Times New Roman"/>
                <w:sz w:val="24"/>
                <w:szCs w:val="24"/>
                <w:lang w:val="lv-LV"/>
              </w:rPr>
              <w:t>, kūpināšana, u.c.</w:t>
            </w:r>
            <w:r w:rsidRPr="00334AAD">
              <w:rPr>
                <w:rFonts w:ascii="Times New Roman" w:hAnsi="Times New Roman"/>
                <w:sz w:val="24"/>
                <w:szCs w:val="24"/>
                <w:lang w:val="lv-LV"/>
              </w:rPr>
              <w:t>);</w:t>
            </w:r>
          </w:p>
          <w:p w:rsidR="00881355" w:rsidRDefault="00881355" w:rsidP="00881355">
            <w:pPr>
              <w:pStyle w:val="NoSpacing"/>
              <w:numPr>
                <w:ilvl w:val="0"/>
                <w:numId w:val="17"/>
              </w:numPr>
              <w:jc w:val="both"/>
              <w:rPr>
                <w:rFonts w:ascii="Times New Roman" w:hAnsi="Times New Roman"/>
                <w:sz w:val="24"/>
                <w:szCs w:val="24"/>
                <w:lang w:val="lv-LV"/>
              </w:rPr>
            </w:pPr>
            <w:r w:rsidRPr="00334AAD">
              <w:rPr>
                <w:rFonts w:ascii="Times New Roman" w:hAnsi="Times New Roman"/>
                <w:sz w:val="24"/>
                <w:szCs w:val="24"/>
                <w:lang w:val="lv-LV"/>
              </w:rPr>
              <w:t xml:space="preserve">zinātnisko pētījumu publikācijas, starptautisko veselības aizsardzības institūciju (Pasaules Veselības organizācijas) un ārstu sniegtais viedoklis par </w:t>
            </w:r>
            <w:r>
              <w:rPr>
                <w:rFonts w:ascii="Times New Roman" w:hAnsi="Times New Roman"/>
                <w:sz w:val="24"/>
                <w:szCs w:val="24"/>
                <w:lang w:val="lv-LV"/>
              </w:rPr>
              <w:t xml:space="preserve">pārtikas produktu </w:t>
            </w:r>
            <w:r w:rsidRPr="00334AAD">
              <w:rPr>
                <w:rFonts w:ascii="Times New Roman" w:hAnsi="Times New Roman"/>
                <w:sz w:val="24"/>
                <w:szCs w:val="24"/>
                <w:lang w:val="lv-LV"/>
              </w:rPr>
              <w:t xml:space="preserve">piemērotību  </w:t>
            </w:r>
            <w:r w:rsidRPr="00334AAD">
              <w:rPr>
                <w:rFonts w:ascii="Times New Roman" w:hAnsi="Times New Roman"/>
                <w:sz w:val="24"/>
                <w:szCs w:val="24"/>
                <w:u w:val="single"/>
                <w:lang w:val="lv-LV"/>
              </w:rPr>
              <w:lastRenderedPageBreak/>
              <w:t>atsevišķu sabiedrības grupu ikdienas uzturam</w:t>
            </w:r>
            <w:r w:rsidRPr="00334AAD">
              <w:rPr>
                <w:rFonts w:ascii="Times New Roman" w:hAnsi="Times New Roman"/>
                <w:sz w:val="24"/>
                <w:szCs w:val="24"/>
                <w:lang w:val="lv-LV"/>
              </w:rPr>
              <w:t>.</w:t>
            </w:r>
          </w:p>
          <w:p w:rsidR="00334AAD" w:rsidRDefault="00532856" w:rsidP="001267B4">
            <w:pPr>
              <w:pStyle w:val="NoSpacing"/>
              <w:jc w:val="both"/>
              <w:rPr>
                <w:rFonts w:ascii="Times New Roman" w:hAnsi="Times New Roman"/>
                <w:sz w:val="24"/>
                <w:szCs w:val="24"/>
              </w:rPr>
            </w:pPr>
            <w:r w:rsidRPr="00B3741D">
              <w:rPr>
                <w:rFonts w:ascii="Times New Roman" w:hAnsi="Times New Roman"/>
                <w:sz w:val="24"/>
                <w:szCs w:val="24"/>
                <w:lang w:val="lv-LV"/>
              </w:rPr>
              <w:t>No izglītojamo, ilgstošas sociālās aprūpes un sociālās rehabilitācijas institūciju klientu un ārstniecības iestāžu pacientu uztura i</w:t>
            </w:r>
            <w:r w:rsidR="00802283" w:rsidRPr="00B3741D">
              <w:rPr>
                <w:rFonts w:ascii="Times New Roman" w:hAnsi="Times New Roman"/>
                <w:sz w:val="24"/>
                <w:szCs w:val="24"/>
                <w:lang w:val="lv-LV"/>
              </w:rPr>
              <w:t>z</w:t>
            </w:r>
            <w:r w:rsidRPr="00B3741D">
              <w:rPr>
                <w:rFonts w:ascii="Times New Roman" w:hAnsi="Times New Roman"/>
                <w:sz w:val="24"/>
                <w:szCs w:val="24"/>
                <w:lang w:val="lv-LV"/>
              </w:rPr>
              <w:t xml:space="preserve">slēdzamie </w:t>
            </w:r>
            <w:r w:rsidR="003E3E81">
              <w:rPr>
                <w:rFonts w:ascii="Times New Roman" w:hAnsi="Times New Roman"/>
                <w:sz w:val="24"/>
                <w:szCs w:val="24"/>
                <w:lang w:val="lv-LV"/>
              </w:rPr>
              <w:t xml:space="preserve">vai ierobežojamie </w:t>
            </w:r>
            <w:r w:rsidRPr="00B3741D">
              <w:rPr>
                <w:rFonts w:ascii="Times New Roman" w:hAnsi="Times New Roman"/>
                <w:sz w:val="24"/>
                <w:szCs w:val="24"/>
                <w:lang w:val="lv-LV"/>
              </w:rPr>
              <w:t xml:space="preserve">pārtikas produkti </w:t>
            </w:r>
            <w:r w:rsidR="00802283" w:rsidRPr="00B3741D">
              <w:rPr>
                <w:rFonts w:ascii="Times New Roman" w:hAnsi="Times New Roman"/>
                <w:sz w:val="24"/>
                <w:szCs w:val="24"/>
                <w:lang w:val="lv-LV"/>
              </w:rPr>
              <w:t xml:space="preserve">(frī kartupeļi, desas, cīsiņi, sardeles, žāvēti, kūpināti, sālīti gaļas un zivju produkti, rūpnieciski ražoti pelmeņi, saldētas rūpnieciski ražotas kotletes un frikadeles, zivju pirkstiņi, u.c.) </w:t>
            </w:r>
            <w:r w:rsidRPr="00B3741D">
              <w:rPr>
                <w:rFonts w:ascii="Times New Roman" w:hAnsi="Times New Roman"/>
                <w:sz w:val="24"/>
                <w:szCs w:val="24"/>
                <w:lang w:val="lv-LV"/>
              </w:rPr>
              <w:t xml:space="preserve">ir tādi, kas </w:t>
            </w:r>
            <w:r w:rsidRPr="003E3E81">
              <w:rPr>
                <w:rFonts w:ascii="Times New Roman" w:hAnsi="Times New Roman"/>
                <w:sz w:val="24"/>
                <w:szCs w:val="24"/>
                <w:lang w:val="lv-LV"/>
              </w:rPr>
              <w:t xml:space="preserve">nav vērtīgs olbaltumvielu avots, bet satur daudz sāli, taukus, pārtikas  piedevas, kas ir </w:t>
            </w:r>
            <w:r w:rsidR="003E3E81" w:rsidRPr="003E3E81">
              <w:rPr>
                <w:rFonts w:ascii="Times New Roman" w:hAnsi="Times New Roman"/>
                <w:sz w:val="24"/>
                <w:szCs w:val="24"/>
                <w:lang w:val="lv-LV"/>
              </w:rPr>
              <w:t>ierobežojami</w:t>
            </w:r>
            <w:r w:rsidRPr="003E3E81">
              <w:rPr>
                <w:rFonts w:ascii="Times New Roman" w:hAnsi="Times New Roman"/>
                <w:sz w:val="24"/>
                <w:szCs w:val="24"/>
                <w:lang w:val="lv-LV"/>
              </w:rPr>
              <w:t xml:space="preserve"> šo iedzīvotāju grupu </w:t>
            </w:r>
            <w:r w:rsidR="003E3E81" w:rsidRPr="003E3E81">
              <w:rPr>
                <w:rFonts w:ascii="Times New Roman" w:hAnsi="Times New Roman"/>
                <w:sz w:val="24"/>
                <w:szCs w:val="24"/>
                <w:lang w:val="lv-LV"/>
              </w:rPr>
              <w:t>ikdienas uzturā</w:t>
            </w:r>
            <w:r w:rsidRPr="003E3E81">
              <w:rPr>
                <w:rFonts w:ascii="Times New Roman" w:hAnsi="Times New Roman"/>
                <w:sz w:val="24"/>
                <w:szCs w:val="24"/>
                <w:lang w:val="lv-LV"/>
              </w:rPr>
              <w:t>. Ir pierādīts, ka desu, kūpinātu un cita veida rūpnieciski apstrādātas gaļas izstrādājumu lietošana veicina resnās zarnas vēža attīstības risku</w:t>
            </w:r>
            <w:r w:rsidRPr="00B3741D">
              <w:rPr>
                <w:rFonts w:ascii="Times New Roman" w:hAnsi="Times New Roman"/>
                <w:sz w:val="24"/>
                <w:szCs w:val="24"/>
                <w:lang w:val="lv-LV"/>
              </w:rPr>
              <w:t xml:space="preserve"> un, iespējams, palielina arī barība</w:t>
            </w:r>
            <w:r w:rsidR="00802283" w:rsidRPr="00B3741D">
              <w:rPr>
                <w:rFonts w:ascii="Times New Roman" w:hAnsi="Times New Roman"/>
                <w:sz w:val="24"/>
                <w:szCs w:val="24"/>
                <w:lang w:val="lv-LV"/>
              </w:rPr>
              <w:t xml:space="preserve">s vada, </w:t>
            </w:r>
            <w:r w:rsidRPr="00B3741D">
              <w:rPr>
                <w:rFonts w:ascii="Times New Roman" w:hAnsi="Times New Roman"/>
                <w:sz w:val="24"/>
                <w:szCs w:val="24"/>
                <w:lang w:val="lv-LV"/>
              </w:rPr>
              <w:t xml:space="preserve">plaušu, kuņģa, priekšdziedzera vēža risku. </w:t>
            </w:r>
            <w:r w:rsidRPr="00B3741D">
              <w:rPr>
                <w:rFonts w:ascii="Times New Roman" w:hAnsi="Times New Roman"/>
                <w:sz w:val="24"/>
                <w:szCs w:val="24"/>
              </w:rPr>
              <w:t xml:space="preserve">To apstiprina ASV vēža izpētes institūta (The American Institute for Cancer Research) un Pasaules vēža izpētes fonda (World Cancer Research Fund) ziņojumi, kas veidoti, apkopojot uz pierādījumiem balstītu informāciju (Advancing cancer prevention and survival through nutrition education and research. Processed Meats in Schools: Putting Children at Risk for Cancer. A Report from The Cancer Project. 2008. </w:t>
            </w:r>
          </w:p>
          <w:p w:rsidR="00532856" w:rsidRDefault="00CC46FE" w:rsidP="001267B4">
            <w:pPr>
              <w:pStyle w:val="NoSpacing"/>
              <w:jc w:val="both"/>
              <w:rPr>
                <w:rFonts w:ascii="Times New Roman" w:hAnsi="Times New Roman"/>
                <w:sz w:val="24"/>
                <w:szCs w:val="24"/>
              </w:rPr>
            </w:pPr>
            <w:hyperlink r:id="rId8" w:history="1">
              <w:r w:rsidR="00BC3464" w:rsidRPr="00B3741D">
                <w:rPr>
                  <w:rStyle w:val="Hyperlink"/>
                  <w:rFonts w:ascii="Times New Roman" w:hAnsi="Times New Roman"/>
                  <w:sz w:val="24"/>
                  <w:szCs w:val="24"/>
                </w:rPr>
                <w:t>http://www.pcrm.org/pdfs/health/CP_Processed_Meat_Report.pdf</w:t>
              </w:r>
            </w:hyperlink>
            <w:r w:rsidR="00532856" w:rsidRPr="00B3741D">
              <w:rPr>
                <w:rFonts w:ascii="Times New Roman" w:hAnsi="Times New Roman"/>
                <w:sz w:val="24"/>
                <w:szCs w:val="24"/>
              </w:rPr>
              <w:t>).</w:t>
            </w:r>
          </w:p>
          <w:p w:rsidR="00D772B3" w:rsidRPr="00B3741D" w:rsidRDefault="00CB3137" w:rsidP="00C07778">
            <w:pPr>
              <w:pStyle w:val="Heading1"/>
              <w:spacing w:before="0"/>
              <w:jc w:val="both"/>
              <w:rPr>
                <w:rFonts w:ascii="Times New Roman" w:hAnsi="Times New Roman" w:cs="Times New Roman"/>
                <w:b w:val="0"/>
                <w:color w:val="auto"/>
                <w:sz w:val="24"/>
                <w:szCs w:val="24"/>
              </w:rPr>
            </w:pPr>
            <w:r w:rsidRPr="00B3741D">
              <w:rPr>
                <w:rFonts w:ascii="Times New Roman" w:hAnsi="Times New Roman" w:cs="Times New Roman"/>
                <w:b w:val="0"/>
                <w:color w:val="auto"/>
                <w:sz w:val="24"/>
                <w:szCs w:val="24"/>
              </w:rPr>
              <w:t>V</w:t>
            </w:r>
            <w:r w:rsidR="00D772B3" w:rsidRPr="00B3741D">
              <w:rPr>
                <w:rFonts w:ascii="Times New Roman" w:hAnsi="Times New Roman" w:cs="Times New Roman"/>
                <w:b w:val="0"/>
                <w:color w:val="auto"/>
                <w:sz w:val="24"/>
                <w:szCs w:val="24"/>
              </w:rPr>
              <w:t>eselīga uztura principi pieaugušajiem apstiprināti ar Veselības ministrijas 2008.gada 4.decembra rīkojumu Nr.201.</w:t>
            </w:r>
          </w:p>
          <w:p w:rsidR="005172AF" w:rsidRPr="00B3741D" w:rsidRDefault="005172AF" w:rsidP="00C07778">
            <w:pPr>
              <w:jc w:val="both"/>
            </w:pPr>
            <w:r w:rsidRPr="00B3741D">
              <w:t>Pētījumi liecina, ka  aktuāla ir aptaukošanās problēma sākumskolas vecuma bērnu vidū. Veselības ekonomikas centra 2010.gadā veiktajā pētījumā konstatēts, ka turpina palielināties to pirmklasnieku īpatsvars, kuriem ir aptaukošanās – salīdzinājumā ar 2008.gadu ir pieaugusi aptaukošanās izplatība pirmās klases meitenēm – 8,4% (2008.g. - 5,5%), kas ir rezultāts neveselīga un nesabalansēta uztura lietošanai.</w:t>
            </w:r>
          </w:p>
          <w:p w:rsidR="00D04C90" w:rsidRPr="00B3741D" w:rsidRDefault="00CC07F2" w:rsidP="0027289C">
            <w:pPr>
              <w:jc w:val="both"/>
              <w:rPr>
                <w:sz w:val="20"/>
                <w:szCs w:val="20"/>
              </w:rPr>
            </w:pPr>
            <w:r w:rsidRPr="00B3741D">
              <w:t>Pieņemot Ministru kabineta noteikumu projektu „</w:t>
            </w:r>
            <w:r w:rsidR="0027289C" w:rsidRPr="00B3741D">
              <w:t xml:space="preserve">Uztura normas izglītības iestāžu izglītojamiem, sociālās aprūpes un sociālās rehabilitācijas institūciju klientiem un ārstniecības iestāžu pacientiem” </w:t>
            </w:r>
            <w:r w:rsidRPr="00B3741D">
              <w:t xml:space="preserve">(turpmāk – </w:t>
            </w:r>
            <w:r w:rsidR="0058138E" w:rsidRPr="00B3741D">
              <w:rPr>
                <w:bCs/>
              </w:rPr>
              <w:t>n</w:t>
            </w:r>
            <w:r w:rsidRPr="00B3741D">
              <w:rPr>
                <w:bCs/>
              </w:rPr>
              <w:t>oteikumu projekts)</w:t>
            </w:r>
            <w:r w:rsidR="00D04C90" w:rsidRPr="00B3741D">
              <w:t xml:space="preserve">, tiks nodrošināts, ka izglītojamie vispārējās pamatizglītības, vispārējās vidējās izglītības, profesionālajās izglītības iestādēs un izglītības iestādēs, kas īsteno pirmsskolas izglītības programmas, kā arī ilgstošas sociālās aprūpes un sociālās rehabilitācijas </w:t>
            </w:r>
            <w:r w:rsidR="000D5A18" w:rsidRPr="00B3741D">
              <w:rPr>
                <w:bCs/>
              </w:rPr>
              <w:t xml:space="preserve"> institūciju</w:t>
            </w:r>
            <w:r w:rsidR="000D5A18" w:rsidRPr="00B3741D">
              <w:t xml:space="preserve"> </w:t>
            </w:r>
            <w:r w:rsidR="00D04C90" w:rsidRPr="00B3741D">
              <w:t>klienti saņems sabalansētu uzturu, veicinās  veselīgāku uztura paradumu izveidi, samazinās risku saslimt ar infekcijas un neinfekcijas slimībām.</w:t>
            </w:r>
          </w:p>
          <w:p w:rsidR="00262E2B" w:rsidRPr="00B3741D" w:rsidRDefault="00262E2B" w:rsidP="006C4607">
            <w:pPr>
              <w:pStyle w:val="naiskr"/>
              <w:spacing w:before="0" w:after="0"/>
              <w:rPr>
                <w:sz w:val="22"/>
                <w:szCs w:val="22"/>
              </w:rPr>
            </w:pPr>
          </w:p>
        </w:tc>
      </w:tr>
      <w:tr w:rsidR="00262E2B" w:rsidRPr="00B3741D" w:rsidTr="005D1909">
        <w:trPr>
          <w:trHeight w:val="1071"/>
        </w:trPr>
        <w:tc>
          <w:tcPr>
            <w:tcW w:w="550" w:type="dxa"/>
          </w:tcPr>
          <w:p w:rsidR="00262E2B" w:rsidRPr="00B3741D" w:rsidRDefault="00262E2B" w:rsidP="006C4607">
            <w:pPr>
              <w:pStyle w:val="naiskr"/>
              <w:spacing w:before="0" w:after="0"/>
              <w:rPr>
                <w:sz w:val="22"/>
                <w:szCs w:val="22"/>
              </w:rPr>
            </w:pPr>
            <w:r w:rsidRPr="00B3741D">
              <w:rPr>
                <w:sz w:val="22"/>
                <w:szCs w:val="22"/>
              </w:rPr>
              <w:lastRenderedPageBreak/>
              <w:t>3.</w:t>
            </w:r>
          </w:p>
        </w:tc>
        <w:tc>
          <w:tcPr>
            <w:tcW w:w="2432" w:type="dxa"/>
          </w:tcPr>
          <w:p w:rsidR="00262E2B" w:rsidRPr="00B3741D" w:rsidRDefault="00420870" w:rsidP="006C4607">
            <w:pPr>
              <w:pStyle w:val="naiskr"/>
              <w:spacing w:before="0" w:after="0"/>
              <w:rPr>
                <w:sz w:val="22"/>
                <w:szCs w:val="22"/>
              </w:rPr>
            </w:pPr>
            <w:r w:rsidRPr="00B3741D">
              <w:rPr>
                <w:sz w:val="22"/>
                <w:szCs w:val="22"/>
              </w:rPr>
              <w:t>S</w:t>
            </w:r>
            <w:r w:rsidR="000B69CF" w:rsidRPr="00B3741D">
              <w:rPr>
                <w:sz w:val="22"/>
                <w:szCs w:val="22"/>
              </w:rPr>
              <w:t xml:space="preserve">aistītie </w:t>
            </w:r>
            <w:r w:rsidR="001A6AE4" w:rsidRPr="00B3741D">
              <w:rPr>
                <w:sz w:val="22"/>
                <w:szCs w:val="22"/>
              </w:rPr>
              <w:t>politikas ietekmes novērtējumi</w:t>
            </w:r>
            <w:r w:rsidR="00CB0247" w:rsidRPr="00B3741D">
              <w:rPr>
                <w:sz w:val="22"/>
                <w:szCs w:val="22"/>
              </w:rPr>
              <w:t xml:space="preserve"> un</w:t>
            </w:r>
            <w:r w:rsidR="001A6AE4" w:rsidRPr="00B3741D">
              <w:rPr>
                <w:sz w:val="22"/>
                <w:szCs w:val="22"/>
              </w:rPr>
              <w:t xml:space="preserve"> </w:t>
            </w:r>
            <w:r w:rsidR="000B69CF" w:rsidRPr="00B3741D">
              <w:rPr>
                <w:sz w:val="22"/>
                <w:szCs w:val="22"/>
              </w:rPr>
              <w:t>pētījumi</w:t>
            </w:r>
          </w:p>
        </w:tc>
        <w:tc>
          <w:tcPr>
            <w:tcW w:w="6743" w:type="dxa"/>
          </w:tcPr>
          <w:p w:rsidR="00D20FF4" w:rsidRPr="00B3741D" w:rsidRDefault="00217CA3" w:rsidP="006C4607">
            <w:pPr>
              <w:pStyle w:val="FootnoteText"/>
              <w:rPr>
                <w:sz w:val="22"/>
                <w:szCs w:val="22"/>
              </w:rPr>
            </w:pPr>
            <w:r w:rsidRPr="00B3741D">
              <w:rPr>
                <w:sz w:val="24"/>
                <w:szCs w:val="24"/>
              </w:rPr>
              <w:t>Projekts šo jomu neskar</w:t>
            </w:r>
            <w:r w:rsidR="00CC07F2" w:rsidRPr="00B3741D">
              <w:rPr>
                <w:sz w:val="24"/>
                <w:szCs w:val="24"/>
              </w:rPr>
              <w:t>.</w:t>
            </w:r>
          </w:p>
        </w:tc>
      </w:tr>
      <w:tr w:rsidR="00262E2B" w:rsidRPr="00B3741D" w:rsidTr="005D1909">
        <w:trPr>
          <w:trHeight w:val="384"/>
        </w:trPr>
        <w:tc>
          <w:tcPr>
            <w:tcW w:w="550" w:type="dxa"/>
          </w:tcPr>
          <w:p w:rsidR="00262E2B" w:rsidRPr="00B3741D" w:rsidRDefault="00262E2B" w:rsidP="006C4607">
            <w:pPr>
              <w:pStyle w:val="naiskr"/>
              <w:spacing w:before="0" w:after="0"/>
              <w:rPr>
                <w:sz w:val="22"/>
                <w:szCs w:val="22"/>
              </w:rPr>
            </w:pPr>
            <w:r w:rsidRPr="00B3741D">
              <w:rPr>
                <w:sz w:val="22"/>
                <w:szCs w:val="22"/>
              </w:rPr>
              <w:t>4.</w:t>
            </w:r>
          </w:p>
        </w:tc>
        <w:tc>
          <w:tcPr>
            <w:tcW w:w="2432" w:type="dxa"/>
          </w:tcPr>
          <w:p w:rsidR="00262E2B" w:rsidRPr="00B3741D" w:rsidRDefault="000C790C" w:rsidP="006C4607">
            <w:pPr>
              <w:pStyle w:val="naiskr"/>
              <w:spacing w:before="0" w:after="0"/>
              <w:rPr>
                <w:sz w:val="22"/>
                <w:szCs w:val="22"/>
              </w:rPr>
            </w:pPr>
            <w:r w:rsidRPr="00B3741D">
              <w:rPr>
                <w:sz w:val="22"/>
                <w:szCs w:val="22"/>
              </w:rPr>
              <w:t>Tiesiskā r</w:t>
            </w:r>
            <w:r w:rsidR="00400032" w:rsidRPr="00B3741D">
              <w:rPr>
                <w:sz w:val="22"/>
                <w:szCs w:val="22"/>
              </w:rPr>
              <w:t xml:space="preserve">egulējuma </w:t>
            </w:r>
            <w:r w:rsidR="00262E2B" w:rsidRPr="00B3741D">
              <w:rPr>
                <w:sz w:val="22"/>
                <w:szCs w:val="22"/>
              </w:rPr>
              <w:t>mērķis un būtība</w:t>
            </w:r>
          </w:p>
        </w:tc>
        <w:tc>
          <w:tcPr>
            <w:tcW w:w="6743" w:type="dxa"/>
          </w:tcPr>
          <w:p w:rsidR="00262E2B" w:rsidRPr="00B3741D" w:rsidRDefault="00B63D60" w:rsidP="00BC5CE5">
            <w:pPr>
              <w:jc w:val="both"/>
            </w:pPr>
            <w:r w:rsidRPr="00B3741D">
              <w:t xml:space="preserve">Noteikumu </w:t>
            </w:r>
            <w:r w:rsidR="00D751EF" w:rsidRPr="00B3741D">
              <w:t xml:space="preserve">projekta </w:t>
            </w:r>
            <w:r w:rsidRPr="00B3741D">
              <w:t>mērķis ir nodrošināt veselīga un sabalansēta uztura lietošanu vispārējās pamatizglītības, vispārējās vidējās izglītības un profesionālās izglītības iestādēs, pirmsskolas izglītības programmas īstenojošajās izglītības iestādēs, ilgstošas sociālās aprūpes un sociālās rehabilitācijas institūcijās un ārstniecības iestādēs.</w:t>
            </w:r>
            <w:r w:rsidR="00D751EF" w:rsidRPr="00B3741D">
              <w:t xml:space="preserve"> Noteikumu projekts</w:t>
            </w:r>
            <w:r w:rsidR="001A3956" w:rsidRPr="00B3741D">
              <w:t xml:space="preserve"> nosaka enerģijas un uzturvielu normas </w:t>
            </w:r>
            <w:r w:rsidR="001A3956" w:rsidRPr="00B3741D">
              <w:lastRenderedPageBreak/>
              <w:t xml:space="preserve">izglītojamajiem, izglītojamo ikdienas ēdienkartē iekļaujamos un neiekļaujamos pārtikas produktus, kā arī uztura pievienojamā sāls un cukura daudzumu. </w:t>
            </w:r>
            <w:r w:rsidR="00BC5CE5" w:rsidRPr="00B3741D">
              <w:t>Noteikumu projekts arī nosaka enerģijas un uzturvielu dienas normas pamatdiētai ārstniecības iestāžu pacientiem un ilgstošas sociālās aprūpes un sociālās rehabilitācijas institūciju klientiem.</w:t>
            </w:r>
            <w:r w:rsidR="001A3956" w:rsidRPr="00B3741D">
              <w:t xml:space="preserve"> </w:t>
            </w:r>
          </w:p>
          <w:p w:rsidR="00B94BFC" w:rsidRDefault="0019585E" w:rsidP="003E3E81">
            <w:pPr>
              <w:pStyle w:val="Heading1"/>
              <w:spacing w:before="0"/>
              <w:jc w:val="both"/>
              <w:rPr>
                <w:rFonts w:ascii="Times New Roman" w:hAnsi="Times New Roman" w:cs="Times New Roman"/>
                <w:b w:val="0"/>
                <w:color w:val="000000"/>
                <w:sz w:val="24"/>
                <w:szCs w:val="24"/>
              </w:rPr>
            </w:pPr>
            <w:r w:rsidRPr="00B3741D">
              <w:rPr>
                <w:rFonts w:ascii="Times New Roman" w:hAnsi="Times New Roman" w:cs="Times New Roman"/>
                <w:b w:val="0"/>
                <w:color w:val="auto"/>
                <w:sz w:val="24"/>
                <w:szCs w:val="24"/>
              </w:rPr>
              <w:t>Enerģijas un uzturvielu devas aprēķinātas, izmantojot „Ieteicamās enerģijas un uzturvielu devas Latvijas iedzīvotājiem” (apstiprinātas ar Veselības ministrijas 2008.gada 15.oktobra rīkojumu Nr.174).</w:t>
            </w:r>
            <w:r w:rsidR="003E3E81">
              <w:rPr>
                <w:rFonts w:ascii="Times New Roman" w:hAnsi="Times New Roman" w:cs="Times New Roman"/>
                <w:b w:val="0"/>
                <w:color w:val="auto"/>
                <w:sz w:val="24"/>
                <w:szCs w:val="24"/>
              </w:rPr>
              <w:t xml:space="preserve"> </w:t>
            </w:r>
            <w:r w:rsidR="003E3E81" w:rsidRPr="003E3E81">
              <w:rPr>
                <w:rFonts w:ascii="Times New Roman" w:hAnsi="Times New Roman" w:cs="Times New Roman"/>
                <w:b w:val="0"/>
                <w:color w:val="000000"/>
                <w:sz w:val="24"/>
                <w:szCs w:val="24"/>
              </w:rPr>
              <w:t>Uzturvielu un produktu daudzuma normas ir balstītas uz Pasaules veselības organizācijas ieteikumiem.</w:t>
            </w:r>
            <w:r w:rsidR="00B94BFC">
              <w:rPr>
                <w:rFonts w:ascii="Times New Roman" w:hAnsi="Times New Roman" w:cs="Times New Roman"/>
                <w:b w:val="0"/>
                <w:color w:val="000000"/>
                <w:sz w:val="24"/>
                <w:szCs w:val="24"/>
              </w:rPr>
              <w:t xml:space="preserve"> </w:t>
            </w:r>
          </w:p>
          <w:p w:rsidR="003E3E81" w:rsidRDefault="00B94BFC" w:rsidP="003E3E81">
            <w:pPr>
              <w:pStyle w:val="Heading1"/>
              <w:spacing w:before="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Pārtikas produktu minimālās normas ir noteiktas, lai nodrošinātu, ka ar uzturu tiek uzņemtas minimāli nepieciešamās olbaltumvielu, vitamīnu, minerālvielu un citu uzturvielu devas (piemēram, 3.pielikuma 7. un 8.punktā</w:t>
            </w:r>
            <w:r>
              <w:rPr>
                <w:color w:val="000000"/>
              </w:rPr>
              <w:t xml:space="preserve"> </w:t>
            </w:r>
            <w:r w:rsidRPr="00B94BFC">
              <w:rPr>
                <w:rFonts w:ascii="Times New Roman" w:hAnsi="Times New Roman" w:cs="Times New Roman"/>
                <w:b w:val="0"/>
                <w:color w:val="000000"/>
                <w:sz w:val="24"/>
                <w:szCs w:val="24"/>
              </w:rPr>
              <w:t>noteiktais piena produktu daudzums nodrošina minimāli nepieciešamo kalcija dienas normu (370mg Ca), nevis ieteicamo dienas normu (800 mg Ca).</w:t>
            </w:r>
          </w:p>
          <w:p w:rsidR="0072661E" w:rsidRDefault="0072661E" w:rsidP="00037EA2">
            <w:pPr>
              <w:jc w:val="both"/>
              <w:rPr>
                <w:color w:val="000000"/>
              </w:rPr>
            </w:pPr>
            <w:r w:rsidRPr="00396F85">
              <w:rPr>
                <w:color w:val="000000"/>
              </w:rPr>
              <w:t>Neskatoties uz to, ka uzturēšanas periods ārstniecības iestādē ir ievērojami īsāks nekā ilgstošās sociālās aprūpes institūcijā</w:t>
            </w:r>
            <w:r>
              <w:rPr>
                <w:color w:val="000000"/>
              </w:rPr>
              <w:t>, tomēr</w:t>
            </w:r>
            <w:r w:rsidRPr="00396F85">
              <w:rPr>
                <w:color w:val="000000"/>
              </w:rPr>
              <w:t xml:space="preserve">  uztura normas sociālo institūciju klientiem un ārstniecības iestāžu pacientiem tiek noteiktas vienā pielikumā</w:t>
            </w:r>
            <w:r>
              <w:rPr>
                <w:color w:val="000000"/>
              </w:rPr>
              <w:t xml:space="preserve">, jo pēc būtības tās neatšķiras šīm divām iedzīvotāju grupām, līdz ar to nav lietderīgi veidot divus atsevišķus pielikumus, jo </w:t>
            </w:r>
            <w:r w:rsidRPr="00396F85">
              <w:rPr>
                <w:color w:val="000000"/>
              </w:rPr>
              <w:t xml:space="preserve">gan sociālās aprūpes institūciju </w:t>
            </w:r>
            <w:r>
              <w:rPr>
                <w:color w:val="000000"/>
              </w:rPr>
              <w:t>klienti</w:t>
            </w:r>
            <w:r w:rsidRPr="00396F85">
              <w:rPr>
                <w:color w:val="000000"/>
              </w:rPr>
              <w:t>, gan</w:t>
            </w:r>
            <w:r>
              <w:rPr>
                <w:color w:val="000000"/>
              </w:rPr>
              <w:t xml:space="preserve"> ārstniecības iestāžu pacienti:</w:t>
            </w:r>
          </w:p>
          <w:p w:rsidR="0072661E" w:rsidRPr="0072661E" w:rsidRDefault="0072661E" w:rsidP="00037EA2">
            <w:pPr>
              <w:pStyle w:val="ListParagraph"/>
              <w:numPr>
                <w:ilvl w:val="0"/>
                <w:numId w:val="18"/>
              </w:numPr>
              <w:spacing w:after="0" w:line="240" w:lineRule="auto"/>
              <w:ind w:left="357" w:hanging="357"/>
              <w:jc w:val="both"/>
              <w:rPr>
                <w:rFonts w:ascii="Times New Roman" w:hAnsi="Times New Roman"/>
                <w:color w:val="000000"/>
                <w:sz w:val="24"/>
                <w:szCs w:val="24"/>
              </w:rPr>
            </w:pPr>
            <w:r w:rsidRPr="0072661E">
              <w:rPr>
                <w:rFonts w:ascii="Times New Roman" w:hAnsi="Times New Roman"/>
                <w:color w:val="000000"/>
                <w:sz w:val="24"/>
                <w:szCs w:val="24"/>
              </w:rPr>
              <w:t>institūcijās pavada visu diennakti;</w:t>
            </w:r>
          </w:p>
          <w:p w:rsidR="0072661E" w:rsidRPr="0072661E" w:rsidRDefault="0072661E" w:rsidP="00037EA2">
            <w:pPr>
              <w:pStyle w:val="ListParagraph"/>
              <w:numPr>
                <w:ilvl w:val="0"/>
                <w:numId w:val="18"/>
              </w:numPr>
              <w:spacing w:after="0" w:line="240" w:lineRule="auto"/>
              <w:ind w:left="357" w:hanging="357"/>
              <w:jc w:val="both"/>
              <w:rPr>
                <w:rFonts w:ascii="Times New Roman" w:hAnsi="Times New Roman"/>
                <w:sz w:val="24"/>
                <w:szCs w:val="24"/>
              </w:rPr>
            </w:pPr>
            <w:r w:rsidRPr="0072661E">
              <w:rPr>
                <w:rFonts w:ascii="Times New Roman" w:hAnsi="Times New Roman"/>
                <w:sz w:val="24"/>
                <w:szCs w:val="24"/>
              </w:rPr>
              <w:t>var būt nepieciešama diētas korekcija un ārstējošā ārsta noteikta diēta;</w:t>
            </w:r>
          </w:p>
          <w:p w:rsidR="0019585E" w:rsidRPr="00B3741D" w:rsidRDefault="0072661E" w:rsidP="00037EA2">
            <w:pPr>
              <w:pStyle w:val="ListParagraph"/>
              <w:numPr>
                <w:ilvl w:val="0"/>
                <w:numId w:val="18"/>
              </w:numPr>
              <w:spacing w:after="0" w:line="240" w:lineRule="auto"/>
              <w:ind w:left="357" w:hanging="357"/>
              <w:jc w:val="both"/>
            </w:pPr>
            <w:r w:rsidRPr="0072661E">
              <w:rPr>
                <w:rFonts w:ascii="Times New Roman" w:hAnsi="Times New Roman"/>
                <w:sz w:val="24"/>
                <w:szCs w:val="24"/>
              </w:rPr>
              <w:t>nepieciešams veselīgs un sabalansēts uzturs, iekļaujot noteiktu daudzumu veselīgu, uzturā ieteicamu pārtikas produktu un samazinot vai izslēdzot atsevišķus pārtikas produktus.</w:t>
            </w:r>
          </w:p>
        </w:tc>
      </w:tr>
      <w:tr w:rsidR="00262E2B" w:rsidRPr="00B3741D" w:rsidTr="005D1909">
        <w:trPr>
          <w:trHeight w:val="476"/>
        </w:trPr>
        <w:tc>
          <w:tcPr>
            <w:tcW w:w="550" w:type="dxa"/>
          </w:tcPr>
          <w:p w:rsidR="00262E2B" w:rsidRPr="00B3741D" w:rsidRDefault="00262E2B" w:rsidP="006C4607">
            <w:pPr>
              <w:pStyle w:val="naiskr"/>
              <w:spacing w:before="0" w:after="0"/>
              <w:rPr>
                <w:sz w:val="22"/>
                <w:szCs w:val="22"/>
              </w:rPr>
            </w:pPr>
            <w:r w:rsidRPr="00B3741D">
              <w:rPr>
                <w:sz w:val="22"/>
                <w:szCs w:val="22"/>
              </w:rPr>
              <w:lastRenderedPageBreak/>
              <w:t>5.</w:t>
            </w:r>
          </w:p>
        </w:tc>
        <w:tc>
          <w:tcPr>
            <w:tcW w:w="2432" w:type="dxa"/>
          </w:tcPr>
          <w:p w:rsidR="00262E2B" w:rsidRPr="00B3741D" w:rsidRDefault="001A4066" w:rsidP="006C4607">
            <w:pPr>
              <w:pStyle w:val="naiskr"/>
              <w:spacing w:before="0" w:after="0"/>
              <w:rPr>
                <w:sz w:val="22"/>
                <w:szCs w:val="22"/>
              </w:rPr>
            </w:pPr>
            <w:r w:rsidRPr="00B3741D">
              <w:rPr>
                <w:sz w:val="22"/>
                <w:szCs w:val="22"/>
              </w:rPr>
              <w:t>Projekta i</w:t>
            </w:r>
            <w:r w:rsidR="00262E2B" w:rsidRPr="00B3741D">
              <w:rPr>
                <w:sz w:val="22"/>
                <w:szCs w:val="22"/>
              </w:rPr>
              <w:t>zstrād</w:t>
            </w:r>
            <w:r w:rsidR="00420870" w:rsidRPr="00B3741D">
              <w:rPr>
                <w:sz w:val="22"/>
                <w:szCs w:val="22"/>
              </w:rPr>
              <w:t xml:space="preserve">ē </w:t>
            </w:r>
            <w:r w:rsidR="00262E2B" w:rsidRPr="00B3741D">
              <w:rPr>
                <w:sz w:val="22"/>
                <w:szCs w:val="22"/>
              </w:rPr>
              <w:t>iesaistītās institūcijas</w:t>
            </w:r>
          </w:p>
        </w:tc>
        <w:tc>
          <w:tcPr>
            <w:tcW w:w="6743" w:type="dxa"/>
          </w:tcPr>
          <w:p w:rsidR="007D2AE0" w:rsidRPr="00B3741D" w:rsidRDefault="00BF2839" w:rsidP="007D2AE0">
            <w:pPr>
              <w:pStyle w:val="naiskr"/>
              <w:spacing w:before="0" w:after="0"/>
              <w:jc w:val="both"/>
            </w:pPr>
            <w:r w:rsidRPr="00B3741D">
              <w:rPr>
                <w:iCs/>
              </w:rPr>
              <w:t>T</w:t>
            </w:r>
            <w:r w:rsidR="00CD7E91" w:rsidRPr="00B3741D">
              <w:rPr>
                <w:iCs/>
              </w:rPr>
              <w:t xml:space="preserve">ika organizēta neformāla darba grupa, kas laikā no 2011.gada jūnija līdz </w:t>
            </w:r>
            <w:r w:rsidR="003008C4" w:rsidRPr="00B3741D">
              <w:rPr>
                <w:iCs/>
              </w:rPr>
              <w:t>okto</w:t>
            </w:r>
            <w:r w:rsidR="00CD7E91" w:rsidRPr="00B3741D">
              <w:rPr>
                <w:iCs/>
              </w:rPr>
              <w:t xml:space="preserve">brim izstrādāja </w:t>
            </w:r>
            <w:r w:rsidR="00D751EF" w:rsidRPr="00B3741D">
              <w:rPr>
                <w:iCs/>
              </w:rPr>
              <w:t xml:space="preserve">noteikumu </w:t>
            </w:r>
            <w:r w:rsidR="00CD7E91" w:rsidRPr="00B3741D">
              <w:rPr>
                <w:iCs/>
              </w:rPr>
              <w:t xml:space="preserve">projektu. Darba grupā piedalījās pārstāvji no Izglītības iestāžu ēdinātāju asociācijas, Latvijas Diētas un uztura speciālistu asociācijas, </w:t>
            </w:r>
            <w:r w:rsidR="003008C4" w:rsidRPr="00B3741D">
              <w:rPr>
                <w:iCs/>
              </w:rPr>
              <w:t xml:space="preserve">Latvijas Diētas ārstu asociācijas, biedrības „Dzīve bez glutēna”, </w:t>
            </w:r>
            <w:r w:rsidR="00CD7E91" w:rsidRPr="00B3741D">
              <w:rPr>
                <w:iCs/>
              </w:rPr>
              <w:t xml:space="preserve">Latvijas Uzturzinātnes </w:t>
            </w:r>
            <w:r w:rsidR="005665D7" w:rsidRPr="00B3741D">
              <w:rPr>
                <w:iCs/>
              </w:rPr>
              <w:t xml:space="preserve"> speciālistu </w:t>
            </w:r>
            <w:r w:rsidR="00CD7E91" w:rsidRPr="00B3741D">
              <w:rPr>
                <w:iCs/>
              </w:rPr>
              <w:t>biedrības, Pārtikas un veterinārā dienesta</w:t>
            </w:r>
            <w:r w:rsidR="00CD7E91" w:rsidRPr="00B3741D">
              <w:t>.</w:t>
            </w:r>
            <w:r w:rsidR="00BE5F4C" w:rsidRPr="00B3741D">
              <w:t xml:space="preserve"> </w:t>
            </w:r>
          </w:p>
          <w:p w:rsidR="00262E2B" w:rsidRPr="00B3741D" w:rsidRDefault="00BE5F4C" w:rsidP="007D2AE0">
            <w:pPr>
              <w:pStyle w:val="naiskr"/>
              <w:spacing w:before="0" w:after="0"/>
              <w:jc w:val="both"/>
            </w:pPr>
            <w:r w:rsidRPr="00B3741D">
              <w:rPr>
                <w:iCs/>
              </w:rPr>
              <w:t xml:space="preserve">Latvijas Uzturzinātnes </w:t>
            </w:r>
            <w:r w:rsidR="005665D7" w:rsidRPr="00B3741D">
              <w:rPr>
                <w:iCs/>
              </w:rPr>
              <w:t xml:space="preserve"> speciālistu </w:t>
            </w:r>
            <w:r w:rsidRPr="00B3741D">
              <w:rPr>
                <w:iCs/>
              </w:rPr>
              <w:t>biedrība daļēji atbalsta izstrādāto noteikumu projektu.</w:t>
            </w:r>
          </w:p>
        </w:tc>
      </w:tr>
      <w:tr w:rsidR="00262E2B" w:rsidRPr="00B3741D" w:rsidTr="005D1909">
        <w:trPr>
          <w:trHeight w:val="1340"/>
        </w:trPr>
        <w:tc>
          <w:tcPr>
            <w:tcW w:w="550" w:type="dxa"/>
          </w:tcPr>
          <w:p w:rsidR="00262E2B" w:rsidRPr="00B3741D" w:rsidRDefault="00262E2B" w:rsidP="006C4607">
            <w:pPr>
              <w:pStyle w:val="naiskr"/>
              <w:spacing w:before="0" w:after="0"/>
              <w:rPr>
                <w:sz w:val="22"/>
                <w:szCs w:val="22"/>
              </w:rPr>
            </w:pPr>
            <w:r w:rsidRPr="00B3741D">
              <w:rPr>
                <w:sz w:val="22"/>
                <w:szCs w:val="22"/>
              </w:rPr>
              <w:t>6.</w:t>
            </w:r>
          </w:p>
        </w:tc>
        <w:tc>
          <w:tcPr>
            <w:tcW w:w="2432" w:type="dxa"/>
          </w:tcPr>
          <w:p w:rsidR="00262E2B" w:rsidRPr="00B3741D" w:rsidRDefault="00BB7C94" w:rsidP="006C4607">
            <w:pPr>
              <w:pStyle w:val="naiskr"/>
              <w:spacing w:before="0" w:after="0"/>
              <w:rPr>
                <w:i/>
                <w:sz w:val="22"/>
                <w:szCs w:val="22"/>
              </w:rPr>
            </w:pPr>
            <w:r w:rsidRPr="00B3741D">
              <w:rPr>
                <w:sz w:val="22"/>
                <w:szCs w:val="22"/>
              </w:rPr>
              <w:t xml:space="preserve">Iemesli, kādēļ netika nodrošināta </w:t>
            </w:r>
            <w:r w:rsidR="00262E2B" w:rsidRPr="00B3741D">
              <w:rPr>
                <w:sz w:val="22"/>
                <w:szCs w:val="22"/>
              </w:rPr>
              <w:t xml:space="preserve">sabiedrības </w:t>
            </w:r>
            <w:r w:rsidRPr="00B3741D">
              <w:rPr>
                <w:sz w:val="22"/>
                <w:szCs w:val="22"/>
              </w:rPr>
              <w:t>līdzdalība</w:t>
            </w:r>
          </w:p>
        </w:tc>
        <w:tc>
          <w:tcPr>
            <w:tcW w:w="6743" w:type="dxa"/>
          </w:tcPr>
          <w:p w:rsidR="00D20FF4" w:rsidRPr="00B3741D" w:rsidRDefault="005665D7" w:rsidP="006C4607">
            <w:pPr>
              <w:pStyle w:val="FootnoteText"/>
              <w:rPr>
                <w:sz w:val="24"/>
                <w:szCs w:val="24"/>
              </w:rPr>
            </w:pPr>
            <w:r w:rsidRPr="00B3741D">
              <w:rPr>
                <w:sz w:val="24"/>
                <w:szCs w:val="24"/>
              </w:rPr>
              <w:t>Projekts šo jomu neskar.</w:t>
            </w:r>
          </w:p>
        </w:tc>
      </w:tr>
      <w:tr w:rsidR="00262E2B" w:rsidRPr="00B3741D" w:rsidTr="005D1909">
        <w:tc>
          <w:tcPr>
            <w:tcW w:w="550" w:type="dxa"/>
          </w:tcPr>
          <w:p w:rsidR="00262E2B" w:rsidRPr="00B3741D" w:rsidRDefault="00262E2B" w:rsidP="006C4607">
            <w:pPr>
              <w:pStyle w:val="naiskr"/>
              <w:spacing w:before="0" w:after="0"/>
              <w:rPr>
                <w:sz w:val="22"/>
                <w:szCs w:val="22"/>
              </w:rPr>
            </w:pPr>
            <w:r w:rsidRPr="00B3741D">
              <w:rPr>
                <w:sz w:val="22"/>
                <w:szCs w:val="22"/>
              </w:rPr>
              <w:t>7.</w:t>
            </w:r>
          </w:p>
        </w:tc>
        <w:tc>
          <w:tcPr>
            <w:tcW w:w="2432" w:type="dxa"/>
          </w:tcPr>
          <w:p w:rsidR="00262E2B" w:rsidRPr="00B3741D" w:rsidRDefault="00262E2B" w:rsidP="006C4607">
            <w:pPr>
              <w:pStyle w:val="naiskr"/>
              <w:spacing w:before="0" w:after="0"/>
              <w:rPr>
                <w:sz w:val="22"/>
                <w:szCs w:val="22"/>
              </w:rPr>
            </w:pPr>
            <w:r w:rsidRPr="00B3741D">
              <w:rPr>
                <w:sz w:val="22"/>
                <w:szCs w:val="22"/>
              </w:rPr>
              <w:t>Cita informācija</w:t>
            </w:r>
          </w:p>
        </w:tc>
        <w:tc>
          <w:tcPr>
            <w:tcW w:w="6743" w:type="dxa"/>
          </w:tcPr>
          <w:p w:rsidR="00262E2B" w:rsidRPr="00B3741D" w:rsidRDefault="00262E2B" w:rsidP="006C4607">
            <w:pPr>
              <w:pStyle w:val="naiskr"/>
              <w:spacing w:before="0" w:after="0"/>
              <w:rPr>
                <w:sz w:val="22"/>
                <w:szCs w:val="22"/>
              </w:rPr>
            </w:pPr>
            <w:r w:rsidRPr="00B3741D">
              <w:rPr>
                <w:sz w:val="22"/>
                <w:szCs w:val="22"/>
              </w:rPr>
              <w:t>Nav</w:t>
            </w:r>
            <w:r w:rsidR="005F1E2A" w:rsidRPr="00B3741D">
              <w:rPr>
                <w:sz w:val="22"/>
                <w:szCs w:val="22"/>
              </w:rPr>
              <w:t>.</w:t>
            </w:r>
          </w:p>
        </w:tc>
      </w:tr>
    </w:tbl>
    <w:p w:rsidR="00852042" w:rsidRPr="00B3741D" w:rsidRDefault="00852042" w:rsidP="006C4607">
      <w:pPr>
        <w:pStyle w:val="naisf"/>
        <w:spacing w:before="0" w:after="0"/>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2410"/>
        <w:gridCol w:w="6776"/>
      </w:tblGrid>
      <w:tr w:rsidR="0062298A" w:rsidRPr="00B3741D" w:rsidTr="00FD2A8A">
        <w:tc>
          <w:tcPr>
            <w:tcW w:w="9758" w:type="dxa"/>
            <w:gridSpan w:val="3"/>
            <w:vAlign w:val="center"/>
          </w:tcPr>
          <w:p w:rsidR="0062298A" w:rsidRPr="00B3741D" w:rsidRDefault="0062298A" w:rsidP="006C4607">
            <w:pPr>
              <w:pStyle w:val="naisnod"/>
              <w:spacing w:before="0" w:after="0"/>
            </w:pPr>
            <w:r w:rsidRPr="00B3741D">
              <w:t>II</w:t>
            </w:r>
            <w:r w:rsidR="000941C5" w:rsidRPr="00B3741D">
              <w:t>.</w:t>
            </w:r>
            <w:r w:rsidRPr="00B3741D">
              <w:t xml:space="preserve"> Tiesību akta projekta ietekme uz sabiedrību</w:t>
            </w:r>
          </w:p>
        </w:tc>
      </w:tr>
      <w:tr w:rsidR="0062298A" w:rsidRPr="00B3741D" w:rsidTr="005D1909">
        <w:trPr>
          <w:trHeight w:val="467"/>
        </w:trPr>
        <w:tc>
          <w:tcPr>
            <w:tcW w:w="572" w:type="dxa"/>
          </w:tcPr>
          <w:p w:rsidR="0062298A" w:rsidRPr="00B3741D" w:rsidRDefault="0062298A" w:rsidP="006C4607">
            <w:pPr>
              <w:pStyle w:val="naiskr"/>
              <w:spacing w:before="0" w:after="0"/>
              <w:rPr>
                <w:sz w:val="22"/>
                <w:szCs w:val="22"/>
              </w:rPr>
            </w:pPr>
            <w:r w:rsidRPr="00B3741D">
              <w:rPr>
                <w:sz w:val="22"/>
                <w:szCs w:val="22"/>
              </w:rPr>
              <w:t>1.</w:t>
            </w:r>
          </w:p>
        </w:tc>
        <w:tc>
          <w:tcPr>
            <w:tcW w:w="2410" w:type="dxa"/>
          </w:tcPr>
          <w:p w:rsidR="0062298A" w:rsidRPr="00B3741D" w:rsidRDefault="00C27A08" w:rsidP="006C4607">
            <w:pPr>
              <w:pStyle w:val="naiskr"/>
              <w:spacing w:before="0" w:after="0"/>
              <w:rPr>
                <w:sz w:val="22"/>
                <w:szCs w:val="22"/>
              </w:rPr>
            </w:pPr>
            <w:r w:rsidRPr="00B3741D">
              <w:rPr>
                <w:sz w:val="22"/>
                <w:szCs w:val="22"/>
              </w:rPr>
              <w:t>Sabiedrības mērķgrupa</w:t>
            </w:r>
          </w:p>
        </w:tc>
        <w:tc>
          <w:tcPr>
            <w:tcW w:w="6776" w:type="dxa"/>
          </w:tcPr>
          <w:p w:rsidR="001D09EB" w:rsidRPr="00B3741D" w:rsidRDefault="00B50F68" w:rsidP="00F422A1">
            <w:pPr>
              <w:pStyle w:val="naiskr"/>
              <w:spacing w:before="0" w:after="0"/>
              <w:jc w:val="both"/>
              <w:rPr>
                <w:sz w:val="22"/>
                <w:szCs w:val="22"/>
              </w:rPr>
            </w:pPr>
            <w:r w:rsidRPr="00B3741D">
              <w:t xml:space="preserve">Izglītojamie vispārējās pamatizglītības, vispārējās vidējās izglītības, profesionālajās izglītības iestādēs un izglītības iestādēs, kas īsteno pirmsskolas izglītības programmas, kā arī ilgstošas sociālās aprūpes un sociālās rehabilitācijas </w:t>
            </w:r>
            <w:r w:rsidR="000D5A18" w:rsidRPr="00B3741D">
              <w:rPr>
                <w:bCs/>
              </w:rPr>
              <w:t xml:space="preserve"> institūciju</w:t>
            </w:r>
            <w:r w:rsidR="000D5A18" w:rsidRPr="00B3741D">
              <w:t xml:space="preserve"> </w:t>
            </w:r>
            <w:r w:rsidRPr="00B3741D">
              <w:t>klienti</w:t>
            </w:r>
            <w:r w:rsidR="00F422A1" w:rsidRPr="00B3741D">
              <w:t xml:space="preserve">, ārstniecības iestāžu </w:t>
            </w:r>
            <w:r w:rsidR="00F422A1" w:rsidRPr="00B3741D">
              <w:lastRenderedPageBreak/>
              <w:t>pacienti</w:t>
            </w:r>
          </w:p>
        </w:tc>
      </w:tr>
      <w:tr w:rsidR="0062298A" w:rsidRPr="00B3741D" w:rsidTr="005D1909">
        <w:trPr>
          <w:trHeight w:val="523"/>
        </w:trPr>
        <w:tc>
          <w:tcPr>
            <w:tcW w:w="572" w:type="dxa"/>
          </w:tcPr>
          <w:p w:rsidR="0062298A" w:rsidRPr="00B3741D" w:rsidRDefault="0062298A" w:rsidP="006C4607">
            <w:pPr>
              <w:pStyle w:val="naiskr"/>
              <w:spacing w:before="0" w:after="0"/>
              <w:rPr>
                <w:sz w:val="22"/>
                <w:szCs w:val="22"/>
              </w:rPr>
            </w:pPr>
            <w:r w:rsidRPr="00B3741D">
              <w:rPr>
                <w:sz w:val="22"/>
                <w:szCs w:val="22"/>
              </w:rPr>
              <w:lastRenderedPageBreak/>
              <w:t>2.</w:t>
            </w:r>
          </w:p>
        </w:tc>
        <w:tc>
          <w:tcPr>
            <w:tcW w:w="2410" w:type="dxa"/>
          </w:tcPr>
          <w:p w:rsidR="00C1133D" w:rsidRPr="00B3741D" w:rsidRDefault="00C27A08" w:rsidP="006C4607">
            <w:pPr>
              <w:pStyle w:val="naiskr"/>
              <w:spacing w:before="0" w:after="0"/>
              <w:rPr>
                <w:sz w:val="22"/>
                <w:szCs w:val="22"/>
              </w:rPr>
            </w:pPr>
            <w:r w:rsidRPr="00B3741D">
              <w:rPr>
                <w:sz w:val="22"/>
                <w:szCs w:val="22"/>
              </w:rPr>
              <w:t>Citas sabiedrības grupas (bez mērķgrupas), kuras tiesiskais regulējums arī ietekmē vai varētu ietekmēt</w:t>
            </w:r>
          </w:p>
        </w:tc>
        <w:tc>
          <w:tcPr>
            <w:tcW w:w="6776" w:type="dxa"/>
          </w:tcPr>
          <w:p w:rsidR="0062298A" w:rsidRPr="00B3741D" w:rsidRDefault="006A0035" w:rsidP="006A0035">
            <w:pPr>
              <w:pStyle w:val="naiskr"/>
              <w:spacing w:before="0" w:after="0"/>
              <w:rPr>
                <w:sz w:val="22"/>
                <w:szCs w:val="22"/>
              </w:rPr>
            </w:pPr>
            <w:r w:rsidRPr="00B3741D">
              <w:t xml:space="preserve">Vispārējās pamatizglītības, vispārējās vidējās izglītības, profesionālās izglītības iestāžu, izglītības iestāžu, kas īsteno pirmsskolas izglītības programmas, ilgstošas sociālās aprūpes un sociālās rehabilitācijas </w:t>
            </w:r>
            <w:r w:rsidRPr="00B3741D">
              <w:rPr>
                <w:bCs/>
              </w:rPr>
              <w:t xml:space="preserve"> institūciju</w:t>
            </w:r>
            <w:r w:rsidRPr="00B3741D">
              <w:t>, ārstniecības iestāžu  ēdināšanas bloku darbinieki.</w:t>
            </w:r>
          </w:p>
        </w:tc>
      </w:tr>
      <w:tr w:rsidR="0062298A" w:rsidRPr="00B3741D" w:rsidTr="005D1909">
        <w:trPr>
          <w:trHeight w:val="517"/>
        </w:trPr>
        <w:tc>
          <w:tcPr>
            <w:tcW w:w="572" w:type="dxa"/>
          </w:tcPr>
          <w:p w:rsidR="0062298A" w:rsidRPr="00B3741D" w:rsidRDefault="0062298A" w:rsidP="006C4607">
            <w:pPr>
              <w:pStyle w:val="naiskr"/>
              <w:spacing w:before="0" w:after="0"/>
              <w:rPr>
                <w:sz w:val="22"/>
                <w:szCs w:val="22"/>
              </w:rPr>
            </w:pPr>
            <w:r w:rsidRPr="00B3741D">
              <w:rPr>
                <w:sz w:val="22"/>
                <w:szCs w:val="22"/>
              </w:rPr>
              <w:t>3.</w:t>
            </w:r>
          </w:p>
        </w:tc>
        <w:tc>
          <w:tcPr>
            <w:tcW w:w="2410" w:type="dxa"/>
          </w:tcPr>
          <w:p w:rsidR="00C1133D" w:rsidRPr="00B3741D" w:rsidRDefault="000C790C" w:rsidP="006C4607">
            <w:pPr>
              <w:pStyle w:val="naiskr"/>
              <w:spacing w:before="0" w:after="0"/>
              <w:rPr>
                <w:sz w:val="22"/>
                <w:szCs w:val="22"/>
              </w:rPr>
            </w:pPr>
            <w:r w:rsidRPr="00B3741D">
              <w:rPr>
                <w:sz w:val="22"/>
                <w:szCs w:val="22"/>
              </w:rPr>
              <w:t>Tiesiskā r</w:t>
            </w:r>
            <w:r w:rsidR="003D21FF" w:rsidRPr="00B3741D">
              <w:rPr>
                <w:sz w:val="22"/>
                <w:szCs w:val="22"/>
              </w:rPr>
              <w:t>egulējuma</w:t>
            </w:r>
            <w:r w:rsidR="00C27A08" w:rsidRPr="00B3741D">
              <w:rPr>
                <w:sz w:val="22"/>
                <w:szCs w:val="22"/>
              </w:rPr>
              <w:t xml:space="preserve"> finansiālā ietekme</w:t>
            </w:r>
          </w:p>
        </w:tc>
        <w:tc>
          <w:tcPr>
            <w:tcW w:w="6776" w:type="dxa"/>
          </w:tcPr>
          <w:p w:rsidR="00472837" w:rsidRPr="00B3741D" w:rsidRDefault="00472837" w:rsidP="00472837">
            <w:pPr>
              <w:autoSpaceDE w:val="0"/>
              <w:autoSpaceDN w:val="0"/>
              <w:adjustRightInd w:val="0"/>
              <w:jc w:val="both"/>
              <w:rPr>
                <w:snapToGrid w:val="0"/>
              </w:rPr>
            </w:pPr>
            <w:r w:rsidRPr="00B3741D">
              <w:rPr>
                <w:snapToGrid w:val="0"/>
              </w:rPr>
              <w:t>Lai ēdienkartei katru dienu nodrošinātu enerģijas un uzturvielu normu aprēķinu, administratīvais slogs nepalielināsies, līdz ar to nav sagaidāms, ka palielināsies izmaksas.</w:t>
            </w:r>
            <w:r w:rsidR="005A6E2F" w:rsidRPr="00B3741D">
              <w:rPr>
                <w:snapToGrid w:val="0"/>
              </w:rPr>
              <w:t xml:space="preserve"> Arī šobrīd ir spēkā </w:t>
            </w:r>
            <w:r w:rsidRPr="00B3741D">
              <w:rPr>
                <w:iCs/>
              </w:rPr>
              <w:t xml:space="preserve">Ministru kabineta 2002.gada 27.decembra noteikumi Nr.610 </w:t>
            </w:r>
            <w:r w:rsidRPr="00B3741D">
              <w:t>„</w:t>
            </w:r>
            <w:r w:rsidRPr="00B3741D">
              <w:rPr>
                <w:rStyle w:val="Strong"/>
                <w:b w:val="0"/>
              </w:rPr>
              <w:t xml:space="preserve">Higiēnas prasības vispārējās pamatizglītības, vispārējās vidējas izglītības un profesionālās izglītības iestādēm” </w:t>
            </w:r>
            <w:r w:rsidR="005A6E2F" w:rsidRPr="00B3741D">
              <w:rPr>
                <w:rStyle w:val="Strong"/>
                <w:b w:val="0"/>
              </w:rPr>
              <w:t xml:space="preserve">un </w:t>
            </w:r>
            <w:r w:rsidR="005A6E2F" w:rsidRPr="00B3741D">
              <w:t xml:space="preserve">Ministru kabineta 2002.gada 27.decembra Ministru kabineta noteikumu Nr.596 „Higiēnas prasības izglītības iestādēm, kas īsteno pirmsskolas izglītības programmas” </w:t>
            </w:r>
            <w:r w:rsidRPr="00B3741D">
              <w:rPr>
                <w:iCs/>
              </w:rPr>
              <w:t xml:space="preserve">paredz, ka izglītības iestādes ēdināšanas bloka vadītājs, saskaņojot ar iestādes ārstniecības personu (ja tāda ir) vai iestādes vadītāju vai viņa pilnvarotu personu, izstrādā ēdienkarti vienai līdz divām nedēļām atbilstoši veselīga uztura principiem. </w:t>
            </w:r>
            <w:r w:rsidR="000C3FE0">
              <w:rPr>
                <w:iCs/>
              </w:rPr>
              <w:t>Šo prasību ievērošanu</w:t>
            </w:r>
            <w:r w:rsidRPr="00B3741D">
              <w:t xml:space="preserve"> kontrolē Pārtikas un veterinārais dienests.</w:t>
            </w:r>
            <w:r w:rsidR="005A6E2F" w:rsidRPr="00B3741D">
              <w:t xml:space="preserve"> Ēdienkarti, kas atbilst veselīga uztura principiem nav iespējams sastādīt, neveicot </w:t>
            </w:r>
            <w:r w:rsidR="005A6E2F" w:rsidRPr="00B3741D">
              <w:rPr>
                <w:snapToGrid w:val="0"/>
              </w:rPr>
              <w:t>enerģijas un uzturvielu normu aprēķinu, jo tikai tādā veidā ir iespējams nodrošināt, ka uzturs ir sabalansēts un satur visas nepieciešamās uzturvielas pareizās proporcijās.</w:t>
            </w:r>
            <w:r w:rsidR="00C316CD" w:rsidRPr="00B3741D">
              <w:rPr>
                <w:snapToGrid w:val="0"/>
              </w:rPr>
              <w:t xml:space="preserve"> Izglītības iestādēm bez maksas ir pieejami Veselības ministrijas metodiskie materiāli par sabalansētas ēdienkartes sastādīšanu. </w:t>
            </w:r>
          </w:p>
          <w:p w:rsidR="00472837" w:rsidRPr="00B3741D" w:rsidRDefault="00FC709C" w:rsidP="004B3A30">
            <w:pPr>
              <w:autoSpaceDE w:val="0"/>
              <w:autoSpaceDN w:val="0"/>
              <w:adjustRightInd w:val="0"/>
              <w:jc w:val="both"/>
              <w:rPr>
                <w:sz w:val="22"/>
                <w:szCs w:val="22"/>
              </w:rPr>
            </w:pPr>
            <w:r w:rsidRPr="00B3741D">
              <w:rPr>
                <w:color w:val="000000"/>
              </w:rPr>
              <w:t xml:space="preserve">Veselības ministrijas rīcībā esošie aprēķini liecina, ka bērniem piedāvātajam ēdienam izglītības iestādēs nevajadzētu sadārdzināties. </w:t>
            </w:r>
            <w:r w:rsidR="00824A0A" w:rsidRPr="00B3741D">
              <w:rPr>
                <w:color w:val="000000"/>
              </w:rPr>
              <w:t xml:space="preserve">Jau šobrīd spēkā esošie normatīvie akti noteica, ka izglītības </w:t>
            </w:r>
            <w:r w:rsidR="00D843FC" w:rsidRPr="00B3741D">
              <w:rPr>
                <w:color w:val="000000"/>
              </w:rPr>
              <w:t>iestādēs ēdienkarte jāsastāda atbilstoši veselīga uztura pr</w:t>
            </w:r>
            <w:r w:rsidR="003C2515" w:rsidRPr="00B3741D">
              <w:rPr>
                <w:color w:val="000000"/>
              </w:rPr>
              <w:t>incipiem.</w:t>
            </w:r>
            <w:r w:rsidR="00D843FC" w:rsidRPr="00B3741D">
              <w:rPr>
                <w:color w:val="000000"/>
              </w:rPr>
              <w:t xml:space="preserve"> </w:t>
            </w:r>
            <w:r w:rsidR="00F949C6" w:rsidRPr="00B3741D">
              <w:rPr>
                <w:color w:val="000000"/>
              </w:rPr>
              <w:t>Jāņem vērā, ka tādi produkti kā frī kartupeļi, dažādi pusfabrikāti, pelmeņi ir salīdzinoši dārgāki nekā svaigi produkti – dārzeņi, graudaugi, gaļa</w:t>
            </w:r>
            <w:r w:rsidR="00107015" w:rsidRPr="00B3741D">
              <w:rPr>
                <w:color w:val="000000"/>
              </w:rPr>
              <w:t xml:space="preserve"> un ar tiem ir grūtāk nodrošināt nepieciešamo uzturvērtību.</w:t>
            </w:r>
          </w:p>
        </w:tc>
      </w:tr>
      <w:tr w:rsidR="00C27A08" w:rsidRPr="00B3741D" w:rsidTr="005D1909">
        <w:trPr>
          <w:trHeight w:val="517"/>
        </w:trPr>
        <w:tc>
          <w:tcPr>
            <w:tcW w:w="572" w:type="dxa"/>
          </w:tcPr>
          <w:p w:rsidR="00C27A08" w:rsidRPr="00B3741D" w:rsidRDefault="00C27A08" w:rsidP="006C4607">
            <w:pPr>
              <w:pStyle w:val="naiskr"/>
              <w:spacing w:before="0" w:after="0"/>
              <w:rPr>
                <w:sz w:val="22"/>
                <w:szCs w:val="22"/>
              </w:rPr>
            </w:pPr>
            <w:r w:rsidRPr="00B3741D">
              <w:rPr>
                <w:sz w:val="22"/>
                <w:szCs w:val="22"/>
              </w:rPr>
              <w:t>4.</w:t>
            </w:r>
          </w:p>
        </w:tc>
        <w:tc>
          <w:tcPr>
            <w:tcW w:w="2410" w:type="dxa"/>
          </w:tcPr>
          <w:p w:rsidR="00C27A08" w:rsidRPr="00B3741D" w:rsidRDefault="00C27A08" w:rsidP="006C4607">
            <w:pPr>
              <w:pStyle w:val="naiskr"/>
              <w:spacing w:before="0" w:after="0"/>
              <w:rPr>
                <w:sz w:val="22"/>
                <w:szCs w:val="22"/>
              </w:rPr>
            </w:pPr>
            <w:r w:rsidRPr="00B3741D">
              <w:rPr>
                <w:sz w:val="22"/>
                <w:szCs w:val="22"/>
              </w:rPr>
              <w:t>Tiesiskā regulējuma nefinansiālā ietekme</w:t>
            </w:r>
          </w:p>
        </w:tc>
        <w:tc>
          <w:tcPr>
            <w:tcW w:w="6776" w:type="dxa"/>
          </w:tcPr>
          <w:p w:rsidR="00C27A08" w:rsidRPr="00B3741D" w:rsidRDefault="009E71D6" w:rsidP="009E71D6">
            <w:pPr>
              <w:pStyle w:val="naiskr"/>
              <w:spacing w:before="0" w:after="0"/>
              <w:jc w:val="both"/>
              <w:rPr>
                <w:sz w:val="22"/>
                <w:szCs w:val="22"/>
              </w:rPr>
            </w:pPr>
            <w:r w:rsidRPr="00B3741D">
              <w:t xml:space="preserve">Tiks nodrošināts, ka izglītojamie vispārējās pamatizglītības, vispārējās vidējās izglītības, profesionālajās izglītības iestādēs un izglītības iestādēs, kas īsteno pirmsskolas izglītības programmas, kā arī ilgstošas sociālās aprūpes un sociālās rehabilitācijas </w:t>
            </w:r>
            <w:r w:rsidR="000D5A18" w:rsidRPr="00B3741D">
              <w:rPr>
                <w:bCs/>
              </w:rPr>
              <w:t xml:space="preserve"> institūciju</w:t>
            </w:r>
            <w:r w:rsidR="000D5A18" w:rsidRPr="00B3741D">
              <w:t xml:space="preserve"> </w:t>
            </w:r>
            <w:r w:rsidRPr="00B3741D">
              <w:t>klienti</w:t>
            </w:r>
            <w:r w:rsidR="00F422A1" w:rsidRPr="00B3741D">
              <w:t xml:space="preserve"> un ārstniecības iestāžu pacienti</w:t>
            </w:r>
            <w:r w:rsidRPr="00B3741D">
              <w:t xml:space="preserve"> saņems sabalansētu uzturu</w:t>
            </w:r>
            <w:r w:rsidRPr="00B3741D">
              <w:rPr>
                <w:sz w:val="22"/>
                <w:szCs w:val="22"/>
              </w:rPr>
              <w:t>, līdz ar to tiks veicināta šo sabiedrības grupu veselība ilgtermiņā.</w:t>
            </w:r>
          </w:p>
        </w:tc>
      </w:tr>
      <w:tr w:rsidR="0062298A" w:rsidRPr="00B3741D" w:rsidTr="005D1909">
        <w:trPr>
          <w:trHeight w:val="531"/>
        </w:trPr>
        <w:tc>
          <w:tcPr>
            <w:tcW w:w="572" w:type="dxa"/>
          </w:tcPr>
          <w:p w:rsidR="0062298A" w:rsidRPr="00B3741D" w:rsidRDefault="00C27A08" w:rsidP="006C4607">
            <w:pPr>
              <w:pStyle w:val="naiskr"/>
              <w:spacing w:before="0" w:after="0"/>
              <w:rPr>
                <w:sz w:val="22"/>
                <w:szCs w:val="22"/>
              </w:rPr>
            </w:pPr>
            <w:r w:rsidRPr="00B3741D">
              <w:rPr>
                <w:sz w:val="22"/>
                <w:szCs w:val="22"/>
              </w:rPr>
              <w:t>5</w:t>
            </w:r>
            <w:r w:rsidR="0062298A" w:rsidRPr="00B3741D">
              <w:rPr>
                <w:sz w:val="22"/>
                <w:szCs w:val="22"/>
              </w:rPr>
              <w:t>.</w:t>
            </w:r>
          </w:p>
        </w:tc>
        <w:tc>
          <w:tcPr>
            <w:tcW w:w="2410" w:type="dxa"/>
          </w:tcPr>
          <w:p w:rsidR="00C1133D" w:rsidRPr="00B3741D" w:rsidRDefault="00C1133D" w:rsidP="006C4607">
            <w:pPr>
              <w:pStyle w:val="naiskr"/>
              <w:spacing w:before="0" w:after="0"/>
              <w:rPr>
                <w:sz w:val="22"/>
                <w:szCs w:val="22"/>
              </w:rPr>
            </w:pPr>
            <w:r w:rsidRPr="00B3741D">
              <w:rPr>
                <w:sz w:val="22"/>
                <w:szCs w:val="22"/>
              </w:rPr>
              <w:t>Administratīv</w:t>
            </w:r>
            <w:r w:rsidR="00C27A08" w:rsidRPr="00B3741D">
              <w:rPr>
                <w:sz w:val="22"/>
                <w:szCs w:val="22"/>
              </w:rPr>
              <w:t>ās</w:t>
            </w:r>
            <w:r w:rsidRPr="00B3741D">
              <w:rPr>
                <w:sz w:val="22"/>
                <w:szCs w:val="22"/>
              </w:rPr>
              <w:t xml:space="preserve"> procedūr</w:t>
            </w:r>
            <w:r w:rsidR="00965897" w:rsidRPr="00B3741D">
              <w:rPr>
                <w:sz w:val="22"/>
                <w:szCs w:val="22"/>
              </w:rPr>
              <w:t>a</w:t>
            </w:r>
            <w:r w:rsidRPr="00B3741D">
              <w:rPr>
                <w:sz w:val="22"/>
                <w:szCs w:val="22"/>
              </w:rPr>
              <w:t xml:space="preserve">s </w:t>
            </w:r>
            <w:r w:rsidR="00C27A08" w:rsidRPr="00B3741D">
              <w:rPr>
                <w:sz w:val="22"/>
                <w:szCs w:val="22"/>
              </w:rPr>
              <w:t>raksturojums</w:t>
            </w:r>
          </w:p>
        </w:tc>
        <w:tc>
          <w:tcPr>
            <w:tcW w:w="6776" w:type="dxa"/>
          </w:tcPr>
          <w:p w:rsidR="0062298A" w:rsidRPr="00B3741D" w:rsidRDefault="00780187" w:rsidP="006C4607">
            <w:pPr>
              <w:pStyle w:val="naiskr"/>
              <w:spacing w:before="0" w:after="0"/>
              <w:rPr>
                <w:sz w:val="22"/>
                <w:szCs w:val="22"/>
              </w:rPr>
            </w:pPr>
            <w:r w:rsidRPr="00B3741D">
              <w:t>Projekts šo jomu neskar.</w:t>
            </w:r>
          </w:p>
        </w:tc>
      </w:tr>
      <w:tr w:rsidR="0062298A" w:rsidRPr="00B3741D" w:rsidTr="005D1909">
        <w:trPr>
          <w:trHeight w:val="357"/>
        </w:trPr>
        <w:tc>
          <w:tcPr>
            <w:tcW w:w="572" w:type="dxa"/>
          </w:tcPr>
          <w:p w:rsidR="0062298A" w:rsidRPr="00B3741D" w:rsidRDefault="00C27A08" w:rsidP="006C4607">
            <w:pPr>
              <w:pStyle w:val="naiskr"/>
              <w:spacing w:before="0" w:after="0"/>
              <w:rPr>
                <w:sz w:val="22"/>
                <w:szCs w:val="22"/>
              </w:rPr>
            </w:pPr>
            <w:r w:rsidRPr="00B3741D">
              <w:rPr>
                <w:sz w:val="22"/>
                <w:szCs w:val="22"/>
              </w:rPr>
              <w:t>6</w:t>
            </w:r>
            <w:r w:rsidR="0062298A" w:rsidRPr="00B3741D">
              <w:rPr>
                <w:sz w:val="22"/>
                <w:szCs w:val="22"/>
              </w:rPr>
              <w:t>.</w:t>
            </w:r>
          </w:p>
        </w:tc>
        <w:tc>
          <w:tcPr>
            <w:tcW w:w="2410" w:type="dxa"/>
          </w:tcPr>
          <w:p w:rsidR="00AE5066" w:rsidRPr="00B3741D" w:rsidRDefault="00C27A08" w:rsidP="006C4607">
            <w:pPr>
              <w:pStyle w:val="naiskr"/>
              <w:spacing w:before="0" w:after="0"/>
              <w:rPr>
                <w:sz w:val="22"/>
                <w:szCs w:val="22"/>
              </w:rPr>
            </w:pPr>
            <w:r w:rsidRPr="00B3741D">
              <w:rPr>
                <w:sz w:val="22"/>
                <w:szCs w:val="22"/>
              </w:rPr>
              <w:t xml:space="preserve">Administratīvo izmaksu </w:t>
            </w:r>
            <w:r w:rsidR="00502374" w:rsidRPr="00B3741D">
              <w:rPr>
                <w:sz w:val="22"/>
                <w:szCs w:val="22"/>
              </w:rPr>
              <w:t xml:space="preserve">monetārs </w:t>
            </w:r>
            <w:r w:rsidRPr="00B3741D">
              <w:rPr>
                <w:sz w:val="22"/>
                <w:szCs w:val="22"/>
              </w:rPr>
              <w:t>novērtējums</w:t>
            </w:r>
          </w:p>
        </w:tc>
        <w:tc>
          <w:tcPr>
            <w:tcW w:w="6776" w:type="dxa"/>
          </w:tcPr>
          <w:p w:rsidR="0062298A" w:rsidRPr="00B3741D" w:rsidRDefault="00780187" w:rsidP="006C4607">
            <w:pPr>
              <w:pStyle w:val="naiskr"/>
              <w:spacing w:before="0" w:after="0"/>
              <w:rPr>
                <w:sz w:val="22"/>
                <w:szCs w:val="22"/>
              </w:rPr>
            </w:pPr>
            <w:r w:rsidRPr="00B3741D">
              <w:t>Projekts šo jomu neskar.</w:t>
            </w:r>
          </w:p>
        </w:tc>
      </w:tr>
      <w:tr w:rsidR="0062298A" w:rsidRPr="00B3741D" w:rsidTr="005D1909">
        <w:tc>
          <w:tcPr>
            <w:tcW w:w="572" w:type="dxa"/>
          </w:tcPr>
          <w:p w:rsidR="0062298A" w:rsidRPr="00B3741D" w:rsidRDefault="00C27A08" w:rsidP="006C4607">
            <w:pPr>
              <w:pStyle w:val="naiskr"/>
              <w:spacing w:before="0" w:after="0"/>
              <w:rPr>
                <w:sz w:val="22"/>
                <w:szCs w:val="22"/>
              </w:rPr>
            </w:pPr>
            <w:r w:rsidRPr="00B3741D">
              <w:rPr>
                <w:sz w:val="22"/>
                <w:szCs w:val="22"/>
              </w:rPr>
              <w:t>7</w:t>
            </w:r>
            <w:r w:rsidR="0062298A" w:rsidRPr="00B3741D">
              <w:rPr>
                <w:sz w:val="22"/>
                <w:szCs w:val="22"/>
              </w:rPr>
              <w:t>.</w:t>
            </w:r>
          </w:p>
        </w:tc>
        <w:tc>
          <w:tcPr>
            <w:tcW w:w="2410" w:type="dxa"/>
          </w:tcPr>
          <w:p w:rsidR="0062298A" w:rsidRPr="00B3741D" w:rsidRDefault="009E12D7" w:rsidP="006C4607">
            <w:pPr>
              <w:pStyle w:val="naiskr"/>
              <w:spacing w:before="0" w:after="0"/>
              <w:rPr>
                <w:sz w:val="22"/>
                <w:szCs w:val="22"/>
              </w:rPr>
            </w:pPr>
            <w:r w:rsidRPr="00B3741D">
              <w:rPr>
                <w:sz w:val="22"/>
                <w:szCs w:val="22"/>
              </w:rPr>
              <w:t>Cita informācija</w:t>
            </w:r>
          </w:p>
        </w:tc>
        <w:tc>
          <w:tcPr>
            <w:tcW w:w="6776" w:type="dxa"/>
          </w:tcPr>
          <w:p w:rsidR="0062298A" w:rsidRPr="00B3741D" w:rsidRDefault="0062298A" w:rsidP="006C4607">
            <w:pPr>
              <w:pStyle w:val="naiskr"/>
              <w:spacing w:before="0" w:after="0"/>
              <w:rPr>
                <w:sz w:val="22"/>
                <w:szCs w:val="22"/>
              </w:rPr>
            </w:pPr>
            <w:r w:rsidRPr="00B3741D">
              <w:rPr>
                <w:sz w:val="22"/>
                <w:szCs w:val="22"/>
              </w:rPr>
              <w:t>Nav</w:t>
            </w:r>
            <w:r w:rsidR="00FF54E2" w:rsidRPr="00B3741D">
              <w:rPr>
                <w:sz w:val="22"/>
                <w:szCs w:val="22"/>
              </w:rPr>
              <w:t>.</w:t>
            </w:r>
          </w:p>
        </w:tc>
      </w:tr>
    </w:tbl>
    <w:p w:rsidR="008C5649" w:rsidRPr="00B3741D" w:rsidRDefault="008C5649" w:rsidP="006C4607">
      <w:pPr>
        <w:pStyle w:val="naisf"/>
        <w:spacing w:before="0" w:after="0"/>
      </w:pPr>
    </w:p>
    <w:tbl>
      <w:tblPr>
        <w:tblW w:w="9640"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296"/>
        <w:gridCol w:w="1260"/>
        <w:gridCol w:w="1313"/>
        <w:gridCol w:w="1298"/>
        <w:gridCol w:w="1298"/>
        <w:gridCol w:w="1175"/>
      </w:tblGrid>
      <w:tr w:rsidR="004C0745" w:rsidRPr="00B3741D" w:rsidTr="004C0745">
        <w:trPr>
          <w:trHeight w:val="652"/>
          <w:tblCellSpacing w:w="0" w:type="dxa"/>
        </w:trPr>
        <w:tc>
          <w:tcPr>
            <w:tcW w:w="9640" w:type="dxa"/>
            <w:gridSpan w:val="6"/>
            <w:tcBorders>
              <w:top w:val="outset" w:sz="6" w:space="0" w:color="auto"/>
              <w:bottom w:val="outset" w:sz="6" w:space="0" w:color="auto"/>
            </w:tcBorders>
          </w:tcPr>
          <w:p w:rsidR="004C0745" w:rsidRPr="00B3741D" w:rsidRDefault="004C0745" w:rsidP="00F55051">
            <w:pPr>
              <w:spacing w:before="150" w:after="150"/>
              <w:jc w:val="center"/>
              <w:rPr>
                <w:b/>
                <w:bCs/>
              </w:rPr>
            </w:pPr>
            <w:r w:rsidRPr="00B3741D">
              <w:rPr>
                <w:b/>
                <w:bCs/>
              </w:rPr>
              <w:t>III. Tiesību akta projekta ietekme uz valsts budžetu un pašvaldību budžetiem</w:t>
            </w:r>
          </w:p>
        </w:tc>
      </w:tr>
      <w:tr w:rsidR="004C0745" w:rsidRPr="00B3741D" w:rsidTr="004C0745">
        <w:trPr>
          <w:tblCellSpacing w:w="0" w:type="dxa"/>
        </w:trPr>
        <w:tc>
          <w:tcPr>
            <w:tcW w:w="3296" w:type="dxa"/>
            <w:vMerge w:val="restart"/>
            <w:tcBorders>
              <w:top w:val="outset" w:sz="6" w:space="0" w:color="auto"/>
              <w:bottom w:val="outset" w:sz="6" w:space="0" w:color="auto"/>
              <w:right w:val="outset" w:sz="6" w:space="0" w:color="auto"/>
            </w:tcBorders>
            <w:vAlign w:val="center"/>
          </w:tcPr>
          <w:p w:rsidR="004C0745" w:rsidRPr="00B3741D" w:rsidRDefault="004C0745" w:rsidP="00F55051">
            <w:pPr>
              <w:spacing w:before="75" w:after="75"/>
              <w:jc w:val="center"/>
              <w:rPr>
                <w:b/>
              </w:rPr>
            </w:pPr>
            <w:r w:rsidRPr="00B3741D">
              <w:rPr>
                <w:b/>
              </w:rPr>
              <w:t> </w:t>
            </w:r>
            <w:r w:rsidRPr="00B3741D">
              <w:rPr>
                <w:b/>
                <w:bCs/>
              </w:rPr>
              <w:t>Rādītāji</w:t>
            </w:r>
          </w:p>
        </w:tc>
        <w:tc>
          <w:tcPr>
            <w:tcW w:w="2573" w:type="dxa"/>
            <w:gridSpan w:val="2"/>
            <w:vMerge w:val="restart"/>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jc w:val="center"/>
              <w:rPr>
                <w:b/>
              </w:rPr>
            </w:pPr>
            <w:r w:rsidRPr="00B3741D">
              <w:rPr>
                <w:b/>
              </w:rPr>
              <w:t> </w:t>
            </w:r>
            <w:r w:rsidRPr="00B3741D">
              <w:rPr>
                <w:b/>
                <w:bCs/>
              </w:rPr>
              <w:t>2011. gads</w:t>
            </w:r>
          </w:p>
        </w:tc>
        <w:tc>
          <w:tcPr>
            <w:tcW w:w="3771" w:type="dxa"/>
            <w:gridSpan w:val="3"/>
            <w:tcBorders>
              <w:top w:val="outset" w:sz="6" w:space="0" w:color="auto"/>
              <w:left w:val="outset" w:sz="6" w:space="0" w:color="auto"/>
              <w:bottom w:val="outset" w:sz="6" w:space="0" w:color="auto"/>
            </w:tcBorders>
            <w:vAlign w:val="center"/>
          </w:tcPr>
          <w:p w:rsidR="004C0745" w:rsidRPr="00B3741D" w:rsidRDefault="004C0745" w:rsidP="00F55051">
            <w:pPr>
              <w:spacing w:before="75" w:after="75"/>
              <w:jc w:val="center"/>
              <w:rPr>
                <w:b/>
              </w:rPr>
            </w:pPr>
            <w:r w:rsidRPr="00B3741D">
              <w:rPr>
                <w:b/>
              </w:rPr>
              <w:t> Turpmākie trīs gadi (tūkst</w:t>
            </w:r>
            <w:smartTag w:uri="schemas-tilde-lv/tildestengine" w:element="currency2">
              <w:smartTagPr>
                <w:attr w:name="currency_text" w:val="latu"/>
                <w:attr w:name="currency_value" w:val="."/>
                <w:attr w:name="currency_key" w:val="LVL"/>
                <w:attr w:name="currency_id" w:val="48"/>
              </w:smartTagPr>
              <w:r w:rsidRPr="00B3741D">
                <w:rPr>
                  <w:b/>
                </w:rPr>
                <w:t>. latu</w:t>
              </w:r>
            </w:smartTag>
            <w:r w:rsidRPr="00B3741D">
              <w:rPr>
                <w:b/>
              </w:rPr>
              <w:t>)</w:t>
            </w:r>
          </w:p>
        </w:tc>
      </w:tr>
      <w:tr w:rsidR="004C0745" w:rsidRPr="00B3741D" w:rsidTr="004C0745">
        <w:trPr>
          <w:tblCellSpacing w:w="0" w:type="dxa"/>
        </w:trPr>
        <w:tc>
          <w:tcPr>
            <w:tcW w:w="3296" w:type="dxa"/>
            <w:vMerge/>
            <w:tcBorders>
              <w:top w:val="outset" w:sz="6" w:space="0" w:color="auto"/>
              <w:bottom w:val="outset" w:sz="6" w:space="0" w:color="auto"/>
              <w:right w:val="outset" w:sz="6" w:space="0" w:color="auto"/>
            </w:tcBorders>
            <w:vAlign w:val="center"/>
          </w:tcPr>
          <w:p w:rsidR="004C0745" w:rsidRPr="00B3741D" w:rsidRDefault="004C0745" w:rsidP="00F55051"/>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150" w:after="150"/>
              <w:jc w:val="center"/>
              <w:rPr>
                <w:b/>
                <w:bCs/>
              </w:rPr>
            </w:pPr>
            <w:r w:rsidRPr="00B3741D">
              <w:rPr>
                <w:b/>
                <w:bCs/>
              </w:rPr>
              <w:t> 2012</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150" w:after="150"/>
              <w:jc w:val="center"/>
              <w:rPr>
                <w:b/>
                <w:bCs/>
              </w:rPr>
            </w:pPr>
            <w:r w:rsidRPr="00B3741D">
              <w:rPr>
                <w:b/>
                <w:bCs/>
              </w:rPr>
              <w:t> 2013</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150" w:after="150"/>
              <w:jc w:val="center"/>
              <w:rPr>
                <w:b/>
                <w:bCs/>
              </w:rPr>
            </w:pPr>
            <w:r w:rsidRPr="00B3741D">
              <w:rPr>
                <w:b/>
                <w:bCs/>
              </w:rPr>
              <w:t> 2014</w:t>
            </w:r>
          </w:p>
        </w:tc>
      </w:tr>
      <w:tr w:rsidR="004C0745" w:rsidRPr="00B3741D" w:rsidTr="004C0745">
        <w:trPr>
          <w:tblCellSpacing w:w="0" w:type="dxa"/>
        </w:trPr>
        <w:tc>
          <w:tcPr>
            <w:tcW w:w="3296" w:type="dxa"/>
            <w:vMerge/>
            <w:tcBorders>
              <w:top w:val="outset" w:sz="6" w:space="0" w:color="auto"/>
              <w:bottom w:val="outset" w:sz="6" w:space="0" w:color="auto"/>
              <w:right w:val="outset" w:sz="6" w:space="0" w:color="auto"/>
            </w:tcBorders>
            <w:vAlign w:val="center"/>
          </w:tcPr>
          <w:p w:rsidR="004C0745" w:rsidRPr="00B3741D" w:rsidRDefault="004C0745" w:rsidP="00F55051"/>
        </w:tc>
        <w:tc>
          <w:tcPr>
            <w:tcW w:w="1260"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jc w:val="center"/>
            </w:pPr>
            <w:r w:rsidRPr="00B3741D">
              <w:t> Saskaņā ar valsts budžetu kārtējam gadam</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jc w:val="center"/>
            </w:pPr>
            <w:r w:rsidRPr="00B3741D">
              <w:t> Izmaiņas kārtējā gadā, salīdzinot ar budžetu kārtējam gadam</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jc w:val="center"/>
            </w:pPr>
            <w:r w:rsidRPr="00B3741D">
              <w:t> Izmaiņas, salīdzinot ar kārtējo (n) gadu</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jc w:val="center"/>
            </w:pPr>
            <w:r w:rsidRPr="00B3741D">
              <w:t> Izmaiņas, salīdzinot ar kārtējo (n) gadu</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jc w:val="center"/>
            </w:pPr>
            <w:r w:rsidRPr="00B3741D">
              <w:t> Izmaiņas, salīdzinot ar kārtējo (n) gadu</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vAlign w:val="center"/>
          </w:tcPr>
          <w:p w:rsidR="004C0745" w:rsidRPr="00B3741D" w:rsidRDefault="004C0745" w:rsidP="00F55051">
            <w:pPr>
              <w:spacing w:before="75" w:after="75"/>
              <w:jc w:val="center"/>
            </w:pPr>
            <w:r w:rsidRPr="00B3741D">
              <w:t> 1</w:t>
            </w:r>
          </w:p>
        </w:tc>
        <w:tc>
          <w:tcPr>
            <w:tcW w:w="1260"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jc w:val="center"/>
            </w:pPr>
            <w:r w:rsidRPr="00B3741D">
              <w:t> 2</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jc w:val="center"/>
            </w:pPr>
            <w:r w:rsidRPr="00B3741D">
              <w:t> 3</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jc w:val="center"/>
            </w:pPr>
            <w:r w:rsidRPr="00B3741D">
              <w:t> 4</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jc w:val="center"/>
            </w:pPr>
            <w:r w:rsidRPr="00B3741D">
              <w:t> 5</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jc w:val="center"/>
            </w:pPr>
            <w:r w:rsidRPr="00B3741D">
              <w:t> 6</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1. Budžeta ieņēmumi:</w:t>
            </w:r>
          </w:p>
        </w:tc>
        <w:tc>
          <w:tcPr>
            <w:tcW w:w="1260"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1.1. valsts pamatbudžets, tai skaitā ieņēmumi no maksas pakalpojumiem un citi pašu ieņēmumi</w:t>
            </w:r>
          </w:p>
        </w:tc>
        <w:tc>
          <w:tcPr>
            <w:tcW w:w="1260"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1.2. valsts speciālais budžets</w:t>
            </w:r>
          </w:p>
        </w:tc>
        <w:tc>
          <w:tcPr>
            <w:tcW w:w="1260"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1.3. pašvaldību budžets</w:t>
            </w:r>
          </w:p>
        </w:tc>
        <w:tc>
          <w:tcPr>
            <w:tcW w:w="1260"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2. Budžeta izdevumi:</w:t>
            </w:r>
          </w:p>
        </w:tc>
        <w:tc>
          <w:tcPr>
            <w:tcW w:w="1260"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jc w:val="center"/>
            </w:pPr>
            <w:r w:rsidRPr="00B3741D">
              <w:t xml:space="preserve">      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2.1. valsts pamatbudžets</w:t>
            </w:r>
          </w:p>
        </w:tc>
        <w:tc>
          <w:tcPr>
            <w:tcW w:w="1260"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2.2. valsts speciālais budžets</w:t>
            </w:r>
          </w:p>
        </w:tc>
        <w:tc>
          <w:tcPr>
            <w:tcW w:w="1260"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2.3. pašvaldību budžets</w:t>
            </w:r>
          </w:p>
        </w:tc>
        <w:tc>
          <w:tcPr>
            <w:tcW w:w="1260"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3. Finansiālā ietekme:</w:t>
            </w:r>
          </w:p>
        </w:tc>
        <w:tc>
          <w:tcPr>
            <w:tcW w:w="1260"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hanging="34"/>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3.1. valsts pamatbudžets</w:t>
            </w:r>
          </w:p>
        </w:tc>
        <w:tc>
          <w:tcPr>
            <w:tcW w:w="1260"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3.2. speciālais budžets</w:t>
            </w:r>
          </w:p>
        </w:tc>
        <w:tc>
          <w:tcPr>
            <w:tcW w:w="1260"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3.3. pašvaldību budžets</w:t>
            </w:r>
          </w:p>
        </w:tc>
        <w:tc>
          <w:tcPr>
            <w:tcW w:w="1260"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vMerge w:val="restart"/>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4. Finanšu līdzekļi papildu izde</w:t>
            </w:r>
            <w:r w:rsidRPr="00B3741D">
              <w:softHyphen/>
              <w:t>vumu finansēšanai (kompensējošu izdevumu samazinājumu norāda ar "+" zīmi)</w:t>
            </w:r>
          </w:p>
        </w:tc>
        <w:tc>
          <w:tcPr>
            <w:tcW w:w="1260" w:type="dxa"/>
            <w:vMerge w:val="restart"/>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jc w:val="center"/>
            </w:pPr>
            <w:r w:rsidRPr="00B3741D">
              <w:t>0</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vMerge/>
            <w:tcBorders>
              <w:top w:val="outset" w:sz="6" w:space="0" w:color="auto"/>
              <w:bottom w:val="outset" w:sz="6" w:space="0" w:color="auto"/>
              <w:right w:val="outset" w:sz="6" w:space="0" w:color="auto"/>
            </w:tcBorders>
            <w:vAlign w:val="center"/>
          </w:tcPr>
          <w:p w:rsidR="004C0745" w:rsidRPr="00B3741D" w:rsidRDefault="004C0745" w:rsidP="00F55051"/>
        </w:tc>
        <w:tc>
          <w:tcPr>
            <w:tcW w:w="0" w:type="auto"/>
            <w:vMerge/>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vMerge/>
            <w:tcBorders>
              <w:top w:val="outset" w:sz="6" w:space="0" w:color="auto"/>
              <w:bottom w:val="outset" w:sz="6" w:space="0" w:color="auto"/>
              <w:right w:val="outset" w:sz="6" w:space="0" w:color="auto"/>
            </w:tcBorders>
            <w:vAlign w:val="center"/>
          </w:tcPr>
          <w:p w:rsidR="004C0745" w:rsidRPr="00B3741D" w:rsidRDefault="004C0745" w:rsidP="00F55051"/>
        </w:tc>
        <w:tc>
          <w:tcPr>
            <w:tcW w:w="0" w:type="auto"/>
            <w:vMerge/>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5. Precizēta finansiālā ietekme:</w:t>
            </w:r>
          </w:p>
        </w:tc>
        <w:tc>
          <w:tcPr>
            <w:tcW w:w="1260" w:type="dxa"/>
            <w:vMerge w:val="restart"/>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jc w:val="center"/>
            </w:pPr>
            <w:r w:rsidRPr="00B3741D">
              <w:t>0</w:t>
            </w: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298" w:type="dxa"/>
            <w:tcBorders>
              <w:top w:val="outset" w:sz="6" w:space="0" w:color="auto"/>
              <w:left w:val="outset" w:sz="6" w:space="0" w:color="auto"/>
              <w:bottom w:val="outset" w:sz="6" w:space="0" w:color="auto"/>
              <w:right w:val="outset" w:sz="6" w:space="0" w:color="auto"/>
            </w:tcBorders>
            <w:vAlign w:val="center"/>
          </w:tcPr>
          <w:p w:rsidR="004C0745" w:rsidRPr="00B3741D" w:rsidRDefault="004C0745" w:rsidP="00F55051">
            <w:pPr>
              <w:spacing w:before="75" w:after="75"/>
              <w:ind w:firstLine="375"/>
              <w:jc w:val="center"/>
            </w:pPr>
            <w:r w:rsidRPr="00B3741D">
              <w:t>0</w:t>
            </w:r>
          </w:p>
        </w:tc>
        <w:tc>
          <w:tcPr>
            <w:tcW w:w="1175" w:type="dxa"/>
            <w:tcBorders>
              <w:top w:val="outset" w:sz="6" w:space="0" w:color="auto"/>
              <w:left w:val="outset" w:sz="6" w:space="0" w:color="auto"/>
              <w:bottom w:val="outset" w:sz="6" w:space="0" w:color="auto"/>
            </w:tcBorders>
            <w:vAlign w:val="center"/>
          </w:tcPr>
          <w:p w:rsidR="004C0745" w:rsidRPr="00B3741D" w:rsidRDefault="004C0745" w:rsidP="00F55051">
            <w:pPr>
              <w:spacing w:before="75" w:after="75"/>
              <w:ind w:firstLine="375"/>
              <w:jc w:val="center"/>
            </w:pPr>
            <w:r w:rsidRPr="00B3741D">
              <w:t>0</w:t>
            </w:r>
          </w:p>
        </w:tc>
      </w:tr>
      <w:tr w:rsidR="004C0745" w:rsidRPr="00B3741D" w:rsidTr="004C0745">
        <w:trPr>
          <w:trHeight w:val="1503"/>
          <w:tblCellSpacing w:w="0" w:type="dxa"/>
        </w:trPr>
        <w:tc>
          <w:tcPr>
            <w:tcW w:w="9640" w:type="dxa"/>
            <w:gridSpan w:val="6"/>
            <w:tcBorders>
              <w:top w:val="outset" w:sz="6" w:space="0" w:color="auto"/>
            </w:tcBorders>
          </w:tcPr>
          <w:p w:rsidR="004C0745" w:rsidRPr="00B3741D" w:rsidRDefault="004C0745" w:rsidP="00F55051">
            <w:pPr>
              <w:spacing w:before="75" w:after="75"/>
            </w:pPr>
            <w:r w:rsidRPr="00B3741D">
              <w:t> 6. Detalizēts ieņēmumu un izdevu</w:t>
            </w:r>
            <w:r w:rsidRPr="00B3741D">
              <w:softHyphen/>
              <w:t>mu aprēķins (ja nepieciešams, detalizētu ieņēmumu un izdevumu aprēķinu var pievienot anotācijas pielikumā):</w:t>
            </w:r>
          </w:p>
          <w:p w:rsidR="004C0745" w:rsidRPr="00B3741D" w:rsidRDefault="004C0745" w:rsidP="00F55051">
            <w:pPr>
              <w:spacing w:before="75" w:after="75"/>
            </w:pPr>
            <w:r w:rsidRPr="00B3741D">
              <w:t> 6.1. detalizēts ieņēmumu aprēķins</w:t>
            </w:r>
          </w:p>
          <w:p w:rsidR="004C0745" w:rsidRPr="00B3741D" w:rsidRDefault="004C0745" w:rsidP="00F55051">
            <w:pPr>
              <w:spacing w:before="75" w:after="75"/>
            </w:pPr>
            <w:r w:rsidRPr="00B3741D">
              <w:t> 6.2. detalizēts izdevumu aprēķins</w:t>
            </w:r>
          </w:p>
        </w:tc>
      </w:tr>
      <w:tr w:rsidR="004C0745" w:rsidRPr="00B3741D" w:rsidTr="004C0745">
        <w:trPr>
          <w:tblCellSpacing w:w="0" w:type="dxa"/>
        </w:trPr>
        <w:tc>
          <w:tcPr>
            <w:tcW w:w="3296" w:type="dxa"/>
            <w:tcBorders>
              <w:top w:val="outset" w:sz="6" w:space="0" w:color="auto"/>
              <w:bottom w:val="outset" w:sz="6" w:space="0" w:color="auto"/>
              <w:right w:val="outset" w:sz="6" w:space="0" w:color="auto"/>
            </w:tcBorders>
          </w:tcPr>
          <w:p w:rsidR="004C0745" w:rsidRPr="00B3741D" w:rsidRDefault="004C0745" w:rsidP="00F55051">
            <w:pPr>
              <w:spacing w:before="75" w:after="75"/>
            </w:pPr>
            <w:r w:rsidRPr="00B3741D">
              <w:t> 7. Cita informācija</w:t>
            </w:r>
          </w:p>
        </w:tc>
        <w:tc>
          <w:tcPr>
            <w:tcW w:w="6344" w:type="dxa"/>
            <w:gridSpan w:val="5"/>
            <w:tcBorders>
              <w:top w:val="outset" w:sz="6" w:space="0" w:color="auto"/>
              <w:left w:val="outset" w:sz="6" w:space="0" w:color="auto"/>
              <w:bottom w:val="outset" w:sz="6" w:space="0" w:color="auto"/>
            </w:tcBorders>
          </w:tcPr>
          <w:p w:rsidR="003E3E81" w:rsidRDefault="004C0745" w:rsidP="003E3E81">
            <w:pPr>
              <w:autoSpaceDE w:val="0"/>
              <w:autoSpaceDN w:val="0"/>
              <w:adjustRightInd w:val="0"/>
              <w:jc w:val="both"/>
            </w:pPr>
            <w:r w:rsidRPr="00B3741D">
              <w:rPr>
                <w:snapToGrid w:val="0"/>
              </w:rPr>
              <w:t xml:space="preserve">Lai ēdienkartei katru dienu nodrošinātu enerģijas un uzturvielu </w:t>
            </w:r>
            <w:r w:rsidRPr="00B3741D">
              <w:rPr>
                <w:snapToGrid w:val="0"/>
              </w:rPr>
              <w:lastRenderedPageBreak/>
              <w:t xml:space="preserve">normu aprēķinu, administratīvais slogs nepalielināsies, līdz ar to nav sagaidāms, ka palielināsies izmaksas. Arī šobrīd ir spēkā </w:t>
            </w:r>
            <w:r w:rsidRPr="00B3741D">
              <w:rPr>
                <w:iCs/>
              </w:rPr>
              <w:t xml:space="preserve">Ministru kabineta 2002.gada 27.decembra noteikumi Nr.610 </w:t>
            </w:r>
            <w:r w:rsidRPr="00B3741D">
              <w:t>„</w:t>
            </w:r>
            <w:r w:rsidRPr="00B3741D">
              <w:rPr>
                <w:rStyle w:val="Strong"/>
                <w:b w:val="0"/>
              </w:rPr>
              <w:t xml:space="preserve">Higiēnas prasības vispārējās pamatizglītības, vispārējās vidējas izglītības un profesionālās izglītības iestādēm” un </w:t>
            </w:r>
            <w:r w:rsidRPr="00B3741D">
              <w:t xml:space="preserve">Ministru kabineta 2002.gada 27.decembra Ministru kabineta noteikumu Nr.596 „Higiēnas prasības izglītības iestādēm, kas īsteno pirmsskolas izglītības programmas” </w:t>
            </w:r>
            <w:r w:rsidRPr="00B3741D">
              <w:rPr>
                <w:iCs/>
              </w:rPr>
              <w:t xml:space="preserve">paredz, ka izglītības iestādes ēdināšanas bloka vadītājs, saskaņojot ar iestādes ārstniecības personu (ja tāda ir) vai iestādes vadītāju vai viņa pilnvarotu personu, izstrādā ēdienkarti vienai līdz divām nedēļām atbilstoši veselīga uztura principiem. </w:t>
            </w:r>
            <w:r w:rsidR="003E3E81">
              <w:rPr>
                <w:iCs/>
              </w:rPr>
              <w:t>Šīs normas ievērošanu</w:t>
            </w:r>
            <w:r w:rsidRPr="00B3741D">
              <w:t xml:space="preserve"> kontrolē Pārtikas un veterinārais dienests. </w:t>
            </w:r>
          </w:p>
          <w:p w:rsidR="004C0745" w:rsidRPr="00B3741D" w:rsidRDefault="004C0745" w:rsidP="003E3E81">
            <w:pPr>
              <w:autoSpaceDE w:val="0"/>
              <w:autoSpaceDN w:val="0"/>
              <w:adjustRightInd w:val="0"/>
              <w:jc w:val="both"/>
            </w:pPr>
            <w:r w:rsidRPr="00B3741D">
              <w:t xml:space="preserve">Ēdienkarti, kas atbilst veselīga uztura principiem nav iespējams sastādīt, neveicot </w:t>
            </w:r>
            <w:r w:rsidRPr="00B3741D">
              <w:rPr>
                <w:snapToGrid w:val="0"/>
              </w:rPr>
              <w:t xml:space="preserve">enerģijas un uzturvielu normu aprēķinu, jo tikai tādā veidā ir iespējams nodrošināt, ka uzturs ir sabalansēts un satur visas nepieciešamās uzturvielas pareizās proporcijās. Izglītības iestādēm bez maksas ir pieejami Veselības ministrijas metodiskie materiāli par sabalansētas ēdienkartes sastādīšanu. </w:t>
            </w:r>
          </w:p>
        </w:tc>
      </w:tr>
    </w:tbl>
    <w:p w:rsidR="004C0745" w:rsidRPr="00B3741D" w:rsidRDefault="004C0745" w:rsidP="003008C4">
      <w:pPr>
        <w:jc w:val="center"/>
        <w:rPr>
          <w:color w:val="000000"/>
          <w:sz w:val="28"/>
          <w:szCs w:val="28"/>
        </w:rPr>
      </w:pPr>
    </w:p>
    <w:p w:rsidR="00B10D55" w:rsidRPr="00B3741D" w:rsidRDefault="004C0745" w:rsidP="003008C4">
      <w:pPr>
        <w:jc w:val="center"/>
        <w:rPr>
          <w:bCs/>
          <w:color w:val="000000"/>
          <w:sz w:val="28"/>
          <w:szCs w:val="28"/>
        </w:rPr>
      </w:pPr>
      <w:r w:rsidRPr="00B3741D">
        <w:rPr>
          <w:color w:val="000000"/>
          <w:sz w:val="28"/>
          <w:szCs w:val="28"/>
        </w:rPr>
        <w:t>IV</w:t>
      </w:r>
      <w:r w:rsidR="008E7C48" w:rsidRPr="00B3741D">
        <w:rPr>
          <w:color w:val="000000"/>
          <w:sz w:val="28"/>
          <w:szCs w:val="28"/>
        </w:rPr>
        <w:t xml:space="preserve"> </w:t>
      </w:r>
      <w:r w:rsidR="003008C4" w:rsidRPr="00B3741D">
        <w:rPr>
          <w:color w:val="000000"/>
          <w:sz w:val="28"/>
          <w:szCs w:val="28"/>
        </w:rPr>
        <w:t>– V</w:t>
      </w:r>
      <w:r w:rsidR="003008C4" w:rsidRPr="00B3741D">
        <w:rPr>
          <w:bCs/>
          <w:color w:val="000000"/>
          <w:sz w:val="28"/>
          <w:szCs w:val="28"/>
        </w:rPr>
        <w:t xml:space="preserve"> </w:t>
      </w:r>
      <w:r w:rsidR="008E7C48" w:rsidRPr="00B3741D">
        <w:rPr>
          <w:bCs/>
          <w:color w:val="000000"/>
          <w:sz w:val="28"/>
          <w:szCs w:val="28"/>
        </w:rPr>
        <w:t>sadaļa - projekts š</w:t>
      </w:r>
      <w:r w:rsidR="00A874A5">
        <w:rPr>
          <w:bCs/>
          <w:color w:val="000000"/>
          <w:sz w:val="28"/>
          <w:szCs w:val="28"/>
        </w:rPr>
        <w:t>īs jomas</w:t>
      </w:r>
      <w:r w:rsidR="008E7C48" w:rsidRPr="00B3741D">
        <w:rPr>
          <w:bCs/>
          <w:color w:val="000000"/>
          <w:sz w:val="28"/>
          <w:szCs w:val="28"/>
        </w:rPr>
        <w:t xml:space="preserve"> neskar.</w:t>
      </w:r>
    </w:p>
    <w:p w:rsidR="008E7C48" w:rsidRPr="00B3741D" w:rsidRDefault="008E7C48" w:rsidP="006C4607">
      <w:pPr>
        <w:pStyle w:val="naisf"/>
        <w:spacing w:before="0" w:after="0"/>
        <w:jc w:val="center"/>
        <w:rPr>
          <w:b/>
        </w:rPr>
      </w:pPr>
    </w:p>
    <w:tbl>
      <w:tblPr>
        <w:tblW w:w="102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1"/>
        <w:gridCol w:w="2836"/>
        <w:gridCol w:w="6969"/>
      </w:tblGrid>
      <w:tr w:rsidR="00277929" w:rsidRPr="00B3741D" w:rsidTr="00FD2A8A">
        <w:trPr>
          <w:jc w:val="center"/>
        </w:trPr>
        <w:tc>
          <w:tcPr>
            <w:tcW w:w="10256" w:type="dxa"/>
            <w:gridSpan w:val="3"/>
          </w:tcPr>
          <w:p w:rsidR="00277929" w:rsidRPr="00B3741D" w:rsidRDefault="00277929" w:rsidP="007D099D">
            <w:pPr>
              <w:pStyle w:val="naisnod"/>
              <w:spacing w:before="0" w:after="0"/>
              <w:ind w:left="57" w:right="57"/>
            </w:pPr>
            <w:r w:rsidRPr="00B3741D">
              <w:t>VI</w:t>
            </w:r>
            <w:r w:rsidR="000941C5" w:rsidRPr="00B3741D">
              <w:t>.</w:t>
            </w:r>
            <w:r w:rsidRPr="00B3741D">
              <w:t xml:space="preserve"> Sabiedrības līdzdalība un šīs līdzdalības rezultāti</w:t>
            </w:r>
          </w:p>
        </w:tc>
      </w:tr>
      <w:tr w:rsidR="00183CC2" w:rsidRPr="00B3741D" w:rsidTr="005D1909">
        <w:trPr>
          <w:trHeight w:val="553"/>
          <w:jc w:val="center"/>
        </w:trPr>
        <w:tc>
          <w:tcPr>
            <w:tcW w:w="451" w:type="dxa"/>
          </w:tcPr>
          <w:p w:rsidR="00183CC2" w:rsidRPr="00B3741D" w:rsidRDefault="00183CC2" w:rsidP="007D099D">
            <w:pPr>
              <w:pStyle w:val="naiskr"/>
              <w:spacing w:before="0" w:after="0"/>
              <w:ind w:left="57" w:right="57"/>
              <w:rPr>
                <w:bCs/>
                <w:sz w:val="22"/>
                <w:szCs w:val="22"/>
              </w:rPr>
            </w:pPr>
            <w:r w:rsidRPr="00B3741D">
              <w:rPr>
                <w:bCs/>
                <w:sz w:val="22"/>
                <w:szCs w:val="22"/>
              </w:rPr>
              <w:t>1.</w:t>
            </w:r>
          </w:p>
        </w:tc>
        <w:tc>
          <w:tcPr>
            <w:tcW w:w="2836" w:type="dxa"/>
          </w:tcPr>
          <w:p w:rsidR="00183CC2" w:rsidRPr="00B3741D" w:rsidRDefault="00183CC2" w:rsidP="007D099D">
            <w:pPr>
              <w:pStyle w:val="naiskr"/>
              <w:tabs>
                <w:tab w:val="left" w:pos="170"/>
              </w:tabs>
              <w:spacing w:before="0" w:after="0"/>
              <w:ind w:left="57" w:right="57"/>
              <w:rPr>
                <w:sz w:val="22"/>
                <w:szCs w:val="22"/>
              </w:rPr>
            </w:pPr>
            <w:r w:rsidRPr="00B3741D">
              <w:rPr>
                <w:sz w:val="22"/>
                <w:szCs w:val="22"/>
              </w:rPr>
              <w:t>Sabiedrības informēšana par projekta izstrādes uzsākšanu</w:t>
            </w:r>
          </w:p>
        </w:tc>
        <w:tc>
          <w:tcPr>
            <w:tcW w:w="6969" w:type="dxa"/>
          </w:tcPr>
          <w:p w:rsidR="00183CC2" w:rsidRPr="00B3741D" w:rsidRDefault="00B37628" w:rsidP="005665D7">
            <w:pPr>
              <w:pStyle w:val="naiskr"/>
              <w:spacing w:before="0" w:after="0"/>
              <w:ind w:left="57" w:right="57"/>
              <w:jc w:val="both"/>
            </w:pPr>
            <w:r w:rsidRPr="00B3741D">
              <w:rPr>
                <w:iCs/>
              </w:rPr>
              <w:t xml:space="preserve">Izglītības iestāžu ēdinātājus un uztura speciālistus pārstāvošās sabiedriskās organizācijas tika informētas par </w:t>
            </w:r>
            <w:r w:rsidR="00F3689B" w:rsidRPr="00B3741D">
              <w:rPr>
                <w:iCs/>
              </w:rPr>
              <w:t xml:space="preserve">noteikumu </w:t>
            </w:r>
            <w:r w:rsidRPr="00B3741D">
              <w:rPr>
                <w:sz w:val="22"/>
                <w:szCs w:val="22"/>
              </w:rPr>
              <w:t xml:space="preserve">projekta izstrādes uzsākšanu sanāksmē </w:t>
            </w:r>
            <w:r w:rsidR="005665D7" w:rsidRPr="00B3741D">
              <w:rPr>
                <w:sz w:val="22"/>
                <w:szCs w:val="22"/>
              </w:rPr>
              <w:t>V</w:t>
            </w:r>
            <w:r w:rsidRPr="00B3741D">
              <w:rPr>
                <w:sz w:val="22"/>
                <w:szCs w:val="22"/>
              </w:rPr>
              <w:t>eselības ministrijā 2011.gada 22.jūnijā.</w:t>
            </w:r>
          </w:p>
        </w:tc>
      </w:tr>
      <w:tr w:rsidR="00277929" w:rsidRPr="00B3741D" w:rsidTr="005D1909">
        <w:trPr>
          <w:trHeight w:val="339"/>
          <w:jc w:val="center"/>
        </w:trPr>
        <w:tc>
          <w:tcPr>
            <w:tcW w:w="451" w:type="dxa"/>
          </w:tcPr>
          <w:p w:rsidR="00277929" w:rsidRPr="00B3741D" w:rsidRDefault="00183CC2" w:rsidP="007D099D">
            <w:pPr>
              <w:pStyle w:val="naiskr"/>
              <w:spacing w:before="0" w:after="0"/>
              <w:ind w:left="57" w:right="57"/>
              <w:rPr>
                <w:bCs/>
                <w:sz w:val="22"/>
                <w:szCs w:val="22"/>
              </w:rPr>
            </w:pPr>
            <w:r w:rsidRPr="00B3741D">
              <w:rPr>
                <w:bCs/>
                <w:sz w:val="22"/>
                <w:szCs w:val="22"/>
              </w:rPr>
              <w:t>2</w:t>
            </w:r>
            <w:r w:rsidR="00277929" w:rsidRPr="00B3741D">
              <w:rPr>
                <w:bCs/>
                <w:sz w:val="22"/>
                <w:szCs w:val="22"/>
              </w:rPr>
              <w:t>.</w:t>
            </w:r>
          </w:p>
        </w:tc>
        <w:tc>
          <w:tcPr>
            <w:tcW w:w="2836" w:type="dxa"/>
          </w:tcPr>
          <w:p w:rsidR="00277929" w:rsidRPr="00B3741D" w:rsidRDefault="00E179CD" w:rsidP="007D099D">
            <w:pPr>
              <w:pStyle w:val="naiskr"/>
              <w:spacing w:before="0" w:after="0"/>
              <w:ind w:left="57" w:right="57"/>
              <w:rPr>
                <w:sz w:val="22"/>
                <w:szCs w:val="22"/>
              </w:rPr>
            </w:pPr>
            <w:r w:rsidRPr="00B3741D">
              <w:rPr>
                <w:sz w:val="22"/>
                <w:szCs w:val="22"/>
              </w:rPr>
              <w:t>S</w:t>
            </w:r>
            <w:r w:rsidR="00DB073B" w:rsidRPr="00B3741D">
              <w:rPr>
                <w:sz w:val="22"/>
                <w:szCs w:val="22"/>
              </w:rPr>
              <w:t>abiedrības</w:t>
            </w:r>
            <w:r w:rsidR="00B73166" w:rsidRPr="00B3741D">
              <w:rPr>
                <w:sz w:val="22"/>
                <w:szCs w:val="22"/>
              </w:rPr>
              <w:t xml:space="preserve"> </w:t>
            </w:r>
            <w:r w:rsidR="00DB073B" w:rsidRPr="00B3741D">
              <w:rPr>
                <w:sz w:val="22"/>
                <w:szCs w:val="22"/>
              </w:rPr>
              <w:t>līdzdalība</w:t>
            </w:r>
            <w:r w:rsidR="00B73166" w:rsidRPr="00B3741D">
              <w:rPr>
                <w:sz w:val="22"/>
                <w:szCs w:val="22"/>
              </w:rPr>
              <w:t xml:space="preserve"> </w:t>
            </w:r>
            <w:r w:rsidR="00AB2B1A" w:rsidRPr="00B3741D">
              <w:rPr>
                <w:sz w:val="22"/>
                <w:szCs w:val="22"/>
              </w:rPr>
              <w:t>projekta izstrādē</w:t>
            </w:r>
            <w:r w:rsidR="00DB073B" w:rsidRPr="00B3741D">
              <w:rPr>
                <w:sz w:val="22"/>
                <w:szCs w:val="22"/>
              </w:rPr>
              <w:t xml:space="preserve"> </w:t>
            </w:r>
          </w:p>
        </w:tc>
        <w:tc>
          <w:tcPr>
            <w:tcW w:w="6969" w:type="dxa"/>
          </w:tcPr>
          <w:p w:rsidR="00CB795D" w:rsidRPr="00B3741D" w:rsidRDefault="00F3689B" w:rsidP="007D099D">
            <w:pPr>
              <w:pStyle w:val="naiskr"/>
              <w:spacing w:before="0" w:after="0"/>
              <w:ind w:left="57" w:right="57"/>
              <w:jc w:val="both"/>
              <w:rPr>
                <w:iCs/>
              </w:rPr>
            </w:pPr>
            <w:r w:rsidRPr="00B3741D">
              <w:rPr>
                <w:iCs/>
              </w:rPr>
              <w:t>Noteikumu p</w:t>
            </w:r>
            <w:r w:rsidR="00CB795D" w:rsidRPr="00B3741D">
              <w:rPr>
                <w:iCs/>
              </w:rPr>
              <w:t xml:space="preserve">rojekta izstrādē piedalījās pārstāvji no Izglītības iestāžu ēdinātāju asociācijas, kas </w:t>
            </w:r>
            <w:r w:rsidR="00D27AEA" w:rsidRPr="00B3741D">
              <w:rPr>
                <w:iCs/>
              </w:rPr>
              <w:t>iepriekš bija vairākkārt vērsušies Veselības ministrijā ar lūgumu risināt situāciju ar uztura normām izglītības iestādēm.</w:t>
            </w:r>
          </w:p>
          <w:p w:rsidR="00277929" w:rsidRPr="00B3741D" w:rsidRDefault="00D27AEA" w:rsidP="007D2AE0">
            <w:pPr>
              <w:pStyle w:val="naiskr"/>
              <w:spacing w:before="0" w:after="0"/>
              <w:ind w:left="57" w:right="57"/>
              <w:jc w:val="both"/>
              <w:rPr>
                <w:sz w:val="22"/>
                <w:szCs w:val="22"/>
              </w:rPr>
            </w:pPr>
            <w:r w:rsidRPr="00B3741D">
              <w:rPr>
                <w:iCs/>
              </w:rPr>
              <w:t xml:space="preserve">Pārstāvji no </w:t>
            </w:r>
            <w:r w:rsidR="00CB795D" w:rsidRPr="00B3741D">
              <w:rPr>
                <w:iCs/>
              </w:rPr>
              <w:t>Latvijas Diētas un uztura speciālistu asociācijas, Latvijas Diētas ārstu asociācijas</w:t>
            </w:r>
            <w:r w:rsidRPr="00B3741D">
              <w:rPr>
                <w:iCs/>
              </w:rPr>
              <w:t xml:space="preserve"> un</w:t>
            </w:r>
            <w:r w:rsidR="00CB795D" w:rsidRPr="00B3741D">
              <w:rPr>
                <w:iCs/>
              </w:rPr>
              <w:t xml:space="preserve"> Latvijas Uzturzinātnes </w:t>
            </w:r>
            <w:r w:rsidR="005665D7" w:rsidRPr="00B3741D">
              <w:rPr>
                <w:iCs/>
              </w:rPr>
              <w:t xml:space="preserve">speciālistu </w:t>
            </w:r>
            <w:r w:rsidR="00CB795D" w:rsidRPr="00B3741D">
              <w:rPr>
                <w:iCs/>
              </w:rPr>
              <w:t>biedrības</w:t>
            </w:r>
            <w:r w:rsidRPr="00B3741D">
              <w:rPr>
                <w:iCs/>
              </w:rPr>
              <w:t xml:space="preserve"> tika pieaicināti piedalīties </w:t>
            </w:r>
            <w:r w:rsidR="00F3689B" w:rsidRPr="00B3741D">
              <w:rPr>
                <w:iCs/>
              </w:rPr>
              <w:t xml:space="preserve">noteikumu </w:t>
            </w:r>
            <w:r w:rsidRPr="00B3741D">
              <w:rPr>
                <w:iCs/>
              </w:rPr>
              <w:t>projekta izstrādē, jo šīs organizācijas pārstāv uztura speciālistus un diētas ārstus. Konsultācijas notika ar biedrību „Dzīve bez glutēna”, jo šī organizācija pārstāv celiakijas slimniekus.</w:t>
            </w:r>
            <w:r w:rsidR="009F0D23" w:rsidRPr="00B3741D">
              <w:rPr>
                <w:iCs/>
              </w:rPr>
              <w:t xml:space="preserve"> Izmantotie līdzdalības veidi ir sanāksmes</w:t>
            </w:r>
            <w:r w:rsidR="007D2AE0" w:rsidRPr="00B3741D">
              <w:rPr>
                <w:iCs/>
              </w:rPr>
              <w:t xml:space="preserve"> un</w:t>
            </w:r>
            <w:r w:rsidR="009F0D23" w:rsidRPr="00B3741D">
              <w:rPr>
                <w:iCs/>
              </w:rPr>
              <w:t xml:space="preserve"> sarakste pa e-pastu.</w:t>
            </w:r>
          </w:p>
        </w:tc>
      </w:tr>
      <w:tr w:rsidR="00277929" w:rsidRPr="00B3741D" w:rsidTr="005D1909">
        <w:trPr>
          <w:trHeight w:val="375"/>
          <w:jc w:val="center"/>
        </w:trPr>
        <w:tc>
          <w:tcPr>
            <w:tcW w:w="451" w:type="dxa"/>
          </w:tcPr>
          <w:p w:rsidR="00277929" w:rsidRPr="00B3741D" w:rsidRDefault="00183CC2" w:rsidP="007D099D">
            <w:pPr>
              <w:pStyle w:val="naiskr"/>
              <w:spacing w:before="0" w:after="0"/>
              <w:ind w:left="57" w:right="57"/>
              <w:rPr>
                <w:bCs/>
                <w:sz w:val="22"/>
                <w:szCs w:val="22"/>
              </w:rPr>
            </w:pPr>
            <w:r w:rsidRPr="00B3741D">
              <w:rPr>
                <w:bCs/>
                <w:sz w:val="22"/>
                <w:szCs w:val="22"/>
              </w:rPr>
              <w:t>3</w:t>
            </w:r>
            <w:r w:rsidR="00277929" w:rsidRPr="00B3741D">
              <w:rPr>
                <w:bCs/>
                <w:sz w:val="22"/>
                <w:szCs w:val="22"/>
              </w:rPr>
              <w:t>.</w:t>
            </w:r>
          </w:p>
        </w:tc>
        <w:tc>
          <w:tcPr>
            <w:tcW w:w="2836" w:type="dxa"/>
          </w:tcPr>
          <w:p w:rsidR="00784422" w:rsidRPr="00B3741D" w:rsidRDefault="00DB78F0" w:rsidP="007D099D">
            <w:pPr>
              <w:pStyle w:val="naiskr"/>
              <w:spacing w:before="0" w:after="0"/>
              <w:ind w:left="57" w:right="57"/>
              <w:rPr>
                <w:sz w:val="22"/>
                <w:szCs w:val="22"/>
              </w:rPr>
            </w:pPr>
            <w:r w:rsidRPr="00B3741D">
              <w:rPr>
                <w:sz w:val="22"/>
                <w:szCs w:val="22"/>
              </w:rPr>
              <w:t xml:space="preserve">Sabiedrības līdzdalības rezultāti </w:t>
            </w:r>
          </w:p>
        </w:tc>
        <w:tc>
          <w:tcPr>
            <w:tcW w:w="6969" w:type="dxa"/>
          </w:tcPr>
          <w:p w:rsidR="009F0D23" w:rsidRPr="00B3741D" w:rsidRDefault="009F0D23" w:rsidP="00363CB8">
            <w:pPr>
              <w:pStyle w:val="naiskr"/>
              <w:spacing w:before="0" w:after="0"/>
              <w:ind w:left="57" w:right="57"/>
              <w:jc w:val="both"/>
              <w:rPr>
                <w:iCs/>
              </w:rPr>
            </w:pPr>
            <w:r w:rsidRPr="00B3741D">
              <w:rPr>
                <w:iCs/>
              </w:rPr>
              <w:t xml:space="preserve">Izglītības iestāžu ēdinātāju asociācija, Latvijas Diētas un uztura speciālistu asociācija, biedrība „Dzīve bez glutēna” </w:t>
            </w:r>
            <w:r w:rsidRPr="00B3741D">
              <w:t xml:space="preserve">atbalsta </w:t>
            </w:r>
            <w:r w:rsidR="00F3689B" w:rsidRPr="00B3741D">
              <w:t xml:space="preserve">noteikumu </w:t>
            </w:r>
            <w:r w:rsidRPr="00B3741D">
              <w:t>projektu tā izstrādātajā redakcijā.</w:t>
            </w:r>
          </w:p>
          <w:p w:rsidR="00277929" w:rsidRPr="00B3741D" w:rsidRDefault="009F0D23" w:rsidP="00363CB8">
            <w:pPr>
              <w:pStyle w:val="naiskr"/>
              <w:spacing w:before="0" w:after="0"/>
              <w:ind w:left="57" w:right="57"/>
              <w:jc w:val="both"/>
              <w:rPr>
                <w:iCs/>
              </w:rPr>
            </w:pPr>
            <w:r w:rsidRPr="00B3741D">
              <w:rPr>
                <w:iCs/>
              </w:rPr>
              <w:t xml:space="preserve">Latvijas Uzturzinātnes </w:t>
            </w:r>
            <w:r w:rsidR="005665D7" w:rsidRPr="00B3741D">
              <w:rPr>
                <w:iCs/>
              </w:rPr>
              <w:t xml:space="preserve">speciālistu </w:t>
            </w:r>
            <w:r w:rsidRPr="00B3741D">
              <w:rPr>
                <w:iCs/>
              </w:rPr>
              <w:t xml:space="preserve">biedrība </w:t>
            </w:r>
            <w:r w:rsidR="007649CE" w:rsidRPr="00B3741D">
              <w:rPr>
                <w:iCs/>
              </w:rPr>
              <w:t xml:space="preserve">daļēji atbalsta izstrādāto </w:t>
            </w:r>
            <w:r w:rsidR="00F3689B" w:rsidRPr="00B3741D">
              <w:rPr>
                <w:iCs/>
              </w:rPr>
              <w:t xml:space="preserve">noteikumu </w:t>
            </w:r>
            <w:r w:rsidR="007649CE" w:rsidRPr="00B3741D">
              <w:rPr>
                <w:iCs/>
              </w:rPr>
              <w:t>projektu, jo uzskata, ka ir nepieciešami stingrāki ierobežojumi izglītības iestādēs un ārstniecības iestādēs izplatāmajiem pārtikas produktiem.</w:t>
            </w:r>
            <w:r w:rsidR="003368F8" w:rsidRPr="00B3741D">
              <w:rPr>
                <w:iCs/>
              </w:rPr>
              <w:t xml:space="preserve"> </w:t>
            </w:r>
          </w:p>
          <w:p w:rsidR="00AE6411" w:rsidRPr="00B3741D" w:rsidRDefault="003368F8" w:rsidP="003E3E81">
            <w:pPr>
              <w:pStyle w:val="naisf"/>
              <w:spacing w:before="0" w:after="0"/>
              <w:ind w:left="57" w:firstLine="0"/>
            </w:pPr>
            <w:r w:rsidRPr="00B3741D">
              <w:t xml:space="preserve">Sabiedrības pārstāvju priekšlikumi maksimāli ir ņemti vērā </w:t>
            </w:r>
            <w:r w:rsidR="00F3689B" w:rsidRPr="00B3741D">
              <w:t xml:space="preserve">noteikumu </w:t>
            </w:r>
            <w:r w:rsidRPr="00B3741D">
              <w:t>projekta izstrādes procesā, panākot kompromisu starp izglītības iestāžu ēdinātāju pārstāvj</w:t>
            </w:r>
            <w:r w:rsidR="00B76C45" w:rsidRPr="00B3741D">
              <w:t>u</w:t>
            </w:r>
            <w:r w:rsidRPr="00B3741D">
              <w:t xml:space="preserve"> un uztura speciālist</w:t>
            </w:r>
            <w:r w:rsidR="00B76C45" w:rsidRPr="00B3741D">
              <w:t>u izvirzītajām prasībām</w:t>
            </w:r>
            <w:r w:rsidRPr="00B3741D">
              <w:t xml:space="preserve">. </w:t>
            </w:r>
          </w:p>
        </w:tc>
      </w:tr>
      <w:tr w:rsidR="00DE0B83" w:rsidRPr="00B3741D" w:rsidTr="005D1909">
        <w:trPr>
          <w:trHeight w:val="397"/>
          <w:jc w:val="center"/>
        </w:trPr>
        <w:tc>
          <w:tcPr>
            <w:tcW w:w="451" w:type="dxa"/>
          </w:tcPr>
          <w:p w:rsidR="00DE0B83" w:rsidRPr="00B3741D" w:rsidRDefault="00183CC2" w:rsidP="007D099D">
            <w:pPr>
              <w:pStyle w:val="naiskr"/>
              <w:spacing w:before="0" w:after="0"/>
              <w:ind w:left="57" w:right="57"/>
              <w:rPr>
                <w:bCs/>
                <w:sz w:val="22"/>
                <w:szCs w:val="22"/>
              </w:rPr>
            </w:pPr>
            <w:r w:rsidRPr="00B3741D">
              <w:rPr>
                <w:bCs/>
                <w:sz w:val="22"/>
                <w:szCs w:val="22"/>
              </w:rPr>
              <w:t>4</w:t>
            </w:r>
            <w:r w:rsidR="00DE0B83" w:rsidRPr="00B3741D">
              <w:rPr>
                <w:bCs/>
                <w:sz w:val="22"/>
                <w:szCs w:val="22"/>
              </w:rPr>
              <w:t>.</w:t>
            </w:r>
          </w:p>
        </w:tc>
        <w:tc>
          <w:tcPr>
            <w:tcW w:w="2836" w:type="dxa"/>
          </w:tcPr>
          <w:p w:rsidR="00DE0B83" w:rsidRPr="00B3741D" w:rsidRDefault="00DE0B83" w:rsidP="007D099D">
            <w:pPr>
              <w:pStyle w:val="naiskr"/>
              <w:spacing w:before="0" w:after="0"/>
              <w:ind w:left="57" w:right="57"/>
              <w:rPr>
                <w:sz w:val="22"/>
                <w:szCs w:val="22"/>
              </w:rPr>
            </w:pPr>
            <w:r w:rsidRPr="00B3741D">
              <w:rPr>
                <w:sz w:val="22"/>
                <w:szCs w:val="22"/>
              </w:rPr>
              <w:t>Saeimas un ekspertu līdzdalība</w:t>
            </w:r>
          </w:p>
        </w:tc>
        <w:tc>
          <w:tcPr>
            <w:tcW w:w="6969" w:type="dxa"/>
          </w:tcPr>
          <w:p w:rsidR="00DE0B83" w:rsidRPr="00B3741D" w:rsidRDefault="00780187" w:rsidP="007D099D">
            <w:pPr>
              <w:pStyle w:val="naiskr"/>
              <w:spacing w:before="0" w:after="0"/>
              <w:ind w:left="57" w:right="57"/>
              <w:jc w:val="both"/>
              <w:rPr>
                <w:sz w:val="22"/>
                <w:szCs w:val="22"/>
              </w:rPr>
            </w:pPr>
            <w:r w:rsidRPr="00B3741D">
              <w:t>Projekts šo jomu neskar.</w:t>
            </w:r>
          </w:p>
        </w:tc>
      </w:tr>
      <w:tr w:rsidR="00277929" w:rsidRPr="00B3741D" w:rsidTr="005D1909">
        <w:trPr>
          <w:trHeight w:val="476"/>
          <w:jc w:val="center"/>
        </w:trPr>
        <w:tc>
          <w:tcPr>
            <w:tcW w:w="451" w:type="dxa"/>
          </w:tcPr>
          <w:p w:rsidR="00277929" w:rsidRPr="00B3741D" w:rsidRDefault="00183CC2" w:rsidP="007D099D">
            <w:pPr>
              <w:pStyle w:val="naiskr"/>
              <w:spacing w:before="0" w:after="0"/>
              <w:ind w:left="57" w:right="57"/>
              <w:rPr>
                <w:bCs/>
                <w:sz w:val="22"/>
                <w:szCs w:val="22"/>
              </w:rPr>
            </w:pPr>
            <w:r w:rsidRPr="00B3741D">
              <w:rPr>
                <w:bCs/>
                <w:sz w:val="22"/>
                <w:szCs w:val="22"/>
              </w:rPr>
              <w:lastRenderedPageBreak/>
              <w:t>5</w:t>
            </w:r>
            <w:r w:rsidR="00277929" w:rsidRPr="00B3741D">
              <w:rPr>
                <w:bCs/>
                <w:sz w:val="22"/>
                <w:szCs w:val="22"/>
              </w:rPr>
              <w:t>.</w:t>
            </w:r>
          </w:p>
        </w:tc>
        <w:tc>
          <w:tcPr>
            <w:tcW w:w="2836" w:type="dxa"/>
          </w:tcPr>
          <w:p w:rsidR="00277929" w:rsidRPr="00B3741D" w:rsidRDefault="006C4607" w:rsidP="007D099D">
            <w:pPr>
              <w:pStyle w:val="naiskr"/>
              <w:spacing w:before="0" w:after="0"/>
              <w:ind w:left="57" w:right="57"/>
              <w:rPr>
                <w:sz w:val="22"/>
                <w:szCs w:val="22"/>
              </w:rPr>
            </w:pPr>
            <w:r w:rsidRPr="00B3741D">
              <w:rPr>
                <w:sz w:val="22"/>
                <w:szCs w:val="22"/>
              </w:rPr>
              <w:t>Cita informācija</w:t>
            </w:r>
          </w:p>
          <w:p w:rsidR="002F78C8" w:rsidRPr="00B3741D" w:rsidRDefault="002F78C8" w:rsidP="007D099D">
            <w:pPr>
              <w:pStyle w:val="naiskr"/>
              <w:spacing w:before="0" w:after="0"/>
              <w:ind w:left="57" w:right="57"/>
              <w:rPr>
                <w:sz w:val="22"/>
                <w:szCs w:val="22"/>
              </w:rPr>
            </w:pPr>
          </w:p>
        </w:tc>
        <w:tc>
          <w:tcPr>
            <w:tcW w:w="6969" w:type="dxa"/>
          </w:tcPr>
          <w:p w:rsidR="00845811" w:rsidRPr="00B3741D" w:rsidRDefault="00BB0A82" w:rsidP="007D099D">
            <w:pPr>
              <w:pStyle w:val="naiskr"/>
              <w:spacing w:before="0" w:after="0"/>
              <w:ind w:left="57" w:right="57"/>
              <w:jc w:val="both"/>
              <w:rPr>
                <w:sz w:val="22"/>
                <w:szCs w:val="22"/>
              </w:rPr>
            </w:pPr>
            <w:r w:rsidRPr="00B3741D">
              <w:rPr>
                <w:sz w:val="22"/>
                <w:szCs w:val="22"/>
              </w:rPr>
              <w:t>Nav</w:t>
            </w:r>
          </w:p>
        </w:tc>
      </w:tr>
    </w:tbl>
    <w:p w:rsidR="0015060C" w:rsidRPr="00B3741D" w:rsidRDefault="0015060C" w:rsidP="006C4607">
      <w:pPr>
        <w:pStyle w:val="naisf"/>
        <w:spacing w:before="0" w:after="0"/>
        <w:rPr>
          <w:sz w:val="28"/>
          <w:szCs w:val="28"/>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74"/>
        <w:gridCol w:w="2887"/>
        <w:gridCol w:w="7003"/>
      </w:tblGrid>
      <w:tr w:rsidR="0023436E" w:rsidRPr="00B3741D" w:rsidTr="00FD2A8A">
        <w:tc>
          <w:tcPr>
            <w:tcW w:w="10264" w:type="dxa"/>
            <w:gridSpan w:val="3"/>
            <w:tcBorders>
              <w:top w:val="single" w:sz="4" w:space="0" w:color="auto"/>
            </w:tcBorders>
          </w:tcPr>
          <w:p w:rsidR="0023436E" w:rsidRPr="00B3741D" w:rsidRDefault="0023436E" w:rsidP="007D099D">
            <w:pPr>
              <w:pStyle w:val="naisnod"/>
              <w:spacing w:before="0" w:after="0"/>
              <w:ind w:left="57" w:right="57"/>
            </w:pPr>
            <w:r w:rsidRPr="00B3741D">
              <w:t>VII</w:t>
            </w:r>
            <w:r w:rsidR="000941C5" w:rsidRPr="00B3741D">
              <w:t>.</w:t>
            </w:r>
            <w:r w:rsidRPr="00B3741D">
              <w:t xml:space="preserve"> Tiesību akta projekta izpildes nodrošināšana un tās ietekme uz institūcijām</w:t>
            </w:r>
          </w:p>
        </w:tc>
      </w:tr>
      <w:tr w:rsidR="0023436E" w:rsidRPr="00B3741D" w:rsidTr="005D1909">
        <w:trPr>
          <w:trHeight w:val="427"/>
        </w:trPr>
        <w:tc>
          <w:tcPr>
            <w:tcW w:w="374" w:type="dxa"/>
          </w:tcPr>
          <w:p w:rsidR="0023436E" w:rsidRPr="00B3741D" w:rsidRDefault="0023436E" w:rsidP="007D099D">
            <w:pPr>
              <w:pStyle w:val="naisnod"/>
              <w:spacing w:before="0" w:after="0"/>
              <w:ind w:left="57" w:right="57"/>
              <w:jc w:val="left"/>
              <w:rPr>
                <w:b w:val="0"/>
                <w:sz w:val="22"/>
                <w:szCs w:val="22"/>
              </w:rPr>
            </w:pPr>
            <w:r w:rsidRPr="00B3741D">
              <w:rPr>
                <w:b w:val="0"/>
                <w:sz w:val="22"/>
                <w:szCs w:val="22"/>
              </w:rPr>
              <w:t>1.</w:t>
            </w:r>
          </w:p>
        </w:tc>
        <w:tc>
          <w:tcPr>
            <w:tcW w:w="2887" w:type="dxa"/>
          </w:tcPr>
          <w:p w:rsidR="0023436E" w:rsidRPr="00B3741D" w:rsidRDefault="001A4066" w:rsidP="007D099D">
            <w:pPr>
              <w:pStyle w:val="naisf"/>
              <w:spacing w:before="0" w:after="0"/>
              <w:ind w:left="57" w:right="57" w:firstLine="0"/>
              <w:jc w:val="left"/>
              <w:rPr>
                <w:sz w:val="22"/>
                <w:szCs w:val="22"/>
              </w:rPr>
            </w:pPr>
            <w:r w:rsidRPr="00B3741D">
              <w:rPr>
                <w:sz w:val="22"/>
                <w:szCs w:val="22"/>
              </w:rPr>
              <w:t>P</w:t>
            </w:r>
            <w:r w:rsidR="0023436E" w:rsidRPr="00B3741D">
              <w:rPr>
                <w:sz w:val="22"/>
                <w:szCs w:val="22"/>
              </w:rPr>
              <w:t xml:space="preserve">rojekta izpildē iesaistītās institūcijas </w:t>
            </w:r>
          </w:p>
        </w:tc>
        <w:tc>
          <w:tcPr>
            <w:tcW w:w="7003" w:type="dxa"/>
          </w:tcPr>
          <w:p w:rsidR="0023436E" w:rsidRPr="00B3741D" w:rsidRDefault="00F422A1" w:rsidP="00BA62DA">
            <w:pPr>
              <w:pStyle w:val="naisnod"/>
              <w:spacing w:before="0" w:after="0"/>
              <w:ind w:left="57" w:right="57"/>
              <w:jc w:val="left"/>
              <w:rPr>
                <w:b w:val="0"/>
                <w:sz w:val="22"/>
                <w:szCs w:val="22"/>
              </w:rPr>
            </w:pPr>
            <w:r w:rsidRPr="00B3741D">
              <w:rPr>
                <w:b w:val="0"/>
              </w:rPr>
              <w:t xml:space="preserve">Vispārējās pamatizglītības, vispārējās vidējās izglītības, profesionālās izglītības iestādes, izglītības iestādes, kas īsteno pirmsskolas izglītības programmas, ilgstošas sociālās aprūpes un sociālās rehabilitācijas </w:t>
            </w:r>
            <w:r w:rsidR="000D5A18" w:rsidRPr="00B3741D">
              <w:rPr>
                <w:b w:val="0"/>
              </w:rPr>
              <w:t>institūcijas</w:t>
            </w:r>
            <w:r w:rsidRPr="00B3741D">
              <w:rPr>
                <w:b w:val="0"/>
              </w:rPr>
              <w:t xml:space="preserve">, ārstniecības iestādes, </w:t>
            </w:r>
            <w:r w:rsidR="00BA62DA" w:rsidRPr="00B3741D">
              <w:rPr>
                <w:b w:val="0"/>
              </w:rPr>
              <w:t>P</w:t>
            </w:r>
            <w:r w:rsidR="00BE311A" w:rsidRPr="00B3741D">
              <w:rPr>
                <w:b w:val="0"/>
                <w:iCs/>
              </w:rPr>
              <w:t>ārtikas un veterinārais dienests</w:t>
            </w:r>
          </w:p>
        </w:tc>
      </w:tr>
      <w:tr w:rsidR="0023436E" w:rsidRPr="00B3741D" w:rsidTr="005D1909">
        <w:trPr>
          <w:trHeight w:val="463"/>
        </w:trPr>
        <w:tc>
          <w:tcPr>
            <w:tcW w:w="374" w:type="dxa"/>
          </w:tcPr>
          <w:p w:rsidR="0023436E" w:rsidRPr="00B3741D" w:rsidRDefault="0023436E" w:rsidP="007D099D">
            <w:pPr>
              <w:pStyle w:val="naisnod"/>
              <w:spacing w:before="0" w:after="0"/>
              <w:ind w:left="57" w:right="57"/>
              <w:jc w:val="left"/>
              <w:rPr>
                <w:b w:val="0"/>
                <w:sz w:val="22"/>
                <w:szCs w:val="22"/>
              </w:rPr>
            </w:pPr>
            <w:r w:rsidRPr="00B3741D">
              <w:rPr>
                <w:b w:val="0"/>
                <w:sz w:val="22"/>
                <w:szCs w:val="22"/>
              </w:rPr>
              <w:t>2.</w:t>
            </w:r>
          </w:p>
        </w:tc>
        <w:tc>
          <w:tcPr>
            <w:tcW w:w="2887" w:type="dxa"/>
          </w:tcPr>
          <w:p w:rsidR="0023436E" w:rsidRPr="00B3741D" w:rsidRDefault="001A4066" w:rsidP="007D099D">
            <w:pPr>
              <w:pStyle w:val="naisf"/>
              <w:spacing w:before="0" w:after="0"/>
              <w:ind w:left="57" w:right="57" w:firstLine="0"/>
              <w:jc w:val="left"/>
              <w:rPr>
                <w:sz w:val="22"/>
                <w:szCs w:val="22"/>
              </w:rPr>
            </w:pPr>
            <w:r w:rsidRPr="00B3741D">
              <w:rPr>
                <w:sz w:val="22"/>
                <w:szCs w:val="22"/>
              </w:rPr>
              <w:t>Projekta i</w:t>
            </w:r>
            <w:r w:rsidR="0023436E" w:rsidRPr="00B3741D">
              <w:rPr>
                <w:sz w:val="22"/>
                <w:szCs w:val="22"/>
              </w:rPr>
              <w:t xml:space="preserve">zpildes ietekme uz pārvaldes funkcijām </w:t>
            </w:r>
          </w:p>
        </w:tc>
        <w:tc>
          <w:tcPr>
            <w:tcW w:w="7003" w:type="dxa"/>
          </w:tcPr>
          <w:p w:rsidR="0023436E" w:rsidRPr="00B3741D" w:rsidRDefault="00E12744" w:rsidP="00F3689B">
            <w:pPr>
              <w:pStyle w:val="naisnod"/>
              <w:spacing w:before="0" w:after="0"/>
              <w:ind w:left="113" w:right="57"/>
              <w:jc w:val="both"/>
              <w:rPr>
                <w:b w:val="0"/>
                <w:sz w:val="22"/>
                <w:szCs w:val="22"/>
              </w:rPr>
            </w:pPr>
            <w:r w:rsidRPr="00B3741D">
              <w:rPr>
                <w:b w:val="0"/>
              </w:rPr>
              <w:t>Projekts šo jomu neskar.</w:t>
            </w:r>
          </w:p>
        </w:tc>
      </w:tr>
      <w:tr w:rsidR="0023436E" w:rsidRPr="00B3741D" w:rsidTr="005D1909">
        <w:trPr>
          <w:trHeight w:val="725"/>
        </w:trPr>
        <w:tc>
          <w:tcPr>
            <w:tcW w:w="374" w:type="dxa"/>
          </w:tcPr>
          <w:p w:rsidR="0023436E" w:rsidRPr="00B3741D" w:rsidRDefault="0023436E" w:rsidP="007D099D">
            <w:pPr>
              <w:pStyle w:val="naisnod"/>
              <w:spacing w:before="0" w:after="0"/>
              <w:ind w:left="57" w:right="57"/>
              <w:jc w:val="left"/>
              <w:rPr>
                <w:b w:val="0"/>
                <w:sz w:val="22"/>
                <w:szCs w:val="22"/>
              </w:rPr>
            </w:pPr>
            <w:r w:rsidRPr="00B3741D">
              <w:rPr>
                <w:b w:val="0"/>
                <w:sz w:val="22"/>
                <w:szCs w:val="22"/>
              </w:rPr>
              <w:t>3.</w:t>
            </w:r>
          </w:p>
        </w:tc>
        <w:tc>
          <w:tcPr>
            <w:tcW w:w="2887" w:type="dxa"/>
          </w:tcPr>
          <w:p w:rsidR="0023436E" w:rsidRPr="00B3741D" w:rsidRDefault="001A4066" w:rsidP="007D099D">
            <w:pPr>
              <w:pStyle w:val="naisf"/>
              <w:spacing w:before="0" w:after="0"/>
              <w:ind w:left="57" w:right="57" w:firstLine="0"/>
              <w:jc w:val="left"/>
              <w:rPr>
                <w:sz w:val="22"/>
                <w:szCs w:val="22"/>
              </w:rPr>
            </w:pPr>
            <w:r w:rsidRPr="00B3741D">
              <w:rPr>
                <w:sz w:val="22"/>
                <w:szCs w:val="22"/>
              </w:rPr>
              <w:t>Projekta iz</w:t>
            </w:r>
            <w:r w:rsidR="0023436E" w:rsidRPr="00B3741D">
              <w:rPr>
                <w:sz w:val="22"/>
                <w:szCs w:val="22"/>
              </w:rPr>
              <w:t>pildes ietekme uz pārvaldes institucionālo struktūru.</w:t>
            </w:r>
          </w:p>
          <w:p w:rsidR="0023436E" w:rsidRPr="00B3741D" w:rsidRDefault="006C4607" w:rsidP="007D099D">
            <w:pPr>
              <w:pStyle w:val="naisf"/>
              <w:spacing w:before="0" w:after="0"/>
              <w:ind w:left="57" w:right="57" w:firstLine="0"/>
              <w:jc w:val="left"/>
              <w:rPr>
                <w:sz w:val="22"/>
                <w:szCs w:val="22"/>
              </w:rPr>
            </w:pPr>
            <w:r w:rsidRPr="00B3741D">
              <w:rPr>
                <w:sz w:val="22"/>
                <w:szCs w:val="22"/>
              </w:rPr>
              <w:t>Jaunu institūciju izveide</w:t>
            </w:r>
          </w:p>
        </w:tc>
        <w:tc>
          <w:tcPr>
            <w:tcW w:w="7003" w:type="dxa"/>
          </w:tcPr>
          <w:p w:rsidR="0023436E" w:rsidRPr="00B3741D" w:rsidRDefault="00780187" w:rsidP="007D099D">
            <w:pPr>
              <w:pStyle w:val="naisnod"/>
              <w:spacing w:before="0" w:after="0"/>
              <w:ind w:left="57" w:right="57"/>
              <w:jc w:val="left"/>
              <w:rPr>
                <w:b w:val="0"/>
                <w:sz w:val="22"/>
                <w:szCs w:val="22"/>
              </w:rPr>
            </w:pPr>
            <w:r w:rsidRPr="00B3741D">
              <w:rPr>
                <w:b w:val="0"/>
              </w:rPr>
              <w:t>Projekts šo jomu neskar.</w:t>
            </w:r>
          </w:p>
        </w:tc>
      </w:tr>
      <w:tr w:rsidR="0023436E" w:rsidRPr="00B3741D" w:rsidTr="005D1909">
        <w:trPr>
          <w:trHeight w:val="780"/>
        </w:trPr>
        <w:tc>
          <w:tcPr>
            <w:tcW w:w="374" w:type="dxa"/>
          </w:tcPr>
          <w:p w:rsidR="0023436E" w:rsidRPr="00B3741D" w:rsidRDefault="0023436E" w:rsidP="007D099D">
            <w:pPr>
              <w:pStyle w:val="naisnod"/>
              <w:spacing w:before="0" w:after="0"/>
              <w:ind w:left="57" w:right="57"/>
              <w:jc w:val="left"/>
              <w:rPr>
                <w:b w:val="0"/>
                <w:sz w:val="22"/>
                <w:szCs w:val="22"/>
              </w:rPr>
            </w:pPr>
            <w:r w:rsidRPr="00B3741D">
              <w:rPr>
                <w:b w:val="0"/>
                <w:sz w:val="22"/>
                <w:szCs w:val="22"/>
              </w:rPr>
              <w:t>4.</w:t>
            </w:r>
          </w:p>
        </w:tc>
        <w:tc>
          <w:tcPr>
            <w:tcW w:w="2887" w:type="dxa"/>
          </w:tcPr>
          <w:p w:rsidR="0023436E" w:rsidRPr="00B3741D" w:rsidRDefault="001A4066" w:rsidP="007D099D">
            <w:pPr>
              <w:pStyle w:val="naisf"/>
              <w:spacing w:before="0" w:after="0"/>
              <w:ind w:left="57" w:right="57" w:firstLine="0"/>
              <w:jc w:val="left"/>
              <w:rPr>
                <w:sz w:val="22"/>
                <w:szCs w:val="22"/>
              </w:rPr>
            </w:pPr>
            <w:r w:rsidRPr="00B3741D">
              <w:rPr>
                <w:sz w:val="22"/>
                <w:szCs w:val="22"/>
              </w:rPr>
              <w:t>Projekta i</w:t>
            </w:r>
            <w:r w:rsidR="0023436E" w:rsidRPr="00B3741D">
              <w:rPr>
                <w:sz w:val="22"/>
                <w:szCs w:val="22"/>
              </w:rPr>
              <w:t>zpildes ietekme uz pārvaldes institucionālo struktūru.</w:t>
            </w:r>
          </w:p>
          <w:p w:rsidR="0023436E" w:rsidRPr="00B3741D" w:rsidRDefault="006C4607" w:rsidP="007D099D">
            <w:pPr>
              <w:pStyle w:val="naisf"/>
              <w:spacing w:before="0" w:after="0"/>
              <w:ind w:left="57" w:right="57" w:firstLine="0"/>
              <w:jc w:val="left"/>
              <w:rPr>
                <w:sz w:val="22"/>
                <w:szCs w:val="22"/>
              </w:rPr>
            </w:pPr>
            <w:r w:rsidRPr="00B3741D">
              <w:rPr>
                <w:sz w:val="22"/>
                <w:szCs w:val="22"/>
              </w:rPr>
              <w:t>Esošu institūciju likvidācija</w:t>
            </w:r>
          </w:p>
        </w:tc>
        <w:tc>
          <w:tcPr>
            <w:tcW w:w="7003" w:type="dxa"/>
          </w:tcPr>
          <w:p w:rsidR="0023436E" w:rsidRPr="00B3741D" w:rsidRDefault="00780187" w:rsidP="007D099D">
            <w:pPr>
              <w:pStyle w:val="naisnod"/>
              <w:spacing w:before="0" w:after="0"/>
              <w:ind w:left="57" w:right="57"/>
              <w:jc w:val="left"/>
              <w:rPr>
                <w:b w:val="0"/>
                <w:sz w:val="22"/>
                <w:szCs w:val="22"/>
              </w:rPr>
            </w:pPr>
            <w:r w:rsidRPr="00B3741D">
              <w:rPr>
                <w:b w:val="0"/>
              </w:rPr>
              <w:t>Projekts šo jomu neskar.</w:t>
            </w:r>
          </w:p>
        </w:tc>
      </w:tr>
      <w:tr w:rsidR="0023436E" w:rsidRPr="00B3741D" w:rsidTr="005D1909">
        <w:trPr>
          <w:trHeight w:val="703"/>
        </w:trPr>
        <w:tc>
          <w:tcPr>
            <w:tcW w:w="374" w:type="dxa"/>
          </w:tcPr>
          <w:p w:rsidR="0023436E" w:rsidRPr="00B3741D" w:rsidRDefault="0023436E" w:rsidP="007D099D">
            <w:pPr>
              <w:pStyle w:val="naisnod"/>
              <w:spacing w:before="0" w:after="0"/>
              <w:ind w:left="57" w:right="57"/>
              <w:jc w:val="left"/>
              <w:rPr>
                <w:b w:val="0"/>
                <w:sz w:val="22"/>
                <w:szCs w:val="22"/>
              </w:rPr>
            </w:pPr>
            <w:r w:rsidRPr="00B3741D">
              <w:rPr>
                <w:b w:val="0"/>
                <w:sz w:val="22"/>
                <w:szCs w:val="22"/>
              </w:rPr>
              <w:t>5.</w:t>
            </w:r>
          </w:p>
        </w:tc>
        <w:tc>
          <w:tcPr>
            <w:tcW w:w="2887" w:type="dxa"/>
          </w:tcPr>
          <w:p w:rsidR="0023436E" w:rsidRPr="00B3741D" w:rsidRDefault="001A4066" w:rsidP="007D099D">
            <w:pPr>
              <w:pStyle w:val="naisf"/>
              <w:spacing w:before="0" w:after="0"/>
              <w:ind w:left="57" w:right="57" w:firstLine="0"/>
              <w:jc w:val="left"/>
              <w:rPr>
                <w:sz w:val="22"/>
                <w:szCs w:val="22"/>
              </w:rPr>
            </w:pPr>
            <w:r w:rsidRPr="00B3741D">
              <w:rPr>
                <w:sz w:val="22"/>
                <w:szCs w:val="22"/>
              </w:rPr>
              <w:t>Projekta i</w:t>
            </w:r>
            <w:r w:rsidR="0023436E" w:rsidRPr="00B3741D">
              <w:rPr>
                <w:sz w:val="22"/>
                <w:szCs w:val="22"/>
              </w:rPr>
              <w:t>zpildes ietekme uz pārvaldes institucionālo struktūru.</w:t>
            </w:r>
          </w:p>
          <w:p w:rsidR="0023436E" w:rsidRPr="00B3741D" w:rsidRDefault="0023436E" w:rsidP="007D099D">
            <w:pPr>
              <w:pStyle w:val="naisf"/>
              <w:spacing w:before="0" w:after="0"/>
              <w:ind w:left="57" w:right="57" w:firstLine="0"/>
              <w:jc w:val="left"/>
              <w:rPr>
                <w:sz w:val="22"/>
                <w:szCs w:val="22"/>
              </w:rPr>
            </w:pPr>
            <w:r w:rsidRPr="00B3741D">
              <w:rPr>
                <w:sz w:val="22"/>
                <w:szCs w:val="22"/>
              </w:rPr>
              <w:t>Esošu institūciju reorganizācija</w:t>
            </w:r>
          </w:p>
        </w:tc>
        <w:tc>
          <w:tcPr>
            <w:tcW w:w="7003" w:type="dxa"/>
          </w:tcPr>
          <w:p w:rsidR="0023436E" w:rsidRPr="00B3741D" w:rsidRDefault="00780187" w:rsidP="007D099D">
            <w:pPr>
              <w:pStyle w:val="naisnod"/>
              <w:spacing w:before="0" w:after="0"/>
              <w:ind w:left="57" w:right="57"/>
              <w:jc w:val="left"/>
              <w:rPr>
                <w:b w:val="0"/>
                <w:sz w:val="22"/>
                <w:szCs w:val="22"/>
              </w:rPr>
            </w:pPr>
            <w:r w:rsidRPr="00B3741D">
              <w:rPr>
                <w:b w:val="0"/>
              </w:rPr>
              <w:t>Projekts šo jomu neskar.</w:t>
            </w:r>
          </w:p>
        </w:tc>
      </w:tr>
      <w:tr w:rsidR="0023436E" w:rsidRPr="00B3741D" w:rsidTr="005D1909">
        <w:trPr>
          <w:trHeight w:val="476"/>
        </w:trPr>
        <w:tc>
          <w:tcPr>
            <w:tcW w:w="374" w:type="dxa"/>
          </w:tcPr>
          <w:p w:rsidR="0023436E" w:rsidRPr="00B3741D" w:rsidRDefault="00F63DAC" w:rsidP="007D099D">
            <w:pPr>
              <w:pStyle w:val="naiskr"/>
              <w:spacing w:before="0" w:after="0"/>
              <w:ind w:left="57" w:right="57"/>
              <w:rPr>
                <w:sz w:val="22"/>
                <w:szCs w:val="22"/>
              </w:rPr>
            </w:pPr>
            <w:r w:rsidRPr="00B3741D">
              <w:rPr>
                <w:sz w:val="22"/>
                <w:szCs w:val="22"/>
              </w:rPr>
              <w:t>6</w:t>
            </w:r>
            <w:r w:rsidR="0023436E" w:rsidRPr="00B3741D">
              <w:rPr>
                <w:sz w:val="22"/>
                <w:szCs w:val="22"/>
              </w:rPr>
              <w:t>.</w:t>
            </w:r>
          </w:p>
        </w:tc>
        <w:tc>
          <w:tcPr>
            <w:tcW w:w="2887" w:type="dxa"/>
          </w:tcPr>
          <w:p w:rsidR="0023436E" w:rsidRPr="00B3741D" w:rsidRDefault="006C4607" w:rsidP="007D099D">
            <w:pPr>
              <w:pStyle w:val="naiskr"/>
              <w:spacing w:before="0" w:after="0"/>
              <w:ind w:left="57" w:right="57"/>
              <w:rPr>
                <w:sz w:val="22"/>
                <w:szCs w:val="22"/>
              </w:rPr>
            </w:pPr>
            <w:r w:rsidRPr="00B3741D">
              <w:rPr>
                <w:sz w:val="22"/>
                <w:szCs w:val="22"/>
              </w:rPr>
              <w:t>Cita informācija</w:t>
            </w:r>
          </w:p>
        </w:tc>
        <w:tc>
          <w:tcPr>
            <w:tcW w:w="7003" w:type="dxa"/>
          </w:tcPr>
          <w:p w:rsidR="0023436E" w:rsidRPr="00B3741D" w:rsidRDefault="00B10D55" w:rsidP="007D099D">
            <w:pPr>
              <w:pStyle w:val="naiskr"/>
              <w:spacing w:before="0" w:after="0"/>
              <w:ind w:left="57" w:right="57"/>
              <w:rPr>
                <w:sz w:val="22"/>
                <w:szCs w:val="22"/>
              </w:rPr>
            </w:pPr>
            <w:r w:rsidRPr="00B3741D">
              <w:rPr>
                <w:iCs/>
                <w:sz w:val="22"/>
                <w:szCs w:val="22"/>
              </w:rPr>
              <w:t>Nav.</w:t>
            </w:r>
          </w:p>
        </w:tc>
      </w:tr>
    </w:tbl>
    <w:p w:rsidR="00214094" w:rsidRPr="00B3741D" w:rsidRDefault="00214094" w:rsidP="006C4607">
      <w:pPr>
        <w:pStyle w:val="naisf"/>
        <w:tabs>
          <w:tab w:val="left" w:pos="5760"/>
        </w:tabs>
        <w:spacing w:before="0" w:after="0"/>
        <w:ind w:firstLine="720"/>
        <w:rPr>
          <w:sz w:val="28"/>
          <w:szCs w:val="28"/>
        </w:rPr>
      </w:pPr>
    </w:p>
    <w:p w:rsidR="004B3A30" w:rsidRDefault="004B3A30" w:rsidP="00491388">
      <w:pPr>
        <w:pStyle w:val="Heading5"/>
        <w:spacing w:before="0" w:after="0"/>
        <w:ind w:left="567"/>
        <w:rPr>
          <w:b w:val="0"/>
          <w:i w:val="0"/>
          <w:sz w:val="28"/>
          <w:szCs w:val="28"/>
        </w:rPr>
      </w:pPr>
    </w:p>
    <w:p w:rsidR="00491388" w:rsidRPr="00B3741D" w:rsidRDefault="00491388" w:rsidP="00491388">
      <w:pPr>
        <w:pStyle w:val="Heading5"/>
        <w:spacing w:before="0" w:after="0"/>
        <w:ind w:left="567"/>
        <w:rPr>
          <w:b w:val="0"/>
          <w:i w:val="0"/>
          <w:sz w:val="28"/>
          <w:szCs w:val="28"/>
        </w:rPr>
      </w:pPr>
      <w:r w:rsidRPr="00B3741D">
        <w:rPr>
          <w:b w:val="0"/>
          <w:i w:val="0"/>
          <w:sz w:val="28"/>
          <w:szCs w:val="28"/>
        </w:rPr>
        <w:t>Veselības ministre</w:t>
      </w:r>
      <w:r w:rsidRPr="00B3741D">
        <w:rPr>
          <w:b w:val="0"/>
          <w:i w:val="0"/>
          <w:sz w:val="28"/>
          <w:szCs w:val="28"/>
        </w:rPr>
        <w:tab/>
      </w:r>
      <w:r w:rsidRPr="00B3741D">
        <w:rPr>
          <w:b w:val="0"/>
          <w:i w:val="0"/>
          <w:sz w:val="28"/>
          <w:szCs w:val="28"/>
        </w:rPr>
        <w:tab/>
      </w:r>
      <w:r w:rsidRPr="00B3741D">
        <w:rPr>
          <w:b w:val="0"/>
          <w:i w:val="0"/>
          <w:sz w:val="28"/>
          <w:szCs w:val="28"/>
        </w:rPr>
        <w:tab/>
      </w:r>
      <w:r w:rsidRPr="00B3741D">
        <w:rPr>
          <w:b w:val="0"/>
          <w:i w:val="0"/>
          <w:sz w:val="28"/>
          <w:szCs w:val="28"/>
        </w:rPr>
        <w:tab/>
        <w:t xml:space="preserve">                     I.Circene</w:t>
      </w:r>
    </w:p>
    <w:p w:rsidR="00C13EC5" w:rsidRPr="00B3741D" w:rsidRDefault="00C13EC5" w:rsidP="00C13EC5">
      <w:pPr>
        <w:rPr>
          <w:lang w:eastAsia="en-US"/>
        </w:rPr>
      </w:pPr>
    </w:p>
    <w:p w:rsidR="00DD0DE1" w:rsidRPr="00B3741D" w:rsidRDefault="00DD0DE1" w:rsidP="00C13EC5">
      <w:pPr>
        <w:rPr>
          <w:lang w:eastAsia="en-US"/>
        </w:rPr>
      </w:pPr>
    </w:p>
    <w:p w:rsidR="00153ACE" w:rsidRPr="00B3741D" w:rsidRDefault="00153ACE" w:rsidP="00C13EC5">
      <w:pPr>
        <w:rPr>
          <w:lang w:eastAsia="en-US"/>
        </w:rPr>
      </w:pPr>
    </w:p>
    <w:p w:rsidR="00153ACE" w:rsidRPr="00B3741D" w:rsidRDefault="00153ACE" w:rsidP="00C13EC5">
      <w:pPr>
        <w:rPr>
          <w:lang w:eastAsia="en-US"/>
        </w:rPr>
      </w:pPr>
    </w:p>
    <w:p w:rsidR="00153ACE" w:rsidRPr="00B3741D" w:rsidRDefault="00153ACE" w:rsidP="00C13EC5">
      <w:pPr>
        <w:rPr>
          <w:lang w:eastAsia="en-US"/>
        </w:rPr>
      </w:pPr>
    </w:p>
    <w:p w:rsidR="00153ACE" w:rsidRPr="00B3741D" w:rsidRDefault="00153ACE" w:rsidP="00C13EC5">
      <w:pPr>
        <w:rPr>
          <w:lang w:eastAsia="en-US"/>
        </w:rPr>
      </w:pPr>
    </w:p>
    <w:p w:rsidR="00153ACE" w:rsidRPr="00B3741D" w:rsidRDefault="00153ACE" w:rsidP="00C13EC5">
      <w:pPr>
        <w:rPr>
          <w:lang w:eastAsia="en-US"/>
        </w:rPr>
      </w:pPr>
    </w:p>
    <w:p w:rsidR="00153ACE" w:rsidRDefault="00153ACE" w:rsidP="00C13EC5">
      <w:pPr>
        <w:rPr>
          <w:lang w:eastAsia="en-US"/>
        </w:rPr>
      </w:pPr>
    </w:p>
    <w:p w:rsidR="004B3A30" w:rsidRDefault="004B3A30" w:rsidP="00C13EC5">
      <w:pPr>
        <w:rPr>
          <w:lang w:eastAsia="en-US"/>
        </w:rPr>
      </w:pPr>
    </w:p>
    <w:p w:rsidR="004B3A30" w:rsidRDefault="004B3A30" w:rsidP="00C13EC5">
      <w:pPr>
        <w:rPr>
          <w:lang w:eastAsia="en-US"/>
        </w:rPr>
      </w:pPr>
    </w:p>
    <w:p w:rsidR="004B3A30" w:rsidRDefault="004B3A30" w:rsidP="00C13EC5">
      <w:pPr>
        <w:rPr>
          <w:lang w:eastAsia="en-US"/>
        </w:rPr>
      </w:pPr>
    </w:p>
    <w:p w:rsidR="004B3A30" w:rsidRPr="00B3741D" w:rsidRDefault="004B3A30" w:rsidP="00C13EC5">
      <w:pPr>
        <w:rPr>
          <w:lang w:eastAsia="en-US"/>
        </w:rPr>
      </w:pPr>
    </w:p>
    <w:p w:rsidR="002D6C8C" w:rsidRPr="00B3741D" w:rsidRDefault="002D6C8C" w:rsidP="00C13EC5">
      <w:pPr>
        <w:rPr>
          <w:lang w:eastAsia="en-US"/>
        </w:rPr>
      </w:pPr>
    </w:p>
    <w:p w:rsidR="002D6C8C" w:rsidRPr="00B3741D" w:rsidRDefault="002D6C8C" w:rsidP="00C13EC5">
      <w:pPr>
        <w:rPr>
          <w:lang w:eastAsia="en-US"/>
        </w:rPr>
      </w:pPr>
    </w:p>
    <w:p w:rsidR="002D6C8C" w:rsidRPr="00B3741D" w:rsidRDefault="002D6C8C" w:rsidP="00C13EC5">
      <w:pPr>
        <w:rPr>
          <w:lang w:eastAsia="en-US"/>
        </w:rPr>
      </w:pPr>
    </w:p>
    <w:p w:rsidR="00C13EC5" w:rsidRPr="00322E53" w:rsidRDefault="00C74833" w:rsidP="00C13EC5">
      <w:pPr>
        <w:rPr>
          <w:sz w:val="22"/>
          <w:szCs w:val="22"/>
        </w:rPr>
      </w:pPr>
      <w:r w:rsidRPr="00322E53">
        <w:rPr>
          <w:sz w:val="22"/>
          <w:szCs w:val="22"/>
          <w:lang w:eastAsia="en-US"/>
        </w:rPr>
        <w:t>0</w:t>
      </w:r>
      <w:r w:rsidR="00A874A5">
        <w:rPr>
          <w:sz w:val="22"/>
          <w:szCs w:val="22"/>
          <w:lang w:eastAsia="en-US"/>
        </w:rPr>
        <w:t>5</w:t>
      </w:r>
      <w:r w:rsidR="00C13EC5" w:rsidRPr="00322E53">
        <w:rPr>
          <w:sz w:val="22"/>
          <w:szCs w:val="22"/>
        </w:rPr>
        <w:t>.</w:t>
      </w:r>
      <w:r w:rsidRPr="00322E53">
        <w:rPr>
          <w:sz w:val="22"/>
          <w:szCs w:val="22"/>
        </w:rPr>
        <w:t>01.2012</w:t>
      </w:r>
      <w:r w:rsidR="00A874A5">
        <w:rPr>
          <w:sz w:val="22"/>
          <w:szCs w:val="22"/>
        </w:rPr>
        <w:t>. 13</w:t>
      </w:r>
      <w:r w:rsidR="00517891" w:rsidRPr="00322E53">
        <w:rPr>
          <w:sz w:val="22"/>
          <w:szCs w:val="22"/>
        </w:rPr>
        <w:t>:</w:t>
      </w:r>
      <w:r w:rsidR="00A874A5">
        <w:rPr>
          <w:sz w:val="22"/>
          <w:szCs w:val="22"/>
        </w:rPr>
        <w:t>30</w:t>
      </w:r>
    </w:p>
    <w:p w:rsidR="00C13EC5" w:rsidRPr="00322E53" w:rsidRDefault="00054F37" w:rsidP="00C13EC5">
      <w:pPr>
        <w:rPr>
          <w:sz w:val="22"/>
          <w:szCs w:val="22"/>
        </w:rPr>
      </w:pPr>
      <w:r w:rsidRPr="00322E53">
        <w:rPr>
          <w:sz w:val="22"/>
          <w:szCs w:val="22"/>
        </w:rPr>
        <w:t>2433</w:t>
      </w:r>
    </w:p>
    <w:p w:rsidR="00C13EC5" w:rsidRPr="00322E53" w:rsidRDefault="00C13EC5" w:rsidP="00C13EC5">
      <w:pPr>
        <w:rPr>
          <w:sz w:val="22"/>
          <w:szCs w:val="22"/>
        </w:rPr>
      </w:pPr>
      <w:r w:rsidRPr="00322E53">
        <w:rPr>
          <w:sz w:val="22"/>
          <w:szCs w:val="22"/>
        </w:rPr>
        <w:t>I.Straume</w:t>
      </w:r>
    </w:p>
    <w:p w:rsidR="00C13EC5" w:rsidRPr="00322E53" w:rsidRDefault="00C13EC5" w:rsidP="00C13EC5">
      <w:pPr>
        <w:rPr>
          <w:sz w:val="22"/>
          <w:szCs w:val="22"/>
          <w:lang w:eastAsia="en-US"/>
        </w:rPr>
      </w:pPr>
      <w:r w:rsidRPr="00322E53">
        <w:rPr>
          <w:sz w:val="22"/>
          <w:szCs w:val="22"/>
        </w:rPr>
        <w:t>67876076, Ilze.Straume@vm.gov.lv</w:t>
      </w:r>
    </w:p>
    <w:p w:rsidR="00BF40ED" w:rsidRPr="007C0F2C" w:rsidRDefault="00BF40ED" w:rsidP="006C4607">
      <w:pPr>
        <w:pStyle w:val="naisf"/>
        <w:tabs>
          <w:tab w:val="left" w:pos="6804"/>
        </w:tabs>
        <w:spacing w:before="0" w:after="0"/>
        <w:ind w:firstLine="720"/>
        <w:rPr>
          <w:sz w:val="28"/>
          <w:szCs w:val="28"/>
        </w:rPr>
      </w:pPr>
    </w:p>
    <w:sectPr w:rsidR="00BF40ED" w:rsidRPr="007C0F2C" w:rsidSect="00C31E36">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8DA" w:rsidRDefault="008268DA">
      <w:r>
        <w:separator/>
      </w:r>
    </w:p>
  </w:endnote>
  <w:endnote w:type="continuationSeparator" w:id="0">
    <w:p w:rsidR="008268DA" w:rsidRDefault="00826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8DA" w:rsidRPr="00A97A7C" w:rsidRDefault="00A874A5" w:rsidP="00F0508F">
    <w:pPr>
      <w:jc w:val="both"/>
      <w:rPr>
        <w:sz w:val="20"/>
        <w:szCs w:val="20"/>
      </w:rPr>
    </w:pPr>
    <w:r>
      <w:rPr>
        <w:sz w:val="20"/>
        <w:szCs w:val="20"/>
      </w:rPr>
      <w:t>VMAnot_05</w:t>
    </w:r>
    <w:r w:rsidR="00C74833">
      <w:rPr>
        <w:sz w:val="20"/>
        <w:szCs w:val="20"/>
      </w:rPr>
      <w:t>0112</w:t>
    </w:r>
    <w:r w:rsidR="008268DA" w:rsidRPr="00C347CC">
      <w:rPr>
        <w:sz w:val="20"/>
        <w:szCs w:val="20"/>
      </w:rPr>
      <w:t xml:space="preserve">; </w:t>
    </w:r>
    <w:r w:rsidR="008268DA" w:rsidRPr="003D7B04">
      <w:rPr>
        <w:sz w:val="20"/>
        <w:szCs w:val="20"/>
      </w:rPr>
      <w:t>Ministru kabineta noteikumu projekt</w:t>
    </w:r>
    <w:r w:rsidR="008268DA">
      <w:rPr>
        <w:sz w:val="20"/>
        <w:szCs w:val="20"/>
      </w:rPr>
      <w:t>a</w:t>
    </w:r>
    <w:r w:rsidR="008268DA" w:rsidRPr="003D7B04">
      <w:rPr>
        <w:sz w:val="20"/>
        <w:szCs w:val="20"/>
      </w:rPr>
      <w:t xml:space="preserve"> “Uztura normas izglītības iestāžu izglītojamiem, sociālās aprūpes un sociālās rehabilitācijas institūciju klientiem un ārstniecības iestāžu pacientiem”</w:t>
    </w:r>
    <w:r w:rsidR="008268DA">
      <w:rPr>
        <w:sz w:val="20"/>
        <w:szCs w:val="20"/>
      </w:rPr>
      <w:t xml:space="preserve"> </w:t>
    </w:r>
    <w:r w:rsidR="008268DA" w:rsidRPr="005A32AC">
      <w:rPr>
        <w:bCs/>
        <w:sz w:val="20"/>
        <w:szCs w:val="20"/>
      </w:rPr>
      <w:t>sākotnējās ietekmes novērtējuma ziņojums (anotācija)</w:t>
    </w:r>
    <w:r w:rsidR="008268DA">
      <w:rPr>
        <w:bCs/>
        <w:sz w:val="20"/>
        <w:szCs w:val="20"/>
      </w:rPr>
      <w:t xml:space="preserve"> </w:t>
    </w:r>
    <w:r w:rsidR="008268DA">
      <w:rPr>
        <w:sz w:val="22"/>
        <w:szCs w:val="22"/>
      </w:rPr>
      <w:t xml:space="preserve">(VSS-1164) </w:t>
    </w:r>
  </w:p>
  <w:p w:rsidR="008268DA" w:rsidRDefault="008268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8DA" w:rsidRPr="00A97A7C" w:rsidRDefault="008268DA" w:rsidP="00F0508F">
    <w:pPr>
      <w:jc w:val="both"/>
      <w:rPr>
        <w:sz w:val="20"/>
        <w:szCs w:val="20"/>
      </w:rPr>
    </w:pPr>
    <w:r>
      <w:rPr>
        <w:sz w:val="20"/>
        <w:szCs w:val="20"/>
      </w:rPr>
      <w:t>VMAnot_</w:t>
    </w:r>
    <w:r w:rsidR="00C74833">
      <w:rPr>
        <w:sz w:val="20"/>
        <w:szCs w:val="20"/>
      </w:rPr>
      <w:t>0</w:t>
    </w:r>
    <w:r w:rsidR="00A874A5">
      <w:rPr>
        <w:sz w:val="20"/>
        <w:szCs w:val="20"/>
      </w:rPr>
      <w:t>5</w:t>
    </w:r>
    <w:r w:rsidR="00C74833">
      <w:rPr>
        <w:sz w:val="20"/>
        <w:szCs w:val="20"/>
      </w:rPr>
      <w:t>0112</w:t>
    </w:r>
    <w:r w:rsidRPr="00C347CC">
      <w:rPr>
        <w:sz w:val="20"/>
        <w:szCs w:val="20"/>
      </w:rPr>
      <w:t xml:space="preserve">; </w:t>
    </w:r>
    <w:r w:rsidRPr="003D7B04">
      <w:rPr>
        <w:sz w:val="20"/>
        <w:szCs w:val="20"/>
      </w:rPr>
      <w:t>Ministru kabineta noteikumu projekt</w:t>
    </w:r>
    <w:r>
      <w:rPr>
        <w:sz w:val="20"/>
        <w:szCs w:val="20"/>
      </w:rPr>
      <w:t>a</w:t>
    </w:r>
    <w:r w:rsidRPr="003D7B04">
      <w:rPr>
        <w:sz w:val="20"/>
        <w:szCs w:val="20"/>
      </w:rPr>
      <w:t xml:space="preserve"> “Uztura normas izglītības iestāžu izglītojamiem, sociālās aprūpes un sociālās rehabilitācijas institūciju klientiem un ārstniecības iestāžu pacientiem”</w:t>
    </w:r>
    <w:r>
      <w:rPr>
        <w:sz w:val="20"/>
        <w:szCs w:val="20"/>
      </w:rPr>
      <w:t xml:space="preserve"> </w:t>
    </w:r>
    <w:r w:rsidRPr="005A32AC">
      <w:rPr>
        <w:bCs/>
        <w:sz w:val="20"/>
        <w:szCs w:val="20"/>
      </w:rPr>
      <w:t>sākotnējās ietekmes novērtējuma ziņojums (anotācija)</w:t>
    </w:r>
    <w:r>
      <w:rPr>
        <w:bCs/>
        <w:sz w:val="20"/>
        <w:szCs w:val="20"/>
      </w:rPr>
      <w:t xml:space="preserve"> </w:t>
    </w:r>
    <w:r>
      <w:rPr>
        <w:sz w:val="22"/>
        <w:szCs w:val="22"/>
      </w:rPr>
      <w:t xml:space="preserve">(VSS-1164)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8DA" w:rsidRDefault="008268DA">
      <w:r>
        <w:separator/>
      </w:r>
    </w:p>
  </w:footnote>
  <w:footnote w:type="continuationSeparator" w:id="0">
    <w:p w:rsidR="008268DA" w:rsidRDefault="008268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8DA" w:rsidRDefault="00CC46FE" w:rsidP="003C449B">
    <w:pPr>
      <w:pStyle w:val="Header"/>
      <w:framePr w:wrap="around" w:vAnchor="text" w:hAnchor="margin" w:xAlign="center" w:y="1"/>
      <w:rPr>
        <w:rStyle w:val="PageNumber"/>
      </w:rPr>
    </w:pPr>
    <w:r>
      <w:rPr>
        <w:rStyle w:val="PageNumber"/>
      </w:rPr>
      <w:fldChar w:fldCharType="begin"/>
    </w:r>
    <w:r w:rsidR="008268DA">
      <w:rPr>
        <w:rStyle w:val="PageNumber"/>
      </w:rPr>
      <w:instrText xml:space="preserve">PAGE  </w:instrText>
    </w:r>
    <w:r>
      <w:rPr>
        <w:rStyle w:val="PageNumber"/>
      </w:rPr>
      <w:fldChar w:fldCharType="end"/>
    </w:r>
  </w:p>
  <w:p w:rsidR="008268DA" w:rsidRDefault="008268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8DA" w:rsidRDefault="00CC46FE" w:rsidP="003C449B">
    <w:pPr>
      <w:pStyle w:val="Header"/>
      <w:framePr w:wrap="around" w:vAnchor="text" w:hAnchor="margin" w:xAlign="center" w:y="1"/>
      <w:rPr>
        <w:rStyle w:val="PageNumber"/>
      </w:rPr>
    </w:pPr>
    <w:r>
      <w:rPr>
        <w:rStyle w:val="PageNumber"/>
      </w:rPr>
      <w:fldChar w:fldCharType="begin"/>
    </w:r>
    <w:r w:rsidR="008268DA">
      <w:rPr>
        <w:rStyle w:val="PageNumber"/>
      </w:rPr>
      <w:instrText xml:space="preserve">PAGE  </w:instrText>
    </w:r>
    <w:r>
      <w:rPr>
        <w:rStyle w:val="PageNumber"/>
      </w:rPr>
      <w:fldChar w:fldCharType="separate"/>
    </w:r>
    <w:r w:rsidR="00A874A5">
      <w:rPr>
        <w:rStyle w:val="PageNumber"/>
        <w:noProof/>
      </w:rPr>
      <w:t>8</w:t>
    </w:r>
    <w:r>
      <w:rPr>
        <w:rStyle w:val="PageNumber"/>
      </w:rPr>
      <w:fldChar w:fldCharType="end"/>
    </w:r>
  </w:p>
  <w:p w:rsidR="008268DA" w:rsidRDefault="008268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D03CD8"/>
    <w:multiLevelType w:val="hybridMultilevel"/>
    <w:tmpl w:val="F4DAFC1E"/>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4212AD"/>
    <w:multiLevelType w:val="hybridMultilevel"/>
    <w:tmpl w:val="5C522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400A0A90"/>
    <w:multiLevelType w:val="hybridMultilevel"/>
    <w:tmpl w:val="AC609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4A7D5613"/>
    <w:multiLevelType w:val="hybridMultilevel"/>
    <w:tmpl w:val="AA5AE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5">
    <w:nsid w:val="60100077"/>
    <w:multiLevelType w:val="hybridMultilevel"/>
    <w:tmpl w:val="E6083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6"/>
  </w:num>
  <w:num w:numId="3">
    <w:abstractNumId w:val="5"/>
  </w:num>
  <w:num w:numId="4">
    <w:abstractNumId w:val="2"/>
  </w:num>
  <w:num w:numId="5">
    <w:abstractNumId w:val="0"/>
  </w:num>
  <w:num w:numId="6">
    <w:abstractNumId w:val="12"/>
  </w:num>
  <w:num w:numId="7">
    <w:abstractNumId w:val="17"/>
  </w:num>
  <w:num w:numId="8">
    <w:abstractNumId w:val="8"/>
  </w:num>
  <w:num w:numId="9">
    <w:abstractNumId w:val="4"/>
  </w:num>
  <w:num w:numId="10">
    <w:abstractNumId w:val="9"/>
  </w:num>
  <w:num w:numId="11">
    <w:abstractNumId w:val="10"/>
  </w:num>
  <w:num w:numId="12">
    <w:abstractNumId w:val="13"/>
  </w:num>
  <w:num w:numId="13">
    <w:abstractNumId w:val="14"/>
  </w:num>
  <w:num w:numId="14">
    <w:abstractNumId w:val="3"/>
  </w:num>
  <w:num w:numId="15">
    <w:abstractNumId w:val="7"/>
  </w:num>
  <w:num w:numId="16">
    <w:abstractNumId w:val="1"/>
  </w:num>
  <w:num w:numId="17">
    <w:abstractNumId w:val="1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8C5649"/>
    <w:rsid w:val="000001BE"/>
    <w:rsid w:val="00011D24"/>
    <w:rsid w:val="00013FF4"/>
    <w:rsid w:val="000204CE"/>
    <w:rsid w:val="00020FE1"/>
    <w:rsid w:val="00022D75"/>
    <w:rsid w:val="00022E13"/>
    <w:rsid w:val="000258AD"/>
    <w:rsid w:val="00032388"/>
    <w:rsid w:val="00035CE2"/>
    <w:rsid w:val="00037EA2"/>
    <w:rsid w:val="00054F37"/>
    <w:rsid w:val="0005553B"/>
    <w:rsid w:val="000604D2"/>
    <w:rsid w:val="00071B90"/>
    <w:rsid w:val="00074069"/>
    <w:rsid w:val="0009005E"/>
    <w:rsid w:val="000941C5"/>
    <w:rsid w:val="000A319B"/>
    <w:rsid w:val="000A6451"/>
    <w:rsid w:val="000A791E"/>
    <w:rsid w:val="000B064E"/>
    <w:rsid w:val="000B69CF"/>
    <w:rsid w:val="000C3FE0"/>
    <w:rsid w:val="000C790C"/>
    <w:rsid w:val="000D2409"/>
    <w:rsid w:val="000D5A18"/>
    <w:rsid w:val="000D76DD"/>
    <w:rsid w:val="000F061D"/>
    <w:rsid w:val="000F4794"/>
    <w:rsid w:val="000F5C4F"/>
    <w:rsid w:val="00107015"/>
    <w:rsid w:val="00124F12"/>
    <w:rsid w:val="001267B4"/>
    <w:rsid w:val="00144E3A"/>
    <w:rsid w:val="0015060C"/>
    <w:rsid w:val="00153ACE"/>
    <w:rsid w:val="0016018A"/>
    <w:rsid w:val="00161F0E"/>
    <w:rsid w:val="001643B4"/>
    <w:rsid w:val="00170E2A"/>
    <w:rsid w:val="00177394"/>
    <w:rsid w:val="00182C18"/>
    <w:rsid w:val="00183CC2"/>
    <w:rsid w:val="001900E4"/>
    <w:rsid w:val="00190F88"/>
    <w:rsid w:val="00194360"/>
    <w:rsid w:val="0019585E"/>
    <w:rsid w:val="0019592A"/>
    <w:rsid w:val="001A3956"/>
    <w:rsid w:val="001A4066"/>
    <w:rsid w:val="001A6AE4"/>
    <w:rsid w:val="001B01FD"/>
    <w:rsid w:val="001B4A71"/>
    <w:rsid w:val="001B7664"/>
    <w:rsid w:val="001C040F"/>
    <w:rsid w:val="001C2461"/>
    <w:rsid w:val="001D09EB"/>
    <w:rsid w:val="001D5B54"/>
    <w:rsid w:val="001E0C54"/>
    <w:rsid w:val="001E1DBF"/>
    <w:rsid w:val="001E22FF"/>
    <w:rsid w:val="001E4639"/>
    <w:rsid w:val="001E4A7D"/>
    <w:rsid w:val="001F4209"/>
    <w:rsid w:val="001F43A8"/>
    <w:rsid w:val="001F5CD6"/>
    <w:rsid w:val="00200A42"/>
    <w:rsid w:val="0021263D"/>
    <w:rsid w:val="00213F0C"/>
    <w:rsid w:val="00214094"/>
    <w:rsid w:val="0021592D"/>
    <w:rsid w:val="00217CA3"/>
    <w:rsid w:val="00222D76"/>
    <w:rsid w:val="00223EB1"/>
    <w:rsid w:val="00231344"/>
    <w:rsid w:val="00233BDD"/>
    <w:rsid w:val="0023436E"/>
    <w:rsid w:val="002347C0"/>
    <w:rsid w:val="00241A6C"/>
    <w:rsid w:val="00242D2B"/>
    <w:rsid w:val="00262E2B"/>
    <w:rsid w:val="00270429"/>
    <w:rsid w:val="002723E9"/>
    <w:rsid w:val="0027289C"/>
    <w:rsid w:val="00277929"/>
    <w:rsid w:val="00282278"/>
    <w:rsid w:val="00283B82"/>
    <w:rsid w:val="002846E9"/>
    <w:rsid w:val="00284C34"/>
    <w:rsid w:val="0029066C"/>
    <w:rsid w:val="002973DB"/>
    <w:rsid w:val="002976FB"/>
    <w:rsid w:val="002B50DB"/>
    <w:rsid w:val="002C12AB"/>
    <w:rsid w:val="002C7CAC"/>
    <w:rsid w:val="002D3306"/>
    <w:rsid w:val="002D48AA"/>
    <w:rsid w:val="002D6C8C"/>
    <w:rsid w:val="002D7BAA"/>
    <w:rsid w:val="002D7F54"/>
    <w:rsid w:val="002E30E4"/>
    <w:rsid w:val="002E3FF4"/>
    <w:rsid w:val="002F78C8"/>
    <w:rsid w:val="003008C4"/>
    <w:rsid w:val="00301CF3"/>
    <w:rsid w:val="00322E53"/>
    <w:rsid w:val="00325DB8"/>
    <w:rsid w:val="0032715C"/>
    <w:rsid w:val="00334AAD"/>
    <w:rsid w:val="00334C0C"/>
    <w:rsid w:val="003368F8"/>
    <w:rsid w:val="00337CA5"/>
    <w:rsid w:val="00354B82"/>
    <w:rsid w:val="00362478"/>
    <w:rsid w:val="00363CB8"/>
    <w:rsid w:val="00375B25"/>
    <w:rsid w:val="0038132C"/>
    <w:rsid w:val="003922AB"/>
    <w:rsid w:val="00396542"/>
    <w:rsid w:val="00396775"/>
    <w:rsid w:val="0039685B"/>
    <w:rsid w:val="003A0A19"/>
    <w:rsid w:val="003A2012"/>
    <w:rsid w:val="003A2D4B"/>
    <w:rsid w:val="003A31A6"/>
    <w:rsid w:val="003A37D3"/>
    <w:rsid w:val="003A7F0C"/>
    <w:rsid w:val="003A7F79"/>
    <w:rsid w:val="003B6404"/>
    <w:rsid w:val="003C2515"/>
    <w:rsid w:val="003C449B"/>
    <w:rsid w:val="003D21FF"/>
    <w:rsid w:val="003D4D0F"/>
    <w:rsid w:val="003E3E81"/>
    <w:rsid w:val="003F0112"/>
    <w:rsid w:val="003F071A"/>
    <w:rsid w:val="003F160B"/>
    <w:rsid w:val="003F28D7"/>
    <w:rsid w:val="00400032"/>
    <w:rsid w:val="00400B5B"/>
    <w:rsid w:val="00405A00"/>
    <w:rsid w:val="00420870"/>
    <w:rsid w:val="00432D0C"/>
    <w:rsid w:val="0043791B"/>
    <w:rsid w:val="00441483"/>
    <w:rsid w:val="00441BCB"/>
    <w:rsid w:val="004421D2"/>
    <w:rsid w:val="0045176A"/>
    <w:rsid w:val="00454944"/>
    <w:rsid w:val="00456332"/>
    <w:rsid w:val="00461826"/>
    <w:rsid w:val="00472837"/>
    <w:rsid w:val="00474DA5"/>
    <w:rsid w:val="004800F9"/>
    <w:rsid w:val="00484F70"/>
    <w:rsid w:val="0049134A"/>
    <w:rsid w:val="00491388"/>
    <w:rsid w:val="004A58CB"/>
    <w:rsid w:val="004B1795"/>
    <w:rsid w:val="004B3A30"/>
    <w:rsid w:val="004B56DD"/>
    <w:rsid w:val="004C020F"/>
    <w:rsid w:val="004C0745"/>
    <w:rsid w:val="004C1AFD"/>
    <w:rsid w:val="004C2EE5"/>
    <w:rsid w:val="004C558B"/>
    <w:rsid w:val="004F1F88"/>
    <w:rsid w:val="004F5F1B"/>
    <w:rsid w:val="004F7F8C"/>
    <w:rsid w:val="00502374"/>
    <w:rsid w:val="005060A1"/>
    <w:rsid w:val="00507E62"/>
    <w:rsid w:val="00516072"/>
    <w:rsid w:val="005172AF"/>
    <w:rsid w:val="00517891"/>
    <w:rsid w:val="00520F7C"/>
    <w:rsid w:val="00532856"/>
    <w:rsid w:val="005332EC"/>
    <w:rsid w:val="005340F9"/>
    <w:rsid w:val="00534418"/>
    <w:rsid w:val="005353AB"/>
    <w:rsid w:val="005560BC"/>
    <w:rsid w:val="005573BE"/>
    <w:rsid w:val="005665D7"/>
    <w:rsid w:val="00572700"/>
    <w:rsid w:val="00580468"/>
    <w:rsid w:val="0058138E"/>
    <w:rsid w:val="00582231"/>
    <w:rsid w:val="0058603B"/>
    <w:rsid w:val="0059431B"/>
    <w:rsid w:val="005A39CC"/>
    <w:rsid w:val="005A6E2F"/>
    <w:rsid w:val="005B4730"/>
    <w:rsid w:val="005C54AD"/>
    <w:rsid w:val="005D1909"/>
    <w:rsid w:val="005E05D7"/>
    <w:rsid w:val="005E41E7"/>
    <w:rsid w:val="005E450F"/>
    <w:rsid w:val="005E65E8"/>
    <w:rsid w:val="005F1E2A"/>
    <w:rsid w:val="005F4C84"/>
    <w:rsid w:val="00603933"/>
    <w:rsid w:val="0062298A"/>
    <w:rsid w:val="00626514"/>
    <w:rsid w:val="00626589"/>
    <w:rsid w:val="006339A0"/>
    <w:rsid w:val="006413A8"/>
    <w:rsid w:val="00642427"/>
    <w:rsid w:val="00642E56"/>
    <w:rsid w:val="00643E35"/>
    <w:rsid w:val="00651E00"/>
    <w:rsid w:val="006711D5"/>
    <w:rsid w:val="00674572"/>
    <w:rsid w:val="0068157F"/>
    <w:rsid w:val="00687763"/>
    <w:rsid w:val="00692B0D"/>
    <w:rsid w:val="00693E0E"/>
    <w:rsid w:val="006A0035"/>
    <w:rsid w:val="006A1AE3"/>
    <w:rsid w:val="006C245A"/>
    <w:rsid w:val="006C2DA2"/>
    <w:rsid w:val="006C30E1"/>
    <w:rsid w:val="006C4607"/>
    <w:rsid w:val="006D48F1"/>
    <w:rsid w:val="006F45BE"/>
    <w:rsid w:val="007004FC"/>
    <w:rsid w:val="00706670"/>
    <w:rsid w:val="00711F59"/>
    <w:rsid w:val="0072417C"/>
    <w:rsid w:val="0072661E"/>
    <w:rsid w:val="00734450"/>
    <w:rsid w:val="00745F67"/>
    <w:rsid w:val="0075039E"/>
    <w:rsid w:val="00752D9D"/>
    <w:rsid w:val="00754784"/>
    <w:rsid w:val="00757C6E"/>
    <w:rsid w:val="00762BDA"/>
    <w:rsid w:val="007649CE"/>
    <w:rsid w:val="00770B47"/>
    <w:rsid w:val="00780187"/>
    <w:rsid w:val="007805FD"/>
    <w:rsid w:val="00784422"/>
    <w:rsid w:val="007A461A"/>
    <w:rsid w:val="007A7BFE"/>
    <w:rsid w:val="007B3B54"/>
    <w:rsid w:val="007B3FA0"/>
    <w:rsid w:val="007C0F2C"/>
    <w:rsid w:val="007C2BCC"/>
    <w:rsid w:val="007C4EF0"/>
    <w:rsid w:val="007D099D"/>
    <w:rsid w:val="007D2AE0"/>
    <w:rsid w:val="007E2664"/>
    <w:rsid w:val="007E3ABF"/>
    <w:rsid w:val="007E5BFA"/>
    <w:rsid w:val="007E6689"/>
    <w:rsid w:val="007E731C"/>
    <w:rsid w:val="007F0A03"/>
    <w:rsid w:val="00802283"/>
    <w:rsid w:val="00806F9C"/>
    <w:rsid w:val="00810040"/>
    <w:rsid w:val="0082023A"/>
    <w:rsid w:val="00821A7A"/>
    <w:rsid w:val="00824A0A"/>
    <w:rsid w:val="008253F8"/>
    <w:rsid w:val="008268DA"/>
    <w:rsid w:val="00826ABA"/>
    <w:rsid w:val="008325E4"/>
    <w:rsid w:val="00832A2B"/>
    <w:rsid w:val="00845811"/>
    <w:rsid w:val="00846994"/>
    <w:rsid w:val="00850451"/>
    <w:rsid w:val="00852042"/>
    <w:rsid w:val="008534C9"/>
    <w:rsid w:val="0085599D"/>
    <w:rsid w:val="008624DC"/>
    <w:rsid w:val="0087209C"/>
    <w:rsid w:val="0087510C"/>
    <w:rsid w:val="00881355"/>
    <w:rsid w:val="008968D2"/>
    <w:rsid w:val="0089738E"/>
    <w:rsid w:val="008A42B3"/>
    <w:rsid w:val="008B5FDB"/>
    <w:rsid w:val="008C50F4"/>
    <w:rsid w:val="008C5649"/>
    <w:rsid w:val="008D2F97"/>
    <w:rsid w:val="008E44A2"/>
    <w:rsid w:val="008E697D"/>
    <w:rsid w:val="008E7C48"/>
    <w:rsid w:val="00903263"/>
    <w:rsid w:val="00906A21"/>
    <w:rsid w:val="009079C3"/>
    <w:rsid w:val="00910462"/>
    <w:rsid w:val="00915AB1"/>
    <w:rsid w:val="00917532"/>
    <w:rsid w:val="009235BA"/>
    <w:rsid w:val="00924023"/>
    <w:rsid w:val="00924CE2"/>
    <w:rsid w:val="00925B9F"/>
    <w:rsid w:val="00931AED"/>
    <w:rsid w:val="009476A3"/>
    <w:rsid w:val="0095334F"/>
    <w:rsid w:val="00965897"/>
    <w:rsid w:val="0096765C"/>
    <w:rsid w:val="009727E4"/>
    <w:rsid w:val="009934C5"/>
    <w:rsid w:val="00994C0F"/>
    <w:rsid w:val="009A3A46"/>
    <w:rsid w:val="009A65D6"/>
    <w:rsid w:val="009B22D7"/>
    <w:rsid w:val="009B72ED"/>
    <w:rsid w:val="009C1257"/>
    <w:rsid w:val="009C6DEB"/>
    <w:rsid w:val="009D6504"/>
    <w:rsid w:val="009E12D7"/>
    <w:rsid w:val="009E661A"/>
    <w:rsid w:val="009E6C46"/>
    <w:rsid w:val="009E71D6"/>
    <w:rsid w:val="009F0D23"/>
    <w:rsid w:val="00A017CC"/>
    <w:rsid w:val="00A06781"/>
    <w:rsid w:val="00A074C3"/>
    <w:rsid w:val="00A128F3"/>
    <w:rsid w:val="00A13461"/>
    <w:rsid w:val="00A1509C"/>
    <w:rsid w:val="00A249B9"/>
    <w:rsid w:val="00A26C9B"/>
    <w:rsid w:val="00A34260"/>
    <w:rsid w:val="00A35899"/>
    <w:rsid w:val="00A44726"/>
    <w:rsid w:val="00A45DE0"/>
    <w:rsid w:val="00A70CFD"/>
    <w:rsid w:val="00A72A0B"/>
    <w:rsid w:val="00A81E42"/>
    <w:rsid w:val="00A864FE"/>
    <w:rsid w:val="00A86F41"/>
    <w:rsid w:val="00A874A5"/>
    <w:rsid w:val="00A87D04"/>
    <w:rsid w:val="00A950C5"/>
    <w:rsid w:val="00AA1D25"/>
    <w:rsid w:val="00AB2B1A"/>
    <w:rsid w:val="00AB3667"/>
    <w:rsid w:val="00AB397F"/>
    <w:rsid w:val="00AB552C"/>
    <w:rsid w:val="00AB5832"/>
    <w:rsid w:val="00AC31B2"/>
    <w:rsid w:val="00AC51F2"/>
    <w:rsid w:val="00AD19D9"/>
    <w:rsid w:val="00AD3269"/>
    <w:rsid w:val="00AE4DAD"/>
    <w:rsid w:val="00AE5066"/>
    <w:rsid w:val="00AE5E24"/>
    <w:rsid w:val="00AE61B7"/>
    <w:rsid w:val="00AE6411"/>
    <w:rsid w:val="00AE6CBA"/>
    <w:rsid w:val="00AE79AD"/>
    <w:rsid w:val="00AF35E4"/>
    <w:rsid w:val="00AF4343"/>
    <w:rsid w:val="00AF5CDE"/>
    <w:rsid w:val="00B077D9"/>
    <w:rsid w:val="00B10D55"/>
    <w:rsid w:val="00B11A57"/>
    <w:rsid w:val="00B211C3"/>
    <w:rsid w:val="00B223A4"/>
    <w:rsid w:val="00B25597"/>
    <w:rsid w:val="00B267B9"/>
    <w:rsid w:val="00B33E09"/>
    <w:rsid w:val="00B3741D"/>
    <w:rsid w:val="00B37628"/>
    <w:rsid w:val="00B40B41"/>
    <w:rsid w:val="00B472EE"/>
    <w:rsid w:val="00B50708"/>
    <w:rsid w:val="00B50C68"/>
    <w:rsid w:val="00B50F68"/>
    <w:rsid w:val="00B51293"/>
    <w:rsid w:val="00B52B1E"/>
    <w:rsid w:val="00B55481"/>
    <w:rsid w:val="00B56C32"/>
    <w:rsid w:val="00B57ACF"/>
    <w:rsid w:val="00B63D60"/>
    <w:rsid w:val="00B64BB1"/>
    <w:rsid w:val="00B73166"/>
    <w:rsid w:val="00B76C45"/>
    <w:rsid w:val="00B82BAB"/>
    <w:rsid w:val="00B8426C"/>
    <w:rsid w:val="00B91B8D"/>
    <w:rsid w:val="00B94BFC"/>
    <w:rsid w:val="00B94E90"/>
    <w:rsid w:val="00BA62DA"/>
    <w:rsid w:val="00BB0A82"/>
    <w:rsid w:val="00BB7C94"/>
    <w:rsid w:val="00BC0A9D"/>
    <w:rsid w:val="00BC3464"/>
    <w:rsid w:val="00BC5CE5"/>
    <w:rsid w:val="00BC7303"/>
    <w:rsid w:val="00BD4445"/>
    <w:rsid w:val="00BE311A"/>
    <w:rsid w:val="00BE5F4C"/>
    <w:rsid w:val="00BF2839"/>
    <w:rsid w:val="00BF40ED"/>
    <w:rsid w:val="00BF5BC2"/>
    <w:rsid w:val="00C07778"/>
    <w:rsid w:val="00C1133D"/>
    <w:rsid w:val="00C13EC5"/>
    <w:rsid w:val="00C25FF3"/>
    <w:rsid w:val="00C27A08"/>
    <w:rsid w:val="00C31312"/>
    <w:rsid w:val="00C316CD"/>
    <w:rsid w:val="00C31E36"/>
    <w:rsid w:val="00C326C6"/>
    <w:rsid w:val="00C35295"/>
    <w:rsid w:val="00C36ADD"/>
    <w:rsid w:val="00C36E74"/>
    <w:rsid w:val="00C40595"/>
    <w:rsid w:val="00C41621"/>
    <w:rsid w:val="00C449FA"/>
    <w:rsid w:val="00C47875"/>
    <w:rsid w:val="00C5384F"/>
    <w:rsid w:val="00C56964"/>
    <w:rsid w:val="00C656D5"/>
    <w:rsid w:val="00C67103"/>
    <w:rsid w:val="00C71BB9"/>
    <w:rsid w:val="00C74833"/>
    <w:rsid w:val="00C8727F"/>
    <w:rsid w:val="00C94C28"/>
    <w:rsid w:val="00CA2D4E"/>
    <w:rsid w:val="00CB0247"/>
    <w:rsid w:val="00CB3137"/>
    <w:rsid w:val="00CB3440"/>
    <w:rsid w:val="00CB795D"/>
    <w:rsid w:val="00CC07F2"/>
    <w:rsid w:val="00CC1692"/>
    <w:rsid w:val="00CC46FE"/>
    <w:rsid w:val="00CD138B"/>
    <w:rsid w:val="00CD3E31"/>
    <w:rsid w:val="00CD74A3"/>
    <w:rsid w:val="00CD7E91"/>
    <w:rsid w:val="00CE0527"/>
    <w:rsid w:val="00CE325F"/>
    <w:rsid w:val="00CE5B23"/>
    <w:rsid w:val="00CF70AD"/>
    <w:rsid w:val="00CF7729"/>
    <w:rsid w:val="00CF7A9B"/>
    <w:rsid w:val="00D00059"/>
    <w:rsid w:val="00D04B73"/>
    <w:rsid w:val="00D04C90"/>
    <w:rsid w:val="00D107FA"/>
    <w:rsid w:val="00D12275"/>
    <w:rsid w:val="00D12766"/>
    <w:rsid w:val="00D20FF4"/>
    <w:rsid w:val="00D24D2C"/>
    <w:rsid w:val="00D27AEA"/>
    <w:rsid w:val="00D35596"/>
    <w:rsid w:val="00D35881"/>
    <w:rsid w:val="00D45214"/>
    <w:rsid w:val="00D513DB"/>
    <w:rsid w:val="00D540D5"/>
    <w:rsid w:val="00D65020"/>
    <w:rsid w:val="00D721F2"/>
    <w:rsid w:val="00D751EF"/>
    <w:rsid w:val="00D76F0E"/>
    <w:rsid w:val="00D772B3"/>
    <w:rsid w:val="00D843FC"/>
    <w:rsid w:val="00D8471A"/>
    <w:rsid w:val="00D94312"/>
    <w:rsid w:val="00DA4BAB"/>
    <w:rsid w:val="00DA7DA5"/>
    <w:rsid w:val="00DB073B"/>
    <w:rsid w:val="00DB24C3"/>
    <w:rsid w:val="00DB78F0"/>
    <w:rsid w:val="00DC0CEA"/>
    <w:rsid w:val="00DC2E43"/>
    <w:rsid w:val="00DD095C"/>
    <w:rsid w:val="00DD0DE1"/>
    <w:rsid w:val="00DD1020"/>
    <w:rsid w:val="00DD1330"/>
    <w:rsid w:val="00DD1773"/>
    <w:rsid w:val="00DD3DEA"/>
    <w:rsid w:val="00DE0B83"/>
    <w:rsid w:val="00DE1A81"/>
    <w:rsid w:val="00DE1C13"/>
    <w:rsid w:val="00DE4E10"/>
    <w:rsid w:val="00E02ABF"/>
    <w:rsid w:val="00E06E90"/>
    <w:rsid w:val="00E12744"/>
    <w:rsid w:val="00E14995"/>
    <w:rsid w:val="00E179CD"/>
    <w:rsid w:val="00E23E8D"/>
    <w:rsid w:val="00E33FAF"/>
    <w:rsid w:val="00E34CBF"/>
    <w:rsid w:val="00E359D9"/>
    <w:rsid w:val="00E37F98"/>
    <w:rsid w:val="00E46559"/>
    <w:rsid w:val="00E50CC8"/>
    <w:rsid w:val="00E55EC6"/>
    <w:rsid w:val="00E6670C"/>
    <w:rsid w:val="00E776E8"/>
    <w:rsid w:val="00E92C1F"/>
    <w:rsid w:val="00E95D4B"/>
    <w:rsid w:val="00EB199F"/>
    <w:rsid w:val="00EC1F11"/>
    <w:rsid w:val="00EC213C"/>
    <w:rsid w:val="00EC23F7"/>
    <w:rsid w:val="00EC4125"/>
    <w:rsid w:val="00EC4BD8"/>
    <w:rsid w:val="00EC63EB"/>
    <w:rsid w:val="00ED35F2"/>
    <w:rsid w:val="00ED412F"/>
    <w:rsid w:val="00EF36B2"/>
    <w:rsid w:val="00F0508F"/>
    <w:rsid w:val="00F1246B"/>
    <w:rsid w:val="00F15BD4"/>
    <w:rsid w:val="00F201EC"/>
    <w:rsid w:val="00F208A9"/>
    <w:rsid w:val="00F21B21"/>
    <w:rsid w:val="00F3689B"/>
    <w:rsid w:val="00F41D75"/>
    <w:rsid w:val="00F422A1"/>
    <w:rsid w:val="00F478D6"/>
    <w:rsid w:val="00F5139D"/>
    <w:rsid w:val="00F55051"/>
    <w:rsid w:val="00F55789"/>
    <w:rsid w:val="00F63DAC"/>
    <w:rsid w:val="00F7454F"/>
    <w:rsid w:val="00F77988"/>
    <w:rsid w:val="00F77F48"/>
    <w:rsid w:val="00F87AEE"/>
    <w:rsid w:val="00F949C6"/>
    <w:rsid w:val="00FA242C"/>
    <w:rsid w:val="00FA3397"/>
    <w:rsid w:val="00FB30F1"/>
    <w:rsid w:val="00FB53E7"/>
    <w:rsid w:val="00FC709C"/>
    <w:rsid w:val="00FD2A8A"/>
    <w:rsid w:val="00FE4DBE"/>
    <w:rsid w:val="00FF5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paragraph" w:styleId="Heading1">
    <w:name w:val="heading 1"/>
    <w:basedOn w:val="Normal"/>
    <w:next w:val="Normal"/>
    <w:link w:val="Heading1Char"/>
    <w:qFormat/>
    <w:rsid w:val="00D772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C13EC5"/>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5Char">
    <w:name w:val="Heading 5 Char"/>
    <w:basedOn w:val="DefaultParagraphFont"/>
    <w:link w:val="Heading5"/>
    <w:rsid w:val="00C13EC5"/>
    <w:rPr>
      <w:b/>
      <w:bCs/>
      <w:i/>
      <w:iCs/>
      <w:sz w:val="26"/>
      <w:szCs w:val="26"/>
      <w:lang w:val="lv-LV"/>
    </w:rPr>
  </w:style>
  <w:style w:type="paragraph" w:styleId="ListParagraph">
    <w:name w:val="List Paragraph"/>
    <w:basedOn w:val="Normal"/>
    <w:uiPriority w:val="34"/>
    <w:qFormat/>
    <w:rsid w:val="00B63D60"/>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rsid w:val="00D772B3"/>
    <w:rPr>
      <w:rFonts w:asciiTheme="majorHAnsi" w:eastAsiaTheme="majorEastAsia" w:hAnsiTheme="majorHAnsi" w:cstheme="majorBidi"/>
      <w:b/>
      <w:bCs/>
      <w:color w:val="365F91" w:themeColor="accent1" w:themeShade="BF"/>
      <w:sz w:val="28"/>
      <w:szCs w:val="28"/>
      <w:lang w:val="lv-LV" w:eastAsia="lv-LV"/>
    </w:rPr>
  </w:style>
  <w:style w:type="paragraph" w:styleId="Title">
    <w:name w:val="Title"/>
    <w:basedOn w:val="Normal"/>
    <w:link w:val="TitleChar"/>
    <w:qFormat/>
    <w:rsid w:val="00D772B3"/>
    <w:pPr>
      <w:jc w:val="center"/>
    </w:pPr>
    <w:rPr>
      <w:b/>
      <w:sz w:val="32"/>
      <w:szCs w:val="20"/>
      <w:lang w:eastAsia="en-US"/>
    </w:rPr>
  </w:style>
  <w:style w:type="character" w:customStyle="1" w:styleId="TitleChar">
    <w:name w:val="Title Char"/>
    <w:basedOn w:val="DefaultParagraphFont"/>
    <w:link w:val="Title"/>
    <w:rsid w:val="00D772B3"/>
    <w:rPr>
      <w:b/>
      <w:sz w:val="32"/>
      <w:lang w:val="lv-LV"/>
    </w:rPr>
  </w:style>
  <w:style w:type="character" w:styleId="Strong">
    <w:name w:val="Strong"/>
    <w:basedOn w:val="DefaultParagraphFont"/>
    <w:qFormat/>
    <w:rsid w:val="00472837"/>
    <w:rPr>
      <w:b/>
      <w:bCs/>
    </w:rPr>
  </w:style>
  <w:style w:type="paragraph" w:styleId="NoSpacing">
    <w:name w:val="No Spacing"/>
    <w:qFormat/>
    <w:rsid w:val="0080228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rm.org/pdfs/health/CP_Processed_Meat_Repor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B511F-7F0D-4E1F-874E-FBB116DE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2953</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Ministru kabineta noteikumu projekts “ Uztura normas izglītības iestāžu izglītojamiem, sociālās aprūpes un sociālās rehabilitācijas institūciju klientiem un ārstniecības iestāžu pacientiem”</vt:lpstr>
    </vt:vector>
  </TitlesOfParts>
  <Company>Veselības ministrija</Company>
  <LinksUpToDate>false</LinksUpToDate>
  <CharactersWithSpaces>19752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 Uztura normas izglītības iestāžu izglītojamiem, sociālās aprūpes un sociālās rehabilitācijas institūciju klientiem un ārstniecības iestāžu pacientiem”</dc:title>
  <dc:subject>Ministru kabineta noteikumu projekta sākotnējās ietekmes novērtējuma ziņojums (anotācija)</dc:subject>
  <dc:creator>Ilze Straume</dc:creator>
  <cp:keywords/>
  <dc:description>Ilze.Straume@vm.gov.lv
67876076</dc:description>
  <cp:lastModifiedBy>istraume</cp:lastModifiedBy>
  <cp:revision>8</cp:revision>
  <cp:lastPrinted>2010-01-04T11:31:00Z</cp:lastPrinted>
  <dcterms:created xsi:type="dcterms:W3CDTF">2012-01-03T08:43:00Z</dcterms:created>
  <dcterms:modified xsi:type="dcterms:W3CDTF">2012-01-05T11:30:00Z</dcterms:modified>
</cp:coreProperties>
</file>