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93" w:rsidRPr="001B308F" w:rsidRDefault="00586F93" w:rsidP="00586F93">
      <w:pPr>
        <w:jc w:val="center"/>
        <w:rPr>
          <w:b/>
          <w:bCs/>
        </w:rPr>
      </w:pPr>
      <w:bookmarkStart w:id="0" w:name="OLE_LINK3"/>
      <w:bookmarkStart w:id="1" w:name="OLE_LINK4"/>
      <w:bookmarkStart w:id="2" w:name="OLE_LINK10"/>
      <w:bookmarkStart w:id="3" w:name="OLE_LINK11"/>
      <w:bookmarkStart w:id="4" w:name="OLE_LINK14"/>
      <w:bookmarkStart w:id="5" w:name="OLE_LINK1"/>
      <w:bookmarkStart w:id="6" w:name="OLE_LINK2"/>
      <w:bookmarkStart w:id="7" w:name="OLE_LINK12"/>
      <w:bookmarkStart w:id="8" w:name="OLE_LINK13"/>
      <w:r w:rsidRPr="001B308F">
        <w:rPr>
          <w:b/>
          <w:bCs/>
        </w:rPr>
        <w:t>Ministru kabineta noteikumu projekta</w:t>
      </w:r>
    </w:p>
    <w:p w:rsidR="0023734A" w:rsidRPr="001B308F" w:rsidRDefault="0023734A" w:rsidP="0023734A">
      <w:pPr>
        <w:jc w:val="center"/>
        <w:rPr>
          <w:color w:val="000000"/>
        </w:rPr>
      </w:pPr>
      <w:bookmarkStart w:id="9" w:name="OLE_LINK8"/>
      <w:bookmarkStart w:id="10" w:name="OLE_LINK9"/>
      <w:bookmarkStart w:id="11" w:name="OLE_LINK5"/>
      <w:bookmarkStart w:id="12" w:name="OLE_LINK6"/>
      <w:bookmarkStart w:id="13" w:name="OLE_LINK7"/>
      <w:bookmarkEnd w:id="0"/>
      <w:bookmarkEnd w:id="1"/>
      <w:bookmarkEnd w:id="2"/>
      <w:bookmarkEnd w:id="3"/>
      <w:bookmarkEnd w:id="4"/>
      <w:r w:rsidRPr="001B308F">
        <w:rPr>
          <w:color w:val="000000"/>
        </w:rPr>
        <w:t>„Grozījum</w:t>
      </w:r>
      <w:r w:rsidR="00270C2A">
        <w:rPr>
          <w:color w:val="000000"/>
        </w:rPr>
        <w:t>i</w:t>
      </w:r>
      <w:r w:rsidRPr="001B308F">
        <w:rPr>
          <w:color w:val="000000"/>
        </w:rPr>
        <w:t xml:space="preserve"> Ministru kabineta 2005.gada 27.decembra noteikumos Nr.1040 </w:t>
      </w:r>
    </w:p>
    <w:p w:rsidR="0023734A" w:rsidRPr="007B67B2" w:rsidRDefault="0023734A" w:rsidP="0023734A">
      <w:pPr>
        <w:jc w:val="center"/>
        <w:rPr>
          <w:b/>
          <w:color w:val="000000"/>
        </w:rPr>
      </w:pPr>
      <w:r w:rsidRPr="007B67B2">
        <w:rPr>
          <w:b/>
          <w:color w:val="000000"/>
        </w:rPr>
        <w:t>„Kārtība, kādā ārstniecības persona ziņo par vakcinācijas izraisītajām komplikācijām”</w:t>
      </w:r>
      <w:bookmarkEnd w:id="9"/>
      <w:bookmarkEnd w:id="10"/>
      <w:r w:rsidRPr="007B67B2">
        <w:rPr>
          <w:b/>
          <w:color w:val="000000"/>
        </w:rPr>
        <w:t>”</w:t>
      </w:r>
    </w:p>
    <w:bookmarkEnd w:id="11"/>
    <w:bookmarkEnd w:id="12"/>
    <w:bookmarkEnd w:id="13"/>
    <w:p w:rsidR="0072604C" w:rsidRPr="007B67B2" w:rsidRDefault="00E6763C" w:rsidP="00586F93">
      <w:pPr>
        <w:jc w:val="center"/>
      </w:pPr>
      <w:r w:rsidRPr="007B67B2">
        <w:t>sākotnējās ietekmes novērtējuma ziņojums (anotācija)</w:t>
      </w:r>
    </w:p>
    <w:p w:rsidR="002F17DF" w:rsidRPr="001B308F" w:rsidRDefault="002F17DF" w:rsidP="00586F93">
      <w:pPr>
        <w:jc w:val="center"/>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3032"/>
        <w:gridCol w:w="5542"/>
      </w:tblGrid>
      <w:tr w:rsidR="002F17DF" w:rsidRPr="001B308F" w:rsidTr="002F17D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2F17DF" w:rsidRPr="001B308F" w:rsidRDefault="002F17DF" w:rsidP="002F17DF">
            <w:pPr>
              <w:spacing w:before="100" w:beforeAutospacing="1" w:after="100" w:afterAutospacing="1"/>
            </w:pPr>
            <w:r w:rsidRPr="001B308F">
              <w:rPr>
                <w:b/>
                <w:bCs/>
              </w:rPr>
              <w:t> I. Tiesību akta projekta izstrādes nepieciešamība</w:t>
            </w:r>
          </w:p>
        </w:tc>
      </w:tr>
      <w:tr w:rsidR="002F17DF" w:rsidRPr="001B308F" w:rsidTr="002F17DF">
        <w:trPr>
          <w:trHeight w:val="630"/>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1B308F" w:rsidRDefault="002F17DF" w:rsidP="002F17DF">
            <w:pPr>
              <w:spacing w:before="100" w:beforeAutospacing="1" w:after="100" w:afterAutospacing="1"/>
            </w:pPr>
            <w:r w:rsidRPr="001B308F">
              <w:t> 1.</w:t>
            </w:r>
          </w:p>
        </w:tc>
        <w:tc>
          <w:tcPr>
            <w:tcW w:w="3032" w:type="dxa"/>
            <w:tcBorders>
              <w:top w:val="outset" w:sz="6" w:space="0" w:color="auto"/>
              <w:left w:val="outset" w:sz="6" w:space="0" w:color="auto"/>
              <w:bottom w:val="outset" w:sz="6" w:space="0" w:color="auto"/>
              <w:right w:val="outset" w:sz="6" w:space="0" w:color="auto"/>
            </w:tcBorders>
            <w:hideMark/>
          </w:tcPr>
          <w:p w:rsidR="002F17DF" w:rsidRPr="001B308F" w:rsidRDefault="002F17DF" w:rsidP="002F17DF">
            <w:pPr>
              <w:spacing w:before="100" w:beforeAutospacing="1" w:after="100" w:afterAutospacing="1"/>
            </w:pPr>
            <w:r w:rsidRPr="001B308F">
              <w:t> Pamatojums</w:t>
            </w:r>
          </w:p>
        </w:tc>
        <w:tc>
          <w:tcPr>
            <w:tcW w:w="5542" w:type="dxa"/>
            <w:tcBorders>
              <w:top w:val="outset" w:sz="6" w:space="0" w:color="auto"/>
              <w:left w:val="outset" w:sz="6" w:space="0" w:color="auto"/>
              <w:bottom w:val="outset" w:sz="6" w:space="0" w:color="auto"/>
              <w:right w:val="outset" w:sz="6" w:space="0" w:color="auto"/>
            </w:tcBorders>
            <w:hideMark/>
          </w:tcPr>
          <w:p w:rsidR="002F17DF" w:rsidRPr="001B308F" w:rsidRDefault="00BC6CDD" w:rsidP="00270C2A">
            <w:pPr>
              <w:spacing w:before="100" w:beforeAutospacing="1" w:after="100" w:afterAutospacing="1"/>
              <w:ind w:firstLine="127"/>
              <w:jc w:val="both"/>
            </w:pPr>
            <w:r w:rsidRPr="001B308F">
              <w:rPr>
                <w:color w:val="000000"/>
              </w:rPr>
              <w:t xml:space="preserve"> Ministru kabineta noteikumu projekts „</w:t>
            </w:r>
            <w:r w:rsidR="002F17DF" w:rsidRPr="001B308F">
              <w:rPr>
                <w:color w:val="000000"/>
              </w:rPr>
              <w:t>Grozījum</w:t>
            </w:r>
            <w:r w:rsidR="00270C2A">
              <w:rPr>
                <w:color w:val="000000"/>
              </w:rPr>
              <w:t>i</w:t>
            </w:r>
            <w:r w:rsidR="002F17DF" w:rsidRPr="001B308F">
              <w:rPr>
                <w:color w:val="000000"/>
              </w:rPr>
              <w:t xml:space="preserve"> Ministru kabineta 2005.gada 27.decembra noteikumos Nr.1040 „Kārtība, kādā ārstniecības persona ziņo par vakcinācijas izraisītajām komplikācijām”” </w:t>
            </w:r>
            <w:r w:rsidR="004529B0" w:rsidRPr="001B308F">
              <w:t>(turpmāk –  noteikum</w:t>
            </w:r>
            <w:r w:rsidRPr="001B308F">
              <w:t>u projekts</w:t>
            </w:r>
            <w:r w:rsidR="004529B0" w:rsidRPr="001B308F">
              <w:t>) i</w:t>
            </w:r>
            <w:r w:rsidR="003D2380" w:rsidRPr="001B308F">
              <w:t xml:space="preserve">zstrādāts </w:t>
            </w:r>
            <w:r w:rsidR="004406EB" w:rsidRPr="001B308F">
              <w:t>saskaņā ar Epidemioloģiskās drošības likuma 32.panta pirmo daļu</w:t>
            </w:r>
            <w:r w:rsidR="004529B0" w:rsidRPr="001B308F">
              <w:t xml:space="preserve"> </w:t>
            </w:r>
          </w:p>
        </w:tc>
      </w:tr>
      <w:tr w:rsidR="002F17DF" w:rsidRPr="001B308F" w:rsidTr="002F17DF">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1B308F" w:rsidRDefault="002F17DF" w:rsidP="002F17DF">
            <w:pPr>
              <w:spacing w:before="100" w:beforeAutospacing="1" w:after="100" w:afterAutospacing="1"/>
            </w:pPr>
            <w:r w:rsidRPr="001B308F">
              <w:t> 2.</w:t>
            </w:r>
          </w:p>
        </w:tc>
        <w:tc>
          <w:tcPr>
            <w:tcW w:w="3032" w:type="dxa"/>
            <w:tcBorders>
              <w:top w:val="outset" w:sz="6" w:space="0" w:color="auto"/>
              <w:left w:val="outset" w:sz="6" w:space="0" w:color="auto"/>
              <w:bottom w:val="outset" w:sz="6" w:space="0" w:color="auto"/>
              <w:right w:val="outset" w:sz="6" w:space="0" w:color="auto"/>
            </w:tcBorders>
            <w:hideMark/>
          </w:tcPr>
          <w:p w:rsidR="002F17DF" w:rsidRPr="001B308F" w:rsidRDefault="002F17DF" w:rsidP="002F17DF">
            <w:pPr>
              <w:spacing w:before="100" w:beforeAutospacing="1" w:after="100" w:afterAutospacing="1"/>
            </w:pPr>
            <w:r w:rsidRPr="001B308F">
              <w:t> Pašreizējā situācija un problēmas</w:t>
            </w:r>
          </w:p>
        </w:tc>
        <w:tc>
          <w:tcPr>
            <w:tcW w:w="5542" w:type="dxa"/>
            <w:tcBorders>
              <w:top w:val="outset" w:sz="6" w:space="0" w:color="auto"/>
              <w:left w:val="outset" w:sz="6" w:space="0" w:color="auto"/>
              <w:bottom w:val="outset" w:sz="6" w:space="0" w:color="auto"/>
              <w:right w:val="outset" w:sz="6" w:space="0" w:color="auto"/>
            </w:tcBorders>
            <w:hideMark/>
          </w:tcPr>
          <w:p w:rsidR="00BC6CDD" w:rsidRPr="001B308F" w:rsidRDefault="00BC6CDD" w:rsidP="00215749">
            <w:pPr>
              <w:spacing w:before="75" w:after="75"/>
              <w:ind w:firstLine="127"/>
              <w:jc w:val="both"/>
            </w:pPr>
            <w:r w:rsidRPr="001B308F">
              <w:rPr>
                <w:color w:val="000000"/>
              </w:rPr>
              <w:t>Ministru kabineta 2005.gada 27.decembra noteikum</w:t>
            </w:r>
            <w:r w:rsidR="007359AA" w:rsidRPr="001B308F">
              <w:rPr>
                <w:color w:val="000000"/>
              </w:rPr>
              <w:t>os</w:t>
            </w:r>
            <w:r w:rsidRPr="001B308F">
              <w:rPr>
                <w:color w:val="000000"/>
              </w:rPr>
              <w:t xml:space="preserve"> Nr.1040 „Kārtība, kādā ārstniecības persona ziņo par vakcinācijas izraisītajām komplikācijām” (turpmāk</w:t>
            </w:r>
            <w:r w:rsidR="007359AA" w:rsidRPr="001B308F">
              <w:rPr>
                <w:color w:val="000000"/>
              </w:rPr>
              <w:t xml:space="preserve"> </w:t>
            </w:r>
            <w:r w:rsidRPr="001B308F">
              <w:rPr>
                <w:color w:val="000000"/>
              </w:rPr>
              <w:t xml:space="preserve">- MK </w:t>
            </w:r>
            <w:r w:rsidRPr="001B308F">
              <w:t>noteikumi</w:t>
            </w:r>
            <w:r w:rsidR="007359AA" w:rsidRPr="001B308F">
              <w:t>)</w:t>
            </w:r>
            <w:r w:rsidRPr="001B308F">
              <w:t xml:space="preserve"> </w:t>
            </w:r>
            <w:r w:rsidR="007359AA" w:rsidRPr="001B308F">
              <w:t xml:space="preserve">ir </w:t>
            </w:r>
            <w:r w:rsidRPr="001B308F">
              <w:t>no</w:t>
            </w:r>
            <w:r w:rsidR="007359AA" w:rsidRPr="001B308F">
              <w:t>teikta</w:t>
            </w:r>
            <w:r w:rsidRPr="001B308F">
              <w:t xml:space="preserve"> kārtīb</w:t>
            </w:r>
            <w:r w:rsidR="007359AA" w:rsidRPr="001B308F">
              <w:t>a</w:t>
            </w:r>
            <w:r w:rsidRPr="001B308F">
              <w:t>, kādā ārstniecības persona ziņo par vakcinācijas izraisītajām komplikācijām, lai nodrošinātu vakcinācijas drošības uzraudzību, operatīvi veiktu ar komplikācijām saistīto gadījumu epidemioloģisko izmeklēšanu un, ja nepieciešams, apturētu apšaubāmas kvalitātes vakcīnu lietošanu vai novērstu citus vakcinācijas riska faktorus.</w:t>
            </w:r>
          </w:p>
          <w:p w:rsidR="009D4985" w:rsidRDefault="00F643FA" w:rsidP="00D46097">
            <w:pPr>
              <w:jc w:val="both"/>
              <w:rPr>
                <w:iCs/>
              </w:rPr>
            </w:pPr>
            <w:r w:rsidRPr="001B308F">
              <w:t>No 2005.gada līdz 2011.gada jūnija beigām Latvijā reģistrēti 238 vakcinācijas izraisīti komplikāciju gadījumi pēc vakcinācijas pret tuberkulozi (turpmāk – BCG)</w:t>
            </w:r>
            <w:r w:rsidR="00EF5BDF">
              <w:t>, kas īpaši pieaudzis pēdējo trīs gadu laikā.</w:t>
            </w:r>
            <w:r w:rsidR="00FA0CB3" w:rsidRPr="001B308F">
              <w:t xml:space="preserve"> </w:t>
            </w:r>
            <w:r w:rsidR="00BC29C9" w:rsidRPr="001B308F">
              <w:t xml:space="preserve">Pārsvarā tie norādīti kā </w:t>
            </w:r>
            <w:proofErr w:type="spellStart"/>
            <w:r w:rsidR="00BC29C9" w:rsidRPr="001B308F">
              <w:t>limfadenīti</w:t>
            </w:r>
            <w:proofErr w:type="spellEnd"/>
            <w:r w:rsidR="00BC29C9" w:rsidRPr="001B308F">
              <w:t xml:space="preserve"> </w:t>
            </w:r>
            <w:r w:rsidR="00D46097" w:rsidRPr="009D4985">
              <w:rPr>
                <w:iCs/>
              </w:rPr>
              <w:t>(limfmezgla iekaisums)</w:t>
            </w:r>
            <w:r w:rsidR="00D46097" w:rsidRPr="009D4985">
              <w:t xml:space="preserve">. </w:t>
            </w:r>
            <w:r w:rsidR="00D46097" w:rsidRPr="009D4985">
              <w:rPr>
                <w:iCs/>
              </w:rPr>
              <w:t xml:space="preserve">Daudzos šādos gadījumos zīdaiņiem ir veiktas operācijas vispārējā narkozē. Taču pēc Pasaules Veselības organizācijas ieteikumiem ar </w:t>
            </w:r>
            <w:proofErr w:type="spellStart"/>
            <w:r w:rsidR="00D46097" w:rsidRPr="009D4985">
              <w:rPr>
                <w:iCs/>
              </w:rPr>
              <w:t>prettuberkulozes</w:t>
            </w:r>
            <w:proofErr w:type="spellEnd"/>
            <w:r w:rsidR="00D46097" w:rsidRPr="009D4985">
              <w:rPr>
                <w:iCs/>
              </w:rPr>
              <w:t xml:space="preserve"> vakcīnu saistīts </w:t>
            </w:r>
            <w:proofErr w:type="spellStart"/>
            <w:r w:rsidR="00D46097" w:rsidRPr="009D4985">
              <w:rPr>
                <w:iCs/>
              </w:rPr>
              <w:t>limfadenīts</w:t>
            </w:r>
            <w:proofErr w:type="spellEnd"/>
            <w:r w:rsidR="00D46097" w:rsidRPr="009D4985">
              <w:rPr>
                <w:iCs/>
              </w:rPr>
              <w:t xml:space="preserve">, arī strutains </w:t>
            </w:r>
            <w:proofErr w:type="spellStart"/>
            <w:r w:rsidR="00D46097" w:rsidRPr="009D4985">
              <w:rPr>
                <w:iCs/>
              </w:rPr>
              <w:t>limfadenīts</w:t>
            </w:r>
            <w:proofErr w:type="spellEnd"/>
            <w:r w:rsidR="00D46097" w:rsidRPr="009D4985">
              <w:rPr>
                <w:iCs/>
              </w:rPr>
              <w:t>, jāārstē konservatīvi, ķirurģiska iejaukšanās pieļaujama tikai izņēmuma gadījumos. Sistemātiski pielietota ķirurģiska pieeja vispārējā narkozē nevar būt samērojams ar veselības profilakses pasākumu – zīdaiņu vakcināciju.</w:t>
            </w:r>
          </w:p>
          <w:p w:rsidR="00D8565A" w:rsidRDefault="00D46097" w:rsidP="00D8565A">
            <w:pPr>
              <w:jc w:val="both"/>
            </w:pPr>
            <w:r w:rsidRPr="009D4985">
              <w:t xml:space="preserve"> </w:t>
            </w:r>
            <w:r w:rsidR="009D4985" w:rsidRPr="009D4985">
              <w:t>Saskaņā ar BCG vakcīnas zāļu aprakstu, kas paredzēts speciālistiem</w:t>
            </w:r>
            <w:r w:rsidR="009D4985">
              <w:t>,</w:t>
            </w:r>
            <w:r w:rsidR="009D4985" w:rsidRPr="009D4985">
              <w:t xml:space="preserve"> 4.8. apakšpunktā noteikts, ka nevēlamās blakusparādības strutains </w:t>
            </w:r>
            <w:proofErr w:type="spellStart"/>
            <w:r w:rsidR="009D4985" w:rsidRPr="009D4985">
              <w:t>limfadenīts</w:t>
            </w:r>
            <w:proofErr w:type="spellEnd"/>
            <w:r w:rsidR="009D4985" w:rsidRPr="009D4985">
              <w:t xml:space="preserve"> ir paredzēta blakne (komplikācija), kuras rašanās biežums</w:t>
            </w:r>
            <w:r w:rsidR="009D4985">
              <w:t xml:space="preserve"> apzīmēts ar biežuma kritēriju </w:t>
            </w:r>
            <w:r w:rsidR="009D4985" w:rsidRPr="009D4985">
              <w:t xml:space="preserve">-  </w:t>
            </w:r>
            <w:r w:rsidR="009D4985" w:rsidRPr="009D4985">
              <w:rPr>
                <w:i/>
              </w:rPr>
              <w:t>reti mazāk par 1 uz 1000</w:t>
            </w:r>
            <w:r w:rsidR="009D4985" w:rsidRPr="009D4985">
              <w:t xml:space="preserve"> vakcinētajiem. Savukārt pie normālas </w:t>
            </w:r>
            <w:proofErr w:type="spellStart"/>
            <w:r w:rsidR="009D4985" w:rsidRPr="009D4985">
              <w:t>imūnatbildreakcijas</w:t>
            </w:r>
            <w:proofErr w:type="spellEnd"/>
            <w:r w:rsidR="009D4985" w:rsidRPr="009D4985">
              <w:t xml:space="preserve"> pieskaitāms </w:t>
            </w:r>
            <w:proofErr w:type="spellStart"/>
            <w:r w:rsidR="009D4985" w:rsidRPr="009D4985">
              <w:t>limfadenīts</w:t>
            </w:r>
            <w:proofErr w:type="spellEnd"/>
            <w:r w:rsidR="009D4985" w:rsidRPr="009D4985">
              <w:t>, ja limfmezgla lielums ir</w:t>
            </w:r>
            <w:r w:rsidR="009D4985">
              <w:rPr>
                <w:i/>
              </w:rPr>
              <w:t xml:space="preserve"> mazāks par 1 cm. </w:t>
            </w:r>
            <w:r w:rsidR="00D8565A" w:rsidRPr="00D8565A">
              <w:t>Līdz ar to</w:t>
            </w:r>
            <w:r w:rsidR="00D8565A">
              <w:rPr>
                <w:i/>
              </w:rPr>
              <w:t xml:space="preserve"> </w:t>
            </w:r>
            <w:r w:rsidR="00D8565A">
              <w:t>nepieciešams precīzāks skaidrojums par komplikācijām pēc BCG vakcinācijas, jo ga</w:t>
            </w:r>
            <w:r w:rsidR="00BE7D47" w:rsidRPr="001B308F">
              <w:t>n valsts aģentūrai „Latvijas Infektoloģijas centrs”</w:t>
            </w:r>
            <w:r w:rsidR="00B35FC5">
              <w:t xml:space="preserve"> (turpmāk – Latvijas Infektoloģijas centrs)</w:t>
            </w:r>
            <w:r w:rsidR="001510A9">
              <w:t>,</w:t>
            </w:r>
            <w:r w:rsidR="00B00EB4">
              <w:t xml:space="preserve"> gan Zāļu valsts aģentūrai</w:t>
            </w:r>
            <w:r w:rsidR="001510A9">
              <w:t xml:space="preserve"> ir problemātiski precīzi </w:t>
            </w:r>
            <w:r w:rsidR="001510A9">
              <w:lastRenderedPageBreak/>
              <w:t>klasificēt komplikāciju gadījumus un veikt efektīvu riska novērtējumu</w:t>
            </w:r>
            <w:r w:rsidR="00D8565A">
              <w:t xml:space="preserve"> pēc ārstniecības personu iesniegtajiem datiem.</w:t>
            </w:r>
          </w:p>
          <w:p w:rsidR="00A178E6" w:rsidRDefault="001C2BAD" w:rsidP="00D8565A">
            <w:pPr>
              <w:jc w:val="both"/>
            </w:pPr>
            <w:r>
              <w:t xml:space="preserve"> Lai uzlabotu un precizētu diagnostiku ir papildināts vakcinācijas izraisītās komplikācijas</w:t>
            </w:r>
            <w:r w:rsidR="00463CBC">
              <w:t xml:space="preserve"> </w:t>
            </w:r>
            <w:r>
              <w:t xml:space="preserve">- limfadenīta skaidrojums. Praksē pierādīts, ka nepieciešams </w:t>
            </w:r>
            <w:r w:rsidR="00A178E6">
              <w:t xml:space="preserve">precizēt arī </w:t>
            </w:r>
            <w:r w:rsidR="00BE7D47" w:rsidRPr="001B308F">
              <w:t>limfmezglu saturu</w:t>
            </w:r>
            <w:r w:rsidR="00134BBE">
              <w:t>,</w:t>
            </w:r>
            <w:r w:rsidR="00DA5E34">
              <w:t xml:space="preserve"> lai ārstniecības personai</w:t>
            </w:r>
            <w:r w:rsidR="002A5885">
              <w:t xml:space="preserve"> būtu vieglāk konstatēt iespējamo pēc</w:t>
            </w:r>
            <w:r w:rsidR="00DA5E34">
              <w:t xml:space="preserve"> BCG vakcinācijas izraisīto komplikāciju</w:t>
            </w:r>
            <w:r w:rsidR="002A5885">
              <w:t>, kā arī, lai noteiktu vienotu pieeju BCG vakcinācijas izraisīto komplikāciju diagnostikā.</w:t>
            </w:r>
            <w:r w:rsidR="00DA5E34">
              <w:t xml:space="preserve"> Līdz šim šād</w:t>
            </w:r>
            <w:r w:rsidR="002A5885">
              <w:t>a</w:t>
            </w:r>
            <w:r w:rsidR="00DA5E34">
              <w:t xml:space="preserve"> skaidrojum</w:t>
            </w:r>
            <w:r w:rsidR="002A5885">
              <w:t>a par limfmezglu saturu</w:t>
            </w:r>
            <w:r w:rsidR="00DA5E34">
              <w:t xml:space="preserve"> MK noteikumos nebija</w:t>
            </w:r>
            <w:r w:rsidR="002A5885">
              <w:t xml:space="preserve">, līdz ar to </w:t>
            </w:r>
            <w:r w:rsidR="002A5885" w:rsidRPr="001B308F">
              <w:t>diagnoze par strutainu limfadenīt</w:t>
            </w:r>
            <w:r w:rsidR="002A5885">
              <w:t>a esamību</w:t>
            </w:r>
            <w:r w:rsidR="002A5885" w:rsidRPr="001B308F">
              <w:t xml:space="preserve"> </w:t>
            </w:r>
            <w:r w:rsidR="002A5885">
              <w:t xml:space="preserve">varēja radīt šaubas. </w:t>
            </w:r>
          </w:p>
          <w:p w:rsidR="00A178E6" w:rsidRDefault="00A178E6" w:rsidP="00A178E6">
            <w:pPr>
              <w:pStyle w:val="NormalWeb"/>
              <w:spacing w:before="0" w:after="120"/>
              <w:ind w:firstLine="127"/>
              <w:jc w:val="both"/>
              <w:rPr>
                <w:rFonts w:eastAsia="Times New Roman"/>
                <w:lang w:eastAsia="lv-LV"/>
              </w:rPr>
            </w:pPr>
            <w:r>
              <w:rPr>
                <w:rFonts w:eastAsia="Times New Roman"/>
                <w:lang w:eastAsia="lv-LV"/>
              </w:rPr>
              <w:t>Precizēt</w:t>
            </w:r>
            <w:r w:rsidR="00532924">
              <w:rPr>
                <w:rFonts w:eastAsia="Times New Roman"/>
                <w:lang w:eastAsia="lv-LV"/>
              </w:rPr>
              <w:t>i</w:t>
            </w:r>
            <w:r>
              <w:rPr>
                <w:rFonts w:eastAsia="Times New Roman"/>
                <w:lang w:eastAsia="lv-LV"/>
              </w:rPr>
              <w:t xml:space="preserve"> arī skaidrojum</w:t>
            </w:r>
            <w:r w:rsidR="00532924">
              <w:rPr>
                <w:rFonts w:eastAsia="Times New Roman"/>
                <w:lang w:eastAsia="lv-LV"/>
              </w:rPr>
              <w:t>i par vakcinācijas izraisītajām komplikācijām:</w:t>
            </w:r>
            <w:r>
              <w:rPr>
                <w:rFonts w:eastAsia="Times New Roman"/>
                <w:lang w:eastAsia="lv-LV"/>
              </w:rPr>
              <w:t xml:space="preserve"> abscesu injekcijas vietā un </w:t>
            </w:r>
            <w:r w:rsidR="00532924">
              <w:rPr>
                <w:rFonts w:eastAsia="Times New Roman"/>
                <w:lang w:eastAsia="lv-LV"/>
              </w:rPr>
              <w:t>osteītu/osteomielītu.</w:t>
            </w:r>
          </w:p>
          <w:p w:rsidR="00CF091A" w:rsidRDefault="00CF091A" w:rsidP="00A178E6">
            <w:pPr>
              <w:pStyle w:val="NormalWeb"/>
              <w:spacing w:before="0" w:after="120"/>
              <w:ind w:firstLine="127"/>
              <w:jc w:val="both"/>
              <w:rPr>
                <w:rFonts w:eastAsia="Times New Roman"/>
                <w:lang w:eastAsia="lv-LV"/>
              </w:rPr>
            </w:pPr>
            <w:r>
              <w:rPr>
                <w:rFonts w:eastAsia="Times New Roman"/>
                <w:lang w:eastAsia="lv-LV"/>
              </w:rPr>
              <w:t xml:space="preserve">Atbilstoši PVO vadlīnijām par imunizācijas programmu uzraudzību noteikumu projektā ir veiktas izmaiņas attiecībā uz vakcinācijas izraisīto komplikāciju- osteītu/osteomielītu, nosakot 16 mēnešus pēc BCG vakcinācijas veikšanas. </w:t>
            </w:r>
          </w:p>
          <w:p w:rsidR="00532924" w:rsidRDefault="00532924" w:rsidP="00532924">
            <w:pPr>
              <w:pStyle w:val="NormalWeb"/>
              <w:spacing w:before="0" w:after="120"/>
              <w:ind w:firstLine="127"/>
              <w:jc w:val="both"/>
              <w:rPr>
                <w:rFonts w:eastAsia="Times New Roman"/>
                <w:lang w:eastAsia="lv-LV"/>
              </w:rPr>
            </w:pPr>
            <w:r>
              <w:rPr>
                <w:rFonts w:eastAsia="Times New Roman"/>
                <w:lang w:eastAsia="lv-LV"/>
              </w:rPr>
              <w:t>Noteikumu projekts papildināts ar vakcinācijas izraisītu komplikāciju - nedzīstoša čūla injekcijas vietā. Līdz šim MK noteikumi nenoteica ārstniecības personas ziņošanu šād</w:t>
            </w:r>
            <w:r w:rsidR="008A2EEF">
              <w:rPr>
                <w:rFonts w:eastAsia="Times New Roman"/>
                <w:lang w:eastAsia="lv-LV"/>
              </w:rPr>
              <w:t>as</w:t>
            </w:r>
            <w:r>
              <w:rPr>
                <w:rFonts w:eastAsia="Times New Roman"/>
                <w:lang w:eastAsia="lv-LV"/>
              </w:rPr>
              <w:t xml:space="preserve"> komplikācij</w:t>
            </w:r>
            <w:r w:rsidR="008A2EEF">
              <w:rPr>
                <w:rFonts w:eastAsia="Times New Roman"/>
                <w:lang w:eastAsia="lv-LV"/>
              </w:rPr>
              <w:t>as</w:t>
            </w:r>
            <w:r>
              <w:rPr>
                <w:rFonts w:eastAsia="Times New Roman"/>
                <w:lang w:eastAsia="lv-LV"/>
              </w:rPr>
              <w:t xml:space="preserve"> gadījum</w:t>
            </w:r>
            <w:r w:rsidR="008A2EEF">
              <w:rPr>
                <w:rFonts w:eastAsia="Times New Roman"/>
                <w:lang w:eastAsia="lv-LV"/>
              </w:rPr>
              <w:t>ā</w:t>
            </w:r>
            <w:r>
              <w:rPr>
                <w:rFonts w:eastAsia="Times New Roman"/>
                <w:lang w:eastAsia="lv-LV"/>
              </w:rPr>
              <w:t>.</w:t>
            </w:r>
          </w:p>
          <w:p w:rsidR="00BC29C9" w:rsidRDefault="00BC29C9" w:rsidP="00532924">
            <w:pPr>
              <w:pStyle w:val="NormalWeb"/>
              <w:spacing w:before="0" w:after="120"/>
              <w:ind w:firstLine="127"/>
              <w:jc w:val="both"/>
              <w:rPr>
                <w:rFonts w:eastAsia="Times New Roman"/>
                <w:lang w:eastAsia="lv-LV"/>
              </w:rPr>
            </w:pPr>
            <w:r w:rsidRPr="001B308F">
              <w:rPr>
                <w:rFonts w:eastAsia="Times New Roman"/>
                <w:lang w:eastAsia="lv-LV"/>
              </w:rPr>
              <w:t>Lai varētu veikt datu saskaņotu vērtēšanu Latvijā un datu apmaiņu ar E</w:t>
            </w:r>
            <w:r w:rsidR="00B52C7B">
              <w:rPr>
                <w:rFonts w:eastAsia="Times New Roman"/>
                <w:lang w:eastAsia="lv-LV"/>
              </w:rPr>
              <w:t>iropas Savienību</w:t>
            </w:r>
            <w:r w:rsidRPr="001B308F">
              <w:rPr>
                <w:rFonts w:eastAsia="Times New Roman"/>
                <w:lang w:eastAsia="lv-LV"/>
              </w:rPr>
              <w:t xml:space="preserve">, </w:t>
            </w:r>
            <w:r w:rsidR="00B52C7B">
              <w:rPr>
                <w:rFonts w:eastAsia="Times New Roman"/>
                <w:lang w:eastAsia="lv-LV"/>
              </w:rPr>
              <w:t>ar</w:t>
            </w:r>
            <w:r w:rsidRPr="001B308F">
              <w:rPr>
                <w:rFonts w:eastAsia="Times New Roman"/>
                <w:lang w:eastAsia="lv-LV"/>
              </w:rPr>
              <w:t xml:space="preserve"> E</w:t>
            </w:r>
            <w:r w:rsidR="00B52C7B">
              <w:rPr>
                <w:rFonts w:eastAsia="Times New Roman"/>
                <w:lang w:eastAsia="lv-LV"/>
              </w:rPr>
              <w:t xml:space="preserve">iropas Savienības </w:t>
            </w:r>
            <w:r w:rsidRPr="001B308F">
              <w:rPr>
                <w:rFonts w:eastAsia="Times New Roman"/>
                <w:lang w:eastAsia="lv-LV"/>
              </w:rPr>
              <w:t>datubāz</w:t>
            </w:r>
            <w:r w:rsidR="00B52C7B">
              <w:rPr>
                <w:rFonts w:eastAsia="Times New Roman"/>
                <w:lang w:eastAsia="lv-LV"/>
              </w:rPr>
              <w:t>i</w:t>
            </w:r>
            <w:r w:rsidRPr="001B308F">
              <w:rPr>
                <w:rFonts w:eastAsia="Times New Roman"/>
                <w:lang w:eastAsia="lv-LV"/>
              </w:rPr>
              <w:t xml:space="preserve"> </w:t>
            </w:r>
            <w:r w:rsidR="00B52C7B">
              <w:rPr>
                <w:rFonts w:eastAsia="Times New Roman"/>
                <w:lang w:eastAsia="lv-LV"/>
              </w:rPr>
              <w:t>par zāļu lietošanas drošības uzraudzību (</w:t>
            </w:r>
            <w:r w:rsidRPr="001B308F">
              <w:rPr>
                <w:rFonts w:eastAsia="Times New Roman"/>
                <w:lang w:eastAsia="lv-LV"/>
              </w:rPr>
              <w:t>Eudra Vigilance</w:t>
            </w:r>
            <w:r w:rsidR="00B52C7B">
              <w:rPr>
                <w:rFonts w:eastAsia="Times New Roman"/>
                <w:lang w:eastAsia="lv-LV"/>
              </w:rPr>
              <w:t>)</w:t>
            </w:r>
            <w:r w:rsidRPr="001B308F">
              <w:rPr>
                <w:rFonts w:eastAsia="Times New Roman"/>
                <w:lang w:eastAsia="lv-LV"/>
              </w:rPr>
              <w:t xml:space="preserve">, nepieciešami terminoloģijas precizējumi, kā arī nepieciešams pilnveidot definīcijas: </w:t>
            </w:r>
            <w:r w:rsidR="001B308F" w:rsidRPr="001B308F">
              <w:rPr>
                <w:rFonts w:eastAsia="Times New Roman"/>
                <w:lang w:eastAsia="lv-LV"/>
              </w:rPr>
              <w:t xml:space="preserve">abscess, </w:t>
            </w:r>
            <w:r w:rsidRPr="001B308F">
              <w:rPr>
                <w:rFonts w:eastAsia="Times New Roman"/>
                <w:lang w:eastAsia="lv-LV"/>
              </w:rPr>
              <w:t xml:space="preserve">limfadenīts, strutains limfadenīts u.c.  </w:t>
            </w:r>
          </w:p>
          <w:p w:rsidR="009766F9" w:rsidRPr="001B308F" w:rsidRDefault="009766F9" w:rsidP="00465E58">
            <w:pPr>
              <w:pStyle w:val="NormalWeb"/>
              <w:spacing w:before="0" w:after="120"/>
              <w:ind w:firstLine="127"/>
              <w:jc w:val="both"/>
              <w:rPr>
                <w:rFonts w:eastAsia="Times New Roman"/>
                <w:lang w:eastAsia="lv-LV"/>
              </w:rPr>
            </w:pPr>
            <w:r>
              <w:rPr>
                <w:rFonts w:eastAsia="Times New Roman"/>
                <w:lang w:eastAsia="lv-LV"/>
              </w:rPr>
              <w:t xml:space="preserve">Pieņemot </w:t>
            </w:r>
            <w:r w:rsidR="00465E58">
              <w:rPr>
                <w:rFonts w:eastAsia="Times New Roman"/>
                <w:lang w:eastAsia="lv-LV"/>
              </w:rPr>
              <w:t xml:space="preserve">noteikumu projektu tiks uzlabota iespējamo pēcvakcinācijas izraisīto komplikāciju uzraudzība, kas savukārt dos iespēju savlaicīgi uzsākt gadījuma epidemioloģisko izmeklēšanu. </w:t>
            </w:r>
          </w:p>
        </w:tc>
      </w:tr>
      <w:tr w:rsidR="002F17DF" w:rsidRPr="001B308F" w:rsidTr="00D461B3">
        <w:trPr>
          <w:trHeight w:val="759"/>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1B308F" w:rsidRDefault="002F17DF" w:rsidP="002F17DF">
            <w:pPr>
              <w:spacing w:before="100" w:beforeAutospacing="1" w:after="100" w:afterAutospacing="1"/>
            </w:pPr>
            <w:r w:rsidRPr="001B308F">
              <w:lastRenderedPageBreak/>
              <w:t> 3.</w:t>
            </w:r>
          </w:p>
        </w:tc>
        <w:tc>
          <w:tcPr>
            <w:tcW w:w="3032" w:type="dxa"/>
            <w:tcBorders>
              <w:top w:val="outset" w:sz="6" w:space="0" w:color="auto"/>
              <w:left w:val="outset" w:sz="6" w:space="0" w:color="auto"/>
              <w:bottom w:val="outset" w:sz="6" w:space="0" w:color="auto"/>
              <w:right w:val="outset" w:sz="6" w:space="0" w:color="auto"/>
            </w:tcBorders>
            <w:hideMark/>
          </w:tcPr>
          <w:p w:rsidR="002F17DF" w:rsidRPr="001B308F" w:rsidRDefault="002F17DF" w:rsidP="002F17DF">
            <w:pPr>
              <w:spacing w:before="100" w:beforeAutospacing="1" w:after="100" w:afterAutospacing="1"/>
            </w:pPr>
            <w:r w:rsidRPr="001B308F">
              <w:t> Saistītie politikas ietekmes novērtējumi un pētījumi</w:t>
            </w:r>
          </w:p>
        </w:tc>
        <w:tc>
          <w:tcPr>
            <w:tcW w:w="5542" w:type="dxa"/>
            <w:tcBorders>
              <w:top w:val="outset" w:sz="6" w:space="0" w:color="auto"/>
              <w:left w:val="outset" w:sz="6" w:space="0" w:color="auto"/>
              <w:bottom w:val="outset" w:sz="6" w:space="0" w:color="auto"/>
              <w:right w:val="outset" w:sz="6" w:space="0" w:color="auto"/>
            </w:tcBorders>
            <w:hideMark/>
          </w:tcPr>
          <w:p w:rsidR="002F17DF" w:rsidRPr="001B308F" w:rsidRDefault="001B308F" w:rsidP="001B308F">
            <w:pPr>
              <w:spacing w:before="100" w:beforeAutospacing="1" w:after="100" w:afterAutospacing="1"/>
              <w:ind w:firstLine="127"/>
            </w:pPr>
            <w:r w:rsidRPr="001B308F">
              <w:t>Projekts šo jomu neskar.</w:t>
            </w:r>
          </w:p>
        </w:tc>
      </w:tr>
      <w:tr w:rsidR="002F17DF" w:rsidRPr="001B308F" w:rsidTr="002F17DF">
        <w:trPr>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1B308F" w:rsidRDefault="002F17DF" w:rsidP="002F17DF">
            <w:pPr>
              <w:spacing w:before="100" w:beforeAutospacing="1" w:after="100" w:afterAutospacing="1"/>
            </w:pPr>
            <w:r w:rsidRPr="001B308F">
              <w:t> 4.</w:t>
            </w:r>
          </w:p>
        </w:tc>
        <w:tc>
          <w:tcPr>
            <w:tcW w:w="3032" w:type="dxa"/>
            <w:tcBorders>
              <w:top w:val="outset" w:sz="6" w:space="0" w:color="auto"/>
              <w:left w:val="outset" w:sz="6" w:space="0" w:color="auto"/>
              <w:bottom w:val="outset" w:sz="6" w:space="0" w:color="auto"/>
              <w:right w:val="outset" w:sz="6" w:space="0" w:color="auto"/>
            </w:tcBorders>
            <w:hideMark/>
          </w:tcPr>
          <w:p w:rsidR="002F17DF" w:rsidRPr="001B308F" w:rsidRDefault="002F17DF" w:rsidP="002F17DF">
            <w:pPr>
              <w:spacing w:before="100" w:beforeAutospacing="1" w:after="100" w:afterAutospacing="1"/>
            </w:pPr>
            <w:r w:rsidRPr="001B308F">
              <w:t> Tiesiskā regulējuma mērķis un būtība</w:t>
            </w:r>
          </w:p>
        </w:tc>
        <w:tc>
          <w:tcPr>
            <w:tcW w:w="5542" w:type="dxa"/>
            <w:tcBorders>
              <w:top w:val="outset" w:sz="6" w:space="0" w:color="auto"/>
              <w:left w:val="outset" w:sz="6" w:space="0" w:color="auto"/>
              <w:bottom w:val="outset" w:sz="6" w:space="0" w:color="auto"/>
              <w:right w:val="outset" w:sz="6" w:space="0" w:color="auto"/>
            </w:tcBorders>
            <w:hideMark/>
          </w:tcPr>
          <w:p w:rsidR="00841A26" w:rsidRPr="0000783C" w:rsidRDefault="002F17DF" w:rsidP="00215749">
            <w:pPr>
              <w:spacing w:after="120"/>
              <w:ind w:firstLine="125"/>
              <w:jc w:val="both"/>
              <w:rPr>
                <w:i/>
              </w:rPr>
            </w:pPr>
            <w:r w:rsidRPr="001B308F">
              <w:t> </w:t>
            </w:r>
            <w:r w:rsidR="00676221" w:rsidRPr="0000783C">
              <w:t xml:space="preserve">Noteikumu </w:t>
            </w:r>
            <w:r w:rsidR="002D4E97" w:rsidRPr="0000783C">
              <w:t xml:space="preserve">projekta </w:t>
            </w:r>
            <w:r w:rsidR="003D3D72" w:rsidRPr="0000783C">
              <w:t xml:space="preserve">mērķis ir </w:t>
            </w:r>
            <w:r w:rsidR="00400A9B" w:rsidRPr="0000783C">
              <w:t xml:space="preserve">uzlabot </w:t>
            </w:r>
            <w:r w:rsidR="004C0123" w:rsidRPr="0000783C">
              <w:t>nevēlamu notikumu pēc</w:t>
            </w:r>
            <w:r w:rsidR="00665BAB" w:rsidRPr="0000783C">
              <w:t xml:space="preserve">vakcinācijas </w:t>
            </w:r>
            <w:r w:rsidR="004C0123" w:rsidRPr="0000783C">
              <w:t xml:space="preserve">periodā </w:t>
            </w:r>
            <w:r w:rsidR="00665BAB" w:rsidRPr="0000783C">
              <w:t>uzraudzību</w:t>
            </w:r>
            <w:r w:rsidR="002D4E97" w:rsidRPr="0000783C">
              <w:t>, konstatējot iespējam</w:t>
            </w:r>
            <w:r w:rsidR="004C0123" w:rsidRPr="0000783C">
              <w:t>ās vakcinācijas izraisītās komplikācijas</w:t>
            </w:r>
            <w:r w:rsidR="0000783C">
              <w:t xml:space="preserve">.  </w:t>
            </w:r>
          </w:p>
          <w:p w:rsidR="0000783C" w:rsidRDefault="00CF38CA" w:rsidP="0000783C">
            <w:pPr>
              <w:spacing w:after="120"/>
              <w:ind w:firstLine="125"/>
              <w:jc w:val="both"/>
            </w:pPr>
            <w:r w:rsidRPr="001B308F">
              <w:t xml:space="preserve">Noteikumu projekts precizē </w:t>
            </w:r>
            <w:r w:rsidR="004C0123" w:rsidRPr="001B308F">
              <w:t>vakcinācijas izraisīto komplikāciju terminoloģiju</w:t>
            </w:r>
            <w:r w:rsidR="002A0B2F" w:rsidRPr="001B308F">
              <w:t xml:space="preserve"> un gadījuma definīcij</w:t>
            </w:r>
            <w:r w:rsidR="001B308F" w:rsidRPr="001B308F">
              <w:t>as</w:t>
            </w:r>
            <w:r w:rsidR="00BA3A6F" w:rsidRPr="001B308F">
              <w:t>,</w:t>
            </w:r>
            <w:r w:rsidR="002A0B2F" w:rsidRPr="001B308F">
              <w:t xml:space="preserve"> pamatojoties uz Pasaules Veselības organizācijas rekomendācijām</w:t>
            </w:r>
            <w:r w:rsidR="00AC3417">
              <w:t>,</w:t>
            </w:r>
            <w:r w:rsidR="002A0B2F" w:rsidRPr="001B308F">
              <w:t xml:space="preserve"> BCG vakcīnas ražotāja  (</w:t>
            </w:r>
            <w:proofErr w:type="spellStart"/>
            <w:r w:rsidR="002A0B2F" w:rsidRPr="001B308F">
              <w:t>Statens</w:t>
            </w:r>
            <w:proofErr w:type="spellEnd"/>
            <w:r w:rsidR="002A0B2F" w:rsidRPr="001B308F">
              <w:t xml:space="preserve"> </w:t>
            </w:r>
            <w:proofErr w:type="spellStart"/>
            <w:r w:rsidR="002A0B2F" w:rsidRPr="001B308F">
              <w:t>Serum</w:t>
            </w:r>
            <w:proofErr w:type="spellEnd"/>
            <w:r w:rsidR="002A0B2F" w:rsidRPr="001B308F">
              <w:t xml:space="preserve"> </w:t>
            </w:r>
            <w:proofErr w:type="spellStart"/>
            <w:r w:rsidR="002A0B2F" w:rsidRPr="001B308F">
              <w:t>Institut</w:t>
            </w:r>
            <w:proofErr w:type="spellEnd"/>
            <w:r w:rsidR="002A0B2F" w:rsidRPr="001B308F">
              <w:t>) zāļu aprakstu</w:t>
            </w:r>
            <w:r w:rsidR="00AC3417">
              <w:t xml:space="preserve">, kā arī Latvijas speciālistu </w:t>
            </w:r>
            <w:r w:rsidR="00AC3417">
              <w:lastRenderedPageBreak/>
              <w:t>zināšanām un praktisku pieredzi un epidemiologu rīcībā esošajiem datiem.</w:t>
            </w:r>
            <w:r w:rsidR="002A0B2F" w:rsidRPr="001B308F">
              <w:t xml:space="preserve"> </w:t>
            </w:r>
          </w:p>
          <w:p w:rsidR="00532924" w:rsidRDefault="00F500EC" w:rsidP="00532924">
            <w:pPr>
              <w:spacing w:after="120"/>
              <w:ind w:firstLine="125"/>
              <w:jc w:val="both"/>
            </w:pPr>
            <w:r w:rsidRPr="001B308F">
              <w:t>No</w:t>
            </w:r>
            <w:r w:rsidR="0000783C">
              <w:t>teikumu projekts</w:t>
            </w:r>
            <w:r w:rsidR="008313AB" w:rsidRPr="001B308F">
              <w:t xml:space="preserve">: uzlabo </w:t>
            </w:r>
            <w:r w:rsidRPr="001B308F">
              <w:t>vakcinācijas drošības uzraudzīb</w:t>
            </w:r>
            <w:r w:rsidR="008313AB" w:rsidRPr="001B308F">
              <w:t xml:space="preserve">u un </w:t>
            </w:r>
            <w:r w:rsidRPr="001B308F">
              <w:t>ar komplikācijām saistīto gadījumu</w:t>
            </w:r>
            <w:r w:rsidR="008313AB" w:rsidRPr="001B308F">
              <w:t xml:space="preserve"> operatīvu epidemioloģisko izmeklēšanu un, ja nepieciešams, </w:t>
            </w:r>
            <w:r w:rsidR="00532924">
              <w:t xml:space="preserve">dod iespēju </w:t>
            </w:r>
            <w:r w:rsidR="008313AB" w:rsidRPr="001B308F">
              <w:t>apturēt apšaubāmas kvalitātes vakcīnu lietošanu vai novērst citus vakcinācijas riska faktorus</w:t>
            </w:r>
            <w:r w:rsidR="00B52C7B">
              <w:t xml:space="preserve">, kā arī sniedz </w:t>
            </w:r>
            <w:r w:rsidR="002635FB">
              <w:t xml:space="preserve">papildus </w:t>
            </w:r>
            <w:r w:rsidR="00B52C7B">
              <w:t xml:space="preserve">skaidrojumu par atsevišķām </w:t>
            </w:r>
            <w:r w:rsidR="0000783C">
              <w:t>BCG pēc</w:t>
            </w:r>
            <w:r w:rsidR="00B52C7B">
              <w:t xml:space="preserve">vakcinācijas </w:t>
            </w:r>
            <w:r w:rsidR="0000783C">
              <w:t>komplikācijām</w:t>
            </w:r>
            <w:r w:rsidR="00532924">
              <w:t>:</w:t>
            </w:r>
          </w:p>
          <w:p w:rsidR="00532924" w:rsidRDefault="00532924" w:rsidP="00532924">
            <w:pPr>
              <w:pStyle w:val="ListParagraph"/>
              <w:numPr>
                <w:ilvl w:val="0"/>
                <w:numId w:val="2"/>
              </w:numPr>
              <w:spacing w:after="120"/>
              <w:jc w:val="both"/>
            </w:pPr>
            <w:r>
              <w:t>par abscesu injekcijas vietā;</w:t>
            </w:r>
          </w:p>
          <w:p w:rsidR="00532924" w:rsidRDefault="00532924" w:rsidP="00532924">
            <w:pPr>
              <w:pStyle w:val="ListParagraph"/>
              <w:numPr>
                <w:ilvl w:val="0"/>
                <w:numId w:val="2"/>
              </w:numPr>
              <w:spacing w:after="120"/>
              <w:jc w:val="both"/>
            </w:pPr>
            <w:r>
              <w:t>par auksto abscesu;</w:t>
            </w:r>
          </w:p>
          <w:p w:rsidR="008A2EEF" w:rsidRDefault="008A2EEF" w:rsidP="00532924">
            <w:pPr>
              <w:pStyle w:val="ListParagraph"/>
              <w:numPr>
                <w:ilvl w:val="0"/>
                <w:numId w:val="2"/>
              </w:numPr>
              <w:spacing w:after="120"/>
              <w:jc w:val="both"/>
            </w:pPr>
            <w:r>
              <w:t>par nedzīstošu čūlu injekcijas vietā;</w:t>
            </w:r>
          </w:p>
          <w:p w:rsidR="008A2EEF" w:rsidRDefault="008A2EEF" w:rsidP="00532924">
            <w:pPr>
              <w:pStyle w:val="ListParagraph"/>
              <w:numPr>
                <w:ilvl w:val="0"/>
                <w:numId w:val="2"/>
              </w:numPr>
              <w:spacing w:after="120"/>
              <w:jc w:val="both"/>
            </w:pPr>
            <w:r>
              <w:t xml:space="preserve">par </w:t>
            </w:r>
            <w:proofErr w:type="spellStart"/>
            <w:r>
              <w:t>limfadenītu</w:t>
            </w:r>
            <w:proofErr w:type="spellEnd"/>
            <w:r>
              <w:t>;</w:t>
            </w:r>
          </w:p>
          <w:p w:rsidR="008A2EEF" w:rsidRDefault="008A2EEF" w:rsidP="00532924">
            <w:pPr>
              <w:pStyle w:val="ListParagraph"/>
              <w:numPr>
                <w:ilvl w:val="0"/>
                <w:numId w:val="2"/>
              </w:numPr>
              <w:spacing w:after="120"/>
              <w:jc w:val="both"/>
            </w:pPr>
            <w:r>
              <w:t xml:space="preserve">par </w:t>
            </w:r>
            <w:proofErr w:type="spellStart"/>
            <w:r>
              <w:t>osteītu</w:t>
            </w:r>
            <w:proofErr w:type="spellEnd"/>
            <w:r>
              <w:t>/</w:t>
            </w:r>
            <w:proofErr w:type="spellStart"/>
            <w:r>
              <w:t>osteomielītu</w:t>
            </w:r>
            <w:proofErr w:type="spellEnd"/>
            <w:r>
              <w:t>,</w:t>
            </w:r>
          </w:p>
          <w:p w:rsidR="00F500EC" w:rsidRDefault="008A2EEF" w:rsidP="007B39A5">
            <w:pPr>
              <w:spacing w:after="120"/>
              <w:ind w:firstLine="125"/>
              <w:jc w:val="both"/>
            </w:pPr>
            <w:r>
              <w:t>lai</w:t>
            </w:r>
            <w:r w:rsidR="0000783C">
              <w:t xml:space="preserve"> palīdzē</w:t>
            </w:r>
            <w:r>
              <w:t>tu</w:t>
            </w:r>
            <w:r w:rsidR="0000783C">
              <w:t xml:space="preserve"> ārstniecības personai izvērtēt nevēlamu notikumu pēcvakcinācijas periodā. </w:t>
            </w:r>
          </w:p>
          <w:p w:rsidR="007B39A5" w:rsidRPr="001B308F" w:rsidRDefault="007B39A5" w:rsidP="00DD772E">
            <w:pPr>
              <w:spacing w:after="120"/>
              <w:ind w:firstLine="125"/>
              <w:jc w:val="both"/>
            </w:pPr>
            <w:r>
              <w:t xml:space="preserve">Izvērtējot pēcvakcinācijas komplikāciju </w:t>
            </w:r>
            <w:proofErr w:type="spellStart"/>
            <w:r>
              <w:t>osteīts</w:t>
            </w:r>
            <w:proofErr w:type="spellEnd"/>
            <w:r>
              <w:t>/</w:t>
            </w:r>
            <w:proofErr w:type="spellStart"/>
            <w:r>
              <w:t>osteomielīts</w:t>
            </w:r>
            <w:proofErr w:type="spellEnd"/>
            <w:r>
              <w:t xml:space="preserve"> ir noteikts lielāks laika sprīdis pēcvakcinācijas periodā -</w:t>
            </w:r>
            <w:r w:rsidR="00E4252A">
              <w:t xml:space="preserve"> </w:t>
            </w:r>
            <w:r>
              <w:t>16 mēneši, kad var rasties iespējamā</w:t>
            </w:r>
            <w:r w:rsidR="00DD772E">
              <w:t>s</w:t>
            </w:r>
            <w:r>
              <w:t xml:space="preserve"> komplikācija</w:t>
            </w:r>
            <w:r w:rsidR="00C9471C">
              <w:t>s</w:t>
            </w:r>
            <w:r>
              <w:t>, saskaņā ar PVO metodiskiem norādījumiem „</w:t>
            </w:r>
            <w:r w:rsidR="00DD772E">
              <w:t>Nevēlamu gadījumu uzraudzība</w:t>
            </w:r>
            <w:r>
              <w:t xml:space="preserve"> pēc vakcinācijas”. </w:t>
            </w:r>
          </w:p>
        </w:tc>
      </w:tr>
      <w:tr w:rsidR="002F17DF" w:rsidRPr="001B308F" w:rsidTr="002F17DF">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1B308F" w:rsidRDefault="002F17DF" w:rsidP="002F17DF">
            <w:pPr>
              <w:spacing w:before="100" w:beforeAutospacing="1" w:after="100" w:afterAutospacing="1"/>
            </w:pPr>
            <w:r w:rsidRPr="001B308F">
              <w:lastRenderedPageBreak/>
              <w:t> 5.</w:t>
            </w:r>
          </w:p>
        </w:tc>
        <w:tc>
          <w:tcPr>
            <w:tcW w:w="3032" w:type="dxa"/>
            <w:tcBorders>
              <w:top w:val="outset" w:sz="6" w:space="0" w:color="auto"/>
              <w:left w:val="outset" w:sz="6" w:space="0" w:color="auto"/>
              <w:bottom w:val="outset" w:sz="6" w:space="0" w:color="auto"/>
              <w:right w:val="outset" w:sz="6" w:space="0" w:color="auto"/>
            </w:tcBorders>
            <w:hideMark/>
          </w:tcPr>
          <w:p w:rsidR="002F17DF" w:rsidRPr="001B308F" w:rsidRDefault="002F17DF" w:rsidP="002F17DF">
            <w:pPr>
              <w:spacing w:before="100" w:beforeAutospacing="1" w:after="100" w:afterAutospacing="1"/>
            </w:pPr>
            <w:r w:rsidRPr="001B308F">
              <w:t> Projekta izstrādē iesaistītās institūcijas</w:t>
            </w:r>
          </w:p>
        </w:tc>
        <w:tc>
          <w:tcPr>
            <w:tcW w:w="5542" w:type="dxa"/>
            <w:tcBorders>
              <w:top w:val="outset" w:sz="6" w:space="0" w:color="auto"/>
              <w:left w:val="outset" w:sz="6" w:space="0" w:color="auto"/>
              <w:bottom w:val="outset" w:sz="6" w:space="0" w:color="auto"/>
              <w:right w:val="outset" w:sz="6" w:space="0" w:color="auto"/>
            </w:tcBorders>
            <w:hideMark/>
          </w:tcPr>
          <w:p w:rsidR="002F17DF" w:rsidRPr="001B308F" w:rsidRDefault="002F17DF" w:rsidP="00B35FC5">
            <w:pPr>
              <w:autoSpaceDE w:val="0"/>
              <w:autoSpaceDN w:val="0"/>
              <w:adjustRightInd w:val="0"/>
              <w:spacing w:after="120"/>
              <w:ind w:right="57"/>
              <w:jc w:val="both"/>
              <w:rPr>
                <w:color w:val="2A2A2A"/>
              </w:rPr>
            </w:pPr>
            <w:r w:rsidRPr="001B308F">
              <w:t> </w:t>
            </w:r>
            <w:r w:rsidR="00400A9B" w:rsidRPr="001B308F">
              <w:t>Noteikumu p</w:t>
            </w:r>
            <w:r w:rsidR="0098497C" w:rsidRPr="001B308F">
              <w:t>rojekt</w:t>
            </w:r>
            <w:r w:rsidR="00FC03CA">
              <w:t>a izstrādē iesaistīt</w:t>
            </w:r>
            <w:r w:rsidR="002635FB">
              <w:t>a</w:t>
            </w:r>
            <w:r w:rsidR="0098497C" w:rsidRPr="001B308F">
              <w:rPr>
                <w:color w:val="2A2A2A"/>
              </w:rPr>
              <w:t xml:space="preserve"> </w:t>
            </w:r>
            <w:r w:rsidR="00115CAE">
              <w:rPr>
                <w:color w:val="2A2A2A"/>
              </w:rPr>
              <w:t xml:space="preserve">Latvijas </w:t>
            </w:r>
            <w:r w:rsidR="0098497C" w:rsidRPr="001B308F">
              <w:rPr>
                <w:color w:val="2A2A2A"/>
              </w:rPr>
              <w:t>Infektoloģijas centr</w:t>
            </w:r>
            <w:r w:rsidR="00B35FC5">
              <w:rPr>
                <w:color w:val="2A2A2A"/>
              </w:rPr>
              <w:t>a un</w:t>
            </w:r>
            <w:r w:rsidR="0098497C" w:rsidRPr="001B308F">
              <w:rPr>
                <w:color w:val="2A2A2A"/>
              </w:rPr>
              <w:t xml:space="preserve"> Zāļu valsts aģentūra</w:t>
            </w:r>
            <w:r w:rsidR="00B35FC5">
              <w:rPr>
                <w:color w:val="2A2A2A"/>
              </w:rPr>
              <w:t>s speciālisti</w:t>
            </w:r>
            <w:r w:rsidR="00FC03CA">
              <w:rPr>
                <w:color w:val="2A2A2A"/>
              </w:rPr>
              <w:t>, Latvijas ārstu biedrība. Visas minētās institūcijas atbalsta noteikumu projektu izstrādātajā redakcijā.</w:t>
            </w:r>
            <w:r w:rsidR="0098497C" w:rsidRPr="001B308F">
              <w:rPr>
                <w:color w:val="2A2A2A"/>
              </w:rPr>
              <w:t xml:space="preserve"> </w:t>
            </w:r>
          </w:p>
        </w:tc>
      </w:tr>
      <w:tr w:rsidR="0098497C" w:rsidRPr="001B308F" w:rsidTr="00D461B3">
        <w:trPr>
          <w:trHeight w:val="92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8497C" w:rsidRPr="001B308F" w:rsidRDefault="0098497C" w:rsidP="0098497C">
            <w:pPr>
              <w:spacing w:before="100" w:beforeAutospacing="1" w:after="100" w:afterAutospacing="1"/>
            </w:pPr>
            <w:r w:rsidRPr="001B308F">
              <w:t> 6.</w:t>
            </w:r>
          </w:p>
        </w:tc>
        <w:tc>
          <w:tcPr>
            <w:tcW w:w="3032" w:type="dxa"/>
            <w:tcBorders>
              <w:top w:val="outset" w:sz="6" w:space="0" w:color="auto"/>
              <w:left w:val="outset" w:sz="6" w:space="0" w:color="auto"/>
              <w:bottom w:val="outset" w:sz="6" w:space="0" w:color="auto"/>
              <w:right w:val="outset" w:sz="6" w:space="0" w:color="auto"/>
            </w:tcBorders>
            <w:hideMark/>
          </w:tcPr>
          <w:p w:rsidR="0098497C" w:rsidRPr="001B308F" w:rsidRDefault="0098497C" w:rsidP="0098497C">
            <w:pPr>
              <w:spacing w:before="100" w:beforeAutospacing="1" w:after="100" w:afterAutospacing="1"/>
            </w:pPr>
            <w:r w:rsidRPr="001B308F">
              <w:t> Iemesli, kādēļ netika nodrošināta sabiedrības līdzdalība</w:t>
            </w:r>
          </w:p>
        </w:tc>
        <w:tc>
          <w:tcPr>
            <w:tcW w:w="5542" w:type="dxa"/>
            <w:tcBorders>
              <w:top w:val="outset" w:sz="6" w:space="0" w:color="auto"/>
              <w:left w:val="outset" w:sz="6" w:space="0" w:color="auto"/>
              <w:bottom w:val="outset" w:sz="6" w:space="0" w:color="auto"/>
              <w:right w:val="outset" w:sz="6" w:space="0" w:color="auto"/>
            </w:tcBorders>
            <w:hideMark/>
          </w:tcPr>
          <w:p w:rsidR="0098497C" w:rsidRPr="001B308F" w:rsidRDefault="0098497C" w:rsidP="00200E13">
            <w:pPr>
              <w:pStyle w:val="FootnoteText"/>
              <w:ind w:firstLine="127"/>
              <w:jc w:val="both"/>
              <w:rPr>
                <w:sz w:val="24"/>
                <w:szCs w:val="24"/>
              </w:rPr>
            </w:pPr>
            <w:r w:rsidRPr="001B308F">
              <w:rPr>
                <w:sz w:val="24"/>
                <w:szCs w:val="24"/>
              </w:rPr>
              <w:t xml:space="preserve">Ņemot vērā, ka </w:t>
            </w:r>
            <w:r w:rsidR="00400A9B" w:rsidRPr="001B308F">
              <w:rPr>
                <w:sz w:val="24"/>
                <w:szCs w:val="24"/>
              </w:rPr>
              <w:t xml:space="preserve">noteikumu </w:t>
            </w:r>
            <w:r w:rsidRPr="001B308F">
              <w:rPr>
                <w:sz w:val="24"/>
                <w:szCs w:val="24"/>
              </w:rPr>
              <w:t xml:space="preserve">projekts </w:t>
            </w:r>
            <w:r w:rsidR="00200E13">
              <w:rPr>
                <w:sz w:val="24"/>
                <w:szCs w:val="24"/>
              </w:rPr>
              <w:t xml:space="preserve">satur terminoloģiskus precizējumus, kā arī skaidrojošas definīcijas, līdz ar to sabiedrības iesaistīšana noteikumu projekta sagatavošanā nav nepieciešama. </w:t>
            </w:r>
          </w:p>
        </w:tc>
      </w:tr>
      <w:tr w:rsidR="0098497C" w:rsidRPr="001B308F" w:rsidTr="002F17DF">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8497C" w:rsidRPr="001B308F" w:rsidRDefault="0098497C" w:rsidP="0098497C">
            <w:pPr>
              <w:spacing w:before="100" w:beforeAutospacing="1" w:after="100" w:afterAutospacing="1"/>
            </w:pPr>
            <w:r w:rsidRPr="001B308F">
              <w:t> 7.</w:t>
            </w:r>
          </w:p>
        </w:tc>
        <w:tc>
          <w:tcPr>
            <w:tcW w:w="3032" w:type="dxa"/>
            <w:tcBorders>
              <w:top w:val="outset" w:sz="6" w:space="0" w:color="auto"/>
              <w:left w:val="outset" w:sz="6" w:space="0" w:color="auto"/>
              <w:bottom w:val="outset" w:sz="6" w:space="0" w:color="auto"/>
              <w:right w:val="outset" w:sz="6" w:space="0" w:color="auto"/>
            </w:tcBorders>
            <w:hideMark/>
          </w:tcPr>
          <w:p w:rsidR="0098497C" w:rsidRPr="001B308F" w:rsidRDefault="0098497C" w:rsidP="0098497C">
            <w:pPr>
              <w:spacing w:before="100" w:beforeAutospacing="1" w:after="100" w:afterAutospacing="1"/>
            </w:pPr>
            <w:r w:rsidRPr="001B308F">
              <w:t> Cita informācija</w:t>
            </w:r>
          </w:p>
        </w:tc>
        <w:tc>
          <w:tcPr>
            <w:tcW w:w="5542" w:type="dxa"/>
            <w:tcBorders>
              <w:top w:val="outset" w:sz="6" w:space="0" w:color="auto"/>
              <w:left w:val="outset" w:sz="6" w:space="0" w:color="auto"/>
              <w:bottom w:val="outset" w:sz="6" w:space="0" w:color="auto"/>
              <w:right w:val="outset" w:sz="6" w:space="0" w:color="auto"/>
            </w:tcBorders>
            <w:hideMark/>
          </w:tcPr>
          <w:p w:rsidR="00B35FC5" w:rsidRDefault="004379BA" w:rsidP="00B35FC5">
            <w:pPr>
              <w:pStyle w:val="naiskr"/>
              <w:spacing w:before="0" w:after="0"/>
              <w:ind w:firstLine="125"/>
              <w:jc w:val="both"/>
            </w:pPr>
            <w:r>
              <w:t>Vakcinācijas izraisīto paziņojumu</w:t>
            </w:r>
            <w:r w:rsidR="00EF5BDF">
              <w:t xml:space="preserve"> skaita pieaugums, kas saistīts ar komplikācijām pēc BCG vakcīnas ievadīšanas </w:t>
            </w:r>
            <w:r w:rsidR="00465E58">
              <w:t>ir vērtēts</w:t>
            </w:r>
            <w:r w:rsidR="00EF5BDF">
              <w:t xml:space="preserve"> Zāļu blakusparādību uzraudzības ekspertu padomes sēdē, </w:t>
            </w:r>
            <w:r w:rsidR="00465E58">
              <w:t>darba sanāksmē Veselības ministrijā kopā ar Veselības inspekcijas, Latvijas Infektoloģijas centrs</w:t>
            </w:r>
            <w:r w:rsidR="00116380">
              <w:t xml:space="preserve"> un Zāļu valsts aģentūras speciālistiem. </w:t>
            </w:r>
            <w:r>
              <w:t xml:space="preserve">Latvijas Infektoloģijas centrs ir informējis Latvijas Ģimenes ārstu asociāciju, Latvijas Lauku ģimenes ārstu asociāciju, Latvijas Pediatru asociāciju, Latvijas Specializēto pediatru biedrību, Latvijas Bērnu </w:t>
            </w:r>
            <w:proofErr w:type="spellStart"/>
            <w:r>
              <w:t>infektologu</w:t>
            </w:r>
            <w:proofErr w:type="spellEnd"/>
            <w:r>
              <w:t xml:space="preserve"> biedrību, Latvijas Ginekologu un dzemdību speciālistu asociāciju par vakcinācijas izraisīto komplikāciju pēc vakcinācijas pret tuberkulozi epidemioloģiskās uzraudzības un analīzes datiem. </w:t>
            </w:r>
          </w:p>
          <w:p w:rsidR="00963695" w:rsidRDefault="004379BA" w:rsidP="005E7B55">
            <w:pPr>
              <w:pStyle w:val="naiskr"/>
              <w:spacing w:before="0" w:after="0"/>
              <w:ind w:firstLine="125"/>
              <w:jc w:val="both"/>
            </w:pPr>
            <w:r>
              <w:t>Apkopojot saņemtos asociāciju un iestāžu viedokļus un priekšlikumus, var secināt, ka bērnu vakcinācijas un tās novērtēšanas procesā iesaistīto organizāciju nostāja nav viennozīmīga.</w:t>
            </w:r>
            <w:r w:rsidR="00B752CA">
              <w:t xml:space="preserve"> Pieņemot viedokli, ka vakcinācija ir jāveic tikai dzemdību nodaļās, kurās ir </w:t>
            </w:r>
            <w:proofErr w:type="spellStart"/>
            <w:r w:rsidR="00B752CA">
              <w:t>ftiziatru</w:t>
            </w:r>
            <w:proofErr w:type="spellEnd"/>
            <w:r w:rsidR="00B752CA">
              <w:t xml:space="preserve"> apmācītas ārstniecības personas BCG vakcinācijas veikšanai, varētu pieaugt pret tuberkulozi savlaicīgi nevakcinēto bērnu skaits, sevišķi lauku reģionos,</w:t>
            </w:r>
            <w:r w:rsidR="00481DCE">
              <w:t xml:space="preserve"> </w:t>
            </w:r>
            <w:r w:rsidR="00B752CA">
              <w:t>un tas var</w:t>
            </w:r>
            <w:r w:rsidR="00481DCE">
              <w:t>ētu</w:t>
            </w:r>
            <w:r w:rsidR="00B752CA">
              <w:t xml:space="preserve"> negatīvi ietekmēt vakcinācijas aptveri. </w:t>
            </w:r>
            <w:r w:rsidR="00B529A4">
              <w:t xml:space="preserve">Kā viens no priekšlikumiem situācijas uzlabošanai </w:t>
            </w:r>
            <w:r w:rsidR="00481DCE">
              <w:t xml:space="preserve">ir apzināt ārstniecības iestādes, kuras varētu veikt kvalitatīvu vakcinācijas veikšanu un, otrkārt, veikt </w:t>
            </w:r>
            <w:r w:rsidR="005E7B55">
              <w:t>māsu (medicīnas māsu)</w:t>
            </w:r>
            <w:r w:rsidR="00481DCE">
              <w:t xml:space="preserve"> apmācību BCG vakcinācijas veikšanai.</w:t>
            </w:r>
            <w:r w:rsidR="00B529A4">
              <w:t xml:space="preserve"> </w:t>
            </w:r>
            <w:r w:rsidR="00481DCE">
              <w:t>Arī aktuālas informācijas sniegšana ārstniecības personām par komplikāciju epidemioloģisk</w:t>
            </w:r>
            <w:r w:rsidR="0047370E">
              <w:t>ās</w:t>
            </w:r>
            <w:r w:rsidR="00481DCE">
              <w:t xml:space="preserve"> </w:t>
            </w:r>
            <w:r w:rsidR="008A4AB9">
              <w:t xml:space="preserve">analīzes </w:t>
            </w:r>
            <w:r w:rsidR="00481DCE">
              <w:t xml:space="preserve">un </w:t>
            </w:r>
            <w:r w:rsidR="008A4AB9">
              <w:t xml:space="preserve">riska novērtējuma rezultātiem nodrošinātu vakcinācijas izraisīto riska mazināšanu. </w:t>
            </w:r>
            <w:r w:rsidR="0031277B">
              <w:t xml:space="preserve">Vienlaikus tika pausti ierosinājumi par bērnu vecāku informēšanas pasākumu pilnveidi par risku bērnam saslimt ar tuberkulozi, vakcinācijas nepieciešamību un vakcīnas iespējamām blaknēm (komplikācijām), kā arī par samērīgu rīcību komplikāciju gadījumā. </w:t>
            </w:r>
            <w:r w:rsidR="0047370E">
              <w:t>Ar šiem jautājumiem šobrīd strādā Latvijas Infektoloģijas centra speciālisti.</w:t>
            </w:r>
          </w:p>
          <w:p w:rsidR="0098497C" w:rsidRPr="001B308F" w:rsidRDefault="00963695" w:rsidP="004F6C64">
            <w:pPr>
              <w:pStyle w:val="naiskr"/>
              <w:spacing w:before="0" w:after="0"/>
              <w:ind w:firstLine="125"/>
              <w:jc w:val="both"/>
            </w:pPr>
            <w:r>
              <w:t xml:space="preserve">2012.gada pirmajā pusgadā </w:t>
            </w:r>
            <w:r w:rsidR="00027B6B">
              <w:t xml:space="preserve">plānots </w:t>
            </w:r>
            <w:r>
              <w:t xml:space="preserve">izstrādāt </w:t>
            </w:r>
            <w:r w:rsidR="004F6C64">
              <w:t>metodiskus norādījumus (</w:t>
            </w:r>
            <w:r>
              <w:t>vadlīnijas</w:t>
            </w:r>
            <w:r w:rsidR="004F6C64">
              <w:t>) ārstniecības personām pacientu uzraudzībai un terapijas taktikai pēc tuberkulozes vakcīnas saņemšanas.</w:t>
            </w:r>
          </w:p>
        </w:tc>
      </w:tr>
      <w:bookmarkEnd w:id="5"/>
      <w:bookmarkEnd w:id="6"/>
      <w:bookmarkEnd w:id="7"/>
      <w:bookmarkEnd w:id="8"/>
    </w:tbl>
    <w:p w:rsidR="00C8067C" w:rsidRPr="001B308F" w:rsidRDefault="00C8067C"/>
    <w:tbl>
      <w:tblPr>
        <w:tblW w:w="497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3038"/>
        <w:gridCol w:w="5498"/>
      </w:tblGrid>
      <w:tr w:rsidR="00C8067C" w:rsidRPr="001B308F" w:rsidTr="00C8067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1B308F" w:rsidRDefault="00C8067C" w:rsidP="00C8067C">
            <w:pPr>
              <w:spacing w:before="100" w:beforeAutospacing="1" w:after="100" w:afterAutospacing="1"/>
              <w:rPr>
                <w:b/>
              </w:rPr>
            </w:pPr>
            <w:r w:rsidRPr="001B308F">
              <w:t> </w:t>
            </w:r>
            <w:r w:rsidRPr="001B308F">
              <w:rPr>
                <w:b/>
              </w:rPr>
              <w:t>II. Tiesību akta projekta ietekme uz sabiedrību</w:t>
            </w:r>
          </w:p>
        </w:tc>
      </w:tr>
      <w:tr w:rsidR="00C8067C" w:rsidRPr="001B308F" w:rsidTr="00223941">
        <w:trPr>
          <w:trHeight w:val="46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1.</w:t>
            </w:r>
          </w:p>
        </w:tc>
        <w:tc>
          <w:tcPr>
            <w:tcW w:w="1677"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Sabiedrības mērķgrupa</w:t>
            </w:r>
          </w:p>
        </w:tc>
        <w:tc>
          <w:tcPr>
            <w:tcW w:w="3035" w:type="pct"/>
            <w:tcBorders>
              <w:top w:val="outset" w:sz="6" w:space="0" w:color="auto"/>
              <w:left w:val="outset" w:sz="6" w:space="0" w:color="auto"/>
              <w:bottom w:val="outset" w:sz="6" w:space="0" w:color="auto"/>
              <w:right w:val="outset" w:sz="6" w:space="0" w:color="auto"/>
            </w:tcBorders>
            <w:hideMark/>
          </w:tcPr>
          <w:p w:rsidR="00521DAE" w:rsidRDefault="00521DAE" w:rsidP="00521DAE">
            <w:pPr>
              <w:ind w:firstLine="125"/>
              <w:jc w:val="both"/>
            </w:pPr>
            <w:r>
              <w:t xml:space="preserve">Pēdējo </w:t>
            </w:r>
            <w:r w:rsidR="009F739F">
              <w:t xml:space="preserve">trīs </w:t>
            </w:r>
            <w:r>
              <w:t>gadu laikā (2008.-2010.gads)</w:t>
            </w:r>
            <w:r w:rsidR="009F739F">
              <w:t xml:space="preserve"> </w:t>
            </w:r>
            <w:r>
              <w:t>pret tuberkulozi ir izvakcinēti:</w:t>
            </w:r>
          </w:p>
          <w:p w:rsidR="00521DAE" w:rsidRDefault="00521DAE" w:rsidP="00521DAE">
            <w:pPr>
              <w:ind w:firstLine="125"/>
              <w:jc w:val="both"/>
            </w:pPr>
            <w:r>
              <w:t>2008.g. - 23154 bērni;</w:t>
            </w:r>
          </w:p>
          <w:p w:rsidR="00521DAE" w:rsidRDefault="00521DAE" w:rsidP="00521DAE">
            <w:pPr>
              <w:ind w:firstLine="125"/>
              <w:jc w:val="both"/>
            </w:pPr>
            <w:r>
              <w:t>2009.</w:t>
            </w:r>
            <w:r w:rsidR="00463CBC">
              <w:t>g.</w:t>
            </w:r>
            <w:r>
              <w:t>- 21977</w:t>
            </w:r>
            <w:r w:rsidR="009F739F">
              <w:t xml:space="preserve"> bērni</w:t>
            </w:r>
            <w:r>
              <w:t>;</w:t>
            </w:r>
          </w:p>
          <w:p w:rsidR="00C8067C" w:rsidRPr="001B308F" w:rsidRDefault="00521DAE" w:rsidP="00521DAE">
            <w:pPr>
              <w:ind w:firstLine="125"/>
              <w:jc w:val="both"/>
            </w:pPr>
            <w:r>
              <w:t>2010.</w:t>
            </w:r>
            <w:r w:rsidR="00463CBC">
              <w:t>g.</w:t>
            </w:r>
            <w:r>
              <w:t>- 18712</w:t>
            </w:r>
            <w:r w:rsidR="009F739F">
              <w:t xml:space="preserve"> bērni</w:t>
            </w:r>
            <w:r>
              <w:t>.</w:t>
            </w:r>
          </w:p>
        </w:tc>
      </w:tr>
      <w:tr w:rsidR="00C8067C" w:rsidRPr="001B308F" w:rsidTr="00223941">
        <w:trPr>
          <w:trHeight w:val="523"/>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2.</w:t>
            </w:r>
          </w:p>
        </w:tc>
        <w:tc>
          <w:tcPr>
            <w:tcW w:w="1677"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Citas sabiedrības grupas (bez mērķgrupas), kuras tiesiskais regulējums arī ietekmē vai varētu ietekmēt</w:t>
            </w:r>
          </w:p>
        </w:tc>
        <w:tc>
          <w:tcPr>
            <w:tcW w:w="3035" w:type="pct"/>
            <w:tcBorders>
              <w:top w:val="outset" w:sz="6" w:space="0" w:color="auto"/>
              <w:left w:val="outset" w:sz="6" w:space="0" w:color="auto"/>
              <w:bottom w:val="outset" w:sz="6" w:space="0" w:color="auto"/>
              <w:right w:val="outset" w:sz="6" w:space="0" w:color="auto"/>
            </w:tcBorders>
            <w:hideMark/>
          </w:tcPr>
          <w:p w:rsidR="00C8067C" w:rsidRPr="001B308F" w:rsidRDefault="00CF4E85" w:rsidP="00BA3A6F">
            <w:pPr>
              <w:ind w:firstLine="126"/>
            </w:pPr>
            <w:r w:rsidRPr="001B308F">
              <w:t>Ārstniecības personas</w:t>
            </w:r>
            <w:r w:rsidR="00894C4F" w:rsidRPr="001B308F">
              <w:t xml:space="preserve"> </w:t>
            </w:r>
            <w:r w:rsidR="00FC03CA">
              <w:t xml:space="preserve"> - 1060</w:t>
            </w:r>
          </w:p>
        </w:tc>
      </w:tr>
      <w:tr w:rsidR="00C8067C" w:rsidRPr="001B308F" w:rsidTr="00223941">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3.</w:t>
            </w:r>
          </w:p>
        </w:tc>
        <w:tc>
          <w:tcPr>
            <w:tcW w:w="1677"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Tiesiskā regulējuma finansiālā ietekme</w:t>
            </w:r>
          </w:p>
        </w:tc>
        <w:tc>
          <w:tcPr>
            <w:tcW w:w="3035" w:type="pct"/>
            <w:tcBorders>
              <w:top w:val="outset" w:sz="6" w:space="0" w:color="auto"/>
              <w:left w:val="outset" w:sz="6" w:space="0" w:color="auto"/>
              <w:bottom w:val="outset" w:sz="6" w:space="0" w:color="auto"/>
              <w:right w:val="outset" w:sz="6" w:space="0" w:color="auto"/>
            </w:tcBorders>
            <w:hideMark/>
          </w:tcPr>
          <w:p w:rsidR="00463CBC" w:rsidRPr="00463CBC" w:rsidRDefault="00463CBC" w:rsidP="00896C16">
            <w:pPr>
              <w:jc w:val="both"/>
            </w:pPr>
            <w:r w:rsidRPr="002635FB">
              <w:t>Projekts šo jomu neskar</w:t>
            </w:r>
          </w:p>
          <w:p w:rsidR="00C8067C" w:rsidRPr="00463CBC" w:rsidRDefault="00C8067C" w:rsidP="00896C16">
            <w:pPr>
              <w:jc w:val="both"/>
              <w:rPr>
                <w:strike/>
              </w:rPr>
            </w:pPr>
          </w:p>
        </w:tc>
      </w:tr>
      <w:tr w:rsidR="00C8067C" w:rsidRPr="001B308F" w:rsidTr="00223941">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4.</w:t>
            </w:r>
          </w:p>
        </w:tc>
        <w:tc>
          <w:tcPr>
            <w:tcW w:w="1677"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Tiesiskā regulējuma nefinansiālā ietekme</w:t>
            </w:r>
          </w:p>
        </w:tc>
        <w:tc>
          <w:tcPr>
            <w:tcW w:w="3035" w:type="pct"/>
            <w:tcBorders>
              <w:top w:val="outset" w:sz="6" w:space="0" w:color="auto"/>
              <w:left w:val="outset" w:sz="6" w:space="0" w:color="auto"/>
              <w:bottom w:val="outset" w:sz="6" w:space="0" w:color="auto"/>
              <w:right w:val="outset" w:sz="6" w:space="0" w:color="auto"/>
            </w:tcBorders>
            <w:hideMark/>
          </w:tcPr>
          <w:p w:rsidR="00C8067C" w:rsidRPr="001B308F" w:rsidRDefault="005D2570" w:rsidP="00896C16">
            <w:pPr>
              <w:jc w:val="both"/>
            </w:pPr>
            <w:r>
              <w:t>Informācijas sniegšana par vakcinācijas izraisītajām komplikācijām</w:t>
            </w:r>
          </w:p>
        </w:tc>
      </w:tr>
      <w:tr w:rsidR="00C8067C" w:rsidRPr="001B308F" w:rsidTr="00223941">
        <w:trPr>
          <w:trHeight w:val="531"/>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5.</w:t>
            </w:r>
          </w:p>
        </w:tc>
        <w:tc>
          <w:tcPr>
            <w:tcW w:w="1677"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Administratīvās procedūras raksturojums</w:t>
            </w:r>
          </w:p>
        </w:tc>
        <w:tc>
          <w:tcPr>
            <w:tcW w:w="3035" w:type="pct"/>
            <w:tcBorders>
              <w:top w:val="outset" w:sz="6" w:space="0" w:color="auto"/>
              <w:left w:val="outset" w:sz="6" w:space="0" w:color="auto"/>
              <w:bottom w:val="outset" w:sz="6" w:space="0" w:color="auto"/>
              <w:right w:val="outset" w:sz="6" w:space="0" w:color="auto"/>
            </w:tcBorders>
            <w:hideMark/>
          </w:tcPr>
          <w:p w:rsidR="004C3C09" w:rsidRDefault="0046743B" w:rsidP="004C3C09">
            <w:pPr>
              <w:ind w:firstLine="125"/>
              <w:jc w:val="both"/>
            </w:pPr>
            <w:r>
              <w:t>Noteikumu p</w:t>
            </w:r>
            <w:r w:rsidR="004C3C09">
              <w:t xml:space="preserve">rojekts </w:t>
            </w:r>
            <w:r w:rsidR="005E7B55">
              <w:t>pa</w:t>
            </w:r>
            <w:r w:rsidR="004C3C09">
              <w:t>ziņojuma sniegšanas procedūru nemaina.</w:t>
            </w:r>
          </w:p>
          <w:p w:rsidR="00115CAE" w:rsidRDefault="00115CAE" w:rsidP="004C3C09">
            <w:pPr>
              <w:ind w:firstLine="125"/>
              <w:jc w:val="both"/>
            </w:pPr>
            <w:r>
              <w:t xml:space="preserve">Ārstniecības persona par konstatēto vakcinācijas komplikāciju, ja tā konstatēta noteikumu projekta norādītajā laika intervālā pēc </w:t>
            </w:r>
            <w:r w:rsidR="0046743B">
              <w:t>BCG v</w:t>
            </w:r>
            <w:r>
              <w:t xml:space="preserve">akcinācijas vai arī, ja ir pamatotas aizdomas par iespējamām vakcinācijas izraisītajām komplikācijām 24 stundu laikā pēc komplikācijas konstatēšanas ziņo </w:t>
            </w:r>
            <w:r w:rsidR="0046743B">
              <w:t xml:space="preserve">Latvijas </w:t>
            </w:r>
            <w:r>
              <w:t>Infektoloģijas centr</w:t>
            </w:r>
            <w:r w:rsidR="00481DCE">
              <w:t>a</w:t>
            </w:r>
            <w:r w:rsidR="0046743B">
              <w:t xml:space="preserve"> attiecīgā reģiona epidemiologam telefoniski un rakstiski vai elektroniski, aizpildot steidzamā paziņojuma</w:t>
            </w:r>
            <w:r w:rsidR="0046743B" w:rsidRPr="004C3C09">
              <w:t xml:space="preserve"> veidlap</w:t>
            </w:r>
            <w:r w:rsidR="0046743B">
              <w:t xml:space="preserve">u saskaņā ar normatīvajiem aktiem par medicīniskās dokumentācijas lietvedības kārtību. </w:t>
            </w:r>
          </w:p>
          <w:p w:rsidR="00C8067C" w:rsidRDefault="004C3C09" w:rsidP="0046743B">
            <w:pPr>
              <w:ind w:firstLine="125"/>
              <w:jc w:val="both"/>
            </w:pPr>
            <w:r w:rsidRPr="004C3C09">
              <w:t xml:space="preserve">Steidzamā paziņojuma </w:t>
            </w:r>
            <w:r w:rsidR="0046743B">
              <w:t xml:space="preserve">veidlapa </w:t>
            </w:r>
            <w:r w:rsidRPr="004C3C09">
              <w:t>ir pieejama un aizpildāma elektroniski</w:t>
            </w:r>
            <w:r>
              <w:t xml:space="preserve">. </w:t>
            </w:r>
          </w:p>
          <w:p w:rsidR="0046743B" w:rsidRPr="001B308F" w:rsidRDefault="0046743B" w:rsidP="0046743B">
            <w:pPr>
              <w:ind w:firstLine="125"/>
              <w:jc w:val="both"/>
            </w:pPr>
          </w:p>
        </w:tc>
      </w:tr>
      <w:tr w:rsidR="00C8067C" w:rsidRPr="001B308F" w:rsidTr="00223941">
        <w:trPr>
          <w:trHeight w:val="35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6.</w:t>
            </w:r>
          </w:p>
        </w:tc>
        <w:tc>
          <w:tcPr>
            <w:tcW w:w="1677"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Administratīvo izmaksu monetārs novērtējums</w:t>
            </w:r>
          </w:p>
        </w:tc>
        <w:tc>
          <w:tcPr>
            <w:tcW w:w="3035" w:type="pct"/>
            <w:tcBorders>
              <w:top w:val="outset" w:sz="6" w:space="0" w:color="auto"/>
              <w:left w:val="outset" w:sz="6" w:space="0" w:color="auto"/>
              <w:bottom w:val="outset" w:sz="6" w:space="0" w:color="auto"/>
              <w:right w:val="outset" w:sz="6" w:space="0" w:color="auto"/>
            </w:tcBorders>
            <w:hideMark/>
          </w:tcPr>
          <w:p w:rsidR="00C8067C" w:rsidRPr="001B308F" w:rsidRDefault="001B308F" w:rsidP="001B308F">
            <w:pPr>
              <w:spacing w:before="100" w:beforeAutospacing="1" w:after="100" w:afterAutospacing="1"/>
              <w:ind w:firstLine="126"/>
            </w:pPr>
            <w:r>
              <w:t>Projekts šo jomu neskar</w:t>
            </w:r>
          </w:p>
        </w:tc>
      </w:tr>
      <w:tr w:rsidR="00C8067C" w:rsidRPr="001B308F" w:rsidTr="00223941">
        <w:trPr>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7.</w:t>
            </w:r>
          </w:p>
        </w:tc>
        <w:tc>
          <w:tcPr>
            <w:tcW w:w="1677" w:type="pct"/>
            <w:tcBorders>
              <w:top w:val="outset" w:sz="6" w:space="0" w:color="auto"/>
              <w:left w:val="outset" w:sz="6" w:space="0" w:color="auto"/>
              <w:bottom w:val="outset" w:sz="6" w:space="0" w:color="auto"/>
              <w:right w:val="outset" w:sz="6" w:space="0" w:color="auto"/>
            </w:tcBorders>
            <w:hideMark/>
          </w:tcPr>
          <w:p w:rsidR="00C8067C" w:rsidRPr="001B308F" w:rsidRDefault="00C8067C" w:rsidP="00C8067C">
            <w:pPr>
              <w:spacing w:before="100" w:beforeAutospacing="1" w:after="100" w:afterAutospacing="1"/>
            </w:pPr>
            <w:r w:rsidRPr="001B308F">
              <w:t> Cita informācija</w:t>
            </w:r>
          </w:p>
        </w:tc>
        <w:tc>
          <w:tcPr>
            <w:tcW w:w="3035" w:type="pct"/>
            <w:tcBorders>
              <w:top w:val="outset" w:sz="6" w:space="0" w:color="auto"/>
              <w:left w:val="outset" w:sz="6" w:space="0" w:color="auto"/>
              <w:bottom w:val="outset" w:sz="6" w:space="0" w:color="auto"/>
              <w:right w:val="outset" w:sz="6" w:space="0" w:color="auto"/>
            </w:tcBorders>
            <w:hideMark/>
          </w:tcPr>
          <w:p w:rsidR="00C8067C" w:rsidRPr="001B308F" w:rsidRDefault="00C8067C" w:rsidP="001B308F">
            <w:pPr>
              <w:spacing w:before="100" w:beforeAutospacing="1" w:after="100" w:afterAutospacing="1"/>
              <w:ind w:firstLine="126"/>
            </w:pPr>
            <w:r w:rsidRPr="001B308F">
              <w:t>Nav</w:t>
            </w:r>
            <w:r w:rsidR="00432C60" w:rsidRPr="001B308F">
              <w:t xml:space="preserve"> </w:t>
            </w:r>
          </w:p>
        </w:tc>
      </w:tr>
    </w:tbl>
    <w:p w:rsidR="0072604C" w:rsidRPr="001B308F" w:rsidRDefault="0072604C" w:rsidP="00586F93"/>
    <w:p w:rsidR="00432C60" w:rsidRPr="001B308F" w:rsidRDefault="00432C60" w:rsidP="00586F93">
      <w:r w:rsidRPr="001B308F">
        <w:tab/>
        <w:t>Anotācijas III, IV, V</w:t>
      </w:r>
      <w:r w:rsidR="001B308F">
        <w:t>,</w:t>
      </w:r>
      <w:r w:rsidRPr="001B308F">
        <w:t xml:space="preserve"> VI</w:t>
      </w:r>
      <w:r w:rsidR="001B308F">
        <w:t xml:space="preserve">, </w:t>
      </w:r>
      <w:r w:rsidRPr="001B308F">
        <w:t>sadaļa –</w:t>
      </w:r>
      <w:r w:rsidR="001B308F" w:rsidRPr="001B308F">
        <w:t xml:space="preserve"> </w:t>
      </w:r>
      <w:r w:rsidR="001B308F">
        <w:t>projekts šīs jomas neskar.</w:t>
      </w:r>
    </w:p>
    <w:p w:rsidR="0091617D" w:rsidRPr="001B308F" w:rsidRDefault="0091617D" w:rsidP="00586F93"/>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4110"/>
        <w:gridCol w:w="4536"/>
      </w:tblGrid>
      <w:tr w:rsidR="001B308F" w:rsidRPr="0035611F" w:rsidTr="001B308F">
        <w:tc>
          <w:tcPr>
            <w:tcW w:w="9072" w:type="dxa"/>
            <w:gridSpan w:val="3"/>
          </w:tcPr>
          <w:p w:rsidR="001B308F" w:rsidRPr="001B308F" w:rsidRDefault="001B308F" w:rsidP="001B308F">
            <w:pPr>
              <w:jc w:val="both"/>
              <w:rPr>
                <w:b/>
              </w:rPr>
            </w:pPr>
            <w:r w:rsidRPr="001B308F">
              <w:rPr>
                <w:b/>
              </w:rPr>
              <w:t>VII. Tiesību akta projekta izpildes nodrošināšana un tās ietekme uz institūcijām</w:t>
            </w:r>
          </w:p>
        </w:tc>
      </w:tr>
      <w:tr w:rsidR="001B308F" w:rsidRPr="0035611F" w:rsidTr="001B308F">
        <w:tc>
          <w:tcPr>
            <w:tcW w:w="9072" w:type="dxa"/>
            <w:gridSpan w:val="3"/>
          </w:tcPr>
          <w:p w:rsidR="001B308F" w:rsidRPr="001B308F" w:rsidRDefault="001B308F" w:rsidP="001B308F">
            <w:pPr>
              <w:jc w:val="both"/>
              <w:rPr>
                <w:b/>
              </w:rPr>
            </w:pPr>
          </w:p>
        </w:tc>
      </w:tr>
      <w:tr w:rsidR="001B308F" w:rsidRPr="0035611F" w:rsidTr="001B308F">
        <w:tc>
          <w:tcPr>
            <w:tcW w:w="426" w:type="dxa"/>
          </w:tcPr>
          <w:p w:rsidR="001B308F" w:rsidRPr="0035611F" w:rsidRDefault="001B308F" w:rsidP="001B308F">
            <w:pPr>
              <w:jc w:val="both"/>
            </w:pPr>
            <w:r w:rsidRPr="0035611F">
              <w:t>1.</w:t>
            </w:r>
          </w:p>
        </w:tc>
        <w:tc>
          <w:tcPr>
            <w:tcW w:w="4110" w:type="dxa"/>
          </w:tcPr>
          <w:p w:rsidR="001B308F" w:rsidRPr="0035611F" w:rsidRDefault="001B308F" w:rsidP="001B308F">
            <w:pPr>
              <w:jc w:val="both"/>
            </w:pPr>
            <w:r w:rsidRPr="0035611F">
              <w:t>Projekta izpildē iesaistītās institūcijas</w:t>
            </w:r>
          </w:p>
        </w:tc>
        <w:tc>
          <w:tcPr>
            <w:tcW w:w="4536" w:type="dxa"/>
          </w:tcPr>
          <w:p w:rsidR="001B308F" w:rsidRPr="0035611F" w:rsidRDefault="00D46097" w:rsidP="00481DCE">
            <w:pPr>
              <w:pStyle w:val="BodyTextIndent"/>
              <w:autoSpaceDE w:val="0"/>
              <w:autoSpaceDN w:val="0"/>
              <w:adjustRightInd w:val="0"/>
              <w:spacing w:after="0"/>
              <w:ind w:left="0"/>
              <w:jc w:val="both"/>
            </w:pPr>
            <w:r>
              <w:t>Latvijas Infektoloģijas centrs</w:t>
            </w:r>
            <w:r w:rsidR="001B308F" w:rsidRPr="0035611F">
              <w:t xml:space="preserve">, </w:t>
            </w:r>
            <w:r w:rsidR="001B308F">
              <w:t>Zāļu valsts aģentūra</w:t>
            </w:r>
            <w:r w:rsidR="00CD5D34">
              <w:t>, Latvijas Ārstu biedrība</w:t>
            </w:r>
            <w:r w:rsidR="00FC03CA">
              <w:t xml:space="preserve">. Iesaistītās institūcijas atbalsta esošo noteikumu projekta </w:t>
            </w:r>
            <w:r w:rsidR="001B308F">
              <w:t xml:space="preserve"> </w:t>
            </w:r>
            <w:r w:rsidR="00FC03CA">
              <w:t>redakciju</w:t>
            </w:r>
          </w:p>
        </w:tc>
      </w:tr>
      <w:tr w:rsidR="001B308F" w:rsidRPr="0035611F" w:rsidTr="001B308F">
        <w:tc>
          <w:tcPr>
            <w:tcW w:w="426" w:type="dxa"/>
          </w:tcPr>
          <w:p w:rsidR="001B308F" w:rsidRPr="0035611F" w:rsidRDefault="001B308F" w:rsidP="001B308F">
            <w:pPr>
              <w:jc w:val="both"/>
            </w:pPr>
            <w:r w:rsidRPr="0035611F">
              <w:t xml:space="preserve">2. </w:t>
            </w:r>
          </w:p>
        </w:tc>
        <w:tc>
          <w:tcPr>
            <w:tcW w:w="4110" w:type="dxa"/>
          </w:tcPr>
          <w:p w:rsidR="001B308F" w:rsidRPr="0035611F" w:rsidRDefault="001B308F" w:rsidP="001B308F">
            <w:pPr>
              <w:jc w:val="both"/>
            </w:pPr>
            <w:r w:rsidRPr="0035611F">
              <w:t>Projekta izpildes ietekme uz pārvaldes funkcijām</w:t>
            </w:r>
          </w:p>
        </w:tc>
        <w:tc>
          <w:tcPr>
            <w:tcW w:w="4536" w:type="dxa"/>
          </w:tcPr>
          <w:p w:rsidR="001B308F" w:rsidRPr="0035611F" w:rsidRDefault="001B308F" w:rsidP="00896C16">
            <w:pPr>
              <w:jc w:val="both"/>
            </w:pPr>
            <w:r>
              <w:t>Projekts šo jomu neskar</w:t>
            </w:r>
          </w:p>
        </w:tc>
      </w:tr>
      <w:tr w:rsidR="001B308F" w:rsidRPr="0035611F" w:rsidTr="001B308F">
        <w:tc>
          <w:tcPr>
            <w:tcW w:w="426" w:type="dxa"/>
          </w:tcPr>
          <w:p w:rsidR="001B308F" w:rsidRPr="0035611F" w:rsidRDefault="001B308F" w:rsidP="001B308F">
            <w:pPr>
              <w:jc w:val="both"/>
            </w:pPr>
            <w:r>
              <w:t>3</w:t>
            </w:r>
            <w:r w:rsidRPr="0035611F">
              <w:t>.</w:t>
            </w:r>
          </w:p>
        </w:tc>
        <w:tc>
          <w:tcPr>
            <w:tcW w:w="4110" w:type="dxa"/>
          </w:tcPr>
          <w:p w:rsidR="001B308F" w:rsidRPr="0035611F" w:rsidRDefault="001B308F" w:rsidP="001B308F">
            <w:pPr>
              <w:jc w:val="both"/>
            </w:pPr>
            <w:r w:rsidRPr="0035611F">
              <w:t>Projekta izpildes ietekme uz pārvaldes institucionālo struktūru.</w:t>
            </w:r>
          </w:p>
          <w:p w:rsidR="001B308F" w:rsidRPr="0035611F" w:rsidRDefault="001B308F" w:rsidP="001B308F">
            <w:pPr>
              <w:jc w:val="both"/>
            </w:pPr>
            <w:r w:rsidRPr="0035611F">
              <w:t>Jaunu institūciju izveide</w:t>
            </w:r>
          </w:p>
        </w:tc>
        <w:tc>
          <w:tcPr>
            <w:tcW w:w="4536" w:type="dxa"/>
          </w:tcPr>
          <w:p w:rsidR="001B308F" w:rsidRPr="0035611F" w:rsidRDefault="001B308F" w:rsidP="00CD5D34">
            <w:pPr>
              <w:jc w:val="both"/>
            </w:pPr>
            <w:r>
              <w:t xml:space="preserve">Projekts </w:t>
            </w:r>
            <w:r w:rsidR="00CD5D34">
              <w:t>neparedz funkciju paplašināšanu.</w:t>
            </w:r>
          </w:p>
        </w:tc>
      </w:tr>
      <w:tr w:rsidR="001B308F" w:rsidRPr="0035611F" w:rsidTr="001B308F">
        <w:tc>
          <w:tcPr>
            <w:tcW w:w="426" w:type="dxa"/>
          </w:tcPr>
          <w:p w:rsidR="001B308F" w:rsidRPr="0035611F" w:rsidRDefault="001B308F" w:rsidP="001B308F">
            <w:pPr>
              <w:jc w:val="both"/>
            </w:pPr>
            <w:r w:rsidRPr="0035611F">
              <w:t>4.</w:t>
            </w:r>
          </w:p>
        </w:tc>
        <w:tc>
          <w:tcPr>
            <w:tcW w:w="4110" w:type="dxa"/>
          </w:tcPr>
          <w:p w:rsidR="001B308F" w:rsidRPr="0035611F" w:rsidRDefault="001B308F" w:rsidP="001B308F">
            <w:pPr>
              <w:jc w:val="both"/>
            </w:pPr>
            <w:r w:rsidRPr="0035611F">
              <w:t>Projekta izpildes ietekme uz pārvaldes institucionālo struktūru.</w:t>
            </w:r>
          </w:p>
          <w:p w:rsidR="001B308F" w:rsidRPr="0035611F" w:rsidRDefault="001B308F" w:rsidP="001B308F">
            <w:pPr>
              <w:jc w:val="both"/>
            </w:pPr>
            <w:r w:rsidRPr="0035611F">
              <w:t>Esošo institūciju likvidācija</w:t>
            </w:r>
          </w:p>
        </w:tc>
        <w:tc>
          <w:tcPr>
            <w:tcW w:w="4536" w:type="dxa"/>
          </w:tcPr>
          <w:p w:rsidR="001B308F" w:rsidRPr="0035611F" w:rsidRDefault="001B308F" w:rsidP="00896C16">
            <w:pPr>
              <w:jc w:val="both"/>
            </w:pPr>
            <w:r>
              <w:t>Projekts šo jomu neskar</w:t>
            </w:r>
          </w:p>
        </w:tc>
      </w:tr>
      <w:tr w:rsidR="001B308F" w:rsidRPr="0035611F" w:rsidTr="001B308F">
        <w:tc>
          <w:tcPr>
            <w:tcW w:w="426" w:type="dxa"/>
          </w:tcPr>
          <w:p w:rsidR="001B308F" w:rsidRPr="0035611F" w:rsidRDefault="001B308F" w:rsidP="001B308F">
            <w:pPr>
              <w:jc w:val="both"/>
            </w:pPr>
            <w:r w:rsidRPr="0035611F">
              <w:t>5.</w:t>
            </w:r>
          </w:p>
        </w:tc>
        <w:tc>
          <w:tcPr>
            <w:tcW w:w="4110" w:type="dxa"/>
          </w:tcPr>
          <w:p w:rsidR="001B308F" w:rsidRPr="0035611F" w:rsidRDefault="001B308F" w:rsidP="001B308F">
            <w:pPr>
              <w:jc w:val="both"/>
            </w:pPr>
            <w:r w:rsidRPr="0035611F">
              <w:t>Projekta izpildes ietekme uz pārvaldes institucionālo struktūru.</w:t>
            </w:r>
          </w:p>
          <w:p w:rsidR="001B308F" w:rsidRPr="0035611F" w:rsidRDefault="001B308F" w:rsidP="001B308F">
            <w:pPr>
              <w:jc w:val="both"/>
            </w:pPr>
            <w:r w:rsidRPr="0035611F">
              <w:t>Esošo institūciju reorganizācija</w:t>
            </w:r>
          </w:p>
        </w:tc>
        <w:tc>
          <w:tcPr>
            <w:tcW w:w="4536" w:type="dxa"/>
          </w:tcPr>
          <w:p w:rsidR="001B308F" w:rsidRPr="0035611F" w:rsidRDefault="00963695" w:rsidP="005E7B55">
            <w:pPr>
              <w:jc w:val="both"/>
            </w:pPr>
            <w:r>
              <w:t>Projekts šo jomu neskar</w:t>
            </w:r>
          </w:p>
        </w:tc>
      </w:tr>
      <w:tr w:rsidR="001B308F" w:rsidRPr="0035611F" w:rsidTr="001B308F">
        <w:tc>
          <w:tcPr>
            <w:tcW w:w="426" w:type="dxa"/>
          </w:tcPr>
          <w:p w:rsidR="001B308F" w:rsidRPr="001B308F" w:rsidRDefault="001B308F" w:rsidP="001B308F">
            <w:pPr>
              <w:jc w:val="both"/>
              <w:rPr>
                <w:rFonts w:ascii="Cambria" w:hAnsi="Cambria"/>
              </w:rPr>
            </w:pPr>
            <w:r w:rsidRPr="001B308F">
              <w:rPr>
                <w:rFonts w:ascii="Cambria" w:hAnsi="Cambria"/>
              </w:rPr>
              <w:t>6.</w:t>
            </w:r>
          </w:p>
        </w:tc>
        <w:tc>
          <w:tcPr>
            <w:tcW w:w="4110" w:type="dxa"/>
          </w:tcPr>
          <w:p w:rsidR="001B308F" w:rsidRPr="001B308F" w:rsidRDefault="001B308F" w:rsidP="001B308F">
            <w:pPr>
              <w:jc w:val="both"/>
              <w:rPr>
                <w:rFonts w:ascii="Cambria" w:hAnsi="Cambria"/>
              </w:rPr>
            </w:pPr>
            <w:r w:rsidRPr="001B308F">
              <w:rPr>
                <w:rFonts w:ascii="Cambria" w:hAnsi="Cambria"/>
              </w:rPr>
              <w:t>Cita informācija</w:t>
            </w:r>
          </w:p>
        </w:tc>
        <w:tc>
          <w:tcPr>
            <w:tcW w:w="4536" w:type="dxa"/>
          </w:tcPr>
          <w:p w:rsidR="001B308F" w:rsidRPr="001B308F" w:rsidRDefault="009B5720" w:rsidP="001B308F">
            <w:pPr>
              <w:jc w:val="both"/>
              <w:rPr>
                <w:rFonts w:ascii="Cambria" w:hAnsi="Cambria"/>
              </w:rPr>
            </w:pPr>
            <w:r>
              <w:t>Vakcinācijas izraisītās komplikācijas izmeklē Latvijas Infektoloģijas centra epidemiologi, bet ārstniecības personu darbību vērtē Veselības inspekcija atbilstoši Epidemioloģiskās drošības likumā 32.panta otrajā daļā noteiktajam.</w:t>
            </w:r>
          </w:p>
        </w:tc>
      </w:tr>
    </w:tbl>
    <w:p w:rsidR="001B308F" w:rsidRPr="0035611F" w:rsidRDefault="001B308F" w:rsidP="001B308F">
      <w:pPr>
        <w:jc w:val="both"/>
        <w:rPr>
          <w:rFonts w:ascii="Cambria" w:hAnsi="Cambria"/>
        </w:rPr>
      </w:pPr>
    </w:p>
    <w:p w:rsidR="00F16A22" w:rsidRDefault="00F16A22" w:rsidP="002C0FE8">
      <w:pPr>
        <w:jc w:val="both"/>
      </w:pPr>
    </w:p>
    <w:p w:rsidR="00EE4CC9" w:rsidRPr="009B5720" w:rsidRDefault="003D5511" w:rsidP="002C0FE8">
      <w:pPr>
        <w:jc w:val="both"/>
        <w:rPr>
          <w:sz w:val="28"/>
          <w:szCs w:val="28"/>
        </w:rPr>
      </w:pPr>
      <w:r w:rsidRPr="009B5720">
        <w:rPr>
          <w:sz w:val="28"/>
          <w:szCs w:val="28"/>
        </w:rPr>
        <w:t>V</w:t>
      </w:r>
      <w:r w:rsidR="00640774" w:rsidRPr="009B5720">
        <w:rPr>
          <w:sz w:val="28"/>
          <w:szCs w:val="28"/>
        </w:rPr>
        <w:t xml:space="preserve">eselības </w:t>
      </w:r>
      <w:r w:rsidR="002C0FE8" w:rsidRPr="009B5720">
        <w:rPr>
          <w:sz w:val="28"/>
          <w:szCs w:val="28"/>
        </w:rPr>
        <w:t>ministr</w:t>
      </w:r>
      <w:r w:rsidR="00442457" w:rsidRPr="009B5720">
        <w:rPr>
          <w:sz w:val="28"/>
          <w:szCs w:val="28"/>
        </w:rPr>
        <w:t>e</w:t>
      </w:r>
      <w:r w:rsidRPr="009B5720">
        <w:rPr>
          <w:sz w:val="28"/>
          <w:szCs w:val="28"/>
        </w:rPr>
        <w:t xml:space="preserve"> </w:t>
      </w:r>
      <w:r w:rsidRPr="009B5720">
        <w:rPr>
          <w:sz w:val="28"/>
          <w:szCs w:val="28"/>
        </w:rPr>
        <w:tab/>
      </w:r>
      <w:r w:rsidRPr="009B5720">
        <w:rPr>
          <w:sz w:val="28"/>
          <w:szCs w:val="28"/>
        </w:rPr>
        <w:tab/>
      </w:r>
      <w:r w:rsidRPr="009B5720">
        <w:rPr>
          <w:sz w:val="28"/>
          <w:szCs w:val="28"/>
        </w:rPr>
        <w:tab/>
      </w:r>
      <w:r w:rsidRPr="009B5720">
        <w:rPr>
          <w:sz w:val="28"/>
          <w:szCs w:val="28"/>
        </w:rPr>
        <w:tab/>
      </w:r>
      <w:r w:rsidR="002C0FE8" w:rsidRPr="009B5720">
        <w:rPr>
          <w:sz w:val="28"/>
          <w:szCs w:val="28"/>
        </w:rPr>
        <w:t xml:space="preserve">                 </w:t>
      </w:r>
      <w:r w:rsidR="002C0FE8" w:rsidRPr="009B5720">
        <w:rPr>
          <w:sz w:val="28"/>
          <w:szCs w:val="28"/>
        </w:rPr>
        <w:tab/>
      </w:r>
      <w:r w:rsidR="00442457" w:rsidRPr="009B5720">
        <w:rPr>
          <w:sz w:val="28"/>
          <w:szCs w:val="28"/>
        </w:rPr>
        <w:tab/>
      </w:r>
      <w:r w:rsidR="00442457" w:rsidRPr="009B5720">
        <w:rPr>
          <w:sz w:val="28"/>
          <w:szCs w:val="28"/>
        </w:rPr>
        <w:tab/>
      </w:r>
      <w:r w:rsidR="009B5720">
        <w:rPr>
          <w:sz w:val="28"/>
          <w:szCs w:val="28"/>
        </w:rPr>
        <w:t xml:space="preserve">   </w:t>
      </w:r>
      <w:proofErr w:type="spellStart"/>
      <w:r w:rsidR="00442457" w:rsidRPr="009B5720">
        <w:rPr>
          <w:sz w:val="28"/>
          <w:szCs w:val="28"/>
        </w:rPr>
        <w:t>I.Circene</w:t>
      </w:r>
      <w:proofErr w:type="spellEnd"/>
      <w:r w:rsidR="002C0FE8" w:rsidRPr="009B5720">
        <w:rPr>
          <w:sz w:val="28"/>
          <w:szCs w:val="28"/>
        </w:rPr>
        <w:tab/>
      </w:r>
      <w:r w:rsidR="003747BF" w:rsidRPr="009B5720">
        <w:rPr>
          <w:sz w:val="28"/>
          <w:szCs w:val="28"/>
        </w:rPr>
        <w:t xml:space="preserve">      </w:t>
      </w:r>
      <w:r w:rsidR="00126108" w:rsidRPr="009B5720">
        <w:rPr>
          <w:sz w:val="28"/>
          <w:szCs w:val="28"/>
        </w:rPr>
        <w:t xml:space="preserve">  </w:t>
      </w:r>
    </w:p>
    <w:p w:rsidR="004B0BBE" w:rsidRPr="001B308F" w:rsidRDefault="004B0BBE" w:rsidP="002C0FE8">
      <w:pPr>
        <w:jc w:val="both"/>
      </w:pPr>
    </w:p>
    <w:p w:rsidR="004B0BBE" w:rsidRPr="001B308F" w:rsidRDefault="004B0BBE" w:rsidP="002C0FE8">
      <w:pPr>
        <w:jc w:val="both"/>
      </w:pPr>
    </w:p>
    <w:p w:rsidR="00F16A22" w:rsidRDefault="00F16A22" w:rsidP="009C1FF4">
      <w:pPr>
        <w:pStyle w:val="PlainText"/>
        <w:jc w:val="both"/>
        <w:rPr>
          <w:rFonts w:ascii="Times New Roman" w:hAnsi="Times New Roman" w:cs="Times New Roman"/>
          <w:sz w:val="18"/>
          <w:szCs w:val="18"/>
        </w:rPr>
      </w:pPr>
    </w:p>
    <w:p w:rsidR="00F16A22" w:rsidRDefault="00F16A22" w:rsidP="009C1FF4">
      <w:pPr>
        <w:pStyle w:val="PlainText"/>
        <w:jc w:val="both"/>
        <w:rPr>
          <w:rFonts w:ascii="Times New Roman" w:hAnsi="Times New Roman" w:cs="Times New Roman"/>
          <w:sz w:val="18"/>
          <w:szCs w:val="18"/>
        </w:rPr>
      </w:pPr>
    </w:p>
    <w:p w:rsidR="00F16A22" w:rsidRDefault="00F16A22" w:rsidP="009C1FF4">
      <w:pPr>
        <w:pStyle w:val="PlainText"/>
        <w:jc w:val="both"/>
        <w:rPr>
          <w:rFonts w:ascii="Times New Roman" w:hAnsi="Times New Roman" w:cs="Times New Roman"/>
          <w:sz w:val="18"/>
          <w:szCs w:val="18"/>
        </w:rPr>
      </w:pPr>
    </w:p>
    <w:p w:rsidR="00F16A22" w:rsidRDefault="00F16A22" w:rsidP="009C1FF4">
      <w:pPr>
        <w:pStyle w:val="PlainText"/>
        <w:jc w:val="both"/>
        <w:rPr>
          <w:rFonts w:ascii="Times New Roman" w:hAnsi="Times New Roman" w:cs="Times New Roman"/>
          <w:sz w:val="18"/>
          <w:szCs w:val="18"/>
        </w:rPr>
      </w:pPr>
    </w:p>
    <w:p w:rsidR="00F16A22" w:rsidRDefault="00F16A22" w:rsidP="009C1FF4">
      <w:pPr>
        <w:pStyle w:val="PlainText"/>
        <w:jc w:val="both"/>
        <w:rPr>
          <w:rFonts w:ascii="Times New Roman" w:hAnsi="Times New Roman" w:cs="Times New Roman"/>
          <w:sz w:val="18"/>
          <w:szCs w:val="18"/>
        </w:rPr>
      </w:pPr>
    </w:p>
    <w:p w:rsidR="00F16A22" w:rsidRDefault="00F16A22" w:rsidP="009C1FF4">
      <w:pPr>
        <w:pStyle w:val="PlainText"/>
        <w:jc w:val="both"/>
        <w:rPr>
          <w:rFonts w:ascii="Times New Roman" w:hAnsi="Times New Roman" w:cs="Times New Roman"/>
          <w:sz w:val="18"/>
          <w:szCs w:val="18"/>
        </w:rPr>
      </w:pPr>
    </w:p>
    <w:p w:rsidR="00F16A22" w:rsidRDefault="00F16A22" w:rsidP="009C1FF4">
      <w:pPr>
        <w:pStyle w:val="PlainText"/>
        <w:jc w:val="both"/>
        <w:rPr>
          <w:rFonts w:ascii="Times New Roman" w:hAnsi="Times New Roman" w:cs="Times New Roman"/>
          <w:sz w:val="18"/>
          <w:szCs w:val="18"/>
        </w:rPr>
      </w:pPr>
    </w:p>
    <w:p w:rsidR="00713B3D" w:rsidRPr="00896C16" w:rsidRDefault="00C93EA1" w:rsidP="009C1FF4">
      <w:pPr>
        <w:pStyle w:val="PlainText"/>
        <w:jc w:val="both"/>
        <w:rPr>
          <w:rFonts w:ascii="Times New Roman" w:hAnsi="Times New Roman" w:cs="Times New Roman"/>
          <w:sz w:val="18"/>
          <w:szCs w:val="18"/>
        </w:rPr>
      </w:pPr>
      <w:r>
        <w:rPr>
          <w:rFonts w:ascii="Times New Roman" w:hAnsi="Times New Roman" w:cs="Times New Roman"/>
          <w:sz w:val="18"/>
          <w:szCs w:val="18"/>
        </w:rPr>
        <w:t>06.12.2011 9:38</w:t>
      </w:r>
    </w:p>
    <w:p w:rsidR="00640774" w:rsidRPr="00896C16" w:rsidRDefault="00481DCE" w:rsidP="009C1FF4">
      <w:pPr>
        <w:pStyle w:val="PlainText"/>
        <w:jc w:val="both"/>
        <w:rPr>
          <w:rFonts w:ascii="Times New Roman" w:hAnsi="Times New Roman" w:cs="Times New Roman"/>
          <w:sz w:val="18"/>
          <w:szCs w:val="18"/>
        </w:rPr>
      </w:pPr>
      <w:r>
        <w:rPr>
          <w:rFonts w:ascii="Times New Roman" w:hAnsi="Times New Roman" w:cs="Times New Roman"/>
          <w:sz w:val="18"/>
          <w:szCs w:val="18"/>
        </w:rPr>
        <w:t xml:space="preserve">1 </w:t>
      </w:r>
      <w:r w:rsidR="00DD772E">
        <w:rPr>
          <w:rFonts w:ascii="Times New Roman" w:hAnsi="Times New Roman" w:cs="Times New Roman"/>
          <w:sz w:val="18"/>
          <w:szCs w:val="18"/>
        </w:rPr>
        <w:t>2</w:t>
      </w:r>
      <w:r w:rsidR="00BC3A76">
        <w:rPr>
          <w:rFonts w:ascii="Times New Roman" w:hAnsi="Times New Roman" w:cs="Times New Roman"/>
          <w:sz w:val="18"/>
          <w:szCs w:val="18"/>
        </w:rPr>
        <w:t>40</w:t>
      </w:r>
    </w:p>
    <w:p w:rsidR="002C0FE8" w:rsidRPr="00896C16" w:rsidRDefault="00896C16" w:rsidP="00640774">
      <w:pPr>
        <w:pStyle w:val="PlainText"/>
        <w:jc w:val="both"/>
        <w:rPr>
          <w:rFonts w:ascii="Times New Roman" w:hAnsi="Times New Roman" w:cs="Times New Roman"/>
          <w:sz w:val="18"/>
          <w:szCs w:val="18"/>
        </w:rPr>
      </w:pPr>
      <w:proofErr w:type="spellStart"/>
      <w:r w:rsidRPr="00896C16">
        <w:rPr>
          <w:rFonts w:ascii="Times New Roman" w:hAnsi="Times New Roman" w:cs="Times New Roman"/>
          <w:sz w:val="18"/>
          <w:szCs w:val="18"/>
        </w:rPr>
        <w:t>D.Viļuma</w:t>
      </w:r>
      <w:proofErr w:type="spellEnd"/>
      <w:r w:rsidRPr="00896C16">
        <w:rPr>
          <w:rFonts w:ascii="Times New Roman" w:hAnsi="Times New Roman" w:cs="Times New Roman"/>
          <w:sz w:val="18"/>
          <w:szCs w:val="18"/>
        </w:rPr>
        <w:t>, 67876080</w:t>
      </w:r>
    </w:p>
    <w:p w:rsidR="00896C16" w:rsidRPr="00896C16" w:rsidRDefault="00896C16" w:rsidP="00640774">
      <w:pPr>
        <w:pStyle w:val="PlainText"/>
        <w:jc w:val="both"/>
        <w:rPr>
          <w:rFonts w:ascii="Times New Roman" w:hAnsi="Times New Roman" w:cs="Times New Roman"/>
          <w:sz w:val="18"/>
          <w:szCs w:val="18"/>
        </w:rPr>
      </w:pPr>
      <w:r w:rsidRPr="00896C16">
        <w:rPr>
          <w:rFonts w:ascii="Times New Roman" w:hAnsi="Times New Roman" w:cs="Times New Roman"/>
          <w:sz w:val="18"/>
          <w:szCs w:val="18"/>
        </w:rPr>
        <w:t>dace.viluma@vm.gov.lv</w:t>
      </w:r>
    </w:p>
    <w:sectPr w:rsidR="00896C16" w:rsidRPr="00896C16" w:rsidSect="006248F0">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6B" w:rsidRDefault="00027B6B">
      <w:r>
        <w:separator/>
      </w:r>
    </w:p>
  </w:endnote>
  <w:endnote w:type="continuationSeparator" w:id="0">
    <w:p w:rsidR="00027B6B" w:rsidRDefault="00027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6B" w:rsidRPr="0023734A" w:rsidRDefault="00027B6B" w:rsidP="00CF2D7A">
    <w:pPr>
      <w:jc w:val="both"/>
      <w:rPr>
        <w:sz w:val="20"/>
        <w:szCs w:val="20"/>
      </w:rPr>
    </w:pPr>
    <w:r>
      <w:rPr>
        <w:sz w:val="20"/>
        <w:szCs w:val="20"/>
      </w:rPr>
      <w:t>VManot_0</w:t>
    </w:r>
    <w:r w:rsidR="00BC3A76">
      <w:rPr>
        <w:sz w:val="20"/>
        <w:szCs w:val="20"/>
      </w:rPr>
      <w:t>6</w:t>
    </w:r>
    <w:r>
      <w:rPr>
        <w:sz w:val="20"/>
        <w:szCs w:val="20"/>
      </w:rPr>
      <w:t>1211</w:t>
    </w:r>
    <w:r w:rsidRPr="00AF7124">
      <w:rPr>
        <w:sz w:val="20"/>
        <w:szCs w:val="20"/>
      </w:rPr>
      <w:t>_</w:t>
    </w:r>
    <w:r>
      <w:rPr>
        <w:sz w:val="20"/>
        <w:szCs w:val="20"/>
      </w:rPr>
      <w:t>grkompl</w:t>
    </w:r>
    <w:r w:rsidRPr="00AF7124">
      <w:rPr>
        <w:sz w:val="20"/>
        <w:szCs w:val="20"/>
      </w:rPr>
      <w:t xml:space="preserve">; </w:t>
    </w:r>
    <w:fldSimple w:instr=" TITLE   \* MERGEFORMAT ">
      <w:r w:rsidRPr="00FF0D29">
        <w:rPr>
          <w:sz w:val="20"/>
          <w:szCs w:val="20"/>
        </w:rPr>
        <w:t>Ministru kabineta noteikumu projekta "Grozījum</w:t>
      </w:r>
      <w:r>
        <w:rPr>
          <w:sz w:val="20"/>
          <w:szCs w:val="20"/>
        </w:rPr>
        <w:t>i</w:t>
      </w:r>
      <w:r w:rsidRPr="00FF0D29">
        <w:rPr>
          <w:sz w:val="20"/>
          <w:szCs w:val="20"/>
        </w:rPr>
        <w:t xml:space="preserve"> Ministru kabineta 2005.gada 27.decembra noteikumos Nr.1040 „Kārtība, kādā ārstniecības persona ziņo par vakcinācijas izraisītajām komplikācijām”"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6B" w:rsidRPr="0023734A" w:rsidRDefault="00027B6B" w:rsidP="003B0A8C">
    <w:pPr>
      <w:jc w:val="both"/>
      <w:rPr>
        <w:sz w:val="20"/>
        <w:szCs w:val="20"/>
      </w:rPr>
    </w:pPr>
    <w:r>
      <w:rPr>
        <w:sz w:val="20"/>
        <w:szCs w:val="20"/>
      </w:rPr>
      <w:t>VManot_0</w:t>
    </w:r>
    <w:r w:rsidR="00C93EA1">
      <w:rPr>
        <w:sz w:val="20"/>
        <w:szCs w:val="20"/>
      </w:rPr>
      <w:t>6</w:t>
    </w:r>
    <w:r>
      <w:rPr>
        <w:sz w:val="20"/>
        <w:szCs w:val="20"/>
      </w:rPr>
      <w:t>1211</w:t>
    </w:r>
    <w:r w:rsidRPr="00AF7124">
      <w:rPr>
        <w:sz w:val="20"/>
        <w:szCs w:val="20"/>
      </w:rPr>
      <w:t>_</w:t>
    </w:r>
    <w:r>
      <w:rPr>
        <w:sz w:val="20"/>
        <w:szCs w:val="20"/>
      </w:rPr>
      <w:t>grkompl</w:t>
    </w:r>
    <w:r w:rsidRPr="00AF7124">
      <w:rPr>
        <w:sz w:val="20"/>
        <w:szCs w:val="20"/>
      </w:rPr>
      <w:t xml:space="preserve">; </w:t>
    </w:r>
    <w:fldSimple w:instr=" TITLE   \* MERGEFORMAT ">
      <w:r w:rsidRPr="00FF0D29">
        <w:rPr>
          <w:sz w:val="20"/>
          <w:szCs w:val="20"/>
        </w:rPr>
        <w:t>Ministru kabineta noteikumu projekta "Grozījum</w:t>
      </w:r>
      <w:r>
        <w:rPr>
          <w:sz w:val="20"/>
          <w:szCs w:val="20"/>
        </w:rPr>
        <w:t>i</w:t>
      </w:r>
      <w:r w:rsidRPr="00FF0D29">
        <w:rPr>
          <w:sz w:val="20"/>
          <w:szCs w:val="20"/>
        </w:rPr>
        <w:t xml:space="preserve"> Ministru kabineta 2005.gada 27.decembra noteikumos Nr.1040 „Kārtība, kādā ārstniecības persona ziņo par vakcinācijas izraisītajām komplikācijām”"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6B" w:rsidRDefault="00027B6B">
      <w:r>
        <w:separator/>
      </w:r>
    </w:p>
  </w:footnote>
  <w:footnote w:type="continuationSeparator" w:id="0">
    <w:p w:rsidR="00027B6B" w:rsidRDefault="00027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6B" w:rsidRDefault="00027B6B"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7B6B" w:rsidRDefault="00027B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6B" w:rsidRDefault="00027B6B"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EA1">
      <w:rPr>
        <w:rStyle w:val="PageNumber"/>
        <w:noProof/>
      </w:rPr>
      <w:t>5</w:t>
    </w:r>
    <w:r>
      <w:rPr>
        <w:rStyle w:val="PageNumber"/>
      </w:rPr>
      <w:fldChar w:fldCharType="end"/>
    </w:r>
  </w:p>
  <w:p w:rsidR="00027B6B" w:rsidRDefault="00027B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C7B"/>
    <w:multiLevelType w:val="hybridMultilevel"/>
    <w:tmpl w:val="B880A474"/>
    <w:lvl w:ilvl="0" w:tplc="C428B05E">
      <w:start w:val="24"/>
      <w:numFmt w:val="bullet"/>
      <w:lvlText w:val="-"/>
      <w:lvlJc w:val="left"/>
      <w:pPr>
        <w:ind w:left="485" w:hanging="360"/>
      </w:pPr>
      <w:rPr>
        <w:rFonts w:ascii="Times New Roman" w:eastAsia="Times New Roman" w:hAnsi="Times New Roman" w:cs="Times New Roman" w:hint="default"/>
      </w:rPr>
    </w:lvl>
    <w:lvl w:ilvl="1" w:tplc="04260003" w:tentative="1">
      <w:start w:val="1"/>
      <w:numFmt w:val="bullet"/>
      <w:lvlText w:val="o"/>
      <w:lvlJc w:val="left"/>
      <w:pPr>
        <w:ind w:left="1205" w:hanging="360"/>
      </w:pPr>
      <w:rPr>
        <w:rFonts w:ascii="Courier New" w:hAnsi="Courier New" w:cs="Courier New" w:hint="default"/>
      </w:rPr>
    </w:lvl>
    <w:lvl w:ilvl="2" w:tplc="04260005" w:tentative="1">
      <w:start w:val="1"/>
      <w:numFmt w:val="bullet"/>
      <w:lvlText w:val=""/>
      <w:lvlJc w:val="left"/>
      <w:pPr>
        <w:ind w:left="1925" w:hanging="360"/>
      </w:pPr>
      <w:rPr>
        <w:rFonts w:ascii="Wingdings" w:hAnsi="Wingdings" w:hint="default"/>
      </w:rPr>
    </w:lvl>
    <w:lvl w:ilvl="3" w:tplc="04260001" w:tentative="1">
      <w:start w:val="1"/>
      <w:numFmt w:val="bullet"/>
      <w:lvlText w:val=""/>
      <w:lvlJc w:val="left"/>
      <w:pPr>
        <w:ind w:left="2645" w:hanging="360"/>
      </w:pPr>
      <w:rPr>
        <w:rFonts w:ascii="Symbol" w:hAnsi="Symbol" w:hint="default"/>
      </w:rPr>
    </w:lvl>
    <w:lvl w:ilvl="4" w:tplc="04260003" w:tentative="1">
      <w:start w:val="1"/>
      <w:numFmt w:val="bullet"/>
      <w:lvlText w:val="o"/>
      <w:lvlJc w:val="left"/>
      <w:pPr>
        <w:ind w:left="3365" w:hanging="360"/>
      </w:pPr>
      <w:rPr>
        <w:rFonts w:ascii="Courier New" w:hAnsi="Courier New" w:cs="Courier New" w:hint="default"/>
      </w:rPr>
    </w:lvl>
    <w:lvl w:ilvl="5" w:tplc="04260005" w:tentative="1">
      <w:start w:val="1"/>
      <w:numFmt w:val="bullet"/>
      <w:lvlText w:val=""/>
      <w:lvlJc w:val="left"/>
      <w:pPr>
        <w:ind w:left="4085" w:hanging="360"/>
      </w:pPr>
      <w:rPr>
        <w:rFonts w:ascii="Wingdings" w:hAnsi="Wingdings" w:hint="default"/>
      </w:rPr>
    </w:lvl>
    <w:lvl w:ilvl="6" w:tplc="04260001" w:tentative="1">
      <w:start w:val="1"/>
      <w:numFmt w:val="bullet"/>
      <w:lvlText w:val=""/>
      <w:lvlJc w:val="left"/>
      <w:pPr>
        <w:ind w:left="4805" w:hanging="360"/>
      </w:pPr>
      <w:rPr>
        <w:rFonts w:ascii="Symbol" w:hAnsi="Symbol" w:hint="default"/>
      </w:rPr>
    </w:lvl>
    <w:lvl w:ilvl="7" w:tplc="04260003" w:tentative="1">
      <w:start w:val="1"/>
      <w:numFmt w:val="bullet"/>
      <w:lvlText w:val="o"/>
      <w:lvlJc w:val="left"/>
      <w:pPr>
        <w:ind w:left="5525" w:hanging="360"/>
      </w:pPr>
      <w:rPr>
        <w:rFonts w:ascii="Courier New" w:hAnsi="Courier New" w:cs="Courier New" w:hint="default"/>
      </w:rPr>
    </w:lvl>
    <w:lvl w:ilvl="8" w:tplc="04260005" w:tentative="1">
      <w:start w:val="1"/>
      <w:numFmt w:val="bullet"/>
      <w:lvlText w:val=""/>
      <w:lvlJc w:val="left"/>
      <w:pPr>
        <w:ind w:left="6245" w:hanging="360"/>
      </w:pPr>
      <w:rPr>
        <w:rFonts w:ascii="Wingdings" w:hAnsi="Wingdings" w:hint="default"/>
      </w:rPr>
    </w:lvl>
  </w:abstractNum>
  <w:abstractNum w:abstractNumId="1">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29E3"/>
    <w:rsid w:val="00003293"/>
    <w:rsid w:val="00004359"/>
    <w:rsid w:val="00005DFA"/>
    <w:rsid w:val="0000783C"/>
    <w:rsid w:val="00010C72"/>
    <w:rsid w:val="00015BE4"/>
    <w:rsid w:val="00016FEA"/>
    <w:rsid w:val="000205A7"/>
    <w:rsid w:val="00021D18"/>
    <w:rsid w:val="00023887"/>
    <w:rsid w:val="00027B6B"/>
    <w:rsid w:val="0003154A"/>
    <w:rsid w:val="00033E5E"/>
    <w:rsid w:val="0003431E"/>
    <w:rsid w:val="00035450"/>
    <w:rsid w:val="0003583F"/>
    <w:rsid w:val="000445C9"/>
    <w:rsid w:val="000460B9"/>
    <w:rsid w:val="000473CC"/>
    <w:rsid w:val="00052C94"/>
    <w:rsid w:val="00057A45"/>
    <w:rsid w:val="000701A0"/>
    <w:rsid w:val="00071B24"/>
    <w:rsid w:val="000745B5"/>
    <w:rsid w:val="00076EF5"/>
    <w:rsid w:val="0007735D"/>
    <w:rsid w:val="000947C0"/>
    <w:rsid w:val="00094944"/>
    <w:rsid w:val="00097499"/>
    <w:rsid w:val="000A00D8"/>
    <w:rsid w:val="000B1841"/>
    <w:rsid w:val="000B664E"/>
    <w:rsid w:val="000C0D48"/>
    <w:rsid w:val="000C682A"/>
    <w:rsid w:val="000D5011"/>
    <w:rsid w:val="000E52AF"/>
    <w:rsid w:val="000E581B"/>
    <w:rsid w:val="000E5874"/>
    <w:rsid w:val="000E5BFF"/>
    <w:rsid w:val="000E705D"/>
    <w:rsid w:val="000F1E99"/>
    <w:rsid w:val="0010194C"/>
    <w:rsid w:val="00106273"/>
    <w:rsid w:val="00107CE4"/>
    <w:rsid w:val="00110EAA"/>
    <w:rsid w:val="001116A8"/>
    <w:rsid w:val="00115CAE"/>
    <w:rsid w:val="00116380"/>
    <w:rsid w:val="001256C9"/>
    <w:rsid w:val="00126108"/>
    <w:rsid w:val="00134BBE"/>
    <w:rsid w:val="00135B78"/>
    <w:rsid w:val="001510A9"/>
    <w:rsid w:val="00151D4E"/>
    <w:rsid w:val="001536C6"/>
    <w:rsid w:val="001551C6"/>
    <w:rsid w:val="0016645F"/>
    <w:rsid w:val="001676C1"/>
    <w:rsid w:val="00167B6E"/>
    <w:rsid w:val="00176922"/>
    <w:rsid w:val="0018044A"/>
    <w:rsid w:val="0019600B"/>
    <w:rsid w:val="001966C0"/>
    <w:rsid w:val="00197BFC"/>
    <w:rsid w:val="001A495C"/>
    <w:rsid w:val="001A783A"/>
    <w:rsid w:val="001B25AF"/>
    <w:rsid w:val="001B308F"/>
    <w:rsid w:val="001C2BAD"/>
    <w:rsid w:val="001C3946"/>
    <w:rsid w:val="001C5CEA"/>
    <w:rsid w:val="001D11D4"/>
    <w:rsid w:val="001D2C60"/>
    <w:rsid w:val="001D3BEE"/>
    <w:rsid w:val="001D6900"/>
    <w:rsid w:val="001F201E"/>
    <w:rsid w:val="001F7E4A"/>
    <w:rsid w:val="00200E13"/>
    <w:rsid w:val="00201CB9"/>
    <w:rsid w:val="00201E76"/>
    <w:rsid w:val="002120B6"/>
    <w:rsid w:val="00214299"/>
    <w:rsid w:val="00214C14"/>
    <w:rsid w:val="00215749"/>
    <w:rsid w:val="0022074C"/>
    <w:rsid w:val="00221ADE"/>
    <w:rsid w:val="00222714"/>
    <w:rsid w:val="00223941"/>
    <w:rsid w:val="002265D8"/>
    <w:rsid w:val="002267D6"/>
    <w:rsid w:val="00226CA4"/>
    <w:rsid w:val="00230B5C"/>
    <w:rsid w:val="0023734A"/>
    <w:rsid w:val="002434D6"/>
    <w:rsid w:val="00246C24"/>
    <w:rsid w:val="00253B7F"/>
    <w:rsid w:val="002635FB"/>
    <w:rsid w:val="00263E65"/>
    <w:rsid w:val="00264888"/>
    <w:rsid w:val="0027058E"/>
    <w:rsid w:val="00270C2A"/>
    <w:rsid w:val="00281DD1"/>
    <w:rsid w:val="00284A74"/>
    <w:rsid w:val="0028541D"/>
    <w:rsid w:val="00287B3F"/>
    <w:rsid w:val="002935F0"/>
    <w:rsid w:val="00294826"/>
    <w:rsid w:val="00295590"/>
    <w:rsid w:val="00296B9D"/>
    <w:rsid w:val="00297635"/>
    <w:rsid w:val="002A0B2F"/>
    <w:rsid w:val="002A10A8"/>
    <w:rsid w:val="002A179C"/>
    <w:rsid w:val="002A3CA8"/>
    <w:rsid w:val="002A5885"/>
    <w:rsid w:val="002A6687"/>
    <w:rsid w:val="002B1874"/>
    <w:rsid w:val="002B5960"/>
    <w:rsid w:val="002C0DBF"/>
    <w:rsid w:val="002C0FE8"/>
    <w:rsid w:val="002C2C45"/>
    <w:rsid w:val="002C458D"/>
    <w:rsid w:val="002C6C0C"/>
    <w:rsid w:val="002D2047"/>
    <w:rsid w:val="002D4E97"/>
    <w:rsid w:val="002D7D70"/>
    <w:rsid w:val="002E03FD"/>
    <w:rsid w:val="002E2EF1"/>
    <w:rsid w:val="002E3BFA"/>
    <w:rsid w:val="002E7C61"/>
    <w:rsid w:val="002F1748"/>
    <w:rsid w:val="002F17DF"/>
    <w:rsid w:val="002F705C"/>
    <w:rsid w:val="00310936"/>
    <w:rsid w:val="0031200C"/>
    <w:rsid w:val="0031277B"/>
    <w:rsid w:val="003147B4"/>
    <w:rsid w:val="00323BBA"/>
    <w:rsid w:val="0033121E"/>
    <w:rsid w:val="00333143"/>
    <w:rsid w:val="003366B8"/>
    <w:rsid w:val="003368B0"/>
    <w:rsid w:val="00345053"/>
    <w:rsid w:val="003472FC"/>
    <w:rsid w:val="00352238"/>
    <w:rsid w:val="00352CB6"/>
    <w:rsid w:val="00355359"/>
    <w:rsid w:val="0035690D"/>
    <w:rsid w:val="00362B79"/>
    <w:rsid w:val="003630A9"/>
    <w:rsid w:val="00365349"/>
    <w:rsid w:val="00371EAD"/>
    <w:rsid w:val="0037305E"/>
    <w:rsid w:val="00373ADD"/>
    <w:rsid w:val="003747BF"/>
    <w:rsid w:val="00386C81"/>
    <w:rsid w:val="00387954"/>
    <w:rsid w:val="003903C2"/>
    <w:rsid w:val="00391A41"/>
    <w:rsid w:val="00392F7B"/>
    <w:rsid w:val="0039373A"/>
    <w:rsid w:val="00394804"/>
    <w:rsid w:val="003A3AD4"/>
    <w:rsid w:val="003A64E5"/>
    <w:rsid w:val="003B0A8C"/>
    <w:rsid w:val="003C002A"/>
    <w:rsid w:val="003D076C"/>
    <w:rsid w:val="003D2380"/>
    <w:rsid w:val="003D3D72"/>
    <w:rsid w:val="003D5511"/>
    <w:rsid w:val="003D5656"/>
    <w:rsid w:val="003E0241"/>
    <w:rsid w:val="003E657B"/>
    <w:rsid w:val="003E79DE"/>
    <w:rsid w:val="003E7A7E"/>
    <w:rsid w:val="003F1DC5"/>
    <w:rsid w:val="003F3652"/>
    <w:rsid w:val="003F4BA1"/>
    <w:rsid w:val="003F52EF"/>
    <w:rsid w:val="00400A9B"/>
    <w:rsid w:val="00411ECA"/>
    <w:rsid w:val="00416246"/>
    <w:rsid w:val="00417E5D"/>
    <w:rsid w:val="004238D5"/>
    <w:rsid w:val="00423CA2"/>
    <w:rsid w:val="00426858"/>
    <w:rsid w:val="0043125D"/>
    <w:rsid w:val="00432C60"/>
    <w:rsid w:val="00434F3E"/>
    <w:rsid w:val="004379BA"/>
    <w:rsid w:val="004406EB"/>
    <w:rsid w:val="00442457"/>
    <w:rsid w:val="0044431D"/>
    <w:rsid w:val="0044472C"/>
    <w:rsid w:val="004529B0"/>
    <w:rsid w:val="00454124"/>
    <w:rsid w:val="0045427B"/>
    <w:rsid w:val="004542F7"/>
    <w:rsid w:val="00454F2F"/>
    <w:rsid w:val="00462184"/>
    <w:rsid w:val="00462DBD"/>
    <w:rsid w:val="00463CBC"/>
    <w:rsid w:val="00465E58"/>
    <w:rsid w:val="00466AC2"/>
    <w:rsid w:val="0046743B"/>
    <w:rsid w:val="00467807"/>
    <w:rsid w:val="00467F17"/>
    <w:rsid w:val="00472FC2"/>
    <w:rsid w:val="0047370E"/>
    <w:rsid w:val="00473E25"/>
    <w:rsid w:val="0047649A"/>
    <w:rsid w:val="00476E56"/>
    <w:rsid w:val="00481DCE"/>
    <w:rsid w:val="00482B5D"/>
    <w:rsid w:val="00485E59"/>
    <w:rsid w:val="00490199"/>
    <w:rsid w:val="00492FF8"/>
    <w:rsid w:val="00493F81"/>
    <w:rsid w:val="004A00FE"/>
    <w:rsid w:val="004A0B1A"/>
    <w:rsid w:val="004A1436"/>
    <w:rsid w:val="004A290E"/>
    <w:rsid w:val="004A3DB9"/>
    <w:rsid w:val="004A3E3F"/>
    <w:rsid w:val="004B0BBE"/>
    <w:rsid w:val="004B4CAB"/>
    <w:rsid w:val="004B515D"/>
    <w:rsid w:val="004C0123"/>
    <w:rsid w:val="004C3C09"/>
    <w:rsid w:val="004D0540"/>
    <w:rsid w:val="004F4C8C"/>
    <w:rsid w:val="004F509D"/>
    <w:rsid w:val="004F5A60"/>
    <w:rsid w:val="004F6C64"/>
    <w:rsid w:val="0050369C"/>
    <w:rsid w:val="00514D1B"/>
    <w:rsid w:val="00516F40"/>
    <w:rsid w:val="00517A7D"/>
    <w:rsid w:val="00521B2E"/>
    <w:rsid w:val="00521DAE"/>
    <w:rsid w:val="005236E8"/>
    <w:rsid w:val="00523EAC"/>
    <w:rsid w:val="00525143"/>
    <w:rsid w:val="005256A8"/>
    <w:rsid w:val="005275B5"/>
    <w:rsid w:val="00532924"/>
    <w:rsid w:val="00533277"/>
    <w:rsid w:val="005333D0"/>
    <w:rsid w:val="00534946"/>
    <w:rsid w:val="005349D2"/>
    <w:rsid w:val="00535FF1"/>
    <w:rsid w:val="00544BCB"/>
    <w:rsid w:val="005454DA"/>
    <w:rsid w:val="005530BF"/>
    <w:rsid w:val="00561C3C"/>
    <w:rsid w:val="005621A7"/>
    <w:rsid w:val="00562C7A"/>
    <w:rsid w:val="0057222B"/>
    <w:rsid w:val="00575AF7"/>
    <w:rsid w:val="00582FA1"/>
    <w:rsid w:val="00586F93"/>
    <w:rsid w:val="005918CC"/>
    <w:rsid w:val="005A0FA3"/>
    <w:rsid w:val="005B0042"/>
    <w:rsid w:val="005B098C"/>
    <w:rsid w:val="005B16C5"/>
    <w:rsid w:val="005B443E"/>
    <w:rsid w:val="005B6D49"/>
    <w:rsid w:val="005C0840"/>
    <w:rsid w:val="005C1B7D"/>
    <w:rsid w:val="005D2570"/>
    <w:rsid w:val="005E1AD1"/>
    <w:rsid w:val="005E6990"/>
    <w:rsid w:val="005E7B55"/>
    <w:rsid w:val="005F1171"/>
    <w:rsid w:val="005F5E9E"/>
    <w:rsid w:val="005F7F91"/>
    <w:rsid w:val="00601DCD"/>
    <w:rsid w:val="00610277"/>
    <w:rsid w:val="006103B7"/>
    <w:rsid w:val="006103D6"/>
    <w:rsid w:val="00610601"/>
    <w:rsid w:val="00610A65"/>
    <w:rsid w:val="00613768"/>
    <w:rsid w:val="006154F2"/>
    <w:rsid w:val="00617064"/>
    <w:rsid w:val="00617251"/>
    <w:rsid w:val="006248F0"/>
    <w:rsid w:val="00624B30"/>
    <w:rsid w:val="00626B4C"/>
    <w:rsid w:val="00626F77"/>
    <w:rsid w:val="00632550"/>
    <w:rsid w:val="006330A8"/>
    <w:rsid w:val="00635561"/>
    <w:rsid w:val="00640774"/>
    <w:rsid w:val="00640C17"/>
    <w:rsid w:val="006501C0"/>
    <w:rsid w:val="00657209"/>
    <w:rsid w:val="00657BD6"/>
    <w:rsid w:val="00665BAB"/>
    <w:rsid w:val="00671D41"/>
    <w:rsid w:val="0067509B"/>
    <w:rsid w:val="00676221"/>
    <w:rsid w:val="00677CE4"/>
    <w:rsid w:val="00681626"/>
    <w:rsid w:val="006836F3"/>
    <w:rsid w:val="00685D78"/>
    <w:rsid w:val="00685F7B"/>
    <w:rsid w:val="00687DB4"/>
    <w:rsid w:val="00693C20"/>
    <w:rsid w:val="00694455"/>
    <w:rsid w:val="0069791F"/>
    <w:rsid w:val="006A20B8"/>
    <w:rsid w:val="006A36CC"/>
    <w:rsid w:val="006A4EAD"/>
    <w:rsid w:val="006A7090"/>
    <w:rsid w:val="006A7143"/>
    <w:rsid w:val="006B2C6D"/>
    <w:rsid w:val="006B68CC"/>
    <w:rsid w:val="006C0F84"/>
    <w:rsid w:val="006C5847"/>
    <w:rsid w:val="006C73B3"/>
    <w:rsid w:val="006D1F52"/>
    <w:rsid w:val="006D2673"/>
    <w:rsid w:val="006D3E67"/>
    <w:rsid w:val="006D53CE"/>
    <w:rsid w:val="006E16F1"/>
    <w:rsid w:val="006E2526"/>
    <w:rsid w:val="006E2B8F"/>
    <w:rsid w:val="006E33CD"/>
    <w:rsid w:val="00705FFB"/>
    <w:rsid w:val="00707C80"/>
    <w:rsid w:val="00707F3A"/>
    <w:rsid w:val="00710BDE"/>
    <w:rsid w:val="00713776"/>
    <w:rsid w:val="00713B3D"/>
    <w:rsid w:val="00715E63"/>
    <w:rsid w:val="00720FC3"/>
    <w:rsid w:val="0072604C"/>
    <w:rsid w:val="007303D0"/>
    <w:rsid w:val="0073466D"/>
    <w:rsid w:val="007359AA"/>
    <w:rsid w:val="007376A3"/>
    <w:rsid w:val="00741FC8"/>
    <w:rsid w:val="00744AC4"/>
    <w:rsid w:val="0074610C"/>
    <w:rsid w:val="00746D3D"/>
    <w:rsid w:val="007557E3"/>
    <w:rsid w:val="0075695E"/>
    <w:rsid w:val="007576E7"/>
    <w:rsid w:val="007601AB"/>
    <w:rsid w:val="00765488"/>
    <w:rsid w:val="007658D5"/>
    <w:rsid w:val="00766A87"/>
    <w:rsid w:val="00773E29"/>
    <w:rsid w:val="00774479"/>
    <w:rsid w:val="00780C45"/>
    <w:rsid w:val="00784919"/>
    <w:rsid w:val="0078779A"/>
    <w:rsid w:val="007929F2"/>
    <w:rsid w:val="007941BE"/>
    <w:rsid w:val="0079601D"/>
    <w:rsid w:val="007A1164"/>
    <w:rsid w:val="007A2DEC"/>
    <w:rsid w:val="007A35D5"/>
    <w:rsid w:val="007A5BDA"/>
    <w:rsid w:val="007B39A5"/>
    <w:rsid w:val="007B67B2"/>
    <w:rsid w:val="007C0AAE"/>
    <w:rsid w:val="007C26C3"/>
    <w:rsid w:val="007E0B03"/>
    <w:rsid w:val="007E69C2"/>
    <w:rsid w:val="007F1C21"/>
    <w:rsid w:val="007F1EFB"/>
    <w:rsid w:val="007F2ED7"/>
    <w:rsid w:val="007F7480"/>
    <w:rsid w:val="00802288"/>
    <w:rsid w:val="00804A3E"/>
    <w:rsid w:val="0080618A"/>
    <w:rsid w:val="008075E1"/>
    <w:rsid w:val="00813669"/>
    <w:rsid w:val="0081667F"/>
    <w:rsid w:val="00821142"/>
    <w:rsid w:val="008229F3"/>
    <w:rsid w:val="00824591"/>
    <w:rsid w:val="00824744"/>
    <w:rsid w:val="0082500A"/>
    <w:rsid w:val="008313AB"/>
    <w:rsid w:val="00831FDA"/>
    <w:rsid w:val="00836C42"/>
    <w:rsid w:val="00841A26"/>
    <w:rsid w:val="00843BCD"/>
    <w:rsid w:val="00852762"/>
    <w:rsid w:val="00853F9F"/>
    <w:rsid w:val="00856CB1"/>
    <w:rsid w:val="00857092"/>
    <w:rsid w:val="0087012D"/>
    <w:rsid w:val="0087467A"/>
    <w:rsid w:val="008814A4"/>
    <w:rsid w:val="00882F60"/>
    <w:rsid w:val="008834D1"/>
    <w:rsid w:val="0089342E"/>
    <w:rsid w:val="00894C4F"/>
    <w:rsid w:val="00896C16"/>
    <w:rsid w:val="008974C9"/>
    <w:rsid w:val="008A0F49"/>
    <w:rsid w:val="008A1059"/>
    <w:rsid w:val="008A2EEF"/>
    <w:rsid w:val="008A4AB9"/>
    <w:rsid w:val="008A556A"/>
    <w:rsid w:val="008B149A"/>
    <w:rsid w:val="008B1E9C"/>
    <w:rsid w:val="008B3999"/>
    <w:rsid w:val="008B4D46"/>
    <w:rsid w:val="008C782C"/>
    <w:rsid w:val="008D1D0C"/>
    <w:rsid w:val="008D35FC"/>
    <w:rsid w:val="008D563C"/>
    <w:rsid w:val="008D57A9"/>
    <w:rsid w:val="008D62AE"/>
    <w:rsid w:val="008D730D"/>
    <w:rsid w:val="008E1A3C"/>
    <w:rsid w:val="008E5441"/>
    <w:rsid w:val="008E5FAC"/>
    <w:rsid w:val="008F068B"/>
    <w:rsid w:val="009077DF"/>
    <w:rsid w:val="00911685"/>
    <w:rsid w:val="009124E0"/>
    <w:rsid w:val="0091273E"/>
    <w:rsid w:val="00912AB1"/>
    <w:rsid w:val="0091592D"/>
    <w:rsid w:val="0091617D"/>
    <w:rsid w:val="00916D86"/>
    <w:rsid w:val="009170B8"/>
    <w:rsid w:val="00920D0B"/>
    <w:rsid w:val="009244A7"/>
    <w:rsid w:val="00930EF1"/>
    <w:rsid w:val="009344EF"/>
    <w:rsid w:val="0093455F"/>
    <w:rsid w:val="00942CBC"/>
    <w:rsid w:val="00943216"/>
    <w:rsid w:val="00944AC5"/>
    <w:rsid w:val="00947995"/>
    <w:rsid w:val="009479B9"/>
    <w:rsid w:val="00955CB5"/>
    <w:rsid w:val="00955CBA"/>
    <w:rsid w:val="00956A31"/>
    <w:rsid w:val="00960BDA"/>
    <w:rsid w:val="009633D8"/>
    <w:rsid w:val="00963695"/>
    <w:rsid w:val="00964D08"/>
    <w:rsid w:val="00966F8A"/>
    <w:rsid w:val="009678B8"/>
    <w:rsid w:val="0097137F"/>
    <w:rsid w:val="009766F9"/>
    <w:rsid w:val="00977526"/>
    <w:rsid w:val="00980754"/>
    <w:rsid w:val="0098497C"/>
    <w:rsid w:val="00985838"/>
    <w:rsid w:val="00990F21"/>
    <w:rsid w:val="0099250E"/>
    <w:rsid w:val="0099629F"/>
    <w:rsid w:val="009A2938"/>
    <w:rsid w:val="009A5066"/>
    <w:rsid w:val="009A6EAC"/>
    <w:rsid w:val="009B5720"/>
    <w:rsid w:val="009B59E3"/>
    <w:rsid w:val="009C1FF4"/>
    <w:rsid w:val="009C2296"/>
    <w:rsid w:val="009C25AF"/>
    <w:rsid w:val="009C5B69"/>
    <w:rsid w:val="009D4985"/>
    <w:rsid w:val="009E14E3"/>
    <w:rsid w:val="009E5806"/>
    <w:rsid w:val="009E66CF"/>
    <w:rsid w:val="009F284F"/>
    <w:rsid w:val="009F703C"/>
    <w:rsid w:val="009F716E"/>
    <w:rsid w:val="009F739F"/>
    <w:rsid w:val="009F7786"/>
    <w:rsid w:val="009F7FF4"/>
    <w:rsid w:val="00A00CF8"/>
    <w:rsid w:val="00A03895"/>
    <w:rsid w:val="00A06749"/>
    <w:rsid w:val="00A07C98"/>
    <w:rsid w:val="00A1129E"/>
    <w:rsid w:val="00A14F23"/>
    <w:rsid w:val="00A178E6"/>
    <w:rsid w:val="00A20426"/>
    <w:rsid w:val="00A278F8"/>
    <w:rsid w:val="00A27954"/>
    <w:rsid w:val="00A30B5C"/>
    <w:rsid w:val="00A32B15"/>
    <w:rsid w:val="00A34456"/>
    <w:rsid w:val="00A357F5"/>
    <w:rsid w:val="00A370D1"/>
    <w:rsid w:val="00A37FF2"/>
    <w:rsid w:val="00A40C50"/>
    <w:rsid w:val="00A4239D"/>
    <w:rsid w:val="00A43A0C"/>
    <w:rsid w:val="00A44A09"/>
    <w:rsid w:val="00A50281"/>
    <w:rsid w:val="00A5747C"/>
    <w:rsid w:val="00A642C2"/>
    <w:rsid w:val="00A65245"/>
    <w:rsid w:val="00A66C4C"/>
    <w:rsid w:val="00A72845"/>
    <w:rsid w:val="00A77D34"/>
    <w:rsid w:val="00A81B3C"/>
    <w:rsid w:val="00A963D4"/>
    <w:rsid w:val="00AA0631"/>
    <w:rsid w:val="00AA0C78"/>
    <w:rsid w:val="00AA14CC"/>
    <w:rsid w:val="00AA2179"/>
    <w:rsid w:val="00AA418C"/>
    <w:rsid w:val="00AA65A9"/>
    <w:rsid w:val="00AB00F9"/>
    <w:rsid w:val="00AB2C02"/>
    <w:rsid w:val="00AC171D"/>
    <w:rsid w:val="00AC3417"/>
    <w:rsid w:val="00AD15C2"/>
    <w:rsid w:val="00AD4EDB"/>
    <w:rsid w:val="00AD657F"/>
    <w:rsid w:val="00AD6700"/>
    <w:rsid w:val="00AE3FF5"/>
    <w:rsid w:val="00AE4B1D"/>
    <w:rsid w:val="00AE6233"/>
    <w:rsid w:val="00AF0087"/>
    <w:rsid w:val="00AF35B4"/>
    <w:rsid w:val="00AF7124"/>
    <w:rsid w:val="00B0093E"/>
    <w:rsid w:val="00B00EB4"/>
    <w:rsid w:val="00B141ED"/>
    <w:rsid w:val="00B202FD"/>
    <w:rsid w:val="00B2148C"/>
    <w:rsid w:val="00B224BC"/>
    <w:rsid w:val="00B264B7"/>
    <w:rsid w:val="00B337EA"/>
    <w:rsid w:val="00B34807"/>
    <w:rsid w:val="00B35FC5"/>
    <w:rsid w:val="00B36FE5"/>
    <w:rsid w:val="00B40520"/>
    <w:rsid w:val="00B436BE"/>
    <w:rsid w:val="00B46E55"/>
    <w:rsid w:val="00B51F5C"/>
    <w:rsid w:val="00B529A4"/>
    <w:rsid w:val="00B52C7B"/>
    <w:rsid w:val="00B5578A"/>
    <w:rsid w:val="00B57293"/>
    <w:rsid w:val="00B60371"/>
    <w:rsid w:val="00B61DF1"/>
    <w:rsid w:val="00B61FFA"/>
    <w:rsid w:val="00B6303C"/>
    <w:rsid w:val="00B70A9B"/>
    <w:rsid w:val="00B712E9"/>
    <w:rsid w:val="00B7219C"/>
    <w:rsid w:val="00B7224D"/>
    <w:rsid w:val="00B72FE7"/>
    <w:rsid w:val="00B7303E"/>
    <w:rsid w:val="00B731F6"/>
    <w:rsid w:val="00B752CA"/>
    <w:rsid w:val="00B867E3"/>
    <w:rsid w:val="00BA0328"/>
    <w:rsid w:val="00BA13C3"/>
    <w:rsid w:val="00BA1D5B"/>
    <w:rsid w:val="00BA3A6F"/>
    <w:rsid w:val="00BB2815"/>
    <w:rsid w:val="00BB371D"/>
    <w:rsid w:val="00BB7FAF"/>
    <w:rsid w:val="00BC1328"/>
    <w:rsid w:val="00BC29C9"/>
    <w:rsid w:val="00BC3A76"/>
    <w:rsid w:val="00BC43AC"/>
    <w:rsid w:val="00BC51D3"/>
    <w:rsid w:val="00BC6CDD"/>
    <w:rsid w:val="00BD074F"/>
    <w:rsid w:val="00BD0B3D"/>
    <w:rsid w:val="00BE04B4"/>
    <w:rsid w:val="00BE0AF5"/>
    <w:rsid w:val="00BE16A2"/>
    <w:rsid w:val="00BE39ED"/>
    <w:rsid w:val="00BE7331"/>
    <w:rsid w:val="00BE7D47"/>
    <w:rsid w:val="00BF405B"/>
    <w:rsid w:val="00BF65A1"/>
    <w:rsid w:val="00BF771B"/>
    <w:rsid w:val="00BF7728"/>
    <w:rsid w:val="00BF7AF4"/>
    <w:rsid w:val="00C00681"/>
    <w:rsid w:val="00C06CB4"/>
    <w:rsid w:val="00C100BB"/>
    <w:rsid w:val="00C350A3"/>
    <w:rsid w:val="00C35759"/>
    <w:rsid w:val="00C420C5"/>
    <w:rsid w:val="00C42345"/>
    <w:rsid w:val="00C50C5B"/>
    <w:rsid w:val="00C55A90"/>
    <w:rsid w:val="00C63AC6"/>
    <w:rsid w:val="00C674E8"/>
    <w:rsid w:val="00C724A7"/>
    <w:rsid w:val="00C77717"/>
    <w:rsid w:val="00C8067C"/>
    <w:rsid w:val="00C807AC"/>
    <w:rsid w:val="00C82731"/>
    <w:rsid w:val="00C827A0"/>
    <w:rsid w:val="00C90E35"/>
    <w:rsid w:val="00C9138C"/>
    <w:rsid w:val="00C93EA1"/>
    <w:rsid w:val="00C9471C"/>
    <w:rsid w:val="00CA0A6B"/>
    <w:rsid w:val="00CA6E18"/>
    <w:rsid w:val="00CA76AB"/>
    <w:rsid w:val="00CB27A1"/>
    <w:rsid w:val="00CB2FF0"/>
    <w:rsid w:val="00CD0FA2"/>
    <w:rsid w:val="00CD38B4"/>
    <w:rsid w:val="00CD5D34"/>
    <w:rsid w:val="00CD6705"/>
    <w:rsid w:val="00CE5BD2"/>
    <w:rsid w:val="00CE6B79"/>
    <w:rsid w:val="00CF091A"/>
    <w:rsid w:val="00CF1A17"/>
    <w:rsid w:val="00CF2D7A"/>
    <w:rsid w:val="00CF38CA"/>
    <w:rsid w:val="00CF4C10"/>
    <w:rsid w:val="00CF4E85"/>
    <w:rsid w:val="00CF5932"/>
    <w:rsid w:val="00CF5CB2"/>
    <w:rsid w:val="00D029C2"/>
    <w:rsid w:val="00D03AE8"/>
    <w:rsid w:val="00D07097"/>
    <w:rsid w:val="00D07EBA"/>
    <w:rsid w:val="00D1073B"/>
    <w:rsid w:val="00D23B0C"/>
    <w:rsid w:val="00D46097"/>
    <w:rsid w:val="00D461B3"/>
    <w:rsid w:val="00D50B30"/>
    <w:rsid w:val="00D5219F"/>
    <w:rsid w:val="00D56D16"/>
    <w:rsid w:val="00D577C5"/>
    <w:rsid w:val="00D64A76"/>
    <w:rsid w:val="00D72CA3"/>
    <w:rsid w:val="00D73A62"/>
    <w:rsid w:val="00D8565A"/>
    <w:rsid w:val="00DA3A7B"/>
    <w:rsid w:val="00DA5E34"/>
    <w:rsid w:val="00DA7F89"/>
    <w:rsid w:val="00DB21E5"/>
    <w:rsid w:val="00DB37E7"/>
    <w:rsid w:val="00DB3AA0"/>
    <w:rsid w:val="00DB6086"/>
    <w:rsid w:val="00DD3174"/>
    <w:rsid w:val="00DD32B2"/>
    <w:rsid w:val="00DD772E"/>
    <w:rsid w:val="00DE4771"/>
    <w:rsid w:val="00DE4C47"/>
    <w:rsid w:val="00DF2EE1"/>
    <w:rsid w:val="00DF60D0"/>
    <w:rsid w:val="00E14FDA"/>
    <w:rsid w:val="00E20981"/>
    <w:rsid w:val="00E27F89"/>
    <w:rsid w:val="00E31071"/>
    <w:rsid w:val="00E337D5"/>
    <w:rsid w:val="00E34F18"/>
    <w:rsid w:val="00E35773"/>
    <w:rsid w:val="00E35FFA"/>
    <w:rsid w:val="00E4065C"/>
    <w:rsid w:val="00E4144C"/>
    <w:rsid w:val="00E4252A"/>
    <w:rsid w:val="00E42D13"/>
    <w:rsid w:val="00E43FAD"/>
    <w:rsid w:val="00E44CD2"/>
    <w:rsid w:val="00E510E3"/>
    <w:rsid w:val="00E557E4"/>
    <w:rsid w:val="00E6640D"/>
    <w:rsid w:val="00E6763C"/>
    <w:rsid w:val="00E711A2"/>
    <w:rsid w:val="00E84E7C"/>
    <w:rsid w:val="00E91620"/>
    <w:rsid w:val="00E9322A"/>
    <w:rsid w:val="00E95C3B"/>
    <w:rsid w:val="00E960D6"/>
    <w:rsid w:val="00E96954"/>
    <w:rsid w:val="00EA049E"/>
    <w:rsid w:val="00EA65FD"/>
    <w:rsid w:val="00EA6B96"/>
    <w:rsid w:val="00EA7EE7"/>
    <w:rsid w:val="00EB5B64"/>
    <w:rsid w:val="00EB5DBA"/>
    <w:rsid w:val="00EC3828"/>
    <w:rsid w:val="00ED2279"/>
    <w:rsid w:val="00ED47C6"/>
    <w:rsid w:val="00ED4CAF"/>
    <w:rsid w:val="00ED5A0D"/>
    <w:rsid w:val="00ED605E"/>
    <w:rsid w:val="00EE3497"/>
    <w:rsid w:val="00EE4CC9"/>
    <w:rsid w:val="00EE6E22"/>
    <w:rsid w:val="00EF287C"/>
    <w:rsid w:val="00EF42D0"/>
    <w:rsid w:val="00EF5BDF"/>
    <w:rsid w:val="00F04BC9"/>
    <w:rsid w:val="00F11EC8"/>
    <w:rsid w:val="00F125D3"/>
    <w:rsid w:val="00F15B4B"/>
    <w:rsid w:val="00F16A22"/>
    <w:rsid w:val="00F237F5"/>
    <w:rsid w:val="00F27903"/>
    <w:rsid w:val="00F31F7E"/>
    <w:rsid w:val="00F32654"/>
    <w:rsid w:val="00F32A96"/>
    <w:rsid w:val="00F36C44"/>
    <w:rsid w:val="00F4024F"/>
    <w:rsid w:val="00F41B55"/>
    <w:rsid w:val="00F44401"/>
    <w:rsid w:val="00F461CB"/>
    <w:rsid w:val="00F470A9"/>
    <w:rsid w:val="00F500EC"/>
    <w:rsid w:val="00F55522"/>
    <w:rsid w:val="00F6212D"/>
    <w:rsid w:val="00F62EBA"/>
    <w:rsid w:val="00F643FA"/>
    <w:rsid w:val="00F72B69"/>
    <w:rsid w:val="00F73F7E"/>
    <w:rsid w:val="00F745E7"/>
    <w:rsid w:val="00F77620"/>
    <w:rsid w:val="00F8285A"/>
    <w:rsid w:val="00F834F6"/>
    <w:rsid w:val="00F876D9"/>
    <w:rsid w:val="00F928E9"/>
    <w:rsid w:val="00F95BB3"/>
    <w:rsid w:val="00F96D3A"/>
    <w:rsid w:val="00FA0CB3"/>
    <w:rsid w:val="00FA508F"/>
    <w:rsid w:val="00FB0F08"/>
    <w:rsid w:val="00FB19CA"/>
    <w:rsid w:val="00FB5625"/>
    <w:rsid w:val="00FB5762"/>
    <w:rsid w:val="00FB593F"/>
    <w:rsid w:val="00FB5ED3"/>
    <w:rsid w:val="00FC03CA"/>
    <w:rsid w:val="00FC1F7B"/>
    <w:rsid w:val="00FC54B9"/>
    <w:rsid w:val="00FD1183"/>
    <w:rsid w:val="00FD1DB6"/>
    <w:rsid w:val="00FD3405"/>
    <w:rsid w:val="00FD62CD"/>
    <w:rsid w:val="00FE170A"/>
    <w:rsid w:val="00FE63AE"/>
    <w:rsid w:val="00FE7564"/>
    <w:rsid w:val="00FF0D29"/>
    <w:rsid w:val="00FF242E"/>
    <w:rsid w:val="00FF3B69"/>
    <w:rsid w:val="00FF52D2"/>
    <w:rsid w:val="00FF73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table" w:styleId="TableGrid">
    <w:name w:val="Table Grid"/>
    <w:basedOn w:val="TableNormal"/>
    <w:uiPriority w:val="59"/>
    <w:rsid w:val="001B30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2924"/>
    <w:pPr>
      <w:ind w:left="720"/>
      <w:contextualSpacing/>
    </w:p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138CB-8E0E-4C47-AA73-5560502B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9583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2005.gada 27.decembra noteikumos Nr.1040 „Kārtība, kādā ārstniecības persona ziņo par vakcinācijas izraisītajām komplikācijām”" sākotnējās ietekmes novērtējuma ziņojums (anotācija)</vt:lpstr>
    </vt:vector>
  </TitlesOfParts>
  <Company>Veselības ministrija</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2005.gada 27.decembra noteikumos Nr.1040 „Kārtība, kādā ārstniecības persona ziņo par vakcinācijas izraisītajām komplikācijām”" sākotnējās ietekmes novērtējuma ziņojums (anotācija)</dc:title>
  <dc:subject>Anotācija</dc:subject>
  <dc:creator>Dace Viļuma</dc:creator>
  <cp:keywords>Veselības ministrija</cp:keywords>
  <dc:description>dace.viluma@vm.gov.lv, 67876080, fax:67876071</dc:description>
  <cp:lastModifiedBy>dviluma</cp:lastModifiedBy>
  <cp:revision>3</cp:revision>
  <cp:lastPrinted>2011-10-24T11:34:00Z</cp:lastPrinted>
  <dcterms:created xsi:type="dcterms:W3CDTF">2011-12-06T07:37:00Z</dcterms:created>
  <dcterms:modified xsi:type="dcterms:W3CDTF">2011-12-06T07:38:00Z</dcterms:modified>
</cp:coreProperties>
</file>