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0C" w:rsidRDefault="0022460C" w:rsidP="00C51DBA">
      <w:pPr>
        <w:pStyle w:val="naisc"/>
        <w:spacing w:before="0" w:after="0"/>
        <w:rPr>
          <w:bCs/>
          <w:sz w:val="28"/>
          <w:szCs w:val="28"/>
        </w:rPr>
      </w:pPr>
      <w:bookmarkStart w:id="0" w:name="OLE_LINK3"/>
      <w:bookmarkStart w:id="1" w:name="OLE_LINK4"/>
    </w:p>
    <w:p w:rsidR="00C51DBA" w:rsidRPr="004A00E0" w:rsidRDefault="00C51DBA" w:rsidP="00C51DBA">
      <w:pPr>
        <w:pStyle w:val="naisc"/>
        <w:spacing w:before="0" w:after="0"/>
        <w:rPr>
          <w:bCs/>
          <w:sz w:val="28"/>
          <w:szCs w:val="28"/>
        </w:rPr>
      </w:pPr>
      <w:r w:rsidRPr="004A00E0">
        <w:rPr>
          <w:bCs/>
          <w:sz w:val="28"/>
          <w:szCs w:val="28"/>
        </w:rPr>
        <w:t>Ministru kabineta noteikumu projekta</w:t>
      </w:r>
    </w:p>
    <w:p w:rsidR="00C51DBA" w:rsidRPr="004A00E0" w:rsidRDefault="00C51DBA" w:rsidP="007B3330">
      <w:pPr>
        <w:jc w:val="center"/>
        <w:rPr>
          <w:b/>
          <w:bCs/>
          <w:sz w:val="28"/>
          <w:szCs w:val="28"/>
        </w:rPr>
      </w:pPr>
      <w:r w:rsidRPr="004A00E0">
        <w:rPr>
          <w:b/>
          <w:sz w:val="28"/>
          <w:szCs w:val="28"/>
        </w:rPr>
        <w:t>„</w:t>
      </w:r>
      <w:bookmarkStart w:id="2" w:name="OLE_LINK5"/>
      <w:bookmarkStart w:id="3" w:name="OLE_LINK6"/>
      <w:r w:rsidR="007B3330" w:rsidRPr="004A00E0">
        <w:rPr>
          <w:b/>
          <w:sz w:val="28"/>
          <w:szCs w:val="28"/>
        </w:rPr>
        <w:t>Grozījum</w:t>
      </w:r>
      <w:r w:rsidR="002D75E7" w:rsidRPr="004A00E0">
        <w:rPr>
          <w:b/>
          <w:sz w:val="28"/>
          <w:szCs w:val="28"/>
        </w:rPr>
        <w:t>i</w:t>
      </w:r>
      <w:r w:rsidR="007B3330" w:rsidRPr="004A00E0">
        <w:rPr>
          <w:b/>
          <w:sz w:val="28"/>
          <w:szCs w:val="28"/>
        </w:rPr>
        <w:t xml:space="preserve"> Ministru kabineta 2009.gada 20.janvāra noteikumos Nr.60  „Noteikumi par obligātajām prasībām ārstniecības iestādēm un to struktūrvienībām”</w:t>
      </w:r>
      <w:bookmarkEnd w:id="2"/>
      <w:bookmarkEnd w:id="3"/>
      <w:r w:rsidR="00031886" w:rsidRPr="004A00E0">
        <w:rPr>
          <w:b/>
          <w:sz w:val="28"/>
          <w:szCs w:val="28"/>
        </w:rPr>
        <w:t>”</w:t>
      </w:r>
      <w:r w:rsidR="007B3330" w:rsidRPr="004A00E0">
        <w:rPr>
          <w:b/>
          <w:sz w:val="28"/>
          <w:szCs w:val="28"/>
        </w:rPr>
        <w:t xml:space="preserve"> </w:t>
      </w:r>
      <w:r w:rsidRPr="004A00E0">
        <w:rPr>
          <w:b/>
          <w:sz w:val="28"/>
          <w:szCs w:val="28"/>
        </w:rPr>
        <w:t xml:space="preserve">sākotnējās </w:t>
      </w:r>
      <w:r w:rsidR="0010476F" w:rsidRPr="004A00E0">
        <w:rPr>
          <w:b/>
          <w:sz w:val="28"/>
          <w:szCs w:val="28"/>
        </w:rPr>
        <w:t>(</w:t>
      </w:r>
      <w:proofErr w:type="spellStart"/>
      <w:r w:rsidR="0010476F" w:rsidRPr="004A00E0">
        <w:rPr>
          <w:b/>
          <w:sz w:val="28"/>
          <w:szCs w:val="28"/>
        </w:rPr>
        <w:t>ex-ante</w:t>
      </w:r>
      <w:proofErr w:type="spellEnd"/>
      <w:r w:rsidR="0010476F" w:rsidRPr="004A00E0">
        <w:rPr>
          <w:b/>
          <w:sz w:val="28"/>
          <w:szCs w:val="28"/>
        </w:rPr>
        <w:t xml:space="preserve">) </w:t>
      </w:r>
      <w:r w:rsidRPr="004A00E0">
        <w:rPr>
          <w:b/>
          <w:sz w:val="28"/>
          <w:szCs w:val="28"/>
        </w:rPr>
        <w:t>ietekmes novērtējuma ziņojums (</w:t>
      </w:r>
      <w:r w:rsidRPr="004A00E0">
        <w:rPr>
          <w:b/>
          <w:bCs/>
          <w:sz w:val="28"/>
          <w:szCs w:val="28"/>
        </w:rPr>
        <w:t>anotācija)</w:t>
      </w:r>
    </w:p>
    <w:bookmarkEnd w:id="0"/>
    <w:bookmarkEnd w:id="1"/>
    <w:p w:rsidR="00027E0A" w:rsidRPr="004A00E0" w:rsidRDefault="00027E0A" w:rsidP="009D03E6">
      <w:pPr>
        <w:pStyle w:val="naisc"/>
        <w:spacing w:before="0" w:after="0"/>
        <w:rPr>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40"/>
        <w:gridCol w:w="6656"/>
      </w:tblGrid>
      <w:tr w:rsidR="00B5021C" w:rsidRPr="004A00E0" w:rsidTr="008D2BD9">
        <w:tc>
          <w:tcPr>
            <w:tcW w:w="9464" w:type="dxa"/>
            <w:gridSpan w:val="3"/>
          </w:tcPr>
          <w:p w:rsidR="00B5021C" w:rsidRPr="004A00E0" w:rsidRDefault="00B5021C" w:rsidP="00772A15">
            <w:pPr>
              <w:jc w:val="center"/>
            </w:pPr>
            <w:r w:rsidRPr="004A00E0">
              <w:rPr>
                <w:b/>
                <w:bCs/>
                <w:lang w:eastAsia="en-US"/>
              </w:rPr>
              <w:t>I. Tiesību akta projekta izstrādes nepieciešamība</w:t>
            </w:r>
          </w:p>
        </w:tc>
      </w:tr>
      <w:tr w:rsidR="00027E0A" w:rsidRPr="004A00E0" w:rsidTr="008D2BD9">
        <w:tc>
          <w:tcPr>
            <w:tcW w:w="468" w:type="dxa"/>
          </w:tcPr>
          <w:p w:rsidR="00027E0A" w:rsidRPr="004A00E0" w:rsidRDefault="00027E0A" w:rsidP="009D03E6">
            <w:r w:rsidRPr="004A00E0">
              <w:rPr>
                <w:lang w:eastAsia="en-US"/>
              </w:rPr>
              <w:t>1.</w:t>
            </w:r>
          </w:p>
        </w:tc>
        <w:tc>
          <w:tcPr>
            <w:tcW w:w="2340" w:type="dxa"/>
          </w:tcPr>
          <w:p w:rsidR="00027E0A" w:rsidRPr="004A00E0" w:rsidRDefault="00027E0A" w:rsidP="009D03E6">
            <w:pPr>
              <w:rPr>
                <w:lang w:eastAsia="en-US"/>
              </w:rPr>
            </w:pPr>
            <w:r w:rsidRPr="004A00E0">
              <w:rPr>
                <w:lang w:eastAsia="en-US"/>
              </w:rPr>
              <w:t>Pamatojums</w:t>
            </w:r>
          </w:p>
        </w:tc>
        <w:tc>
          <w:tcPr>
            <w:tcW w:w="6656" w:type="dxa"/>
          </w:tcPr>
          <w:p w:rsidR="000576A1" w:rsidRDefault="008C15BC" w:rsidP="008D2BD9">
            <w:pPr>
              <w:ind w:firstLine="311"/>
              <w:jc w:val="both"/>
              <w:rPr>
                <w:lang w:eastAsia="en-US"/>
              </w:rPr>
            </w:pPr>
            <w:r w:rsidRPr="004A00E0">
              <w:rPr>
                <w:lang w:eastAsia="en-US"/>
              </w:rPr>
              <w:t xml:space="preserve">Ārstniecības likuma 55.panta otrā daļa. </w:t>
            </w:r>
          </w:p>
          <w:p w:rsidR="0022460C" w:rsidRPr="004A00E0" w:rsidRDefault="0022460C" w:rsidP="008D2BD9">
            <w:pPr>
              <w:ind w:firstLine="311"/>
              <w:jc w:val="both"/>
              <w:rPr>
                <w:lang w:eastAsia="en-US"/>
              </w:rPr>
            </w:pPr>
          </w:p>
        </w:tc>
      </w:tr>
      <w:tr w:rsidR="00027E0A" w:rsidRPr="004A00E0" w:rsidTr="008D2BD9">
        <w:tc>
          <w:tcPr>
            <w:tcW w:w="468" w:type="dxa"/>
          </w:tcPr>
          <w:p w:rsidR="00027E0A" w:rsidRPr="004A00E0" w:rsidRDefault="00027E0A" w:rsidP="009D03E6">
            <w:r w:rsidRPr="004A00E0">
              <w:rPr>
                <w:lang w:eastAsia="en-US"/>
              </w:rPr>
              <w:t>2.</w:t>
            </w:r>
          </w:p>
        </w:tc>
        <w:tc>
          <w:tcPr>
            <w:tcW w:w="2340" w:type="dxa"/>
          </w:tcPr>
          <w:p w:rsidR="00027E0A" w:rsidRPr="004A00E0" w:rsidRDefault="00027E0A" w:rsidP="009D03E6">
            <w:r w:rsidRPr="004A00E0">
              <w:rPr>
                <w:lang w:eastAsia="en-US"/>
              </w:rPr>
              <w:t>Pašreizējā situācija un problēmas</w:t>
            </w:r>
          </w:p>
        </w:tc>
        <w:tc>
          <w:tcPr>
            <w:tcW w:w="6656" w:type="dxa"/>
          </w:tcPr>
          <w:p w:rsidR="00CE49C4" w:rsidRPr="004A00E0" w:rsidRDefault="00CE49C4" w:rsidP="008D2BD9">
            <w:pPr>
              <w:ind w:firstLine="311"/>
              <w:jc w:val="both"/>
            </w:pPr>
            <w:r w:rsidRPr="004A00E0">
              <w:rPr>
                <w:rStyle w:val="Strong"/>
                <w:b w:val="0"/>
              </w:rPr>
              <w:t>Ministru kabinet</w:t>
            </w:r>
            <w:r w:rsidR="0067468E" w:rsidRPr="004A00E0">
              <w:rPr>
                <w:rStyle w:val="Strong"/>
                <w:b w:val="0"/>
              </w:rPr>
              <w:t xml:space="preserve">s </w:t>
            </w:r>
            <w:r w:rsidRPr="004A00E0">
              <w:rPr>
                <w:rStyle w:val="Strong"/>
                <w:b w:val="0"/>
              </w:rPr>
              <w:t>2009.gada 20.janvār</w:t>
            </w:r>
            <w:r w:rsidR="00B2773D" w:rsidRPr="004A00E0">
              <w:rPr>
                <w:rStyle w:val="Strong"/>
                <w:b w:val="0"/>
              </w:rPr>
              <w:t>a</w:t>
            </w:r>
            <w:r w:rsidR="0067468E" w:rsidRPr="004A00E0">
              <w:rPr>
                <w:rStyle w:val="Strong"/>
                <w:b w:val="0"/>
              </w:rPr>
              <w:t xml:space="preserve"> </w:t>
            </w:r>
            <w:r w:rsidRPr="004A00E0">
              <w:rPr>
                <w:rStyle w:val="Strong"/>
                <w:b w:val="0"/>
              </w:rPr>
              <w:t>noteikum</w:t>
            </w:r>
            <w:r w:rsidR="00B2773D" w:rsidRPr="004A00E0">
              <w:rPr>
                <w:rStyle w:val="Strong"/>
                <w:b w:val="0"/>
              </w:rPr>
              <w:t>i</w:t>
            </w:r>
            <w:r w:rsidRPr="004A00E0">
              <w:rPr>
                <w:rStyle w:val="Strong"/>
                <w:b w:val="0"/>
              </w:rPr>
              <w:t xml:space="preserve"> Nr.60 </w:t>
            </w:r>
            <w:r w:rsidRPr="004A00E0">
              <w:t>„</w:t>
            </w:r>
            <w:r w:rsidRPr="004A00E0">
              <w:rPr>
                <w:bCs/>
              </w:rPr>
              <w:t xml:space="preserve">Noteikumi par obligātajām prasībām ārstniecības iestādēm un to struktūrvienībām” </w:t>
            </w:r>
            <w:r w:rsidRPr="004A00E0">
              <w:t>(turpmāk – Noteikumi)</w:t>
            </w:r>
            <w:r w:rsidR="0067468E" w:rsidRPr="004A00E0">
              <w:t>,</w:t>
            </w:r>
            <w:r w:rsidRPr="004A00E0">
              <w:t xml:space="preserve"> no</w:t>
            </w:r>
            <w:r w:rsidR="00B2773D" w:rsidRPr="004A00E0">
              <w:t>saka</w:t>
            </w:r>
            <w:r w:rsidRPr="004A00E0">
              <w:t xml:space="preserve"> obligātās prasības ārstniecības iestādēm un to struktūrvienībām</w:t>
            </w:r>
            <w:r w:rsidR="0067468E" w:rsidRPr="004A00E0">
              <w:t>.</w:t>
            </w:r>
            <w:r w:rsidRPr="004A00E0">
              <w:t xml:space="preserve"> </w:t>
            </w:r>
          </w:p>
          <w:p w:rsidR="0021793B" w:rsidRPr="004A00E0" w:rsidRDefault="004104C0" w:rsidP="00382CAE">
            <w:pPr>
              <w:ind w:firstLine="311"/>
              <w:jc w:val="both"/>
              <w:rPr>
                <w:lang w:eastAsia="en-US"/>
              </w:rPr>
            </w:pPr>
            <w:r w:rsidRPr="004A00E0">
              <w:rPr>
                <w:lang w:eastAsia="en-US"/>
              </w:rPr>
              <w:t>2012.gada 27.jūnijā tika publiskoti pētījuma „Izglābsim 100 bērnus</w:t>
            </w:r>
            <w:r w:rsidR="00382CAE" w:rsidRPr="004A00E0">
              <w:rPr>
                <w:lang w:eastAsia="en-US"/>
              </w:rPr>
              <w:t>”</w:t>
            </w:r>
            <w:r w:rsidRPr="004A00E0">
              <w:rPr>
                <w:lang w:eastAsia="en-US"/>
              </w:rPr>
              <w:t xml:space="preserve"> rezultāti par perinatālās mirstības iemesliem Latvijā un sniegti priekšlikumi perinatālās mirstības mazināšanai. Pētījumā norādīts, ka perinatālās mirstības rādītājos pastāv ievērojamas atšķirības starp Latvijas reģioniem un perinatālās aprūpes centriem. Viens no priekšlikumiem ir izstrādāt Perinatālās aprūpes centru tehnoloģiju un personālresursu nodrošinājuma sarakstu, lai paredzētu noteiktas prasības atbilstošam </w:t>
            </w:r>
            <w:r w:rsidR="00382CAE" w:rsidRPr="004A00E0">
              <w:rPr>
                <w:lang w:eastAsia="en-US"/>
              </w:rPr>
              <w:t xml:space="preserve">veselības </w:t>
            </w:r>
            <w:r w:rsidRPr="004A00E0">
              <w:rPr>
                <w:lang w:eastAsia="en-US"/>
              </w:rPr>
              <w:t>aprūpes līmenim. Ministru kabineta 2006.gada 25.jūlija noteikumu Nr.611 „Dzemdību palīdzības nodrošināšanas kārtība” 1.pielikuma 2.punkt</w:t>
            </w:r>
            <w:r w:rsidR="00382CAE" w:rsidRPr="004A00E0">
              <w:rPr>
                <w:lang w:eastAsia="en-US"/>
              </w:rPr>
              <w:t>ā noteikts</w:t>
            </w:r>
            <w:r w:rsidR="006A7404" w:rsidRPr="004A00E0">
              <w:rPr>
                <w:lang w:eastAsia="en-US"/>
              </w:rPr>
              <w:t>, ka</w:t>
            </w:r>
            <w:r w:rsidRPr="004A00E0">
              <w:rPr>
                <w:lang w:eastAsia="en-US"/>
              </w:rPr>
              <w:t xml:space="preserve"> jebkurā grūtniecības laikā grūtniecības sarežģījumu gadījumos (grūtniecības patoloģiju diagnostika un ārstēšana, ja konstatētas augļa anomālijas, kā arī invazīvu procedūru nepieciešamība) grūtnieci nosūta uz perinatālās aprūpes centra </w:t>
            </w:r>
            <w:proofErr w:type="spellStart"/>
            <w:r w:rsidRPr="004A00E0">
              <w:rPr>
                <w:lang w:eastAsia="en-US"/>
              </w:rPr>
              <w:t>prenatālās</w:t>
            </w:r>
            <w:proofErr w:type="spellEnd"/>
            <w:r w:rsidRPr="004A00E0">
              <w:rPr>
                <w:lang w:eastAsia="en-US"/>
              </w:rPr>
              <w:t xml:space="preserve"> diagnostikas nodaļu. Minētā prasība stājas spēkā ar 2013.gada 1.jūliju. </w:t>
            </w:r>
          </w:p>
          <w:p w:rsidR="008D2BD9" w:rsidRPr="004A00E0" w:rsidRDefault="006A7404" w:rsidP="0021793B">
            <w:pPr>
              <w:ind w:firstLine="311"/>
              <w:jc w:val="both"/>
              <w:rPr>
                <w:lang w:eastAsia="en-US"/>
              </w:rPr>
            </w:pPr>
            <w:r w:rsidRPr="004A00E0">
              <w:rPr>
                <w:lang w:eastAsia="en-US"/>
              </w:rPr>
              <w:t xml:space="preserve">Šobrīd </w:t>
            </w:r>
            <w:r w:rsidR="004104C0" w:rsidRPr="004A00E0">
              <w:rPr>
                <w:lang w:eastAsia="en-US"/>
              </w:rPr>
              <w:t xml:space="preserve">Noteikumi nosaka </w:t>
            </w:r>
            <w:r w:rsidRPr="004A00E0">
              <w:rPr>
                <w:lang w:eastAsia="en-US"/>
              </w:rPr>
              <w:t xml:space="preserve">obligātās </w:t>
            </w:r>
            <w:r w:rsidR="004104C0" w:rsidRPr="004A00E0">
              <w:rPr>
                <w:lang w:eastAsia="en-US"/>
              </w:rPr>
              <w:t>prasības</w:t>
            </w:r>
            <w:r w:rsidR="00382CAE" w:rsidRPr="004A00E0">
              <w:t xml:space="preserve"> </w:t>
            </w:r>
            <w:r w:rsidR="004104C0" w:rsidRPr="004A00E0">
              <w:rPr>
                <w:lang w:eastAsia="en-US"/>
              </w:rPr>
              <w:t>dzemdību nodaļai, jaundzimušo intensīvās terapijas nodaļai, jaundzimušo patoloģijas nodaļai</w:t>
            </w:r>
            <w:r w:rsidRPr="004A00E0">
              <w:rPr>
                <w:lang w:eastAsia="en-US"/>
              </w:rPr>
              <w:t xml:space="preserve">, bet nenosaka </w:t>
            </w:r>
            <w:r w:rsidR="00261998" w:rsidRPr="004A00E0">
              <w:rPr>
                <w:lang w:eastAsia="en-US"/>
              </w:rPr>
              <w:t xml:space="preserve">obligātas </w:t>
            </w:r>
            <w:r w:rsidRPr="004A00E0">
              <w:rPr>
                <w:lang w:eastAsia="en-US"/>
              </w:rPr>
              <w:t>prasīb</w:t>
            </w:r>
            <w:r w:rsidR="00261998" w:rsidRPr="004A00E0">
              <w:rPr>
                <w:lang w:eastAsia="en-US"/>
              </w:rPr>
              <w:t>as</w:t>
            </w:r>
            <w:r w:rsidRPr="004A00E0">
              <w:rPr>
                <w:lang w:eastAsia="en-US"/>
              </w:rPr>
              <w:t xml:space="preserve"> perinatālās aprūpes centriem. Lai nodrošinātu kvalitatīvu riska grupas grūtnieču un jaundzimušo veselības aprūpi un ārstēšanu ar ārstēšanas procesam nepieciešamā </w:t>
            </w:r>
            <w:r w:rsidR="00606BAE" w:rsidRPr="004A00E0">
              <w:rPr>
                <w:lang w:eastAsia="en-US"/>
              </w:rPr>
              <w:t xml:space="preserve">medicīniskā </w:t>
            </w:r>
            <w:r w:rsidRPr="004A00E0">
              <w:rPr>
                <w:lang w:eastAsia="en-US"/>
              </w:rPr>
              <w:t>aprīkojuma pieejamību</w:t>
            </w:r>
            <w:r w:rsidR="00261998" w:rsidRPr="004A00E0">
              <w:rPr>
                <w:lang w:eastAsia="en-US"/>
              </w:rPr>
              <w:t xml:space="preserve">, </w:t>
            </w:r>
            <w:r w:rsidRPr="004A00E0">
              <w:rPr>
                <w:lang w:eastAsia="en-US"/>
              </w:rPr>
              <w:t>nepieciešams papildināt Noteikumus ar jaunu nodaļu ar obligātajām prasībām perinatālās aprūpes centriem</w:t>
            </w:r>
            <w:r w:rsidR="00261998" w:rsidRPr="004A00E0">
              <w:rPr>
                <w:lang w:eastAsia="en-US"/>
              </w:rPr>
              <w:t>.</w:t>
            </w:r>
            <w:r w:rsidRPr="004A00E0">
              <w:rPr>
                <w:lang w:eastAsia="en-US"/>
              </w:rPr>
              <w:t xml:space="preserve"> </w:t>
            </w:r>
            <w:r w:rsidR="00606BAE" w:rsidRPr="004A00E0">
              <w:rPr>
                <w:lang w:eastAsia="en-US"/>
              </w:rPr>
              <w:t>P</w:t>
            </w:r>
            <w:r w:rsidR="00FC53DF" w:rsidRPr="004A00E0">
              <w:rPr>
                <w:lang w:eastAsia="en-US"/>
              </w:rPr>
              <w:t>erinatālās aprūpes centri jau šobrīd nodrošina riska grupas grūtnieču un jaundzimušo veselības aprūpi, taču</w:t>
            </w:r>
            <w:r w:rsidR="00606BAE" w:rsidRPr="004A00E0">
              <w:rPr>
                <w:lang w:eastAsia="en-US"/>
              </w:rPr>
              <w:t>,</w:t>
            </w:r>
            <w:r w:rsidR="00FC53DF" w:rsidRPr="004A00E0">
              <w:rPr>
                <w:lang w:eastAsia="en-US"/>
              </w:rPr>
              <w:t xml:space="preserve"> lai nodrošinātu perinatālos centrus ar</w:t>
            </w:r>
            <w:r w:rsidR="002D1C33" w:rsidRPr="004A00E0">
              <w:rPr>
                <w:lang w:eastAsia="en-US"/>
              </w:rPr>
              <w:t xml:space="preserve"> Noteikumu prasībās iekļautajām</w:t>
            </w:r>
            <w:r w:rsidR="00FC53DF" w:rsidRPr="004A00E0">
              <w:rPr>
                <w:lang w:eastAsia="en-US"/>
              </w:rPr>
              <w:t xml:space="preserve"> </w:t>
            </w:r>
            <w:r w:rsidR="00606BAE" w:rsidRPr="004A00E0">
              <w:rPr>
                <w:lang w:eastAsia="en-US"/>
              </w:rPr>
              <w:t xml:space="preserve">medicīniskajām </w:t>
            </w:r>
            <w:r w:rsidR="00FC53DF" w:rsidRPr="004A00E0">
              <w:rPr>
                <w:lang w:eastAsia="en-US"/>
              </w:rPr>
              <w:t>ierīcēm</w:t>
            </w:r>
            <w:r w:rsidR="00606BAE" w:rsidRPr="004A00E0">
              <w:rPr>
                <w:lang w:eastAsia="en-US"/>
              </w:rPr>
              <w:t>,</w:t>
            </w:r>
            <w:r w:rsidR="00FC53DF" w:rsidRPr="004A00E0">
              <w:rPr>
                <w:lang w:eastAsia="en-US"/>
              </w:rPr>
              <w:t xml:space="preserve"> kvalitatīva pakalpojuma</w:t>
            </w:r>
            <w:r w:rsidR="00606BAE" w:rsidRPr="004A00E0">
              <w:rPr>
                <w:lang w:eastAsia="en-US"/>
              </w:rPr>
              <w:t xml:space="preserve"> nodrošināšanai</w:t>
            </w:r>
            <w:r w:rsidR="00FC53DF" w:rsidRPr="004A00E0">
              <w:rPr>
                <w:lang w:eastAsia="en-US"/>
              </w:rPr>
              <w:t xml:space="preserve">, Noteikumos jānosaka pārejas </w:t>
            </w:r>
            <w:r w:rsidR="002D1C33" w:rsidRPr="004A00E0">
              <w:rPr>
                <w:lang w:eastAsia="en-US"/>
              </w:rPr>
              <w:t xml:space="preserve">periods atsevišķu </w:t>
            </w:r>
            <w:r w:rsidR="00606BAE" w:rsidRPr="004A00E0">
              <w:rPr>
                <w:lang w:eastAsia="en-US"/>
              </w:rPr>
              <w:t xml:space="preserve">medicīnisko </w:t>
            </w:r>
            <w:r w:rsidR="002D1C33" w:rsidRPr="004A00E0">
              <w:rPr>
                <w:lang w:eastAsia="en-US"/>
              </w:rPr>
              <w:t>ierīču iegādei, jo tas ir saistīts ar ārstniecības iestādes darba organizācijas un finanšu jautājum</w:t>
            </w:r>
            <w:r w:rsidR="00606BAE" w:rsidRPr="004A00E0">
              <w:rPr>
                <w:lang w:eastAsia="en-US"/>
              </w:rPr>
              <w:t>u risināšanu</w:t>
            </w:r>
            <w:r w:rsidR="002D1C33" w:rsidRPr="004A00E0">
              <w:rPr>
                <w:lang w:eastAsia="en-US"/>
              </w:rPr>
              <w:t xml:space="preserve">. </w:t>
            </w:r>
          </w:p>
          <w:p w:rsidR="00066F66" w:rsidRPr="004A00E0" w:rsidRDefault="00066F66" w:rsidP="00870C67">
            <w:pPr>
              <w:ind w:firstLine="311"/>
              <w:jc w:val="both"/>
              <w:rPr>
                <w:lang w:eastAsia="en-US"/>
              </w:rPr>
            </w:pPr>
          </w:p>
          <w:p w:rsidR="006E0A51" w:rsidRPr="004A00E0" w:rsidRDefault="006E0A51" w:rsidP="006E0A51">
            <w:pPr>
              <w:pStyle w:val="naisf"/>
              <w:spacing w:before="0" w:beforeAutospacing="0" w:after="0" w:afterAutospacing="0"/>
              <w:ind w:firstLine="311"/>
              <w:jc w:val="both"/>
            </w:pPr>
            <w:r w:rsidRPr="004A00E0">
              <w:t xml:space="preserve">Ilgstošas sociālās aprūpes un sociālās rehabilitācijas institūcijas (turpmāk - sociālās aprūpes institūcija), nodrošina personām, kuras vecuma vai veselības stāvokļa dēļ nespēj sevi aprūpēt, kā arī bāreņiem un bez vecāku gādības palikušiem bērniem mājokli, pilnu aprūpi un sociālo rehabilitāciju. Sociālās aprūpes institūcijas </w:t>
            </w:r>
            <w:r w:rsidRPr="004A00E0">
              <w:lastRenderedPageBreak/>
              <w:t xml:space="preserve">veselības punkts ir sociālās aprūpes institūcijas struktūrvienība, kurā pacientam ilgstošas vai hroniskas slimības gadījumā nodrošina nepieciešamo veselības aprūpi. </w:t>
            </w:r>
          </w:p>
          <w:p w:rsidR="006E0A51" w:rsidRPr="004A00E0" w:rsidRDefault="006E0A51" w:rsidP="009F6682">
            <w:pPr>
              <w:pStyle w:val="naisf"/>
              <w:spacing w:before="0" w:beforeAutospacing="0" w:after="0" w:afterAutospacing="0"/>
              <w:ind w:firstLine="720"/>
              <w:jc w:val="both"/>
            </w:pPr>
            <w:r w:rsidRPr="004A00E0">
              <w:t>Ņemot vērā, ka sociālās aprūpes institūcijas veselības punktā personām sniedz veselības aprūpes pakalpojumus</w:t>
            </w:r>
            <w:r w:rsidR="009F6682">
              <w:t>,</w:t>
            </w:r>
            <w:r w:rsidRPr="004A00E0">
              <w:t xml:space="preserve"> </w:t>
            </w:r>
            <w:r w:rsidR="009F6682">
              <w:t xml:space="preserve">lai </w:t>
            </w:r>
            <w:r w:rsidR="009F6682" w:rsidRPr="009F6682">
              <w:t xml:space="preserve">atbilstoši sociālās aprūpes institūcijas darbības specifikai nodrošinātu personai pirmās palīdzības sniegšanu, saslimušo  personu novietošanu līdz neatliekamās medicīniskās palīdzības brigādes atbraukšanai, veiktu personas apskati un izmeklēšanu, lai nodrošinātu bīstamu un agresīvu pacientu izolāciju līdz neatliekamās medicīniskās palīdzības brigādes atbraukšanai, </w:t>
            </w:r>
            <w:r w:rsidR="009F6682">
              <w:t>nepieciešams</w:t>
            </w:r>
            <w:r w:rsidRPr="004A00E0">
              <w:t xml:space="preserve"> nodrošināt valstī vienādu pieeju un vienādas prasības visām veselības aprūpes pakalpojumus sniedzēju iestādēm un to struktūrvienībām, </w:t>
            </w:r>
            <w:r w:rsidRPr="00644BB7">
              <w:t>kurās tiek sniegti</w:t>
            </w:r>
            <w:r w:rsidRPr="004A00E0">
              <w:t xml:space="preserve"> veselības aprūpes pakalpojumi</w:t>
            </w:r>
            <w:r w:rsidR="009F6682">
              <w:t>.</w:t>
            </w:r>
            <w:r w:rsidRPr="004A00E0">
              <w:t xml:space="preserve"> Noteikumos </w:t>
            </w:r>
            <w:r w:rsidR="009F6682">
              <w:t xml:space="preserve">jānosaka </w:t>
            </w:r>
            <w:r w:rsidRPr="004A00E0">
              <w:t>obligātas prasības sociālās aprūpes institūcijas veselības punkta telpām un medicīnas aprīkojumam</w:t>
            </w:r>
            <w:r w:rsidR="00F50318" w:rsidRPr="004A00E0">
              <w:t>, ja sociālās aprūpes institūcijā, neatkarīgi no tās piederības formas (valsts, pašvaldības vai privātā institūcija),  ir  izveidots veselības punkts</w:t>
            </w:r>
            <w:r w:rsidR="009F6682">
              <w:t>.</w:t>
            </w:r>
          </w:p>
          <w:p w:rsidR="007135F9" w:rsidRDefault="007135F9" w:rsidP="00870C67">
            <w:pPr>
              <w:ind w:firstLine="311"/>
              <w:jc w:val="both"/>
              <w:rPr>
                <w:lang w:eastAsia="en-US"/>
              </w:rPr>
            </w:pPr>
          </w:p>
          <w:p w:rsidR="006E0A51" w:rsidRPr="004A00E0" w:rsidRDefault="009D69C7" w:rsidP="00870C67">
            <w:pPr>
              <w:ind w:firstLine="311"/>
              <w:jc w:val="both"/>
              <w:rPr>
                <w:lang w:eastAsia="en-US"/>
              </w:rPr>
            </w:pPr>
            <w:r w:rsidRPr="004A00E0">
              <w:rPr>
                <w:lang w:eastAsia="en-US"/>
              </w:rPr>
              <w:t>Šobrīd Noteikumu otrajā nodaļā pie vispārīgām prasībām ārstniecības iestādēm ir iekļauts 21.punkts, kurā noteikt</w:t>
            </w:r>
            <w:r w:rsidR="00CA5301" w:rsidRPr="004A00E0">
              <w:rPr>
                <w:lang w:eastAsia="en-US"/>
              </w:rPr>
              <w:t>as prasības</w:t>
            </w:r>
            <w:r w:rsidRPr="004A00E0">
              <w:rPr>
                <w:lang w:eastAsia="en-US"/>
              </w:rPr>
              <w:t>,</w:t>
            </w:r>
            <w:r w:rsidR="00CA5301" w:rsidRPr="004A00E0">
              <w:rPr>
                <w:lang w:eastAsia="en-US"/>
              </w:rPr>
              <w:t xml:space="preserve"> mobilajam </w:t>
            </w:r>
            <w:r w:rsidRPr="004A00E0">
              <w:rPr>
                <w:lang w:eastAsia="en-US"/>
              </w:rPr>
              <w:t>kabinetam</w:t>
            </w:r>
            <w:r w:rsidR="00CA5301" w:rsidRPr="004A00E0">
              <w:rPr>
                <w:lang w:eastAsia="en-US"/>
              </w:rPr>
              <w:t xml:space="preserve">. Ņemot vērā, ka šo </w:t>
            </w:r>
            <w:r w:rsidR="00AC2438" w:rsidRPr="004A00E0">
              <w:rPr>
                <w:lang w:eastAsia="en-US"/>
              </w:rPr>
              <w:t xml:space="preserve">Noteikumu </w:t>
            </w:r>
            <w:r w:rsidR="00CA5301" w:rsidRPr="004A00E0">
              <w:rPr>
                <w:lang w:eastAsia="en-US"/>
              </w:rPr>
              <w:t>normu jāprecizē, jo mobilajam kabinetam jāatbilst tāda paša profila ambulatorajam kabinetam</w:t>
            </w:r>
            <w:r w:rsidR="00795834" w:rsidRPr="004A00E0">
              <w:rPr>
                <w:lang w:eastAsia="en-US"/>
              </w:rPr>
              <w:t xml:space="preserve"> nevis stacionārajam kabinetam, kā arī, </w:t>
            </w:r>
            <w:r w:rsidRPr="004A00E0">
              <w:rPr>
                <w:lang w:eastAsia="en-US"/>
              </w:rPr>
              <w:t xml:space="preserve">lai </w:t>
            </w:r>
            <w:r w:rsidR="00795834" w:rsidRPr="004A00E0">
              <w:rPr>
                <w:lang w:eastAsia="en-US"/>
              </w:rPr>
              <w:t xml:space="preserve">ievērotu Noteikumu </w:t>
            </w:r>
            <w:r w:rsidR="001939EA" w:rsidRPr="004A00E0">
              <w:rPr>
                <w:lang w:eastAsia="en-US"/>
              </w:rPr>
              <w:t xml:space="preserve">kopējo </w:t>
            </w:r>
            <w:r w:rsidR="00795834" w:rsidRPr="004A00E0">
              <w:rPr>
                <w:lang w:eastAsia="en-US"/>
              </w:rPr>
              <w:t xml:space="preserve">struktūru, Noteikumi jāpapildina ar </w:t>
            </w:r>
            <w:r w:rsidRPr="004A00E0">
              <w:rPr>
                <w:lang w:eastAsia="en-US"/>
              </w:rPr>
              <w:t>jaunu apakšnodaļu</w:t>
            </w:r>
            <w:r w:rsidR="00795834" w:rsidRPr="004A00E0">
              <w:rPr>
                <w:lang w:eastAsia="en-US"/>
              </w:rPr>
              <w:t xml:space="preserve">, kurā jānosaka </w:t>
            </w:r>
            <w:r w:rsidRPr="004A00E0">
              <w:rPr>
                <w:lang w:eastAsia="en-US"/>
              </w:rPr>
              <w:t>prasīb</w:t>
            </w:r>
            <w:r w:rsidR="00795834" w:rsidRPr="004A00E0">
              <w:rPr>
                <w:lang w:eastAsia="en-US"/>
              </w:rPr>
              <w:t>as</w:t>
            </w:r>
            <w:r w:rsidRPr="004A00E0">
              <w:rPr>
                <w:lang w:eastAsia="en-US"/>
              </w:rPr>
              <w:t xml:space="preserve"> mobilajam kabinetam.</w:t>
            </w:r>
          </w:p>
          <w:p w:rsidR="00AC2438" w:rsidRPr="004A00E0" w:rsidRDefault="00AC2438" w:rsidP="00870C67">
            <w:pPr>
              <w:ind w:firstLine="311"/>
              <w:jc w:val="both"/>
              <w:rPr>
                <w:lang w:eastAsia="en-US"/>
              </w:rPr>
            </w:pPr>
          </w:p>
          <w:p w:rsidR="00135F08" w:rsidRPr="004A00E0" w:rsidRDefault="00135F08" w:rsidP="00135F08">
            <w:pPr>
              <w:ind w:firstLine="311"/>
              <w:jc w:val="both"/>
              <w:rPr>
                <w:lang w:eastAsia="en-US"/>
              </w:rPr>
            </w:pPr>
            <w:r w:rsidRPr="004A00E0">
              <w:rPr>
                <w:lang w:eastAsia="en-US"/>
              </w:rPr>
              <w:t xml:space="preserve">Pašreiz Noteikumos nav noteiktas prasības ārstniecības iestādēm, kuras sniedz pacientam veselības aprūpes pakalpojumus dzīvesvietā (mājās), ja viņam ir nepieciešama regulāra ambulatora ārstnieciskā palīdzība, bet medicīnisku indikāciju dēļ pacients nespēj ierasties ārstniecības iestādē ambulatorās aprūpes saņemšanai. Lai pacientam tiktu nodrošināta savlaicīga un kvalitatīva ambulatorā veselības aprūpe mājās, Noteikumos jānosaka prasības ārstniecības iestādei, kura sniedz veselības aprūpes pakalpojumus pacienta dzīvesvietā, kā arī jānosaka obligāto medicīnas ierīču klāstu, kuram jābūt ārstniecības iestādes darbinieka (ārsta palīgam, māsai un rehabilitācijas pakalpojumu sniedzējiem) somā, sniedzot veselības aprūpes pakalpojumus mājās. </w:t>
            </w:r>
          </w:p>
          <w:p w:rsidR="00135F08" w:rsidRPr="004A00E0" w:rsidRDefault="00135F08" w:rsidP="00870C67">
            <w:pPr>
              <w:ind w:firstLine="311"/>
              <w:jc w:val="both"/>
              <w:rPr>
                <w:lang w:eastAsia="en-US"/>
              </w:rPr>
            </w:pPr>
          </w:p>
          <w:p w:rsidR="00925A53" w:rsidRPr="004A00E0" w:rsidRDefault="00925A53" w:rsidP="00925A53">
            <w:pPr>
              <w:ind w:firstLine="311"/>
              <w:jc w:val="both"/>
              <w:rPr>
                <w:lang w:eastAsia="en-US"/>
              </w:rPr>
            </w:pPr>
            <w:r w:rsidRPr="004A00E0">
              <w:rPr>
                <w:lang w:eastAsia="en-US"/>
              </w:rPr>
              <w:t xml:space="preserve">Noteikumu 111.punkts nosaka, ka daudzprofilu slimnīcā jāveido atsevišķas uzņemšanas nodaļas pacientiem, kuriem paredzēta plānveida ārstēšana un pacientiem, kuriem paredzēta neatliekamā ārstēšana, vai kopēja uzņemšanas nodaļa, kurā ir nodalīta pacientu plūsma atbilstoši </w:t>
            </w:r>
            <w:proofErr w:type="spellStart"/>
            <w:r w:rsidRPr="004A00E0">
              <w:rPr>
                <w:lang w:eastAsia="en-US"/>
              </w:rPr>
              <w:t>stacionēšanas</w:t>
            </w:r>
            <w:proofErr w:type="spellEnd"/>
            <w:r w:rsidRPr="004A00E0">
              <w:rPr>
                <w:lang w:eastAsia="en-US"/>
              </w:rPr>
              <w:t xml:space="preserve"> veidam.</w:t>
            </w:r>
          </w:p>
          <w:p w:rsidR="00925A53" w:rsidRPr="004A00E0" w:rsidRDefault="00925A53" w:rsidP="00925A53">
            <w:pPr>
              <w:ind w:firstLine="311"/>
              <w:jc w:val="both"/>
              <w:rPr>
                <w:lang w:eastAsia="en-US"/>
              </w:rPr>
            </w:pPr>
            <w:r w:rsidRPr="004A00E0">
              <w:rPr>
                <w:lang w:eastAsia="en-US"/>
              </w:rPr>
              <w:t xml:space="preserve">Ja daudzprofilu slimnīcā ir izveidotas abas pacientu uzņemšanas nodaļas un pacientam tiek nodrošināta neatliekamās medicīniskās palīdzības sniegšana, ievērojot Noteikumu 112., 113. </w:t>
            </w:r>
            <w:r w:rsidRPr="004A00E0">
              <w:rPr>
                <w:lang w:eastAsia="en-US"/>
              </w:rPr>
              <w:lastRenderedPageBreak/>
              <w:t xml:space="preserve">un 114.punktā noteikto prasību izpildi, nav nepieciešams daudzprofilu slimnīcas plānveida uzņemšanas nodaļu, kurā pacienta </w:t>
            </w:r>
            <w:proofErr w:type="spellStart"/>
            <w:r w:rsidRPr="004A00E0">
              <w:rPr>
                <w:lang w:eastAsia="en-US"/>
              </w:rPr>
              <w:t>stacionēšanas</w:t>
            </w:r>
            <w:proofErr w:type="spellEnd"/>
            <w:r w:rsidRPr="004A00E0">
              <w:rPr>
                <w:lang w:eastAsia="en-US"/>
              </w:rPr>
              <w:t xml:space="preserve"> veids nav saistīts ar neatliekamu veselības aprūpes pakalpojumu sniegšanu, dublēt ar telpām un medicīnisko aprīkojumu, kāds ir neatliekamās medicīniskās palīdzības uzņemšanas nodaļai. Līdz ar to Noteikumos jāiekļauj norma, kura nosaka tās prasības, kuras attiecas uz daudzprofilu slimnīcas plānveida uzņemšanas nodaļu</w:t>
            </w:r>
            <w:r w:rsidR="001939EA" w:rsidRPr="004A00E0">
              <w:rPr>
                <w:lang w:eastAsia="en-US"/>
              </w:rPr>
              <w:t>, ja daudzprofilu slimnīcā ir izveidotas abas pacientu uzņemšanas nodaļas</w:t>
            </w:r>
            <w:r w:rsidRPr="004A00E0">
              <w:rPr>
                <w:lang w:eastAsia="en-US"/>
              </w:rPr>
              <w:t>.</w:t>
            </w:r>
          </w:p>
          <w:p w:rsidR="00066F66" w:rsidRPr="004A00E0" w:rsidRDefault="00066F66" w:rsidP="00A8638B">
            <w:pPr>
              <w:jc w:val="both"/>
              <w:rPr>
                <w:lang w:eastAsia="en-US"/>
              </w:rPr>
            </w:pPr>
          </w:p>
          <w:p w:rsidR="00CF31AF" w:rsidRPr="004A00E0" w:rsidRDefault="00713DA7" w:rsidP="00A2715C">
            <w:pPr>
              <w:ind w:firstLine="311"/>
              <w:jc w:val="both"/>
              <w:rPr>
                <w:lang w:eastAsia="en-US"/>
              </w:rPr>
            </w:pPr>
            <w:r w:rsidRPr="004A00E0">
              <w:rPr>
                <w:lang w:eastAsia="en-US"/>
              </w:rPr>
              <w:t xml:space="preserve">Šobrīd Noteikumi paredz, ka </w:t>
            </w:r>
            <w:proofErr w:type="spellStart"/>
            <w:r w:rsidRPr="004A00E0">
              <w:rPr>
                <w:lang w:eastAsia="en-US"/>
              </w:rPr>
              <w:t>dauzprofilu</w:t>
            </w:r>
            <w:proofErr w:type="spellEnd"/>
            <w:r w:rsidRPr="004A00E0">
              <w:rPr>
                <w:lang w:eastAsia="en-US"/>
              </w:rPr>
              <w:t xml:space="preserve"> slimnīcā ir medicīnas laboratorija</w:t>
            </w:r>
            <w:r w:rsidR="00066F66" w:rsidRPr="004A00E0">
              <w:rPr>
                <w:lang w:eastAsia="en-US"/>
              </w:rPr>
              <w:t xml:space="preserve">, kuras </w:t>
            </w:r>
            <w:r w:rsidR="00E57560" w:rsidRPr="004A00E0">
              <w:rPr>
                <w:lang w:eastAsia="en-US"/>
              </w:rPr>
              <w:t>akreditācija</w:t>
            </w:r>
            <w:r w:rsidR="00286E84" w:rsidRPr="004A00E0">
              <w:rPr>
                <w:lang w:eastAsia="en-US"/>
              </w:rPr>
              <w:t>,</w:t>
            </w:r>
            <w:r w:rsidR="00E57560" w:rsidRPr="004A00E0">
              <w:rPr>
                <w:lang w:eastAsia="en-US"/>
              </w:rPr>
              <w:t xml:space="preserve"> atbilstoši standartam LVS EN ISO 15189 „Medicīnas laboratorijas. Īpašās prasības attiecībā uz kvalitāti un kompetenci”</w:t>
            </w:r>
            <w:r w:rsidR="00286E84" w:rsidRPr="004A00E0">
              <w:rPr>
                <w:lang w:eastAsia="en-US"/>
              </w:rPr>
              <w:t>,</w:t>
            </w:r>
            <w:r w:rsidR="00E57560" w:rsidRPr="004A00E0">
              <w:rPr>
                <w:lang w:eastAsia="en-US"/>
              </w:rPr>
              <w:t xml:space="preserve"> jānodrošina līdz 2013.gada 31.decembrim. </w:t>
            </w:r>
          </w:p>
          <w:p w:rsidR="00707A3C" w:rsidRPr="004A00E0" w:rsidRDefault="00381D0F" w:rsidP="00CF31AF">
            <w:pPr>
              <w:ind w:firstLine="311"/>
              <w:jc w:val="both"/>
              <w:rPr>
                <w:lang w:eastAsia="en-US"/>
              </w:rPr>
            </w:pPr>
            <w:r w:rsidRPr="004A00E0">
              <w:rPr>
                <w:lang w:eastAsia="en-US"/>
              </w:rPr>
              <w:t xml:space="preserve">Lai nodrošinātu vienotu pieeju visu laboratoriju novērtēšanā </w:t>
            </w:r>
            <w:r w:rsidR="00A2715C" w:rsidRPr="004A00E0">
              <w:rPr>
                <w:lang w:eastAsia="en-US"/>
              </w:rPr>
              <w:t xml:space="preserve">un </w:t>
            </w:r>
            <w:r w:rsidR="00CF31AF" w:rsidRPr="004A00E0">
              <w:rPr>
                <w:lang w:eastAsia="en-US"/>
              </w:rPr>
              <w:t>salīdzināmu izmeklējumu veikšanā</w:t>
            </w:r>
            <w:r w:rsidR="00A2715C" w:rsidRPr="004A00E0">
              <w:rPr>
                <w:lang w:eastAsia="en-US"/>
              </w:rPr>
              <w:t>, kā arī</w:t>
            </w:r>
            <w:r w:rsidR="00CF31AF" w:rsidRPr="004A00E0">
              <w:rPr>
                <w:lang w:eastAsia="en-US"/>
              </w:rPr>
              <w:t>,</w:t>
            </w:r>
            <w:r w:rsidR="00A2715C" w:rsidRPr="004A00E0">
              <w:rPr>
                <w:lang w:eastAsia="en-US"/>
              </w:rPr>
              <w:t xml:space="preserve"> </w:t>
            </w:r>
            <w:r w:rsidRPr="004A00E0">
              <w:rPr>
                <w:lang w:eastAsia="en-US"/>
              </w:rPr>
              <w:t>ņ</w:t>
            </w:r>
            <w:r w:rsidR="00E57560" w:rsidRPr="004A00E0">
              <w:rPr>
                <w:lang w:eastAsia="en-US"/>
              </w:rPr>
              <w:t>emot vērā, ka laboratorisko izmeklējumu kvalitātei ir būtiska ietekme</w:t>
            </w:r>
            <w:r w:rsidRPr="004A00E0">
              <w:rPr>
                <w:lang w:eastAsia="en-US"/>
              </w:rPr>
              <w:t xml:space="preserve"> uz</w:t>
            </w:r>
            <w:r w:rsidR="00E57560" w:rsidRPr="004A00E0">
              <w:rPr>
                <w:lang w:eastAsia="en-US"/>
              </w:rPr>
              <w:t xml:space="preserve"> pacienta ārstēšanas procesu</w:t>
            </w:r>
            <w:r w:rsidR="00286E84" w:rsidRPr="004A00E0">
              <w:rPr>
                <w:lang w:eastAsia="en-US"/>
              </w:rPr>
              <w:t xml:space="preserve"> gan slimnīcā</w:t>
            </w:r>
            <w:r w:rsidR="00E57560" w:rsidRPr="004A00E0">
              <w:rPr>
                <w:lang w:eastAsia="en-US"/>
              </w:rPr>
              <w:t>,</w:t>
            </w:r>
            <w:r w:rsidR="00286E84" w:rsidRPr="004A00E0">
              <w:rPr>
                <w:lang w:eastAsia="en-US"/>
              </w:rPr>
              <w:t xml:space="preserve"> gan ambulatori, ir </w:t>
            </w:r>
            <w:r w:rsidR="005D2C7C" w:rsidRPr="004A00E0">
              <w:rPr>
                <w:lang w:eastAsia="en-US"/>
              </w:rPr>
              <w:t xml:space="preserve">svarīgi, ka visām, ne tikai daudzprofilu slimnīcu laboratorijām, tiek noteiktas prasības uz kvalitāti un kompetenci, jo </w:t>
            </w:r>
            <w:r w:rsidR="005D2C7C" w:rsidRPr="004A00E0">
              <w:t>tiesības saņemts kvalitatīvus</w:t>
            </w:r>
            <w:r w:rsidR="00B66A9B" w:rsidRPr="004A00E0">
              <w:t xml:space="preserve"> </w:t>
            </w:r>
            <w:r w:rsidR="005D2C7C" w:rsidRPr="004A00E0">
              <w:t xml:space="preserve">veselības aprūpes pakalpojumus ir visiem Latvijas iedzīvotājiem. </w:t>
            </w:r>
            <w:r w:rsidR="005D2C7C" w:rsidRPr="004A00E0">
              <w:rPr>
                <w:lang w:eastAsia="en-US"/>
              </w:rPr>
              <w:t>Pamatojoties uz minēto, nepieciešams Noteikumos noteikt visām medicīnas laboratorijām, kuras veic no cilvēka iegūto materiālu izmeklējumus,</w:t>
            </w:r>
            <w:r w:rsidR="00A2715C" w:rsidRPr="004A00E0">
              <w:rPr>
                <w:lang w:eastAsia="en-US"/>
              </w:rPr>
              <w:t xml:space="preserve"> ka tām jāveic</w:t>
            </w:r>
            <w:r w:rsidR="005D2C7C" w:rsidRPr="004A00E0">
              <w:rPr>
                <w:lang w:eastAsia="en-US"/>
              </w:rPr>
              <w:t xml:space="preserve"> akreditācija atbilstoši standartā LVS EN ISO 15189</w:t>
            </w:r>
            <w:r w:rsidR="007C6AB3" w:rsidRPr="004A00E0">
              <w:rPr>
                <w:lang w:eastAsia="en-US"/>
              </w:rPr>
              <w:t>:2013</w:t>
            </w:r>
            <w:r w:rsidR="005D2C7C" w:rsidRPr="004A00E0">
              <w:rPr>
                <w:lang w:eastAsia="en-US"/>
              </w:rPr>
              <w:t xml:space="preserve"> „Medicīnas laboratorijas. Īpašās prasības attiecībā uz kvalitāti un kompetenci” noteiktām prasībām. Lai laboratorijas varētu sagatavoties un veikt akreditāciju, jānosaka šīs normas spēkā stāšanās laiks</w:t>
            </w:r>
            <w:r w:rsidR="000256D4" w:rsidRPr="004A00E0">
              <w:rPr>
                <w:lang w:eastAsia="en-US"/>
              </w:rPr>
              <w:t xml:space="preserve"> 2015.gada 31.decembris.</w:t>
            </w:r>
          </w:p>
          <w:p w:rsidR="002E57B0" w:rsidRPr="004A00E0" w:rsidRDefault="007C6AB3" w:rsidP="00CF31AF">
            <w:pPr>
              <w:ind w:firstLine="311"/>
              <w:jc w:val="both"/>
              <w:rPr>
                <w:lang w:eastAsia="en-US"/>
              </w:rPr>
            </w:pPr>
            <w:r w:rsidRPr="004A00E0">
              <w:rPr>
                <w:lang w:eastAsia="en-US"/>
              </w:rPr>
              <w:t xml:space="preserve">Ņemot vērā, ka standarts LVS EN ISO 15189:2013 „Medicīnas laboratorijas. Īpašās prasības attiecībā uz kvalitāti un kompetenci” aizstāj standartu </w:t>
            </w:r>
            <w:r w:rsidRPr="004A00E0">
              <w:rPr>
                <w:rFonts w:ascii="TimesNewRomanPSMT" w:hAnsi="TimesNewRomanPSMT" w:cs="TimesNewRomanPSMT"/>
              </w:rPr>
              <w:t xml:space="preserve">LVS EN ISO 15189:2008 </w:t>
            </w:r>
            <w:r w:rsidRPr="004A00E0">
              <w:rPr>
                <w:lang w:eastAsia="en-US"/>
              </w:rPr>
              <w:t xml:space="preserve">„Medicīnas laboratorijas. Īpašās prasības attiecībā uz kvalitāti un kompetenci” un Latvijas standartu statusā reģistrēts 2013.gada 30.maijā ir veicami tehniskie grozījumi </w:t>
            </w:r>
            <w:r w:rsidR="00C677CE" w:rsidRPr="004A00E0">
              <w:rPr>
                <w:lang w:eastAsia="en-US"/>
              </w:rPr>
              <w:t xml:space="preserve">Noteikumu </w:t>
            </w:r>
            <w:r w:rsidRPr="004A00E0">
              <w:rPr>
                <w:lang w:eastAsia="en-US"/>
              </w:rPr>
              <w:t>63.</w:t>
            </w:r>
            <w:r w:rsidRPr="004A00E0">
              <w:rPr>
                <w:vertAlign w:val="superscript"/>
                <w:lang w:eastAsia="en-US"/>
              </w:rPr>
              <w:t>35</w:t>
            </w:r>
            <w:r w:rsidRPr="004A00E0">
              <w:rPr>
                <w:lang w:eastAsia="en-US"/>
              </w:rPr>
              <w:t xml:space="preserve"> punktā un 110.1.apakšpunktā standarta nosaukumā norādot 2013.gadu.</w:t>
            </w:r>
            <w:r w:rsidR="001F1E00" w:rsidRPr="004A00E0">
              <w:rPr>
                <w:lang w:eastAsia="en-US"/>
              </w:rPr>
              <w:t xml:space="preserve"> Minētais standarts it tulkots latviešu valodā.</w:t>
            </w:r>
          </w:p>
          <w:p w:rsidR="009A786A" w:rsidRPr="004A00E0" w:rsidRDefault="009A786A" w:rsidP="002000F7">
            <w:pPr>
              <w:ind w:firstLine="311"/>
              <w:jc w:val="both"/>
              <w:rPr>
                <w:lang w:eastAsia="en-US"/>
              </w:rPr>
            </w:pPr>
          </w:p>
          <w:p w:rsidR="00333352" w:rsidRPr="004A00E0" w:rsidRDefault="00D332ED" w:rsidP="009D2F6F">
            <w:pPr>
              <w:ind w:firstLine="311"/>
              <w:jc w:val="both"/>
              <w:rPr>
                <w:lang w:eastAsia="en-US"/>
              </w:rPr>
            </w:pPr>
            <w:r w:rsidRPr="004A00E0">
              <w:rPr>
                <w:lang w:eastAsia="en-US"/>
              </w:rPr>
              <w:t xml:space="preserve">Šobrīd Noteikumos iekļautas normas </w:t>
            </w:r>
            <w:r w:rsidR="00FD6A6F">
              <w:rPr>
                <w:lang w:eastAsia="en-US"/>
              </w:rPr>
              <w:t xml:space="preserve">paredz </w:t>
            </w:r>
            <w:r w:rsidR="002D772C">
              <w:rPr>
                <w:lang w:eastAsia="en-US"/>
              </w:rPr>
              <w:t xml:space="preserve">ar 2014.gada 1.janvāri nodrošināt </w:t>
            </w:r>
            <w:r w:rsidRPr="004A00E0">
              <w:rPr>
                <w:lang w:eastAsia="en-US"/>
              </w:rPr>
              <w:t xml:space="preserve">vides pieejamības prasības </w:t>
            </w:r>
            <w:r w:rsidR="00DC3D95" w:rsidRPr="004A00E0">
              <w:rPr>
                <w:lang w:eastAsia="en-US"/>
              </w:rPr>
              <w:t xml:space="preserve">ārstniecības iestādēs personām </w:t>
            </w:r>
            <w:r w:rsidR="002D772C">
              <w:rPr>
                <w:lang w:eastAsia="en-US"/>
              </w:rPr>
              <w:t xml:space="preserve">ar </w:t>
            </w:r>
            <w:r w:rsidR="00DC3D95" w:rsidRPr="004A00E0">
              <w:rPr>
                <w:lang w:eastAsia="en-US"/>
              </w:rPr>
              <w:t xml:space="preserve">funkcionāliem traucējumiem. Vides pieejamības prasību ievērošana ārstniecības iestādēm iespējama, veicot būvniecību un ņemot vērā būvniecību regulējošo normatīvo aktu nosacījumus, t.sk. ierobežojumus, kas attiecās uz daudzām ārstniecības iestādēm. Ņemot vērā, ka būvniecības normas vides pieejamības ieviešanā nav attiecināmas gadījumos, kuri noteikti, piemēram, Ministru kabineta 2008.gada 21.jūlija noteikumu Nr.567 „Noteikumi par Latvijas būvnormatīvu LBN 208-08 „Publiskas ēkas un būves”” 2.punktā, kurš paredz, ka publisko ēku </w:t>
            </w:r>
            <w:r w:rsidR="00DC3D95" w:rsidRPr="004A00E0">
              <w:rPr>
                <w:lang w:eastAsia="en-US"/>
              </w:rPr>
              <w:lastRenderedPageBreak/>
              <w:t xml:space="preserve">un būvju būvprojektiem, kuri Būvniecības likumā noteiktajā kārtībā akceptēti līdz 2008.gada 31.augustam un kuru tehniskie risinājumi atbilst attiecīgajā laikposmā piemēroto normatīvo aktu prasībām, būvprojektu dokumentācijas pārstrāde atbilstoši būvnormatīva prasībām nav obligāta. Minētais nozīmē, ka gadījumā, ja ārstniecības iestādes būvniecības un rekonstrukcijas darbi veikti saskaņā ar apstiprinātiem būvprojektiem, bet to normas ir atšķirīgas no šī brīža normatīvajos aktos noteiktām prasībām attiecībā uz vides pieejamību, nepieciešamās pārbūves var veikt pie nākamās rekonstrukcijas, jo tas ir saistīts gan ar būvprojekta izstrādi, gan finanšu novirzīšanu būvdarbu īstenošanai šo aktivitāšu veikšanai. Savukārt likumā „Par kultūras pieminekļu aizsardzību” un uz tā pamata izdotajos normatīvajos aktos un saistošajos dokumentos, kā arī likumā „Rīgas vēsturiskā centra saglabāšanas un aizsardzības likums” iekļautās normas ierobežo šādās ēkās izvietotām ārstniecības iestādēm veikt ēku pārbūvi, mainot to dizainu. Vienlaikus </w:t>
            </w:r>
            <w:r w:rsidR="00092040" w:rsidRPr="004A00E0">
              <w:rPr>
                <w:lang w:eastAsia="en-US"/>
              </w:rPr>
              <w:t>jā</w:t>
            </w:r>
            <w:r w:rsidR="00DC3D95" w:rsidRPr="004A00E0">
              <w:rPr>
                <w:lang w:eastAsia="en-US"/>
              </w:rPr>
              <w:t>ņem vērā</w:t>
            </w:r>
            <w:r w:rsidR="00903D2C">
              <w:rPr>
                <w:lang w:eastAsia="en-US"/>
              </w:rPr>
              <w:t xml:space="preserve"> </w:t>
            </w:r>
            <w:r w:rsidR="00333352" w:rsidRPr="004A00E0">
              <w:rPr>
                <w:lang w:eastAsia="en-US"/>
              </w:rPr>
              <w:t xml:space="preserve">Apvienoto Nāciju Organizācijas Konvencijā par personu ar invaliditāti tiesībām </w:t>
            </w:r>
            <w:r w:rsidR="007C7C8A" w:rsidRPr="004A00E0">
              <w:rPr>
                <w:lang w:eastAsia="en-US"/>
              </w:rPr>
              <w:t xml:space="preserve">(turpmāk - Konvencija) </w:t>
            </w:r>
            <w:r w:rsidR="009D2F6F" w:rsidRPr="004A00E0">
              <w:rPr>
                <w:lang w:eastAsia="en-US"/>
              </w:rPr>
              <w:t>25.pantā noteikt</w:t>
            </w:r>
            <w:r w:rsidR="00092040" w:rsidRPr="004A00E0">
              <w:rPr>
                <w:lang w:eastAsia="en-US"/>
              </w:rPr>
              <w:t xml:space="preserve">o, ka </w:t>
            </w:r>
            <w:r w:rsidR="002F7359">
              <w:rPr>
                <w:lang w:eastAsia="en-US"/>
              </w:rPr>
              <w:t>d</w:t>
            </w:r>
            <w:r w:rsidR="00333352" w:rsidRPr="004A00E0">
              <w:rPr>
                <w:lang w:eastAsia="en-US"/>
              </w:rPr>
              <w:t xml:space="preserve">alībvalstis veic visus atbilstošos pasākumus, lai personām ar invaliditāti nodrošinātu tādu </w:t>
            </w:r>
            <w:r w:rsidR="00333352" w:rsidRPr="004A00E0">
              <w:rPr>
                <w:u w:val="single"/>
                <w:lang w:eastAsia="en-US"/>
              </w:rPr>
              <w:t>veselības pakalpojumu pieejamību,</w:t>
            </w:r>
            <w:r w:rsidR="00333352" w:rsidRPr="004A00E0">
              <w:rPr>
                <w:lang w:eastAsia="en-US"/>
              </w:rPr>
              <w:t xml:space="preserve"> kuros ņem vērā dzimumu aspektus, tostarp veselības rehabilitācijas pieejamību.</w:t>
            </w:r>
            <w:r w:rsidR="00455B0A">
              <w:rPr>
                <w:lang w:eastAsia="en-US"/>
              </w:rPr>
              <w:t xml:space="preserve"> </w:t>
            </w:r>
            <w:r w:rsidR="00455B0A" w:rsidRPr="00977346">
              <w:rPr>
                <w:lang w:eastAsia="en-US"/>
              </w:rPr>
              <w:t xml:space="preserve">Savukārt atbilstoši minētās Konvencijas 4.panta 2.punktam attiecībā uz ekonomiskajām, sociālajām un kultūras tiesībām katra dalībvalsts apņemas veikt pasākumus ar mērķi pakāpeniski panākt Konvencijā noteikto tiesību īstenošanu. Tādējādi atbildoši Konvencijai </w:t>
            </w:r>
            <w:r w:rsidR="00451235" w:rsidRPr="00977346">
              <w:rPr>
                <w:lang w:eastAsia="en-US"/>
              </w:rPr>
              <w:t>ārstniecības iestādēs var tikt izmantoti dažādi risinājumi kā tiek nodrošināta personu ar kustību traucējumiem piekļuve ārstniecības iestādes sniegtajiem pakalpojumiem, ņemot vērā un samērojot gan nepieciešamās izmaiņas šķēršļu un barjeru likvidēšanā, gan ārstniecības iestādes tehniskās un ekonomiskās iespējas.</w:t>
            </w:r>
            <w:r w:rsidR="00333352" w:rsidRPr="004A00E0">
              <w:rPr>
                <w:lang w:eastAsia="en-US"/>
              </w:rPr>
              <w:t xml:space="preserve"> </w:t>
            </w:r>
          </w:p>
          <w:p w:rsidR="00FB7981" w:rsidRPr="004A00E0" w:rsidRDefault="00702A26" w:rsidP="00903D2C">
            <w:pPr>
              <w:ind w:firstLine="311"/>
              <w:jc w:val="both"/>
              <w:rPr>
                <w:lang w:eastAsia="en-US"/>
              </w:rPr>
            </w:pPr>
            <w:r w:rsidRPr="004A00E0">
              <w:rPr>
                <w:lang w:eastAsia="en-US"/>
              </w:rPr>
              <w:t xml:space="preserve">Pamatojoties uz minēto, </w:t>
            </w:r>
            <w:r w:rsidR="004929F7" w:rsidRPr="004A00E0">
              <w:rPr>
                <w:lang w:eastAsia="en-US"/>
              </w:rPr>
              <w:t>Noteikumos jāveic grozījumi atbilstoši kuriem ārstniecības iestāde nodrošinās personām ar funkcionāliem traucējumiem veselības aprūpes pakalpojumu pieejamību, ievērojot būvniecības jomu reglamentējošos normatīvajos aktos un šajos noteikumos noteiktās prasības, kā arī informāciju par vides pieejamību personām</w:t>
            </w:r>
            <w:r w:rsidR="00903D2C">
              <w:rPr>
                <w:lang w:eastAsia="en-US"/>
              </w:rPr>
              <w:t xml:space="preserve"> ar funkcionāliem traucējumiem. </w:t>
            </w:r>
            <w:r w:rsidR="00A151AF" w:rsidRPr="004A00E0">
              <w:rPr>
                <w:lang w:eastAsia="en-US"/>
              </w:rPr>
              <w:t>Līdz ar to</w:t>
            </w:r>
            <w:r w:rsidR="00FB7981" w:rsidRPr="004A00E0">
              <w:rPr>
                <w:lang w:eastAsia="en-US"/>
              </w:rPr>
              <w:t>:</w:t>
            </w:r>
          </w:p>
          <w:p w:rsidR="00F4796B" w:rsidRPr="004A00E0" w:rsidRDefault="00FB7981" w:rsidP="00F4796B">
            <w:pPr>
              <w:ind w:firstLine="311"/>
              <w:jc w:val="both"/>
              <w:rPr>
                <w:lang w:eastAsia="en-US"/>
              </w:rPr>
            </w:pPr>
            <w:r w:rsidRPr="004A00E0">
              <w:rPr>
                <w:lang w:eastAsia="en-US"/>
              </w:rPr>
              <w:t>-</w:t>
            </w:r>
            <w:r w:rsidR="00F4796B" w:rsidRPr="004A00E0">
              <w:rPr>
                <w:lang w:eastAsia="en-US"/>
              </w:rPr>
              <w:t xml:space="preserve"> ņemot vērā, ka Noteikumos noteikto prasību ievērošana nav atkarīga no būvniecības procesa posmiem, nepieciešams 3.punktu izteikt jaunā redakcijā, kas noteiks, ka ārstniecības iestādi izvieto atbilstoši tās darbībai projektētā vai pielāgotā ēkā</w:t>
            </w:r>
            <w:r w:rsidR="00F4796B" w:rsidRPr="004A00E0">
              <w:t xml:space="preserve"> </w:t>
            </w:r>
            <w:r w:rsidR="00F4796B" w:rsidRPr="004A00E0">
              <w:rPr>
                <w:lang w:eastAsia="en-US"/>
              </w:rPr>
              <w:t>un ārstniecības iestādēs vides pieejamību personām ar funkcionāliem traucējumiem, ievērojot būvniecības normatīvajos aktos noteiktās un šajos noteikumos noteiktās prasības;</w:t>
            </w:r>
          </w:p>
          <w:p w:rsidR="00031733" w:rsidRPr="004A00E0" w:rsidRDefault="00F4796B" w:rsidP="00031733">
            <w:pPr>
              <w:ind w:firstLine="311"/>
              <w:jc w:val="both"/>
            </w:pPr>
            <w:r w:rsidRPr="004A00E0">
              <w:rPr>
                <w:lang w:eastAsia="en-US"/>
              </w:rPr>
              <w:t>-</w:t>
            </w:r>
            <w:r w:rsidR="00903D2C">
              <w:rPr>
                <w:lang w:eastAsia="en-US"/>
              </w:rPr>
              <w:t>Noteikumu 4.punkts jāprecizē, nosakot, ka tām ārstniecības iestādēm, kuras jau darbojas, bet neatbilst noteiktām prasībām</w:t>
            </w:r>
            <w:r w:rsidR="00887216">
              <w:rPr>
                <w:lang w:eastAsia="en-US"/>
              </w:rPr>
              <w:t xml:space="preserve"> attiecībā uz vides pieejamību personām ar funkcionāliem traucējumiem</w:t>
            </w:r>
            <w:r w:rsidR="00903D2C">
              <w:rPr>
                <w:lang w:eastAsia="en-US"/>
              </w:rPr>
              <w:t xml:space="preserve"> (piemēram, ārstniecības iestāde tika izveidota pirms 2008.gada 31.augusta), ir jānodrošina iespēja personām ar </w:t>
            </w:r>
            <w:r w:rsidR="00903D2C">
              <w:rPr>
                <w:lang w:eastAsia="en-US"/>
              </w:rPr>
              <w:lastRenderedPageBreak/>
              <w:t xml:space="preserve">funkcionāliem traucējumiem saņemt veselības aprūpes pakalpojumus, kā arī jānosaka, ka </w:t>
            </w:r>
            <w:r w:rsidR="00031733" w:rsidRPr="004A00E0">
              <w:t xml:space="preserve">ārstniecības iestādes vadītājs </w:t>
            </w:r>
            <w:r w:rsidR="00887216">
              <w:t>apstiprina informāciju</w:t>
            </w:r>
            <w:r w:rsidR="00031733" w:rsidRPr="004A00E0">
              <w:t>, kādā personām ar funkcionāl</w:t>
            </w:r>
            <w:r w:rsidR="00D51A91" w:rsidRPr="004A00E0">
              <w:t>iem</w:t>
            </w:r>
            <w:r w:rsidR="00031733" w:rsidRPr="004A00E0">
              <w:t xml:space="preserve"> </w:t>
            </w:r>
            <w:r w:rsidR="00D51A91" w:rsidRPr="004A00E0">
              <w:t xml:space="preserve">traucējumiem </w:t>
            </w:r>
            <w:r w:rsidR="00031733" w:rsidRPr="004A00E0">
              <w:t>tiek nodrošināta iespēja saņemt nepieciešamos veselības aprūpes pakalpojumus</w:t>
            </w:r>
            <w:r w:rsidR="00031733" w:rsidRPr="00977346">
              <w:t>.</w:t>
            </w:r>
            <w:r w:rsidR="006B0F45" w:rsidRPr="00977346">
              <w:t xml:space="preserve"> </w:t>
            </w:r>
            <w:r w:rsidR="00903D2C" w:rsidRPr="00977346">
              <w:t>Papildus ir jānosaka, ka veselības centriem un stacionārām ārstniecības iestādēm (slimnīcām) ir jānodrošina iespēja personām ar funkcionāliem traucējumiem iekļūt šajās ārstniecības iestādēs, kā arī ir jāietver prasība šīm ārstniecības iestādēm nodrošināt tualetes telpas personām ar funkcionāliem traucējumiem pieejamību.</w:t>
            </w:r>
          </w:p>
          <w:p w:rsidR="00645D29" w:rsidRPr="004A00E0" w:rsidRDefault="002E3F65" w:rsidP="00145A61">
            <w:pPr>
              <w:ind w:firstLine="311"/>
              <w:jc w:val="both"/>
              <w:rPr>
                <w:lang w:eastAsia="en-US"/>
              </w:rPr>
            </w:pPr>
            <w:r w:rsidRPr="004A00E0">
              <w:t>-v</w:t>
            </w:r>
            <w:r w:rsidR="00145A61" w:rsidRPr="004A00E0">
              <w:t xml:space="preserve">ienlaikus nepieciešams nodrošināt iespēju personām iegūt informāciju par </w:t>
            </w:r>
            <w:r w:rsidR="00645D29" w:rsidRPr="004A00E0">
              <w:rPr>
                <w:lang w:eastAsia="en-US"/>
              </w:rPr>
              <w:t xml:space="preserve">ārstniecības iestāžu </w:t>
            </w:r>
            <w:r w:rsidR="00145A61" w:rsidRPr="004A00E0">
              <w:rPr>
                <w:lang w:eastAsia="en-US"/>
              </w:rPr>
              <w:t xml:space="preserve">vides pieejamību, tāpēc Noteikumos jānosaka, ka minētā informācija ir pieejama </w:t>
            </w:r>
            <w:r w:rsidR="00903D2C">
              <w:rPr>
                <w:lang w:eastAsia="en-US"/>
              </w:rPr>
              <w:t>ārstniecības iestāžu</w:t>
            </w:r>
            <w:r w:rsidR="00A23FE0" w:rsidRPr="004A00E0">
              <w:rPr>
                <w:lang w:eastAsia="en-US"/>
              </w:rPr>
              <w:t xml:space="preserve"> </w:t>
            </w:r>
            <w:r w:rsidR="00145A61" w:rsidRPr="004A00E0">
              <w:rPr>
                <w:lang w:eastAsia="en-US"/>
              </w:rPr>
              <w:t>tīmekļa vietnē</w:t>
            </w:r>
            <w:r w:rsidRPr="004A00E0">
              <w:rPr>
                <w:lang w:eastAsia="en-US"/>
              </w:rPr>
              <w:t>;</w:t>
            </w:r>
            <w:r w:rsidR="00145A61" w:rsidRPr="004A00E0">
              <w:rPr>
                <w:lang w:eastAsia="en-US"/>
              </w:rPr>
              <w:t xml:space="preserve"> </w:t>
            </w:r>
          </w:p>
          <w:p w:rsidR="00F4796B" w:rsidRPr="004A00E0" w:rsidRDefault="00F4796B" w:rsidP="00145A61">
            <w:pPr>
              <w:ind w:firstLine="311"/>
              <w:jc w:val="both"/>
              <w:rPr>
                <w:lang w:eastAsia="en-US"/>
              </w:rPr>
            </w:pPr>
          </w:p>
          <w:p w:rsidR="00903D2C" w:rsidRDefault="00517E41" w:rsidP="005B0363">
            <w:pPr>
              <w:ind w:firstLine="311"/>
              <w:jc w:val="both"/>
              <w:rPr>
                <w:lang w:eastAsia="en-US"/>
              </w:rPr>
            </w:pPr>
            <w:r w:rsidRPr="004A00E0">
              <w:rPr>
                <w:lang w:eastAsia="en-US"/>
              </w:rPr>
              <w:t>Vienlaikus Noteikumos nepieciešams paplašināt</w:t>
            </w:r>
            <w:r w:rsidR="00462FCC" w:rsidRPr="004A00E0">
              <w:rPr>
                <w:lang w:eastAsia="en-US"/>
              </w:rPr>
              <w:t xml:space="preserve"> normas, kuras ietver nosacījumus par </w:t>
            </w:r>
            <w:r w:rsidRPr="004A00E0">
              <w:rPr>
                <w:lang w:eastAsia="en-US"/>
              </w:rPr>
              <w:t>ārstniecības iestādē pieejamo un ārstniecības iestādes reklāmā ievietoto informāciju par iestādes piemērotību pakalpojumu sniegšanai personām ar funkcionāl</w:t>
            </w:r>
            <w:r w:rsidR="005B0363" w:rsidRPr="004A00E0">
              <w:rPr>
                <w:lang w:eastAsia="en-US"/>
              </w:rPr>
              <w:t>iem traucējumiem</w:t>
            </w:r>
            <w:r w:rsidRPr="004A00E0">
              <w:rPr>
                <w:lang w:eastAsia="en-US"/>
              </w:rPr>
              <w:t>.</w:t>
            </w:r>
            <w:r w:rsidR="00462FCC" w:rsidRPr="004A00E0">
              <w:rPr>
                <w:lang w:eastAsia="en-US"/>
              </w:rPr>
              <w:t xml:space="preserve"> </w:t>
            </w:r>
          </w:p>
          <w:p w:rsidR="002E57B0" w:rsidRDefault="00462FCC" w:rsidP="005B0363">
            <w:pPr>
              <w:ind w:firstLine="311"/>
              <w:jc w:val="both"/>
              <w:rPr>
                <w:lang w:eastAsia="en-US"/>
              </w:rPr>
            </w:pPr>
            <w:r w:rsidRPr="004A00E0">
              <w:rPr>
                <w:lang w:eastAsia="en-US"/>
              </w:rPr>
              <w:t>Tāpat nepieciešams precizēt Noteikumu 27.punkt</w:t>
            </w:r>
            <w:r w:rsidR="00D309A2" w:rsidRPr="004A00E0">
              <w:rPr>
                <w:lang w:eastAsia="en-US"/>
              </w:rPr>
              <w:t>u</w:t>
            </w:r>
            <w:r w:rsidRPr="004A00E0">
              <w:rPr>
                <w:lang w:eastAsia="en-US"/>
              </w:rPr>
              <w:t xml:space="preserve">, </w:t>
            </w:r>
            <w:r w:rsidR="00D309A2" w:rsidRPr="004A00E0">
              <w:rPr>
                <w:lang w:eastAsia="en-US"/>
              </w:rPr>
              <w:t xml:space="preserve">jo šajā punktā iekļautais aprīkojuma klāsts </w:t>
            </w:r>
            <w:r w:rsidRPr="004A00E0">
              <w:rPr>
                <w:lang w:eastAsia="en-US"/>
              </w:rPr>
              <w:t>nav attiecināmas uz zobārstniecības kabinetiem</w:t>
            </w:r>
            <w:r w:rsidR="00EC39EE" w:rsidRPr="004A00E0">
              <w:rPr>
                <w:lang w:eastAsia="en-US"/>
              </w:rPr>
              <w:t>.</w:t>
            </w:r>
            <w:r w:rsidR="00DC1BDC" w:rsidRPr="004A00E0">
              <w:rPr>
                <w:lang w:eastAsia="en-US"/>
              </w:rPr>
              <w:t xml:space="preserve"> </w:t>
            </w:r>
            <w:r w:rsidR="00EC39EE" w:rsidRPr="004A00E0">
              <w:rPr>
                <w:lang w:eastAsia="en-US"/>
              </w:rPr>
              <w:t>Z</w:t>
            </w:r>
            <w:r w:rsidR="00DC1BDC" w:rsidRPr="004A00E0">
              <w:rPr>
                <w:lang w:eastAsia="en-US"/>
              </w:rPr>
              <w:t xml:space="preserve">obārstniecības kabinetā </w:t>
            </w:r>
            <w:r w:rsidR="00D309A2" w:rsidRPr="004A00E0">
              <w:rPr>
                <w:lang w:eastAsia="en-US"/>
              </w:rPr>
              <w:t>tiek sniegti tikai zobārstniecības pakalpojumi un tie nav orientēti uz citu veselības aprūpes pakalpojumu sniegšanu</w:t>
            </w:r>
            <w:r w:rsidR="00392DF0" w:rsidRPr="004A00E0">
              <w:rPr>
                <w:lang w:eastAsia="en-US"/>
              </w:rPr>
              <w:t>, kuru nepieciešamības</w:t>
            </w:r>
            <w:r w:rsidR="00EC39EE" w:rsidRPr="004A00E0">
              <w:rPr>
                <w:lang w:eastAsia="en-US"/>
              </w:rPr>
              <w:t xml:space="preserve"> gadījumā</w:t>
            </w:r>
            <w:r w:rsidR="00392DF0" w:rsidRPr="004A00E0">
              <w:rPr>
                <w:lang w:eastAsia="en-US"/>
              </w:rPr>
              <w:t>, piemēram dzemdībpalīdzību</w:t>
            </w:r>
            <w:r w:rsidR="00EC39EE" w:rsidRPr="004A00E0">
              <w:rPr>
                <w:lang w:eastAsia="en-US"/>
              </w:rPr>
              <w:t>,</w:t>
            </w:r>
            <w:r w:rsidR="00392DF0" w:rsidRPr="004A00E0">
              <w:rPr>
                <w:lang w:eastAsia="en-US"/>
              </w:rPr>
              <w:t xml:space="preserve"> sniedz neatliekamā medicīniskā</w:t>
            </w:r>
            <w:r w:rsidR="00EC39EE" w:rsidRPr="004A00E0">
              <w:rPr>
                <w:lang w:eastAsia="en-US"/>
              </w:rPr>
              <w:t>s</w:t>
            </w:r>
            <w:r w:rsidR="00392DF0" w:rsidRPr="004A00E0">
              <w:rPr>
                <w:lang w:eastAsia="en-US"/>
              </w:rPr>
              <w:t xml:space="preserve"> palīdzība</w:t>
            </w:r>
            <w:r w:rsidR="00EC39EE" w:rsidRPr="004A00E0">
              <w:rPr>
                <w:lang w:eastAsia="en-US"/>
              </w:rPr>
              <w:t>s brigāde vai stacionārā ārstniecības iestāde</w:t>
            </w:r>
            <w:r w:rsidR="00BA2469" w:rsidRPr="004A00E0">
              <w:rPr>
                <w:lang w:eastAsia="en-US"/>
              </w:rPr>
              <w:t xml:space="preserve">, savukārt skābekļa ierīces nepieciešamība zobārstniecības kabinetā ir noteikta Noteikumu 35.4.apakšpunktā. </w:t>
            </w:r>
          </w:p>
          <w:p w:rsidR="0022460C" w:rsidRPr="004A00E0" w:rsidRDefault="0022460C" w:rsidP="005B0363">
            <w:pPr>
              <w:ind w:firstLine="311"/>
              <w:jc w:val="both"/>
              <w:rPr>
                <w:lang w:eastAsia="en-US"/>
              </w:rPr>
            </w:pPr>
          </w:p>
        </w:tc>
      </w:tr>
      <w:tr w:rsidR="00027E0A" w:rsidRPr="004A00E0" w:rsidTr="008D2BD9">
        <w:tc>
          <w:tcPr>
            <w:tcW w:w="468" w:type="dxa"/>
          </w:tcPr>
          <w:p w:rsidR="00027E0A" w:rsidRPr="004A00E0" w:rsidRDefault="00027E0A" w:rsidP="009D03E6">
            <w:pPr>
              <w:rPr>
                <w:lang w:eastAsia="en-US"/>
              </w:rPr>
            </w:pPr>
            <w:r w:rsidRPr="004A00E0">
              <w:rPr>
                <w:lang w:eastAsia="en-US"/>
              </w:rPr>
              <w:lastRenderedPageBreak/>
              <w:t>3.</w:t>
            </w:r>
          </w:p>
        </w:tc>
        <w:tc>
          <w:tcPr>
            <w:tcW w:w="2340" w:type="dxa"/>
          </w:tcPr>
          <w:p w:rsidR="00027E0A" w:rsidRPr="004A00E0" w:rsidRDefault="00027E0A" w:rsidP="009D03E6">
            <w:pPr>
              <w:rPr>
                <w:lang w:eastAsia="en-US"/>
              </w:rPr>
            </w:pPr>
            <w:r w:rsidRPr="004A00E0">
              <w:rPr>
                <w:lang w:eastAsia="en-US"/>
              </w:rPr>
              <w:t>Saistītie politikas ietekmes novērtējumi un pētījumi</w:t>
            </w:r>
          </w:p>
        </w:tc>
        <w:tc>
          <w:tcPr>
            <w:tcW w:w="6656" w:type="dxa"/>
          </w:tcPr>
          <w:p w:rsidR="00027E0A" w:rsidRPr="004A00E0" w:rsidRDefault="007000A8" w:rsidP="007000A8">
            <w:pPr>
              <w:rPr>
                <w:lang w:eastAsia="en-US"/>
              </w:rPr>
            </w:pPr>
            <w:r w:rsidRPr="004A00E0">
              <w:rPr>
                <w:lang w:eastAsia="en-US"/>
              </w:rPr>
              <w:t>Projekts šo jomu neskar</w:t>
            </w:r>
          </w:p>
        </w:tc>
      </w:tr>
      <w:tr w:rsidR="00027E0A" w:rsidRPr="004A00E0" w:rsidTr="008D2BD9">
        <w:tc>
          <w:tcPr>
            <w:tcW w:w="468" w:type="dxa"/>
          </w:tcPr>
          <w:p w:rsidR="00027E0A" w:rsidRPr="004A00E0" w:rsidRDefault="00027E0A" w:rsidP="009D03E6">
            <w:pPr>
              <w:rPr>
                <w:lang w:eastAsia="en-US"/>
              </w:rPr>
            </w:pPr>
            <w:r w:rsidRPr="004A00E0">
              <w:rPr>
                <w:lang w:eastAsia="en-US"/>
              </w:rPr>
              <w:t>4.</w:t>
            </w:r>
          </w:p>
        </w:tc>
        <w:tc>
          <w:tcPr>
            <w:tcW w:w="2340" w:type="dxa"/>
          </w:tcPr>
          <w:p w:rsidR="00027E0A" w:rsidRPr="004A00E0" w:rsidRDefault="00027E0A" w:rsidP="009D03E6">
            <w:pPr>
              <w:rPr>
                <w:lang w:eastAsia="en-US"/>
              </w:rPr>
            </w:pPr>
            <w:r w:rsidRPr="004A00E0">
              <w:rPr>
                <w:lang w:eastAsia="en-US"/>
              </w:rPr>
              <w:t>Tiesiskā regulējuma mērķis un būtība</w:t>
            </w:r>
          </w:p>
        </w:tc>
        <w:tc>
          <w:tcPr>
            <w:tcW w:w="6656" w:type="dxa"/>
          </w:tcPr>
          <w:p w:rsidR="002F6280" w:rsidRPr="004A00E0" w:rsidRDefault="00017FF4" w:rsidP="00E401EB">
            <w:pPr>
              <w:ind w:right="140"/>
              <w:jc w:val="both"/>
            </w:pPr>
            <w:r w:rsidRPr="004A00E0">
              <w:rPr>
                <w:bCs/>
              </w:rPr>
              <w:t>Ministru kabineta noteikumu projekt</w:t>
            </w:r>
            <w:r w:rsidR="00CE50D8" w:rsidRPr="004A00E0">
              <w:rPr>
                <w:bCs/>
              </w:rPr>
              <w:t>a</w:t>
            </w:r>
            <w:r w:rsidRPr="004A00E0">
              <w:rPr>
                <w:bCs/>
              </w:rPr>
              <w:t xml:space="preserve"> „</w:t>
            </w:r>
            <w:r w:rsidRPr="004A00E0">
              <w:t xml:space="preserve">Grozījumi Ministru kabineta 2009. gada 20. janvāra noteikumos Nr.60  „Noteikumi par obligātajām prasībām ārstniecības iestādēm un to struktūrvienībām” (turpmāk </w:t>
            </w:r>
            <w:r w:rsidR="002060EC" w:rsidRPr="004A00E0">
              <w:t>-</w:t>
            </w:r>
            <w:r w:rsidR="007B3D4D" w:rsidRPr="004A00E0">
              <w:t xml:space="preserve"> </w:t>
            </w:r>
            <w:r w:rsidR="00DB19B6" w:rsidRPr="004A00E0">
              <w:t>N</w:t>
            </w:r>
            <w:r w:rsidRPr="004A00E0">
              <w:t>oteikumu projekts)</w:t>
            </w:r>
            <w:r w:rsidR="00CE50D8" w:rsidRPr="004A00E0">
              <w:t xml:space="preserve"> mērķis ir </w:t>
            </w:r>
            <w:r w:rsidR="00B938F1" w:rsidRPr="004A00E0">
              <w:t>noteikt</w:t>
            </w:r>
            <w:r w:rsidR="002F6280" w:rsidRPr="004A00E0">
              <w:t xml:space="preserve"> obligātas prasības ārstniecības iestādēm</w:t>
            </w:r>
            <w:r w:rsidR="00C3555C" w:rsidRPr="004A00E0">
              <w:t>, kuru ievērošana nodrošina iedzīvotājiem pieejamu un kvalitatīvu veselības aprūpes pakalpojumu saņemšanu, un ietver</w:t>
            </w:r>
            <w:r w:rsidR="002F6280" w:rsidRPr="004A00E0">
              <w:t>:</w:t>
            </w:r>
          </w:p>
          <w:p w:rsidR="008D650C" w:rsidRPr="004A00E0" w:rsidRDefault="008D650C" w:rsidP="008D650C">
            <w:pPr>
              <w:jc w:val="both"/>
              <w:rPr>
                <w:lang w:eastAsia="en-US"/>
              </w:rPr>
            </w:pPr>
            <w:r w:rsidRPr="004A00E0">
              <w:rPr>
                <w:lang w:eastAsia="en-US"/>
              </w:rPr>
              <w:t>1.normu izmaiņas saistībā ar veselības aprūpes pakalpojumu pieejamību:</w:t>
            </w:r>
          </w:p>
          <w:p w:rsidR="00E753E1" w:rsidRPr="004A00E0" w:rsidRDefault="00E753E1" w:rsidP="008D650C">
            <w:pPr>
              <w:jc w:val="both"/>
            </w:pPr>
            <w:r w:rsidRPr="004A00E0">
              <w:t xml:space="preserve">1.2.izsakot Noteikumu 3.punktu jaunā redakcijā </w:t>
            </w:r>
            <w:r w:rsidRPr="004A00E0">
              <w:rPr>
                <w:lang w:eastAsia="en-US"/>
              </w:rPr>
              <w:t>tiek noteikts, kādas normatīvās prasības jāievēro izvietojot ā</w:t>
            </w:r>
            <w:r w:rsidRPr="004A00E0">
              <w:t>rstniecības iestādi, t.i., jāievēro būvniecības jomu reglamentējošos normatīvajos aktos un Noteikumos noteiktās prasības;</w:t>
            </w:r>
          </w:p>
          <w:p w:rsidR="008D650C" w:rsidRPr="004A00E0" w:rsidRDefault="008D650C" w:rsidP="008D650C">
            <w:pPr>
              <w:jc w:val="both"/>
            </w:pPr>
            <w:r w:rsidRPr="004A00E0">
              <w:t>1.</w:t>
            </w:r>
            <w:r w:rsidR="00E753E1" w:rsidRPr="004A00E0">
              <w:t>3</w:t>
            </w:r>
            <w:r w:rsidRPr="004A00E0">
              <w:t>.izsakot 4.punktu jaunā redakcijā, tiek noteikts, ka ārstniecības iestād</w:t>
            </w:r>
            <w:r w:rsidR="006E72A6" w:rsidRPr="004A00E0">
              <w:t>e</w:t>
            </w:r>
            <w:r w:rsidR="00544F28" w:rsidRPr="004A00E0">
              <w:t xml:space="preserve">, ja tā neatbilst </w:t>
            </w:r>
            <w:r w:rsidR="00903D2C">
              <w:t xml:space="preserve"> vides pieejamīb</w:t>
            </w:r>
            <w:r w:rsidR="00887216">
              <w:t>as prasībām, kas noteiktas būvniecības jomu regulējošos normatīvajos aktos,</w:t>
            </w:r>
            <w:r w:rsidR="00544F28" w:rsidRPr="004A00E0">
              <w:t xml:space="preserve">, nodrošina iespēju personām ar funkcionāliem  traucējumiem saņemt </w:t>
            </w:r>
            <w:r w:rsidR="00544F28" w:rsidRPr="004A00E0">
              <w:lastRenderedPageBreak/>
              <w:t xml:space="preserve">veselības aprūpes pakalpojumus atbilstoši apstiprinātām medicīniskām tehnoloģijām, vienlaikus paredzot, ka veselības centros un stacionārās ārstniecības </w:t>
            </w:r>
            <w:r w:rsidR="00544F28" w:rsidRPr="00334768">
              <w:t>iestādēs</w:t>
            </w:r>
            <w:r w:rsidR="00887216" w:rsidRPr="00334768">
              <w:t xml:space="preserve"> </w:t>
            </w:r>
            <w:r w:rsidR="00544F28" w:rsidRPr="00334768">
              <w:t>ir jābūt nodrošinātai iespējai personām ar funkcionāliem  traucējumiem iekļūt ārstniecības iestādē un</w:t>
            </w:r>
            <w:r w:rsidR="00F656F3" w:rsidRPr="00334768">
              <w:t xml:space="preserve"> jābūt </w:t>
            </w:r>
            <w:r w:rsidR="00544F28" w:rsidRPr="00334768">
              <w:t>pieejama</w:t>
            </w:r>
            <w:r w:rsidR="00F656F3" w:rsidRPr="00334768">
              <w:t>i</w:t>
            </w:r>
            <w:r w:rsidR="00544F28" w:rsidRPr="00334768">
              <w:t xml:space="preserve"> vismaz viena</w:t>
            </w:r>
            <w:r w:rsidR="00F656F3" w:rsidRPr="00334768">
              <w:t>i</w:t>
            </w:r>
            <w:r w:rsidR="00544F28" w:rsidRPr="00334768">
              <w:t xml:space="preserve"> tualetes</w:t>
            </w:r>
            <w:r w:rsidR="00544F28" w:rsidRPr="004A00E0">
              <w:t xml:space="preserve"> telpa</w:t>
            </w:r>
            <w:r w:rsidR="00F656F3" w:rsidRPr="004A00E0">
              <w:t>i</w:t>
            </w:r>
            <w:r w:rsidR="00544F28" w:rsidRPr="004A00E0">
              <w:t xml:space="preserve"> personām ar funkcionāliem  traucējumiem</w:t>
            </w:r>
            <w:r w:rsidR="00903D2C">
              <w:t xml:space="preserve"> (veselība centros – ēkā, kurā tiek sniegts veselības aprūpes pakalpojums personām ar funkcionāliem traucējumiem, bet stacionārās ārstniecības iestādēs – katrā stāvā, kur tiek sniegts veselības aprūpes pakalpojums personām ar funkcionāliem traucējumiem)</w:t>
            </w:r>
            <w:r w:rsidR="00544F28" w:rsidRPr="004A00E0">
              <w:t xml:space="preserve">. </w:t>
            </w:r>
            <w:r w:rsidR="00887216">
              <w:t>Ārstniecības iestādes vadītājs apstiprina informāciju,</w:t>
            </w:r>
            <w:r w:rsidR="00544F28" w:rsidRPr="004A00E0">
              <w:t xml:space="preserve"> kādā ārstniecības iestāde nodrošina personām ar funkcionāliem  traucējumiem </w:t>
            </w:r>
            <w:r w:rsidR="009F60F5">
              <w:t>iespēju</w:t>
            </w:r>
            <w:r w:rsidR="00544F28" w:rsidRPr="004A00E0">
              <w:t xml:space="preserve"> saņemt veselības aprūpes pakalpojumus</w:t>
            </w:r>
            <w:r w:rsidR="00F656F3" w:rsidRPr="004A00E0">
              <w:t xml:space="preserve">. </w:t>
            </w:r>
            <w:r w:rsidRPr="004A00E0">
              <w:t>Tādejādi tiek nodrošināts vides pieejamības izpildes samērīgums un tiek nodrošināts veselības aprūpes pakalpojuma pieejamības princips;</w:t>
            </w:r>
          </w:p>
          <w:p w:rsidR="008D650C" w:rsidRPr="004A00E0" w:rsidRDefault="008D650C" w:rsidP="008D650C">
            <w:pPr>
              <w:jc w:val="both"/>
              <w:rPr>
                <w:lang w:eastAsia="en-US"/>
              </w:rPr>
            </w:pPr>
            <w:r w:rsidRPr="004A00E0">
              <w:rPr>
                <w:lang w:eastAsia="en-US"/>
              </w:rPr>
              <w:t>1.</w:t>
            </w:r>
            <w:r w:rsidR="00E753E1" w:rsidRPr="004A00E0">
              <w:rPr>
                <w:lang w:eastAsia="en-US"/>
              </w:rPr>
              <w:t>4</w:t>
            </w:r>
            <w:r w:rsidRPr="004A00E0">
              <w:rPr>
                <w:lang w:eastAsia="en-US"/>
              </w:rPr>
              <w:t>.papildinot Noteikumus ar 4.</w:t>
            </w:r>
            <w:r w:rsidR="006E72A6" w:rsidRPr="004A00E0">
              <w:rPr>
                <w:vertAlign w:val="superscript"/>
                <w:lang w:eastAsia="en-US"/>
              </w:rPr>
              <w:t>1</w:t>
            </w:r>
            <w:r w:rsidRPr="004A00E0">
              <w:rPr>
                <w:vertAlign w:val="superscript"/>
                <w:lang w:eastAsia="en-US"/>
              </w:rPr>
              <w:t xml:space="preserve"> </w:t>
            </w:r>
            <w:r w:rsidRPr="004A00E0">
              <w:rPr>
                <w:lang w:eastAsia="en-US"/>
              </w:rPr>
              <w:t xml:space="preserve">punktu, kā arī izsakot Noteikumu 7.punktu jaunā redakcijā, Noteikumos tiek iekļauti nosacījumi par ārstniecības iestādē pieejamo un ārstniecības iestādes reklāmā ievietojamo informāciju </w:t>
            </w:r>
            <w:r w:rsidR="001271DB" w:rsidRPr="004A00E0">
              <w:rPr>
                <w:lang w:eastAsia="en-US"/>
              </w:rPr>
              <w:t xml:space="preserve">saistībā ar </w:t>
            </w:r>
            <w:r w:rsidRPr="004A00E0">
              <w:rPr>
                <w:lang w:eastAsia="en-US"/>
              </w:rPr>
              <w:t xml:space="preserve">ārstniecības iestādes piemērotību </w:t>
            </w:r>
            <w:r w:rsidR="001271DB" w:rsidRPr="004A00E0">
              <w:rPr>
                <w:lang w:eastAsia="en-US"/>
              </w:rPr>
              <w:t xml:space="preserve">veselības aprūpes </w:t>
            </w:r>
            <w:r w:rsidRPr="004A00E0">
              <w:rPr>
                <w:lang w:eastAsia="en-US"/>
              </w:rPr>
              <w:t>pakalpojumu sniegšanai personām ar funkcionāl</w:t>
            </w:r>
            <w:r w:rsidR="005B0363" w:rsidRPr="004A00E0">
              <w:rPr>
                <w:lang w:eastAsia="en-US"/>
              </w:rPr>
              <w:t>iem traucējumiem</w:t>
            </w:r>
            <w:r w:rsidRPr="004A00E0">
              <w:rPr>
                <w:lang w:eastAsia="en-US"/>
              </w:rPr>
              <w:t>;</w:t>
            </w:r>
          </w:p>
          <w:p w:rsidR="00A81F06" w:rsidRPr="004A00E0" w:rsidRDefault="002F6280" w:rsidP="00E401EB">
            <w:pPr>
              <w:ind w:right="140"/>
              <w:jc w:val="both"/>
            </w:pPr>
            <w:r w:rsidRPr="004A00E0">
              <w:t>2.</w:t>
            </w:r>
            <w:r w:rsidR="00214599" w:rsidRPr="004A00E0">
              <w:t xml:space="preserve">papildinot Noteikumus ar 3.11.apakšnodaļu „Prasības ilgstošas sociālās aprūpes un sociālās rehabilitācijas institūcijas veselības punktam” tiek noteiktas </w:t>
            </w:r>
            <w:r w:rsidR="00C3555C" w:rsidRPr="004A00E0">
              <w:t xml:space="preserve">prasības </w:t>
            </w:r>
            <w:r w:rsidRPr="004A00E0">
              <w:t>ilgstošas sociālās aprūpes un sociālās rehabilitācijas institūcijas veselības punkta</w:t>
            </w:r>
            <w:r w:rsidR="00AC18B5" w:rsidRPr="004A00E0">
              <w:t xml:space="preserve"> telpām un medicīnas aprīkojumam</w:t>
            </w:r>
            <w:r w:rsidR="00214599" w:rsidRPr="004A00E0">
              <w:t>;</w:t>
            </w:r>
            <w:r w:rsidR="00AC18B5" w:rsidRPr="004A00E0">
              <w:t xml:space="preserve"> </w:t>
            </w:r>
          </w:p>
          <w:p w:rsidR="001271DB" w:rsidRPr="004A00E0" w:rsidRDefault="001271DB" w:rsidP="001271DB">
            <w:pPr>
              <w:ind w:right="140"/>
              <w:jc w:val="both"/>
            </w:pPr>
            <w:r w:rsidRPr="004A00E0">
              <w:t>3.</w:t>
            </w:r>
            <w:r w:rsidR="00214599" w:rsidRPr="004A00E0">
              <w:t xml:space="preserve">papildinot Noteikumus ar 3.12.apakšnodaļu „Prasības mobilajam kabinetam” tiek noteikts, </w:t>
            </w:r>
            <w:r w:rsidR="002842CB" w:rsidRPr="004A00E0">
              <w:t>kurām</w:t>
            </w:r>
            <w:r w:rsidR="00A06DC8" w:rsidRPr="004A00E0">
              <w:t xml:space="preserve"> Noteikumu vispārīgo prasību ārstniecības iestādēm normām un </w:t>
            </w:r>
            <w:r w:rsidR="003A6F14" w:rsidRPr="004A00E0">
              <w:t xml:space="preserve">normām, kuras nosaka </w:t>
            </w:r>
            <w:r w:rsidR="00A06DC8" w:rsidRPr="004A00E0">
              <w:t>vispārīg</w:t>
            </w:r>
            <w:r w:rsidR="003A6F14" w:rsidRPr="004A00E0">
              <w:t>ās</w:t>
            </w:r>
            <w:r w:rsidR="00A06DC8" w:rsidRPr="004A00E0">
              <w:t xml:space="preserve"> prasīb</w:t>
            </w:r>
            <w:r w:rsidR="003A6F14" w:rsidRPr="004A00E0">
              <w:t>as</w:t>
            </w:r>
            <w:r w:rsidR="00A06DC8" w:rsidRPr="004A00E0">
              <w:t xml:space="preserve"> ambulatorām iestādēm </w:t>
            </w:r>
            <w:r w:rsidR="003A6F14" w:rsidRPr="004A00E0">
              <w:t xml:space="preserve">jāatbilst </w:t>
            </w:r>
            <w:r w:rsidR="002842CB" w:rsidRPr="004A00E0">
              <w:t>mobila</w:t>
            </w:r>
            <w:r w:rsidR="00A06DC8" w:rsidRPr="004A00E0">
              <w:t>jam</w:t>
            </w:r>
            <w:r w:rsidR="002842CB" w:rsidRPr="004A00E0">
              <w:t xml:space="preserve"> kabinet</w:t>
            </w:r>
            <w:r w:rsidR="00A06DC8" w:rsidRPr="004A00E0">
              <w:t>am</w:t>
            </w:r>
            <w:r w:rsidRPr="004A00E0">
              <w:t>;</w:t>
            </w:r>
          </w:p>
          <w:p w:rsidR="001271DB" w:rsidRPr="004A00E0" w:rsidRDefault="00FA4F1D" w:rsidP="001271DB">
            <w:pPr>
              <w:ind w:right="140"/>
              <w:jc w:val="both"/>
            </w:pPr>
            <w:r w:rsidRPr="004A00E0">
              <w:t>4. papildinot Noteikumus ar 3.13.apakšnodaļu „P</w:t>
            </w:r>
            <w:r w:rsidR="001271DB" w:rsidRPr="004A00E0">
              <w:t xml:space="preserve">rasības </w:t>
            </w:r>
            <w:r w:rsidR="00A06DC8" w:rsidRPr="004A00E0">
              <w:t xml:space="preserve">ārstniecības iestādei, kura sniedz </w:t>
            </w:r>
            <w:r w:rsidR="001271DB" w:rsidRPr="004A00E0">
              <w:t>veselības aprūpes pakalpojumu</w:t>
            </w:r>
            <w:r w:rsidR="00A06DC8" w:rsidRPr="004A00E0">
              <w:t>s</w:t>
            </w:r>
            <w:r w:rsidR="001271DB" w:rsidRPr="004A00E0">
              <w:t xml:space="preserve"> pacienta dzīvesvietā</w:t>
            </w:r>
            <w:r w:rsidRPr="004A00E0">
              <w:t>”</w:t>
            </w:r>
            <w:r w:rsidR="001271DB" w:rsidRPr="004A00E0">
              <w:t xml:space="preserve"> (sniedz veselības aprūpi mājās)</w:t>
            </w:r>
            <w:r w:rsidR="00A06DC8" w:rsidRPr="004A00E0">
              <w:t xml:space="preserve">, </w:t>
            </w:r>
            <w:r w:rsidRPr="004A00E0">
              <w:t xml:space="preserve"> tiek noteiktas prasības ārstniecības iestādei, kura sniedz tikai veselības aprūpi mājās</w:t>
            </w:r>
            <w:r w:rsidR="00FC4F43" w:rsidRPr="004A00E0">
              <w:t xml:space="preserve">, vienlaikus nosakot, kurām </w:t>
            </w:r>
            <w:r w:rsidR="005E7F17" w:rsidRPr="004A00E0">
              <w:t xml:space="preserve">Noteikumu vispārīgo prasību ārstniecības iestādēm normām un normām, kuras nosaka vispārīgās prasības ambulatorām iestādēm jāatbilst </w:t>
            </w:r>
            <w:r w:rsidR="00FC4F43" w:rsidRPr="004A00E0">
              <w:t xml:space="preserve">minēto </w:t>
            </w:r>
            <w:r w:rsidR="000B1AFD" w:rsidRPr="004A00E0">
              <w:t xml:space="preserve">veselības aprūpes </w:t>
            </w:r>
            <w:r w:rsidR="00FC4F43" w:rsidRPr="004A00E0">
              <w:t>pakalpojumu sniedzējiem,</w:t>
            </w:r>
            <w:r w:rsidRPr="004A00E0">
              <w:t xml:space="preserve"> </w:t>
            </w:r>
            <w:r w:rsidR="00A06DC8" w:rsidRPr="004A00E0">
              <w:t>kā arī noteikts medicīnas māsa</w:t>
            </w:r>
            <w:r w:rsidR="00FC4F43" w:rsidRPr="004A00E0">
              <w:t>s</w:t>
            </w:r>
            <w:r w:rsidR="00A06DC8" w:rsidRPr="004A00E0">
              <w:t xml:space="preserve"> vai ārsta palīga</w:t>
            </w:r>
            <w:r w:rsidR="00FC4F43" w:rsidRPr="004A00E0">
              <w:t>, kurš sniedz veselības aprūpi mājās</w:t>
            </w:r>
            <w:r w:rsidR="005E7F17" w:rsidRPr="004A00E0">
              <w:t>,</w:t>
            </w:r>
            <w:r w:rsidR="00FC4F43" w:rsidRPr="004A00E0">
              <w:t xml:space="preserve"> </w:t>
            </w:r>
            <w:r w:rsidR="00A06DC8" w:rsidRPr="004A00E0">
              <w:t>somas satur</w:t>
            </w:r>
            <w:r w:rsidR="00FC4F43" w:rsidRPr="004A00E0">
              <w:t>s</w:t>
            </w:r>
            <w:r w:rsidR="001271DB" w:rsidRPr="004A00E0">
              <w:t>;</w:t>
            </w:r>
          </w:p>
          <w:p w:rsidR="005E7F17" w:rsidRPr="004A00E0" w:rsidRDefault="001271DB" w:rsidP="00234E66">
            <w:pPr>
              <w:ind w:right="140"/>
              <w:jc w:val="both"/>
            </w:pPr>
            <w:r w:rsidRPr="004A00E0">
              <w:t>5</w:t>
            </w:r>
            <w:r w:rsidR="002F6280" w:rsidRPr="004A00E0">
              <w:t>.</w:t>
            </w:r>
            <w:r w:rsidR="00A73A2F" w:rsidRPr="004A00E0">
              <w:t xml:space="preserve"> </w:t>
            </w:r>
            <w:r w:rsidR="00234E66" w:rsidRPr="004A00E0">
              <w:t>papildinot Noteikumus ar 5.6.6.</w:t>
            </w:r>
            <w:r w:rsidR="00234E66" w:rsidRPr="004A00E0">
              <w:rPr>
                <w:vertAlign w:val="superscript"/>
              </w:rPr>
              <w:t xml:space="preserve">1 </w:t>
            </w:r>
            <w:r w:rsidR="00234E66" w:rsidRPr="004A00E0">
              <w:t>apakšnodaļu</w:t>
            </w:r>
            <w:r w:rsidR="006D059A" w:rsidRPr="004A00E0">
              <w:t xml:space="preserve"> „Prasības perinatālās aprūpes centram”</w:t>
            </w:r>
            <w:r w:rsidR="00234E66" w:rsidRPr="004A00E0">
              <w:t xml:space="preserve">, tiek noteikts, ka Perinatālās aprūpes centrā ir </w:t>
            </w:r>
            <w:r w:rsidR="006D059A" w:rsidRPr="004A00E0">
              <w:t xml:space="preserve">jābūt </w:t>
            </w:r>
            <w:proofErr w:type="spellStart"/>
            <w:r w:rsidR="00234E66" w:rsidRPr="004A00E0">
              <w:t>prenatālās</w:t>
            </w:r>
            <w:proofErr w:type="spellEnd"/>
            <w:r w:rsidR="00234E66" w:rsidRPr="004A00E0">
              <w:t xml:space="preserve"> diagnostikas nodaļa</w:t>
            </w:r>
            <w:r w:rsidR="006D059A" w:rsidRPr="004A00E0">
              <w:t>i</w:t>
            </w:r>
            <w:r w:rsidR="00234E66" w:rsidRPr="004A00E0">
              <w:t>, dzemdību nodaļa</w:t>
            </w:r>
            <w:r w:rsidR="006D059A" w:rsidRPr="004A00E0">
              <w:t>i</w:t>
            </w:r>
            <w:r w:rsidR="00234E66" w:rsidRPr="004A00E0">
              <w:t xml:space="preserve"> un jaundzimušo intensīvās terapijas nodaļa</w:t>
            </w:r>
            <w:r w:rsidR="006D059A" w:rsidRPr="004A00E0">
              <w:t xml:space="preserve">i, </w:t>
            </w:r>
            <w:r w:rsidR="00234E66" w:rsidRPr="004A00E0">
              <w:t xml:space="preserve">kā arī </w:t>
            </w:r>
            <w:r w:rsidR="006D059A" w:rsidRPr="004A00E0">
              <w:t xml:space="preserve">noteiktas </w:t>
            </w:r>
            <w:r w:rsidR="00234E66" w:rsidRPr="004A00E0">
              <w:t xml:space="preserve">prasības </w:t>
            </w:r>
            <w:r w:rsidR="006D059A" w:rsidRPr="004A00E0">
              <w:t xml:space="preserve">kādiem speciālistiem jānodrošina veselības aprūpe šajās </w:t>
            </w:r>
            <w:r w:rsidR="00234E66" w:rsidRPr="004A00E0">
              <w:t>nodaļ</w:t>
            </w:r>
            <w:r w:rsidR="006D059A" w:rsidRPr="004A00E0">
              <w:t>ās,</w:t>
            </w:r>
            <w:r w:rsidR="00234E66" w:rsidRPr="004A00E0">
              <w:t xml:space="preserve"> </w:t>
            </w:r>
            <w:r w:rsidR="006D059A" w:rsidRPr="004A00E0">
              <w:t xml:space="preserve">tāpat noteiktas prasības </w:t>
            </w:r>
            <w:r w:rsidR="008549C2" w:rsidRPr="004A00E0">
              <w:t xml:space="preserve">šo nodaļu </w:t>
            </w:r>
            <w:r w:rsidR="00234E66" w:rsidRPr="004A00E0">
              <w:t xml:space="preserve">medicīniskajam aprīkojumam </w:t>
            </w:r>
            <w:r w:rsidR="006D059A" w:rsidRPr="004A00E0">
              <w:t xml:space="preserve">un </w:t>
            </w:r>
            <w:r w:rsidR="00234E66" w:rsidRPr="004A00E0">
              <w:t xml:space="preserve">telpām. </w:t>
            </w:r>
          </w:p>
          <w:p w:rsidR="00E401EB" w:rsidRPr="004A00E0" w:rsidRDefault="006D059A" w:rsidP="00234E66">
            <w:pPr>
              <w:ind w:right="140"/>
              <w:jc w:val="both"/>
            </w:pPr>
            <w:r w:rsidRPr="004A00E0">
              <w:t>Papildinot Noteikumus ar 186.punktu tiek noteikts</w:t>
            </w:r>
            <w:r w:rsidR="008549C2" w:rsidRPr="004A00E0">
              <w:t xml:space="preserve">, ka </w:t>
            </w:r>
            <w:r w:rsidR="008549C2" w:rsidRPr="004A00E0">
              <w:lastRenderedPageBreak/>
              <w:t>P</w:t>
            </w:r>
            <w:r w:rsidR="002F6280" w:rsidRPr="004A00E0">
              <w:t xml:space="preserve">erinatālās aprūpes centra </w:t>
            </w:r>
            <w:r w:rsidR="00C3555C" w:rsidRPr="004A00E0">
              <w:t xml:space="preserve">atsevišķu </w:t>
            </w:r>
            <w:r w:rsidR="000256D4" w:rsidRPr="004A00E0">
              <w:t>medicīnisko ierīču</w:t>
            </w:r>
            <w:r w:rsidR="002F6280" w:rsidRPr="004A00E0">
              <w:t xml:space="preserve"> iegād</w:t>
            </w:r>
            <w:r w:rsidRPr="004A00E0">
              <w:t>e ārstniecības iestādei jānodrošina</w:t>
            </w:r>
            <w:r w:rsidR="002F6280" w:rsidRPr="004A00E0">
              <w:t xml:space="preserve"> ar 201</w:t>
            </w:r>
            <w:r w:rsidR="000256D4" w:rsidRPr="004A00E0">
              <w:t>5</w:t>
            </w:r>
            <w:r w:rsidR="002F6280" w:rsidRPr="004A00E0">
              <w:t>.gada 1.janvāri</w:t>
            </w:r>
            <w:r w:rsidR="004970CD" w:rsidRPr="004A00E0">
              <w:t>;</w:t>
            </w:r>
          </w:p>
          <w:p w:rsidR="004970CD" w:rsidRDefault="001271DB" w:rsidP="004970CD">
            <w:pPr>
              <w:jc w:val="both"/>
              <w:rPr>
                <w:lang w:eastAsia="en-US"/>
              </w:rPr>
            </w:pPr>
            <w:r w:rsidRPr="004A00E0">
              <w:t>6</w:t>
            </w:r>
            <w:r w:rsidR="004970CD" w:rsidRPr="004A00E0">
              <w:t>.</w:t>
            </w:r>
            <w:r w:rsidR="00A73A2F" w:rsidRPr="004A00E0">
              <w:t xml:space="preserve"> </w:t>
            </w:r>
            <w:r w:rsidR="00234E66" w:rsidRPr="004A00E0">
              <w:t>papildinot Noteikumus ar 114.</w:t>
            </w:r>
            <w:r w:rsidR="00234E66" w:rsidRPr="004A00E0">
              <w:rPr>
                <w:vertAlign w:val="superscript"/>
              </w:rPr>
              <w:t>1</w:t>
            </w:r>
            <w:r w:rsidR="00234E66" w:rsidRPr="004A00E0">
              <w:t xml:space="preserve"> punktu, tiek noteiktas </w:t>
            </w:r>
            <w:r w:rsidR="004970CD" w:rsidRPr="004A00E0">
              <w:rPr>
                <w:lang w:eastAsia="en-US"/>
              </w:rPr>
              <w:t>prasības daudzprofilu slimnīcas plānveida uzņemšanas nodaļ</w:t>
            </w:r>
            <w:r w:rsidR="00234E66" w:rsidRPr="004A00E0">
              <w:rPr>
                <w:lang w:eastAsia="en-US"/>
              </w:rPr>
              <w:t>ai</w:t>
            </w:r>
            <w:r w:rsidRPr="004A00E0">
              <w:rPr>
                <w:lang w:eastAsia="en-US"/>
              </w:rPr>
              <w:t>, ja daudzprofilu slimnīcā ir izveidotas gan neatliekamās, gan plānveida pacientu uzņemšanas nodaļas</w:t>
            </w:r>
            <w:r w:rsidR="004970CD" w:rsidRPr="004A00E0">
              <w:rPr>
                <w:lang w:eastAsia="en-US"/>
              </w:rPr>
              <w:t>;</w:t>
            </w:r>
          </w:p>
          <w:p w:rsidR="00D075BC" w:rsidRPr="004A00E0" w:rsidRDefault="001271DB" w:rsidP="004970CD">
            <w:pPr>
              <w:jc w:val="both"/>
              <w:rPr>
                <w:lang w:eastAsia="en-US"/>
              </w:rPr>
            </w:pPr>
            <w:r w:rsidRPr="004A00E0">
              <w:rPr>
                <w:lang w:eastAsia="en-US"/>
              </w:rPr>
              <w:t>7</w:t>
            </w:r>
            <w:r w:rsidR="004970CD" w:rsidRPr="004A00E0">
              <w:rPr>
                <w:lang w:eastAsia="en-US"/>
              </w:rPr>
              <w:t>.</w:t>
            </w:r>
            <w:r w:rsidR="00D075BC" w:rsidRPr="004A00E0">
              <w:rPr>
                <w:lang w:eastAsia="en-US"/>
              </w:rPr>
              <w:t xml:space="preserve"> </w:t>
            </w:r>
            <w:r w:rsidR="005F1145" w:rsidRPr="004A00E0">
              <w:rPr>
                <w:lang w:eastAsia="en-US"/>
              </w:rPr>
              <w:t xml:space="preserve">izsakot 185.punktu jaunā redakcijā, tiek noteikta prasība </w:t>
            </w:r>
            <w:r w:rsidR="004970CD" w:rsidRPr="004A00E0">
              <w:rPr>
                <w:lang w:eastAsia="en-US"/>
              </w:rPr>
              <w:t>visām medicīnas laboratorijām, kuras veic no cilvēka iegūto materiālu izmeklējumus</w:t>
            </w:r>
            <w:r w:rsidR="00D075BC" w:rsidRPr="004A00E0">
              <w:rPr>
                <w:lang w:eastAsia="en-US"/>
              </w:rPr>
              <w:t xml:space="preserve">, līdz 2015.gada 31.decembrim </w:t>
            </w:r>
            <w:r w:rsidR="004970CD" w:rsidRPr="004A00E0">
              <w:rPr>
                <w:lang w:eastAsia="en-US"/>
              </w:rPr>
              <w:t>nodrošin</w:t>
            </w:r>
            <w:r w:rsidR="00D075BC" w:rsidRPr="004A00E0">
              <w:rPr>
                <w:lang w:eastAsia="en-US"/>
              </w:rPr>
              <w:t>āt</w:t>
            </w:r>
            <w:r w:rsidR="004970CD" w:rsidRPr="004A00E0">
              <w:rPr>
                <w:lang w:eastAsia="en-US"/>
              </w:rPr>
              <w:t xml:space="preserve"> akreditācij</w:t>
            </w:r>
            <w:r w:rsidR="00D075BC" w:rsidRPr="004A00E0">
              <w:rPr>
                <w:lang w:eastAsia="en-US"/>
              </w:rPr>
              <w:t>u</w:t>
            </w:r>
            <w:r w:rsidR="004970CD" w:rsidRPr="004A00E0">
              <w:rPr>
                <w:lang w:eastAsia="en-US"/>
              </w:rPr>
              <w:t xml:space="preserve"> atbilstoši standartā LVS EN ISO 15189</w:t>
            </w:r>
            <w:r w:rsidR="00A06DC8" w:rsidRPr="004A00E0">
              <w:rPr>
                <w:lang w:eastAsia="en-US"/>
              </w:rPr>
              <w:t>:2013</w:t>
            </w:r>
            <w:r w:rsidR="004970CD" w:rsidRPr="004A00E0">
              <w:rPr>
                <w:lang w:eastAsia="en-US"/>
              </w:rPr>
              <w:t xml:space="preserve"> „Medicīnas laboratorijas. Īpašās prasības attiecībā uz kvalitāti un kompetenci” noteiktām prasībām</w:t>
            </w:r>
            <w:r w:rsidR="00C04496" w:rsidRPr="004A00E0">
              <w:rPr>
                <w:lang w:eastAsia="en-US"/>
              </w:rPr>
              <w:t>;</w:t>
            </w:r>
          </w:p>
          <w:p w:rsidR="000F39C9" w:rsidRDefault="005F1145" w:rsidP="00DA4C3B">
            <w:pPr>
              <w:jc w:val="both"/>
            </w:pPr>
            <w:r w:rsidRPr="004A00E0">
              <w:rPr>
                <w:lang w:eastAsia="en-US"/>
              </w:rPr>
              <w:t>8</w:t>
            </w:r>
            <w:r w:rsidR="000F39C9" w:rsidRPr="004A00E0">
              <w:rPr>
                <w:lang w:eastAsia="en-US"/>
              </w:rPr>
              <w:t xml:space="preserve">. Noteikumu projektā iekļautais 187.punkts nosaka, </w:t>
            </w:r>
            <w:r w:rsidR="002B458F" w:rsidRPr="004A00E0">
              <w:rPr>
                <w:lang w:eastAsia="en-US"/>
              </w:rPr>
              <w:t xml:space="preserve">ka Noteikumu projekta 4.punktā iekļautā norma attiecas uz  </w:t>
            </w:r>
            <w:r w:rsidR="000F39C9" w:rsidRPr="004A00E0">
              <w:rPr>
                <w:lang w:eastAsia="en-US"/>
              </w:rPr>
              <w:t>ārstniecības iestād</w:t>
            </w:r>
            <w:r w:rsidR="002B458F" w:rsidRPr="004A00E0">
              <w:rPr>
                <w:lang w:eastAsia="en-US"/>
              </w:rPr>
              <w:t>ēm</w:t>
            </w:r>
            <w:r w:rsidR="000F39C9" w:rsidRPr="004A00E0">
              <w:rPr>
                <w:lang w:eastAsia="en-US"/>
              </w:rPr>
              <w:t>, kuras ir reģistrētas ārstniecības iestāžu reģi</w:t>
            </w:r>
            <w:r w:rsidR="009F60F5">
              <w:rPr>
                <w:lang w:eastAsia="en-US"/>
              </w:rPr>
              <w:t>strā līdz 2014.gada 1.janvārim. Ārstniecības iestādē</w:t>
            </w:r>
            <w:r w:rsidR="000F39C9" w:rsidRPr="004A00E0">
              <w:rPr>
                <w:lang w:eastAsia="en-US"/>
              </w:rPr>
              <w:t xml:space="preserve">s, kuras </w:t>
            </w:r>
            <w:r w:rsidR="00EA24C1" w:rsidRPr="004A00E0">
              <w:rPr>
                <w:lang w:eastAsia="en-US"/>
              </w:rPr>
              <w:t xml:space="preserve">ārstniecības iestāžu reģistrā </w:t>
            </w:r>
            <w:r w:rsidR="000F39C9" w:rsidRPr="004A00E0">
              <w:rPr>
                <w:lang w:eastAsia="en-US"/>
              </w:rPr>
              <w:t xml:space="preserve">tiks reģistrētas pēc 2014.gada 1.janvāra, vides pieejamība personām ar ierobežotām funkcionālajām spējām jānodrošina </w:t>
            </w:r>
            <w:r w:rsidR="00EA24C1" w:rsidRPr="004A00E0">
              <w:t>būvniecības jomu reglamentējošos normatīvajos aktos un Noteikumos noteikt</w:t>
            </w:r>
            <w:r w:rsidR="00A74847" w:rsidRPr="004A00E0">
              <w:t>o</w:t>
            </w:r>
            <w:r w:rsidR="00EA24C1" w:rsidRPr="004A00E0">
              <w:t xml:space="preserve"> prasīb</w:t>
            </w:r>
            <w:r w:rsidR="00A74847" w:rsidRPr="004A00E0">
              <w:t>u ievērošana</w:t>
            </w:r>
            <w:r w:rsidRPr="004A00E0">
              <w:t>;</w:t>
            </w:r>
          </w:p>
          <w:p w:rsidR="0048448D" w:rsidRDefault="005F4DEF" w:rsidP="0048448D">
            <w:pPr>
              <w:jc w:val="both"/>
            </w:pPr>
            <w:r>
              <w:t>9.</w:t>
            </w:r>
            <w:r w:rsidR="0048448D">
              <w:t xml:space="preserve"> svītrots Noteikumu 179. kurš nosaka, ka ā</w:t>
            </w:r>
            <w:r w:rsidR="0048448D" w:rsidRPr="0048448D">
              <w:t>rstniecības iestādes, kuras izveidotas pēc šo noteikumu spēkā stāšanās dienas, divu mēnešu laikā pēc izveidošanas paziņo ārstniecības iestāžu reģistram par attiecīgās ārstniecības iestādes atbilstību šajos noteikumos minētajām prasībām</w:t>
            </w:r>
            <w:r w:rsidR="0048448D">
              <w:t xml:space="preserve">, jo ārstniecības iestādes reģistrācijas iesniegumam  pievieno apliecinājumu par atbilstību  šajos noteikumos minētajām prasībām, norādot ārstniecības iestādes atbilstošās struktūrvienības adresi, nosaukumu un skaitu, un informāciju par  veselības  pakalpojumu un vides pieejamību ārstniecības iestādē.                                                                          </w:t>
            </w:r>
          </w:p>
          <w:p w:rsidR="0048448D" w:rsidRDefault="0048448D" w:rsidP="0048448D">
            <w:pPr>
              <w:jc w:val="both"/>
            </w:pPr>
            <w:r>
              <w:t xml:space="preserve">Ja vides pieejamība nodrošināta  ar  atkāpēm no Latvijas spēkā esošā būvnormatīvā „Publiskas ēkas un būves” noteiktajām  prasībām, ārstniecības iestāde sniedz informāciju, kādā  šādās ārstniecības iestādēs  nodrošina  iespēju personām ar ierobežotām funkcionālajām spējām saņemt veselības aprūpes pakalpojumus. </w:t>
            </w:r>
          </w:p>
          <w:p w:rsidR="005F4DEF" w:rsidRPr="004A00E0" w:rsidRDefault="0048448D" w:rsidP="0048448D">
            <w:pPr>
              <w:jc w:val="both"/>
            </w:pPr>
            <w:r>
              <w:t xml:space="preserve">Ārstniecības iestādes, kuras bija reģistrētas līdz šo noteikumu spēkā stāšanās dienai, līdz 2014.gada 1.jūlijam  sniedz  ārstniecības iestāžu reģistram informāciju par veselības pakalpojumu un vides pieejamību  ārstniecības iestādē.     </w:t>
            </w:r>
          </w:p>
          <w:p w:rsidR="00486836" w:rsidRPr="004A00E0" w:rsidRDefault="005F4DEF" w:rsidP="004970CD">
            <w:pPr>
              <w:jc w:val="both"/>
              <w:rPr>
                <w:lang w:eastAsia="en-US"/>
              </w:rPr>
            </w:pPr>
            <w:r>
              <w:t>10</w:t>
            </w:r>
            <w:r w:rsidR="005F1145" w:rsidRPr="00334768">
              <w:t>.</w:t>
            </w:r>
            <w:r w:rsidR="005F1145" w:rsidRPr="00334768">
              <w:rPr>
                <w:lang w:eastAsia="en-US"/>
              </w:rPr>
              <w:t xml:space="preserve"> Noteikumu projektā iekļautais 188.punkts paredz, ka Ārstniecības iestādes, kas ir reģistrētas Ārstniecības iestāžu reģistrā līdz 2014.gada 1.janvārim, </w:t>
            </w:r>
            <w:r w:rsidR="00887216" w:rsidRPr="00334768">
              <w:rPr>
                <w:lang w:eastAsia="en-US"/>
              </w:rPr>
              <w:t xml:space="preserve">informāciju </w:t>
            </w:r>
            <w:r w:rsidR="005F1145" w:rsidRPr="00334768">
              <w:rPr>
                <w:lang w:eastAsia="en-US"/>
              </w:rPr>
              <w:t>attiecībā uz vides pieejamību iesniedz</w:t>
            </w:r>
            <w:r w:rsidR="005F1145" w:rsidRPr="004A00E0">
              <w:rPr>
                <w:lang w:eastAsia="en-US"/>
              </w:rPr>
              <w:t xml:space="preserve"> Ārstniecības iestāžu reģistrā līdz 2014.gada 1.jūlijam</w:t>
            </w:r>
            <w:r w:rsidR="002B458F" w:rsidRPr="004A00E0">
              <w:rPr>
                <w:lang w:eastAsia="en-US"/>
              </w:rPr>
              <w:t>, kā arī</w:t>
            </w:r>
            <w:r w:rsidR="003F2BF2" w:rsidRPr="004A00E0">
              <w:rPr>
                <w:lang w:eastAsia="en-US"/>
              </w:rPr>
              <w:t xml:space="preserve"> </w:t>
            </w:r>
            <w:r w:rsidR="003F2BF2" w:rsidRPr="004A00E0">
              <w:t>snie</w:t>
            </w:r>
            <w:r>
              <w:t>dz</w:t>
            </w:r>
            <w:r w:rsidR="003F2BF2" w:rsidRPr="004A00E0">
              <w:t xml:space="preserve"> informāciju par iemesliem, kāpēc vides pieejamība nav nodrošināta,</w:t>
            </w:r>
            <w:r w:rsidR="009F60F5">
              <w:t xml:space="preserve"> kā vides pieejamību ir plānots nodrošināt,</w:t>
            </w:r>
            <w:r w:rsidR="003F2BF2" w:rsidRPr="004A00E0">
              <w:t xml:space="preserve"> norādot </w:t>
            </w:r>
            <w:r w:rsidR="00887216">
              <w:t>arī</w:t>
            </w:r>
            <w:r w:rsidR="003F2BF2" w:rsidRPr="004A00E0">
              <w:t>, kā tiek nodrošināta iespēja personām ar funkcionāliem traucējumiem saņemt veselības aprūpes pakalpojumus un termiņu, kādā vides pieejamību ir plānots nodrošināt;</w:t>
            </w:r>
          </w:p>
          <w:p w:rsidR="00A175CC" w:rsidRPr="004A00E0" w:rsidRDefault="005F1145" w:rsidP="004970CD">
            <w:pPr>
              <w:jc w:val="both"/>
              <w:rPr>
                <w:lang w:eastAsia="en-US"/>
              </w:rPr>
            </w:pPr>
            <w:r w:rsidRPr="004A00E0">
              <w:rPr>
                <w:lang w:eastAsia="en-US"/>
              </w:rPr>
              <w:lastRenderedPageBreak/>
              <w:t>1</w:t>
            </w:r>
            <w:r w:rsidR="005F4DEF">
              <w:rPr>
                <w:lang w:eastAsia="en-US"/>
              </w:rPr>
              <w:t>1</w:t>
            </w:r>
            <w:r w:rsidRPr="004A00E0">
              <w:rPr>
                <w:lang w:eastAsia="en-US"/>
              </w:rPr>
              <w:t xml:space="preserve">. </w:t>
            </w:r>
            <w:r w:rsidR="00A175CC" w:rsidRPr="004A00E0">
              <w:rPr>
                <w:lang w:eastAsia="en-US"/>
              </w:rPr>
              <w:t>vienlaikus noteikumu projektā ir iekļaut</w:t>
            </w:r>
            <w:r w:rsidR="004C087D" w:rsidRPr="004A00E0">
              <w:rPr>
                <w:lang w:eastAsia="en-US"/>
              </w:rPr>
              <w:t>i</w:t>
            </w:r>
            <w:r w:rsidR="00A175CC" w:rsidRPr="004A00E0">
              <w:rPr>
                <w:lang w:eastAsia="en-US"/>
              </w:rPr>
              <w:t xml:space="preserve"> </w:t>
            </w:r>
            <w:r w:rsidR="004C087D" w:rsidRPr="004A00E0">
              <w:rPr>
                <w:lang w:eastAsia="en-US"/>
              </w:rPr>
              <w:t>tehniskie grozījumi</w:t>
            </w:r>
            <w:r w:rsidR="00A175CC" w:rsidRPr="004A00E0">
              <w:rPr>
                <w:lang w:eastAsia="en-US"/>
              </w:rPr>
              <w:t>:</w:t>
            </w:r>
          </w:p>
          <w:p w:rsidR="00A175CC" w:rsidRPr="004A00E0" w:rsidRDefault="00A175CC" w:rsidP="004970CD">
            <w:pPr>
              <w:jc w:val="both"/>
              <w:rPr>
                <w:lang w:eastAsia="en-US"/>
              </w:rPr>
            </w:pPr>
            <w:r w:rsidRPr="004A00E0">
              <w:rPr>
                <w:lang w:eastAsia="en-US"/>
              </w:rPr>
              <w:t>1</w:t>
            </w:r>
            <w:r w:rsidR="005F4DEF">
              <w:rPr>
                <w:lang w:eastAsia="en-US"/>
              </w:rPr>
              <w:t>1</w:t>
            </w:r>
            <w:r w:rsidRPr="004A00E0">
              <w:rPr>
                <w:lang w:eastAsia="en-US"/>
              </w:rPr>
              <w:t>.1.</w:t>
            </w:r>
            <w:r w:rsidRPr="004A00E0">
              <w:t xml:space="preserve"> </w:t>
            </w:r>
            <w:r w:rsidR="004C087D" w:rsidRPr="004A00E0">
              <w:t>lai nodrošinātu vienādu terminoloģiju ar sociālās jomas normatīvajos aktos lietoto terminu N</w:t>
            </w:r>
            <w:r w:rsidRPr="004A00E0">
              <w:rPr>
                <w:lang w:eastAsia="en-US"/>
              </w:rPr>
              <w:t>oteikumu tekstā tiek aizstāti vārdi „ar ierobežotām funkcionālām spējām” ar vārdiem „ar funkcionāliem  traucējumiem”;</w:t>
            </w:r>
          </w:p>
          <w:p w:rsidR="00A175CC" w:rsidRPr="004A00E0" w:rsidRDefault="00A175CC" w:rsidP="004970CD">
            <w:pPr>
              <w:jc w:val="both"/>
              <w:rPr>
                <w:lang w:eastAsia="en-US"/>
              </w:rPr>
            </w:pPr>
            <w:r w:rsidRPr="004A00E0">
              <w:rPr>
                <w:lang w:eastAsia="en-US"/>
              </w:rPr>
              <w:t xml:space="preserve"> </w:t>
            </w:r>
            <w:r w:rsidR="004C087D" w:rsidRPr="004A00E0">
              <w:rPr>
                <w:lang w:eastAsia="en-US"/>
              </w:rPr>
              <w:t>1</w:t>
            </w:r>
            <w:r w:rsidR="005F4DEF">
              <w:rPr>
                <w:lang w:eastAsia="en-US"/>
              </w:rPr>
              <w:t>1</w:t>
            </w:r>
            <w:r w:rsidR="004C087D" w:rsidRPr="004A00E0">
              <w:rPr>
                <w:lang w:eastAsia="en-US"/>
              </w:rPr>
              <w:t xml:space="preserve">.2. </w:t>
            </w:r>
            <w:r w:rsidR="005F56E7" w:rsidRPr="004A00E0">
              <w:rPr>
                <w:lang w:eastAsia="en-US"/>
              </w:rPr>
              <w:t>atbilstoši Ministru kabineta 2009. gada 3. februāra noteikumu Nr. 108 „Normatīvo aktu projektu</w:t>
            </w:r>
            <w:r w:rsidR="002D4D71">
              <w:rPr>
                <w:lang w:eastAsia="en-US"/>
              </w:rPr>
              <w:t xml:space="preserve"> sagatavošanas noteikumi” 174.p</w:t>
            </w:r>
            <w:r w:rsidR="005F56E7" w:rsidRPr="004A00E0">
              <w:rPr>
                <w:lang w:eastAsia="en-US"/>
              </w:rPr>
              <w:t xml:space="preserve">unktam, </w:t>
            </w:r>
            <w:r w:rsidR="004C087D" w:rsidRPr="004A00E0">
              <w:rPr>
                <w:lang w:eastAsia="en-US"/>
              </w:rPr>
              <w:t>nodrošinot Noteikumos norādi uz Latvijas nacionālā standarta statusā adaptētiem starptautiskajiem un reģionālajiem standartiem, tiek veikti grozījumi Noteikumu 63.</w:t>
            </w:r>
            <w:r w:rsidR="004C087D" w:rsidRPr="004A00E0">
              <w:rPr>
                <w:vertAlign w:val="superscript"/>
                <w:lang w:eastAsia="en-US"/>
              </w:rPr>
              <w:t>35</w:t>
            </w:r>
            <w:r w:rsidR="004C087D" w:rsidRPr="004A00E0">
              <w:rPr>
                <w:lang w:eastAsia="en-US"/>
              </w:rPr>
              <w:t xml:space="preserve"> punktā un 110.1.apakšpunktā</w:t>
            </w:r>
            <w:r w:rsidR="005F56E7" w:rsidRPr="004A00E0">
              <w:rPr>
                <w:lang w:eastAsia="en-US"/>
              </w:rPr>
              <w:t>, atsaucoties uz standartu LVS EN ISO 15189:2013 „Medicīnas laboratorijas. Īpašās prasības uz kvalitāti un kompetenci”, saskaņā ar kuru ārstniecības iestādei jāveic medicīnas laboratorijas akreditāciju.</w:t>
            </w:r>
          </w:p>
          <w:p w:rsidR="00E753E1" w:rsidRPr="004A00E0" w:rsidRDefault="00E753E1" w:rsidP="004970CD">
            <w:pPr>
              <w:jc w:val="both"/>
              <w:rPr>
                <w:lang w:eastAsia="en-US"/>
              </w:rPr>
            </w:pPr>
          </w:p>
          <w:p w:rsidR="00936ADF" w:rsidRDefault="00936ADF" w:rsidP="001271DB">
            <w:pPr>
              <w:ind w:right="34"/>
              <w:jc w:val="both"/>
              <w:rPr>
                <w:bCs/>
              </w:rPr>
            </w:pPr>
            <w:r w:rsidRPr="004A00E0">
              <w:rPr>
                <w:bCs/>
              </w:rPr>
              <w:t>Ar minēt</w:t>
            </w:r>
            <w:r w:rsidR="002F6280" w:rsidRPr="004A00E0">
              <w:rPr>
                <w:bCs/>
              </w:rPr>
              <w:t>iem</w:t>
            </w:r>
            <w:r w:rsidRPr="004A00E0">
              <w:rPr>
                <w:bCs/>
              </w:rPr>
              <w:t xml:space="preserve"> grozījum</w:t>
            </w:r>
            <w:r w:rsidR="002F6280" w:rsidRPr="004A00E0">
              <w:rPr>
                <w:bCs/>
              </w:rPr>
              <w:t>iem</w:t>
            </w:r>
            <w:r w:rsidRPr="004A00E0">
              <w:rPr>
                <w:bCs/>
              </w:rPr>
              <w:t xml:space="preserve"> tiks atrisināta anotācijas I sadaļas 2.punktā minētā problēma</w:t>
            </w:r>
            <w:r w:rsidR="00C24D07" w:rsidRPr="004A00E0">
              <w:rPr>
                <w:bCs/>
              </w:rPr>
              <w:t>s</w:t>
            </w:r>
            <w:r w:rsidRPr="004A00E0">
              <w:rPr>
                <w:bCs/>
              </w:rPr>
              <w:t>.</w:t>
            </w:r>
          </w:p>
          <w:p w:rsidR="0022460C" w:rsidRPr="004A00E0" w:rsidRDefault="0022460C" w:rsidP="001271DB">
            <w:pPr>
              <w:ind w:right="34"/>
              <w:jc w:val="both"/>
              <w:rPr>
                <w:bCs/>
              </w:rPr>
            </w:pPr>
          </w:p>
        </w:tc>
      </w:tr>
      <w:tr w:rsidR="00027E0A" w:rsidRPr="004A00E0" w:rsidTr="008D2BD9">
        <w:tc>
          <w:tcPr>
            <w:tcW w:w="468" w:type="dxa"/>
          </w:tcPr>
          <w:p w:rsidR="00027E0A" w:rsidRPr="004A00E0" w:rsidRDefault="00027E0A" w:rsidP="009D03E6">
            <w:pPr>
              <w:rPr>
                <w:lang w:eastAsia="en-US"/>
              </w:rPr>
            </w:pPr>
            <w:r w:rsidRPr="004A00E0">
              <w:rPr>
                <w:lang w:eastAsia="en-US"/>
              </w:rPr>
              <w:lastRenderedPageBreak/>
              <w:t>5.</w:t>
            </w:r>
          </w:p>
        </w:tc>
        <w:tc>
          <w:tcPr>
            <w:tcW w:w="2340" w:type="dxa"/>
          </w:tcPr>
          <w:p w:rsidR="00027E0A" w:rsidRPr="004A00E0" w:rsidRDefault="00027E0A" w:rsidP="009D03E6">
            <w:pPr>
              <w:rPr>
                <w:lang w:eastAsia="en-US"/>
              </w:rPr>
            </w:pPr>
            <w:r w:rsidRPr="004A00E0">
              <w:rPr>
                <w:lang w:eastAsia="en-US"/>
              </w:rPr>
              <w:t>Projekta izstrādē iesaistītās institūcijas</w:t>
            </w:r>
          </w:p>
        </w:tc>
        <w:tc>
          <w:tcPr>
            <w:tcW w:w="6656" w:type="dxa"/>
          </w:tcPr>
          <w:p w:rsidR="00027E0A" w:rsidRDefault="00242E57" w:rsidP="003E2999">
            <w:pPr>
              <w:jc w:val="both"/>
            </w:pPr>
            <w:r w:rsidRPr="004A00E0">
              <w:rPr>
                <w:lang w:eastAsia="en-US"/>
              </w:rPr>
              <w:t>Projekta izstrādes procesā notika</w:t>
            </w:r>
            <w:r w:rsidR="003E2999" w:rsidRPr="004A00E0">
              <w:rPr>
                <w:lang w:eastAsia="en-US"/>
              </w:rPr>
              <w:t xml:space="preserve"> </w:t>
            </w:r>
            <w:r w:rsidRPr="004A00E0">
              <w:rPr>
                <w:lang w:eastAsia="en-US"/>
              </w:rPr>
              <w:t>konsultācijas ar pārstāvjiem no</w:t>
            </w:r>
            <w:r w:rsidRPr="004A00E0">
              <w:t xml:space="preserve"> Labklājības ministrijas, </w:t>
            </w:r>
            <w:r w:rsidR="004D4DBA" w:rsidRPr="004A00E0">
              <w:t>Nacionālā veselības dienesta</w:t>
            </w:r>
            <w:r w:rsidRPr="004A00E0">
              <w:t xml:space="preserve">, </w:t>
            </w:r>
            <w:r w:rsidR="004D4DBA" w:rsidRPr="004A00E0">
              <w:t>Veselības inspekcija</w:t>
            </w:r>
            <w:r w:rsidR="00C730AD" w:rsidRPr="004A00E0">
              <w:t>s</w:t>
            </w:r>
            <w:r w:rsidRPr="004A00E0">
              <w:t>, Veselības ministrijas</w:t>
            </w:r>
            <w:r w:rsidR="00B03452" w:rsidRPr="004A00E0">
              <w:t xml:space="preserve"> </w:t>
            </w:r>
            <w:r w:rsidRPr="004A00E0">
              <w:t>Galveno speciālistu ginekoloģijā, dzemdību speciālistu</w:t>
            </w:r>
            <w:r w:rsidR="004D4DBA" w:rsidRPr="004A00E0">
              <w:t xml:space="preserve">, </w:t>
            </w:r>
            <w:proofErr w:type="spellStart"/>
            <w:r w:rsidR="004D4DBA" w:rsidRPr="004A00E0">
              <w:t>Neonatologu</w:t>
            </w:r>
            <w:proofErr w:type="spellEnd"/>
            <w:r w:rsidR="004D4DBA" w:rsidRPr="004A00E0">
              <w:t xml:space="preserve"> asociācijas un Ginekologu dzemdību speciālistu</w:t>
            </w:r>
            <w:r w:rsidR="00A73A2F" w:rsidRPr="004A00E0">
              <w:t xml:space="preserve"> asociācijas. </w:t>
            </w:r>
          </w:p>
          <w:p w:rsidR="00334768" w:rsidRDefault="00334768" w:rsidP="003E2999">
            <w:pPr>
              <w:jc w:val="both"/>
            </w:pPr>
            <w:r>
              <w:t xml:space="preserve">Projektu izstrādātajā redakcijā attiecībā uz vides pieejamību </w:t>
            </w:r>
            <w:r w:rsidRPr="005761D9">
              <w:t>personām ar funkcionāliem  traucējumiem</w:t>
            </w:r>
            <w:r>
              <w:t xml:space="preserve"> neatbalsta Labklājības ministrija.</w:t>
            </w:r>
          </w:p>
          <w:p w:rsidR="0022460C" w:rsidRPr="004A00E0" w:rsidRDefault="0022460C" w:rsidP="003E2999">
            <w:pPr>
              <w:jc w:val="both"/>
              <w:rPr>
                <w:highlight w:val="yellow"/>
                <w:lang w:eastAsia="en-US"/>
              </w:rPr>
            </w:pPr>
          </w:p>
        </w:tc>
      </w:tr>
      <w:tr w:rsidR="00027E0A" w:rsidRPr="004A00E0" w:rsidTr="008D2BD9">
        <w:tc>
          <w:tcPr>
            <w:tcW w:w="468" w:type="dxa"/>
          </w:tcPr>
          <w:p w:rsidR="00027E0A" w:rsidRPr="004A00E0" w:rsidRDefault="00027E0A" w:rsidP="009D03E6">
            <w:pPr>
              <w:rPr>
                <w:lang w:eastAsia="en-US"/>
              </w:rPr>
            </w:pPr>
            <w:r w:rsidRPr="004A00E0">
              <w:rPr>
                <w:lang w:eastAsia="en-US"/>
              </w:rPr>
              <w:t>6.</w:t>
            </w:r>
          </w:p>
        </w:tc>
        <w:tc>
          <w:tcPr>
            <w:tcW w:w="2340" w:type="dxa"/>
          </w:tcPr>
          <w:p w:rsidR="00027E0A" w:rsidRPr="004A00E0" w:rsidRDefault="00027E0A" w:rsidP="009D03E6">
            <w:pPr>
              <w:rPr>
                <w:lang w:eastAsia="en-US"/>
              </w:rPr>
            </w:pPr>
            <w:r w:rsidRPr="004A00E0">
              <w:rPr>
                <w:lang w:eastAsia="en-US"/>
              </w:rPr>
              <w:t>Iemesli, kādēļ netika nodrošināta sabiedrības līdzdalība</w:t>
            </w:r>
          </w:p>
        </w:tc>
        <w:tc>
          <w:tcPr>
            <w:tcW w:w="6656" w:type="dxa"/>
          </w:tcPr>
          <w:p w:rsidR="009C7045" w:rsidRDefault="00334768" w:rsidP="00C24D07">
            <w:r>
              <w:t xml:space="preserve">Projektu izstrādātajā redakcijā attiecībā uz vides pieejamību </w:t>
            </w:r>
            <w:r w:rsidRPr="005761D9">
              <w:t>personām ar funkcionāliem  traucējumiem</w:t>
            </w:r>
            <w:r>
              <w:t xml:space="preserve"> neatbalsta Labklājības ministrija.</w:t>
            </w:r>
          </w:p>
          <w:p w:rsidR="0022460C" w:rsidRPr="004A00E0" w:rsidRDefault="0022460C" w:rsidP="00C24D07">
            <w:pPr>
              <w:rPr>
                <w:lang w:eastAsia="en-US"/>
              </w:rPr>
            </w:pPr>
          </w:p>
        </w:tc>
      </w:tr>
      <w:tr w:rsidR="00027E0A" w:rsidRPr="004A00E0" w:rsidTr="008D2BD9">
        <w:tc>
          <w:tcPr>
            <w:tcW w:w="468" w:type="dxa"/>
          </w:tcPr>
          <w:p w:rsidR="00027E0A" w:rsidRPr="004A00E0" w:rsidRDefault="00027E0A" w:rsidP="009D03E6">
            <w:pPr>
              <w:rPr>
                <w:lang w:eastAsia="en-US"/>
              </w:rPr>
            </w:pPr>
            <w:r w:rsidRPr="004A00E0">
              <w:rPr>
                <w:lang w:eastAsia="en-US"/>
              </w:rPr>
              <w:t>7.</w:t>
            </w:r>
          </w:p>
        </w:tc>
        <w:tc>
          <w:tcPr>
            <w:tcW w:w="2340" w:type="dxa"/>
          </w:tcPr>
          <w:p w:rsidR="00027E0A" w:rsidRPr="004A00E0" w:rsidRDefault="00027E0A" w:rsidP="009D03E6">
            <w:pPr>
              <w:rPr>
                <w:lang w:eastAsia="en-US"/>
              </w:rPr>
            </w:pPr>
            <w:r w:rsidRPr="004A00E0">
              <w:rPr>
                <w:lang w:eastAsia="en-US"/>
              </w:rPr>
              <w:t>Cita informācija</w:t>
            </w:r>
          </w:p>
        </w:tc>
        <w:tc>
          <w:tcPr>
            <w:tcW w:w="6656" w:type="dxa"/>
          </w:tcPr>
          <w:p w:rsidR="00027E0A" w:rsidRPr="004A00E0" w:rsidRDefault="00027E0A" w:rsidP="009D03E6">
            <w:pPr>
              <w:rPr>
                <w:lang w:eastAsia="en-US"/>
              </w:rPr>
            </w:pPr>
            <w:r w:rsidRPr="004A00E0">
              <w:rPr>
                <w:lang w:eastAsia="en-US"/>
              </w:rPr>
              <w:t>Nav</w:t>
            </w:r>
          </w:p>
        </w:tc>
      </w:tr>
    </w:tbl>
    <w:p w:rsidR="000A0AF4" w:rsidRPr="004A00E0" w:rsidRDefault="000A0AF4" w:rsidP="009D03E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34"/>
        <w:gridCol w:w="6662"/>
      </w:tblGrid>
      <w:tr w:rsidR="00AD78C9" w:rsidRPr="004A00E0" w:rsidTr="008D2BD9">
        <w:tc>
          <w:tcPr>
            <w:tcW w:w="9464" w:type="dxa"/>
            <w:gridSpan w:val="3"/>
          </w:tcPr>
          <w:p w:rsidR="00AD78C9" w:rsidRPr="004A00E0" w:rsidRDefault="00AD78C9" w:rsidP="00772A15">
            <w:pPr>
              <w:jc w:val="center"/>
            </w:pPr>
            <w:r w:rsidRPr="004A00E0">
              <w:rPr>
                <w:b/>
                <w:bCs/>
                <w:lang w:val="fi-FI" w:eastAsia="en-US"/>
              </w:rPr>
              <w:t>II. Tiesību akta projekta ietekme uz sabiedrību</w:t>
            </w:r>
          </w:p>
        </w:tc>
      </w:tr>
      <w:tr w:rsidR="00AD78C9" w:rsidRPr="004A00E0" w:rsidTr="008D2BD9">
        <w:tc>
          <w:tcPr>
            <w:tcW w:w="468" w:type="dxa"/>
          </w:tcPr>
          <w:p w:rsidR="00AD78C9" w:rsidRPr="004A00E0" w:rsidRDefault="00AD78C9" w:rsidP="009D03E6">
            <w:pPr>
              <w:rPr>
                <w:lang w:eastAsia="en-US"/>
              </w:rPr>
            </w:pPr>
            <w:r w:rsidRPr="004A00E0">
              <w:rPr>
                <w:lang w:eastAsia="en-US"/>
              </w:rPr>
              <w:t>1.</w:t>
            </w:r>
          </w:p>
        </w:tc>
        <w:tc>
          <w:tcPr>
            <w:tcW w:w="2334" w:type="dxa"/>
          </w:tcPr>
          <w:p w:rsidR="00AD78C9" w:rsidRPr="004A00E0" w:rsidRDefault="00AD78C9" w:rsidP="009D03E6">
            <w:pPr>
              <w:rPr>
                <w:lang w:eastAsia="en-US"/>
              </w:rPr>
            </w:pPr>
            <w:r w:rsidRPr="004A00E0">
              <w:rPr>
                <w:lang w:eastAsia="en-US"/>
              </w:rPr>
              <w:t>Sabiedrības mērķgrupa</w:t>
            </w:r>
          </w:p>
        </w:tc>
        <w:tc>
          <w:tcPr>
            <w:tcW w:w="6662" w:type="dxa"/>
          </w:tcPr>
          <w:p w:rsidR="00334768" w:rsidRPr="004A00E0" w:rsidRDefault="00334768" w:rsidP="00334768">
            <w:pPr>
              <w:jc w:val="both"/>
              <w:rPr>
                <w:lang w:eastAsia="en-US"/>
              </w:rPr>
            </w:pPr>
            <w:r w:rsidRPr="004A00E0">
              <w:rPr>
                <w:lang w:eastAsia="en-US"/>
              </w:rPr>
              <w:t>Veselības aprūpes pakalpojumu iespējamais saņēmēju skaits uz 2013.gada 1.jūniju – 2,0 milj., t.sk. 21803 personas ar kustību traucējumiem (Veselības un darbspēju ekspertīzes ārstu valsts</w:t>
            </w:r>
          </w:p>
          <w:p w:rsidR="00305C3B" w:rsidRDefault="00334768" w:rsidP="00334768">
            <w:pPr>
              <w:jc w:val="both"/>
              <w:rPr>
                <w:lang w:eastAsia="en-US"/>
              </w:rPr>
            </w:pPr>
            <w:r w:rsidRPr="004A00E0">
              <w:rPr>
                <w:lang w:eastAsia="en-US"/>
              </w:rPr>
              <w:t>komisijas dati uz 2013.gada 1.maiju).</w:t>
            </w:r>
          </w:p>
          <w:p w:rsidR="0022460C" w:rsidRPr="004A00E0" w:rsidRDefault="0022460C" w:rsidP="00334768">
            <w:pPr>
              <w:jc w:val="both"/>
              <w:rPr>
                <w:lang w:eastAsia="en-US"/>
              </w:rPr>
            </w:pPr>
          </w:p>
        </w:tc>
      </w:tr>
      <w:tr w:rsidR="00AD78C9" w:rsidRPr="004A00E0" w:rsidTr="008D2BD9">
        <w:tc>
          <w:tcPr>
            <w:tcW w:w="468" w:type="dxa"/>
          </w:tcPr>
          <w:p w:rsidR="00AD78C9" w:rsidRPr="004A00E0" w:rsidRDefault="00AD78C9" w:rsidP="009D03E6">
            <w:pPr>
              <w:rPr>
                <w:lang w:eastAsia="en-US"/>
              </w:rPr>
            </w:pPr>
            <w:r w:rsidRPr="004A00E0">
              <w:rPr>
                <w:lang w:eastAsia="en-US"/>
              </w:rPr>
              <w:t>2.</w:t>
            </w:r>
          </w:p>
        </w:tc>
        <w:tc>
          <w:tcPr>
            <w:tcW w:w="2334" w:type="dxa"/>
          </w:tcPr>
          <w:p w:rsidR="00AD78C9" w:rsidRPr="004A00E0" w:rsidRDefault="00AD78C9" w:rsidP="009D03E6">
            <w:pPr>
              <w:rPr>
                <w:lang w:eastAsia="en-US"/>
              </w:rPr>
            </w:pPr>
            <w:r w:rsidRPr="004A00E0">
              <w:rPr>
                <w:lang w:eastAsia="en-US"/>
              </w:rPr>
              <w:t>Citas sabiedrības grupas (bez mērķgrupas), kuras tiesiskais regulējums arī ietekmē vai varētu ietekmēt</w:t>
            </w:r>
          </w:p>
        </w:tc>
        <w:tc>
          <w:tcPr>
            <w:tcW w:w="6662" w:type="dxa"/>
          </w:tcPr>
          <w:p w:rsidR="0050715A" w:rsidRPr="004A00E0" w:rsidRDefault="00334768" w:rsidP="00334768">
            <w:pPr>
              <w:jc w:val="both"/>
              <w:rPr>
                <w:lang w:eastAsia="en-US"/>
              </w:rPr>
            </w:pPr>
            <w:r w:rsidRPr="004A00E0">
              <w:t xml:space="preserve"> Ārstniecības iestādes, kā arī ārstniecības iestādes, kuras sniedz veselības aprūpi mājās un perinatālās aprūpes centros,</w:t>
            </w:r>
            <w:r w:rsidRPr="004A00E0">
              <w:rPr>
                <w:lang w:eastAsia="en-US"/>
              </w:rPr>
              <w:t xml:space="preserve"> daudzprofilu slimnīcas uzņemšanas nodaļas, ārstniecības iestāžu laboratorijas,</w:t>
            </w:r>
            <w:r w:rsidRPr="004A00E0">
              <w:t xml:space="preserve"> kā arī ilgstošas sociālās aprūpes un sociālās rehabilitācijas institūcijas.</w:t>
            </w:r>
          </w:p>
        </w:tc>
      </w:tr>
      <w:tr w:rsidR="00AD78C9" w:rsidRPr="004A00E0" w:rsidTr="008D2BD9">
        <w:tc>
          <w:tcPr>
            <w:tcW w:w="468" w:type="dxa"/>
          </w:tcPr>
          <w:p w:rsidR="00AD78C9" w:rsidRPr="004A00E0" w:rsidRDefault="00AD78C9" w:rsidP="009D03E6">
            <w:pPr>
              <w:rPr>
                <w:lang w:eastAsia="en-US"/>
              </w:rPr>
            </w:pPr>
            <w:r w:rsidRPr="004A00E0">
              <w:rPr>
                <w:lang w:eastAsia="en-US"/>
              </w:rPr>
              <w:t>3.</w:t>
            </w:r>
          </w:p>
        </w:tc>
        <w:tc>
          <w:tcPr>
            <w:tcW w:w="2334" w:type="dxa"/>
          </w:tcPr>
          <w:p w:rsidR="00AD78C9" w:rsidRPr="004A00E0" w:rsidRDefault="00AD78C9" w:rsidP="009D03E6">
            <w:pPr>
              <w:rPr>
                <w:lang w:eastAsia="en-US"/>
              </w:rPr>
            </w:pPr>
            <w:r w:rsidRPr="004A00E0">
              <w:rPr>
                <w:lang w:eastAsia="en-US"/>
              </w:rPr>
              <w:t>Tiesiskā regulējuma finansiālā ietekme</w:t>
            </w:r>
          </w:p>
        </w:tc>
        <w:tc>
          <w:tcPr>
            <w:tcW w:w="6662" w:type="dxa"/>
          </w:tcPr>
          <w:p w:rsidR="0050715A" w:rsidRDefault="00EF2338" w:rsidP="00C3555C">
            <w:pPr>
              <w:jc w:val="both"/>
              <w:rPr>
                <w:lang w:eastAsia="en-US"/>
              </w:rPr>
            </w:pPr>
            <w:r w:rsidRPr="004A00E0">
              <w:rPr>
                <w:lang w:eastAsia="en-US"/>
              </w:rPr>
              <w:t xml:space="preserve">Noteikumu projektā iekļautās normas veselības aprūpes pakalpojumu sniedzēji nodrošinās savu budžetu </w:t>
            </w:r>
            <w:r w:rsidR="0055376E" w:rsidRPr="004A00E0">
              <w:rPr>
                <w:lang w:eastAsia="en-US"/>
              </w:rPr>
              <w:t xml:space="preserve">ietvaros, jo ārstniecības iestāde </w:t>
            </w:r>
            <w:r w:rsidR="008D2BD9" w:rsidRPr="004A00E0">
              <w:rPr>
                <w:lang w:eastAsia="en-US"/>
              </w:rPr>
              <w:t xml:space="preserve">nedrīkst </w:t>
            </w:r>
            <w:r w:rsidR="0055376E" w:rsidRPr="004A00E0">
              <w:rPr>
                <w:lang w:eastAsia="en-US"/>
              </w:rPr>
              <w:t>sniegt iedzīvotājiem veselības aprūpes pakalpojumus, ja nenodrošina Noteikumos noteiktās obligātās prasības</w:t>
            </w:r>
            <w:r w:rsidR="008D2BD9" w:rsidRPr="004A00E0">
              <w:rPr>
                <w:lang w:eastAsia="en-US"/>
              </w:rPr>
              <w:t xml:space="preserve"> ārstniecības iestādēm un to struktūrvienībām</w:t>
            </w:r>
            <w:r w:rsidR="00C3555C" w:rsidRPr="004A00E0">
              <w:rPr>
                <w:lang w:eastAsia="en-US"/>
              </w:rPr>
              <w:t xml:space="preserve">, kuru </w:t>
            </w:r>
            <w:r w:rsidR="00C3555C" w:rsidRPr="004A00E0">
              <w:rPr>
                <w:lang w:eastAsia="en-US"/>
              </w:rPr>
              <w:lastRenderedPageBreak/>
              <w:t xml:space="preserve">ievērošana nodrošina iedzīvotājiem pieejamu un kvalitatīvu veselības aprūpes pakalpojumu saņemšanu. </w:t>
            </w:r>
          </w:p>
          <w:p w:rsidR="0022460C" w:rsidRPr="004A00E0" w:rsidRDefault="0022460C" w:rsidP="00C3555C">
            <w:pPr>
              <w:jc w:val="both"/>
              <w:rPr>
                <w:highlight w:val="yellow"/>
                <w:lang w:eastAsia="en-US"/>
              </w:rPr>
            </w:pPr>
          </w:p>
        </w:tc>
      </w:tr>
      <w:tr w:rsidR="00AD78C9" w:rsidRPr="004A00E0" w:rsidTr="008D2BD9">
        <w:tc>
          <w:tcPr>
            <w:tcW w:w="468" w:type="dxa"/>
          </w:tcPr>
          <w:p w:rsidR="00AD78C9" w:rsidRPr="004A00E0" w:rsidRDefault="00AD78C9" w:rsidP="009D03E6">
            <w:pPr>
              <w:rPr>
                <w:lang w:eastAsia="en-US"/>
              </w:rPr>
            </w:pPr>
            <w:r w:rsidRPr="004A00E0">
              <w:rPr>
                <w:lang w:eastAsia="en-US"/>
              </w:rPr>
              <w:lastRenderedPageBreak/>
              <w:t>4.</w:t>
            </w:r>
          </w:p>
        </w:tc>
        <w:tc>
          <w:tcPr>
            <w:tcW w:w="2334" w:type="dxa"/>
          </w:tcPr>
          <w:p w:rsidR="00AD78C9" w:rsidRPr="004A00E0" w:rsidRDefault="00AD78C9" w:rsidP="009D03E6">
            <w:pPr>
              <w:rPr>
                <w:lang w:eastAsia="en-US"/>
              </w:rPr>
            </w:pPr>
            <w:r w:rsidRPr="004A00E0">
              <w:rPr>
                <w:lang w:eastAsia="en-US"/>
              </w:rPr>
              <w:t>Tiesiskā regulējuma nefinansiālā ietekme</w:t>
            </w:r>
          </w:p>
        </w:tc>
        <w:tc>
          <w:tcPr>
            <w:tcW w:w="6662" w:type="dxa"/>
          </w:tcPr>
          <w:p w:rsidR="001B5C42" w:rsidRPr="004A00E0" w:rsidRDefault="00743A64" w:rsidP="00772A15">
            <w:pPr>
              <w:jc w:val="both"/>
              <w:rPr>
                <w:highlight w:val="yellow"/>
                <w:lang w:eastAsia="en-US"/>
              </w:rPr>
            </w:pPr>
            <w:r w:rsidRPr="004A00E0">
              <w:rPr>
                <w:lang w:eastAsia="en-US"/>
              </w:rPr>
              <w:t>Projekts šo jomu neskar</w:t>
            </w:r>
          </w:p>
        </w:tc>
      </w:tr>
      <w:tr w:rsidR="00AD78C9" w:rsidRPr="004A00E0" w:rsidTr="008D2BD9">
        <w:tc>
          <w:tcPr>
            <w:tcW w:w="468" w:type="dxa"/>
          </w:tcPr>
          <w:p w:rsidR="00AD78C9" w:rsidRPr="004A00E0" w:rsidRDefault="00AD78C9" w:rsidP="009D03E6">
            <w:pPr>
              <w:rPr>
                <w:lang w:eastAsia="en-US"/>
              </w:rPr>
            </w:pPr>
            <w:r w:rsidRPr="004A00E0">
              <w:rPr>
                <w:lang w:eastAsia="en-US"/>
              </w:rPr>
              <w:t>5.</w:t>
            </w:r>
          </w:p>
        </w:tc>
        <w:tc>
          <w:tcPr>
            <w:tcW w:w="2334" w:type="dxa"/>
          </w:tcPr>
          <w:p w:rsidR="00AD78C9" w:rsidRPr="004A00E0" w:rsidRDefault="00AD78C9" w:rsidP="009D03E6">
            <w:pPr>
              <w:rPr>
                <w:lang w:eastAsia="en-US"/>
              </w:rPr>
            </w:pPr>
            <w:r w:rsidRPr="004A00E0">
              <w:rPr>
                <w:lang w:eastAsia="en-US"/>
              </w:rPr>
              <w:t>Administratīvās procedūras raksturojums</w:t>
            </w:r>
          </w:p>
        </w:tc>
        <w:tc>
          <w:tcPr>
            <w:tcW w:w="6662" w:type="dxa"/>
          </w:tcPr>
          <w:p w:rsidR="008379D7" w:rsidRPr="004A00E0" w:rsidRDefault="00743A64" w:rsidP="00772A15">
            <w:pPr>
              <w:jc w:val="both"/>
              <w:rPr>
                <w:lang w:eastAsia="en-US"/>
              </w:rPr>
            </w:pPr>
            <w:r w:rsidRPr="004A00E0">
              <w:rPr>
                <w:lang w:eastAsia="en-US"/>
              </w:rPr>
              <w:t>Projekts šo jomu neskar</w:t>
            </w:r>
          </w:p>
        </w:tc>
      </w:tr>
      <w:tr w:rsidR="00AD78C9" w:rsidRPr="004A00E0" w:rsidTr="008D2BD9">
        <w:tc>
          <w:tcPr>
            <w:tcW w:w="468" w:type="dxa"/>
          </w:tcPr>
          <w:p w:rsidR="00AD78C9" w:rsidRPr="004A00E0" w:rsidRDefault="00AD78C9" w:rsidP="009D03E6">
            <w:pPr>
              <w:rPr>
                <w:lang w:eastAsia="en-US"/>
              </w:rPr>
            </w:pPr>
            <w:r w:rsidRPr="004A00E0">
              <w:rPr>
                <w:lang w:eastAsia="en-US"/>
              </w:rPr>
              <w:t>6.</w:t>
            </w:r>
          </w:p>
        </w:tc>
        <w:tc>
          <w:tcPr>
            <w:tcW w:w="2334" w:type="dxa"/>
          </w:tcPr>
          <w:p w:rsidR="00AD78C9" w:rsidRPr="004A00E0" w:rsidRDefault="00AD78C9" w:rsidP="009D03E6">
            <w:pPr>
              <w:rPr>
                <w:lang w:eastAsia="en-US"/>
              </w:rPr>
            </w:pPr>
            <w:r w:rsidRPr="004A00E0">
              <w:rPr>
                <w:lang w:eastAsia="en-US"/>
              </w:rPr>
              <w:t>Administratīvo izmaksu monetārs novērtējums</w:t>
            </w:r>
          </w:p>
        </w:tc>
        <w:tc>
          <w:tcPr>
            <w:tcW w:w="6662" w:type="dxa"/>
          </w:tcPr>
          <w:p w:rsidR="00AD78C9" w:rsidRPr="004A00E0" w:rsidRDefault="00743A64" w:rsidP="009D03E6">
            <w:pPr>
              <w:rPr>
                <w:lang w:eastAsia="en-US"/>
              </w:rPr>
            </w:pPr>
            <w:r w:rsidRPr="004A00E0">
              <w:rPr>
                <w:lang w:eastAsia="en-US"/>
              </w:rPr>
              <w:t>Projekts šo jomu neskar</w:t>
            </w:r>
          </w:p>
        </w:tc>
      </w:tr>
      <w:tr w:rsidR="00AD78C9" w:rsidRPr="004A00E0" w:rsidTr="008D2BD9">
        <w:tc>
          <w:tcPr>
            <w:tcW w:w="468" w:type="dxa"/>
          </w:tcPr>
          <w:p w:rsidR="00AD78C9" w:rsidRPr="004A00E0" w:rsidRDefault="00AD78C9" w:rsidP="009D03E6">
            <w:pPr>
              <w:rPr>
                <w:lang w:eastAsia="en-US"/>
              </w:rPr>
            </w:pPr>
            <w:r w:rsidRPr="004A00E0">
              <w:rPr>
                <w:lang w:eastAsia="en-US"/>
              </w:rPr>
              <w:t>7.</w:t>
            </w:r>
          </w:p>
        </w:tc>
        <w:tc>
          <w:tcPr>
            <w:tcW w:w="2334" w:type="dxa"/>
          </w:tcPr>
          <w:p w:rsidR="00AD78C9" w:rsidRPr="004A00E0" w:rsidRDefault="00AD78C9" w:rsidP="009D03E6">
            <w:pPr>
              <w:rPr>
                <w:lang w:eastAsia="en-US"/>
              </w:rPr>
            </w:pPr>
            <w:r w:rsidRPr="004A00E0">
              <w:rPr>
                <w:lang w:eastAsia="en-US"/>
              </w:rPr>
              <w:t>Cita informācija</w:t>
            </w:r>
          </w:p>
        </w:tc>
        <w:tc>
          <w:tcPr>
            <w:tcW w:w="6662" w:type="dxa"/>
          </w:tcPr>
          <w:p w:rsidR="00AD78C9" w:rsidRPr="004A00E0" w:rsidRDefault="00AD78C9" w:rsidP="009D03E6">
            <w:pPr>
              <w:rPr>
                <w:lang w:eastAsia="en-US"/>
              </w:rPr>
            </w:pPr>
            <w:r w:rsidRPr="004A00E0">
              <w:rPr>
                <w:lang w:eastAsia="en-US"/>
              </w:rPr>
              <w:t>Nav</w:t>
            </w:r>
          </w:p>
        </w:tc>
      </w:tr>
    </w:tbl>
    <w:p w:rsidR="00142E18" w:rsidRPr="004A00E0" w:rsidRDefault="00142E18" w:rsidP="009D03E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34"/>
        <w:gridCol w:w="6662"/>
      </w:tblGrid>
      <w:tr w:rsidR="00164E0D" w:rsidRPr="004A00E0" w:rsidTr="008D2BD9">
        <w:tc>
          <w:tcPr>
            <w:tcW w:w="9464" w:type="dxa"/>
            <w:gridSpan w:val="3"/>
          </w:tcPr>
          <w:p w:rsidR="00164E0D" w:rsidRPr="004A00E0" w:rsidRDefault="00164E0D" w:rsidP="00772A15">
            <w:pPr>
              <w:jc w:val="center"/>
              <w:rPr>
                <w:lang w:eastAsia="en-US"/>
              </w:rPr>
            </w:pPr>
            <w:r w:rsidRPr="004A00E0">
              <w:rPr>
                <w:b/>
                <w:bCs/>
                <w:lang w:eastAsia="en-US"/>
              </w:rPr>
              <w:t>VI. Sabiedrības līdzdalība un šīs līdzdalības rezultāti</w:t>
            </w:r>
          </w:p>
        </w:tc>
      </w:tr>
      <w:tr w:rsidR="00164E0D" w:rsidRPr="004A00E0" w:rsidTr="00153F11">
        <w:tc>
          <w:tcPr>
            <w:tcW w:w="468" w:type="dxa"/>
          </w:tcPr>
          <w:p w:rsidR="00164E0D" w:rsidRPr="004A00E0" w:rsidRDefault="00164E0D" w:rsidP="00B9364D">
            <w:pPr>
              <w:rPr>
                <w:lang w:eastAsia="en-US"/>
              </w:rPr>
            </w:pPr>
            <w:r w:rsidRPr="004A00E0">
              <w:rPr>
                <w:lang w:eastAsia="en-US"/>
              </w:rPr>
              <w:t>1.</w:t>
            </w:r>
          </w:p>
        </w:tc>
        <w:tc>
          <w:tcPr>
            <w:tcW w:w="2334" w:type="dxa"/>
          </w:tcPr>
          <w:p w:rsidR="00164E0D" w:rsidRPr="004A00E0" w:rsidRDefault="00164E0D" w:rsidP="00B9364D">
            <w:pPr>
              <w:rPr>
                <w:lang w:eastAsia="en-US"/>
              </w:rPr>
            </w:pPr>
            <w:r w:rsidRPr="004A00E0">
              <w:rPr>
                <w:lang w:eastAsia="en-US"/>
              </w:rPr>
              <w:t>Sabiedrības informēšana par projekta izstrādes uzsākšanu</w:t>
            </w:r>
          </w:p>
        </w:tc>
        <w:tc>
          <w:tcPr>
            <w:tcW w:w="6662" w:type="dxa"/>
          </w:tcPr>
          <w:p w:rsidR="00DE512C" w:rsidRDefault="0083104D" w:rsidP="00EA347D">
            <w:pPr>
              <w:jc w:val="both"/>
              <w:rPr>
                <w:lang w:eastAsia="en-US"/>
              </w:rPr>
            </w:pPr>
            <w:r w:rsidRPr="004A00E0">
              <w:rPr>
                <w:lang w:eastAsia="en-US"/>
              </w:rPr>
              <w:t>Noteikumu projekts</w:t>
            </w:r>
            <w:r w:rsidR="00836A26" w:rsidRPr="004A00E0">
              <w:rPr>
                <w:lang w:eastAsia="en-US"/>
              </w:rPr>
              <w:t xml:space="preserve"> </w:t>
            </w:r>
            <w:r w:rsidR="008644D1" w:rsidRPr="004A00E0">
              <w:rPr>
                <w:lang w:eastAsia="en-US"/>
              </w:rPr>
              <w:t xml:space="preserve">2013.gada 18.jūnijā </w:t>
            </w:r>
            <w:r w:rsidRPr="004A00E0">
              <w:rPr>
                <w:lang w:eastAsia="en-US"/>
              </w:rPr>
              <w:t>ievietots Veselības ministrijas mājas lapā</w:t>
            </w:r>
            <w:r w:rsidR="005E11DD" w:rsidRPr="004A00E0">
              <w:rPr>
                <w:lang w:eastAsia="en-US"/>
              </w:rPr>
              <w:t xml:space="preserve"> un nosūtīts</w:t>
            </w:r>
            <w:r w:rsidR="00FC5C60" w:rsidRPr="004A00E0">
              <w:rPr>
                <w:lang w:eastAsia="en-US"/>
              </w:rPr>
              <w:t xml:space="preserve"> Latvijas </w:t>
            </w:r>
            <w:r w:rsidR="005E11DD" w:rsidRPr="004A00E0">
              <w:rPr>
                <w:lang w:eastAsia="en-US"/>
              </w:rPr>
              <w:t xml:space="preserve"> Pašvaldību savienībai, Veselības aprūpes darba devēju asociācijai, Latvijas Lauku ģimenes ārstu asociācijai, Latvijas Ģimenes ārstu asociācijai,</w:t>
            </w:r>
            <w:r w:rsidR="00153F11" w:rsidRPr="004A00E0">
              <w:rPr>
                <w:lang w:eastAsia="en-US"/>
              </w:rPr>
              <w:t xml:space="preserve"> </w:t>
            </w:r>
            <w:r w:rsidR="005E11DD" w:rsidRPr="004A00E0">
              <w:rPr>
                <w:lang w:eastAsia="en-US"/>
              </w:rPr>
              <w:t>Latvijas Zobārstu asociācijai, Latvijas Slimnīcu biedrībai</w:t>
            </w:r>
            <w:r w:rsidR="00153F11" w:rsidRPr="004A00E0">
              <w:rPr>
                <w:lang w:eastAsia="en-US"/>
              </w:rPr>
              <w:t xml:space="preserve">, </w:t>
            </w:r>
            <w:r w:rsidR="005E11DD" w:rsidRPr="004A00E0">
              <w:rPr>
                <w:lang w:eastAsia="en-US"/>
              </w:rPr>
              <w:t xml:space="preserve">Invalīdu un viņu draugu apvienībai „Apeirons”, Latvijas Cilvēku ar īpašām vajadzībām sadarbības organizācijai </w:t>
            </w:r>
            <w:r w:rsidR="00EA347D" w:rsidRPr="004A00E0">
              <w:rPr>
                <w:lang w:eastAsia="en-US"/>
              </w:rPr>
              <w:t>„</w:t>
            </w:r>
            <w:r w:rsidR="005E11DD" w:rsidRPr="004A00E0">
              <w:rPr>
                <w:lang w:eastAsia="en-US"/>
              </w:rPr>
              <w:t>SUSTENTO”</w:t>
            </w:r>
            <w:r w:rsidR="005E3958" w:rsidRPr="004A00E0">
              <w:rPr>
                <w:lang w:eastAsia="en-US"/>
              </w:rPr>
              <w:t>.</w:t>
            </w:r>
          </w:p>
          <w:p w:rsidR="0022460C" w:rsidRPr="004A00E0" w:rsidRDefault="0022460C" w:rsidP="00EA347D">
            <w:pPr>
              <w:jc w:val="both"/>
              <w:rPr>
                <w:highlight w:val="yellow"/>
                <w:lang w:eastAsia="en-US"/>
              </w:rPr>
            </w:pPr>
          </w:p>
        </w:tc>
      </w:tr>
      <w:tr w:rsidR="00164E0D" w:rsidRPr="004A00E0" w:rsidTr="00153F11">
        <w:tc>
          <w:tcPr>
            <w:tcW w:w="468" w:type="dxa"/>
          </w:tcPr>
          <w:p w:rsidR="00164E0D" w:rsidRPr="004A00E0" w:rsidRDefault="00164E0D" w:rsidP="00B9364D">
            <w:pPr>
              <w:rPr>
                <w:lang w:eastAsia="en-US"/>
              </w:rPr>
            </w:pPr>
            <w:r w:rsidRPr="004A00E0">
              <w:rPr>
                <w:lang w:eastAsia="en-US"/>
              </w:rPr>
              <w:t>2.</w:t>
            </w:r>
          </w:p>
        </w:tc>
        <w:tc>
          <w:tcPr>
            <w:tcW w:w="2334" w:type="dxa"/>
          </w:tcPr>
          <w:p w:rsidR="00164E0D" w:rsidRPr="004A00E0" w:rsidRDefault="00164E0D" w:rsidP="00B9364D">
            <w:pPr>
              <w:rPr>
                <w:lang w:eastAsia="en-US"/>
              </w:rPr>
            </w:pPr>
            <w:r w:rsidRPr="004A00E0">
              <w:rPr>
                <w:lang w:eastAsia="en-US"/>
              </w:rPr>
              <w:t>Sabiedrības līdzdalība projekta izstrādē</w:t>
            </w:r>
          </w:p>
        </w:tc>
        <w:tc>
          <w:tcPr>
            <w:tcW w:w="6662" w:type="dxa"/>
          </w:tcPr>
          <w:p w:rsidR="005E3958" w:rsidRPr="004A00E0" w:rsidRDefault="005E3958" w:rsidP="005E3958">
            <w:pPr>
              <w:jc w:val="both"/>
              <w:rPr>
                <w:lang w:eastAsia="en-US"/>
              </w:rPr>
            </w:pPr>
            <w:r w:rsidRPr="004A00E0">
              <w:rPr>
                <w:lang w:eastAsia="en-US"/>
              </w:rPr>
              <w:t>Veselības ministrija 2013.gada 5.aprīlī nosūtīja Latvijas Ģimenes ārstu asociācijai, Latvijas lauku ģimenes ārstu asociācijai, Latvijas slimnīcu biedrībai, Veselības aprūpes darba devēju asociācijai vēstuli, kurā lūdza sniegt informāciju par ārstniecības iestāžu gatavību ar 2014.gada 1.janvāri nodrošināt Noteikumu 4.punktā noteiktās prasības:</w:t>
            </w:r>
          </w:p>
          <w:p w:rsidR="00031500" w:rsidRPr="004A00E0" w:rsidRDefault="005E3958" w:rsidP="005E3958">
            <w:pPr>
              <w:jc w:val="both"/>
              <w:rPr>
                <w:lang w:eastAsia="en-US"/>
              </w:rPr>
            </w:pPr>
            <w:r w:rsidRPr="004A00E0">
              <w:rPr>
                <w:lang w:eastAsia="en-US"/>
              </w:rPr>
              <w:t xml:space="preserve">„Ja ārstniecības iestādi izvieto augstāk par ēkas pirmo stāvu, tajā paredz liftu vai slīdošās kāpnes visu stāvu līmeņos. Katrā ēkas stāvā pieejama vismaz viena tualetes telpa personām ar ierobežotām funkcionālām spējām.” </w:t>
            </w:r>
          </w:p>
          <w:p w:rsidR="00040DC9" w:rsidRPr="004A00E0" w:rsidRDefault="00656CAA" w:rsidP="00040DC9">
            <w:pPr>
              <w:jc w:val="both"/>
              <w:rPr>
                <w:lang w:eastAsia="en-US"/>
              </w:rPr>
            </w:pPr>
            <w:r w:rsidRPr="004A00E0">
              <w:rPr>
                <w:lang w:eastAsia="en-US"/>
              </w:rPr>
              <w:t>Saskaņā ar sabiedrisko organizāciju sniegto informāciju</w:t>
            </w:r>
            <w:r w:rsidR="00787CA3" w:rsidRPr="004A00E0">
              <w:rPr>
                <w:lang w:eastAsia="en-US"/>
              </w:rPr>
              <w:t>,</w:t>
            </w:r>
            <w:r w:rsidRPr="004A00E0">
              <w:rPr>
                <w:lang w:eastAsia="en-US"/>
              </w:rPr>
              <w:t xml:space="preserve"> </w:t>
            </w:r>
            <w:r w:rsidR="00787CA3" w:rsidRPr="004A00E0">
              <w:rPr>
                <w:lang w:eastAsia="en-US"/>
              </w:rPr>
              <w:t xml:space="preserve">lielākā daļa (aptuveni 60%) ārstniecības iestāžu, t.sk. zobārstniecības  kabinetos un ģimenes ārstu praksēs, nevar </w:t>
            </w:r>
            <w:r w:rsidR="00040DC9" w:rsidRPr="004A00E0">
              <w:rPr>
                <w:lang w:eastAsia="en-US"/>
              </w:rPr>
              <w:t xml:space="preserve">ar </w:t>
            </w:r>
            <w:r w:rsidR="00787CA3" w:rsidRPr="004A00E0">
              <w:rPr>
                <w:lang w:eastAsia="en-US"/>
              </w:rPr>
              <w:t>2014.gada 1.janvāri nodrošināt Noteikumu 4.punkta prasības. Minētās prasības nodrošina tās ārstniecības iestādes, kurās tiek veikta ēku rekonstrukcija</w:t>
            </w:r>
            <w:r w:rsidR="005570C5" w:rsidRPr="004A00E0">
              <w:rPr>
                <w:lang w:eastAsia="en-US"/>
              </w:rPr>
              <w:t xml:space="preserve"> vai būvētas jaunas ēkas</w:t>
            </w:r>
            <w:r w:rsidR="00040DC9" w:rsidRPr="004A00E0">
              <w:rPr>
                <w:lang w:eastAsia="en-US"/>
              </w:rPr>
              <w:t>,</w:t>
            </w:r>
            <w:r w:rsidR="00787CA3" w:rsidRPr="004A00E0">
              <w:rPr>
                <w:lang w:eastAsia="en-US"/>
              </w:rPr>
              <w:t xml:space="preserve"> atbilstoši būvniecības jomu reglamentējošos normatīvajos aktos noteiktām publisko ēku vides pieejamības prasībām un </w:t>
            </w:r>
            <w:r w:rsidR="00040DC9" w:rsidRPr="004A00E0">
              <w:rPr>
                <w:lang w:eastAsia="en-US"/>
              </w:rPr>
              <w:t xml:space="preserve">to projekti </w:t>
            </w:r>
            <w:r w:rsidR="00787CA3" w:rsidRPr="004A00E0">
              <w:rPr>
                <w:lang w:eastAsia="en-US"/>
              </w:rPr>
              <w:t>ir saskaņot</w:t>
            </w:r>
            <w:r w:rsidR="00040DC9" w:rsidRPr="004A00E0">
              <w:rPr>
                <w:lang w:eastAsia="en-US"/>
              </w:rPr>
              <w:t xml:space="preserve">i ar pašvaldību būvvaldēm. </w:t>
            </w:r>
          </w:p>
          <w:p w:rsidR="00C12B93" w:rsidRPr="004A00E0" w:rsidRDefault="00C12B93" w:rsidP="00CC5466">
            <w:pPr>
              <w:jc w:val="both"/>
              <w:rPr>
                <w:u w:val="single"/>
                <w:lang w:eastAsia="en-US"/>
              </w:rPr>
            </w:pPr>
          </w:p>
          <w:p w:rsidR="004F7F63" w:rsidRDefault="00B008A4" w:rsidP="000031C7">
            <w:pPr>
              <w:jc w:val="both"/>
              <w:rPr>
                <w:lang w:eastAsia="en-US"/>
              </w:rPr>
            </w:pPr>
            <w:r w:rsidRPr="004A00E0">
              <w:rPr>
                <w:lang w:eastAsia="en-US"/>
              </w:rPr>
              <w:t>Veselības ministrija</w:t>
            </w:r>
            <w:r w:rsidR="00C12B93" w:rsidRPr="004A00E0">
              <w:rPr>
                <w:lang w:eastAsia="en-US"/>
              </w:rPr>
              <w:t xml:space="preserve"> </w:t>
            </w:r>
            <w:r w:rsidR="00F83A55" w:rsidRPr="004A00E0">
              <w:rPr>
                <w:lang w:eastAsia="en-US"/>
              </w:rPr>
              <w:t xml:space="preserve">2013.gada 9.oktobrī rīkoja tikšanos, kurā </w:t>
            </w:r>
            <w:r w:rsidR="00CC5466" w:rsidRPr="004A00E0">
              <w:rPr>
                <w:lang w:eastAsia="en-US"/>
              </w:rPr>
              <w:t xml:space="preserve">tika aicināti </w:t>
            </w:r>
            <w:r w:rsidR="00F83A55" w:rsidRPr="004A00E0">
              <w:rPr>
                <w:lang w:eastAsia="en-US"/>
              </w:rPr>
              <w:t>piedalī</w:t>
            </w:r>
            <w:r w:rsidR="00CC5466" w:rsidRPr="004A00E0">
              <w:rPr>
                <w:lang w:eastAsia="en-US"/>
              </w:rPr>
              <w:t>ties</w:t>
            </w:r>
            <w:r w:rsidR="00F83A55" w:rsidRPr="004A00E0">
              <w:rPr>
                <w:lang w:eastAsia="en-US"/>
              </w:rPr>
              <w:t xml:space="preserve"> Invalīdu un viņu draugu apvienība „Apeirons”, </w:t>
            </w:r>
            <w:r w:rsidR="00CC5466" w:rsidRPr="004A00E0">
              <w:rPr>
                <w:lang w:eastAsia="en-US"/>
              </w:rPr>
              <w:t>Latvijas Cilvēku ar īpašām vajadzībām sadarbības organizācija „SUSTENTO”, Latvijas Slimnīcu biedrība, Latvijas Zobārstu asociācija, Latvijas Ģimenes ārstu asociācija, Latvijas Lauku ģimenes ārstu asociācija, Veselības aprūpes darba devēju asociācija un Latvijas Pašvaldību savienība.</w:t>
            </w:r>
            <w:r w:rsidR="008363C6" w:rsidRPr="004A00E0">
              <w:rPr>
                <w:lang w:eastAsia="en-US"/>
              </w:rPr>
              <w:t xml:space="preserve"> </w:t>
            </w:r>
          </w:p>
          <w:p w:rsidR="000031C7" w:rsidRPr="004A00E0" w:rsidRDefault="000031C7" w:rsidP="000031C7">
            <w:pPr>
              <w:jc w:val="both"/>
              <w:rPr>
                <w:highlight w:val="yellow"/>
                <w:lang w:eastAsia="en-US"/>
              </w:rPr>
            </w:pPr>
          </w:p>
        </w:tc>
      </w:tr>
      <w:tr w:rsidR="00164E0D" w:rsidRPr="004A00E0" w:rsidTr="00153F11">
        <w:tc>
          <w:tcPr>
            <w:tcW w:w="468" w:type="dxa"/>
          </w:tcPr>
          <w:p w:rsidR="00164E0D" w:rsidRPr="004A00E0" w:rsidRDefault="00164E0D" w:rsidP="00B9364D">
            <w:pPr>
              <w:rPr>
                <w:lang w:eastAsia="en-US"/>
              </w:rPr>
            </w:pPr>
            <w:r w:rsidRPr="004A00E0">
              <w:rPr>
                <w:lang w:eastAsia="en-US"/>
              </w:rPr>
              <w:lastRenderedPageBreak/>
              <w:t>3.</w:t>
            </w:r>
          </w:p>
        </w:tc>
        <w:tc>
          <w:tcPr>
            <w:tcW w:w="2334" w:type="dxa"/>
          </w:tcPr>
          <w:p w:rsidR="00164E0D" w:rsidRPr="004A00E0" w:rsidRDefault="00164E0D" w:rsidP="00B9364D">
            <w:pPr>
              <w:rPr>
                <w:lang w:eastAsia="en-US"/>
              </w:rPr>
            </w:pPr>
            <w:r w:rsidRPr="004A00E0">
              <w:rPr>
                <w:lang w:eastAsia="en-US"/>
              </w:rPr>
              <w:t>Sabiedrības līdzdalības rezultāti</w:t>
            </w:r>
          </w:p>
        </w:tc>
        <w:tc>
          <w:tcPr>
            <w:tcW w:w="6662" w:type="dxa"/>
          </w:tcPr>
          <w:p w:rsidR="00C12B93" w:rsidRPr="004A00E0" w:rsidRDefault="00C12B93" w:rsidP="00C12B93">
            <w:pPr>
              <w:jc w:val="both"/>
              <w:rPr>
                <w:lang w:eastAsia="en-US"/>
              </w:rPr>
            </w:pPr>
            <w:r w:rsidRPr="004A00E0">
              <w:rPr>
                <w:lang w:eastAsia="en-US"/>
              </w:rPr>
              <w:t>Sabiedrisko organizāciju viedokļi par Noteikumu projektu:</w:t>
            </w:r>
          </w:p>
          <w:p w:rsidR="00164E0D" w:rsidRPr="004A00E0" w:rsidRDefault="00C12B93" w:rsidP="00C12B93">
            <w:pPr>
              <w:tabs>
                <w:tab w:val="left" w:pos="2325"/>
              </w:tabs>
              <w:jc w:val="both"/>
              <w:rPr>
                <w:lang w:eastAsia="en-US"/>
              </w:rPr>
            </w:pPr>
            <w:r w:rsidRPr="004A00E0">
              <w:rPr>
                <w:u w:val="single"/>
                <w:lang w:eastAsia="en-US"/>
              </w:rPr>
              <w:t>Invalīdu un viņu draugu apvienība „Apeirons”</w:t>
            </w:r>
            <w:r w:rsidRPr="004A00E0">
              <w:rPr>
                <w:lang w:eastAsia="en-US"/>
              </w:rPr>
              <w:t xml:space="preserve"> (18.06.2013.vēstule Nr.03-01/103) – iebilst Noteikumu projektā paredzētajam regulējumam, jo tas aizstāj ārstniecības iestādēm konkrēti noteiktās prasības, kas vērstas uz vides pieejamības nodrošināšanu, ar vispārīgām frāzēm un Noteikumu projektā paredzētais regulējums pasliktina personu  ar ierobežotām funkcionālām spējām tiesības uz pieejamiem veselības aprūpes pakalpojumiem.</w:t>
            </w:r>
          </w:p>
          <w:p w:rsidR="00C12B93" w:rsidRPr="004A00E0" w:rsidRDefault="00C12B93" w:rsidP="00C12B93">
            <w:pPr>
              <w:jc w:val="both"/>
              <w:rPr>
                <w:lang w:eastAsia="en-US"/>
              </w:rPr>
            </w:pPr>
          </w:p>
          <w:p w:rsidR="00C12B93" w:rsidRPr="004A00E0" w:rsidRDefault="00C12B93" w:rsidP="00C12B93">
            <w:pPr>
              <w:jc w:val="both"/>
              <w:rPr>
                <w:lang w:eastAsia="en-US"/>
              </w:rPr>
            </w:pPr>
            <w:r w:rsidRPr="004A00E0">
              <w:rPr>
                <w:lang w:eastAsia="en-US"/>
              </w:rPr>
              <w:t>2013.gada 9.oktobrī sabiedrisko organizāciju pārstāvju, Veselības ministrijas un Veselības inspekcijas pārstāvju tikšanās dalībnieki, izņemot Invalīdu un viņu draugu apvienība „Apeirons”,  atbalstīja Noteikumu projekta tālāko virzību, jo:</w:t>
            </w:r>
          </w:p>
          <w:p w:rsidR="00C12B93" w:rsidRPr="004A00E0" w:rsidRDefault="00C12B93" w:rsidP="00C12B93">
            <w:pPr>
              <w:pStyle w:val="ListParagraph"/>
              <w:numPr>
                <w:ilvl w:val="0"/>
                <w:numId w:val="7"/>
              </w:numPr>
              <w:jc w:val="both"/>
              <w:rPr>
                <w:lang w:val="lv-LV"/>
              </w:rPr>
            </w:pPr>
            <w:r w:rsidRPr="004A00E0">
              <w:rPr>
                <w:lang w:val="lv-LV"/>
              </w:rPr>
              <w:t xml:space="preserve">šobrīd Noteikumos noteiktas nesamērīgas prasības ārstniecības iestādēm attiecībā uz vides pieejamību, taču ārstniecības iestāžu galvenā funkcija ir nodrošināt personām veselības aprūpes pakalpojumus. Līdz ar to Noteikumu projektā iekļautās normas risina jautājumus par informācijas nodrošināšanu un pieejamību saistībā ar ārstniecības iestāžu vides pieejamību, kas nodrošina personām ar funkcionāliem traucējumiem izvēlēties tās ārstniecības iestādes, kuras nodrošina nepieciešamo veselības aprūpes pakalpojumu saņemšanu. </w:t>
            </w:r>
          </w:p>
          <w:p w:rsidR="00C12B93" w:rsidRPr="004A00E0" w:rsidRDefault="00C12B93" w:rsidP="00C12B93">
            <w:pPr>
              <w:ind w:firstLine="360"/>
              <w:jc w:val="both"/>
            </w:pPr>
            <w:r w:rsidRPr="004A00E0">
              <w:t>Savukārt Invalīdu un viņu draugu apvienība „Apeirons” ierosināja izveidot komisiju ar viņu līdzdalību, kurai deleģēt funkciju - izvērtēt un izsniegt atļauju ārstniecības iestādei izņēmuma kārtā neīstenot normatīvajos aktos noteiktās vides pieejamības prasības, kā arī izskatīt iespēju pagarināt esošā Noteikumu 4.punkta normu īstenošanas termiņu neatkāpjoties no šajā punktā noteiktā.</w:t>
            </w:r>
          </w:p>
          <w:p w:rsidR="00C12B93" w:rsidRPr="004A00E0" w:rsidRDefault="00C12B93" w:rsidP="00C12B93">
            <w:pPr>
              <w:tabs>
                <w:tab w:val="left" w:pos="2325"/>
              </w:tabs>
              <w:jc w:val="both"/>
              <w:rPr>
                <w:lang w:eastAsia="en-US"/>
              </w:rPr>
            </w:pPr>
          </w:p>
          <w:p w:rsidR="00C12B93" w:rsidRPr="004A00E0" w:rsidRDefault="00C12B93" w:rsidP="00C12B93">
            <w:pPr>
              <w:jc w:val="both"/>
              <w:rPr>
                <w:lang w:eastAsia="en-US"/>
              </w:rPr>
            </w:pPr>
            <w:r w:rsidRPr="004A00E0">
              <w:rPr>
                <w:u w:val="single"/>
                <w:lang w:eastAsia="en-US"/>
              </w:rPr>
              <w:t>Biedrība „Latvijas Ģimenes ārstu asociācija”</w:t>
            </w:r>
            <w:r w:rsidRPr="004A00E0">
              <w:rPr>
                <w:lang w:eastAsia="en-US"/>
              </w:rPr>
              <w:t xml:space="preserve"> (08.07.2013. vēstule Nr.104) -  lūdz atvieglot prasības attiecībā uz ģimenes ārstu praksēm regulējumā, kurš nosaka, ja ārstniecības iestādi izvieto atbilstoši tās darbībai projektētā vai pielāgotā ēkā un ārstniecības iestādēs vides pieejamību personām ar funkcionāliem traucējumiem nodrošina, ievērojot būvniecības jomu reglamentējošos normatīvajos aktos noteiktās publisko ēku vides pieejamības prasības un šajos noteikumos noteiktās prasības,  jo Noteikumu projekta 187.punkta jaunais regulējums neattieksies uz  jaunajām ārstu praksēm, tai skaitā tām, kuras būs veco ārstu prakšu pacientu un iespējams arī prakses vietu „pārņēmējas”, kā arī esošajām ārstu praksēm, kas mainīs savu prakses vietu, tādejādi iedzīvotājiem netiks nodrošināta veselības aprūpes pakalpojumu pieejamība pēc iespējas tuvāk dzīvesvietai.</w:t>
            </w:r>
          </w:p>
          <w:p w:rsidR="00C12B93" w:rsidRPr="004A00E0" w:rsidRDefault="00C12B93" w:rsidP="00C12B93">
            <w:pPr>
              <w:jc w:val="both"/>
              <w:rPr>
                <w:lang w:eastAsia="en-US"/>
              </w:rPr>
            </w:pPr>
            <w:r w:rsidRPr="004A00E0">
              <w:rPr>
                <w:u w:val="single"/>
                <w:lang w:eastAsia="en-US"/>
              </w:rPr>
              <w:t>Veselības ministrija</w:t>
            </w:r>
            <w:r w:rsidRPr="004A00E0">
              <w:rPr>
                <w:lang w:eastAsia="en-US"/>
              </w:rPr>
              <w:t xml:space="preserve"> uzskata, ka Noteikumos iekļautās normas par vides pieejamību ārstniecības iestādēm ir piemērojamas visām ārstniecības iestādēm ar vienādiem nosacījumiem bez izņēmumiem. </w:t>
            </w:r>
          </w:p>
          <w:p w:rsidR="00C12B93" w:rsidRPr="004A00E0" w:rsidRDefault="00C12B93" w:rsidP="00C12B93">
            <w:pPr>
              <w:jc w:val="both"/>
              <w:rPr>
                <w:lang w:eastAsia="en-US"/>
              </w:rPr>
            </w:pPr>
            <w:r w:rsidRPr="004A00E0">
              <w:rPr>
                <w:lang w:eastAsia="en-US"/>
              </w:rPr>
              <w:t xml:space="preserve"> </w:t>
            </w:r>
          </w:p>
          <w:p w:rsidR="00C12B93" w:rsidRPr="004A00E0" w:rsidRDefault="00C12B93" w:rsidP="00C12B93">
            <w:pPr>
              <w:jc w:val="both"/>
              <w:rPr>
                <w:lang w:eastAsia="en-US"/>
              </w:rPr>
            </w:pPr>
            <w:r w:rsidRPr="004A00E0">
              <w:rPr>
                <w:u w:val="single"/>
                <w:lang w:eastAsia="en-US"/>
              </w:rPr>
              <w:lastRenderedPageBreak/>
              <w:t>Latvijas Laboratoriju speciālistu biedrība</w:t>
            </w:r>
            <w:r w:rsidRPr="004A00E0">
              <w:rPr>
                <w:lang w:eastAsia="en-US"/>
              </w:rPr>
              <w:t xml:space="preserve"> lūdz atcelt Noteikumu projekta 185.punktā noteikto normu, kura nosaka prasību visām medicīnas laboratorijām, kuras veic no cilvēka iegūto materiālu izmeklējumus, līdz 2015.gada 31.decembrim nodrošināt akreditāciju atbilstoši standartā LVS EN ISO 15189:2013 „Medicīnas laboratorijas. Īpašās prasības attiecībā uz kvalitāti un kompetenci” noteiktām prasībām.</w:t>
            </w:r>
          </w:p>
          <w:p w:rsidR="00C12B93" w:rsidRPr="004A00E0" w:rsidRDefault="00C12B93" w:rsidP="00C12B93">
            <w:pPr>
              <w:jc w:val="both"/>
              <w:rPr>
                <w:lang w:eastAsia="en-US"/>
              </w:rPr>
            </w:pPr>
            <w:r w:rsidRPr="004A00E0">
              <w:rPr>
                <w:u w:val="single"/>
                <w:lang w:eastAsia="en-US"/>
              </w:rPr>
              <w:t>Veselības ministrija uzskata</w:t>
            </w:r>
            <w:r w:rsidRPr="004A00E0">
              <w:rPr>
                <w:lang w:eastAsia="en-US"/>
              </w:rPr>
              <w:t>, lai nodrošinātu vienotu pieeju visu laboratoriju novērtēšanā un salīdzināmu izmeklējumu veikšanā, kā arī, ņemot vērā, ka laboratorisko izmeklējumu kvalitātei ir būtiska ietekme uz pacienta ārstēšanas procesu gan slimnīcā, gan ambulatori, ir svarīgi, ka visām, ne tikai daudzprofilu slimnīcu laboratorijām, tiek noteiktas prasības uz kvalitāti un kompetenci, jo tiesības saņemts kvalitatīvus veselības aprūpes pakalpojumus ir visiem Latvijas iedzīvotājiem. Pamatojoties uz minēto, nepieciešams Noteikumos noteikt visām medicīnas laboratorijām, kuras veic no cilvēka iegūto materiālu izmeklējumus, ka tām jāveic akreditācija atbilstoši standartā LVS EN ISO 15189:2013 „Medicīnas laboratorijas. Īpašās prasības attiecībā uz kvalitāti un kompetenci” noteiktām prasībām. Lai laboratorijas varētu sagatavoties un veikt akreditāciju, Noteikumos paredzēts, ka šī prasība ārstniecības iestāžu laboratorijām būs spēkā ar 2015.gada 31.decembri.</w:t>
            </w:r>
          </w:p>
          <w:p w:rsidR="00C12B93" w:rsidRPr="004A00E0" w:rsidRDefault="00C12B93" w:rsidP="00C12B93">
            <w:pPr>
              <w:tabs>
                <w:tab w:val="left" w:pos="2325"/>
              </w:tabs>
              <w:jc w:val="both"/>
              <w:rPr>
                <w:highlight w:val="yellow"/>
                <w:lang w:eastAsia="en-US"/>
              </w:rPr>
            </w:pPr>
          </w:p>
        </w:tc>
      </w:tr>
      <w:tr w:rsidR="00164E0D" w:rsidRPr="004A00E0" w:rsidTr="00153F11">
        <w:tc>
          <w:tcPr>
            <w:tcW w:w="468" w:type="dxa"/>
          </w:tcPr>
          <w:p w:rsidR="00164E0D" w:rsidRPr="004A00E0" w:rsidRDefault="00164E0D" w:rsidP="00B9364D">
            <w:pPr>
              <w:rPr>
                <w:lang w:eastAsia="en-US"/>
              </w:rPr>
            </w:pPr>
            <w:r w:rsidRPr="004A00E0">
              <w:rPr>
                <w:lang w:eastAsia="en-US"/>
              </w:rPr>
              <w:lastRenderedPageBreak/>
              <w:t>4.</w:t>
            </w:r>
          </w:p>
        </w:tc>
        <w:tc>
          <w:tcPr>
            <w:tcW w:w="2334" w:type="dxa"/>
          </w:tcPr>
          <w:p w:rsidR="00164E0D" w:rsidRPr="004A00E0" w:rsidRDefault="00164E0D" w:rsidP="00B9364D">
            <w:pPr>
              <w:rPr>
                <w:lang w:eastAsia="en-US"/>
              </w:rPr>
            </w:pPr>
            <w:r w:rsidRPr="004A00E0">
              <w:rPr>
                <w:lang w:eastAsia="en-US"/>
              </w:rPr>
              <w:t>Saeimas un ekspertu līdzdalība</w:t>
            </w:r>
          </w:p>
        </w:tc>
        <w:tc>
          <w:tcPr>
            <w:tcW w:w="6662" w:type="dxa"/>
          </w:tcPr>
          <w:p w:rsidR="00164E0D" w:rsidRPr="004A00E0" w:rsidRDefault="007000A8" w:rsidP="00B9364D">
            <w:pPr>
              <w:rPr>
                <w:lang w:eastAsia="en-US"/>
              </w:rPr>
            </w:pPr>
            <w:r w:rsidRPr="004A00E0">
              <w:rPr>
                <w:lang w:eastAsia="en-US"/>
              </w:rPr>
              <w:t>Projekts šo jomu neskar</w:t>
            </w:r>
          </w:p>
        </w:tc>
      </w:tr>
      <w:tr w:rsidR="00164E0D" w:rsidRPr="004A00E0" w:rsidTr="00153F11">
        <w:tc>
          <w:tcPr>
            <w:tcW w:w="468" w:type="dxa"/>
          </w:tcPr>
          <w:p w:rsidR="00164E0D" w:rsidRPr="004A00E0" w:rsidRDefault="00164E0D" w:rsidP="00B9364D">
            <w:pPr>
              <w:rPr>
                <w:lang w:eastAsia="en-US"/>
              </w:rPr>
            </w:pPr>
            <w:r w:rsidRPr="004A00E0">
              <w:rPr>
                <w:lang w:eastAsia="en-US"/>
              </w:rPr>
              <w:t>5.</w:t>
            </w:r>
          </w:p>
        </w:tc>
        <w:tc>
          <w:tcPr>
            <w:tcW w:w="2334" w:type="dxa"/>
          </w:tcPr>
          <w:p w:rsidR="00164E0D" w:rsidRPr="004A00E0" w:rsidRDefault="00164E0D" w:rsidP="00B9364D">
            <w:pPr>
              <w:rPr>
                <w:lang w:eastAsia="en-US"/>
              </w:rPr>
            </w:pPr>
            <w:r w:rsidRPr="004A00E0">
              <w:rPr>
                <w:lang w:eastAsia="en-US"/>
              </w:rPr>
              <w:t>Cita informācija</w:t>
            </w:r>
          </w:p>
        </w:tc>
        <w:tc>
          <w:tcPr>
            <w:tcW w:w="6662" w:type="dxa"/>
          </w:tcPr>
          <w:p w:rsidR="00164E0D" w:rsidRPr="004A00E0" w:rsidRDefault="0012742C" w:rsidP="00B9364D">
            <w:pPr>
              <w:rPr>
                <w:lang w:eastAsia="en-US"/>
              </w:rPr>
            </w:pPr>
            <w:r w:rsidRPr="004A00E0">
              <w:rPr>
                <w:lang w:eastAsia="en-US"/>
              </w:rPr>
              <w:t>Nav</w:t>
            </w:r>
          </w:p>
        </w:tc>
      </w:tr>
    </w:tbl>
    <w:p w:rsidR="00A859D0" w:rsidRPr="004A00E0" w:rsidRDefault="00A859D0" w:rsidP="009D03E6">
      <w:pPr>
        <w:rPr>
          <w:lang w:val="de-DE" w:eastAsia="en-US"/>
        </w:rPr>
      </w:pPr>
      <w:r w:rsidRPr="004A00E0">
        <w:rPr>
          <w:lang w:val="de-DE" w:eastAsia="en-US"/>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34"/>
        <w:gridCol w:w="6666"/>
      </w:tblGrid>
      <w:tr w:rsidR="00164E0D" w:rsidRPr="004A00E0">
        <w:tc>
          <w:tcPr>
            <w:tcW w:w="9468" w:type="dxa"/>
            <w:gridSpan w:val="3"/>
          </w:tcPr>
          <w:p w:rsidR="00164E0D" w:rsidRPr="004A00E0" w:rsidRDefault="00164E0D" w:rsidP="00772A15">
            <w:pPr>
              <w:jc w:val="center"/>
              <w:rPr>
                <w:lang w:eastAsia="en-US"/>
              </w:rPr>
            </w:pPr>
            <w:r w:rsidRPr="004A00E0">
              <w:rPr>
                <w:b/>
                <w:bCs/>
                <w:lang w:eastAsia="en-US"/>
              </w:rPr>
              <w:t>VII. Tiesību akta projekta izpildes nodrošināšana un tās ietekme uz institūcijām</w:t>
            </w:r>
          </w:p>
        </w:tc>
      </w:tr>
      <w:tr w:rsidR="00164E0D" w:rsidRPr="004A00E0" w:rsidTr="00153F11">
        <w:tc>
          <w:tcPr>
            <w:tcW w:w="468" w:type="dxa"/>
          </w:tcPr>
          <w:p w:rsidR="00164E0D" w:rsidRPr="004A00E0" w:rsidRDefault="00164E0D" w:rsidP="00B9364D">
            <w:pPr>
              <w:rPr>
                <w:lang w:eastAsia="en-US"/>
              </w:rPr>
            </w:pPr>
            <w:r w:rsidRPr="004A00E0">
              <w:rPr>
                <w:lang w:eastAsia="en-US"/>
              </w:rPr>
              <w:t>1.</w:t>
            </w:r>
          </w:p>
        </w:tc>
        <w:tc>
          <w:tcPr>
            <w:tcW w:w="2334" w:type="dxa"/>
          </w:tcPr>
          <w:p w:rsidR="00164E0D" w:rsidRPr="004A00E0" w:rsidRDefault="00164E0D" w:rsidP="00B9364D">
            <w:pPr>
              <w:rPr>
                <w:lang w:eastAsia="en-US"/>
              </w:rPr>
            </w:pPr>
            <w:r w:rsidRPr="004A00E0">
              <w:rPr>
                <w:lang w:eastAsia="en-US"/>
              </w:rPr>
              <w:t>Projekta izpildē iesaistītās institūcijas</w:t>
            </w:r>
          </w:p>
        </w:tc>
        <w:tc>
          <w:tcPr>
            <w:tcW w:w="6666" w:type="dxa"/>
          </w:tcPr>
          <w:p w:rsidR="00164E0D" w:rsidRPr="004A00E0" w:rsidRDefault="00B319CD" w:rsidP="00C24D07">
            <w:pPr>
              <w:jc w:val="both"/>
              <w:rPr>
                <w:highlight w:val="yellow"/>
                <w:lang w:eastAsia="en-US"/>
              </w:rPr>
            </w:pPr>
            <w:r w:rsidRPr="004A00E0">
              <w:t>Nacionālais veselības dienests</w:t>
            </w:r>
            <w:r w:rsidR="005E11DD" w:rsidRPr="004A00E0">
              <w:t>,</w:t>
            </w:r>
            <w:r w:rsidR="00AA63F1" w:rsidRPr="004A00E0">
              <w:t xml:space="preserve"> </w:t>
            </w:r>
            <w:r w:rsidR="0012742C" w:rsidRPr="004A00E0">
              <w:t>veselības aprūpes pakalpojumu sniedzēji</w:t>
            </w:r>
            <w:r w:rsidR="00EB7D87" w:rsidRPr="004A00E0">
              <w:t>, Veselības inspekcija, sociālās aprūpes un sociālās rehabilitācijas institūcijas</w:t>
            </w:r>
            <w:r w:rsidR="007C77BC" w:rsidRPr="004A00E0">
              <w:t>.</w:t>
            </w:r>
            <w:r w:rsidR="00E24063" w:rsidRPr="004A00E0">
              <w:t xml:space="preserve"> </w:t>
            </w:r>
          </w:p>
        </w:tc>
      </w:tr>
      <w:tr w:rsidR="00164E0D" w:rsidRPr="004A00E0" w:rsidTr="00153F11">
        <w:trPr>
          <w:trHeight w:val="578"/>
        </w:trPr>
        <w:tc>
          <w:tcPr>
            <w:tcW w:w="468" w:type="dxa"/>
          </w:tcPr>
          <w:p w:rsidR="00164E0D" w:rsidRPr="004A00E0" w:rsidRDefault="00164E0D" w:rsidP="00B9364D">
            <w:pPr>
              <w:rPr>
                <w:lang w:eastAsia="en-US"/>
              </w:rPr>
            </w:pPr>
            <w:r w:rsidRPr="004A00E0">
              <w:rPr>
                <w:lang w:eastAsia="en-US"/>
              </w:rPr>
              <w:t>2.</w:t>
            </w:r>
          </w:p>
        </w:tc>
        <w:tc>
          <w:tcPr>
            <w:tcW w:w="2334" w:type="dxa"/>
          </w:tcPr>
          <w:p w:rsidR="00164E0D" w:rsidRPr="004A00E0" w:rsidRDefault="00164E0D" w:rsidP="00B9364D">
            <w:pPr>
              <w:rPr>
                <w:lang w:eastAsia="en-US"/>
              </w:rPr>
            </w:pPr>
            <w:r w:rsidRPr="004A00E0">
              <w:rPr>
                <w:lang w:eastAsia="en-US"/>
              </w:rPr>
              <w:t>Projekta izpildes ietekme uz pārvaldes funkcijām</w:t>
            </w:r>
          </w:p>
        </w:tc>
        <w:tc>
          <w:tcPr>
            <w:tcW w:w="6666" w:type="dxa"/>
          </w:tcPr>
          <w:p w:rsidR="00164E0D" w:rsidRPr="004A00E0" w:rsidRDefault="007000A8" w:rsidP="00772A15">
            <w:pPr>
              <w:jc w:val="both"/>
              <w:rPr>
                <w:highlight w:val="yellow"/>
                <w:lang w:eastAsia="en-US"/>
              </w:rPr>
            </w:pPr>
            <w:r w:rsidRPr="004A00E0">
              <w:rPr>
                <w:lang w:eastAsia="en-US"/>
              </w:rPr>
              <w:t>Projekts šo jomu neskar</w:t>
            </w:r>
          </w:p>
        </w:tc>
      </w:tr>
      <w:tr w:rsidR="00164E0D" w:rsidRPr="004A00E0" w:rsidTr="00153F11">
        <w:tc>
          <w:tcPr>
            <w:tcW w:w="468" w:type="dxa"/>
          </w:tcPr>
          <w:p w:rsidR="00164E0D" w:rsidRPr="004A00E0" w:rsidRDefault="00164E0D" w:rsidP="00B9364D">
            <w:pPr>
              <w:rPr>
                <w:lang w:eastAsia="en-US"/>
              </w:rPr>
            </w:pPr>
            <w:r w:rsidRPr="004A00E0">
              <w:rPr>
                <w:lang w:eastAsia="en-US"/>
              </w:rPr>
              <w:t>3.</w:t>
            </w:r>
          </w:p>
        </w:tc>
        <w:tc>
          <w:tcPr>
            <w:tcW w:w="2334" w:type="dxa"/>
          </w:tcPr>
          <w:p w:rsidR="00164E0D" w:rsidRPr="004A00E0" w:rsidRDefault="00164E0D" w:rsidP="00B9364D">
            <w:pPr>
              <w:rPr>
                <w:lang w:eastAsia="en-US"/>
              </w:rPr>
            </w:pPr>
            <w:r w:rsidRPr="004A00E0">
              <w:rPr>
                <w:lang w:eastAsia="en-US"/>
              </w:rPr>
              <w:t>Projekta izpildes ietekme uz pārvaldes institucionālo struktūru.</w:t>
            </w:r>
          </w:p>
          <w:p w:rsidR="00164E0D" w:rsidRPr="004A00E0" w:rsidRDefault="00164E0D" w:rsidP="00B9364D">
            <w:pPr>
              <w:rPr>
                <w:lang w:eastAsia="en-US"/>
              </w:rPr>
            </w:pPr>
            <w:r w:rsidRPr="004A00E0">
              <w:rPr>
                <w:lang w:eastAsia="en-US"/>
              </w:rPr>
              <w:t>Jaunu institūciju izveide</w:t>
            </w:r>
          </w:p>
        </w:tc>
        <w:tc>
          <w:tcPr>
            <w:tcW w:w="6666" w:type="dxa"/>
          </w:tcPr>
          <w:p w:rsidR="00164E0D" w:rsidRPr="004A00E0" w:rsidRDefault="007000A8" w:rsidP="00B9364D">
            <w:pPr>
              <w:rPr>
                <w:lang w:eastAsia="en-US"/>
              </w:rPr>
            </w:pPr>
            <w:r w:rsidRPr="004A00E0">
              <w:rPr>
                <w:lang w:eastAsia="en-US"/>
              </w:rPr>
              <w:t>Projekts šo jomu neskar</w:t>
            </w:r>
          </w:p>
        </w:tc>
      </w:tr>
      <w:tr w:rsidR="00164E0D" w:rsidRPr="004A00E0" w:rsidTr="00153F11">
        <w:tc>
          <w:tcPr>
            <w:tcW w:w="468" w:type="dxa"/>
          </w:tcPr>
          <w:p w:rsidR="00164E0D" w:rsidRPr="004A00E0" w:rsidRDefault="00164E0D" w:rsidP="00B9364D">
            <w:pPr>
              <w:rPr>
                <w:lang w:eastAsia="en-US"/>
              </w:rPr>
            </w:pPr>
            <w:r w:rsidRPr="004A00E0">
              <w:rPr>
                <w:lang w:eastAsia="en-US"/>
              </w:rPr>
              <w:t>4.</w:t>
            </w:r>
          </w:p>
        </w:tc>
        <w:tc>
          <w:tcPr>
            <w:tcW w:w="2334" w:type="dxa"/>
          </w:tcPr>
          <w:p w:rsidR="00164E0D" w:rsidRPr="004A00E0" w:rsidRDefault="00164E0D" w:rsidP="00B9364D">
            <w:pPr>
              <w:rPr>
                <w:lang w:eastAsia="en-US"/>
              </w:rPr>
            </w:pPr>
            <w:r w:rsidRPr="004A00E0">
              <w:rPr>
                <w:lang w:eastAsia="en-US"/>
              </w:rPr>
              <w:t>Projekta izpildes ietekme uz pārvaldes institucionālo struktūru.</w:t>
            </w:r>
          </w:p>
          <w:p w:rsidR="00164E0D" w:rsidRPr="004A00E0" w:rsidRDefault="00164E0D" w:rsidP="00B9364D">
            <w:pPr>
              <w:rPr>
                <w:lang w:eastAsia="en-US"/>
              </w:rPr>
            </w:pPr>
            <w:r w:rsidRPr="004A00E0">
              <w:rPr>
                <w:lang w:eastAsia="en-US"/>
              </w:rPr>
              <w:t>Esošu institūciju likvidācija</w:t>
            </w:r>
          </w:p>
        </w:tc>
        <w:tc>
          <w:tcPr>
            <w:tcW w:w="6666" w:type="dxa"/>
          </w:tcPr>
          <w:p w:rsidR="00164E0D" w:rsidRPr="004A00E0" w:rsidRDefault="007000A8" w:rsidP="00B9364D">
            <w:pPr>
              <w:rPr>
                <w:lang w:eastAsia="en-US"/>
              </w:rPr>
            </w:pPr>
            <w:r w:rsidRPr="004A00E0">
              <w:rPr>
                <w:lang w:eastAsia="en-US"/>
              </w:rPr>
              <w:t>Projekts šo jomu neskar</w:t>
            </w:r>
          </w:p>
        </w:tc>
      </w:tr>
      <w:tr w:rsidR="00164E0D" w:rsidRPr="004A00E0" w:rsidTr="00153F11">
        <w:tc>
          <w:tcPr>
            <w:tcW w:w="468" w:type="dxa"/>
          </w:tcPr>
          <w:p w:rsidR="00164E0D" w:rsidRPr="004A00E0" w:rsidRDefault="00164E0D" w:rsidP="00B9364D">
            <w:pPr>
              <w:rPr>
                <w:lang w:eastAsia="en-US"/>
              </w:rPr>
            </w:pPr>
            <w:r w:rsidRPr="004A00E0">
              <w:rPr>
                <w:lang w:eastAsia="en-US"/>
              </w:rPr>
              <w:t>5.</w:t>
            </w:r>
          </w:p>
        </w:tc>
        <w:tc>
          <w:tcPr>
            <w:tcW w:w="2334" w:type="dxa"/>
          </w:tcPr>
          <w:p w:rsidR="00164E0D" w:rsidRPr="004A00E0" w:rsidRDefault="00164E0D" w:rsidP="00B9364D">
            <w:pPr>
              <w:rPr>
                <w:lang w:eastAsia="en-US"/>
              </w:rPr>
            </w:pPr>
            <w:r w:rsidRPr="004A00E0">
              <w:rPr>
                <w:lang w:eastAsia="en-US"/>
              </w:rPr>
              <w:t xml:space="preserve">Projekta izpildes ietekme uz pārvaldes institucionālo </w:t>
            </w:r>
            <w:r w:rsidRPr="004A00E0">
              <w:rPr>
                <w:lang w:eastAsia="en-US"/>
              </w:rPr>
              <w:lastRenderedPageBreak/>
              <w:t>struktūru.</w:t>
            </w:r>
          </w:p>
          <w:p w:rsidR="00164E0D" w:rsidRPr="004A00E0" w:rsidRDefault="00164E0D" w:rsidP="00B9364D">
            <w:pPr>
              <w:rPr>
                <w:lang w:eastAsia="en-US"/>
              </w:rPr>
            </w:pPr>
            <w:r w:rsidRPr="004A00E0">
              <w:rPr>
                <w:lang w:eastAsia="en-US"/>
              </w:rPr>
              <w:t>Esošu institūciju reorganizācija</w:t>
            </w:r>
          </w:p>
        </w:tc>
        <w:tc>
          <w:tcPr>
            <w:tcW w:w="6666" w:type="dxa"/>
          </w:tcPr>
          <w:p w:rsidR="00164E0D" w:rsidRPr="004A00E0" w:rsidRDefault="007000A8" w:rsidP="00B9364D">
            <w:pPr>
              <w:rPr>
                <w:lang w:eastAsia="en-US"/>
              </w:rPr>
            </w:pPr>
            <w:r w:rsidRPr="004A00E0">
              <w:rPr>
                <w:lang w:eastAsia="en-US"/>
              </w:rPr>
              <w:lastRenderedPageBreak/>
              <w:t>Projekts šo jomu neskar</w:t>
            </w:r>
          </w:p>
        </w:tc>
      </w:tr>
      <w:tr w:rsidR="00164E0D" w:rsidRPr="004A00E0" w:rsidTr="00153F11">
        <w:tc>
          <w:tcPr>
            <w:tcW w:w="468" w:type="dxa"/>
          </w:tcPr>
          <w:p w:rsidR="00164E0D" w:rsidRPr="004A00E0" w:rsidRDefault="00164E0D" w:rsidP="00B9364D">
            <w:pPr>
              <w:rPr>
                <w:lang w:eastAsia="en-US"/>
              </w:rPr>
            </w:pPr>
            <w:r w:rsidRPr="004A00E0">
              <w:rPr>
                <w:lang w:eastAsia="en-US"/>
              </w:rPr>
              <w:lastRenderedPageBreak/>
              <w:t>6.</w:t>
            </w:r>
          </w:p>
        </w:tc>
        <w:tc>
          <w:tcPr>
            <w:tcW w:w="2334" w:type="dxa"/>
          </w:tcPr>
          <w:p w:rsidR="00164E0D" w:rsidRPr="004A00E0" w:rsidRDefault="00164E0D" w:rsidP="00B9364D">
            <w:pPr>
              <w:rPr>
                <w:lang w:eastAsia="en-US"/>
              </w:rPr>
            </w:pPr>
            <w:r w:rsidRPr="004A00E0">
              <w:rPr>
                <w:lang w:eastAsia="en-US"/>
              </w:rPr>
              <w:t>Cita informācija</w:t>
            </w:r>
          </w:p>
        </w:tc>
        <w:tc>
          <w:tcPr>
            <w:tcW w:w="6666" w:type="dxa"/>
          </w:tcPr>
          <w:p w:rsidR="00164E0D" w:rsidRPr="004A00E0" w:rsidRDefault="00164E0D" w:rsidP="00B9364D">
            <w:pPr>
              <w:rPr>
                <w:lang w:eastAsia="en-US"/>
              </w:rPr>
            </w:pPr>
            <w:r w:rsidRPr="004A00E0">
              <w:rPr>
                <w:lang w:eastAsia="en-US"/>
              </w:rPr>
              <w:t>Nav</w:t>
            </w:r>
          </w:p>
        </w:tc>
      </w:tr>
    </w:tbl>
    <w:p w:rsidR="00A73A2F" w:rsidRPr="004A00E0" w:rsidRDefault="00A73A2F" w:rsidP="00A73A2F">
      <w:pPr>
        <w:pStyle w:val="NormalWeb"/>
        <w:spacing w:before="0" w:beforeAutospacing="0" w:after="0" w:afterAutospacing="0"/>
        <w:jc w:val="center"/>
        <w:rPr>
          <w:color w:val="auto"/>
          <w:lang w:val="de-DE" w:eastAsia="en-US"/>
        </w:rPr>
      </w:pPr>
    </w:p>
    <w:p w:rsidR="00A73A2F" w:rsidRPr="004A00E0" w:rsidRDefault="00A859D0" w:rsidP="00A73A2F">
      <w:pPr>
        <w:pStyle w:val="NormalWeb"/>
        <w:spacing w:before="0" w:beforeAutospacing="0" w:after="0" w:afterAutospacing="0"/>
        <w:jc w:val="center"/>
        <w:rPr>
          <w:color w:val="auto"/>
          <w:sz w:val="24"/>
          <w:szCs w:val="24"/>
        </w:rPr>
      </w:pPr>
      <w:r w:rsidRPr="004A00E0">
        <w:rPr>
          <w:color w:val="auto"/>
          <w:lang w:val="de-DE" w:eastAsia="en-US"/>
        </w:rPr>
        <w:t> </w:t>
      </w:r>
      <w:r w:rsidR="00A73A2F" w:rsidRPr="004A00E0">
        <w:rPr>
          <w:b/>
          <w:color w:val="auto"/>
          <w:sz w:val="24"/>
          <w:szCs w:val="24"/>
        </w:rPr>
        <w:t>Anotācijas III, IV un V sadaļa – p</w:t>
      </w:r>
      <w:r w:rsidR="00A73A2F" w:rsidRPr="004A00E0">
        <w:rPr>
          <w:b/>
          <w:color w:val="auto"/>
          <w:sz w:val="24"/>
          <w:szCs w:val="24"/>
          <w:lang w:eastAsia="en-US"/>
        </w:rPr>
        <w:t>rojekts šīs jomas neska</w:t>
      </w:r>
      <w:r w:rsidR="00D70AE5" w:rsidRPr="004A00E0">
        <w:rPr>
          <w:b/>
          <w:color w:val="auto"/>
          <w:sz w:val="24"/>
          <w:szCs w:val="24"/>
          <w:lang w:eastAsia="en-US"/>
        </w:rPr>
        <w:t>r</w:t>
      </w:r>
    </w:p>
    <w:p w:rsidR="00A859D0" w:rsidRPr="004A00E0" w:rsidRDefault="00A859D0" w:rsidP="009D03E6">
      <w:pPr>
        <w:rPr>
          <w:lang w:eastAsia="en-US"/>
        </w:rPr>
      </w:pPr>
    </w:p>
    <w:p w:rsidR="007A495B" w:rsidRPr="004A00E0" w:rsidRDefault="007A495B" w:rsidP="00391D85">
      <w:pPr>
        <w:tabs>
          <w:tab w:val="left" w:pos="7655"/>
        </w:tabs>
        <w:rPr>
          <w:sz w:val="28"/>
          <w:szCs w:val="28"/>
        </w:rPr>
      </w:pPr>
    </w:p>
    <w:p w:rsidR="00CF5943" w:rsidRPr="004A00E0" w:rsidRDefault="00391D85" w:rsidP="00721D6C">
      <w:pPr>
        <w:tabs>
          <w:tab w:val="left" w:pos="7655"/>
        </w:tabs>
      </w:pPr>
      <w:r w:rsidRPr="004A00E0">
        <w:rPr>
          <w:sz w:val="28"/>
          <w:szCs w:val="28"/>
        </w:rPr>
        <w:t>Veselības ministr</w:t>
      </w:r>
      <w:r w:rsidR="00721D6C" w:rsidRPr="004A00E0">
        <w:rPr>
          <w:sz w:val="28"/>
          <w:szCs w:val="28"/>
        </w:rPr>
        <w:t>e</w:t>
      </w:r>
      <w:r w:rsidRPr="004A00E0">
        <w:rPr>
          <w:sz w:val="28"/>
          <w:szCs w:val="28"/>
        </w:rPr>
        <w:tab/>
      </w:r>
      <w:r w:rsidR="00721D6C" w:rsidRPr="004A00E0">
        <w:rPr>
          <w:sz w:val="28"/>
          <w:szCs w:val="28"/>
        </w:rPr>
        <w:t xml:space="preserve">I.Circene </w:t>
      </w:r>
    </w:p>
    <w:p w:rsidR="00355817" w:rsidRPr="004A00E0" w:rsidRDefault="00355817" w:rsidP="009D03E6"/>
    <w:p w:rsidR="007C77BC" w:rsidRPr="004A00E0" w:rsidRDefault="007C77BC" w:rsidP="009D03E6"/>
    <w:p w:rsidR="007C77BC" w:rsidRPr="004A00E0" w:rsidRDefault="007C77BC" w:rsidP="009D03E6"/>
    <w:p w:rsidR="0017058A" w:rsidRPr="004A00E0" w:rsidRDefault="0017058A" w:rsidP="009D03E6"/>
    <w:p w:rsidR="000A0AF4" w:rsidRPr="004A00E0" w:rsidRDefault="000A0AF4" w:rsidP="009D03E6"/>
    <w:p w:rsidR="000A0AF4" w:rsidRPr="004A00E0" w:rsidRDefault="000A0AF4" w:rsidP="009D03E6"/>
    <w:p w:rsidR="000A0AF4" w:rsidRPr="004A00E0" w:rsidRDefault="000A0AF4" w:rsidP="009D03E6"/>
    <w:p w:rsidR="000A0AF4" w:rsidRPr="004A00E0" w:rsidRDefault="000A0AF4" w:rsidP="009D03E6"/>
    <w:p w:rsidR="000A0AF4" w:rsidRPr="004A00E0" w:rsidRDefault="000A0AF4" w:rsidP="009D03E6"/>
    <w:p w:rsidR="000A0AF4" w:rsidRPr="004A00E0" w:rsidRDefault="000A0AF4" w:rsidP="009D03E6"/>
    <w:p w:rsidR="007C77BC" w:rsidRPr="004A00E0" w:rsidRDefault="007C77BC" w:rsidP="009D03E6"/>
    <w:p w:rsidR="00587721" w:rsidRPr="004A00E0" w:rsidRDefault="0032065A" w:rsidP="0017058A">
      <w:pPr>
        <w:jc w:val="both"/>
        <w:rPr>
          <w:sz w:val="20"/>
          <w:szCs w:val="20"/>
        </w:rPr>
      </w:pPr>
      <w:r>
        <w:rPr>
          <w:sz w:val="20"/>
          <w:szCs w:val="20"/>
        </w:rPr>
        <w:t>0</w:t>
      </w:r>
      <w:r w:rsidR="0022460C">
        <w:rPr>
          <w:sz w:val="20"/>
          <w:szCs w:val="20"/>
        </w:rPr>
        <w:t>6</w:t>
      </w:r>
      <w:r w:rsidR="00143607" w:rsidRPr="004A00E0">
        <w:rPr>
          <w:sz w:val="20"/>
          <w:szCs w:val="20"/>
        </w:rPr>
        <w:t>.</w:t>
      </w:r>
      <w:r w:rsidR="00677E02" w:rsidRPr="004A00E0">
        <w:rPr>
          <w:sz w:val="20"/>
          <w:szCs w:val="20"/>
        </w:rPr>
        <w:t>1</w:t>
      </w:r>
      <w:r>
        <w:rPr>
          <w:sz w:val="20"/>
          <w:szCs w:val="20"/>
        </w:rPr>
        <w:t>2</w:t>
      </w:r>
      <w:r w:rsidR="00DA3684" w:rsidRPr="004A00E0">
        <w:rPr>
          <w:sz w:val="20"/>
          <w:szCs w:val="20"/>
        </w:rPr>
        <w:t>.201</w:t>
      </w:r>
      <w:r w:rsidR="000B1783" w:rsidRPr="004A00E0">
        <w:rPr>
          <w:sz w:val="20"/>
          <w:szCs w:val="20"/>
        </w:rPr>
        <w:t>3</w:t>
      </w:r>
      <w:r w:rsidR="00DA3684" w:rsidRPr="004A00E0">
        <w:rPr>
          <w:sz w:val="20"/>
          <w:szCs w:val="20"/>
        </w:rPr>
        <w:t xml:space="preserve">. </w:t>
      </w:r>
      <w:r w:rsidR="00143607" w:rsidRPr="004A00E0">
        <w:rPr>
          <w:sz w:val="20"/>
          <w:szCs w:val="20"/>
        </w:rPr>
        <w:t>1</w:t>
      </w:r>
      <w:r>
        <w:rPr>
          <w:sz w:val="20"/>
          <w:szCs w:val="20"/>
        </w:rPr>
        <w:t>1</w:t>
      </w:r>
      <w:r w:rsidR="007114FE" w:rsidRPr="004A00E0">
        <w:rPr>
          <w:sz w:val="20"/>
          <w:szCs w:val="20"/>
        </w:rPr>
        <w:t>:</w:t>
      </w:r>
      <w:r w:rsidR="0022460C">
        <w:rPr>
          <w:sz w:val="20"/>
          <w:szCs w:val="20"/>
        </w:rPr>
        <w:t>49</w:t>
      </w:r>
    </w:p>
    <w:p w:rsidR="00AA63F1" w:rsidRPr="004A00E0" w:rsidRDefault="00B65904" w:rsidP="0017058A">
      <w:pPr>
        <w:jc w:val="both"/>
        <w:rPr>
          <w:sz w:val="20"/>
          <w:szCs w:val="20"/>
        </w:rPr>
      </w:pPr>
      <w:r w:rsidRPr="004A00E0">
        <w:rPr>
          <w:sz w:val="20"/>
          <w:szCs w:val="20"/>
        </w:rPr>
        <w:t>3</w:t>
      </w:r>
      <w:r w:rsidR="0037548E">
        <w:rPr>
          <w:sz w:val="20"/>
          <w:szCs w:val="20"/>
        </w:rPr>
        <w:t>4</w:t>
      </w:r>
      <w:r w:rsidR="0022460C">
        <w:rPr>
          <w:sz w:val="20"/>
          <w:szCs w:val="20"/>
        </w:rPr>
        <w:t>77</w:t>
      </w:r>
    </w:p>
    <w:p w:rsidR="0017058A" w:rsidRPr="004A00E0" w:rsidRDefault="00DA3684" w:rsidP="0017058A">
      <w:pPr>
        <w:jc w:val="both"/>
        <w:rPr>
          <w:sz w:val="20"/>
          <w:szCs w:val="20"/>
        </w:rPr>
      </w:pPr>
      <w:r w:rsidRPr="004A00E0">
        <w:rPr>
          <w:sz w:val="20"/>
          <w:szCs w:val="20"/>
        </w:rPr>
        <w:t>L.Eglīte</w:t>
      </w:r>
      <w:r w:rsidR="00A60B6B" w:rsidRPr="004A00E0">
        <w:rPr>
          <w:sz w:val="20"/>
          <w:szCs w:val="20"/>
        </w:rPr>
        <w:t xml:space="preserve"> </w:t>
      </w:r>
      <w:r w:rsidRPr="004A00E0">
        <w:rPr>
          <w:sz w:val="20"/>
          <w:szCs w:val="20"/>
        </w:rPr>
        <w:t xml:space="preserve">67876091, </w:t>
      </w:r>
    </w:p>
    <w:p w:rsidR="00E04494" w:rsidRPr="004A00E0" w:rsidRDefault="00F40C08" w:rsidP="00E04494">
      <w:pPr>
        <w:jc w:val="both"/>
        <w:rPr>
          <w:sz w:val="20"/>
          <w:szCs w:val="20"/>
        </w:rPr>
      </w:pPr>
      <w:hyperlink r:id="rId8" w:history="1">
        <w:r w:rsidR="00E04494" w:rsidRPr="004A00E0">
          <w:rPr>
            <w:rStyle w:val="Hyperlink"/>
            <w:color w:val="auto"/>
            <w:sz w:val="20"/>
            <w:szCs w:val="20"/>
          </w:rPr>
          <w:t>Leonora.Eglite@vm.gov.lv</w:t>
        </w:r>
      </w:hyperlink>
    </w:p>
    <w:sectPr w:rsidR="00E04494" w:rsidRPr="004A00E0" w:rsidSect="00B5021C">
      <w:headerReference w:type="default" r:id="rId9"/>
      <w:footerReference w:type="default" r:id="rId10"/>
      <w:footerReference w:type="first" r:id="rId11"/>
      <w:pgSz w:w="11906" w:h="16838"/>
      <w:pgMar w:top="1134" w:right="992" w:bottom="1134" w:left="1701" w:header="567"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F9" w:rsidRDefault="007135F9">
      <w:r>
        <w:separator/>
      </w:r>
    </w:p>
  </w:endnote>
  <w:endnote w:type="continuationSeparator" w:id="0">
    <w:p w:rsidR="007135F9" w:rsidRDefault="0071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F9" w:rsidRPr="00CF0AEC" w:rsidRDefault="007135F9" w:rsidP="00CF0AEC">
    <w:pPr>
      <w:pStyle w:val="naisc"/>
      <w:spacing w:before="0" w:after="0"/>
      <w:jc w:val="both"/>
      <w:rPr>
        <w:bCs/>
        <w:color w:val="000000"/>
        <w:sz w:val="20"/>
        <w:szCs w:val="20"/>
      </w:rPr>
    </w:pPr>
    <w:r w:rsidRPr="00CF0AEC">
      <w:rPr>
        <w:sz w:val="20"/>
        <w:szCs w:val="20"/>
      </w:rPr>
      <w:t>VManot_</w:t>
    </w:r>
    <w:r w:rsidR="0032065A">
      <w:rPr>
        <w:sz w:val="20"/>
        <w:szCs w:val="20"/>
      </w:rPr>
      <w:t>05</w:t>
    </w:r>
    <w:r>
      <w:rPr>
        <w:sz w:val="20"/>
        <w:szCs w:val="20"/>
      </w:rPr>
      <w:t>1</w:t>
    </w:r>
    <w:r w:rsidR="0032065A">
      <w:rPr>
        <w:sz w:val="20"/>
        <w:szCs w:val="20"/>
      </w:rPr>
      <w:t>2</w:t>
    </w:r>
    <w:r w:rsidRPr="00CF0AEC">
      <w:rPr>
        <w:sz w:val="20"/>
        <w:szCs w:val="20"/>
      </w:rPr>
      <w:t>1</w:t>
    </w:r>
    <w:r>
      <w:rPr>
        <w:sz w:val="20"/>
        <w:szCs w:val="20"/>
      </w:rPr>
      <w:t>3_not60</w:t>
    </w:r>
    <w:r w:rsidRPr="00CF0AEC">
      <w:rPr>
        <w:sz w:val="20"/>
        <w:szCs w:val="20"/>
      </w:rPr>
      <w:t xml:space="preserve">; </w:t>
    </w:r>
    <w:r w:rsidRPr="00CF0AEC">
      <w:rPr>
        <w:bCs/>
        <w:color w:val="000000"/>
        <w:sz w:val="20"/>
        <w:szCs w:val="20"/>
      </w:rPr>
      <w:t>Ministru kabineta noteikumu projekta</w:t>
    </w:r>
    <w:r>
      <w:rPr>
        <w:bCs/>
        <w:color w:val="000000"/>
        <w:sz w:val="20"/>
        <w:szCs w:val="20"/>
      </w:rPr>
      <w:t xml:space="preserve"> </w:t>
    </w:r>
    <w:r w:rsidRPr="00CF0AEC">
      <w:rPr>
        <w:color w:val="000000"/>
        <w:sz w:val="20"/>
        <w:szCs w:val="20"/>
      </w:rPr>
      <w:t>„Grozījum</w:t>
    </w:r>
    <w:r>
      <w:rPr>
        <w:color w:val="000000"/>
        <w:sz w:val="20"/>
        <w:szCs w:val="20"/>
      </w:rPr>
      <w:t>s</w:t>
    </w:r>
    <w:r w:rsidRPr="00CF0AEC">
      <w:rPr>
        <w:color w:val="000000"/>
        <w:sz w:val="20"/>
        <w:szCs w:val="20"/>
      </w:rPr>
      <w:t xml:space="preserve"> </w:t>
    </w:r>
    <w:r w:rsidRPr="00CF0AEC">
      <w:rPr>
        <w:sz w:val="20"/>
        <w:szCs w:val="20"/>
      </w:rPr>
      <w:t xml:space="preserve">Ministru kabineta 2009.gada 20.janvāra noteikumos Nr.60 „Noteikumi par obligātajām prasībām ārstniecības iestādēm un to </w:t>
    </w:r>
    <w:r>
      <w:rPr>
        <w:sz w:val="20"/>
        <w:szCs w:val="20"/>
      </w:rPr>
      <w:t>s</w:t>
    </w:r>
    <w:r w:rsidRPr="00CF0AEC">
      <w:rPr>
        <w:sz w:val="20"/>
        <w:szCs w:val="20"/>
      </w:rPr>
      <w:t>truktūrvienībām”</w:t>
    </w:r>
    <w:r>
      <w:rPr>
        <w:sz w:val="20"/>
        <w:szCs w:val="20"/>
      </w:rPr>
      <w:t>”</w:t>
    </w:r>
    <w:r w:rsidRPr="00CF0AEC">
      <w:rPr>
        <w:sz w:val="20"/>
        <w:szCs w:val="20"/>
      </w:rPr>
      <w:t xml:space="preserve"> </w:t>
    </w:r>
    <w:r w:rsidRPr="00CF0AEC">
      <w:rPr>
        <w:color w:val="000000"/>
        <w:sz w:val="20"/>
        <w:szCs w:val="20"/>
      </w:rPr>
      <w:t xml:space="preserve">sākotnējās </w:t>
    </w:r>
    <w:r w:rsidRPr="00E04494">
      <w:rPr>
        <w:color w:val="000000"/>
        <w:sz w:val="20"/>
        <w:szCs w:val="20"/>
      </w:rPr>
      <w:t>(</w:t>
    </w:r>
    <w:proofErr w:type="spellStart"/>
    <w:r w:rsidRPr="00E04494">
      <w:rPr>
        <w:color w:val="000000"/>
        <w:sz w:val="20"/>
        <w:szCs w:val="20"/>
      </w:rPr>
      <w:t>ex-ante</w:t>
    </w:r>
    <w:proofErr w:type="spellEnd"/>
    <w:r w:rsidRPr="00E04494">
      <w:rPr>
        <w:color w:val="000000"/>
        <w:sz w:val="20"/>
        <w:szCs w:val="20"/>
      </w:rPr>
      <w:t xml:space="preserve">) </w:t>
    </w:r>
    <w:r w:rsidRPr="00CF0AEC">
      <w:rPr>
        <w:color w:val="000000"/>
        <w:sz w:val="20"/>
        <w:szCs w:val="20"/>
      </w:rPr>
      <w:t>ietekmes novērtējuma ziņojums (</w:t>
    </w:r>
    <w:r w:rsidRPr="00CF0AEC">
      <w:rPr>
        <w:bCs/>
        <w:color w:val="000000"/>
        <w:sz w:val="20"/>
        <w:szCs w:val="20"/>
      </w:rPr>
      <w:t>anotācija)</w:t>
    </w:r>
  </w:p>
  <w:p w:rsidR="007135F9" w:rsidRDefault="007135F9" w:rsidP="0028665C">
    <w:pPr>
      <w:jc w:val="both"/>
    </w:pPr>
  </w:p>
  <w:p w:rsidR="007135F9" w:rsidRDefault="007135F9" w:rsidP="00DC0AF4">
    <w:pPr>
      <w:tabs>
        <w:tab w:val="left" w:pos="3480"/>
      </w:tabs>
      <w:jc w:val="both"/>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F9" w:rsidRPr="00CF0AEC" w:rsidRDefault="007135F9" w:rsidP="00CF0AEC">
    <w:pPr>
      <w:pStyle w:val="naisc"/>
      <w:spacing w:before="0" w:after="0"/>
      <w:jc w:val="both"/>
      <w:rPr>
        <w:bCs/>
        <w:color w:val="000000"/>
        <w:sz w:val="20"/>
        <w:szCs w:val="20"/>
      </w:rPr>
    </w:pPr>
    <w:bookmarkStart w:id="4" w:name="OLE_LINK1"/>
    <w:bookmarkStart w:id="5" w:name="OLE_LINK2"/>
    <w:r w:rsidRPr="00CF0AEC">
      <w:rPr>
        <w:sz w:val="20"/>
        <w:szCs w:val="20"/>
      </w:rPr>
      <w:t>VManot_</w:t>
    </w:r>
    <w:r w:rsidR="0032065A">
      <w:rPr>
        <w:sz w:val="20"/>
        <w:szCs w:val="20"/>
      </w:rPr>
      <w:t>05</w:t>
    </w:r>
    <w:r>
      <w:rPr>
        <w:sz w:val="20"/>
        <w:szCs w:val="20"/>
      </w:rPr>
      <w:t>1</w:t>
    </w:r>
    <w:r w:rsidR="0032065A">
      <w:rPr>
        <w:sz w:val="20"/>
        <w:szCs w:val="20"/>
      </w:rPr>
      <w:t>2</w:t>
    </w:r>
    <w:r w:rsidRPr="00CF0AEC">
      <w:rPr>
        <w:sz w:val="20"/>
        <w:szCs w:val="20"/>
      </w:rPr>
      <w:t>1</w:t>
    </w:r>
    <w:r>
      <w:rPr>
        <w:sz w:val="20"/>
        <w:szCs w:val="20"/>
      </w:rPr>
      <w:t>3_not60</w:t>
    </w:r>
    <w:r w:rsidRPr="00CF0AEC">
      <w:rPr>
        <w:sz w:val="20"/>
        <w:szCs w:val="20"/>
      </w:rPr>
      <w:t xml:space="preserve">; </w:t>
    </w:r>
    <w:r w:rsidRPr="00CF0AEC">
      <w:rPr>
        <w:bCs/>
        <w:color w:val="000000"/>
        <w:sz w:val="20"/>
        <w:szCs w:val="20"/>
      </w:rPr>
      <w:t>Ministru kabineta noteikumu projekta</w:t>
    </w:r>
    <w:r>
      <w:rPr>
        <w:bCs/>
        <w:color w:val="000000"/>
        <w:sz w:val="20"/>
        <w:szCs w:val="20"/>
      </w:rPr>
      <w:t xml:space="preserve"> </w:t>
    </w:r>
    <w:r w:rsidRPr="00CF0AEC">
      <w:rPr>
        <w:color w:val="000000"/>
        <w:sz w:val="20"/>
        <w:szCs w:val="20"/>
      </w:rPr>
      <w:t>„Grozījum</w:t>
    </w:r>
    <w:r>
      <w:rPr>
        <w:color w:val="000000"/>
        <w:sz w:val="20"/>
        <w:szCs w:val="20"/>
      </w:rPr>
      <w:t>s</w:t>
    </w:r>
    <w:r w:rsidRPr="00CF0AEC">
      <w:rPr>
        <w:color w:val="000000"/>
        <w:sz w:val="20"/>
        <w:szCs w:val="20"/>
      </w:rPr>
      <w:t xml:space="preserve"> </w:t>
    </w:r>
    <w:r w:rsidRPr="00CF0AEC">
      <w:rPr>
        <w:sz w:val="20"/>
        <w:szCs w:val="20"/>
      </w:rPr>
      <w:t xml:space="preserve">Ministru kabineta 2009.gada 20.janvāra noteikumos Nr.60 „Noteikumi par obligātajām prasībām ārstniecības iestādēm un to </w:t>
    </w:r>
    <w:r>
      <w:rPr>
        <w:sz w:val="20"/>
        <w:szCs w:val="20"/>
      </w:rPr>
      <w:t>s</w:t>
    </w:r>
    <w:r w:rsidRPr="00CF0AEC">
      <w:rPr>
        <w:sz w:val="20"/>
        <w:szCs w:val="20"/>
      </w:rPr>
      <w:t>truktūrvienībām”</w:t>
    </w:r>
    <w:r>
      <w:rPr>
        <w:sz w:val="20"/>
        <w:szCs w:val="20"/>
      </w:rPr>
      <w:t xml:space="preserve">” </w:t>
    </w:r>
    <w:r w:rsidRPr="00CF0AEC">
      <w:rPr>
        <w:color w:val="000000"/>
        <w:sz w:val="20"/>
        <w:szCs w:val="20"/>
      </w:rPr>
      <w:t xml:space="preserve">sākotnējās </w:t>
    </w:r>
    <w:r w:rsidRPr="00E04494">
      <w:rPr>
        <w:color w:val="000000"/>
        <w:sz w:val="20"/>
        <w:szCs w:val="20"/>
      </w:rPr>
      <w:t>(</w:t>
    </w:r>
    <w:proofErr w:type="spellStart"/>
    <w:r w:rsidRPr="00E04494">
      <w:rPr>
        <w:color w:val="000000"/>
        <w:sz w:val="20"/>
        <w:szCs w:val="20"/>
      </w:rPr>
      <w:t>ex-ante</w:t>
    </w:r>
    <w:proofErr w:type="spellEnd"/>
    <w:r w:rsidRPr="00E04494">
      <w:rPr>
        <w:color w:val="000000"/>
        <w:sz w:val="20"/>
        <w:szCs w:val="20"/>
      </w:rPr>
      <w:t xml:space="preserve">) </w:t>
    </w:r>
    <w:r w:rsidRPr="00CF0AEC">
      <w:rPr>
        <w:color w:val="000000"/>
        <w:sz w:val="20"/>
        <w:szCs w:val="20"/>
      </w:rPr>
      <w:t>ietekmes novērtējuma ziņojums (</w:t>
    </w:r>
    <w:r w:rsidRPr="00CF0AEC">
      <w:rPr>
        <w:bCs/>
        <w:color w:val="000000"/>
        <w:sz w:val="20"/>
        <w:szCs w:val="20"/>
      </w:rPr>
      <w:t>anotācija)</w:t>
    </w:r>
  </w:p>
  <w:bookmarkEnd w:id="4"/>
  <w:bookmarkEnd w:id="5"/>
  <w:p w:rsidR="007135F9" w:rsidRPr="00F71DB1" w:rsidRDefault="007135F9" w:rsidP="00051386">
    <w:pPr>
      <w:tabs>
        <w:tab w:val="left" w:pos="2910"/>
      </w:tabs>
      <w:jc w:val="both"/>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F9" w:rsidRDefault="007135F9">
      <w:r>
        <w:separator/>
      </w:r>
    </w:p>
  </w:footnote>
  <w:footnote w:type="continuationSeparator" w:id="0">
    <w:p w:rsidR="007135F9" w:rsidRDefault="00713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F9" w:rsidRDefault="00F40C08">
    <w:pPr>
      <w:pStyle w:val="Header"/>
      <w:jc w:val="center"/>
    </w:pPr>
    <w:fldSimple w:instr=" PAGE   \* MERGEFORMAT ">
      <w:r w:rsidR="0022460C">
        <w:rPr>
          <w:noProof/>
        </w:rPr>
        <w:t>12</w:t>
      </w:r>
    </w:fldSimple>
  </w:p>
  <w:p w:rsidR="007135F9" w:rsidRDefault="007135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2D7939"/>
    <w:multiLevelType w:val="hybridMultilevel"/>
    <w:tmpl w:val="2FB24EC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C495134"/>
    <w:multiLevelType w:val="hybridMultilevel"/>
    <w:tmpl w:val="8DB4A364"/>
    <w:lvl w:ilvl="0" w:tplc="6E542480">
      <w:start w:val="1"/>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22C9"/>
    <w:multiLevelType w:val="hybridMultilevel"/>
    <w:tmpl w:val="84B0F296"/>
    <w:lvl w:ilvl="0" w:tplc="0426000B">
      <w:start w:val="1"/>
      <w:numFmt w:val="bullet"/>
      <w:lvlText w:val=""/>
      <w:lvlJc w:val="left"/>
      <w:pPr>
        <w:tabs>
          <w:tab w:val="num" w:pos="758"/>
        </w:tabs>
        <w:ind w:left="758"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4">
    <w:nsid w:val="5FD9405C"/>
    <w:multiLevelType w:val="hybridMultilevel"/>
    <w:tmpl w:val="B03A2804"/>
    <w:lvl w:ilvl="0" w:tplc="6E542480">
      <w:start w:val="1"/>
      <w:numFmt w:val="decimal"/>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932EC4"/>
    <w:multiLevelType w:val="hybridMultilevel"/>
    <w:tmpl w:val="2716E0E0"/>
    <w:lvl w:ilvl="0" w:tplc="D56622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137638"/>
    <w:multiLevelType w:val="hybridMultilevel"/>
    <w:tmpl w:val="463A95AC"/>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9B58DD"/>
    <w:rsid w:val="0000113E"/>
    <w:rsid w:val="000031C7"/>
    <w:rsid w:val="000034AF"/>
    <w:rsid w:val="00005E84"/>
    <w:rsid w:val="0001089A"/>
    <w:rsid w:val="00010ABB"/>
    <w:rsid w:val="00011294"/>
    <w:rsid w:val="00014C78"/>
    <w:rsid w:val="000174C5"/>
    <w:rsid w:val="000176EB"/>
    <w:rsid w:val="00017FF4"/>
    <w:rsid w:val="00023AAB"/>
    <w:rsid w:val="00023E2D"/>
    <w:rsid w:val="000250E9"/>
    <w:rsid w:val="000256D4"/>
    <w:rsid w:val="00026C12"/>
    <w:rsid w:val="00027E0A"/>
    <w:rsid w:val="00030571"/>
    <w:rsid w:val="00030798"/>
    <w:rsid w:val="00031500"/>
    <w:rsid w:val="00031732"/>
    <w:rsid w:val="00031733"/>
    <w:rsid w:val="00031886"/>
    <w:rsid w:val="0003319B"/>
    <w:rsid w:val="00034D98"/>
    <w:rsid w:val="00040DC9"/>
    <w:rsid w:val="0004420D"/>
    <w:rsid w:val="00044B5E"/>
    <w:rsid w:val="00051386"/>
    <w:rsid w:val="000546C7"/>
    <w:rsid w:val="00056C23"/>
    <w:rsid w:val="000576A1"/>
    <w:rsid w:val="0006159E"/>
    <w:rsid w:val="000619F9"/>
    <w:rsid w:val="00063AAA"/>
    <w:rsid w:val="00066F66"/>
    <w:rsid w:val="000676CB"/>
    <w:rsid w:val="000676FB"/>
    <w:rsid w:val="000717CD"/>
    <w:rsid w:val="00073CF0"/>
    <w:rsid w:val="00077CD1"/>
    <w:rsid w:val="000827DA"/>
    <w:rsid w:val="0008464F"/>
    <w:rsid w:val="00092040"/>
    <w:rsid w:val="00094E86"/>
    <w:rsid w:val="000951F2"/>
    <w:rsid w:val="0009545F"/>
    <w:rsid w:val="000A0206"/>
    <w:rsid w:val="000A0AF4"/>
    <w:rsid w:val="000A1767"/>
    <w:rsid w:val="000A33B9"/>
    <w:rsid w:val="000A5F86"/>
    <w:rsid w:val="000A74DA"/>
    <w:rsid w:val="000B0EF5"/>
    <w:rsid w:val="000B167D"/>
    <w:rsid w:val="000B1783"/>
    <w:rsid w:val="000B1AFD"/>
    <w:rsid w:val="000B4559"/>
    <w:rsid w:val="000B6855"/>
    <w:rsid w:val="000C07D2"/>
    <w:rsid w:val="000C29BF"/>
    <w:rsid w:val="000C4676"/>
    <w:rsid w:val="000C505D"/>
    <w:rsid w:val="000C54A2"/>
    <w:rsid w:val="000D16C6"/>
    <w:rsid w:val="000D64E7"/>
    <w:rsid w:val="000E305C"/>
    <w:rsid w:val="000E3E76"/>
    <w:rsid w:val="000F39C9"/>
    <w:rsid w:val="000F4515"/>
    <w:rsid w:val="000F7A43"/>
    <w:rsid w:val="00101C91"/>
    <w:rsid w:val="001037D3"/>
    <w:rsid w:val="0010476F"/>
    <w:rsid w:val="0010762C"/>
    <w:rsid w:val="0010771F"/>
    <w:rsid w:val="00112374"/>
    <w:rsid w:val="001128FC"/>
    <w:rsid w:val="00113023"/>
    <w:rsid w:val="00113C2A"/>
    <w:rsid w:val="00113F45"/>
    <w:rsid w:val="00113FA2"/>
    <w:rsid w:val="001159F3"/>
    <w:rsid w:val="00117010"/>
    <w:rsid w:val="00117254"/>
    <w:rsid w:val="001177DE"/>
    <w:rsid w:val="00122545"/>
    <w:rsid w:val="00123611"/>
    <w:rsid w:val="001271DB"/>
    <w:rsid w:val="0012742C"/>
    <w:rsid w:val="00132F5B"/>
    <w:rsid w:val="00135F08"/>
    <w:rsid w:val="00136127"/>
    <w:rsid w:val="00136E98"/>
    <w:rsid w:val="0013746E"/>
    <w:rsid w:val="00142E18"/>
    <w:rsid w:val="0014300F"/>
    <w:rsid w:val="00143607"/>
    <w:rsid w:val="00145966"/>
    <w:rsid w:val="00145A61"/>
    <w:rsid w:val="00145C8C"/>
    <w:rsid w:val="00147067"/>
    <w:rsid w:val="00147269"/>
    <w:rsid w:val="00147429"/>
    <w:rsid w:val="00153F11"/>
    <w:rsid w:val="00154B02"/>
    <w:rsid w:val="001611B9"/>
    <w:rsid w:val="00161770"/>
    <w:rsid w:val="00162154"/>
    <w:rsid w:val="00164E0D"/>
    <w:rsid w:val="001660B4"/>
    <w:rsid w:val="0016756A"/>
    <w:rsid w:val="0017058A"/>
    <w:rsid w:val="00175238"/>
    <w:rsid w:val="00175E5D"/>
    <w:rsid w:val="00177A52"/>
    <w:rsid w:val="001821E2"/>
    <w:rsid w:val="00184A2B"/>
    <w:rsid w:val="00184C48"/>
    <w:rsid w:val="00184DB7"/>
    <w:rsid w:val="0018553D"/>
    <w:rsid w:val="00190A6B"/>
    <w:rsid w:val="001939EA"/>
    <w:rsid w:val="00194B39"/>
    <w:rsid w:val="001A05DD"/>
    <w:rsid w:val="001A3AE5"/>
    <w:rsid w:val="001B107C"/>
    <w:rsid w:val="001B2A94"/>
    <w:rsid w:val="001B5C42"/>
    <w:rsid w:val="001C1F44"/>
    <w:rsid w:val="001C23FE"/>
    <w:rsid w:val="001C2E0F"/>
    <w:rsid w:val="001C669E"/>
    <w:rsid w:val="001D00B3"/>
    <w:rsid w:val="001D383C"/>
    <w:rsid w:val="001D3CCA"/>
    <w:rsid w:val="001D5271"/>
    <w:rsid w:val="001D53C6"/>
    <w:rsid w:val="001D5B3B"/>
    <w:rsid w:val="001E29A2"/>
    <w:rsid w:val="001E4278"/>
    <w:rsid w:val="001E575C"/>
    <w:rsid w:val="001E5B27"/>
    <w:rsid w:val="001F0CAF"/>
    <w:rsid w:val="001F1E00"/>
    <w:rsid w:val="001F30D2"/>
    <w:rsid w:val="002000F7"/>
    <w:rsid w:val="002020FF"/>
    <w:rsid w:val="002060EC"/>
    <w:rsid w:val="00206977"/>
    <w:rsid w:val="00213854"/>
    <w:rsid w:val="00214599"/>
    <w:rsid w:val="0021793B"/>
    <w:rsid w:val="002218F5"/>
    <w:rsid w:val="00221D4B"/>
    <w:rsid w:val="0022381D"/>
    <w:rsid w:val="002242D6"/>
    <w:rsid w:val="0022460C"/>
    <w:rsid w:val="00224B1A"/>
    <w:rsid w:val="00225EAC"/>
    <w:rsid w:val="002273DA"/>
    <w:rsid w:val="00227961"/>
    <w:rsid w:val="002308BA"/>
    <w:rsid w:val="00233C07"/>
    <w:rsid w:val="0023419C"/>
    <w:rsid w:val="00234940"/>
    <w:rsid w:val="00234E66"/>
    <w:rsid w:val="00237374"/>
    <w:rsid w:val="00241B1E"/>
    <w:rsid w:val="00242E57"/>
    <w:rsid w:val="002432BB"/>
    <w:rsid w:val="0024488B"/>
    <w:rsid w:val="00245ED8"/>
    <w:rsid w:val="0024629E"/>
    <w:rsid w:val="00246A57"/>
    <w:rsid w:val="00252F69"/>
    <w:rsid w:val="00257C48"/>
    <w:rsid w:val="00261998"/>
    <w:rsid w:val="00265324"/>
    <w:rsid w:val="002655A1"/>
    <w:rsid w:val="00273FB6"/>
    <w:rsid w:val="00276D6D"/>
    <w:rsid w:val="002815CD"/>
    <w:rsid w:val="00281C46"/>
    <w:rsid w:val="002839E0"/>
    <w:rsid w:val="002842CB"/>
    <w:rsid w:val="0028665C"/>
    <w:rsid w:val="00286E84"/>
    <w:rsid w:val="00287CB9"/>
    <w:rsid w:val="00287EA0"/>
    <w:rsid w:val="00291A37"/>
    <w:rsid w:val="00295C7B"/>
    <w:rsid w:val="00297ABE"/>
    <w:rsid w:val="002A0731"/>
    <w:rsid w:val="002A4C89"/>
    <w:rsid w:val="002B07FB"/>
    <w:rsid w:val="002B0FB0"/>
    <w:rsid w:val="002B458F"/>
    <w:rsid w:val="002B6DE9"/>
    <w:rsid w:val="002C05A6"/>
    <w:rsid w:val="002C30F9"/>
    <w:rsid w:val="002C3A84"/>
    <w:rsid w:val="002C76AB"/>
    <w:rsid w:val="002C7813"/>
    <w:rsid w:val="002D0430"/>
    <w:rsid w:val="002D15DE"/>
    <w:rsid w:val="002D1C33"/>
    <w:rsid w:val="002D4D71"/>
    <w:rsid w:val="002D57A6"/>
    <w:rsid w:val="002D5B5B"/>
    <w:rsid w:val="002D5E88"/>
    <w:rsid w:val="002D75E7"/>
    <w:rsid w:val="002D772C"/>
    <w:rsid w:val="002D78A3"/>
    <w:rsid w:val="002E097D"/>
    <w:rsid w:val="002E0DD7"/>
    <w:rsid w:val="002E14FF"/>
    <w:rsid w:val="002E176D"/>
    <w:rsid w:val="002E3F65"/>
    <w:rsid w:val="002E57B0"/>
    <w:rsid w:val="002E6506"/>
    <w:rsid w:val="002E65F8"/>
    <w:rsid w:val="002F0534"/>
    <w:rsid w:val="002F0A81"/>
    <w:rsid w:val="002F141B"/>
    <w:rsid w:val="002F3C88"/>
    <w:rsid w:val="002F6280"/>
    <w:rsid w:val="002F7359"/>
    <w:rsid w:val="00301823"/>
    <w:rsid w:val="003034D0"/>
    <w:rsid w:val="00305C3B"/>
    <w:rsid w:val="0031020A"/>
    <w:rsid w:val="0032065A"/>
    <w:rsid w:val="0032097C"/>
    <w:rsid w:val="00320CDC"/>
    <w:rsid w:val="00323D14"/>
    <w:rsid w:val="00323FC3"/>
    <w:rsid w:val="0032430F"/>
    <w:rsid w:val="00331338"/>
    <w:rsid w:val="00333352"/>
    <w:rsid w:val="00334768"/>
    <w:rsid w:val="0033535C"/>
    <w:rsid w:val="00343948"/>
    <w:rsid w:val="003443B4"/>
    <w:rsid w:val="00344AA6"/>
    <w:rsid w:val="003462FA"/>
    <w:rsid w:val="00355817"/>
    <w:rsid w:val="003563A0"/>
    <w:rsid w:val="0036011F"/>
    <w:rsid w:val="0036294D"/>
    <w:rsid w:val="003647EA"/>
    <w:rsid w:val="00365673"/>
    <w:rsid w:val="0037548E"/>
    <w:rsid w:val="0037779A"/>
    <w:rsid w:val="00381B6E"/>
    <w:rsid w:val="00381D0F"/>
    <w:rsid w:val="00382CAE"/>
    <w:rsid w:val="0038568D"/>
    <w:rsid w:val="003878B2"/>
    <w:rsid w:val="00387DDB"/>
    <w:rsid w:val="00391D85"/>
    <w:rsid w:val="00392DF0"/>
    <w:rsid w:val="003A26A9"/>
    <w:rsid w:val="003A3239"/>
    <w:rsid w:val="003A6F14"/>
    <w:rsid w:val="003C1C11"/>
    <w:rsid w:val="003C3861"/>
    <w:rsid w:val="003C478C"/>
    <w:rsid w:val="003C4B4E"/>
    <w:rsid w:val="003D1D09"/>
    <w:rsid w:val="003D2169"/>
    <w:rsid w:val="003D440A"/>
    <w:rsid w:val="003D4645"/>
    <w:rsid w:val="003D6A33"/>
    <w:rsid w:val="003D6EC8"/>
    <w:rsid w:val="003D790B"/>
    <w:rsid w:val="003D79FF"/>
    <w:rsid w:val="003E1774"/>
    <w:rsid w:val="003E19C2"/>
    <w:rsid w:val="003E2999"/>
    <w:rsid w:val="003E30E7"/>
    <w:rsid w:val="003E6AFE"/>
    <w:rsid w:val="003E6CAD"/>
    <w:rsid w:val="003F2BF2"/>
    <w:rsid w:val="00401E82"/>
    <w:rsid w:val="004049E7"/>
    <w:rsid w:val="00404C05"/>
    <w:rsid w:val="004104C0"/>
    <w:rsid w:val="004118E2"/>
    <w:rsid w:val="00411E72"/>
    <w:rsid w:val="0041396D"/>
    <w:rsid w:val="0041545A"/>
    <w:rsid w:val="0041545F"/>
    <w:rsid w:val="00421D75"/>
    <w:rsid w:val="004265BA"/>
    <w:rsid w:val="0043181F"/>
    <w:rsid w:val="0043716D"/>
    <w:rsid w:val="004426E2"/>
    <w:rsid w:val="004429EC"/>
    <w:rsid w:val="00447C2F"/>
    <w:rsid w:val="00451235"/>
    <w:rsid w:val="00452AE5"/>
    <w:rsid w:val="00455B0A"/>
    <w:rsid w:val="00462FCC"/>
    <w:rsid w:val="0046578D"/>
    <w:rsid w:val="00465EF7"/>
    <w:rsid w:val="0046769B"/>
    <w:rsid w:val="0046794A"/>
    <w:rsid w:val="00472E40"/>
    <w:rsid w:val="00481F95"/>
    <w:rsid w:val="004824F3"/>
    <w:rsid w:val="004833BD"/>
    <w:rsid w:val="00483FEF"/>
    <w:rsid w:val="0048448D"/>
    <w:rsid w:val="004851CA"/>
    <w:rsid w:val="00485815"/>
    <w:rsid w:val="00486836"/>
    <w:rsid w:val="004929F7"/>
    <w:rsid w:val="00492B18"/>
    <w:rsid w:val="00492DA4"/>
    <w:rsid w:val="00494269"/>
    <w:rsid w:val="00496298"/>
    <w:rsid w:val="004970CD"/>
    <w:rsid w:val="004A00E0"/>
    <w:rsid w:val="004A154B"/>
    <w:rsid w:val="004A3125"/>
    <w:rsid w:val="004A3B09"/>
    <w:rsid w:val="004A5A28"/>
    <w:rsid w:val="004B142C"/>
    <w:rsid w:val="004B46A3"/>
    <w:rsid w:val="004C087D"/>
    <w:rsid w:val="004C5648"/>
    <w:rsid w:val="004C5A7B"/>
    <w:rsid w:val="004C5D70"/>
    <w:rsid w:val="004D3E05"/>
    <w:rsid w:val="004D4DBA"/>
    <w:rsid w:val="004D68B6"/>
    <w:rsid w:val="004E3CC8"/>
    <w:rsid w:val="004E40E0"/>
    <w:rsid w:val="004F7F63"/>
    <w:rsid w:val="00500E5F"/>
    <w:rsid w:val="00504842"/>
    <w:rsid w:val="00505A04"/>
    <w:rsid w:val="0050715A"/>
    <w:rsid w:val="00510BB5"/>
    <w:rsid w:val="00511EFB"/>
    <w:rsid w:val="00511FB3"/>
    <w:rsid w:val="005128F2"/>
    <w:rsid w:val="0051369E"/>
    <w:rsid w:val="005137DB"/>
    <w:rsid w:val="00515ACF"/>
    <w:rsid w:val="00515E25"/>
    <w:rsid w:val="00516351"/>
    <w:rsid w:val="00517C56"/>
    <w:rsid w:val="00517E41"/>
    <w:rsid w:val="00520D39"/>
    <w:rsid w:val="0052688F"/>
    <w:rsid w:val="0052757E"/>
    <w:rsid w:val="00531164"/>
    <w:rsid w:val="00532961"/>
    <w:rsid w:val="00542532"/>
    <w:rsid w:val="00542C2B"/>
    <w:rsid w:val="00544F28"/>
    <w:rsid w:val="0054545F"/>
    <w:rsid w:val="0054643C"/>
    <w:rsid w:val="005534D6"/>
    <w:rsid w:val="0055376E"/>
    <w:rsid w:val="005570C5"/>
    <w:rsid w:val="00560994"/>
    <w:rsid w:val="00564B80"/>
    <w:rsid w:val="00581067"/>
    <w:rsid w:val="005815A2"/>
    <w:rsid w:val="00581747"/>
    <w:rsid w:val="005822A3"/>
    <w:rsid w:val="00583B4B"/>
    <w:rsid w:val="005841F5"/>
    <w:rsid w:val="00586CEB"/>
    <w:rsid w:val="00587721"/>
    <w:rsid w:val="005878AF"/>
    <w:rsid w:val="00587B6F"/>
    <w:rsid w:val="005927A1"/>
    <w:rsid w:val="005943F8"/>
    <w:rsid w:val="00594F77"/>
    <w:rsid w:val="005965DB"/>
    <w:rsid w:val="00596D24"/>
    <w:rsid w:val="005A3790"/>
    <w:rsid w:val="005A45CB"/>
    <w:rsid w:val="005A56C6"/>
    <w:rsid w:val="005A6F82"/>
    <w:rsid w:val="005B0363"/>
    <w:rsid w:val="005B292D"/>
    <w:rsid w:val="005D1155"/>
    <w:rsid w:val="005D219D"/>
    <w:rsid w:val="005D2C7C"/>
    <w:rsid w:val="005D2E90"/>
    <w:rsid w:val="005D34C4"/>
    <w:rsid w:val="005D6AF8"/>
    <w:rsid w:val="005D7F88"/>
    <w:rsid w:val="005E11DD"/>
    <w:rsid w:val="005E3958"/>
    <w:rsid w:val="005E6678"/>
    <w:rsid w:val="005E6A2C"/>
    <w:rsid w:val="005E794A"/>
    <w:rsid w:val="005E7B83"/>
    <w:rsid w:val="005E7F17"/>
    <w:rsid w:val="005F1145"/>
    <w:rsid w:val="005F1E46"/>
    <w:rsid w:val="005F4DEF"/>
    <w:rsid w:val="005F56E7"/>
    <w:rsid w:val="005F7F00"/>
    <w:rsid w:val="0060082B"/>
    <w:rsid w:val="006008F9"/>
    <w:rsid w:val="006023DA"/>
    <w:rsid w:val="0060435F"/>
    <w:rsid w:val="006046E1"/>
    <w:rsid w:val="006052EA"/>
    <w:rsid w:val="00606099"/>
    <w:rsid w:val="00606BAE"/>
    <w:rsid w:val="00611EB4"/>
    <w:rsid w:val="006146DF"/>
    <w:rsid w:val="0062099E"/>
    <w:rsid w:val="00621AAA"/>
    <w:rsid w:val="006227E4"/>
    <w:rsid w:val="006236CF"/>
    <w:rsid w:val="00623985"/>
    <w:rsid w:val="00623C89"/>
    <w:rsid w:val="0062607A"/>
    <w:rsid w:val="0063024A"/>
    <w:rsid w:val="00631E71"/>
    <w:rsid w:val="006336C5"/>
    <w:rsid w:val="0063576F"/>
    <w:rsid w:val="00637D38"/>
    <w:rsid w:val="00644B7F"/>
    <w:rsid w:val="00644BB7"/>
    <w:rsid w:val="00645D29"/>
    <w:rsid w:val="00647907"/>
    <w:rsid w:val="00650670"/>
    <w:rsid w:val="00652F16"/>
    <w:rsid w:val="006554D1"/>
    <w:rsid w:val="00656CAA"/>
    <w:rsid w:val="00662D95"/>
    <w:rsid w:val="006637C8"/>
    <w:rsid w:val="00664918"/>
    <w:rsid w:val="0066696E"/>
    <w:rsid w:val="00667977"/>
    <w:rsid w:val="00667C0B"/>
    <w:rsid w:val="006709A7"/>
    <w:rsid w:val="00671690"/>
    <w:rsid w:val="0067468E"/>
    <w:rsid w:val="0067550E"/>
    <w:rsid w:val="00677E02"/>
    <w:rsid w:val="006811CC"/>
    <w:rsid w:val="00683181"/>
    <w:rsid w:val="00683DB1"/>
    <w:rsid w:val="0068561D"/>
    <w:rsid w:val="006858E3"/>
    <w:rsid w:val="00686B5D"/>
    <w:rsid w:val="00686E46"/>
    <w:rsid w:val="00691E21"/>
    <w:rsid w:val="006930D7"/>
    <w:rsid w:val="00693190"/>
    <w:rsid w:val="00695AA1"/>
    <w:rsid w:val="00697E56"/>
    <w:rsid w:val="006A14BC"/>
    <w:rsid w:val="006A7404"/>
    <w:rsid w:val="006B0F45"/>
    <w:rsid w:val="006B3E34"/>
    <w:rsid w:val="006C014B"/>
    <w:rsid w:val="006D059A"/>
    <w:rsid w:val="006D3E25"/>
    <w:rsid w:val="006D528E"/>
    <w:rsid w:val="006E0A51"/>
    <w:rsid w:val="006E67B5"/>
    <w:rsid w:val="006E6ECE"/>
    <w:rsid w:val="006E72A6"/>
    <w:rsid w:val="006F060E"/>
    <w:rsid w:val="006F5077"/>
    <w:rsid w:val="006F6CB7"/>
    <w:rsid w:val="007000A8"/>
    <w:rsid w:val="00702A26"/>
    <w:rsid w:val="0070413B"/>
    <w:rsid w:val="00706743"/>
    <w:rsid w:val="00707A3C"/>
    <w:rsid w:val="00710043"/>
    <w:rsid w:val="00710DFC"/>
    <w:rsid w:val="007114FE"/>
    <w:rsid w:val="00712129"/>
    <w:rsid w:val="0071223C"/>
    <w:rsid w:val="0071236D"/>
    <w:rsid w:val="00712ABA"/>
    <w:rsid w:val="0071329D"/>
    <w:rsid w:val="007135F9"/>
    <w:rsid w:val="00713DA7"/>
    <w:rsid w:val="00716440"/>
    <w:rsid w:val="00721D6C"/>
    <w:rsid w:val="00724FF7"/>
    <w:rsid w:val="00741025"/>
    <w:rsid w:val="0074150B"/>
    <w:rsid w:val="00743A64"/>
    <w:rsid w:val="00743F7D"/>
    <w:rsid w:val="00744C0B"/>
    <w:rsid w:val="00745A8C"/>
    <w:rsid w:val="007466B0"/>
    <w:rsid w:val="00751104"/>
    <w:rsid w:val="00754494"/>
    <w:rsid w:val="00761409"/>
    <w:rsid w:val="007614E1"/>
    <w:rsid w:val="00763490"/>
    <w:rsid w:val="007643AB"/>
    <w:rsid w:val="00764662"/>
    <w:rsid w:val="007666C1"/>
    <w:rsid w:val="00771333"/>
    <w:rsid w:val="00772A15"/>
    <w:rsid w:val="007733B1"/>
    <w:rsid w:val="00774D01"/>
    <w:rsid w:val="00775C40"/>
    <w:rsid w:val="00780B33"/>
    <w:rsid w:val="00783D1F"/>
    <w:rsid w:val="00787A34"/>
    <w:rsid w:val="00787CA3"/>
    <w:rsid w:val="00792BBA"/>
    <w:rsid w:val="00795834"/>
    <w:rsid w:val="007971E6"/>
    <w:rsid w:val="007A01FD"/>
    <w:rsid w:val="007A2F70"/>
    <w:rsid w:val="007A39D4"/>
    <w:rsid w:val="007A495B"/>
    <w:rsid w:val="007A59F8"/>
    <w:rsid w:val="007B2D71"/>
    <w:rsid w:val="007B3330"/>
    <w:rsid w:val="007B3D4D"/>
    <w:rsid w:val="007B7827"/>
    <w:rsid w:val="007C183D"/>
    <w:rsid w:val="007C235B"/>
    <w:rsid w:val="007C52CF"/>
    <w:rsid w:val="007C5784"/>
    <w:rsid w:val="007C6AB3"/>
    <w:rsid w:val="007C77BC"/>
    <w:rsid w:val="007C7C8A"/>
    <w:rsid w:val="007D37E2"/>
    <w:rsid w:val="007E1FEA"/>
    <w:rsid w:val="007E3515"/>
    <w:rsid w:val="007E393D"/>
    <w:rsid w:val="007E547E"/>
    <w:rsid w:val="007E75DE"/>
    <w:rsid w:val="007F2591"/>
    <w:rsid w:val="007F31DB"/>
    <w:rsid w:val="007F4DBB"/>
    <w:rsid w:val="00800740"/>
    <w:rsid w:val="00802269"/>
    <w:rsid w:val="008023B4"/>
    <w:rsid w:val="00811ADB"/>
    <w:rsid w:val="00814DA6"/>
    <w:rsid w:val="008161AF"/>
    <w:rsid w:val="0081628E"/>
    <w:rsid w:val="00816D96"/>
    <w:rsid w:val="00816E70"/>
    <w:rsid w:val="008214D6"/>
    <w:rsid w:val="00822602"/>
    <w:rsid w:val="00827508"/>
    <w:rsid w:val="0083104D"/>
    <w:rsid w:val="008319A3"/>
    <w:rsid w:val="00831CD9"/>
    <w:rsid w:val="008355B5"/>
    <w:rsid w:val="008363C6"/>
    <w:rsid w:val="00836A26"/>
    <w:rsid w:val="008379D7"/>
    <w:rsid w:val="00840615"/>
    <w:rsid w:val="00841C48"/>
    <w:rsid w:val="00841CCE"/>
    <w:rsid w:val="008426D4"/>
    <w:rsid w:val="0084489C"/>
    <w:rsid w:val="00850C22"/>
    <w:rsid w:val="00851D1D"/>
    <w:rsid w:val="008549C2"/>
    <w:rsid w:val="0085544B"/>
    <w:rsid w:val="00856025"/>
    <w:rsid w:val="008625BC"/>
    <w:rsid w:val="00863BF4"/>
    <w:rsid w:val="008644D1"/>
    <w:rsid w:val="008649E0"/>
    <w:rsid w:val="00870C67"/>
    <w:rsid w:val="008710BD"/>
    <w:rsid w:val="008729EB"/>
    <w:rsid w:val="008731BC"/>
    <w:rsid w:val="008749C4"/>
    <w:rsid w:val="00875341"/>
    <w:rsid w:val="00875FCF"/>
    <w:rsid w:val="00876616"/>
    <w:rsid w:val="008846D1"/>
    <w:rsid w:val="00887216"/>
    <w:rsid w:val="00890E6D"/>
    <w:rsid w:val="00890FFD"/>
    <w:rsid w:val="00893F9C"/>
    <w:rsid w:val="008978CF"/>
    <w:rsid w:val="008A221B"/>
    <w:rsid w:val="008A4B2C"/>
    <w:rsid w:val="008A6A8C"/>
    <w:rsid w:val="008A6D1F"/>
    <w:rsid w:val="008A7FFB"/>
    <w:rsid w:val="008B1239"/>
    <w:rsid w:val="008B15D9"/>
    <w:rsid w:val="008B5EA3"/>
    <w:rsid w:val="008B6E78"/>
    <w:rsid w:val="008C15BC"/>
    <w:rsid w:val="008C37B8"/>
    <w:rsid w:val="008C675E"/>
    <w:rsid w:val="008C68B5"/>
    <w:rsid w:val="008D052C"/>
    <w:rsid w:val="008D0750"/>
    <w:rsid w:val="008D118E"/>
    <w:rsid w:val="008D1A3C"/>
    <w:rsid w:val="008D2BD9"/>
    <w:rsid w:val="008D310A"/>
    <w:rsid w:val="008D3EF2"/>
    <w:rsid w:val="008D650C"/>
    <w:rsid w:val="008E1B88"/>
    <w:rsid w:val="008E31DD"/>
    <w:rsid w:val="008E4003"/>
    <w:rsid w:val="008E4C0E"/>
    <w:rsid w:val="008E4C24"/>
    <w:rsid w:val="008F3AEE"/>
    <w:rsid w:val="008F6925"/>
    <w:rsid w:val="008F72BB"/>
    <w:rsid w:val="008F7C30"/>
    <w:rsid w:val="0090262C"/>
    <w:rsid w:val="00903903"/>
    <w:rsid w:val="00903D2C"/>
    <w:rsid w:val="00904E2C"/>
    <w:rsid w:val="00910D7F"/>
    <w:rsid w:val="009114CD"/>
    <w:rsid w:val="009207DF"/>
    <w:rsid w:val="0092113B"/>
    <w:rsid w:val="00923A11"/>
    <w:rsid w:val="009241A5"/>
    <w:rsid w:val="00925A53"/>
    <w:rsid w:val="00925AFF"/>
    <w:rsid w:val="00936167"/>
    <w:rsid w:val="00936ADF"/>
    <w:rsid w:val="0093747F"/>
    <w:rsid w:val="00941442"/>
    <w:rsid w:val="009414C6"/>
    <w:rsid w:val="00941AEE"/>
    <w:rsid w:val="00941E23"/>
    <w:rsid w:val="00943410"/>
    <w:rsid w:val="00943667"/>
    <w:rsid w:val="0094413D"/>
    <w:rsid w:val="00950E46"/>
    <w:rsid w:val="00951E98"/>
    <w:rsid w:val="00953966"/>
    <w:rsid w:val="00953A89"/>
    <w:rsid w:val="009542CF"/>
    <w:rsid w:val="00960547"/>
    <w:rsid w:val="00962580"/>
    <w:rsid w:val="00963B4A"/>
    <w:rsid w:val="00964392"/>
    <w:rsid w:val="0097425B"/>
    <w:rsid w:val="00975F50"/>
    <w:rsid w:val="0097692D"/>
    <w:rsid w:val="00977346"/>
    <w:rsid w:val="00977841"/>
    <w:rsid w:val="00981071"/>
    <w:rsid w:val="00982BF2"/>
    <w:rsid w:val="00983F46"/>
    <w:rsid w:val="00991BA2"/>
    <w:rsid w:val="009929F4"/>
    <w:rsid w:val="00992D55"/>
    <w:rsid w:val="009A0212"/>
    <w:rsid w:val="009A0B3C"/>
    <w:rsid w:val="009A0BD6"/>
    <w:rsid w:val="009A3F0B"/>
    <w:rsid w:val="009A47DB"/>
    <w:rsid w:val="009A63A9"/>
    <w:rsid w:val="009A786A"/>
    <w:rsid w:val="009B58DD"/>
    <w:rsid w:val="009B7486"/>
    <w:rsid w:val="009C1962"/>
    <w:rsid w:val="009C7045"/>
    <w:rsid w:val="009D03E6"/>
    <w:rsid w:val="009D0985"/>
    <w:rsid w:val="009D2F6F"/>
    <w:rsid w:val="009D35D6"/>
    <w:rsid w:val="009D4851"/>
    <w:rsid w:val="009D69C7"/>
    <w:rsid w:val="009E43B3"/>
    <w:rsid w:val="009E67E8"/>
    <w:rsid w:val="009F3573"/>
    <w:rsid w:val="009F502F"/>
    <w:rsid w:val="009F60F5"/>
    <w:rsid w:val="009F6682"/>
    <w:rsid w:val="00A005BA"/>
    <w:rsid w:val="00A0495C"/>
    <w:rsid w:val="00A06A88"/>
    <w:rsid w:val="00A06CC1"/>
    <w:rsid w:val="00A06DC8"/>
    <w:rsid w:val="00A151AF"/>
    <w:rsid w:val="00A15700"/>
    <w:rsid w:val="00A157B8"/>
    <w:rsid w:val="00A175CC"/>
    <w:rsid w:val="00A220D8"/>
    <w:rsid w:val="00A2275B"/>
    <w:rsid w:val="00A22E56"/>
    <w:rsid w:val="00A23FE0"/>
    <w:rsid w:val="00A24482"/>
    <w:rsid w:val="00A24F30"/>
    <w:rsid w:val="00A2715C"/>
    <w:rsid w:val="00A326FD"/>
    <w:rsid w:val="00A33D33"/>
    <w:rsid w:val="00A3503B"/>
    <w:rsid w:val="00A3631D"/>
    <w:rsid w:val="00A366E0"/>
    <w:rsid w:val="00A448C7"/>
    <w:rsid w:val="00A459F4"/>
    <w:rsid w:val="00A45C69"/>
    <w:rsid w:val="00A508B5"/>
    <w:rsid w:val="00A50E82"/>
    <w:rsid w:val="00A53449"/>
    <w:rsid w:val="00A60B6B"/>
    <w:rsid w:val="00A60C2C"/>
    <w:rsid w:val="00A63061"/>
    <w:rsid w:val="00A6377C"/>
    <w:rsid w:val="00A657E5"/>
    <w:rsid w:val="00A67365"/>
    <w:rsid w:val="00A708EC"/>
    <w:rsid w:val="00A73A2F"/>
    <w:rsid w:val="00A74847"/>
    <w:rsid w:val="00A7591E"/>
    <w:rsid w:val="00A7674F"/>
    <w:rsid w:val="00A81F06"/>
    <w:rsid w:val="00A83AFE"/>
    <w:rsid w:val="00A852BA"/>
    <w:rsid w:val="00A859D0"/>
    <w:rsid w:val="00A8638B"/>
    <w:rsid w:val="00A87DB7"/>
    <w:rsid w:val="00A90ACE"/>
    <w:rsid w:val="00A91EDE"/>
    <w:rsid w:val="00A92F6F"/>
    <w:rsid w:val="00A94366"/>
    <w:rsid w:val="00A94570"/>
    <w:rsid w:val="00A95276"/>
    <w:rsid w:val="00AA0598"/>
    <w:rsid w:val="00AA16D1"/>
    <w:rsid w:val="00AA2781"/>
    <w:rsid w:val="00AA3A62"/>
    <w:rsid w:val="00AA63F1"/>
    <w:rsid w:val="00AB0908"/>
    <w:rsid w:val="00AB2F3E"/>
    <w:rsid w:val="00AB6493"/>
    <w:rsid w:val="00AC0455"/>
    <w:rsid w:val="00AC18B5"/>
    <w:rsid w:val="00AC2438"/>
    <w:rsid w:val="00AC54E6"/>
    <w:rsid w:val="00AC714B"/>
    <w:rsid w:val="00AD0D3E"/>
    <w:rsid w:val="00AD17E3"/>
    <w:rsid w:val="00AD2824"/>
    <w:rsid w:val="00AD78C9"/>
    <w:rsid w:val="00AE0F54"/>
    <w:rsid w:val="00AE25C4"/>
    <w:rsid w:val="00AE3986"/>
    <w:rsid w:val="00AE651E"/>
    <w:rsid w:val="00AF168E"/>
    <w:rsid w:val="00AF55C9"/>
    <w:rsid w:val="00AF6A8F"/>
    <w:rsid w:val="00B008A4"/>
    <w:rsid w:val="00B0283F"/>
    <w:rsid w:val="00B03452"/>
    <w:rsid w:val="00B05E21"/>
    <w:rsid w:val="00B06EB7"/>
    <w:rsid w:val="00B0709D"/>
    <w:rsid w:val="00B11749"/>
    <w:rsid w:val="00B15E0B"/>
    <w:rsid w:val="00B16C84"/>
    <w:rsid w:val="00B16DB3"/>
    <w:rsid w:val="00B17189"/>
    <w:rsid w:val="00B176F5"/>
    <w:rsid w:val="00B22A34"/>
    <w:rsid w:val="00B2773D"/>
    <w:rsid w:val="00B27BB7"/>
    <w:rsid w:val="00B31132"/>
    <w:rsid w:val="00B319CD"/>
    <w:rsid w:val="00B34DC9"/>
    <w:rsid w:val="00B35EFC"/>
    <w:rsid w:val="00B36C7C"/>
    <w:rsid w:val="00B37D35"/>
    <w:rsid w:val="00B37D51"/>
    <w:rsid w:val="00B4043D"/>
    <w:rsid w:val="00B4082A"/>
    <w:rsid w:val="00B4544A"/>
    <w:rsid w:val="00B46525"/>
    <w:rsid w:val="00B5021C"/>
    <w:rsid w:val="00B5029C"/>
    <w:rsid w:val="00B521E2"/>
    <w:rsid w:val="00B53AE1"/>
    <w:rsid w:val="00B56382"/>
    <w:rsid w:val="00B56FDF"/>
    <w:rsid w:val="00B57300"/>
    <w:rsid w:val="00B6031C"/>
    <w:rsid w:val="00B6283F"/>
    <w:rsid w:val="00B62A1C"/>
    <w:rsid w:val="00B62B4B"/>
    <w:rsid w:val="00B62F3E"/>
    <w:rsid w:val="00B62FA1"/>
    <w:rsid w:val="00B65904"/>
    <w:rsid w:val="00B66A9B"/>
    <w:rsid w:val="00B70A62"/>
    <w:rsid w:val="00B72086"/>
    <w:rsid w:val="00B80142"/>
    <w:rsid w:val="00B810D3"/>
    <w:rsid w:val="00B8228F"/>
    <w:rsid w:val="00B8508F"/>
    <w:rsid w:val="00B8524B"/>
    <w:rsid w:val="00B858FD"/>
    <w:rsid w:val="00B924DD"/>
    <w:rsid w:val="00B9364D"/>
    <w:rsid w:val="00B938F1"/>
    <w:rsid w:val="00B93B11"/>
    <w:rsid w:val="00B93C97"/>
    <w:rsid w:val="00B96F5B"/>
    <w:rsid w:val="00BA00D2"/>
    <w:rsid w:val="00BA085A"/>
    <w:rsid w:val="00BA2469"/>
    <w:rsid w:val="00BA38EC"/>
    <w:rsid w:val="00BA3D14"/>
    <w:rsid w:val="00BA60C1"/>
    <w:rsid w:val="00BA6563"/>
    <w:rsid w:val="00BB1D7D"/>
    <w:rsid w:val="00BB3C7A"/>
    <w:rsid w:val="00BB4FFA"/>
    <w:rsid w:val="00BB5CF2"/>
    <w:rsid w:val="00BB67EF"/>
    <w:rsid w:val="00BB6DE7"/>
    <w:rsid w:val="00BC3CF9"/>
    <w:rsid w:val="00BC5C78"/>
    <w:rsid w:val="00BC6353"/>
    <w:rsid w:val="00BC6CA4"/>
    <w:rsid w:val="00BD0E73"/>
    <w:rsid w:val="00BD1565"/>
    <w:rsid w:val="00BD3DBC"/>
    <w:rsid w:val="00BD41FF"/>
    <w:rsid w:val="00BD6046"/>
    <w:rsid w:val="00BD6927"/>
    <w:rsid w:val="00BD7449"/>
    <w:rsid w:val="00BE179F"/>
    <w:rsid w:val="00BE2DDA"/>
    <w:rsid w:val="00BE548B"/>
    <w:rsid w:val="00BF217F"/>
    <w:rsid w:val="00BF2591"/>
    <w:rsid w:val="00BF6F58"/>
    <w:rsid w:val="00C00C17"/>
    <w:rsid w:val="00C04496"/>
    <w:rsid w:val="00C048BE"/>
    <w:rsid w:val="00C1213D"/>
    <w:rsid w:val="00C12B93"/>
    <w:rsid w:val="00C13E0E"/>
    <w:rsid w:val="00C13EB4"/>
    <w:rsid w:val="00C14BD6"/>
    <w:rsid w:val="00C16397"/>
    <w:rsid w:val="00C177D5"/>
    <w:rsid w:val="00C20405"/>
    <w:rsid w:val="00C2200E"/>
    <w:rsid w:val="00C235D0"/>
    <w:rsid w:val="00C237C4"/>
    <w:rsid w:val="00C24D07"/>
    <w:rsid w:val="00C305CF"/>
    <w:rsid w:val="00C31908"/>
    <w:rsid w:val="00C31BB6"/>
    <w:rsid w:val="00C3468B"/>
    <w:rsid w:val="00C3555C"/>
    <w:rsid w:val="00C361FA"/>
    <w:rsid w:val="00C41387"/>
    <w:rsid w:val="00C43D8F"/>
    <w:rsid w:val="00C5113D"/>
    <w:rsid w:val="00C51DBA"/>
    <w:rsid w:val="00C5555F"/>
    <w:rsid w:val="00C56795"/>
    <w:rsid w:val="00C6462C"/>
    <w:rsid w:val="00C677CE"/>
    <w:rsid w:val="00C72C04"/>
    <w:rsid w:val="00C730AD"/>
    <w:rsid w:val="00C73394"/>
    <w:rsid w:val="00C74462"/>
    <w:rsid w:val="00C74DB6"/>
    <w:rsid w:val="00C820F1"/>
    <w:rsid w:val="00C833A7"/>
    <w:rsid w:val="00C84167"/>
    <w:rsid w:val="00C84862"/>
    <w:rsid w:val="00C86F2C"/>
    <w:rsid w:val="00C904E4"/>
    <w:rsid w:val="00C91DFD"/>
    <w:rsid w:val="00C92D75"/>
    <w:rsid w:val="00C93A0F"/>
    <w:rsid w:val="00C95499"/>
    <w:rsid w:val="00C97640"/>
    <w:rsid w:val="00CA0947"/>
    <w:rsid w:val="00CA211B"/>
    <w:rsid w:val="00CA5301"/>
    <w:rsid w:val="00CA6482"/>
    <w:rsid w:val="00CB426D"/>
    <w:rsid w:val="00CC5466"/>
    <w:rsid w:val="00CC590E"/>
    <w:rsid w:val="00CC61F9"/>
    <w:rsid w:val="00CD2984"/>
    <w:rsid w:val="00CD748A"/>
    <w:rsid w:val="00CE2B7D"/>
    <w:rsid w:val="00CE49C4"/>
    <w:rsid w:val="00CE50D8"/>
    <w:rsid w:val="00CE7652"/>
    <w:rsid w:val="00CE7AD7"/>
    <w:rsid w:val="00CF0AEC"/>
    <w:rsid w:val="00CF31AF"/>
    <w:rsid w:val="00CF5943"/>
    <w:rsid w:val="00D0023B"/>
    <w:rsid w:val="00D006A1"/>
    <w:rsid w:val="00D006BB"/>
    <w:rsid w:val="00D02055"/>
    <w:rsid w:val="00D02306"/>
    <w:rsid w:val="00D04C1D"/>
    <w:rsid w:val="00D075BC"/>
    <w:rsid w:val="00D24AD3"/>
    <w:rsid w:val="00D25FF7"/>
    <w:rsid w:val="00D26B34"/>
    <w:rsid w:val="00D26F2A"/>
    <w:rsid w:val="00D309A2"/>
    <w:rsid w:val="00D332ED"/>
    <w:rsid w:val="00D339B6"/>
    <w:rsid w:val="00D35808"/>
    <w:rsid w:val="00D376BA"/>
    <w:rsid w:val="00D376E8"/>
    <w:rsid w:val="00D42020"/>
    <w:rsid w:val="00D4417E"/>
    <w:rsid w:val="00D46EAA"/>
    <w:rsid w:val="00D5025E"/>
    <w:rsid w:val="00D50DB4"/>
    <w:rsid w:val="00D517C8"/>
    <w:rsid w:val="00D51A91"/>
    <w:rsid w:val="00D5513B"/>
    <w:rsid w:val="00D55EED"/>
    <w:rsid w:val="00D70AE5"/>
    <w:rsid w:val="00D762D0"/>
    <w:rsid w:val="00D77F12"/>
    <w:rsid w:val="00D8641E"/>
    <w:rsid w:val="00D87FE7"/>
    <w:rsid w:val="00D91DFC"/>
    <w:rsid w:val="00D92487"/>
    <w:rsid w:val="00D92CDF"/>
    <w:rsid w:val="00D92ECA"/>
    <w:rsid w:val="00D96116"/>
    <w:rsid w:val="00DA3684"/>
    <w:rsid w:val="00DA4C3B"/>
    <w:rsid w:val="00DA71C4"/>
    <w:rsid w:val="00DB02AF"/>
    <w:rsid w:val="00DB0CB1"/>
    <w:rsid w:val="00DB19B6"/>
    <w:rsid w:val="00DB4041"/>
    <w:rsid w:val="00DB79B5"/>
    <w:rsid w:val="00DC0AF4"/>
    <w:rsid w:val="00DC1985"/>
    <w:rsid w:val="00DC1BC5"/>
    <w:rsid w:val="00DC1BDC"/>
    <w:rsid w:val="00DC3BDD"/>
    <w:rsid w:val="00DC3D95"/>
    <w:rsid w:val="00DC4C7D"/>
    <w:rsid w:val="00DE512C"/>
    <w:rsid w:val="00DE5A02"/>
    <w:rsid w:val="00DE5C65"/>
    <w:rsid w:val="00DF1447"/>
    <w:rsid w:val="00DF214D"/>
    <w:rsid w:val="00DF2D89"/>
    <w:rsid w:val="00DF478F"/>
    <w:rsid w:val="00E029FB"/>
    <w:rsid w:val="00E04494"/>
    <w:rsid w:val="00E045A8"/>
    <w:rsid w:val="00E04B05"/>
    <w:rsid w:val="00E1525F"/>
    <w:rsid w:val="00E16DE6"/>
    <w:rsid w:val="00E2151A"/>
    <w:rsid w:val="00E2248D"/>
    <w:rsid w:val="00E23D16"/>
    <w:rsid w:val="00E24063"/>
    <w:rsid w:val="00E25CF5"/>
    <w:rsid w:val="00E27A5F"/>
    <w:rsid w:val="00E31B95"/>
    <w:rsid w:val="00E34DC0"/>
    <w:rsid w:val="00E401EB"/>
    <w:rsid w:val="00E4078B"/>
    <w:rsid w:val="00E40E77"/>
    <w:rsid w:val="00E437A3"/>
    <w:rsid w:val="00E447CA"/>
    <w:rsid w:val="00E44CF9"/>
    <w:rsid w:val="00E47351"/>
    <w:rsid w:val="00E47422"/>
    <w:rsid w:val="00E47C92"/>
    <w:rsid w:val="00E47D84"/>
    <w:rsid w:val="00E5081B"/>
    <w:rsid w:val="00E5556A"/>
    <w:rsid w:val="00E55CFE"/>
    <w:rsid w:val="00E57560"/>
    <w:rsid w:val="00E6219B"/>
    <w:rsid w:val="00E629AF"/>
    <w:rsid w:val="00E632AA"/>
    <w:rsid w:val="00E705A7"/>
    <w:rsid w:val="00E73914"/>
    <w:rsid w:val="00E7403D"/>
    <w:rsid w:val="00E74052"/>
    <w:rsid w:val="00E753E1"/>
    <w:rsid w:val="00E762EA"/>
    <w:rsid w:val="00E77DF9"/>
    <w:rsid w:val="00E77E42"/>
    <w:rsid w:val="00E80E2C"/>
    <w:rsid w:val="00E81145"/>
    <w:rsid w:val="00E81A53"/>
    <w:rsid w:val="00E86D9D"/>
    <w:rsid w:val="00E8753E"/>
    <w:rsid w:val="00E87A7B"/>
    <w:rsid w:val="00E87C9E"/>
    <w:rsid w:val="00E90484"/>
    <w:rsid w:val="00E909F1"/>
    <w:rsid w:val="00E92EEE"/>
    <w:rsid w:val="00E933CC"/>
    <w:rsid w:val="00E946E9"/>
    <w:rsid w:val="00E953B2"/>
    <w:rsid w:val="00E971AD"/>
    <w:rsid w:val="00E974D9"/>
    <w:rsid w:val="00EA24C1"/>
    <w:rsid w:val="00EA31FF"/>
    <w:rsid w:val="00EA347D"/>
    <w:rsid w:val="00EA35AE"/>
    <w:rsid w:val="00EA6D24"/>
    <w:rsid w:val="00EB4AC2"/>
    <w:rsid w:val="00EB5A4A"/>
    <w:rsid w:val="00EB7D87"/>
    <w:rsid w:val="00EC39EE"/>
    <w:rsid w:val="00EC3E7A"/>
    <w:rsid w:val="00EC40EA"/>
    <w:rsid w:val="00EC4346"/>
    <w:rsid w:val="00EC5321"/>
    <w:rsid w:val="00ED458D"/>
    <w:rsid w:val="00EE1606"/>
    <w:rsid w:val="00EE20A9"/>
    <w:rsid w:val="00EE4485"/>
    <w:rsid w:val="00EF181F"/>
    <w:rsid w:val="00EF2338"/>
    <w:rsid w:val="00EF5482"/>
    <w:rsid w:val="00F0427D"/>
    <w:rsid w:val="00F0537F"/>
    <w:rsid w:val="00F057FC"/>
    <w:rsid w:val="00F072FC"/>
    <w:rsid w:val="00F1503D"/>
    <w:rsid w:val="00F15F96"/>
    <w:rsid w:val="00F20883"/>
    <w:rsid w:val="00F27C6B"/>
    <w:rsid w:val="00F27CF5"/>
    <w:rsid w:val="00F313C6"/>
    <w:rsid w:val="00F323BE"/>
    <w:rsid w:val="00F3561E"/>
    <w:rsid w:val="00F37B91"/>
    <w:rsid w:val="00F40C08"/>
    <w:rsid w:val="00F4166B"/>
    <w:rsid w:val="00F41AD7"/>
    <w:rsid w:val="00F460E6"/>
    <w:rsid w:val="00F46201"/>
    <w:rsid w:val="00F4796B"/>
    <w:rsid w:val="00F5004D"/>
    <w:rsid w:val="00F50318"/>
    <w:rsid w:val="00F600D6"/>
    <w:rsid w:val="00F656F3"/>
    <w:rsid w:val="00F66D8F"/>
    <w:rsid w:val="00F737DF"/>
    <w:rsid w:val="00F759AE"/>
    <w:rsid w:val="00F76139"/>
    <w:rsid w:val="00F77E9F"/>
    <w:rsid w:val="00F83A55"/>
    <w:rsid w:val="00F86154"/>
    <w:rsid w:val="00F94092"/>
    <w:rsid w:val="00F969F9"/>
    <w:rsid w:val="00FA4F1D"/>
    <w:rsid w:val="00FA53B1"/>
    <w:rsid w:val="00FB3E5B"/>
    <w:rsid w:val="00FB4BB9"/>
    <w:rsid w:val="00FB4EF5"/>
    <w:rsid w:val="00FB5681"/>
    <w:rsid w:val="00FB718E"/>
    <w:rsid w:val="00FB7981"/>
    <w:rsid w:val="00FB7C78"/>
    <w:rsid w:val="00FC1CE4"/>
    <w:rsid w:val="00FC2871"/>
    <w:rsid w:val="00FC4A76"/>
    <w:rsid w:val="00FC4E42"/>
    <w:rsid w:val="00FC4F43"/>
    <w:rsid w:val="00FC53DF"/>
    <w:rsid w:val="00FC5C60"/>
    <w:rsid w:val="00FC7970"/>
    <w:rsid w:val="00FD0043"/>
    <w:rsid w:val="00FD1D91"/>
    <w:rsid w:val="00FD6A6F"/>
    <w:rsid w:val="00FD6C38"/>
    <w:rsid w:val="00FE0A81"/>
    <w:rsid w:val="00FE2D76"/>
    <w:rsid w:val="00FE5859"/>
    <w:rsid w:val="00FE77F5"/>
    <w:rsid w:val="00FF274D"/>
    <w:rsid w:val="00FF6C71"/>
    <w:rsid w:val="00FF79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D2"/>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8DD"/>
    <w:pPr>
      <w:tabs>
        <w:tab w:val="center" w:pos="4153"/>
        <w:tab w:val="right" w:pos="8306"/>
      </w:tabs>
    </w:pPr>
  </w:style>
  <w:style w:type="character" w:customStyle="1" w:styleId="HeaderChar">
    <w:name w:val="Header Char"/>
    <w:basedOn w:val="DefaultParagraphFont"/>
    <w:link w:val="Header"/>
    <w:uiPriority w:val="99"/>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uiPriority w:val="99"/>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164E0D"/>
    <w:rPr>
      <w:rFonts w:ascii="Courier New" w:hAnsi="Courier New"/>
      <w:sz w:val="28"/>
      <w:lang w:val="lv-LV" w:eastAsia="en-US" w:bidi="ar-SA"/>
    </w:rPr>
  </w:style>
  <w:style w:type="character" w:customStyle="1" w:styleId="BodyText2Char">
    <w:name w:val="Body Text 2 Char"/>
    <w:basedOn w:val="DefaultParagraphFont"/>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basedOn w:val="DefaultParagraphFont"/>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lang w:eastAsia="en-US"/>
    </w:rPr>
  </w:style>
  <w:style w:type="character" w:customStyle="1" w:styleId="TitleChar">
    <w:name w:val="Title Char"/>
    <w:basedOn w:val="DefaultParagraphFont"/>
    <w:link w:val="Title"/>
    <w:rsid w:val="00E74052"/>
    <w:rPr>
      <w:b/>
      <w:sz w:val="28"/>
      <w:lang w:val="lv-LV"/>
    </w:rPr>
  </w:style>
  <w:style w:type="character" w:styleId="FootnoteReference">
    <w:name w:val="footnote reference"/>
    <w:basedOn w:val="DefaultParagraphFont"/>
    <w:rsid w:val="00DC3BDD"/>
    <w:rPr>
      <w:rFonts w:cs="Times New Roman"/>
      <w:vertAlign w:val="superscript"/>
    </w:rPr>
  </w:style>
  <w:style w:type="paragraph" w:styleId="FootnoteText">
    <w:name w:val="footnote text"/>
    <w:basedOn w:val="Normal"/>
    <w:link w:val="FootnoteTextChar"/>
    <w:rsid w:val="00DC3BDD"/>
    <w:rPr>
      <w:rFonts w:ascii="Courier New" w:hAnsi="Courier New"/>
      <w:snapToGrid w:val="0"/>
      <w:sz w:val="20"/>
      <w:szCs w:val="20"/>
      <w:lang w:val="en-GB" w:eastAsia="en-GB"/>
    </w:rPr>
  </w:style>
  <w:style w:type="character" w:customStyle="1" w:styleId="FootnoteTextChar">
    <w:name w:val="Footnote Text Char"/>
    <w:basedOn w:val="DefaultParagraphFont"/>
    <w:link w:val="FootnoteText"/>
    <w:rsid w:val="00DC3BDD"/>
    <w:rPr>
      <w:rFonts w:ascii="Courier New" w:hAnsi="Courier New"/>
      <w:snapToGrid w:val="0"/>
      <w:lang w:val="en-GB" w:eastAsia="en-GB"/>
    </w:rPr>
  </w:style>
  <w:style w:type="character" w:styleId="CommentReference">
    <w:name w:val="annotation reference"/>
    <w:basedOn w:val="DefaultParagraphFont"/>
    <w:rsid w:val="00FF79C6"/>
    <w:rPr>
      <w:sz w:val="16"/>
      <w:szCs w:val="16"/>
    </w:rPr>
  </w:style>
  <w:style w:type="paragraph" w:styleId="CommentText">
    <w:name w:val="annotation text"/>
    <w:basedOn w:val="Normal"/>
    <w:link w:val="CommentTextChar"/>
    <w:rsid w:val="00FF79C6"/>
    <w:rPr>
      <w:sz w:val="20"/>
      <w:szCs w:val="20"/>
    </w:rPr>
  </w:style>
  <w:style w:type="character" w:customStyle="1" w:styleId="CommentTextChar">
    <w:name w:val="Comment Text Char"/>
    <w:basedOn w:val="DefaultParagraphFont"/>
    <w:link w:val="CommentText"/>
    <w:rsid w:val="00FF79C6"/>
    <w:rPr>
      <w:lang w:val="lv-LV" w:eastAsia="lv-LV"/>
    </w:rPr>
  </w:style>
  <w:style w:type="paragraph" w:styleId="CommentSubject">
    <w:name w:val="annotation subject"/>
    <w:basedOn w:val="CommentText"/>
    <w:next w:val="CommentText"/>
    <w:semiHidden/>
    <w:rsid w:val="008214D6"/>
    <w:rPr>
      <w:b/>
      <w:bCs/>
    </w:rPr>
  </w:style>
  <w:style w:type="paragraph" w:styleId="NoSpacing">
    <w:name w:val="No Spacing"/>
    <w:uiPriority w:val="1"/>
    <w:qFormat/>
    <w:rsid w:val="00EF2338"/>
    <w:rPr>
      <w:sz w:val="24"/>
      <w:szCs w:val="24"/>
    </w:rPr>
  </w:style>
</w:styles>
</file>

<file path=word/webSettings.xml><?xml version="1.0" encoding="utf-8"?>
<w:webSettings xmlns:r="http://schemas.openxmlformats.org/officeDocument/2006/relationships" xmlns:w="http://schemas.openxmlformats.org/wordprocessingml/2006/main">
  <w:divs>
    <w:div w:id="241724024">
      <w:bodyDiv w:val="1"/>
      <w:marLeft w:val="0"/>
      <w:marRight w:val="0"/>
      <w:marTop w:val="0"/>
      <w:marBottom w:val="0"/>
      <w:divBdr>
        <w:top w:val="none" w:sz="0" w:space="0" w:color="auto"/>
        <w:left w:val="none" w:sz="0" w:space="0" w:color="auto"/>
        <w:bottom w:val="none" w:sz="0" w:space="0" w:color="auto"/>
        <w:right w:val="none" w:sz="0" w:space="0" w:color="auto"/>
      </w:divBdr>
      <w:divsChild>
        <w:div w:id="1134981008">
          <w:marLeft w:val="0"/>
          <w:marRight w:val="0"/>
          <w:marTop w:val="0"/>
          <w:marBottom w:val="0"/>
          <w:divBdr>
            <w:top w:val="none" w:sz="0" w:space="0" w:color="auto"/>
            <w:left w:val="none" w:sz="0" w:space="0" w:color="auto"/>
            <w:bottom w:val="none" w:sz="0" w:space="0" w:color="auto"/>
            <w:right w:val="none" w:sz="0" w:space="0" w:color="auto"/>
          </w:divBdr>
        </w:div>
        <w:div w:id="1895314774">
          <w:marLeft w:val="0"/>
          <w:marRight w:val="0"/>
          <w:marTop w:val="0"/>
          <w:marBottom w:val="0"/>
          <w:divBdr>
            <w:top w:val="none" w:sz="0" w:space="0" w:color="auto"/>
            <w:left w:val="none" w:sz="0" w:space="0" w:color="auto"/>
            <w:bottom w:val="none" w:sz="0" w:space="0" w:color="auto"/>
            <w:right w:val="none" w:sz="0" w:space="0" w:color="auto"/>
          </w:divBdr>
        </w:div>
      </w:divsChild>
    </w:div>
    <w:div w:id="252512911">
      <w:bodyDiv w:val="1"/>
      <w:marLeft w:val="0"/>
      <w:marRight w:val="0"/>
      <w:marTop w:val="0"/>
      <w:marBottom w:val="0"/>
      <w:divBdr>
        <w:top w:val="none" w:sz="0" w:space="0" w:color="auto"/>
        <w:left w:val="none" w:sz="0" w:space="0" w:color="auto"/>
        <w:bottom w:val="none" w:sz="0" w:space="0" w:color="auto"/>
        <w:right w:val="none" w:sz="0" w:space="0" w:color="auto"/>
      </w:divBdr>
      <w:divsChild>
        <w:div w:id="817957395">
          <w:marLeft w:val="0"/>
          <w:marRight w:val="0"/>
          <w:marTop w:val="150"/>
          <w:marBottom w:val="0"/>
          <w:divBdr>
            <w:top w:val="none" w:sz="0" w:space="0" w:color="auto"/>
            <w:left w:val="none" w:sz="0" w:space="0" w:color="auto"/>
            <w:bottom w:val="none" w:sz="0" w:space="0" w:color="auto"/>
            <w:right w:val="none" w:sz="0" w:space="0" w:color="auto"/>
          </w:divBdr>
          <w:divsChild>
            <w:div w:id="978926160">
              <w:marLeft w:val="0"/>
              <w:marRight w:val="0"/>
              <w:marTop w:val="0"/>
              <w:marBottom w:val="0"/>
              <w:divBdr>
                <w:top w:val="none" w:sz="0" w:space="0" w:color="auto"/>
                <w:left w:val="none" w:sz="0" w:space="0" w:color="auto"/>
                <w:bottom w:val="none" w:sz="0" w:space="0" w:color="auto"/>
                <w:right w:val="none" w:sz="0" w:space="0" w:color="auto"/>
              </w:divBdr>
              <w:divsChild>
                <w:div w:id="1975796745">
                  <w:marLeft w:val="0"/>
                  <w:marRight w:val="0"/>
                  <w:marTop w:val="0"/>
                  <w:marBottom w:val="0"/>
                  <w:divBdr>
                    <w:top w:val="none" w:sz="0" w:space="0" w:color="auto"/>
                    <w:left w:val="none" w:sz="0" w:space="0" w:color="auto"/>
                    <w:bottom w:val="none" w:sz="0" w:space="0" w:color="auto"/>
                    <w:right w:val="none" w:sz="0" w:space="0" w:color="auto"/>
                  </w:divBdr>
                  <w:divsChild>
                    <w:div w:id="13208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0833">
      <w:bodyDiv w:val="1"/>
      <w:marLeft w:val="0"/>
      <w:marRight w:val="0"/>
      <w:marTop w:val="0"/>
      <w:marBottom w:val="0"/>
      <w:divBdr>
        <w:top w:val="none" w:sz="0" w:space="0" w:color="auto"/>
        <w:left w:val="none" w:sz="0" w:space="0" w:color="auto"/>
        <w:bottom w:val="none" w:sz="0" w:space="0" w:color="auto"/>
        <w:right w:val="none" w:sz="0" w:space="0" w:color="auto"/>
      </w:divBdr>
    </w:div>
    <w:div w:id="1034502199">
      <w:bodyDiv w:val="1"/>
      <w:marLeft w:val="0"/>
      <w:marRight w:val="0"/>
      <w:marTop w:val="0"/>
      <w:marBottom w:val="0"/>
      <w:divBdr>
        <w:top w:val="none" w:sz="0" w:space="0" w:color="auto"/>
        <w:left w:val="none" w:sz="0" w:space="0" w:color="auto"/>
        <w:bottom w:val="none" w:sz="0" w:space="0" w:color="auto"/>
        <w:right w:val="none" w:sz="0" w:space="0" w:color="auto"/>
      </w:divBdr>
      <w:divsChild>
        <w:div w:id="1507404478">
          <w:marLeft w:val="0"/>
          <w:marRight w:val="0"/>
          <w:marTop w:val="0"/>
          <w:marBottom w:val="0"/>
          <w:divBdr>
            <w:top w:val="none" w:sz="0" w:space="0" w:color="auto"/>
            <w:left w:val="none" w:sz="0" w:space="0" w:color="auto"/>
            <w:bottom w:val="none" w:sz="0" w:space="0" w:color="auto"/>
            <w:right w:val="none" w:sz="0" w:space="0" w:color="auto"/>
          </w:divBdr>
          <w:divsChild>
            <w:div w:id="1727029968">
              <w:marLeft w:val="0"/>
              <w:marRight w:val="0"/>
              <w:marTop w:val="0"/>
              <w:marBottom w:val="0"/>
              <w:divBdr>
                <w:top w:val="single" w:sz="48" w:space="0" w:color="FFFFFF"/>
                <w:left w:val="none" w:sz="0" w:space="0" w:color="auto"/>
                <w:bottom w:val="none" w:sz="0" w:space="0" w:color="auto"/>
                <w:right w:val="none" w:sz="0" w:space="0" w:color="auto"/>
              </w:divBdr>
              <w:divsChild>
                <w:div w:id="1806120019">
                  <w:marLeft w:val="0"/>
                  <w:marRight w:val="15"/>
                  <w:marTop w:val="0"/>
                  <w:marBottom w:val="0"/>
                  <w:divBdr>
                    <w:top w:val="none" w:sz="0" w:space="0" w:color="auto"/>
                    <w:left w:val="none" w:sz="0" w:space="0" w:color="auto"/>
                    <w:bottom w:val="none" w:sz="0" w:space="0" w:color="auto"/>
                    <w:right w:val="none" w:sz="0" w:space="0" w:color="auto"/>
                  </w:divBdr>
                  <w:divsChild>
                    <w:div w:id="17512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2113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57A4-EFEB-4ACA-AEC1-AD93845E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19166</Words>
  <Characters>10926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20. 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30032</CharactersWithSpaces>
  <SharedDoc>false</SharedDoc>
  <HLinks>
    <vt:vector size="6" baseType="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20. janvāra noteikumos Nr.60 „Noteikumi par obligātajām prasībām ārstniecības iestādēm un to struktūrvienībām”" sākotnējās ietekmes novērtējuma ziņojums (anotācija)</dc:title>
  <dc:subject>Noteikumu projekta anotācija</dc:subject>
  <dc:creator>Leonora Eglīte</dc:creator>
  <dc:description>Leonora.Eglite@vm.gov.lv ,tel.67876091</dc:description>
  <cp:lastModifiedBy>leglite</cp:lastModifiedBy>
  <cp:revision>5</cp:revision>
  <cp:lastPrinted>2013-06-17T06:38:00Z</cp:lastPrinted>
  <dcterms:created xsi:type="dcterms:W3CDTF">2013-12-06T09:35:00Z</dcterms:created>
  <dcterms:modified xsi:type="dcterms:W3CDTF">2013-12-06T09:49:00Z</dcterms:modified>
</cp:coreProperties>
</file>