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F" w:rsidRPr="00487786" w:rsidRDefault="000B76E3" w:rsidP="00E73501">
      <w:pPr>
        <w:jc w:val="center"/>
        <w:rPr>
          <w:b/>
          <w:color w:val="000000"/>
          <w:sz w:val="28"/>
          <w:szCs w:val="28"/>
        </w:rPr>
      </w:pPr>
      <w:bookmarkStart w:id="0" w:name="OLE_LINK19"/>
      <w:bookmarkStart w:id="1" w:name="OLE_LINK20"/>
      <w:r w:rsidRPr="00487786">
        <w:rPr>
          <w:color w:val="000000"/>
          <w:sz w:val="28"/>
          <w:szCs w:val="28"/>
        </w:rPr>
        <w:t xml:space="preserve">Ministru kabineta </w:t>
      </w:r>
      <w:r w:rsidR="009817AF" w:rsidRPr="00487786">
        <w:rPr>
          <w:color w:val="000000"/>
          <w:sz w:val="28"/>
          <w:szCs w:val="28"/>
        </w:rPr>
        <w:t>noteikumu</w:t>
      </w:r>
      <w:r w:rsidRPr="00487786">
        <w:rPr>
          <w:color w:val="000000"/>
          <w:sz w:val="28"/>
          <w:szCs w:val="28"/>
        </w:rPr>
        <w:t xml:space="preserve"> projekta</w:t>
      </w:r>
      <w:bookmarkStart w:id="2" w:name="OLE_LINK13"/>
      <w:bookmarkStart w:id="3" w:name="OLE_LINK14"/>
    </w:p>
    <w:p w:rsidR="000B76E3" w:rsidRPr="00487786" w:rsidRDefault="000B76E3" w:rsidP="008C11A9">
      <w:pPr>
        <w:jc w:val="center"/>
        <w:rPr>
          <w:b/>
          <w:color w:val="000000"/>
          <w:sz w:val="28"/>
          <w:szCs w:val="28"/>
        </w:rPr>
      </w:pPr>
      <w:r w:rsidRPr="00487786">
        <w:rPr>
          <w:b/>
          <w:color w:val="000000"/>
          <w:sz w:val="28"/>
          <w:szCs w:val="28"/>
        </w:rPr>
        <w:t>„</w:t>
      </w:r>
      <w:bookmarkEnd w:id="2"/>
      <w:bookmarkEnd w:id="3"/>
      <w:r w:rsidR="006A007C">
        <w:rPr>
          <w:b/>
          <w:color w:val="000000"/>
          <w:sz w:val="28"/>
          <w:szCs w:val="28"/>
        </w:rPr>
        <w:t xml:space="preserve">Grozījumi </w:t>
      </w:r>
      <w:r w:rsidR="00ED5F0A">
        <w:rPr>
          <w:b/>
          <w:color w:val="000000"/>
          <w:sz w:val="28"/>
          <w:szCs w:val="28"/>
        </w:rPr>
        <w:t>„</w:t>
      </w:r>
      <w:r w:rsidR="008C11A9" w:rsidRPr="00487786">
        <w:rPr>
          <w:b/>
          <w:color w:val="000000"/>
          <w:sz w:val="28"/>
          <w:szCs w:val="28"/>
        </w:rPr>
        <w:t>Slimību profilakses un kontroles centra</w:t>
      </w:r>
      <w:r w:rsidR="006A007C">
        <w:rPr>
          <w:b/>
          <w:color w:val="000000"/>
          <w:sz w:val="28"/>
          <w:szCs w:val="28"/>
        </w:rPr>
        <w:t xml:space="preserve"> nolikumā</w:t>
      </w:r>
      <w:r w:rsidRPr="00487786">
        <w:rPr>
          <w:b/>
          <w:color w:val="000000"/>
          <w:sz w:val="28"/>
          <w:szCs w:val="28"/>
        </w:rPr>
        <w:t>”</w:t>
      </w:r>
      <w:r w:rsidR="00ED5F0A">
        <w:rPr>
          <w:b/>
          <w:color w:val="000000"/>
          <w:sz w:val="28"/>
          <w:szCs w:val="28"/>
        </w:rPr>
        <w:t>”</w:t>
      </w:r>
    </w:p>
    <w:p w:rsidR="000B76E3" w:rsidRPr="00487786" w:rsidRDefault="000B76E3" w:rsidP="000B76E3">
      <w:pPr>
        <w:jc w:val="center"/>
        <w:rPr>
          <w:b/>
          <w:bCs/>
          <w:color w:val="000000"/>
          <w:sz w:val="28"/>
          <w:szCs w:val="28"/>
        </w:rPr>
      </w:pPr>
      <w:r w:rsidRPr="00487786">
        <w:rPr>
          <w:bCs/>
          <w:color w:val="000000"/>
          <w:sz w:val="28"/>
          <w:szCs w:val="28"/>
        </w:rPr>
        <w:t>sākotnējās ietekmes novērtējuma ziņojums</w:t>
      </w:r>
    </w:p>
    <w:p w:rsidR="005938F8" w:rsidRPr="00487786" w:rsidRDefault="000B76E3" w:rsidP="00516FAA">
      <w:pPr>
        <w:jc w:val="center"/>
        <w:rPr>
          <w:b/>
          <w:bCs/>
          <w:color w:val="000000"/>
          <w:sz w:val="28"/>
          <w:szCs w:val="28"/>
        </w:rPr>
      </w:pPr>
      <w:r w:rsidRPr="00487786">
        <w:rPr>
          <w:b/>
          <w:bCs/>
          <w:color w:val="000000"/>
          <w:sz w:val="28"/>
          <w:szCs w:val="28"/>
        </w:rPr>
        <w:t>(anotācija)</w:t>
      </w:r>
      <w:bookmarkEnd w:id="0"/>
      <w:bookmarkEnd w:id="1"/>
    </w:p>
    <w:tbl>
      <w:tblPr>
        <w:tblpPr w:leftFromText="180" w:rightFromText="180" w:vertAnchor="text" w:horzAnchor="margin" w:tblpXSpec="center" w:tblpY="149"/>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2030"/>
        <w:gridCol w:w="6520"/>
      </w:tblGrid>
      <w:tr w:rsidR="000B76E3" w:rsidRPr="00BC182F" w:rsidTr="004E10EA">
        <w:tc>
          <w:tcPr>
            <w:tcW w:w="9100" w:type="dxa"/>
            <w:gridSpan w:val="3"/>
            <w:vAlign w:val="center"/>
          </w:tcPr>
          <w:p w:rsidR="000B76E3" w:rsidRPr="00BC182F" w:rsidRDefault="000B76E3" w:rsidP="005A03EE">
            <w:pPr>
              <w:pStyle w:val="naisnod"/>
              <w:spacing w:before="0" w:after="0"/>
              <w:rPr>
                <w:color w:val="000000"/>
              </w:rPr>
            </w:pPr>
            <w:r w:rsidRPr="00BC182F">
              <w:rPr>
                <w:color w:val="000000"/>
              </w:rPr>
              <w:t>I. Tiesību akta projekta izstrādes nepieciešamība</w:t>
            </w:r>
          </w:p>
        </w:tc>
      </w:tr>
      <w:tr w:rsidR="000B76E3" w:rsidRPr="00BC182F" w:rsidTr="007708C0">
        <w:trPr>
          <w:trHeight w:val="630"/>
        </w:trPr>
        <w:tc>
          <w:tcPr>
            <w:tcW w:w="550" w:type="dxa"/>
          </w:tcPr>
          <w:p w:rsidR="000B76E3" w:rsidRPr="00BC182F" w:rsidRDefault="000B76E3" w:rsidP="005A03EE">
            <w:pPr>
              <w:pStyle w:val="naiskr"/>
              <w:spacing w:before="0" w:after="0"/>
              <w:rPr>
                <w:color w:val="000000"/>
              </w:rPr>
            </w:pPr>
            <w:r w:rsidRPr="00BC182F">
              <w:rPr>
                <w:color w:val="000000"/>
              </w:rPr>
              <w:t>1.</w:t>
            </w:r>
          </w:p>
        </w:tc>
        <w:tc>
          <w:tcPr>
            <w:tcW w:w="2030" w:type="dxa"/>
          </w:tcPr>
          <w:p w:rsidR="000B76E3" w:rsidRPr="00BC182F" w:rsidRDefault="000B76E3" w:rsidP="005A03EE">
            <w:pPr>
              <w:pStyle w:val="naiskr"/>
              <w:spacing w:before="0" w:after="0"/>
              <w:ind w:hanging="10"/>
              <w:rPr>
                <w:color w:val="000000"/>
              </w:rPr>
            </w:pPr>
            <w:r w:rsidRPr="00BC182F">
              <w:rPr>
                <w:color w:val="000000"/>
              </w:rPr>
              <w:t>Pamatojums</w:t>
            </w:r>
          </w:p>
          <w:p w:rsidR="000B76E3" w:rsidRPr="00BC182F" w:rsidRDefault="000B76E3" w:rsidP="005A03EE">
            <w:pPr>
              <w:pStyle w:val="naiskr"/>
              <w:spacing w:before="0" w:after="0"/>
              <w:ind w:hanging="10"/>
              <w:rPr>
                <w:color w:val="000000"/>
              </w:rPr>
            </w:pPr>
          </w:p>
          <w:p w:rsidR="000B76E3" w:rsidRPr="00BC182F" w:rsidRDefault="000B76E3" w:rsidP="005A03EE">
            <w:pPr>
              <w:pStyle w:val="Bezatstarpm"/>
              <w:jc w:val="both"/>
              <w:rPr>
                <w:color w:val="000000"/>
              </w:rPr>
            </w:pPr>
          </w:p>
        </w:tc>
        <w:tc>
          <w:tcPr>
            <w:tcW w:w="6520" w:type="dxa"/>
          </w:tcPr>
          <w:p w:rsidR="006C22F1" w:rsidRPr="00C12F3B" w:rsidRDefault="00EB6594" w:rsidP="0054198D">
            <w:pPr>
              <w:pStyle w:val="tvhtml"/>
              <w:spacing w:before="0" w:beforeAutospacing="0" w:after="0" w:afterAutospacing="0"/>
              <w:jc w:val="both"/>
              <w:rPr>
                <w:rFonts w:ascii="Times New Roman" w:hAnsi="Times New Roman"/>
                <w:color w:val="000000"/>
                <w:sz w:val="24"/>
                <w:szCs w:val="24"/>
                <w:lang w:val="lv-LV"/>
              </w:rPr>
            </w:pPr>
            <w:r w:rsidRPr="005E18CB">
              <w:rPr>
                <w:rFonts w:ascii="Times New Roman" w:hAnsi="Times New Roman"/>
                <w:color w:val="000000"/>
                <w:sz w:val="24"/>
                <w:szCs w:val="24"/>
                <w:lang w:val="lv-LV"/>
              </w:rPr>
              <w:t>Ministru kabineta noteikumu „</w:t>
            </w:r>
            <w:r w:rsidR="006A007C" w:rsidRPr="005E18CB">
              <w:rPr>
                <w:rFonts w:ascii="Times New Roman" w:hAnsi="Times New Roman"/>
                <w:color w:val="000000"/>
                <w:sz w:val="24"/>
                <w:szCs w:val="24"/>
                <w:lang w:val="lv-LV"/>
              </w:rPr>
              <w:t>Grozījumi</w:t>
            </w:r>
            <w:r w:rsidR="004107FA" w:rsidRPr="004D5203">
              <w:rPr>
                <w:rFonts w:ascii="Times New Roman" w:hAnsi="Times New Roman"/>
                <w:sz w:val="24"/>
                <w:szCs w:val="24"/>
                <w:lang w:val="lv-LV"/>
              </w:rPr>
              <w:t xml:space="preserve"> Ministru kabineta 2012.gada 3.aprīļa noteikumu Nr.241 „Slimību profilakses un kontroles centra nolikums”</w:t>
            </w:r>
            <w:r w:rsidR="00DD7ED4">
              <w:rPr>
                <w:rFonts w:ascii="Times New Roman" w:hAnsi="Times New Roman"/>
                <w:sz w:val="24"/>
                <w:szCs w:val="24"/>
                <w:lang w:val="lv-LV"/>
              </w:rPr>
              <w:t>”</w:t>
            </w:r>
            <w:r w:rsidR="004107FA">
              <w:rPr>
                <w:rFonts w:ascii="Times New Roman" w:hAnsi="Times New Roman"/>
                <w:sz w:val="24"/>
                <w:szCs w:val="24"/>
                <w:lang w:val="lv-LV"/>
              </w:rPr>
              <w:t xml:space="preserve"> projekts (turpmāk  - MK noteikumu projekts) izstrādāts atbilstoši</w:t>
            </w:r>
            <w:r w:rsidR="0054198D">
              <w:rPr>
                <w:rFonts w:ascii="Times New Roman" w:hAnsi="Times New Roman"/>
                <w:color w:val="000000"/>
                <w:sz w:val="24"/>
                <w:szCs w:val="24"/>
                <w:lang w:val="lv-LV"/>
              </w:rPr>
              <w:t xml:space="preserve"> </w:t>
            </w:r>
            <w:r w:rsidR="000B76E3" w:rsidRPr="005E18CB">
              <w:rPr>
                <w:rFonts w:ascii="Times New Roman" w:hAnsi="Times New Roman"/>
                <w:color w:val="000000"/>
                <w:sz w:val="24"/>
                <w:szCs w:val="24"/>
                <w:lang w:val="lv-LV"/>
              </w:rPr>
              <w:t>Latvijas Stratēģiskās attīstības plāna 2010.-2013.gadam (apstiprināts ar 2010.</w:t>
            </w:r>
            <w:r w:rsidR="0046276B" w:rsidRPr="005E18CB">
              <w:rPr>
                <w:rFonts w:ascii="Times New Roman" w:hAnsi="Times New Roman"/>
                <w:color w:val="000000"/>
                <w:sz w:val="24"/>
                <w:szCs w:val="24"/>
                <w:lang w:val="lv-LV"/>
              </w:rPr>
              <w:t>gada 9.aprīļa</w:t>
            </w:r>
            <w:r w:rsidR="000B76E3" w:rsidRPr="005E18CB">
              <w:rPr>
                <w:rFonts w:ascii="Times New Roman" w:hAnsi="Times New Roman"/>
                <w:color w:val="000000"/>
                <w:sz w:val="24"/>
                <w:szCs w:val="24"/>
                <w:lang w:val="lv-LV"/>
              </w:rPr>
              <w:t xml:space="preserve"> Ministru kabineta rīkojumu Nr.203) </w:t>
            </w:r>
            <w:r w:rsidR="0046276B" w:rsidRPr="005E18CB">
              <w:rPr>
                <w:rFonts w:ascii="Times New Roman" w:hAnsi="Times New Roman"/>
                <w:color w:val="000000"/>
                <w:sz w:val="24"/>
                <w:szCs w:val="24"/>
                <w:lang w:val="lv-LV"/>
              </w:rPr>
              <w:t>3.</w:t>
            </w:r>
            <w:r w:rsidR="000B76E3" w:rsidRPr="005E18CB">
              <w:rPr>
                <w:rFonts w:ascii="Times New Roman" w:hAnsi="Times New Roman"/>
                <w:color w:val="000000"/>
                <w:sz w:val="24"/>
                <w:szCs w:val="24"/>
                <w:lang w:val="lv-LV"/>
              </w:rPr>
              <w:t>prioritātes “Publiskās pārvaldes reformas” izvirzītajam rīcības virzienam - publiskās pārvaldes funkciju un pakalpojumu</w:t>
            </w:r>
            <w:r w:rsidR="005F5A77" w:rsidRPr="005E18CB">
              <w:rPr>
                <w:rFonts w:ascii="Times New Roman" w:hAnsi="Times New Roman"/>
                <w:color w:val="000000"/>
                <w:sz w:val="24"/>
                <w:szCs w:val="24"/>
                <w:lang w:val="lv-LV"/>
              </w:rPr>
              <w:t xml:space="preserve"> optimizēšana, kas sevī ietver </w:t>
            </w:r>
            <w:r w:rsidR="000B76E3" w:rsidRPr="005E18CB">
              <w:rPr>
                <w:rFonts w:ascii="Times New Roman" w:hAnsi="Times New Roman"/>
                <w:color w:val="000000"/>
                <w:sz w:val="24"/>
                <w:szCs w:val="24"/>
                <w:lang w:val="lv-LV"/>
              </w:rPr>
              <w:t>publiskās pārvaldes pakalpojumu un funkciju pārskatīšanu, netipisko pakalpojumu un funkciju pārtraukšanu, vai nodošanu citam izpildītājam, kā arī līdzīgo funkciju centralizēšanu (apvienošanu)</w:t>
            </w:r>
            <w:r w:rsidR="00C12F3B">
              <w:rPr>
                <w:rFonts w:ascii="Times New Roman" w:hAnsi="Times New Roman"/>
                <w:color w:val="000000"/>
                <w:sz w:val="24"/>
                <w:szCs w:val="24"/>
                <w:lang w:val="lv-LV"/>
              </w:rPr>
              <w:t>.</w:t>
            </w:r>
          </w:p>
        </w:tc>
      </w:tr>
      <w:tr w:rsidR="000B76E3" w:rsidRPr="00BC182F" w:rsidTr="007708C0">
        <w:trPr>
          <w:trHeight w:val="472"/>
        </w:trPr>
        <w:tc>
          <w:tcPr>
            <w:tcW w:w="550" w:type="dxa"/>
          </w:tcPr>
          <w:p w:rsidR="000B76E3" w:rsidRPr="00BC182F" w:rsidRDefault="000B76E3" w:rsidP="005A03EE">
            <w:pPr>
              <w:pStyle w:val="naiskr"/>
              <w:spacing w:before="0" w:after="0"/>
              <w:rPr>
                <w:color w:val="000000"/>
              </w:rPr>
            </w:pPr>
            <w:r w:rsidRPr="00BC182F">
              <w:rPr>
                <w:color w:val="000000"/>
              </w:rPr>
              <w:t>2.</w:t>
            </w:r>
          </w:p>
        </w:tc>
        <w:tc>
          <w:tcPr>
            <w:tcW w:w="2030" w:type="dxa"/>
          </w:tcPr>
          <w:p w:rsidR="000B76E3" w:rsidRPr="00BC182F" w:rsidRDefault="000B76E3" w:rsidP="005A03EE">
            <w:pPr>
              <w:pStyle w:val="naiskr"/>
              <w:tabs>
                <w:tab w:val="left" w:pos="170"/>
              </w:tabs>
              <w:spacing w:before="0" w:after="0"/>
              <w:rPr>
                <w:color w:val="000000"/>
              </w:rPr>
            </w:pPr>
            <w:r w:rsidRPr="00BC182F">
              <w:rPr>
                <w:color w:val="000000"/>
              </w:rPr>
              <w:t>Pašreizējā situācija un problēmas</w:t>
            </w:r>
          </w:p>
        </w:tc>
        <w:tc>
          <w:tcPr>
            <w:tcW w:w="6520" w:type="dxa"/>
            <w:shd w:val="clear" w:color="auto" w:fill="auto"/>
          </w:tcPr>
          <w:p w:rsidR="00BF4729" w:rsidRPr="001D1C01" w:rsidRDefault="00BF4729" w:rsidP="00BF4729">
            <w:pPr>
              <w:jc w:val="both"/>
              <w:rPr>
                <w:color w:val="000000"/>
              </w:rPr>
            </w:pPr>
            <w:r w:rsidRPr="00BC182F">
              <w:t>Saskaņā ar Ministru kabineta</w:t>
            </w:r>
            <w:r>
              <w:t xml:space="preserve"> </w:t>
            </w:r>
            <w:r w:rsidRPr="00BC182F">
              <w:t>2012.gada 21.februāra rīkojum</w:t>
            </w:r>
            <w:r>
              <w:t>u</w:t>
            </w:r>
            <w:r w:rsidRPr="00BC182F">
              <w:t xml:space="preserve"> Nr.101 „Par Slimību profilakses un kontroles centra izveidošanu un Veselības ministrijas un Zemkopības ministrijas padotībā esošo valsts pārvaldes iestāžu reorganizāciju” (turpmāk – MK rīkojums</w:t>
            </w:r>
            <w:r w:rsidR="00B639EE">
              <w:t xml:space="preserve"> Nr.101</w:t>
            </w:r>
            <w:r w:rsidRPr="00BC182F">
              <w:t>)</w:t>
            </w:r>
            <w:r w:rsidRPr="00BC182F">
              <w:rPr>
                <w:color w:val="000000"/>
              </w:rPr>
              <w:t xml:space="preserve"> notika funkciju  optimizēšana un līdzīgo funkciju centralizēšana (apvienošana) </w:t>
            </w:r>
            <w:r>
              <w:rPr>
                <w:color w:val="000000"/>
              </w:rPr>
              <w:t>un ar 2012.gada 1.aprīli tika izveidota</w:t>
            </w:r>
            <w:r w:rsidRPr="00BC182F">
              <w:rPr>
                <w:color w:val="000000"/>
              </w:rPr>
              <w:t xml:space="preserve"> veselības ministra pakļautībā esoša </w:t>
            </w:r>
            <w:r>
              <w:rPr>
                <w:color w:val="000000"/>
              </w:rPr>
              <w:t xml:space="preserve">tiešās </w:t>
            </w:r>
            <w:r w:rsidRPr="00BC182F">
              <w:rPr>
                <w:color w:val="000000"/>
              </w:rPr>
              <w:t>pārvaldes iestāde - Slimību profilakses un</w:t>
            </w:r>
            <w:r>
              <w:rPr>
                <w:color w:val="000000"/>
              </w:rPr>
              <w:t xml:space="preserve"> kontroles centrs (turpmāk - SPKC). </w:t>
            </w:r>
            <w:r w:rsidR="0054198D">
              <w:rPr>
                <w:color w:val="000000"/>
              </w:rPr>
              <w:t>F</w:t>
            </w:r>
            <w:r w:rsidRPr="001D1C01">
              <w:rPr>
                <w:color w:val="000000"/>
              </w:rPr>
              <w:t>unkcijas</w:t>
            </w:r>
            <w:r w:rsidR="0054198D">
              <w:rPr>
                <w:color w:val="000000"/>
              </w:rPr>
              <w:t xml:space="preserve"> un uzdevumi, kas saistīti</w:t>
            </w:r>
            <w:r w:rsidRPr="001D1C01">
              <w:rPr>
                <w:color w:val="000000"/>
              </w:rPr>
              <w:t xml:space="preserve"> ar sabiedrī</w:t>
            </w:r>
            <w:r>
              <w:rPr>
                <w:color w:val="000000"/>
              </w:rPr>
              <w:t>bas veselību</w:t>
            </w:r>
            <w:r w:rsidRPr="001D1C01">
              <w:rPr>
                <w:color w:val="000000"/>
              </w:rPr>
              <w:t xml:space="preserve">, slimību profilaksi un kontroli, kā arī epidemioloģisko drošību </w:t>
            </w:r>
            <w:r w:rsidR="0054198D">
              <w:rPr>
                <w:color w:val="000000"/>
              </w:rPr>
              <w:t xml:space="preserve">no </w:t>
            </w:r>
            <w:r w:rsidR="00E73501">
              <w:rPr>
                <w:color w:val="000000"/>
              </w:rPr>
              <w:t xml:space="preserve">Latvijas Infektoloģijas centra (turpmāk – </w:t>
            </w:r>
            <w:r w:rsidR="0054198D">
              <w:rPr>
                <w:color w:val="000000"/>
              </w:rPr>
              <w:t>LIC</w:t>
            </w:r>
            <w:r w:rsidR="00E73501">
              <w:rPr>
                <w:color w:val="000000"/>
              </w:rPr>
              <w:t>)</w:t>
            </w:r>
            <w:r w:rsidR="00E34F87">
              <w:rPr>
                <w:color w:val="000000"/>
              </w:rPr>
              <w:t xml:space="preserve"> </w:t>
            </w:r>
            <w:r w:rsidRPr="001D1C01">
              <w:rPr>
                <w:color w:val="000000"/>
              </w:rPr>
              <w:t xml:space="preserve">tika nodotas </w:t>
            </w:r>
            <w:r>
              <w:rPr>
                <w:color w:val="000000"/>
              </w:rPr>
              <w:t>SPKC.</w:t>
            </w:r>
            <w:r w:rsidR="00A038F0">
              <w:rPr>
                <w:color w:val="000000"/>
              </w:rPr>
              <w:t xml:space="preserve"> </w:t>
            </w:r>
          </w:p>
          <w:p w:rsidR="00F46283" w:rsidRDefault="00BF4729" w:rsidP="00BF4729">
            <w:pPr>
              <w:pStyle w:val="tvhtml"/>
              <w:spacing w:before="0" w:beforeAutospacing="0" w:after="0" w:afterAutospacing="0"/>
              <w:jc w:val="both"/>
              <w:rPr>
                <w:rFonts w:ascii="Times New Roman" w:hAnsi="Times New Roman"/>
                <w:color w:val="000000"/>
                <w:sz w:val="24"/>
                <w:szCs w:val="24"/>
                <w:lang w:val="lv-LV"/>
              </w:rPr>
            </w:pPr>
            <w:r w:rsidRPr="001D1C01">
              <w:rPr>
                <w:rFonts w:ascii="Times New Roman" w:hAnsi="Times New Roman"/>
                <w:color w:val="000000"/>
                <w:sz w:val="24"/>
                <w:szCs w:val="24"/>
                <w:lang w:val="lv-LV"/>
              </w:rPr>
              <w:t>Pēc šīm reformām</w:t>
            </w:r>
            <w:r>
              <w:rPr>
                <w:rFonts w:ascii="Times New Roman" w:hAnsi="Times New Roman"/>
                <w:color w:val="000000"/>
                <w:sz w:val="24"/>
                <w:szCs w:val="24"/>
                <w:lang w:val="lv-LV"/>
              </w:rPr>
              <w:t xml:space="preserve"> SPKC </w:t>
            </w:r>
            <w:r>
              <w:rPr>
                <w:rFonts w:ascii="Times New Roman" w:hAnsi="Times New Roman"/>
                <w:sz w:val="24"/>
                <w:szCs w:val="24"/>
                <w:lang w:val="lv-LV"/>
              </w:rPr>
              <w:t>s</w:t>
            </w:r>
            <w:r w:rsidRPr="004D5203">
              <w:rPr>
                <w:rFonts w:ascii="Times New Roman" w:hAnsi="Times New Roman"/>
                <w:sz w:val="24"/>
                <w:szCs w:val="24"/>
                <w:lang w:val="lv-LV"/>
              </w:rPr>
              <w:t>askaņā ar Ministru kabinet</w:t>
            </w:r>
            <w:r>
              <w:rPr>
                <w:rFonts w:ascii="Times New Roman" w:hAnsi="Times New Roman"/>
                <w:sz w:val="24"/>
                <w:szCs w:val="24"/>
                <w:lang w:val="lv-LV"/>
              </w:rPr>
              <w:t>a 2012.gada 3.aprīļa noteikumu</w:t>
            </w:r>
            <w:r w:rsidRPr="004D5203">
              <w:rPr>
                <w:rFonts w:ascii="Times New Roman" w:hAnsi="Times New Roman"/>
                <w:sz w:val="24"/>
                <w:szCs w:val="24"/>
                <w:lang w:val="lv-LV"/>
              </w:rPr>
              <w:t xml:space="preserve"> Nr.241 „Slimību profilakses un kontroles centra nolikums”</w:t>
            </w:r>
            <w:r w:rsidR="00E34F87">
              <w:rPr>
                <w:rFonts w:ascii="Times New Roman" w:hAnsi="Times New Roman"/>
                <w:sz w:val="24"/>
                <w:szCs w:val="24"/>
                <w:lang w:val="lv-LV"/>
              </w:rPr>
              <w:t xml:space="preserve"> (turpmāk – MK noteikumi Nr.241)</w:t>
            </w:r>
            <w:r w:rsidRPr="004D5203">
              <w:rPr>
                <w:rFonts w:ascii="Times New Roman" w:hAnsi="Times New Roman"/>
                <w:sz w:val="24"/>
                <w:szCs w:val="24"/>
                <w:lang w:val="lv-LV"/>
              </w:rPr>
              <w:t xml:space="preserve"> 2.</w:t>
            </w:r>
            <w:r>
              <w:rPr>
                <w:rFonts w:ascii="Times New Roman" w:hAnsi="Times New Roman"/>
                <w:sz w:val="24"/>
                <w:szCs w:val="24"/>
                <w:lang w:val="lv-LV"/>
              </w:rPr>
              <w:t xml:space="preserve"> </w:t>
            </w:r>
            <w:r w:rsidRPr="004D5203">
              <w:rPr>
                <w:rFonts w:ascii="Times New Roman" w:hAnsi="Times New Roman"/>
                <w:sz w:val="24"/>
                <w:szCs w:val="24"/>
                <w:lang w:val="lv-LV"/>
              </w:rPr>
              <w:t>punktu</w:t>
            </w:r>
            <w:r>
              <w:rPr>
                <w:rFonts w:ascii="Times New Roman" w:hAnsi="Times New Roman"/>
                <w:color w:val="000000"/>
                <w:sz w:val="24"/>
                <w:szCs w:val="24"/>
                <w:lang w:val="lv-LV"/>
              </w:rPr>
              <w:t xml:space="preserve"> ir </w:t>
            </w:r>
            <w:r w:rsidRPr="004D5203">
              <w:rPr>
                <w:rFonts w:ascii="Times New Roman" w:hAnsi="Times New Roman"/>
                <w:color w:val="000000"/>
                <w:sz w:val="24"/>
                <w:szCs w:val="24"/>
                <w:lang w:val="lv-LV"/>
              </w:rPr>
              <w:t>atbildīgs par sabiedrības veselības politikas īstenošanu valstī epidemioloģiskās drošības un</w:t>
            </w:r>
            <w:r>
              <w:rPr>
                <w:rFonts w:ascii="Times New Roman" w:hAnsi="Times New Roman"/>
                <w:color w:val="000000"/>
                <w:sz w:val="24"/>
                <w:szCs w:val="24"/>
                <w:lang w:val="lv-LV"/>
              </w:rPr>
              <w:t xml:space="preserve"> slimību profilakses </w:t>
            </w:r>
            <w:proofErr w:type="spellStart"/>
            <w:r>
              <w:rPr>
                <w:rFonts w:ascii="Times New Roman" w:hAnsi="Times New Roman"/>
                <w:color w:val="000000"/>
                <w:sz w:val="24"/>
                <w:szCs w:val="24"/>
                <w:lang w:val="lv-LV"/>
              </w:rPr>
              <w:t>apakšjomās</w:t>
            </w:r>
            <w:proofErr w:type="spellEnd"/>
            <w:r>
              <w:rPr>
                <w:rFonts w:ascii="Times New Roman" w:hAnsi="Times New Roman"/>
                <w:color w:val="000000"/>
                <w:sz w:val="24"/>
                <w:szCs w:val="24"/>
                <w:lang w:val="lv-LV"/>
              </w:rPr>
              <w:t xml:space="preserve">. </w:t>
            </w:r>
            <w:r w:rsidR="00E34F87">
              <w:rPr>
                <w:rFonts w:ascii="Times New Roman" w:hAnsi="Times New Roman"/>
                <w:color w:val="000000"/>
                <w:sz w:val="24"/>
                <w:szCs w:val="24"/>
                <w:lang w:val="lv-LV"/>
              </w:rPr>
              <w:t xml:space="preserve">Savukārt </w:t>
            </w:r>
            <w:r>
              <w:rPr>
                <w:rFonts w:ascii="Times New Roman" w:hAnsi="Times New Roman"/>
                <w:color w:val="000000"/>
                <w:sz w:val="24"/>
                <w:szCs w:val="24"/>
                <w:lang w:val="lv-LV"/>
              </w:rPr>
              <w:t xml:space="preserve">saskaņā ar </w:t>
            </w:r>
            <w:r w:rsidRPr="001D1C01">
              <w:rPr>
                <w:rFonts w:ascii="Times New Roman" w:hAnsi="Times New Roman"/>
                <w:color w:val="000000"/>
                <w:sz w:val="24"/>
                <w:szCs w:val="24"/>
                <w:lang w:val="lv-LV"/>
              </w:rPr>
              <w:t>Ministru kabineta 2004.gada 13.aprīļa noteikum</w:t>
            </w:r>
            <w:r>
              <w:rPr>
                <w:rFonts w:ascii="Times New Roman" w:hAnsi="Times New Roman"/>
                <w:color w:val="000000"/>
                <w:sz w:val="24"/>
                <w:szCs w:val="24"/>
                <w:lang w:val="lv-LV"/>
              </w:rPr>
              <w:t>iem</w:t>
            </w:r>
            <w:r w:rsidRPr="001D1C01">
              <w:rPr>
                <w:rFonts w:ascii="Times New Roman" w:hAnsi="Times New Roman"/>
                <w:color w:val="000000"/>
                <w:sz w:val="24"/>
                <w:szCs w:val="24"/>
                <w:lang w:val="lv-LV"/>
              </w:rPr>
              <w:t xml:space="preserve"> Nr.286 „Vesel</w:t>
            </w:r>
            <w:r>
              <w:rPr>
                <w:rFonts w:ascii="Times New Roman" w:hAnsi="Times New Roman"/>
                <w:color w:val="000000"/>
                <w:sz w:val="24"/>
                <w:szCs w:val="24"/>
                <w:lang w:val="lv-LV"/>
              </w:rPr>
              <w:t xml:space="preserve">ības ministrijas nolikums” (turpmāk – VM nolikums) </w:t>
            </w:r>
            <w:r w:rsidRPr="001D1C01">
              <w:rPr>
                <w:rFonts w:ascii="Times New Roman" w:hAnsi="Times New Roman"/>
                <w:color w:val="000000"/>
                <w:sz w:val="24"/>
                <w:szCs w:val="24"/>
                <w:lang w:val="lv-LV"/>
              </w:rPr>
              <w:t xml:space="preserve">Veselības ministrija (turpmāk – ministrija) </w:t>
            </w:r>
            <w:r>
              <w:rPr>
                <w:rFonts w:ascii="Times New Roman" w:hAnsi="Times New Roman"/>
                <w:color w:val="000000"/>
                <w:sz w:val="24"/>
                <w:szCs w:val="24"/>
                <w:lang w:val="lv-LV"/>
              </w:rPr>
              <w:t xml:space="preserve">izstrādā un </w:t>
            </w:r>
            <w:r w:rsidRPr="001D1C01">
              <w:rPr>
                <w:rFonts w:ascii="Times New Roman" w:hAnsi="Times New Roman"/>
                <w:color w:val="000000"/>
                <w:sz w:val="24"/>
                <w:szCs w:val="24"/>
                <w:lang w:val="lv-LV"/>
              </w:rPr>
              <w:t>īsteno valsts politiku ve</w:t>
            </w:r>
            <w:r>
              <w:rPr>
                <w:rFonts w:ascii="Times New Roman" w:hAnsi="Times New Roman"/>
                <w:color w:val="000000"/>
                <w:sz w:val="24"/>
                <w:szCs w:val="24"/>
                <w:lang w:val="lv-LV"/>
              </w:rPr>
              <w:t xml:space="preserve">selības veicināšanas </w:t>
            </w:r>
            <w:proofErr w:type="spellStart"/>
            <w:r>
              <w:rPr>
                <w:rFonts w:ascii="Times New Roman" w:hAnsi="Times New Roman"/>
                <w:color w:val="000000"/>
                <w:sz w:val="24"/>
                <w:szCs w:val="24"/>
                <w:lang w:val="lv-LV"/>
              </w:rPr>
              <w:t>apakšjomā</w:t>
            </w:r>
            <w:proofErr w:type="spellEnd"/>
            <w:r>
              <w:rPr>
                <w:rFonts w:ascii="Times New Roman" w:hAnsi="Times New Roman"/>
                <w:color w:val="000000"/>
                <w:sz w:val="24"/>
                <w:szCs w:val="24"/>
                <w:lang w:val="lv-LV"/>
              </w:rPr>
              <w:t xml:space="preserve"> - valsts un reģionālā līmenī uzrauga un koordinē veselības veicināšanas pasākumu īstenošanu, </w:t>
            </w:r>
            <w:r w:rsidRPr="001D1C01">
              <w:rPr>
                <w:rFonts w:ascii="Times New Roman" w:hAnsi="Times New Roman"/>
                <w:color w:val="000000"/>
                <w:sz w:val="24"/>
                <w:szCs w:val="24"/>
                <w:lang w:val="lv-LV"/>
              </w:rPr>
              <w:t xml:space="preserve">izglīto sabiedrības grupas jautājumos, kas ietekmē veselību un veselīgu dzīvesveidu, sagatavo informāciju un izstrādā ieteikumus valsts un pašvaldību institūcijām, nevalstiskajām </w:t>
            </w:r>
            <w:r w:rsidR="008B1AEC">
              <w:rPr>
                <w:rFonts w:ascii="Times New Roman" w:hAnsi="Times New Roman"/>
                <w:color w:val="000000"/>
                <w:sz w:val="24"/>
                <w:szCs w:val="24"/>
                <w:lang w:val="lv-LV"/>
              </w:rPr>
              <w:t>organizācijām, citām juridiskām</w:t>
            </w:r>
            <w:r w:rsidRPr="001D1C01">
              <w:rPr>
                <w:rFonts w:ascii="Times New Roman" w:hAnsi="Times New Roman"/>
                <w:color w:val="000000"/>
                <w:sz w:val="24"/>
                <w:szCs w:val="24"/>
                <w:lang w:val="lv-LV"/>
              </w:rPr>
              <w:t xml:space="preserve"> un fiziskām personām </w:t>
            </w:r>
            <w:r w:rsidRPr="003C2AF2">
              <w:rPr>
                <w:rFonts w:ascii="Times New Roman" w:hAnsi="Times New Roman"/>
                <w:color w:val="000000"/>
                <w:sz w:val="24"/>
                <w:szCs w:val="24"/>
                <w:lang w:val="lv-LV"/>
              </w:rPr>
              <w:t xml:space="preserve">jautājumos, kas saistīti ar veselības veicināšanu. </w:t>
            </w:r>
          </w:p>
          <w:p w:rsidR="00F46283" w:rsidRPr="00071EF8" w:rsidRDefault="00BF4729" w:rsidP="00071EF8">
            <w:pPr>
              <w:pStyle w:val="tvhtml"/>
              <w:spacing w:before="0" w:beforeAutospacing="0" w:after="0" w:afterAutospacing="0"/>
              <w:jc w:val="both"/>
              <w:rPr>
                <w:rFonts w:ascii="Times New Roman" w:hAnsi="Times New Roman"/>
                <w:color w:val="000000"/>
                <w:sz w:val="24"/>
                <w:szCs w:val="24"/>
                <w:lang w:val="lv-LV"/>
              </w:rPr>
            </w:pPr>
            <w:r>
              <w:rPr>
                <w:rFonts w:ascii="Times New Roman" w:hAnsi="Times New Roman"/>
                <w:color w:val="000000"/>
                <w:sz w:val="24"/>
                <w:szCs w:val="24"/>
                <w:lang w:val="lv-LV"/>
              </w:rPr>
              <w:t>Pēc būtības</w:t>
            </w:r>
            <w:r w:rsidRPr="003C2AF2">
              <w:rPr>
                <w:rFonts w:ascii="Times New Roman" w:hAnsi="Times New Roman"/>
                <w:color w:val="000000"/>
                <w:sz w:val="24"/>
                <w:szCs w:val="24"/>
                <w:lang w:val="lv-LV"/>
              </w:rPr>
              <w:t xml:space="preserve"> ministrija nodarbojas ar </w:t>
            </w:r>
            <w:r w:rsidR="00D61695">
              <w:rPr>
                <w:rFonts w:ascii="Times New Roman" w:hAnsi="Times New Roman"/>
                <w:color w:val="000000"/>
                <w:sz w:val="24"/>
                <w:szCs w:val="24"/>
                <w:lang w:val="lv-LV"/>
              </w:rPr>
              <w:t>nozares vadošai iestādei</w:t>
            </w:r>
            <w:r>
              <w:rPr>
                <w:rFonts w:ascii="Times New Roman" w:hAnsi="Times New Roman"/>
                <w:color w:val="000000"/>
                <w:sz w:val="24"/>
                <w:szCs w:val="24"/>
                <w:lang w:val="lv-LV"/>
              </w:rPr>
              <w:t xml:space="preserve"> neraksturīgām funkcijām un uzdevumiem -</w:t>
            </w:r>
            <w:r w:rsidRPr="003C2AF2">
              <w:rPr>
                <w:rFonts w:ascii="Times New Roman" w:hAnsi="Times New Roman"/>
                <w:color w:val="000000"/>
                <w:sz w:val="24"/>
                <w:szCs w:val="24"/>
                <w:lang w:val="lv-LV"/>
              </w:rPr>
              <w:t xml:space="preserve"> veselības veicināšanas politikas</w:t>
            </w:r>
            <w:r w:rsidR="00687979">
              <w:rPr>
                <w:rFonts w:ascii="Times New Roman" w:hAnsi="Times New Roman"/>
                <w:color w:val="000000"/>
                <w:sz w:val="24"/>
                <w:szCs w:val="24"/>
                <w:lang w:val="lv-LV"/>
              </w:rPr>
              <w:t xml:space="preserve"> īstenošanu</w:t>
            </w:r>
            <w:r w:rsidR="00E34F87">
              <w:rPr>
                <w:rFonts w:ascii="Times New Roman" w:hAnsi="Times New Roman"/>
                <w:color w:val="000000"/>
                <w:sz w:val="24"/>
                <w:szCs w:val="24"/>
                <w:lang w:val="lv-LV"/>
              </w:rPr>
              <w:t>, veselību veicinošu</w:t>
            </w:r>
            <w:r w:rsidRPr="003C2AF2">
              <w:rPr>
                <w:rFonts w:ascii="Times New Roman" w:hAnsi="Times New Roman"/>
                <w:color w:val="000000"/>
                <w:sz w:val="24"/>
                <w:szCs w:val="24"/>
                <w:lang w:val="lv-LV"/>
              </w:rPr>
              <w:t xml:space="preserve"> pasākumu organizēšanu, izglītojošu materiālu izstrādāšanu un informācijas izplatīšanu dažādām mērķa grupām par v</w:t>
            </w:r>
            <w:r>
              <w:rPr>
                <w:rFonts w:ascii="Times New Roman" w:hAnsi="Times New Roman"/>
                <w:color w:val="000000"/>
                <w:sz w:val="24"/>
                <w:szCs w:val="24"/>
                <w:lang w:val="lv-LV"/>
              </w:rPr>
              <w:t>eselīga dzīvesveida jautājumiem un veselības veicināšanas pasākumu koordinēšanu pašvaldībās,</w:t>
            </w:r>
            <w:r w:rsidRPr="003C2AF2">
              <w:rPr>
                <w:rFonts w:ascii="Times New Roman" w:hAnsi="Times New Roman"/>
                <w:color w:val="000000"/>
                <w:sz w:val="24"/>
                <w:szCs w:val="24"/>
                <w:lang w:val="lv-LV"/>
              </w:rPr>
              <w:t xml:space="preserve"> kas pēc būtības būtu </w:t>
            </w:r>
            <w:r>
              <w:rPr>
                <w:rFonts w:ascii="Times New Roman" w:hAnsi="Times New Roman"/>
                <w:color w:val="000000"/>
                <w:sz w:val="24"/>
                <w:szCs w:val="24"/>
                <w:lang w:val="lv-LV"/>
              </w:rPr>
              <w:t>SPKC uzdevumi</w:t>
            </w:r>
            <w:r w:rsidRPr="003C2AF2">
              <w:rPr>
                <w:rFonts w:ascii="Times New Roman" w:hAnsi="Times New Roman"/>
                <w:color w:val="000000"/>
                <w:sz w:val="24"/>
                <w:szCs w:val="24"/>
                <w:lang w:val="lv-LV"/>
              </w:rPr>
              <w:t xml:space="preserve">. </w:t>
            </w:r>
          </w:p>
          <w:p w:rsidR="00F46283" w:rsidRPr="00687979" w:rsidRDefault="00F46283" w:rsidP="00F46283">
            <w:pPr>
              <w:widowControl w:val="0"/>
              <w:autoSpaceDE w:val="0"/>
              <w:autoSpaceDN w:val="0"/>
              <w:adjustRightInd w:val="0"/>
              <w:jc w:val="both"/>
              <w:rPr>
                <w:color w:val="000000"/>
              </w:rPr>
            </w:pPr>
            <w:r>
              <w:lastRenderedPageBreak/>
              <w:t xml:space="preserve">Saskaņā ar </w:t>
            </w:r>
            <w:r w:rsidRPr="00A9529F">
              <w:t xml:space="preserve">„Sabiedrības veselības pamatnostādnēm 2011.-2017.gadam”, kuras apstiprinātas ar </w:t>
            </w:r>
            <w:r w:rsidRPr="00A9529F">
              <w:rPr>
                <w:color w:val="000000"/>
                <w:shd w:val="clear" w:color="auto" w:fill="FFFFFF"/>
              </w:rPr>
              <w:t>Ministru kabineta 2011.gada 5.oktobra rīkojumu Nr.504</w:t>
            </w:r>
            <w:r w:rsidR="00ED2F2A">
              <w:rPr>
                <w:color w:val="000000"/>
                <w:shd w:val="clear" w:color="auto" w:fill="FFFFFF"/>
              </w:rPr>
              <w:t>,</w:t>
            </w:r>
            <w:r w:rsidRPr="00A9529F">
              <w:rPr>
                <w:color w:val="000000"/>
                <w:shd w:val="clear" w:color="auto" w:fill="FFFFFF"/>
              </w:rPr>
              <w:t xml:space="preserve"> Latvijā </w:t>
            </w:r>
            <w:r w:rsidRPr="00A9529F">
              <w:t xml:space="preserve">visbūtiskākie mirstības un saslimstības cēloņi ir </w:t>
            </w:r>
            <w:r>
              <w:t xml:space="preserve">hroniskas </w:t>
            </w:r>
            <w:proofErr w:type="spellStart"/>
            <w:r w:rsidRPr="00A9529F">
              <w:t>neinfekcijas</w:t>
            </w:r>
            <w:proofErr w:type="spellEnd"/>
            <w:r w:rsidRPr="00A9529F">
              <w:t xml:space="preserve"> slimības – sirds un asinsrites sistēmas slimības, onkoloģiskās saslimšanas, diabēts, kā arī ārējie nāves cēloņi un traumatisms</w:t>
            </w:r>
            <w:r>
              <w:t xml:space="preserve">. </w:t>
            </w:r>
            <w:proofErr w:type="spellStart"/>
            <w:r w:rsidRPr="003F3023">
              <w:rPr>
                <w:color w:val="000000"/>
              </w:rPr>
              <w:t>Neinfekcijas</w:t>
            </w:r>
            <w:proofErr w:type="spellEnd"/>
            <w:r w:rsidRPr="003F3023">
              <w:rPr>
                <w:color w:val="000000"/>
              </w:rPr>
              <w:t xml:space="preserve"> slimību riska faktori atbilstoši </w:t>
            </w:r>
            <w:r w:rsidRPr="003F3023">
              <w:t>Pasaules Veselības organizācijas definīcijai</w:t>
            </w:r>
            <w:r w:rsidRPr="003F3023">
              <w:rPr>
                <w:rStyle w:val="Vresatsauce"/>
              </w:rPr>
              <w:footnoteReference w:id="1"/>
            </w:r>
            <w:r w:rsidRPr="003F3023">
              <w:t xml:space="preserve"> ir </w:t>
            </w:r>
            <w:r w:rsidRPr="003F3023">
              <w:rPr>
                <w:rFonts w:eastAsia="Calibri"/>
                <w:color w:val="000000"/>
              </w:rPr>
              <w:t>augsts asinsspiediens,</w:t>
            </w:r>
            <w:r w:rsidRPr="003F3023">
              <w:rPr>
                <w:rFonts w:eastAsia="Calibri"/>
                <w:bCs/>
                <w:color w:val="000000"/>
              </w:rPr>
              <w:t xml:space="preserve"> </w:t>
            </w:r>
            <w:r w:rsidRPr="003F3023">
              <w:rPr>
                <w:rFonts w:eastAsia="Calibri"/>
                <w:color w:val="000000"/>
              </w:rPr>
              <w:t xml:space="preserve">smēķēšana, palielināts holesterīna līmenis asinīs, </w:t>
            </w:r>
            <w:r w:rsidRPr="003F3023">
              <w:rPr>
                <w:rFonts w:eastAsia="Calibri"/>
                <w:bCs/>
                <w:color w:val="000000"/>
              </w:rPr>
              <w:t>m</w:t>
            </w:r>
            <w:r w:rsidRPr="003F3023">
              <w:rPr>
                <w:rFonts w:eastAsia="Calibri"/>
                <w:color w:val="000000"/>
              </w:rPr>
              <w:t>azs augļu un dārzeņu patēriņš uzturā</w:t>
            </w:r>
            <w:r w:rsidRPr="003F3023">
              <w:rPr>
                <w:rFonts w:eastAsia="Calibri"/>
                <w:bCs/>
                <w:color w:val="000000"/>
              </w:rPr>
              <w:t>, l</w:t>
            </w:r>
            <w:r w:rsidRPr="003F3023">
              <w:rPr>
                <w:rFonts w:eastAsia="Calibri"/>
                <w:color w:val="000000"/>
              </w:rPr>
              <w:t>iekais svars, aptaukošanās</w:t>
            </w:r>
            <w:r w:rsidRPr="003F3023">
              <w:rPr>
                <w:rFonts w:eastAsia="Calibri"/>
                <w:bCs/>
                <w:color w:val="000000"/>
              </w:rPr>
              <w:t>, p</w:t>
            </w:r>
            <w:r>
              <w:rPr>
                <w:rFonts w:eastAsia="Calibri"/>
                <w:color w:val="000000"/>
              </w:rPr>
              <w:t xml:space="preserve">azemināta fiziskā aktivitāte. </w:t>
            </w:r>
            <w:r>
              <w:rPr>
                <w:color w:val="000000"/>
              </w:rPr>
              <w:t>Tāpēc, lai mazinātu saslimstību un mirstību</w:t>
            </w:r>
            <w:r w:rsidR="002218F4">
              <w:rPr>
                <w:color w:val="000000"/>
              </w:rPr>
              <w:t xml:space="preserve"> no hroniskām </w:t>
            </w:r>
            <w:proofErr w:type="spellStart"/>
            <w:r w:rsidR="002218F4">
              <w:rPr>
                <w:color w:val="000000"/>
              </w:rPr>
              <w:t>neinfekcijas</w:t>
            </w:r>
            <w:proofErr w:type="spellEnd"/>
            <w:r w:rsidR="002218F4">
              <w:rPr>
                <w:color w:val="000000"/>
              </w:rPr>
              <w:t xml:space="preserve"> slimībām</w:t>
            </w:r>
            <w:r>
              <w:rPr>
                <w:color w:val="000000"/>
              </w:rPr>
              <w:t>, kā arī mazinātu šo slimību riska faktoru izplatību</w:t>
            </w:r>
            <w:r w:rsidR="002218F4">
              <w:rPr>
                <w:color w:val="000000"/>
              </w:rPr>
              <w:t>,</w:t>
            </w:r>
            <w:r>
              <w:rPr>
                <w:color w:val="000000"/>
              </w:rPr>
              <w:t xml:space="preserve"> ir nepieciešams īstenot veselību veicinošus un profilaktiskus pasākumus</w:t>
            </w:r>
            <w:r w:rsidR="00687979">
              <w:rPr>
                <w:color w:val="000000"/>
              </w:rPr>
              <w:t xml:space="preserve"> dažādām sabiedrības grupām</w:t>
            </w:r>
            <w:r>
              <w:rPr>
                <w:color w:val="000000"/>
              </w:rPr>
              <w:t>, kā arī īstenot efektīvu un pārdomātu veselības veicināšanas politiku</w:t>
            </w:r>
            <w:r w:rsidR="00071EF8">
              <w:rPr>
                <w:color w:val="000000"/>
              </w:rPr>
              <w:t xml:space="preserve"> ilgtermiņā.</w:t>
            </w:r>
          </w:p>
          <w:p w:rsidR="00BF4729" w:rsidRPr="003C2AF2" w:rsidRDefault="00BF4729" w:rsidP="00BF4729">
            <w:pPr>
              <w:widowControl w:val="0"/>
              <w:autoSpaceDE w:val="0"/>
              <w:autoSpaceDN w:val="0"/>
              <w:adjustRightInd w:val="0"/>
              <w:jc w:val="both"/>
              <w:rPr>
                <w:color w:val="000000"/>
              </w:rPr>
            </w:pPr>
            <w:r>
              <w:rPr>
                <w:color w:val="000000"/>
              </w:rPr>
              <w:t>2011.gadā</w:t>
            </w:r>
            <w:r w:rsidRPr="003C2AF2">
              <w:rPr>
                <w:color w:val="000000"/>
              </w:rPr>
              <w:t xml:space="preserve"> ministrijā notika veselības veicināšanas sistēmas audits, kura rezultātā ministrijas Audita un kvalitātes nodaļa konstatēja, ka veselības veicināšanas funkcija</w:t>
            </w:r>
            <w:r w:rsidR="00FD6B03">
              <w:rPr>
                <w:color w:val="000000"/>
              </w:rPr>
              <w:t xml:space="preserve"> un uzdevumi</w:t>
            </w:r>
            <w:r>
              <w:rPr>
                <w:color w:val="000000"/>
              </w:rPr>
              <w:t xml:space="preserve">, ņemot vērā esošos sistēmu un reformas, </w:t>
            </w:r>
            <w:r w:rsidR="00811066">
              <w:rPr>
                <w:color w:val="000000"/>
              </w:rPr>
              <w:t>netiek veikta pilnā apjomā un ir nepieciešami uzlabojumi.</w:t>
            </w:r>
          </w:p>
          <w:p w:rsidR="00A64A0D" w:rsidRDefault="00BF4729" w:rsidP="00A64A0D">
            <w:pPr>
              <w:widowControl w:val="0"/>
              <w:autoSpaceDE w:val="0"/>
              <w:autoSpaceDN w:val="0"/>
              <w:adjustRightInd w:val="0"/>
              <w:jc w:val="both"/>
              <w:rPr>
                <w:color w:val="000000"/>
              </w:rPr>
            </w:pPr>
            <w:r w:rsidRPr="003F456F">
              <w:rPr>
                <w:color w:val="000000"/>
              </w:rPr>
              <w:t xml:space="preserve">2011. gadā notika arī ārējs funkciju audits sabiedrības veselības jomā - </w:t>
            </w:r>
            <w:r w:rsidRPr="003F456F">
              <w:rPr>
                <w:iCs/>
                <w:color w:val="000000"/>
              </w:rPr>
              <w:t>Pasaules Veselības organizācijas un Apvienoto Nāciju organizācijas Narkotiku un noziedzības biroja (UNODC) ekspertu iesniegtais novērtējuma ziņojums „</w:t>
            </w:r>
            <w:proofErr w:type="spellStart"/>
            <w:r w:rsidRPr="003F456F">
              <w:rPr>
                <w:iCs/>
                <w:color w:val="000000"/>
              </w:rPr>
              <w:t>Mid-term</w:t>
            </w:r>
            <w:proofErr w:type="spellEnd"/>
            <w:r w:rsidRPr="003F456F">
              <w:rPr>
                <w:iCs/>
                <w:color w:val="000000"/>
              </w:rPr>
              <w:t xml:space="preserve"> </w:t>
            </w:r>
            <w:proofErr w:type="spellStart"/>
            <w:r w:rsidRPr="003F456F">
              <w:rPr>
                <w:iCs/>
                <w:color w:val="000000"/>
              </w:rPr>
              <w:t>Evaluation</w:t>
            </w:r>
            <w:proofErr w:type="spellEnd"/>
            <w:r w:rsidRPr="003F456F">
              <w:rPr>
                <w:iCs/>
                <w:color w:val="000000"/>
              </w:rPr>
              <w:t xml:space="preserve"> </w:t>
            </w:r>
            <w:proofErr w:type="spellStart"/>
            <w:r w:rsidRPr="003F456F">
              <w:rPr>
                <w:iCs/>
                <w:color w:val="000000"/>
              </w:rPr>
              <w:t>of</w:t>
            </w:r>
            <w:proofErr w:type="spellEnd"/>
            <w:r w:rsidRPr="003F456F">
              <w:rPr>
                <w:iCs/>
                <w:color w:val="000000"/>
              </w:rPr>
              <w:t xml:space="preserve"> </w:t>
            </w:r>
            <w:proofErr w:type="spellStart"/>
            <w:r w:rsidRPr="003F456F">
              <w:rPr>
                <w:iCs/>
                <w:color w:val="000000"/>
              </w:rPr>
              <w:t>the</w:t>
            </w:r>
            <w:proofErr w:type="spellEnd"/>
            <w:r w:rsidRPr="003F456F">
              <w:rPr>
                <w:iCs/>
                <w:color w:val="000000"/>
              </w:rPr>
              <w:t xml:space="preserve"> </w:t>
            </w:r>
            <w:proofErr w:type="spellStart"/>
            <w:r w:rsidRPr="003F456F">
              <w:rPr>
                <w:iCs/>
                <w:color w:val="000000"/>
              </w:rPr>
              <w:t>Latvian</w:t>
            </w:r>
            <w:proofErr w:type="spellEnd"/>
            <w:r w:rsidRPr="003F456F">
              <w:rPr>
                <w:iCs/>
                <w:color w:val="000000"/>
              </w:rPr>
              <w:t xml:space="preserve"> </w:t>
            </w:r>
            <w:proofErr w:type="spellStart"/>
            <w:r w:rsidRPr="003F456F">
              <w:rPr>
                <w:iCs/>
                <w:color w:val="000000"/>
              </w:rPr>
              <w:t>National</w:t>
            </w:r>
            <w:proofErr w:type="spellEnd"/>
            <w:r w:rsidRPr="003F456F">
              <w:rPr>
                <w:iCs/>
                <w:color w:val="000000"/>
              </w:rPr>
              <w:t xml:space="preserve"> HIV </w:t>
            </w:r>
            <w:proofErr w:type="spellStart"/>
            <w:r w:rsidRPr="003F456F">
              <w:rPr>
                <w:iCs/>
                <w:color w:val="000000"/>
              </w:rPr>
              <w:t>Programme</w:t>
            </w:r>
            <w:proofErr w:type="spellEnd"/>
            <w:r w:rsidRPr="003F456F">
              <w:rPr>
                <w:iCs/>
                <w:color w:val="000000"/>
              </w:rPr>
              <w:t xml:space="preserve"> 2009-2013”. Šajā ziņojumā tika atzīts, </w:t>
            </w:r>
            <w:r>
              <w:rPr>
                <w:iCs/>
                <w:color w:val="000000"/>
              </w:rPr>
              <w:t xml:space="preserve">ka </w:t>
            </w:r>
            <w:r w:rsidRPr="003F456F">
              <w:rPr>
                <w:color w:val="000000"/>
              </w:rPr>
              <w:t>sabiedrības</w:t>
            </w:r>
            <w:r w:rsidRPr="003C2AF2">
              <w:rPr>
                <w:color w:val="000000"/>
              </w:rPr>
              <w:t xml:space="preserve"> veselības funkciju stiprināšana Latvijā ir ļoti nepieciešama, it sevišķi veselības veicināšanas un slimību profilakses jomās. Ziņojumā uzsvērts, ka sabiedrības veselības funkciju sadalīšana starp dažādām iestādēm neatbilst mūsdienīgai izpratnei par sabiedrības veselības iest</w:t>
            </w:r>
            <w:r>
              <w:rPr>
                <w:color w:val="000000"/>
              </w:rPr>
              <w:t>āžu darbību. Labā prakse, kuru veido</w:t>
            </w:r>
            <w:r w:rsidRPr="003C2AF2">
              <w:rPr>
                <w:color w:val="000000"/>
              </w:rPr>
              <w:t xml:space="preserve"> un atbalsta attīstītas valstis ar labiem sasniegumiem un efektīvāku darbību iedzīvotāju veselības uzlabošanā, ir veidot valstī vienu iestādi, kas apvienotu būtiskākās</w:t>
            </w:r>
            <w:r w:rsidRPr="00A629A6">
              <w:rPr>
                <w:color w:val="000000"/>
              </w:rPr>
              <w:t xml:space="preserve"> sabiedrības veselības funkcijas gan infekciju, gan </w:t>
            </w:r>
            <w:proofErr w:type="spellStart"/>
            <w:r w:rsidRPr="00A629A6">
              <w:rPr>
                <w:color w:val="000000"/>
              </w:rPr>
              <w:t>neinfekciju</w:t>
            </w:r>
            <w:proofErr w:type="spellEnd"/>
            <w:r w:rsidRPr="00A629A6">
              <w:rPr>
                <w:color w:val="000000"/>
              </w:rPr>
              <w:t xml:space="preserve"> </w:t>
            </w:r>
            <w:r>
              <w:rPr>
                <w:color w:val="000000"/>
              </w:rPr>
              <w:t>slimību profilakses jomā, tai skai</w:t>
            </w:r>
            <w:r w:rsidR="00811066">
              <w:rPr>
                <w:color w:val="000000"/>
              </w:rPr>
              <w:t xml:space="preserve">tā veselības veicināšanas jomā. </w:t>
            </w:r>
            <w:r>
              <w:rPr>
                <w:color w:val="000000"/>
              </w:rPr>
              <w:t>Kā uzsvērts ziņojumā, veselības veicināšana ir tieši saistīta funkcija ar slimību profilaksi, un tās ietvaros iestāde</w:t>
            </w:r>
            <w:r w:rsidRPr="00A629A6">
              <w:rPr>
                <w:b/>
                <w:bCs/>
                <w:color w:val="000000"/>
              </w:rPr>
              <w:t xml:space="preserve"> </w:t>
            </w:r>
            <w:r w:rsidRPr="00A629A6">
              <w:rPr>
                <w:color w:val="000000"/>
              </w:rPr>
              <w:t>attīsta, novērtē, ievieš programmas veselīga dzīvesveida sekmēšanai, pielieto uz pierādījumiem balstītas zināšanas, atbalsta likumdošanas pilnveidošanu, veselības izglītību, informatīvas kampaņas (video, materiāli, brošū</w:t>
            </w:r>
            <w:r>
              <w:rPr>
                <w:color w:val="000000"/>
              </w:rPr>
              <w:t>ras u.c.), sekmē vides izmaiņas, kā arī sadarbojas ar pašvaldībām.</w:t>
            </w:r>
          </w:p>
          <w:p w:rsidR="00EE2DB1" w:rsidRPr="00BA25C1" w:rsidRDefault="00B06AD3" w:rsidP="00A64A0D">
            <w:pPr>
              <w:widowControl w:val="0"/>
              <w:autoSpaceDE w:val="0"/>
              <w:autoSpaceDN w:val="0"/>
              <w:adjustRightInd w:val="0"/>
              <w:jc w:val="both"/>
              <w:rPr>
                <w:color w:val="000000"/>
              </w:rPr>
            </w:pPr>
            <w:r>
              <w:rPr>
                <w:color w:val="000000"/>
              </w:rPr>
              <w:t xml:space="preserve">Ņemot vērā iepriekšminēto, </w:t>
            </w:r>
            <w:r w:rsidR="005A5352">
              <w:rPr>
                <w:color w:val="000000"/>
              </w:rPr>
              <w:t xml:space="preserve">ir nepieciešams </w:t>
            </w:r>
            <w:r w:rsidR="00BF4729">
              <w:rPr>
                <w:color w:val="000000"/>
              </w:rPr>
              <w:t>īs</w:t>
            </w:r>
            <w:r w:rsidR="00FD6B03">
              <w:rPr>
                <w:color w:val="000000"/>
              </w:rPr>
              <w:t>tenot</w:t>
            </w:r>
            <w:r w:rsidR="00BF4729">
              <w:rPr>
                <w:color w:val="000000"/>
              </w:rPr>
              <w:t xml:space="preserve"> otro </w:t>
            </w:r>
            <w:r w:rsidR="00BF4729" w:rsidRPr="00151F3E">
              <w:rPr>
                <w:color w:val="000000"/>
              </w:rPr>
              <w:t>etapu publiskās pārvaldes funkciju un pakalpojumu optimizēšanai un līdzīgo funkciju centralizēšanai (apvienošan</w:t>
            </w:r>
            <w:r w:rsidR="00BF4729">
              <w:rPr>
                <w:color w:val="000000"/>
              </w:rPr>
              <w:t>ai) sabiedrības veselības jomā,</w:t>
            </w:r>
            <w:r w:rsidR="00A038F0" w:rsidRPr="00151F3E">
              <w:rPr>
                <w:color w:val="000000"/>
              </w:rPr>
              <w:t xml:space="preserve"> nodod</w:t>
            </w:r>
            <w:r w:rsidR="00A038F0">
              <w:rPr>
                <w:color w:val="000000"/>
              </w:rPr>
              <w:t>ot ministrijai neraksturīgos uzdevumus</w:t>
            </w:r>
            <w:r w:rsidR="002402E5">
              <w:rPr>
                <w:color w:val="000000"/>
              </w:rPr>
              <w:t>, kas saistīti</w:t>
            </w:r>
            <w:r w:rsidR="00A038F0" w:rsidRPr="00151F3E">
              <w:rPr>
                <w:color w:val="000000"/>
              </w:rPr>
              <w:t xml:space="preserve"> ar veselības v</w:t>
            </w:r>
            <w:r w:rsidR="002402E5">
              <w:rPr>
                <w:color w:val="000000"/>
              </w:rPr>
              <w:t>eicināšanas politikas īstenošanas koordināciju SPKC,</w:t>
            </w:r>
            <w:r w:rsidR="00A038F0">
              <w:rPr>
                <w:color w:val="000000"/>
              </w:rPr>
              <w:t xml:space="preserve"> saglabājot ministrijas veselības veicināšanas politikas veidošanas un īstenošanas uzraudzības funkciju un uzdevumu. </w:t>
            </w:r>
            <w:r w:rsidR="0048203C">
              <w:rPr>
                <w:color w:val="000000"/>
              </w:rPr>
              <w:t>L</w:t>
            </w:r>
            <w:r>
              <w:rPr>
                <w:color w:val="000000"/>
              </w:rPr>
              <w:t>ai atrisinātu problēmas, uz kurām norādī</w:t>
            </w:r>
            <w:r w:rsidR="00D61695">
              <w:rPr>
                <w:color w:val="000000"/>
              </w:rPr>
              <w:t xml:space="preserve">ts </w:t>
            </w:r>
            <w:r>
              <w:rPr>
                <w:color w:val="000000"/>
              </w:rPr>
              <w:t xml:space="preserve"> ministrijas</w:t>
            </w:r>
            <w:r w:rsidR="00D61695">
              <w:rPr>
                <w:color w:val="000000"/>
              </w:rPr>
              <w:t xml:space="preserve"> audita </w:t>
            </w:r>
            <w:r w:rsidR="00D61695">
              <w:rPr>
                <w:color w:val="000000"/>
              </w:rPr>
              <w:lastRenderedPageBreak/>
              <w:t>ziņojumā</w:t>
            </w:r>
            <w:r>
              <w:rPr>
                <w:color w:val="000000"/>
              </w:rPr>
              <w:t>, g</w:t>
            </w:r>
            <w:r w:rsidR="00D61695">
              <w:rPr>
                <w:color w:val="000000"/>
              </w:rPr>
              <w:t>an arī starptautisko ekspertu</w:t>
            </w:r>
            <w:r w:rsidR="002402E5">
              <w:rPr>
                <w:color w:val="000000"/>
              </w:rPr>
              <w:t xml:space="preserve"> </w:t>
            </w:r>
            <w:r w:rsidR="00D61695">
              <w:rPr>
                <w:color w:val="000000"/>
              </w:rPr>
              <w:t xml:space="preserve">ziņojumā </w:t>
            </w:r>
            <w:r>
              <w:rPr>
                <w:color w:val="000000"/>
              </w:rPr>
              <w:t>sabiedrības veselības un veselības veicināšanas jomā</w:t>
            </w:r>
            <w:r w:rsidR="003C758A">
              <w:rPr>
                <w:color w:val="000000"/>
              </w:rPr>
              <w:t xml:space="preserve">, kā arī </w:t>
            </w:r>
            <w:r w:rsidR="00071EF8">
              <w:rPr>
                <w:color w:val="000000"/>
              </w:rPr>
              <w:t>lai ilgtermiņā uzlabotu Latvijas iedzīvotāju</w:t>
            </w:r>
            <w:r w:rsidR="00860418">
              <w:rPr>
                <w:color w:val="000000"/>
              </w:rPr>
              <w:t xml:space="preserve"> veselības</w:t>
            </w:r>
            <w:r w:rsidR="00071EF8">
              <w:rPr>
                <w:color w:val="000000"/>
              </w:rPr>
              <w:t xml:space="preserve"> paradumus, tādējādi mazinot saslimstību un mirstību no hroniskām </w:t>
            </w:r>
            <w:proofErr w:type="spellStart"/>
            <w:r w:rsidR="00071EF8">
              <w:rPr>
                <w:color w:val="000000"/>
              </w:rPr>
              <w:t>neinfekcijas</w:t>
            </w:r>
            <w:proofErr w:type="spellEnd"/>
            <w:r w:rsidR="00071EF8">
              <w:rPr>
                <w:color w:val="000000"/>
              </w:rPr>
              <w:t xml:space="preserve"> slimībām</w:t>
            </w:r>
            <w:r w:rsidR="00ED2F2A">
              <w:rPr>
                <w:color w:val="000000"/>
              </w:rPr>
              <w:t>,</w:t>
            </w:r>
            <w:r>
              <w:rPr>
                <w:color w:val="000000"/>
              </w:rPr>
              <w:t xml:space="preserve"> ir nepieciešams</w:t>
            </w:r>
            <w:r w:rsidR="005A5352">
              <w:rPr>
                <w:color w:val="000000"/>
              </w:rPr>
              <w:t xml:space="preserve"> veikt grozījumus</w:t>
            </w:r>
            <w:r w:rsidR="005A5352" w:rsidRPr="00953315">
              <w:t xml:space="preserve"> </w:t>
            </w:r>
            <w:r w:rsidR="005A5352">
              <w:t>MK noteikumos Nr.241,</w:t>
            </w:r>
            <w:r w:rsidR="005A5352">
              <w:rPr>
                <w:color w:val="000000"/>
              </w:rPr>
              <w:t xml:space="preserve"> lai </w:t>
            </w:r>
            <w:r w:rsidR="005A5352" w:rsidRPr="00BA25C1">
              <w:rPr>
                <w:color w:val="000000"/>
              </w:rPr>
              <w:t>precizētu un papildinātu SPKC uzdevumus veselības veicināšanas politikas īstenošanas koordinācijas jomā</w:t>
            </w:r>
            <w:r w:rsidR="00A038F0" w:rsidRPr="00BA25C1">
              <w:rPr>
                <w:color w:val="000000"/>
              </w:rPr>
              <w:t xml:space="preserve">. </w:t>
            </w:r>
          </w:p>
          <w:p w:rsidR="00180E70" w:rsidRDefault="00950A51" w:rsidP="00950A51">
            <w:pPr>
              <w:jc w:val="both"/>
            </w:pPr>
            <w:r w:rsidRPr="00BA25C1">
              <w:t>Šobrīd MK noteikumos Nr.241 ir neprecīzi noteikts to institūciju loks, kurām SPKC jāsagatavo un jāizsniedz SPKC rīcībā esošā informācija bez maksas. Būtisku laika resursu SPKC prasa tieši informācijas speciāla sagatavošana tām institūcijām, kas nav valsts vai pašvaldību institūcijas, tādējādi kavējot SPKC pamatdarbību. Līdz ar to ar grozījumiem nepieciešams precizēt, ka SPKC sniedz bezmaksas informāciju tikai MK noteikumos Nr.241 noteiktajam personu lokam (tai skaitā valsts un pašvaldību institūcijām, Eiropas Savienības institūcijām), lai samazinātu SPKC resursu izmantošanu atsevišķu pieprasījumu informācijas sagatavošanai nodrošināšanā. Tāpat ar grozījumiem vairs netiktu noteikts šaurs Eiropas Savienības institūciju loks (tikai Eiropas Narkotiku un narkomānijas uzraudzības centram un Eiropas Savienības Statistikas birojam EUROSTAT), kurām SPKC ir tiesīgs sniegt informāciju.</w:t>
            </w:r>
          </w:p>
          <w:p w:rsidR="000A7655" w:rsidRDefault="002402E5" w:rsidP="002F2C1F">
            <w:pPr>
              <w:widowControl w:val="0"/>
              <w:autoSpaceDE w:val="0"/>
              <w:autoSpaceDN w:val="0"/>
              <w:adjustRightInd w:val="0"/>
              <w:jc w:val="both"/>
            </w:pPr>
            <w:r w:rsidRPr="00535675">
              <w:t>Saskaņā ar MK rīkojumu</w:t>
            </w:r>
            <w:r w:rsidR="00B639EE">
              <w:t xml:space="preserve"> Nr.101</w:t>
            </w:r>
            <w:r w:rsidRPr="00535675">
              <w:t xml:space="preserve"> </w:t>
            </w:r>
            <w:r w:rsidR="00F04F7D" w:rsidRPr="00535675">
              <w:rPr>
                <w:color w:val="000000"/>
              </w:rPr>
              <w:t xml:space="preserve">SPKC tika nodota LIC funkcija un uzdevums - </w:t>
            </w:r>
            <w:proofErr w:type="spellStart"/>
            <w:r w:rsidR="00D820BC" w:rsidRPr="00535675">
              <w:t>imūnb</w:t>
            </w:r>
            <w:r w:rsidR="00A64A0D" w:rsidRPr="00535675">
              <w:t>ioloģisko</w:t>
            </w:r>
            <w:proofErr w:type="spellEnd"/>
            <w:r w:rsidR="00A64A0D" w:rsidRPr="00535675">
              <w:t xml:space="preserve"> preparātu uzglabāšana, uzskaite un sadale</w:t>
            </w:r>
            <w:r w:rsidR="00D820BC" w:rsidRPr="00535675">
              <w:t xml:space="preserve"> ārstni</w:t>
            </w:r>
            <w:r w:rsidR="00180E70" w:rsidRPr="00535675">
              <w:t xml:space="preserve">ecības iestādēm </w:t>
            </w:r>
            <w:r w:rsidR="00F04F7D" w:rsidRPr="00535675">
              <w:t>(MK noteikumu Nr.241 4.8.apakšpunkts)</w:t>
            </w:r>
            <w:r w:rsidR="00180E70" w:rsidRPr="00535675">
              <w:t>.</w:t>
            </w:r>
            <w:r w:rsidR="002F2C1F" w:rsidRPr="00535675">
              <w:t xml:space="preserve"> </w:t>
            </w:r>
            <w:r w:rsidR="0048203C" w:rsidRPr="00535675">
              <w:t xml:space="preserve">Šobrīd </w:t>
            </w:r>
            <w:r w:rsidR="002F2C1F" w:rsidRPr="00535675">
              <w:t xml:space="preserve">SPKC veic </w:t>
            </w:r>
            <w:proofErr w:type="spellStart"/>
            <w:r w:rsidR="002F2C1F" w:rsidRPr="00535675">
              <w:t>imūnbioloģisko</w:t>
            </w:r>
            <w:proofErr w:type="spellEnd"/>
            <w:r w:rsidR="002F2C1F" w:rsidRPr="00535675">
              <w:t xml:space="preserve"> preparātu iepirkšanu, bet SIA „Rīgas Austrumu klīniskā universitātes slimnīca” (turpmāk - RAKUS) nodrošina </w:t>
            </w:r>
            <w:proofErr w:type="spellStart"/>
            <w:r w:rsidRPr="00535675">
              <w:t>imūnbioloģisko</w:t>
            </w:r>
            <w:proofErr w:type="spellEnd"/>
            <w:r w:rsidRPr="00535675">
              <w:t xml:space="preserve"> preparātu </w:t>
            </w:r>
            <w:r w:rsidR="002F2C1F" w:rsidRPr="00535675">
              <w:t>uzglabāšanu un izsniegšanu.</w:t>
            </w:r>
            <w:r w:rsidR="006E6D1B" w:rsidRPr="00535675">
              <w:t xml:space="preserve"> </w:t>
            </w:r>
            <w:r w:rsidR="00F04F7D" w:rsidRPr="00535675">
              <w:t>Ņemot vērā, ka</w:t>
            </w:r>
            <w:r w:rsidR="00180E70" w:rsidRPr="00535675">
              <w:t xml:space="preserve"> </w:t>
            </w:r>
            <w:r w:rsidR="00F04F7D" w:rsidRPr="00535675">
              <w:t xml:space="preserve">pārējos </w:t>
            </w:r>
            <w:r w:rsidR="00A64A0D" w:rsidRPr="00535675">
              <w:t>medik</w:t>
            </w:r>
            <w:r w:rsidR="00F04F7D" w:rsidRPr="00535675">
              <w:t>amentus</w:t>
            </w:r>
            <w:r w:rsidR="002F2C1F" w:rsidRPr="00535675">
              <w:t xml:space="preserve"> ārstniecības iestāžu vajadzībām</w:t>
            </w:r>
            <w:r w:rsidR="00F04F7D" w:rsidRPr="00535675">
              <w:t xml:space="preserve"> centralizēti iepērk </w:t>
            </w:r>
            <w:r w:rsidR="00874FFB" w:rsidRPr="00535675">
              <w:t xml:space="preserve">Nacionālais veselības dienests (turpmāk – </w:t>
            </w:r>
            <w:r w:rsidR="00F04F7D" w:rsidRPr="00535675">
              <w:t>NVD</w:t>
            </w:r>
            <w:r w:rsidR="00874FFB" w:rsidRPr="00535675">
              <w:t>)</w:t>
            </w:r>
            <w:r w:rsidR="00F04F7D" w:rsidRPr="00535675">
              <w:t xml:space="preserve"> </w:t>
            </w:r>
            <w:r w:rsidR="00180E70" w:rsidRPr="00535675">
              <w:t xml:space="preserve">(2011.gada 1.novembra </w:t>
            </w:r>
            <w:r w:rsidR="00180E70" w:rsidRPr="00535675">
              <w:rPr>
                <w:bCs/>
              </w:rPr>
              <w:t>Ministru kabineta noteikumi Nr.850</w:t>
            </w:r>
            <w:r w:rsidR="00180E70" w:rsidRPr="00535675">
              <w:t xml:space="preserve"> „Nacionālā veselības dienesta nolikums” 3.5.apakšpunkts)</w:t>
            </w:r>
            <w:r w:rsidR="00874FFB" w:rsidRPr="00535675">
              <w:t>, tāpēc</w:t>
            </w:r>
            <w:r w:rsidR="002F2C1F" w:rsidRPr="00535675">
              <w:t xml:space="preserve"> būtu nepieciešams nodrošināt, ka </w:t>
            </w:r>
            <w:r w:rsidR="00874FFB" w:rsidRPr="00535675">
              <w:t xml:space="preserve">sākot ar 2013.gadu </w:t>
            </w:r>
            <w:r w:rsidR="002F2C1F" w:rsidRPr="00535675">
              <w:t xml:space="preserve">arī </w:t>
            </w:r>
            <w:proofErr w:type="spellStart"/>
            <w:r w:rsidR="002F2C1F" w:rsidRPr="00535675">
              <w:t>imūnbioloģiskos</w:t>
            </w:r>
            <w:proofErr w:type="spellEnd"/>
            <w:r w:rsidR="002F2C1F" w:rsidRPr="00535675">
              <w:t xml:space="preserve"> preparātus</w:t>
            </w:r>
            <w:r w:rsidR="00874FFB" w:rsidRPr="00535675">
              <w:t xml:space="preserve"> centralizēti iepērk</w:t>
            </w:r>
            <w:r w:rsidR="002F2C1F" w:rsidRPr="00535675">
              <w:t xml:space="preserve"> </w:t>
            </w:r>
            <w:r w:rsidR="000A7655" w:rsidRPr="00535675">
              <w:t>NVD.</w:t>
            </w:r>
          </w:p>
          <w:p w:rsidR="00134FA0" w:rsidRPr="000A7655" w:rsidRDefault="00117116" w:rsidP="000A7655">
            <w:pPr>
              <w:widowControl w:val="0"/>
              <w:tabs>
                <w:tab w:val="left" w:pos="3390"/>
              </w:tabs>
              <w:autoSpaceDE w:val="0"/>
              <w:autoSpaceDN w:val="0"/>
              <w:adjustRightInd w:val="0"/>
              <w:jc w:val="both"/>
              <w:rPr>
                <w:color w:val="000000"/>
              </w:rPr>
            </w:pPr>
            <w:r w:rsidRPr="0054238B">
              <w:t>Ar noteiktām slimībām slimojošu pacientu reģistra izveides, papildināšanas un uzturēšanas kārtību nosaka Ministru kabineta 2008.gada 15.septembra noteikumi Nr.746 „Ar noteiktām slimībām slimojošu pacientu reģistra izveides, papildināšanas un uzturēšanas kārtība” (turpmāk – MK noteikumi Nr.746). MK noteikumu Nr.746 6.punkts nosaka, ka reģistrā iekļaujamo informāciju ārstniecības iestādes ievada un aktualizē tiešsaistes režīmā atbilstoši MK noteikumu Nr.746 pielikumam Nr.1.-13.</w:t>
            </w:r>
            <w:r w:rsidRPr="00F76BD0">
              <w:rPr>
                <w:color w:val="000000"/>
              </w:rPr>
              <w:t xml:space="preserve"> </w:t>
            </w:r>
            <w:r w:rsidRPr="007C4D14">
              <w:t>MK noteikumu Nr.746 7.1.apakšpunkts un 6.pielikums nosaka i</w:t>
            </w:r>
            <w:r>
              <w:t>nformācijas vākšanu un apstrādi</w:t>
            </w:r>
            <w:r w:rsidRPr="007C4D14">
              <w:t xml:space="preserve"> par pacientiem, kuri slimo ar tuberkulozi. Līdz ar to nav pamatojuma </w:t>
            </w:r>
            <w:r>
              <w:t>MK noteikumos Nr.241</w:t>
            </w:r>
            <w:r w:rsidRPr="007C4D14">
              <w:t xml:space="preserve"> atsevišķi izdalīt „Tuberkulozes slimnieku valsts reģistru”, jo tas jau ir iekļauts „Ar noteiktām slimībām slimojošu pacientu reģistrā”</w:t>
            </w:r>
            <w:r>
              <w:t>.</w:t>
            </w:r>
          </w:p>
        </w:tc>
      </w:tr>
      <w:tr w:rsidR="000B76E3" w:rsidRPr="00BC182F" w:rsidTr="007708C0">
        <w:trPr>
          <w:trHeight w:val="648"/>
        </w:trPr>
        <w:tc>
          <w:tcPr>
            <w:tcW w:w="550" w:type="dxa"/>
          </w:tcPr>
          <w:p w:rsidR="000B76E3" w:rsidRPr="00BC182F" w:rsidRDefault="000B76E3" w:rsidP="005A03EE">
            <w:pPr>
              <w:pStyle w:val="naiskr"/>
              <w:spacing w:before="0" w:after="0"/>
              <w:rPr>
                <w:color w:val="000000"/>
              </w:rPr>
            </w:pPr>
            <w:r w:rsidRPr="00BC182F">
              <w:rPr>
                <w:color w:val="000000"/>
              </w:rPr>
              <w:lastRenderedPageBreak/>
              <w:t>3.</w:t>
            </w:r>
          </w:p>
        </w:tc>
        <w:tc>
          <w:tcPr>
            <w:tcW w:w="2030" w:type="dxa"/>
          </w:tcPr>
          <w:p w:rsidR="000B76E3" w:rsidRPr="00BC182F" w:rsidRDefault="000B76E3" w:rsidP="005A03EE">
            <w:pPr>
              <w:pStyle w:val="naiskr"/>
              <w:spacing w:before="0" w:after="0"/>
              <w:rPr>
                <w:color w:val="000000"/>
              </w:rPr>
            </w:pPr>
            <w:r w:rsidRPr="00BC182F">
              <w:rPr>
                <w:color w:val="000000"/>
              </w:rPr>
              <w:t xml:space="preserve">Saistītie politikas ietekmes </w:t>
            </w:r>
            <w:r w:rsidRPr="00BC182F">
              <w:rPr>
                <w:color w:val="000000"/>
              </w:rPr>
              <w:lastRenderedPageBreak/>
              <w:t>novērtējumi un pētījumi</w:t>
            </w:r>
          </w:p>
        </w:tc>
        <w:tc>
          <w:tcPr>
            <w:tcW w:w="6520" w:type="dxa"/>
            <w:vAlign w:val="center"/>
          </w:tcPr>
          <w:p w:rsidR="000B76E3" w:rsidRPr="00BC182F" w:rsidRDefault="004C2675" w:rsidP="003B2FD5">
            <w:pPr>
              <w:pStyle w:val="Vresteksts"/>
              <w:spacing w:before="100" w:beforeAutospacing="1" w:after="100" w:afterAutospacing="1"/>
              <w:rPr>
                <w:color w:val="000000"/>
                <w:sz w:val="24"/>
                <w:szCs w:val="24"/>
              </w:rPr>
            </w:pPr>
            <w:r w:rsidRPr="00BC182F">
              <w:rPr>
                <w:color w:val="000000"/>
                <w:sz w:val="24"/>
                <w:szCs w:val="24"/>
              </w:rPr>
              <w:lastRenderedPageBreak/>
              <w:t>MK noteikumu</w:t>
            </w:r>
            <w:r w:rsidR="000B76E3" w:rsidRPr="00BC182F">
              <w:rPr>
                <w:color w:val="000000"/>
                <w:sz w:val="24"/>
                <w:szCs w:val="24"/>
              </w:rPr>
              <w:t xml:space="preserve"> projekts šo jomu neskar</w:t>
            </w:r>
          </w:p>
        </w:tc>
      </w:tr>
      <w:tr w:rsidR="000B76E3" w:rsidRPr="00BC182F" w:rsidTr="007708C0">
        <w:trPr>
          <w:trHeight w:val="384"/>
        </w:trPr>
        <w:tc>
          <w:tcPr>
            <w:tcW w:w="550" w:type="dxa"/>
          </w:tcPr>
          <w:p w:rsidR="000B76E3" w:rsidRPr="00BC182F" w:rsidRDefault="000B76E3" w:rsidP="005A03EE">
            <w:pPr>
              <w:pStyle w:val="naiskr"/>
              <w:spacing w:before="0" w:after="0"/>
              <w:rPr>
                <w:color w:val="000000"/>
              </w:rPr>
            </w:pPr>
            <w:r w:rsidRPr="00BC182F">
              <w:rPr>
                <w:color w:val="000000"/>
              </w:rPr>
              <w:lastRenderedPageBreak/>
              <w:t>4.</w:t>
            </w:r>
          </w:p>
        </w:tc>
        <w:tc>
          <w:tcPr>
            <w:tcW w:w="2030" w:type="dxa"/>
          </w:tcPr>
          <w:p w:rsidR="000B76E3" w:rsidRPr="00BC182F" w:rsidRDefault="000B76E3" w:rsidP="005A03EE">
            <w:pPr>
              <w:pStyle w:val="naiskr"/>
              <w:spacing w:before="0" w:after="0"/>
              <w:rPr>
                <w:color w:val="000000"/>
              </w:rPr>
            </w:pPr>
            <w:r w:rsidRPr="00BC182F">
              <w:rPr>
                <w:color w:val="000000"/>
              </w:rPr>
              <w:t>Tiesiskā regulējuma mērķis un būtība</w:t>
            </w:r>
          </w:p>
        </w:tc>
        <w:tc>
          <w:tcPr>
            <w:tcW w:w="6520" w:type="dxa"/>
          </w:tcPr>
          <w:p w:rsidR="00E74779" w:rsidRPr="002402E5" w:rsidRDefault="004107FA" w:rsidP="002402E5">
            <w:pPr>
              <w:pStyle w:val="tvhtml"/>
              <w:spacing w:before="0" w:beforeAutospacing="0" w:after="0" w:afterAutospacing="0"/>
              <w:ind w:left="37"/>
              <w:jc w:val="both"/>
              <w:rPr>
                <w:rFonts w:ascii="Times New Roman" w:hAnsi="Times New Roman"/>
                <w:sz w:val="24"/>
                <w:szCs w:val="24"/>
                <w:lang w:val="lv-LV"/>
              </w:rPr>
            </w:pPr>
            <w:r>
              <w:rPr>
                <w:rFonts w:ascii="Times New Roman" w:hAnsi="Times New Roman"/>
                <w:sz w:val="24"/>
                <w:szCs w:val="24"/>
                <w:lang w:val="lv-LV"/>
              </w:rPr>
              <w:t>MK n</w:t>
            </w:r>
            <w:r w:rsidR="00953315" w:rsidRPr="000A517B">
              <w:rPr>
                <w:rFonts w:ascii="Times New Roman" w:hAnsi="Times New Roman"/>
                <w:sz w:val="24"/>
                <w:szCs w:val="24"/>
                <w:lang w:val="lv-LV"/>
              </w:rPr>
              <w:t>oteikumu projekts paredz veikt grozījumu</w:t>
            </w:r>
            <w:r w:rsidR="00ED163F" w:rsidRPr="000A517B">
              <w:rPr>
                <w:rFonts w:ascii="Times New Roman" w:hAnsi="Times New Roman"/>
                <w:sz w:val="24"/>
                <w:szCs w:val="24"/>
                <w:lang w:val="lv-LV"/>
              </w:rPr>
              <w:t>s</w:t>
            </w:r>
            <w:r w:rsidR="00953315" w:rsidRPr="000A517B">
              <w:rPr>
                <w:rFonts w:ascii="Times New Roman" w:hAnsi="Times New Roman"/>
                <w:sz w:val="24"/>
                <w:szCs w:val="24"/>
                <w:lang w:val="lv-LV"/>
              </w:rPr>
              <w:t xml:space="preserve"> </w:t>
            </w:r>
            <w:r w:rsidR="000A7655">
              <w:rPr>
                <w:rFonts w:ascii="Times New Roman" w:hAnsi="Times New Roman"/>
                <w:sz w:val="24"/>
                <w:szCs w:val="24"/>
                <w:lang w:val="lv-LV"/>
              </w:rPr>
              <w:t>MK noteikumos Nr.241,</w:t>
            </w:r>
            <w:r>
              <w:rPr>
                <w:rFonts w:ascii="Times New Roman" w:hAnsi="Times New Roman"/>
                <w:sz w:val="24"/>
                <w:szCs w:val="24"/>
                <w:lang w:val="lv-LV"/>
              </w:rPr>
              <w:t xml:space="preserve"> </w:t>
            </w:r>
            <w:r w:rsidR="00953315" w:rsidRPr="000A517B">
              <w:rPr>
                <w:rFonts w:ascii="Times New Roman" w:hAnsi="Times New Roman"/>
                <w:color w:val="000000"/>
                <w:sz w:val="24"/>
                <w:szCs w:val="24"/>
                <w:lang w:val="lv-LV"/>
              </w:rPr>
              <w:t>precizējot</w:t>
            </w:r>
            <w:r w:rsidR="002D4DE5" w:rsidRPr="000A517B">
              <w:rPr>
                <w:rFonts w:ascii="Times New Roman" w:hAnsi="Times New Roman"/>
                <w:sz w:val="24"/>
                <w:szCs w:val="24"/>
                <w:lang w:val="lv-LV"/>
              </w:rPr>
              <w:t xml:space="preserve"> </w:t>
            </w:r>
            <w:r w:rsidR="00342BE2" w:rsidRPr="000A517B">
              <w:rPr>
                <w:rFonts w:ascii="Times New Roman" w:hAnsi="Times New Roman"/>
                <w:sz w:val="24"/>
                <w:szCs w:val="24"/>
                <w:lang w:val="lv-LV"/>
              </w:rPr>
              <w:t xml:space="preserve">SPKC </w:t>
            </w:r>
            <w:r w:rsidR="00953315" w:rsidRPr="000A517B">
              <w:rPr>
                <w:rFonts w:ascii="Times New Roman" w:hAnsi="Times New Roman"/>
                <w:sz w:val="24"/>
                <w:szCs w:val="24"/>
                <w:lang w:val="lv-LV"/>
              </w:rPr>
              <w:t>funkcijas</w:t>
            </w:r>
            <w:r w:rsidR="00C12F3B">
              <w:rPr>
                <w:rFonts w:ascii="Times New Roman" w:hAnsi="Times New Roman"/>
                <w:sz w:val="24"/>
                <w:szCs w:val="24"/>
                <w:lang w:val="lv-LV"/>
              </w:rPr>
              <w:t xml:space="preserve"> un uzdevumus</w:t>
            </w:r>
            <w:r w:rsidR="002D4DE5" w:rsidRPr="000A517B">
              <w:rPr>
                <w:rFonts w:ascii="Times New Roman" w:hAnsi="Times New Roman"/>
                <w:sz w:val="24"/>
                <w:szCs w:val="24"/>
                <w:lang w:val="lv-LV"/>
              </w:rPr>
              <w:t xml:space="preserve"> sabiedrības veselības jomā</w:t>
            </w:r>
            <w:r w:rsidR="002402E5">
              <w:rPr>
                <w:rFonts w:ascii="Times New Roman" w:hAnsi="Times New Roman"/>
                <w:sz w:val="24"/>
                <w:szCs w:val="24"/>
                <w:lang w:val="lv-LV"/>
              </w:rPr>
              <w:t xml:space="preserve"> -</w:t>
            </w:r>
            <w:r w:rsidR="002402E5" w:rsidRPr="00B14B8C">
              <w:rPr>
                <w:rFonts w:ascii="Times New Roman" w:hAnsi="Times New Roman"/>
                <w:sz w:val="24"/>
                <w:szCs w:val="24"/>
                <w:lang w:val="lv-LV"/>
              </w:rPr>
              <w:t xml:space="preserve"> datu un informācija</w:t>
            </w:r>
            <w:r w:rsidR="002402E5">
              <w:rPr>
                <w:rFonts w:ascii="Times New Roman" w:hAnsi="Times New Roman"/>
                <w:sz w:val="24"/>
                <w:szCs w:val="24"/>
                <w:lang w:val="lv-LV"/>
              </w:rPr>
              <w:t>s sagatavošanas un sniegšanas jautājumos</w:t>
            </w:r>
            <w:r w:rsidR="002402E5" w:rsidRPr="00B14B8C">
              <w:rPr>
                <w:rFonts w:ascii="Times New Roman" w:hAnsi="Times New Roman"/>
                <w:sz w:val="24"/>
                <w:szCs w:val="24"/>
                <w:lang w:val="lv-LV"/>
              </w:rPr>
              <w:t xml:space="preserve">, kā arī </w:t>
            </w:r>
            <w:proofErr w:type="spellStart"/>
            <w:r w:rsidR="002402E5" w:rsidRPr="00B14B8C">
              <w:rPr>
                <w:rFonts w:ascii="Times New Roman" w:hAnsi="Times New Roman"/>
                <w:sz w:val="24"/>
                <w:szCs w:val="24"/>
                <w:lang w:val="lv-LV"/>
              </w:rPr>
              <w:t>imūnbioloģisko</w:t>
            </w:r>
            <w:proofErr w:type="spellEnd"/>
            <w:r w:rsidR="002402E5" w:rsidRPr="00B14B8C">
              <w:rPr>
                <w:rFonts w:ascii="Times New Roman" w:hAnsi="Times New Roman"/>
                <w:sz w:val="24"/>
                <w:szCs w:val="24"/>
                <w:lang w:val="lv-LV"/>
              </w:rPr>
              <w:t xml:space="preserve"> preparātu</w:t>
            </w:r>
            <w:r w:rsidR="002402E5">
              <w:rPr>
                <w:rFonts w:ascii="Times New Roman" w:hAnsi="Times New Roman"/>
                <w:sz w:val="24"/>
                <w:szCs w:val="24"/>
                <w:lang w:val="lv-LV"/>
              </w:rPr>
              <w:t xml:space="preserve"> uzglabāšana, uzskaites un sadales jautājumos,</w:t>
            </w:r>
            <w:r w:rsidR="00953315" w:rsidRPr="000A517B">
              <w:rPr>
                <w:rFonts w:ascii="Times New Roman" w:hAnsi="Times New Roman"/>
                <w:sz w:val="24"/>
                <w:szCs w:val="24"/>
                <w:lang w:val="lv-LV"/>
              </w:rPr>
              <w:t xml:space="preserve"> kā a</w:t>
            </w:r>
            <w:r w:rsidR="00CE6D1C" w:rsidRPr="000A517B">
              <w:rPr>
                <w:rFonts w:ascii="Times New Roman" w:hAnsi="Times New Roman"/>
                <w:sz w:val="24"/>
                <w:szCs w:val="24"/>
                <w:lang w:val="lv-LV"/>
              </w:rPr>
              <w:t xml:space="preserve">rī </w:t>
            </w:r>
            <w:r w:rsidR="00CE6D1C" w:rsidRPr="000A517B">
              <w:rPr>
                <w:rFonts w:ascii="Times New Roman" w:hAnsi="Times New Roman"/>
                <w:color w:val="000000"/>
                <w:sz w:val="24"/>
                <w:szCs w:val="24"/>
                <w:lang w:val="lv-LV"/>
              </w:rPr>
              <w:t xml:space="preserve">papildināt ar veselības </w:t>
            </w:r>
            <w:r w:rsidR="00CE6D1C" w:rsidRPr="00B14B8C">
              <w:rPr>
                <w:rFonts w:ascii="Times New Roman" w:hAnsi="Times New Roman"/>
                <w:color w:val="000000"/>
                <w:sz w:val="24"/>
                <w:szCs w:val="24"/>
                <w:lang w:val="lv-LV"/>
              </w:rPr>
              <w:t>veicināšanas politikas īstenošanas</w:t>
            </w:r>
            <w:r w:rsidR="000A517B" w:rsidRPr="00B14B8C">
              <w:rPr>
                <w:rFonts w:ascii="Times New Roman" w:hAnsi="Times New Roman"/>
                <w:color w:val="000000"/>
                <w:sz w:val="24"/>
                <w:szCs w:val="24"/>
                <w:lang w:val="lv-LV"/>
              </w:rPr>
              <w:t xml:space="preserve"> koordinācijas</w:t>
            </w:r>
            <w:r w:rsidR="00CE6D1C" w:rsidRPr="00B14B8C">
              <w:rPr>
                <w:rFonts w:ascii="Times New Roman" w:hAnsi="Times New Roman"/>
                <w:color w:val="000000"/>
                <w:sz w:val="24"/>
                <w:szCs w:val="24"/>
                <w:lang w:val="lv-LV"/>
              </w:rPr>
              <w:t xml:space="preserve"> </w:t>
            </w:r>
            <w:r w:rsidRPr="00B14B8C">
              <w:rPr>
                <w:rFonts w:ascii="Times New Roman" w:hAnsi="Times New Roman"/>
                <w:color w:val="000000"/>
                <w:sz w:val="24"/>
                <w:szCs w:val="24"/>
                <w:lang w:val="lv-LV"/>
              </w:rPr>
              <w:t>u</w:t>
            </w:r>
            <w:r w:rsidR="00CE6D1C" w:rsidRPr="00B14B8C">
              <w:rPr>
                <w:rFonts w:ascii="Times New Roman" w:hAnsi="Times New Roman"/>
                <w:color w:val="000000"/>
                <w:sz w:val="24"/>
                <w:szCs w:val="24"/>
                <w:lang w:val="lv-LV"/>
              </w:rPr>
              <w:t>zdevum</w:t>
            </w:r>
            <w:r w:rsidR="000A7655" w:rsidRPr="00B14B8C">
              <w:rPr>
                <w:rFonts w:ascii="Times New Roman" w:hAnsi="Times New Roman"/>
                <w:color w:val="000000"/>
                <w:sz w:val="24"/>
                <w:szCs w:val="24"/>
                <w:lang w:val="lv-LV"/>
              </w:rPr>
              <w:t xml:space="preserve">iem. </w:t>
            </w:r>
          </w:p>
          <w:p w:rsidR="0091473F" w:rsidRDefault="00E74779" w:rsidP="000C0A18">
            <w:pPr>
              <w:pStyle w:val="naiskr"/>
              <w:spacing w:before="0" w:after="0"/>
              <w:jc w:val="both"/>
            </w:pPr>
            <w:r>
              <w:rPr>
                <w:color w:val="000000"/>
              </w:rPr>
              <w:t>MK noteikumu</w:t>
            </w:r>
            <w:r w:rsidR="0091473F">
              <w:rPr>
                <w:color w:val="000000"/>
              </w:rPr>
              <w:t xml:space="preserve"> projekts paredz</w:t>
            </w:r>
            <w:r>
              <w:rPr>
                <w:color w:val="000000"/>
              </w:rPr>
              <w:t xml:space="preserve"> </w:t>
            </w:r>
            <w:r>
              <w:t xml:space="preserve">MK </w:t>
            </w:r>
            <w:r w:rsidR="00C56A90">
              <w:t>noteikumu Nr.241 3.2.apakšpunktā</w:t>
            </w:r>
            <w:r w:rsidR="0091473F">
              <w:t xml:space="preserve"> </w:t>
            </w:r>
            <w:r w:rsidRPr="00953315">
              <w:t>vārd</w:t>
            </w:r>
            <w:r w:rsidR="0091473F">
              <w:t>u „iedzīvotāju” aizstāt</w:t>
            </w:r>
            <w:r w:rsidR="00C56A90">
              <w:t xml:space="preserve"> ar </w:t>
            </w:r>
            <w:r w:rsidR="00BF6BCA">
              <w:t xml:space="preserve">vārdu </w:t>
            </w:r>
            <w:r>
              <w:t xml:space="preserve">„sabiedrības”. Esošajā redakcijā MK noteikumu Nr.241 3.2.apakšpunktā ir neprecīzi </w:t>
            </w:r>
            <w:r w:rsidR="00C56A90">
              <w:t xml:space="preserve">definēta </w:t>
            </w:r>
            <w:r>
              <w:t xml:space="preserve">SPKC funkcija </w:t>
            </w:r>
            <w:proofErr w:type="spellStart"/>
            <w:r>
              <w:t>neinfekciju</w:t>
            </w:r>
            <w:proofErr w:type="spellEnd"/>
            <w:r>
              <w:t xml:space="preserve"> slimību jomā</w:t>
            </w:r>
            <w:r w:rsidR="00C56A90">
              <w:t xml:space="preserve">, nosakot, ka </w:t>
            </w:r>
            <w:r>
              <w:t xml:space="preserve">SPKC </w:t>
            </w:r>
            <w:r w:rsidRPr="00A57852">
              <w:t>izvērtē</w:t>
            </w:r>
            <w:r>
              <w:t xml:space="preserve"> katra</w:t>
            </w:r>
            <w:r w:rsidRPr="00A57852">
              <w:t xml:space="preserve"> iedzīvotāja riska faktorus</w:t>
            </w:r>
            <w:r w:rsidR="00C56A90">
              <w:t xml:space="preserve"> un veselības paradumus, bet š</w:t>
            </w:r>
            <w:r>
              <w:t>āds formulējums neatspoguļo SPKC centra darb</w:t>
            </w:r>
            <w:r w:rsidR="00C56A90">
              <w:t xml:space="preserve">ību sabiedrības veselības jomā. Būtībā </w:t>
            </w:r>
            <w:r>
              <w:t xml:space="preserve">SPKC </w:t>
            </w:r>
            <w:r w:rsidRPr="00A57852">
              <w:t>izvērtē un uzrauga</w:t>
            </w:r>
            <w:r>
              <w:t xml:space="preserve"> </w:t>
            </w:r>
            <w:proofErr w:type="spellStart"/>
            <w:r>
              <w:t>neinfekciju</w:t>
            </w:r>
            <w:proofErr w:type="spellEnd"/>
            <w:r w:rsidRPr="00A57852">
              <w:t xml:space="preserve"> </w:t>
            </w:r>
            <w:r>
              <w:t xml:space="preserve">riska </w:t>
            </w:r>
            <w:r w:rsidRPr="00A57852">
              <w:t>faktorus, kuri var ietekmēt</w:t>
            </w:r>
            <w:r>
              <w:t xml:space="preserve"> un sekmēt </w:t>
            </w:r>
            <w:proofErr w:type="spellStart"/>
            <w:r>
              <w:t>neinfekciju</w:t>
            </w:r>
            <w:proofErr w:type="spellEnd"/>
            <w:r>
              <w:t xml:space="preserve"> sl</w:t>
            </w:r>
            <w:r w:rsidR="00C56A90">
              <w:t>imību izplatību sabiedrībā.</w:t>
            </w:r>
          </w:p>
          <w:p w:rsidR="00B56A97" w:rsidRDefault="0091473F" w:rsidP="00874FFB">
            <w:pPr>
              <w:spacing w:before="58" w:after="58"/>
              <w:jc w:val="both"/>
            </w:pPr>
            <w:r>
              <w:t>MK noteikumu projekts paredz, ka</w:t>
            </w:r>
            <w:r w:rsidR="00C56A90">
              <w:t xml:space="preserve"> MK noteikumu Nr.241 4.1. apakšpunkts tiek izteikt</w:t>
            </w:r>
            <w:r w:rsidR="004107FA">
              <w:t xml:space="preserve"> jaunā redakcijā „</w:t>
            </w:r>
            <w:r w:rsidR="00B56A97">
              <w:t>4.1.</w:t>
            </w:r>
            <w:r w:rsidR="004107FA">
              <w:t>i</w:t>
            </w:r>
            <w:r w:rsidR="004107FA" w:rsidRPr="00953315">
              <w:t>zstrādā</w:t>
            </w:r>
            <w:r w:rsidR="004107FA">
              <w:t>t</w:t>
            </w:r>
            <w:r w:rsidR="004107FA" w:rsidRPr="00953315">
              <w:t xml:space="preserve"> slimību profilakses un veselības veicināšanas programmas un veic t</w:t>
            </w:r>
            <w:r w:rsidR="004107FA">
              <w:t>o</w:t>
            </w:r>
            <w:r w:rsidR="00B56A97">
              <w:t xml:space="preserve"> īstenošanas metodisko vadību”,</w:t>
            </w:r>
            <w:r w:rsidR="004107FA">
              <w:t xml:space="preserve"> papildinot noteikumu projektu ar jaunu uzdevumu - v</w:t>
            </w:r>
            <w:r w:rsidR="00C56A90">
              <w:t>eselības veicināšanas programmu</w:t>
            </w:r>
            <w:r w:rsidR="004107FA">
              <w:t xml:space="preserve"> izstrādāšanu un īstenošanas metodisko vadību</w:t>
            </w:r>
            <w:r w:rsidR="000C0A18">
              <w:t xml:space="preserve">. </w:t>
            </w:r>
            <w:r>
              <w:t>MK noteikumu projekts paredz, ka</w:t>
            </w:r>
            <w:r w:rsidR="00C56A90">
              <w:t xml:space="preserve"> MK noteikumu Nr.241 </w:t>
            </w:r>
            <w:r w:rsidR="000C0A18">
              <w:t>4.1. apakšpunkts tiek</w:t>
            </w:r>
            <w:r w:rsidR="00BF6196">
              <w:t xml:space="preserve"> papildināt</w:t>
            </w:r>
            <w:r w:rsidR="000C0A18">
              <w:t>s</w:t>
            </w:r>
            <w:r w:rsidR="008B63D9">
              <w:t xml:space="preserve"> ar diviem</w:t>
            </w:r>
            <w:r w:rsidR="00BF6196">
              <w:t xml:space="preserve"> jauniem apakšpunktiem</w:t>
            </w:r>
            <w:r w:rsidR="009A4636">
              <w:t>,</w:t>
            </w:r>
            <w:r>
              <w:t xml:space="preserve"> paredzot, ka SPKC </w:t>
            </w:r>
            <w:r w:rsidR="000A517B">
              <w:t>–</w:t>
            </w:r>
            <w:r w:rsidR="009A4636">
              <w:t xml:space="preserve"> </w:t>
            </w:r>
            <w:r w:rsidR="00BF6196">
              <w:rPr>
                <w:bCs/>
              </w:rPr>
              <w:t>valsts un reģionālā līmenī koordinē veselības veicināšanas pasākumu īstenošanu</w:t>
            </w:r>
            <w:r w:rsidR="008B63D9">
              <w:rPr>
                <w:bCs/>
              </w:rPr>
              <w:t xml:space="preserve"> un</w:t>
            </w:r>
            <w:r w:rsidR="000A517B">
              <w:rPr>
                <w:bCs/>
              </w:rPr>
              <w:t xml:space="preserve"> </w:t>
            </w:r>
            <w:r w:rsidR="002D71DE">
              <w:t>informē</w:t>
            </w:r>
            <w:r w:rsidR="00BF6196" w:rsidRPr="00BF6196">
              <w:t xml:space="preserve"> sabiedrības grupas jautājumos, </w:t>
            </w:r>
            <w:r w:rsidR="00BF6196" w:rsidRPr="00B56A97">
              <w:t>kas ietekmē veselību un veselīgu dzīvesveidu</w:t>
            </w:r>
            <w:r>
              <w:t>. MK</w:t>
            </w:r>
            <w:r w:rsidRPr="00B56A97">
              <w:t xml:space="preserve"> </w:t>
            </w:r>
            <w:r w:rsidR="00B03892">
              <w:t xml:space="preserve">noteikumu projekts paredz </w:t>
            </w:r>
            <w:r>
              <w:t xml:space="preserve">MK noteikumu Nr.241 4.4. apakšpunktu papildināt </w:t>
            </w:r>
            <w:r w:rsidRPr="00B56A97">
              <w:t xml:space="preserve">ar </w:t>
            </w:r>
            <w:r>
              <w:t>informācijas sagatavošanu</w:t>
            </w:r>
            <w:r w:rsidRPr="00B56A97">
              <w:t>, metodisko materiā</w:t>
            </w:r>
            <w:r>
              <w:t>lu izstrādāšanu un metodiskā atbalsta sniegšanu</w:t>
            </w:r>
            <w:r w:rsidRPr="00B56A97">
              <w:t xml:space="preserve"> jautājumos, kas saistīti ar veselības veicināšanu.</w:t>
            </w:r>
            <w:r>
              <w:t xml:space="preserve"> Visi iepriekšminētie uzdevumi saistībā ar veselības veicināšanu, kas tiek nodoti SPKC, </w:t>
            </w:r>
            <w:r w:rsidR="00C56A90">
              <w:t xml:space="preserve">izriet no </w:t>
            </w:r>
            <w:r w:rsidR="00C56A90">
              <w:rPr>
                <w:color w:val="000000"/>
              </w:rPr>
              <w:t>VM nolikuma 5.1.7. un 5.1.10. apakšpunktos noteiktiem uzdevumiem veselības veicināšanas jomā.</w:t>
            </w:r>
          </w:p>
          <w:p w:rsidR="00CE0EE1" w:rsidRDefault="00874FFB" w:rsidP="00501FDC">
            <w:pPr>
              <w:jc w:val="both"/>
            </w:pPr>
            <w:r>
              <w:t>MK noteikumu projekts paredz precizēt MK noteikumu Nr.241</w:t>
            </w:r>
            <w:r w:rsidR="00703633">
              <w:t xml:space="preserve"> 4.5.apakšpunktā minētos uzdevumus</w:t>
            </w:r>
            <w:r>
              <w:t xml:space="preserve">, </w:t>
            </w:r>
            <w:r w:rsidR="00501FDC">
              <w:t xml:space="preserve">nosakot, ka SPKC </w:t>
            </w:r>
            <w:r w:rsidR="00501FDC" w:rsidRPr="003030E7">
              <w:t xml:space="preserve">publicē un izplata </w:t>
            </w:r>
            <w:r w:rsidR="00501FDC" w:rsidRPr="00134FA0">
              <w:t>iekšzemes un ārvalstu datu lietotājiem nepieciešamo valsts statistis</w:t>
            </w:r>
            <w:r w:rsidR="00501FDC">
              <w:t xml:space="preserve">ko informāciju (kopsavilkumu).  </w:t>
            </w:r>
          </w:p>
          <w:p w:rsidR="003C7065" w:rsidRPr="00953315" w:rsidRDefault="00874FFB" w:rsidP="00E023B4">
            <w:pPr>
              <w:widowControl w:val="0"/>
              <w:autoSpaceDE w:val="0"/>
              <w:autoSpaceDN w:val="0"/>
              <w:adjustRightInd w:val="0"/>
              <w:jc w:val="both"/>
            </w:pPr>
            <w:r w:rsidRPr="00535675">
              <w:t>MK noteikumu projekts paredz svītrot</w:t>
            </w:r>
            <w:r w:rsidR="000C0A18" w:rsidRPr="00535675">
              <w:t xml:space="preserve"> </w:t>
            </w:r>
            <w:r w:rsidR="00501FDC" w:rsidRPr="00535675">
              <w:t xml:space="preserve">MK noteikumu Nr.241 </w:t>
            </w:r>
            <w:r w:rsidR="003C7065" w:rsidRPr="00535675">
              <w:t>4.8.</w:t>
            </w:r>
            <w:r w:rsidRPr="00535675">
              <w:t xml:space="preserve"> apakšpunktu, </w:t>
            </w:r>
            <w:r w:rsidR="002E082D" w:rsidRPr="00535675">
              <w:t xml:space="preserve">lai nodrošinātu, ka ar 2013.gada 1.janvāri </w:t>
            </w:r>
            <w:proofErr w:type="spellStart"/>
            <w:r w:rsidR="002E082D" w:rsidRPr="00535675">
              <w:t>imūnbioloģisko</w:t>
            </w:r>
            <w:proofErr w:type="spellEnd"/>
            <w:r w:rsidR="002E082D" w:rsidRPr="00535675">
              <w:t xml:space="preserve"> preparātu iepirkšanu</w:t>
            </w:r>
            <w:r w:rsidRPr="00535675">
              <w:t xml:space="preserve"> centralizēti veic</w:t>
            </w:r>
            <w:r w:rsidR="00E46D88" w:rsidRPr="00535675">
              <w:t xml:space="preserve"> </w:t>
            </w:r>
            <w:r w:rsidR="002E082D" w:rsidRPr="00535675">
              <w:t>NVD.</w:t>
            </w:r>
            <w:r w:rsidR="00501FDC">
              <w:t xml:space="preserve"> Loģistikas ķēde netiks mainīta, arī turpmāk </w:t>
            </w:r>
            <w:proofErr w:type="spellStart"/>
            <w:r w:rsidR="00501FDC">
              <w:t>imūnbioloģiskos</w:t>
            </w:r>
            <w:proofErr w:type="spellEnd"/>
            <w:r w:rsidR="00501FDC">
              <w:t xml:space="preserve"> preparāt</w:t>
            </w:r>
            <w:r w:rsidR="00E023B4">
              <w:t xml:space="preserve">us uzglabās un izsniegs RAKUS. </w:t>
            </w:r>
          </w:p>
          <w:p w:rsidR="00BF4729" w:rsidRDefault="0006717A" w:rsidP="00BF4729">
            <w:pPr>
              <w:widowControl w:val="0"/>
              <w:autoSpaceDE w:val="0"/>
              <w:autoSpaceDN w:val="0"/>
              <w:adjustRightInd w:val="0"/>
              <w:jc w:val="both"/>
            </w:pPr>
            <w:r>
              <w:t>MK noteikumu projekts paredz</w:t>
            </w:r>
            <w:r w:rsidR="00E023B4">
              <w:t xml:space="preserve"> MK noteikumu Nr.241 </w:t>
            </w:r>
            <w:r w:rsidR="00BF4729" w:rsidRPr="00953315">
              <w:t>4.11.</w:t>
            </w:r>
            <w:r>
              <w:t xml:space="preserve"> apakšpunktā vārdu</w:t>
            </w:r>
            <w:r w:rsidR="00E023B4">
              <w:t xml:space="preserve"> „pasūtīšanu” </w:t>
            </w:r>
            <w:r>
              <w:t xml:space="preserve">aizstāt </w:t>
            </w:r>
            <w:r w:rsidR="00E023B4">
              <w:t xml:space="preserve">ar </w:t>
            </w:r>
            <w:r w:rsidR="002402E5">
              <w:t xml:space="preserve">vārdu </w:t>
            </w:r>
            <w:r w:rsidR="00E023B4">
              <w:t>„iepirkšanu</w:t>
            </w:r>
            <w:r w:rsidR="00BF4729" w:rsidRPr="004A1968">
              <w:t>”</w:t>
            </w:r>
            <w:r w:rsidR="00E023B4">
              <w:t xml:space="preserve">. </w:t>
            </w:r>
            <w:r w:rsidR="00E023B4" w:rsidRPr="002448D5">
              <w:t>HIV profilaksei nepieciešamie medikamenti un medicīniskās ierīces tiek nevis pasūtītas, bet iepirktas, organizējot iepirkumu konkursu.</w:t>
            </w:r>
          </w:p>
          <w:p w:rsidR="00BF4729" w:rsidRPr="003C7065" w:rsidRDefault="0006717A" w:rsidP="00BF4729">
            <w:pPr>
              <w:jc w:val="both"/>
            </w:pPr>
            <w:r>
              <w:t>MK noteikumu projekts paredz svītrot MK noteikumu</w:t>
            </w:r>
            <w:r w:rsidR="00E023B4">
              <w:t xml:space="preserve"> Nr.241 </w:t>
            </w:r>
            <w:r>
              <w:t>4.12.3. apakšpunktu</w:t>
            </w:r>
            <w:r w:rsidR="00BF4729" w:rsidRPr="0022505E">
              <w:t xml:space="preserve"> „Tuberkulozes slimnieku valsts reģistrs”, jo </w:t>
            </w:r>
            <w:r w:rsidR="00BF4729" w:rsidRPr="0022505E">
              <w:lastRenderedPageBreak/>
              <w:t xml:space="preserve">Tuberkulozes slimnieku valsts reģistrā iekļautās informācijas apstrāde ir jau ietverta </w:t>
            </w:r>
            <w:r>
              <w:t xml:space="preserve">MK </w:t>
            </w:r>
            <w:r w:rsidR="00BF4729" w:rsidRPr="0022505E">
              <w:t>noteikumu Nr.241 4.12.6. apakšpunktā.</w:t>
            </w:r>
          </w:p>
          <w:p w:rsidR="00703633" w:rsidRDefault="0006717A" w:rsidP="00DC2429">
            <w:pPr>
              <w:jc w:val="both"/>
            </w:pPr>
            <w:r>
              <w:t>MK noteikumu projekts paredz precizēt</w:t>
            </w:r>
            <w:r w:rsidR="0022505E">
              <w:t xml:space="preserve"> MK noteikumu Nr.241 </w:t>
            </w:r>
            <w:r w:rsidR="00703633">
              <w:t>4.13</w:t>
            </w:r>
            <w:r w:rsidR="00703633" w:rsidRPr="00953315">
              <w:t>.</w:t>
            </w:r>
            <w:r>
              <w:t xml:space="preserve"> apakšpunktu</w:t>
            </w:r>
            <w:r w:rsidR="009A4636">
              <w:t>,</w:t>
            </w:r>
            <w:r w:rsidR="00703633">
              <w:t xml:space="preserve"> </w:t>
            </w:r>
            <w:r w:rsidR="00703633">
              <w:rPr>
                <w:color w:val="0D0D0D"/>
              </w:rPr>
              <w:t xml:space="preserve">papildinot un precizējot </w:t>
            </w:r>
            <w:r w:rsidR="00DC2429">
              <w:t xml:space="preserve">to </w:t>
            </w:r>
            <w:r w:rsidR="00703633">
              <w:t xml:space="preserve">institūciju loku, kurām </w:t>
            </w:r>
            <w:r w:rsidR="00DC2429">
              <w:t xml:space="preserve">SPKC </w:t>
            </w:r>
            <w:r w:rsidR="00703633">
              <w:t xml:space="preserve">jāsniedz </w:t>
            </w:r>
            <w:r w:rsidR="0022505E">
              <w:t>SPKC rīcībā esošā informācija bez</w:t>
            </w:r>
            <w:r>
              <w:t xml:space="preserve"> </w:t>
            </w:r>
            <w:r w:rsidR="0022505E">
              <w:t>maksas.</w:t>
            </w:r>
          </w:p>
          <w:p w:rsidR="00DC2429" w:rsidRDefault="0006717A" w:rsidP="001614AC">
            <w:pPr>
              <w:jc w:val="both"/>
            </w:pPr>
            <w:r>
              <w:t>MK noteikumu projekts paredz papildināt</w:t>
            </w:r>
            <w:r w:rsidR="0022505E">
              <w:t xml:space="preserve"> </w:t>
            </w:r>
            <w:r>
              <w:t xml:space="preserve">MK noteikumus Nr.241 ar jaunu apakšpunktu, </w:t>
            </w:r>
            <w:r w:rsidR="001614AC">
              <w:t>nosakot, ka SPKC var s</w:t>
            </w:r>
            <w:r w:rsidR="0022505E">
              <w:t>niegt maksas pakalpojumus</w:t>
            </w:r>
            <w:r>
              <w:t xml:space="preserve"> </w:t>
            </w:r>
            <w:r w:rsidR="0022505E">
              <w:t>par datu un</w:t>
            </w:r>
            <w:r w:rsidR="001614AC">
              <w:t xml:space="preserve"> informācijas sagatavošanu, analīzi un apkopošanu</w:t>
            </w:r>
            <w:r w:rsidR="00B639EE">
              <w:t>.</w:t>
            </w:r>
          </w:p>
          <w:p w:rsidR="00D50A39" w:rsidRPr="00C71371" w:rsidRDefault="001614AC" w:rsidP="00D50A39">
            <w:pPr>
              <w:jc w:val="both"/>
            </w:pPr>
            <w:r>
              <w:t xml:space="preserve">Ņemot vērā, ka </w:t>
            </w:r>
            <w:r w:rsidR="0006717A">
              <w:t>ar</w:t>
            </w:r>
            <w:r w:rsidR="0006717A" w:rsidRPr="00C71371">
              <w:t xml:space="preserve"> veselības</w:t>
            </w:r>
            <w:r w:rsidR="00D50A39" w:rsidRPr="00C71371">
              <w:t xml:space="preserve"> ve</w:t>
            </w:r>
            <w:r w:rsidR="0006717A">
              <w:t>icināšanu saistītos</w:t>
            </w:r>
            <w:r w:rsidR="00D50A39">
              <w:t xml:space="preserve"> </w:t>
            </w:r>
            <w:r>
              <w:t>uzdevumus</w:t>
            </w:r>
            <w:r w:rsidR="00D50A39">
              <w:t xml:space="preserve"> kopā ar esošo finansējumu ir plānots SPKC</w:t>
            </w:r>
            <w:r w:rsidR="00D50A39" w:rsidRPr="00C71371">
              <w:t xml:space="preserve"> nodot ar 2013.gada 1.janvāri, </w:t>
            </w:r>
            <w:r w:rsidR="0006717A">
              <w:t xml:space="preserve">MK noteikumu projekts nosaka, ka </w:t>
            </w:r>
            <w:r w:rsidR="00D61695">
              <w:t>1.</w:t>
            </w:r>
            <w:r w:rsidR="0006717A">
              <w:t>2.,</w:t>
            </w:r>
            <w:r w:rsidR="00B03892">
              <w:t xml:space="preserve"> </w:t>
            </w:r>
            <w:r w:rsidR="00D61695">
              <w:t>1.</w:t>
            </w:r>
            <w:r w:rsidR="00356323">
              <w:t xml:space="preserve">3., </w:t>
            </w:r>
            <w:r w:rsidR="00D61695">
              <w:t>1.</w:t>
            </w:r>
            <w:r w:rsidR="0006717A">
              <w:t>4.</w:t>
            </w:r>
            <w:r w:rsidR="00356323">
              <w:t xml:space="preserve">, </w:t>
            </w:r>
            <w:r w:rsidR="00C96501">
              <w:t>1.6. un 1.10.</w:t>
            </w:r>
            <w:r w:rsidR="0006717A">
              <w:t xml:space="preserve"> </w:t>
            </w:r>
            <w:r w:rsidR="00706C2F">
              <w:t>apakš</w:t>
            </w:r>
            <w:r w:rsidR="0006717A">
              <w:t xml:space="preserve">punkts </w:t>
            </w:r>
            <w:r w:rsidR="00D50A39" w:rsidRPr="00C71371">
              <w:t xml:space="preserve">stājas spēkā </w:t>
            </w:r>
            <w:r w:rsidR="00706C2F">
              <w:t>2013.gada 1.janvārī</w:t>
            </w:r>
            <w:r w:rsidR="00D50A39" w:rsidRPr="00C71371">
              <w:t>.</w:t>
            </w:r>
          </w:p>
          <w:p w:rsidR="00D50A39" w:rsidRPr="003C7065" w:rsidRDefault="00D50A39" w:rsidP="00495D19">
            <w:pPr>
              <w:pStyle w:val="naiskr"/>
              <w:spacing w:before="0" w:after="0"/>
              <w:jc w:val="both"/>
              <w:rPr>
                <w:rFonts w:eastAsia="Times New Roman"/>
                <w:color w:val="000000"/>
              </w:rPr>
            </w:pPr>
          </w:p>
          <w:p w:rsidR="00D41270" w:rsidRPr="00BC182F" w:rsidRDefault="00BF5100" w:rsidP="00495D19">
            <w:pPr>
              <w:pStyle w:val="naiskr"/>
              <w:spacing w:before="0" w:after="0"/>
              <w:jc w:val="both"/>
              <w:rPr>
                <w:color w:val="000000"/>
              </w:rPr>
            </w:pPr>
            <w:r w:rsidRPr="003C7065">
              <w:rPr>
                <w:color w:val="000000"/>
              </w:rPr>
              <w:t>MK noteikumu</w:t>
            </w:r>
            <w:r w:rsidR="003C3841">
              <w:rPr>
                <w:color w:val="000000"/>
              </w:rPr>
              <w:t xml:space="preserve"> projekts atrisinās</w:t>
            </w:r>
            <w:r w:rsidR="00D61695">
              <w:rPr>
                <w:color w:val="000000"/>
              </w:rPr>
              <w:t xml:space="preserve"> anotācijas</w:t>
            </w:r>
            <w:r w:rsidR="003C3841">
              <w:rPr>
                <w:color w:val="000000"/>
              </w:rPr>
              <w:t xml:space="preserve"> 2.punktā</w:t>
            </w:r>
            <w:r w:rsidR="000B76E3" w:rsidRPr="003C7065">
              <w:rPr>
                <w:color w:val="000000"/>
              </w:rPr>
              <w:t xml:space="preserve"> konstatētās problēmas.</w:t>
            </w:r>
          </w:p>
        </w:tc>
      </w:tr>
      <w:tr w:rsidR="000B76E3" w:rsidRPr="00BC182F" w:rsidTr="007708C0">
        <w:trPr>
          <w:trHeight w:val="476"/>
        </w:trPr>
        <w:tc>
          <w:tcPr>
            <w:tcW w:w="550" w:type="dxa"/>
          </w:tcPr>
          <w:p w:rsidR="000B76E3" w:rsidRPr="00BC182F" w:rsidRDefault="000B76E3" w:rsidP="005A03EE">
            <w:pPr>
              <w:pStyle w:val="naiskr"/>
              <w:spacing w:before="0" w:after="0"/>
              <w:rPr>
                <w:color w:val="000000"/>
              </w:rPr>
            </w:pPr>
            <w:r w:rsidRPr="00BC182F">
              <w:rPr>
                <w:color w:val="000000"/>
              </w:rPr>
              <w:lastRenderedPageBreak/>
              <w:t>5.</w:t>
            </w:r>
          </w:p>
        </w:tc>
        <w:tc>
          <w:tcPr>
            <w:tcW w:w="2030" w:type="dxa"/>
          </w:tcPr>
          <w:p w:rsidR="000B76E3" w:rsidRPr="00BC182F" w:rsidRDefault="000B76E3" w:rsidP="005A03EE">
            <w:pPr>
              <w:pStyle w:val="naiskr"/>
              <w:spacing w:before="0" w:after="0"/>
              <w:rPr>
                <w:color w:val="000000"/>
              </w:rPr>
            </w:pPr>
            <w:r w:rsidRPr="00BC182F">
              <w:rPr>
                <w:color w:val="000000"/>
              </w:rPr>
              <w:t>Projekta izstrādē iesaistītās institūcijas</w:t>
            </w:r>
          </w:p>
        </w:tc>
        <w:tc>
          <w:tcPr>
            <w:tcW w:w="6520" w:type="dxa"/>
          </w:tcPr>
          <w:p w:rsidR="000B76E3" w:rsidRPr="00B03892" w:rsidRDefault="00D50A39" w:rsidP="0022505E">
            <w:pPr>
              <w:pStyle w:val="naiskr"/>
              <w:spacing w:before="0" w:after="0"/>
              <w:jc w:val="both"/>
              <w:rPr>
                <w:color w:val="000000"/>
              </w:rPr>
            </w:pPr>
            <w:r w:rsidRPr="00B03892">
              <w:rPr>
                <w:color w:val="000000"/>
              </w:rPr>
              <w:t>Projekta izstrādē tika iesaistīts SPKC, jo noteikumu projekt</w:t>
            </w:r>
            <w:r w:rsidR="0022505E" w:rsidRPr="00B03892">
              <w:rPr>
                <w:color w:val="000000"/>
              </w:rPr>
              <w:t>s</w:t>
            </w:r>
            <w:r w:rsidR="00B52767" w:rsidRPr="00B03892">
              <w:rPr>
                <w:color w:val="000000"/>
              </w:rPr>
              <w:t xml:space="preserve"> skar </w:t>
            </w:r>
            <w:r w:rsidR="0022505E" w:rsidRPr="00B03892">
              <w:rPr>
                <w:color w:val="000000"/>
              </w:rPr>
              <w:t xml:space="preserve">šīs </w:t>
            </w:r>
            <w:r w:rsidR="00B52767" w:rsidRPr="00B03892">
              <w:rPr>
                <w:color w:val="000000"/>
              </w:rPr>
              <w:t>institūciju darbību.</w:t>
            </w:r>
          </w:p>
        </w:tc>
      </w:tr>
      <w:tr w:rsidR="000B76E3" w:rsidRPr="00BC182F" w:rsidTr="007708C0">
        <w:trPr>
          <w:trHeight w:val="719"/>
        </w:trPr>
        <w:tc>
          <w:tcPr>
            <w:tcW w:w="550" w:type="dxa"/>
          </w:tcPr>
          <w:p w:rsidR="000B76E3" w:rsidRPr="00BC182F" w:rsidRDefault="000B76E3" w:rsidP="005A03EE">
            <w:pPr>
              <w:pStyle w:val="naiskr"/>
              <w:spacing w:before="0" w:after="0"/>
              <w:rPr>
                <w:color w:val="000000"/>
              </w:rPr>
            </w:pPr>
            <w:r w:rsidRPr="00BC182F">
              <w:rPr>
                <w:color w:val="000000"/>
              </w:rPr>
              <w:t>6.</w:t>
            </w:r>
          </w:p>
        </w:tc>
        <w:tc>
          <w:tcPr>
            <w:tcW w:w="2030" w:type="dxa"/>
          </w:tcPr>
          <w:p w:rsidR="000B76E3" w:rsidRPr="00BC182F" w:rsidRDefault="000B76E3" w:rsidP="005A03EE">
            <w:pPr>
              <w:pStyle w:val="naiskr"/>
              <w:spacing w:before="0" w:after="0"/>
              <w:rPr>
                <w:i/>
                <w:color w:val="000000"/>
              </w:rPr>
            </w:pPr>
            <w:r w:rsidRPr="00BC182F">
              <w:rPr>
                <w:color w:val="000000"/>
              </w:rPr>
              <w:t>Iemesli, kādēļ netika nodrošināta sabiedrības līdzdalība</w:t>
            </w:r>
          </w:p>
        </w:tc>
        <w:tc>
          <w:tcPr>
            <w:tcW w:w="6520" w:type="dxa"/>
          </w:tcPr>
          <w:p w:rsidR="000B76E3" w:rsidRPr="00B03892" w:rsidRDefault="0085389D" w:rsidP="00B639EE">
            <w:pPr>
              <w:pStyle w:val="Vresteksts"/>
              <w:jc w:val="both"/>
              <w:rPr>
                <w:color w:val="000000"/>
                <w:sz w:val="24"/>
                <w:szCs w:val="24"/>
              </w:rPr>
            </w:pPr>
            <w:r w:rsidRPr="00B03892">
              <w:rPr>
                <w:sz w:val="24"/>
                <w:szCs w:val="24"/>
              </w:rPr>
              <w:t xml:space="preserve">Plaša sabiedrības iesaistīšana nebija lietderīga, jo MK noteikumu projekts paredz </w:t>
            </w:r>
            <w:r w:rsidR="003C3841" w:rsidRPr="00B03892">
              <w:rPr>
                <w:sz w:val="24"/>
                <w:szCs w:val="24"/>
              </w:rPr>
              <w:t>SPKC</w:t>
            </w:r>
            <w:r w:rsidR="003C6A16" w:rsidRPr="00B03892">
              <w:rPr>
                <w:sz w:val="24"/>
                <w:szCs w:val="24"/>
              </w:rPr>
              <w:t xml:space="preserve"> </w:t>
            </w:r>
            <w:r w:rsidR="001D72A2" w:rsidRPr="00B03892">
              <w:rPr>
                <w:sz w:val="24"/>
                <w:szCs w:val="24"/>
              </w:rPr>
              <w:t xml:space="preserve">un ministrijas </w:t>
            </w:r>
            <w:r w:rsidRPr="00B03892">
              <w:rPr>
                <w:sz w:val="24"/>
                <w:szCs w:val="24"/>
              </w:rPr>
              <w:t>darbības jautājumus.</w:t>
            </w:r>
          </w:p>
        </w:tc>
      </w:tr>
      <w:tr w:rsidR="000B76E3" w:rsidRPr="00BC182F" w:rsidTr="007708C0">
        <w:tc>
          <w:tcPr>
            <w:tcW w:w="550" w:type="dxa"/>
          </w:tcPr>
          <w:p w:rsidR="000B76E3" w:rsidRPr="00BC182F" w:rsidRDefault="000B76E3" w:rsidP="005A03EE">
            <w:pPr>
              <w:pStyle w:val="naiskr"/>
              <w:spacing w:before="0" w:after="0"/>
              <w:rPr>
                <w:color w:val="000000"/>
              </w:rPr>
            </w:pPr>
            <w:r w:rsidRPr="00BC182F">
              <w:rPr>
                <w:color w:val="000000"/>
              </w:rPr>
              <w:t>7.</w:t>
            </w:r>
          </w:p>
        </w:tc>
        <w:tc>
          <w:tcPr>
            <w:tcW w:w="2030" w:type="dxa"/>
          </w:tcPr>
          <w:p w:rsidR="000B76E3" w:rsidRPr="00BC182F" w:rsidRDefault="000B76E3" w:rsidP="005A03EE">
            <w:pPr>
              <w:pStyle w:val="naiskr"/>
              <w:spacing w:before="0" w:after="0"/>
              <w:rPr>
                <w:color w:val="000000"/>
              </w:rPr>
            </w:pPr>
            <w:r w:rsidRPr="00BC182F">
              <w:rPr>
                <w:color w:val="000000"/>
              </w:rPr>
              <w:t>Cita informācija</w:t>
            </w:r>
          </w:p>
        </w:tc>
        <w:tc>
          <w:tcPr>
            <w:tcW w:w="6520" w:type="dxa"/>
          </w:tcPr>
          <w:p w:rsidR="000B76E3" w:rsidRPr="00B03892" w:rsidRDefault="000B76E3" w:rsidP="005A03EE">
            <w:pPr>
              <w:pStyle w:val="naiskr"/>
              <w:spacing w:before="0" w:after="0"/>
              <w:rPr>
                <w:color w:val="000000"/>
              </w:rPr>
            </w:pPr>
            <w:r w:rsidRPr="00B03892">
              <w:rPr>
                <w:color w:val="000000"/>
              </w:rPr>
              <w:t>Nav</w:t>
            </w:r>
          </w:p>
        </w:tc>
      </w:tr>
    </w:tbl>
    <w:p w:rsidR="009B0077" w:rsidRDefault="009B0077" w:rsidP="000B76E3">
      <w:pPr>
        <w:rPr>
          <w:color w:val="000000"/>
          <w:sz w:val="28"/>
          <w:szCs w:val="28"/>
        </w:rPr>
      </w:pPr>
    </w:p>
    <w:p w:rsidR="00E84067" w:rsidRPr="00487786" w:rsidRDefault="00E84067" w:rsidP="000B76E3">
      <w:pPr>
        <w:rPr>
          <w:color w:val="000000"/>
          <w:sz w:val="28"/>
          <w:szCs w:val="28"/>
        </w:rPr>
      </w:pPr>
    </w:p>
    <w:p w:rsidR="007F05D8" w:rsidRDefault="007F05D8" w:rsidP="007F05D8">
      <w:pPr>
        <w:pStyle w:val="naisf"/>
        <w:spacing w:before="0" w:after="0"/>
        <w:ind w:firstLine="0"/>
        <w:jc w:val="center"/>
        <w:rPr>
          <w:i/>
          <w:color w:val="000000"/>
          <w:sz w:val="28"/>
          <w:szCs w:val="28"/>
        </w:rPr>
      </w:pPr>
      <w:r w:rsidRPr="00487786">
        <w:rPr>
          <w:color w:val="000000"/>
          <w:sz w:val="28"/>
          <w:szCs w:val="28"/>
        </w:rPr>
        <w:t>Anotācijas II sadaļa –</w:t>
      </w:r>
      <w:r w:rsidRPr="00487786">
        <w:rPr>
          <w:i/>
          <w:color w:val="000000"/>
          <w:sz w:val="28"/>
          <w:szCs w:val="28"/>
        </w:rPr>
        <w:t xml:space="preserve"> projekts šo jomu neskar.</w:t>
      </w:r>
    </w:p>
    <w:p w:rsidR="008A2196" w:rsidRPr="00487786" w:rsidRDefault="008A2196" w:rsidP="007F05D8">
      <w:pPr>
        <w:pStyle w:val="naisf"/>
        <w:spacing w:before="0" w:after="0"/>
        <w:ind w:firstLine="0"/>
        <w:jc w:val="center"/>
        <w:rPr>
          <w:i/>
          <w:color w:val="000000"/>
          <w:sz w:val="28"/>
          <w:szCs w:val="28"/>
        </w:rPr>
      </w:pPr>
    </w:p>
    <w:tbl>
      <w:tblPr>
        <w:tblW w:w="9239"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1331"/>
        <w:gridCol w:w="1354"/>
        <w:gridCol w:w="1354"/>
        <w:gridCol w:w="1355"/>
        <w:gridCol w:w="1240"/>
      </w:tblGrid>
      <w:tr w:rsidR="00AA2B42" w:rsidRPr="00AA2B42" w:rsidTr="00B639EE">
        <w:trPr>
          <w:trHeight w:val="496"/>
          <w:jc w:val="center"/>
        </w:trPr>
        <w:tc>
          <w:tcPr>
            <w:tcW w:w="9239" w:type="dxa"/>
            <w:gridSpan w:val="6"/>
            <w:vAlign w:val="center"/>
          </w:tcPr>
          <w:p w:rsidR="00AA2B42" w:rsidRPr="00AA2B42" w:rsidRDefault="00AA2B42" w:rsidP="00B639EE">
            <w:pPr>
              <w:pStyle w:val="naisnod"/>
              <w:spacing w:before="0" w:after="0"/>
              <w:rPr>
                <w:i/>
                <w:color w:val="000000" w:themeColor="text1"/>
              </w:rPr>
            </w:pPr>
            <w:r w:rsidRPr="00AA2B42">
              <w:rPr>
                <w:color w:val="000000" w:themeColor="text1"/>
              </w:rPr>
              <w:br w:type="page"/>
              <w:t>III. Tiesību akta projekta ietekme uz valsts budžetu un pašvaldību budžetiem</w:t>
            </w:r>
          </w:p>
        </w:tc>
      </w:tr>
      <w:tr w:rsidR="00AA2B42" w:rsidRPr="00AA2B42" w:rsidTr="00B639EE">
        <w:trPr>
          <w:jc w:val="center"/>
        </w:trPr>
        <w:tc>
          <w:tcPr>
            <w:tcW w:w="2605" w:type="dxa"/>
            <w:vMerge w:val="restart"/>
            <w:vAlign w:val="center"/>
          </w:tcPr>
          <w:p w:rsidR="00AA2B42" w:rsidRPr="00AA2B42" w:rsidRDefault="00AA2B42" w:rsidP="00B639EE">
            <w:pPr>
              <w:pStyle w:val="naisf"/>
              <w:spacing w:before="0" w:after="0"/>
              <w:ind w:firstLine="0"/>
              <w:jc w:val="left"/>
              <w:rPr>
                <w:b/>
                <w:color w:val="000000" w:themeColor="text1"/>
              </w:rPr>
            </w:pPr>
            <w:r w:rsidRPr="00AA2B42">
              <w:rPr>
                <w:b/>
                <w:color w:val="000000" w:themeColor="text1"/>
              </w:rPr>
              <w:t>Rādītāji</w:t>
            </w:r>
          </w:p>
        </w:tc>
        <w:tc>
          <w:tcPr>
            <w:tcW w:w="2685" w:type="dxa"/>
            <w:gridSpan w:val="2"/>
            <w:vMerge w:val="restart"/>
            <w:vAlign w:val="center"/>
          </w:tcPr>
          <w:p w:rsidR="00AA2B42" w:rsidRPr="00AA2B42" w:rsidRDefault="00AA2B42" w:rsidP="00B639EE">
            <w:pPr>
              <w:pStyle w:val="naisf"/>
              <w:spacing w:before="0" w:after="0"/>
              <w:ind w:firstLine="0"/>
              <w:jc w:val="center"/>
              <w:rPr>
                <w:b/>
                <w:color w:val="000000" w:themeColor="text1"/>
              </w:rPr>
            </w:pPr>
            <w:r w:rsidRPr="00AA2B42">
              <w:rPr>
                <w:b/>
                <w:color w:val="000000" w:themeColor="text1"/>
              </w:rPr>
              <w:t>2012 gads</w:t>
            </w:r>
          </w:p>
        </w:tc>
        <w:tc>
          <w:tcPr>
            <w:tcW w:w="3949" w:type="dxa"/>
            <w:gridSpan w:val="3"/>
            <w:vAlign w:val="center"/>
          </w:tcPr>
          <w:p w:rsidR="00AA2B42" w:rsidRPr="00AA2B42" w:rsidRDefault="00AA2B42" w:rsidP="00B639EE">
            <w:pPr>
              <w:pStyle w:val="naisf"/>
              <w:spacing w:before="0" w:after="0"/>
              <w:ind w:firstLine="0"/>
              <w:jc w:val="center"/>
              <w:rPr>
                <w:b/>
                <w:i/>
                <w:color w:val="000000" w:themeColor="text1"/>
              </w:rPr>
            </w:pPr>
            <w:r w:rsidRPr="00AA2B42">
              <w:rPr>
                <w:color w:val="000000" w:themeColor="text1"/>
              </w:rPr>
              <w:t>Turpmākie trīs gadi (tūkst</w:t>
            </w:r>
            <w:smartTag w:uri="schemas-tilde-lv/tildestengine" w:element="currency2">
              <w:smartTagPr>
                <w:attr w:name="currency_id" w:val="48"/>
                <w:attr w:name="currency_key" w:val="LVL"/>
                <w:attr w:name="currency_value" w:val="."/>
                <w:attr w:name="currency_text" w:val="latu"/>
              </w:smartTagPr>
              <w:r w:rsidRPr="00AA2B42">
                <w:rPr>
                  <w:color w:val="000000" w:themeColor="text1"/>
                </w:rPr>
                <w:t>. latu</w:t>
              </w:r>
            </w:smartTag>
            <w:r w:rsidRPr="00AA2B42">
              <w:rPr>
                <w:color w:val="000000" w:themeColor="text1"/>
              </w:rPr>
              <w:t>)</w:t>
            </w:r>
          </w:p>
        </w:tc>
      </w:tr>
      <w:tr w:rsidR="00AA2B42" w:rsidRPr="00AA2B42" w:rsidTr="00B639EE">
        <w:trPr>
          <w:jc w:val="center"/>
        </w:trPr>
        <w:tc>
          <w:tcPr>
            <w:tcW w:w="2605" w:type="dxa"/>
            <w:vMerge/>
            <w:vAlign w:val="center"/>
          </w:tcPr>
          <w:p w:rsidR="00AA2B42" w:rsidRPr="00AA2B42" w:rsidRDefault="00AA2B42" w:rsidP="00B639EE">
            <w:pPr>
              <w:pStyle w:val="naisf"/>
              <w:spacing w:before="0" w:after="0"/>
              <w:ind w:firstLine="0"/>
              <w:jc w:val="left"/>
              <w:rPr>
                <w:b/>
                <w:i/>
                <w:color w:val="000000" w:themeColor="text1"/>
              </w:rPr>
            </w:pPr>
          </w:p>
        </w:tc>
        <w:tc>
          <w:tcPr>
            <w:tcW w:w="2685" w:type="dxa"/>
            <w:gridSpan w:val="2"/>
            <w:vMerge/>
            <w:vAlign w:val="center"/>
          </w:tcPr>
          <w:p w:rsidR="00AA2B42" w:rsidRPr="00AA2B42" w:rsidRDefault="00AA2B42" w:rsidP="00B639EE">
            <w:pPr>
              <w:pStyle w:val="naisf"/>
              <w:spacing w:before="0" w:after="0"/>
              <w:ind w:firstLine="0"/>
              <w:jc w:val="center"/>
              <w:rPr>
                <w:b/>
                <w:i/>
                <w:color w:val="000000" w:themeColor="text1"/>
              </w:rPr>
            </w:pPr>
          </w:p>
        </w:tc>
        <w:tc>
          <w:tcPr>
            <w:tcW w:w="1354" w:type="dxa"/>
            <w:vAlign w:val="center"/>
          </w:tcPr>
          <w:p w:rsidR="00AA2B42" w:rsidRPr="00AA2B42" w:rsidRDefault="00AA2B42" w:rsidP="00B639EE">
            <w:pPr>
              <w:pStyle w:val="naisf"/>
              <w:spacing w:before="0" w:after="0"/>
              <w:ind w:firstLine="0"/>
              <w:jc w:val="center"/>
              <w:rPr>
                <w:b/>
                <w:i/>
                <w:color w:val="000000" w:themeColor="text1"/>
              </w:rPr>
            </w:pPr>
            <w:r w:rsidRPr="00AA2B42">
              <w:rPr>
                <w:b/>
                <w:bCs/>
                <w:color w:val="000000" w:themeColor="text1"/>
              </w:rPr>
              <w:t>2013</w:t>
            </w:r>
          </w:p>
        </w:tc>
        <w:tc>
          <w:tcPr>
            <w:tcW w:w="1355" w:type="dxa"/>
            <w:vAlign w:val="center"/>
          </w:tcPr>
          <w:p w:rsidR="00AA2B42" w:rsidRPr="00AA2B42" w:rsidRDefault="00AA2B42" w:rsidP="00B639EE">
            <w:pPr>
              <w:pStyle w:val="naisf"/>
              <w:spacing w:before="0" w:after="0"/>
              <w:ind w:firstLine="0"/>
              <w:jc w:val="center"/>
              <w:rPr>
                <w:b/>
                <w:i/>
                <w:color w:val="000000" w:themeColor="text1"/>
              </w:rPr>
            </w:pPr>
            <w:r w:rsidRPr="00AA2B42">
              <w:rPr>
                <w:b/>
                <w:bCs/>
                <w:color w:val="000000" w:themeColor="text1"/>
              </w:rPr>
              <w:t>2014</w:t>
            </w:r>
          </w:p>
        </w:tc>
        <w:tc>
          <w:tcPr>
            <w:tcW w:w="1240" w:type="dxa"/>
            <w:vAlign w:val="center"/>
          </w:tcPr>
          <w:p w:rsidR="00AA2B42" w:rsidRPr="00AA2B42" w:rsidRDefault="00AA2B42" w:rsidP="00B639EE">
            <w:pPr>
              <w:pStyle w:val="naisf"/>
              <w:spacing w:before="0" w:after="0"/>
              <w:ind w:firstLine="0"/>
              <w:jc w:val="center"/>
              <w:rPr>
                <w:b/>
                <w:i/>
                <w:color w:val="000000" w:themeColor="text1"/>
              </w:rPr>
            </w:pPr>
            <w:r w:rsidRPr="00AA2B42">
              <w:rPr>
                <w:b/>
                <w:bCs/>
                <w:color w:val="000000" w:themeColor="text1"/>
              </w:rPr>
              <w:t>2015</w:t>
            </w:r>
          </w:p>
        </w:tc>
      </w:tr>
      <w:tr w:rsidR="00AA2B42" w:rsidRPr="00AA2B42" w:rsidTr="00B639EE">
        <w:trPr>
          <w:trHeight w:val="2102"/>
          <w:jc w:val="center"/>
        </w:trPr>
        <w:tc>
          <w:tcPr>
            <w:tcW w:w="2605" w:type="dxa"/>
            <w:vMerge/>
            <w:vAlign w:val="center"/>
          </w:tcPr>
          <w:p w:rsidR="00AA2B42" w:rsidRPr="00AA2B42" w:rsidRDefault="00AA2B42" w:rsidP="00B639EE">
            <w:pPr>
              <w:pStyle w:val="naisf"/>
              <w:spacing w:before="0" w:after="0"/>
              <w:ind w:firstLine="0"/>
              <w:jc w:val="left"/>
              <w:rPr>
                <w:b/>
                <w:i/>
                <w:color w:val="000000" w:themeColor="text1"/>
              </w:rPr>
            </w:pPr>
          </w:p>
        </w:tc>
        <w:tc>
          <w:tcPr>
            <w:tcW w:w="1331" w:type="dxa"/>
            <w:vAlign w:val="center"/>
          </w:tcPr>
          <w:p w:rsidR="00AA2B42" w:rsidRPr="00AA2B42" w:rsidRDefault="00AA2B42" w:rsidP="00B639EE">
            <w:pPr>
              <w:pStyle w:val="naisf"/>
              <w:spacing w:before="0" w:after="0"/>
              <w:ind w:firstLine="0"/>
              <w:jc w:val="center"/>
              <w:rPr>
                <w:b/>
                <w:i/>
                <w:color w:val="000000" w:themeColor="text1"/>
              </w:rPr>
            </w:pPr>
            <w:r w:rsidRPr="00AA2B42">
              <w:rPr>
                <w:color w:val="000000" w:themeColor="text1"/>
              </w:rPr>
              <w:t>Saskaņā ar valsts budžetu kārtējam gadam</w:t>
            </w:r>
          </w:p>
        </w:tc>
        <w:tc>
          <w:tcPr>
            <w:tcW w:w="1354" w:type="dxa"/>
            <w:vAlign w:val="center"/>
          </w:tcPr>
          <w:p w:rsidR="00AA2B42" w:rsidRPr="00AA2B42" w:rsidRDefault="00AA2B42" w:rsidP="00B639EE">
            <w:pPr>
              <w:pStyle w:val="naisf"/>
              <w:spacing w:before="0" w:after="0"/>
              <w:ind w:firstLine="0"/>
              <w:jc w:val="center"/>
              <w:rPr>
                <w:b/>
                <w:i/>
                <w:color w:val="000000" w:themeColor="text1"/>
              </w:rPr>
            </w:pPr>
            <w:r w:rsidRPr="00AA2B42">
              <w:rPr>
                <w:color w:val="000000" w:themeColor="text1"/>
              </w:rPr>
              <w:t>Izmaiņas kārtējā gadā, salīdzinot ar budžetu kārtējam gadam</w:t>
            </w:r>
          </w:p>
        </w:tc>
        <w:tc>
          <w:tcPr>
            <w:tcW w:w="1354" w:type="dxa"/>
            <w:vAlign w:val="center"/>
          </w:tcPr>
          <w:p w:rsidR="00AA2B42" w:rsidRPr="00AA2B42" w:rsidRDefault="00AA2B42" w:rsidP="00B639EE">
            <w:pPr>
              <w:pStyle w:val="naisf"/>
              <w:spacing w:before="0" w:after="0"/>
              <w:ind w:firstLine="0"/>
              <w:jc w:val="center"/>
              <w:rPr>
                <w:b/>
                <w:i/>
                <w:color w:val="000000" w:themeColor="text1"/>
              </w:rPr>
            </w:pPr>
            <w:r w:rsidRPr="00AA2B42">
              <w:rPr>
                <w:color w:val="000000" w:themeColor="text1"/>
              </w:rPr>
              <w:t>Izmaiņas, salīdzinot ar kārtējo (n) gadu</w:t>
            </w:r>
          </w:p>
        </w:tc>
        <w:tc>
          <w:tcPr>
            <w:tcW w:w="1355" w:type="dxa"/>
            <w:vAlign w:val="center"/>
          </w:tcPr>
          <w:p w:rsidR="00AA2B42" w:rsidRPr="00AA2B42" w:rsidRDefault="00AA2B42" w:rsidP="00B639EE">
            <w:pPr>
              <w:pStyle w:val="naisf"/>
              <w:spacing w:before="0" w:after="0"/>
              <w:ind w:firstLine="0"/>
              <w:jc w:val="center"/>
              <w:rPr>
                <w:b/>
                <w:i/>
                <w:color w:val="000000" w:themeColor="text1"/>
              </w:rPr>
            </w:pPr>
            <w:r w:rsidRPr="00AA2B42">
              <w:rPr>
                <w:color w:val="000000" w:themeColor="text1"/>
              </w:rPr>
              <w:t>Izmaiņas, salīdzinot ar kārtējo (n) gadu</w:t>
            </w:r>
          </w:p>
        </w:tc>
        <w:tc>
          <w:tcPr>
            <w:tcW w:w="1240" w:type="dxa"/>
            <w:vAlign w:val="center"/>
          </w:tcPr>
          <w:p w:rsidR="00AA2B42" w:rsidRPr="00AA2B42" w:rsidRDefault="00AA2B42" w:rsidP="00B639EE">
            <w:pPr>
              <w:pStyle w:val="naisf"/>
              <w:spacing w:before="0" w:after="0"/>
              <w:ind w:firstLine="0"/>
              <w:jc w:val="center"/>
              <w:rPr>
                <w:b/>
                <w:i/>
                <w:color w:val="000000" w:themeColor="text1"/>
              </w:rPr>
            </w:pPr>
            <w:r w:rsidRPr="00AA2B42">
              <w:rPr>
                <w:color w:val="000000" w:themeColor="text1"/>
              </w:rPr>
              <w:t>Izmaiņas, salīdzinot ar kārtējo (n) gadu</w:t>
            </w:r>
          </w:p>
        </w:tc>
      </w:tr>
      <w:tr w:rsidR="00AA2B42" w:rsidRPr="00AA2B42" w:rsidTr="00B639EE">
        <w:trPr>
          <w:jc w:val="center"/>
        </w:trPr>
        <w:tc>
          <w:tcPr>
            <w:tcW w:w="2605" w:type="dxa"/>
            <w:vAlign w:val="center"/>
          </w:tcPr>
          <w:p w:rsidR="00AA2B42" w:rsidRPr="00AA2B42" w:rsidRDefault="00AA2B42" w:rsidP="00B639EE">
            <w:pPr>
              <w:pStyle w:val="naisf"/>
              <w:spacing w:before="0" w:after="0"/>
              <w:ind w:firstLine="0"/>
              <w:jc w:val="center"/>
              <w:rPr>
                <w:bCs/>
                <w:color w:val="000000" w:themeColor="text1"/>
                <w:sz w:val="20"/>
                <w:szCs w:val="20"/>
              </w:rPr>
            </w:pPr>
            <w:r w:rsidRPr="00AA2B42">
              <w:rPr>
                <w:bCs/>
                <w:color w:val="000000" w:themeColor="text1"/>
                <w:sz w:val="20"/>
                <w:szCs w:val="20"/>
              </w:rPr>
              <w:t>1</w:t>
            </w:r>
          </w:p>
        </w:tc>
        <w:tc>
          <w:tcPr>
            <w:tcW w:w="1331" w:type="dxa"/>
            <w:vAlign w:val="center"/>
          </w:tcPr>
          <w:p w:rsidR="00AA2B42" w:rsidRPr="00AA2B42" w:rsidRDefault="00AA2B42" w:rsidP="00B639EE">
            <w:pPr>
              <w:pStyle w:val="naisf"/>
              <w:spacing w:before="0" w:after="0"/>
              <w:ind w:firstLine="0"/>
              <w:jc w:val="center"/>
              <w:rPr>
                <w:bCs/>
                <w:color w:val="000000" w:themeColor="text1"/>
                <w:sz w:val="20"/>
                <w:szCs w:val="20"/>
              </w:rPr>
            </w:pPr>
            <w:r w:rsidRPr="00AA2B42">
              <w:rPr>
                <w:bCs/>
                <w:color w:val="000000" w:themeColor="text1"/>
                <w:sz w:val="20"/>
                <w:szCs w:val="20"/>
              </w:rPr>
              <w:t>2</w:t>
            </w:r>
          </w:p>
        </w:tc>
        <w:tc>
          <w:tcPr>
            <w:tcW w:w="1354" w:type="dxa"/>
            <w:vAlign w:val="center"/>
          </w:tcPr>
          <w:p w:rsidR="00AA2B42" w:rsidRPr="00AA2B42" w:rsidRDefault="00AA2B42" w:rsidP="00B639EE">
            <w:pPr>
              <w:pStyle w:val="naisf"/>
              <w:spacing w:before="0" w:after="0"/>
              <w:ind w:firstLine="0"/>
              <w:jc w:val="center"/>
              <w:rPr>
                <w:bCs/>
                <w:color w:val="000000" w:themeColor="text1"/>
                <w:sz w:val="20"/>
                <w:szCs w:val="20"/>
              </w:rPr>
            </w:pPr>
            <w:r w:rsidRPr="00AA2B42">
              <w:rPr>
                <w:bCs/>
                <w:color w:val="000000" w:themeColor="text1"/>
                <w:sz w:val="20"/>
                <w:szCs w:val="20"/>
              </w:rPr>
              <w:t>3</w:t>
            </w:r>
          </w:p>
        </w:tc>
        <w:tc>
          <w:tcPr>
            <w:tcW w:w="1354" w:type="dxa"/>
            <w:vAlign w:val="center"/>
          </w:tcPr>
          <w:p w:rsidR="00AA2B42" w:rsidRPr="00AA2B42" w:rsidRDefault="00AA2B42" w:rsidP="00B639EE">
            <w:pPr>
              <w:pStyle w:val="naisf"/>
              <w:spacing w:before="0" w:after="0"/>
              <w:ind w:firstLine="0"/>
              <w:jc w:val="center"/>
              <w:rPr>
                <w:bCs/>
                <w:color w:val="000000" w:themeColor="text1"/>
                <w:sz w:val="20"/>
                <w:szCs w:val="20"/>
              </w:rPr>
            </w:pPr>
            <w:r w:rsidRPr="00AA2B42">
              <w:rPr>
                <w:bCs/>
                <w:color w:val="000000" w:themeColor="text1"/>
                <w:sz w:val="20"/>
                <w:szCs w:val="20"/>
              </w:rPr>
              <w:t>4</w:t>
            </w:r>
          </w:p>
        </w:tc>
        <w:tc>
          <w:tcPr>
            <w:tcW w:w="1355" w:type="dxa"/>
            <w:vAlign w:val="center"/>
          </w:tcPr>
          <w:p w:rsidR="00AA2B42" w:rsidRPr="00AA2B42" w:rsidRDefault="00AA2B42" w:rsidP="00B639EE">
            <w:pPr>
              <w:pStyle w:val="naisf"/>
              <w:spacing w:before="0" w:after="0"/>
              <w:ind w:firstLine="0"/>
              <w:jc w:val="center"/>
              <w:rPr>
                <w:bCs/>
                <w:color w:val="000000" w:themeColor="text1"/>
                <w:sz w:val="20"/>
                <w:szCs w:val="20"/>
              </w:rPr>
            </w:pPr>
            <w:r w:rsidRPr="00AA2B42">
              <w:rPr>
                <w:bCs/>
                <w:color w:val="000000" w:themeColor="text1"/>
                <w:sz w:val="20"/>
                <w:szCs w:val="20"/>
              </w:rPr>
              <w:t>5</w:t>
            </w:r>
          </w:p>
        </w:tc>
        <w:tc>
          <w:tcPr>
            <w:tcW w:w="1240" w:type="dxa"/>
            <w:vAlign w:val="center"/>
          </w:tcPr>
          <w:p w:rsidR="00AA2B42" w:rsidRPr="00AA2B42" w:rsidRDefault="00AA2B42" w:rsidP="00B639EE">
            <w:pPr>
              <w:pStyle w:val="naisf"/>
              <w:spacing w:before="0" w:after="0"/>
              <w:ind w:firstLine="0"/>
              <w:jc w:val="center"/>
              <w:rPr>
                <w:bCs/>
                <w:color w:val="000000" w:themeColor="text1"/>
                <w:sz w:val="20"/>
                <w:szCs w:val="20"/>
              </w:rPr>
            </w:pPr>
            <w:r w:rsidRPr="00AA2B42">
              <w:rPr>
                <w:bCs/>
                <w:color w:val="000000" w:themeColor="text1"/>
                <w:sz w:val="20"/>
                <w:szCs w:val="20"/>
              </w:rPr>
              <w:t>6</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b/>
                <w:i/>
                <w:color w:val="000000" w:themeColor="text1"/>
              </w:rPr>
            </w:pPr>
            <w:r w:rsidRPr="00AA2B42">
              <w:rPr>
                <w:b/>
                <w:color w:val="000000" w:themeColor="text1"/>
              </w:rPr>
              <w:t>1. Budžeta ieņēmumi:</w:t>
            </w:r>
          </w:p>
        </w:tc>
        <w:tc>
          <w:tcPr>
            <w:tcW w:w="1331"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1 500,8</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0,0</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346,8</w:t>
            </w:r>
          </w:p>
        </w:tc>
        <w:tc>
          <w:tcPr>
            <w:tcW w:w="1355"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346,8</w:t>
            </w:r>
          </w:p>
        </w:tc>
        <w:tc>
          <w:tcPr>
            <w:tcW w:w="1240"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346,8</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i/>
                <w:color w:val="000000" w:themeColor="text1"/>
              </w:rPr>
            </w:pPr>
            <w:r w:rsidRPr="00AA2B42">
              <w:rPr>
                <w:color w:val="000000" w:themeColor="text1"/>
              </w:rPr>
              <w:t>1.1. valsts pamatbudžets, tai skaitā ieņēmumi no maksas pakalpojumiem un citi pašu ieņēmumi</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p w:rsidR="00AA2B42" w:rsidRPr="00AA2B42" w:rsidRDefault="00AA2B42" w:rsidP="00B639EE">
            <w:pPr>
              <w:pStyle w:val="naisf"/>
              <w:spacing w:before="0" w:after="0"/>
              <w:ind w:firstLine="0"/>
              <w:jc w:val="right"/>
              <w:rPr>
                <w:color w:val="000000" w:themeColor="text1"/>
              </w:rPr>
            </w:pPr>
          </w:p>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p w:rsidR="00AA2B42" w:rsidRPr="00AA2B42" w:rsidRDefault="00AA2B42" w:rsidP="00B639EE">
            <w:pPr>
              <w:pStyle w:val="naisf"/>
              <w:spacing w:before="0" w:after="0"/>
              <w:ind w:firstLine="0"/>
              <w:jc w:val="right"/>
              <w:rPr>
                <w:color w:val="000000" w:themeColor="text1"/>
              </w:rPr>
            </w:pPr>
          </w:p>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346,8</w:t>
            </w:r>
          </w:p>
          <w:p w:rsidR="00AA2B42" w:rsidRPr="00AA2B42" w:rsidRDefault="00AA2B42" w:rsidP="00B639EE">
            <w:pPr>
              <w:pStyle w:val="naisf"/>
              <w:spacing w:before="0" w:after="0"/>
              <w:ind w:firstLine="0"/>
              <w:jc w:val="right"/>
              <w:rPr>
                <w:color w:val="000000" w:themeColor="text1"/>
              </w:rPr>
            </w:pPr>
          </w:p>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346,8</w:t>
            </w:r>
          </w:p>
          <w:p w:rsidR="00AA2B42" w:rsidRPr="00AA2B42" w:rsidRDefault="00AA2B42" w:rsidP="00B639EE">
            <w:pPr>
              <w:pStyle w:val="naisf"/>
              <w:spacing w:before="0" w:after="0"/>
              <w:ind w:firstLine="0"/>
              <w:jc w:val="right"/>
              <w:rPr>
                <w:color w:val="000000" w:themeColor="text1"/>
              </w:rPr>
            </w:pPr>
          </w:p>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346,8</w:t>
            </w:r>
          </w:p>
          <w:p w:rsidR="00AA2B42" w:rsidRPr="00AA2B42" w:rsidRDefault="00AA2B42" w:rsidP="00B639EE">
            <w:pPr>
              <w:pStyle w:val="naisf"/>
              <w:spacing w:before="0" w:after="0"/>
              <w:ind w:firstLine="0"/>
              <w:jc w:val="right"/>
              <w:rPr>
                <w:color w:val="000000" w:themeColor="text1"/>
              </w:rPr>
            </w:pPr>
          </w:p>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color w:val="000000" w:themeColor="text1"/>
              </w:rPr>
            </w:pPr>
            <w:proofErr w:type="spellStart"/>
            <w:r w:rsidRPr="00AA2B42">
              <w:rPr>
                <w:color w:val="000000" w:themeColor="text1"/>
              </w:rPr>
              <w:t>t.sk.apakšprogramma</w:t>
            </w:r>
            <w:proofErr w:type="spellEnd"/>
            <w:r w:rsidRPr="00AA2B42">
              <w:rPr>
                <w:color w:val="000000" w:themeColor="text1"/>
              </w:rPr>
              <w:t xml:space="preserve"> 39.01.00 (tiesību akta projekta ietvaros - SPKC finansējums) </w:t>
            </w:r>
            <w:r w:rsidRPr="00AA2B42">
              <w:rPr>
                <w:color w:val="000000" w:themeColor="text1"/>
              </w:rPr>
              <w:lastRenderedPageBreak/>
              <w:t xml:space="preserve">(2012.g. - 9 mēnešiem) </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lastRenderedPageBreak/>
              <w:t>1 500,8</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color w:val="000000" w:themeColor="text1"/>
              </w:rPr>
            </w:pPr>
            <w:r w:rsidRPr="00AA2B42">
              <w:rPr>
                <w:color w:val="000000" w:themeColor="text1"/>
              </w:rPr>
              <w:lastRenderedPageBreak/>
              <w:t>dotācija no vispārējiem ieņēmumiem</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-1 500,8</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color w:val="000000" w:themeColor="text1"/>
              </w:rPr>
            </w:pPr>
            <w:proofErr w:type="spellStart"/>
            <w:r w:rsidRPr="00AA2B42">
              <w:rPr>
                <w:color w:val="000000" w:themeColor="text1"/>
              </w:rPr>
              <w:t>t.sk.apakšprogramma</w:t>
            </w:r>
            <w:proofErr w:type="spellEnd"/>
            <w:r w:rsidRPr="00AA2B42">
              <w:rPr>
                <w:color w:val="000000" w:themeColor="text1"/>
              </w:rPr>
              <w:t xml:space="preserve"> 46.03.00  (līdzekļi gadam)</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1847,6</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1847,6</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1847,6</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color w:val="000000" w:themeColor="text1"/>
              </w:rPr>
            </w:pPr>
            <w:r w:rsidRPr="00AA2B42">
              <w:rPr>
                <w:color w:val="000000" w:themeColor="text1"/>
              </w:rPr>
              <w:t>dotācija no vispārējiem ieņēmumiem</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1847,6</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1847,6</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1847,6</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i/>
                <w:color w:val="000000" w:themeColor="text1"/>
              </w:rPr>
            </w:pPr>
            <w:r w:rsidRPr="00AA2B42">
              <w:rPr>
                <w:color w:val="000000" w:themeColor="text1"/>
              </w:rPr>
              <w:t>1.2. valsts speciālais budžets</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i/>
                <w:color w:val="000000" w:themeColor="text1"/>
              </w:rPr>
            </w:pPr>
            <w:r w:rsidRPr="00AA2B42">
              <w:rPr>
                <w:color w:val="000000" w:themeColor="text1"/>
              </w:rPr>
              <w:t>1.3. pašvaldību budžets</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trHeight w:val="385"/>
          <w:jc w:val="center"/>
        </w:trPr>
        <w:tc>
          <w:tcPr>
            <w:tcW w:w="2605" w:type="dxa"/>
            <w:vAlign w:val="center"/>
          </w:tcPr>
          <w:p w:rsidR="00AA2B42" w:rsidRPr="00AA2B42" w:rsidRDefault="00AA2B42" w:rsidP="00B639EE">
            <w:pPr>
              <w:rPr>
                <w:b/>
                <w:color w:val="000000" w:themeColor="text1"/>
              </w:rPr>
            </w:pPr>
            <w:r w:rsidRPr="00AA2B42">
              <w:rPr>
                <w:b/>
                <w:color w:val="000000" w:themeColor="text1"/>
              </w:rPr>
              <w:t>2. Budžeta izdevumi:</w:t>
            </w:r>
          </w:p>
        </w:tc>
        <w:tc>
          <w:tcPr>
            <w:tcW w:w="1331"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1 507,9</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0,0</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446,0</w:t>
            </w:r>
          </w:p>
        </w:tc>
        <w:tc>
          <w:tcPr>
            <w:tcW w:w="1355"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446,0</w:t>
            </w:r>
          </w:p>
        </w:tc>
        <w:tc>
          <w:tcPr>
            <w:tcW w:w="1240"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446,0</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2.1. valsts pamatbudžets</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1 507,9</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446,0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446,0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446,0</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color w:val="000000" w:themeColor="text1"/>
              </w:rPr>
            </w:pPr>
            <w:proofErr w:type="spellStart"/>
            <w:r w:rsidRPr="00AA2B42">
              <w:rPr>
                <w:color w:val="000000" w:themeColor="text1"/>
              </w:rPr>
              <w:t>t.sk.apakšprogramma</w:t>
            </w:r>
            <w:proofErr w:type="spellEnd"/>
            <w:r w:rsidRPr="00AA2B42">
              <w:rPr>
                <w:color w:val="000000" w:themeColor="text1"/>
              </w:rPr>
              <w:t xml:space="preserve"> 39.01.00 (tiesību akta projekta ietvaros-SPKC) (2012.g.-  9 mēnešiem)</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1 507,9</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-1 507,9</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-1 507,9</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-1 507,9</w:t>
            </w:r>
          </w:p>
        </w:tc>
      </w:tr>
      <w:tr w:rsidR="00AA2B42" w:rsidRPr="00AA2B42" w:rsidTr="00B639EE">
        <w:trPr>
          <w:jc w:val="center"/>
        </w:trPr>
        <w:tc>
          <w:tcPr>
            <w:tcW w:w="2605" w:type="dxa"/>
          </w:tcPr>
          <w:p w:rsidR="00AA2B42" w:rsidRPr="00AA2B42" w:rsidRDefault="00AA2B42" w:rsidP="00B639EE">
            <w:pPr>
              <w:pStyle w:val="naisf"/>
              <w:spacing w:before="0" w:after="0"/>
              <w:ind w:firstLine="0"/>
              <w:jc w:val="left"/>
              <w:rPr>
                <w:color w:val="000000" w:themeColor="text1"/>
              </w:rPr>
            </w:pPr>
            <w:proofErr w:type="spellStart"/>
            <w:r w:rsidRPr="00AA2B42">
              <w:rPr>
                <w:color w:val="000000" w:themeColor="text1"/>
              </w:rPr>
              <w:t>t.sk.apakšprogramma</w:t>
            </w:r>
            <w:proofErr w:type="spellEnd"/>
            <w:r w:rsidRPr="00AA2B42">
              <w:rPr>
                <w:color w:val="000000" w:themeColor="text1"/>
              </w:rPr>
              <w:t xml:space="preserve"> 46.03.00</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1953,9</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1953,9</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1953,9</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2.2. valsts speciālais budžets</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 xml:space="preserve">2.3. pašvaldību budžets </w:t>
            </w:r>
          </w:p>
        </w:tc>
        <w:tc>
          <w:tcPr>
            <w:tcW w:w="1331"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rPr>
                <w:b/>
                <w:color w:val="000000" w:themeColor="text1"/>
              </w:rPr>
            </w:pPr>
            <w:r w:rsidRPr="00AA2B42">
              <w:rPr>
                <w:b/>
                <w:color w:val="000000" w:themeColor="text1"/>
              </w:rPr>
              <w:t>3. Finansiālā ietekme:</w:t>
            </w:r>
          </w:p>
        </w:tc>
        <w:tc>
          <w:tcPr>
            <w:tcW w:w="1331" w:type="dxa"/>
            <w:shd w:val="clear" w:color="auto" w:fill="auto"/>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-7,1</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0,0</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-99,2</w:t>
            </w:r>
          </w:p>
        </w:tc>
        <w:tc>
          <w:tcPr>
            <w:tcW w:w="1355"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-99,2</w:t>
            </w:r>
          </w:p>
        </w:tc>
        <w:tc>
          <w:tcPr>
            <w:tcW w:w="1240"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-99,2</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3.1. valsts pamatbudžets</w:t>
            </w:r>
          </w:p>
        </w:tc>
        <w:tc>
          <w:tcPr>
            <w:tcW w:w="1331" w:type="dxa"/>
            <w:shd w:val="clear" w:color="auto" w:fill="auto"/>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-99,2</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-99,2</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-99,2</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39.01.00 (tiesību akta projekta ietvaros-SPKC) (2012.g.-  9 mēnešiem)</w:t>
            </w:r>
          </w:p>
        </w:tc>
        <w:tc>
          <w:tcPr>
            <w:tcW w:w="1331" w:type="dxa"/>
            <w:shd w:val="clear" w:color="auto" w:fill="auto"/>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46.03.00  (līdzekļi gadam)</w:t>
            </w:r>
          </w:p>
        </w:tc>
        <w:tc>
          <w:tcPr>
            <w:tcW w:w="1331" w:type="dxa"/>
            <w:shd w:val="clear" w:color="auto" w:fill="auto"/>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-106,3</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-106,3</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-106,3</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3.2. speciālais budžets</w:t>
            </w:r>
          </w:p>
        </w:tc>
        <w:tc>
          <w:tcPr>
            <w:tcW w:w="1331" w:type="dxa"/>
            <w:shd w:val="clear" w:color="auto" w:fill="auto"/>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 xml:space="preserve">3.3. pašvaldību budžets </w:t>
            </w:r>
          </w:p>
        </w:tc>
        <w:tc>
          <w:tcPr>
            <w:tcW w:w="1331" w:type="dxa"/>
            <w:shd w:val="clear" w:color="auto" w:fill="auto"/>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vMerge w:val="restart"/>
          </w:tcPr>
          <w:p w:rsidR="00AA2B42" w:rsidRPr="00AA2B42" w:rsidRDefault="00AA2B42" w:rsidP="00B639EE">
            <w:pPr>
              <w:rPr>
                <w:color w:val="000000" w:themeColor="text1"/>
              </w:rPr>
            </w:pPr>
            <w:r w:rsidRPr="00AA2B42">
              <w:rPr>
                <w:b/>
                <w:color w:val="000000" w:themeColor="text1"/>
              </w:rPr>
              <w:t>4. Finanšu līdzekļi papildu izde</w:t>
            </w:r>
            <w:r w:rsidRPr="00AA2B42">
              <w:rPr>
                <w:b/>
                <w:color w:val="000000" w:themeColor="text1"/>
              </w:rPr>
              <w:softHyphen/>
              <w:t>vumu finansēšanai</w:t>
            </w:r>
            <w:r w:rsidRPr="00AA2B42">
              <w:rPr>
                <w:color w:val="000000" w:themeColor="text1"/>
              </w:rPr>
              <w:t xml:space="preserve"> (kompensējošu izdevumu samazinājumu norāda ar "+" zīmi)</w:t>
            </w:r>
          </w:p>
        </w:tc>
        <w:tc>
          <w:tcPr>
            <w:tcW w:w="1331" w:type="dxa"/>
            <w:vMerge w:val="restart"/>
          </w:tcPr>
          <w:p w:rsidR="00AA2B42" w:rsidRPr="00AA2B42" w:rsidRDefault="00AA2B42" w:rsidP="00B639EE">
            <w:pPr>
              <w:pStyle w:val="naisf"/>
              <w:spacing w:before="0" w:after="0"/>
              <w:ind w:firstLine="0"/>
              <w:jc w:val="center"/>
              <w:rPr>
                <w:color w:val="000000" w:themeColor="text1"/>
              </w:rPr>
            </w:pPr>
            <w:r w:rsidRPr="00AA2B42">
              <w:rPr>
                <w:color w:val="000000" w:themeColor="text1"/>
              </w:rPr>
              <w:t>X</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0,0</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106,3</w:t>
            </w:r>
          </w:p>
        </w:tc>
        <w:tc>
          <w:tcPr>
            <w:tcW w:w="1355" w:type="dxa"/>
          </w:tcPr>
          <w:p w:rsidR="00AA2B42" w:rsidRPr="00AA2B42" w:rsidRDefault="00AA2B42" w:rsidP="00B639EE">
            <w:pPr>
              <w:jc w:val="right"/>
              <w:rPr>
                <w:color w:val="000000" w:themeColor="text1"/>
              </w:rPr>
            </w:pPr>
            <w:r w:rsidRPr="00AA2B42">
              <w:rPr>
                <w:b/>
                <w:color w:val="000000" w:themeColor="text1"/>
              </w:rPr>
              <w:t>106,3</w:t>
            </w:r>
          </w:p>
        </w:tc>
        <w:tc>
          <w:tcPr>
            <w:tcW w:w="1240" w:type="dxa"/>
          </w:tcPr>
          <w:p w:rsidR="00AA2B42" w:rsidRPr="00AA2B42" w:rsidRDefault="00AA2B42" w:rsidP="00B639EE">
            <w:pPr>
              <w:jc w:val="right"/>
              <w:rPr>
                <w:color w:val="000000" w:themeColor="text1"/>
              </w:rPr>
            </w:pPr>
            <w:r w:rsidRPr="00AA2B42">
              <w:rPr>
                <w:b/>
                <w:color w:val="000000" w:themeColor="text1"/>
              </w:rPr>
              <w:t>106,3</w:t>
            </w:r>
          </w:p>
        </w:tc>
      </w:tr>
      <w:tr w:rsidR="00AA2B42" w:rsidRPr="00AA2B42" w:rsidTr="00B639EE">
        <w:trPr>
          <w:jc w:val="center"/>
        </w:trPr>
        <w:tc>
          <w:tcPr>
            <w:tcW w:w="2605" w:type="dxa"/>
            <w:vMerge/>
          </w:tcPr>
          <w:p w:rsidR="00AA2B42" w:rsidRPr="00AA2B42" w:rsidRDefault="00AA2B42" w:rsidP="00B639EE">
            <w:pPr>
              <w:rPr>
                <w:color w:val="000000" w:themeColor="text1"/>
              </w:rPr>
            </w:pPr>
          </w:p>
        </w:tc>
        <w:tc>
          <w:tcPr>
            <w:tcW w:w="1331" w:type="dxa"/>
            <w:vMerge/>
          </w:tcPr>
          <w:p w:rsidR="00AA2B42" w:rsidRPr="00AA2B42" w:rsidRDefault="00AA2B42" w:rsidP="00B639EE">
            <w:pPr>
              <w:pStyle w:val="naisf"/>
              <w:spacing w:before="0" w:after="0"/>
              <w:ind w:firstLine="0"/>
              <w:jc w:val="center"/>
              <w:rPr>
                <w:color w:val="000000" w:themeColor="text1"/>
              </w:rPr>
            </w:pP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vMerge/>
          </w:tcPr>
          <w:p w:rsidR="00AA2B42" w:rsidRPr="00AA2B42" w:rsidRDefault="00AA2B42" w:rsidP="00B639EE">
            <w:pPr>
              <w:rPr>
                <w:color w:val="000000" w:themeColor="text1"/>
              </w:rPr>
            </w:pPr>
          </w:p>
        </w:tc>
        <w:tc>
          <w:tcPr>
            <w:tcW w:w="1331" w:type="dxa"/>
            <w:vMerge/>
          </w:tcPr>
          <w:p w:rsidR="00AA2B42" w:rsidRPr="00AA2B42" w:rsidRDefault="00AA2B42" w:rsidP="00B639EE">
            <w:pPr>
              <w:pStyle w:val="naisf"/>
              <w:spacing w:before="0" w:after="0"/>
              <w:ind w:firstLine="0"/>
              <w:jc w:val="center"/>
              <w:rPr>
                <w:color w:val="000000" w:themeColor="text1"/>
              </w:rPr>
            </w:pP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rPr>
                <w:b/>
                <w:color w:val="000000" w:themeColor="text1"/>
              </w:rPr>
            </w:pPr>
            <w:r w:rsidRPr="00AA2B42">
              <w:rPr>
                <w:b/>
                <w:color w:val="000000" w:themeColor="text1"/>
              </w:rPr>
              <w:t>5. Precizēta finansiālā ietekme:</w:t>
            </w:r>
          </w:p>
        </w:tc>
        <w:tc>
          <w:tcPr>
            <w:tcW w:w="1331" w:type="dxa"/>
            <w:vMerge w:val="restart"/>
          </w:tcPr>
          <w:p w:rsidR="00AA2B42" w:rsidRPr="00AA2B42" w:rsidRDefault="00AA2B42" w:rsidP="00B639EE">
            <w:pPr>
              <w:pStyle w:val="naisf"/>
              <w:spacing w:before="0" w:after="0"/>
              <w:ind w:firstLine="0"/>
              <w:jc w:val="center"/>
              <w:rPr>
                <w:color w:val="000000" w:themeColor="text1"/>
              </w:rPr>
            </w:pPr>
            <w:r w:rsidRPr="00AA2B42">
              <w:rPr>
                <w:color w:val="000000" w:themeColor="text1"/>
              </w:rPr>
              <w:t>X</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0,0</w:t>
            </w:r>
          </w:p>
        </w:tc>
        <w:tc>
          <w:tcPr>
            <w:tcW w:w="1354"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7,1</w:t>
            </w:r>
          </w:p>
        </w:tc>
        <w:tc>
          <w:tcPr>
            <w:tcW w:w="1355"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7,1</w:t>
            </w:r>
          </w:p>
        </w:tc>
        <w:tc>
          <w:tcPr>
            <w:tcW w:w="1240" w:type="dxa"/>
            <w:vAlign w:val="center"/>
          </w:tcPr>
          <w:p w:rsidR="00AA2B42" w:rsidRPr="00AA2B42" w:rsidRDefault="00AA2B42" w:rsidP="00B639EE">
            <w:pPr>
              <w:pStyle w:val="naisf"/>
              <w:spacing w:before="0" w:after="0"/>
              <w:ind w:firstLine="0"/>
              <w:jc w:val="right"/>
              <w:rPr>
                <w:b/>
                <w:color w:val="000000" w:themeColor="text1"/>
              </w:rPr>
            </w:pPr>
            <w:r w:rsidRPr="00AA2B42">
              <w:rPr>
                <w:b/>
                <w:color w:val="000000" w:themeColor="text1"/>
              </w:rPr>
              <w:t>7,1</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5.1. valsts pamatbudžets</w:t>
            </w:r>
          </w:p>
        </w:tc>
        <w:tc>
          <w:tcPr>
            <w:tcW w:w="1331" w:type="dxa"/>
            <w:vMerge/>
            <w:vAlign w:val="center"/>
          </w:tcPr>
          <w:p w:rsidR="00AA2B42" w:rsidRPr="00AA2B42" w:rsidRDefault="00AA2B42" w:rsidP="00B639EE">
            <w:pPr>
              <w:pStyle w:val="naisf"/>
              <w:spacing w:before="0" w:after="0"/>
              <w:ind w:firstLine="0"/>
              <w:jc w:val="center"/>
              <w:rPr>
                <w:color w:val="000000" w:themeColor="text1"/>
              </w:rPr>
            </w:pP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7,1</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5.2. speciālais budžets</w:t>
            </w:r>
          </w:p>
        </w:tc>
        <w:tc>
          <w:tcPr>
            <w:tcW w:w="1331" w:type="dxa"/>
            <w:vMerge/>
            <w:vAlign w:val="center"/>
          </w:tcPr>
          <w:p w:rsidR="00AA2B42" w:rsidRPr="00AA2B42" w:rsidRDefault="00AA2B42" w:rsidP="00B639EE">
            <w:pPr>
              <w:pStyle w:val="naisf"/>
              <w:spacing w:before="0" w:after="0"/>
              <w:ind w:firstLine="0"/>
              <w:jc w:val="center"/>
              <w:rPr>
                <w:color w:val="000000" w:themeColor="text1"/>
              </w:rPr>
            </w:pP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 xml:space="preserve">5.3. pašvaldību budžets </w:t>
            </w:r>
          </w:p>
        </w:tc>
        <w:tc>
          <w:tcPr>
            <w:tcW w:w="1331" w:type="dxa"/>
            <w:vMerge/>
            <w:vAlign w:val="center"/>
          </w:tcPr>
          <w:p w:rsidR="00AA2B42" w:rsidRPr="00AA2B42" w:rsidRDefault="00AA2B42" w:rsidP="00B639EE">
            <w:pPr>
              <w:pStyle w:val="naisf"/>
              <w:spacing w:before="0" w:after="0"/>
              <w:ind w:firstLine="0"/>
              <w:jc w:val="center"/>
              <w:rPr>
                <w:color w:val="000000" w:themeColor="text1"/>
              </w:rPr>
            </w:pP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4"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355"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c>
          <w:tcPr>
            <w:tcW w:w="1240" w:type="dxa"/>
            <w:vAlign w:val="center"/>
          </w:tcPr>
          <w:p w:rsidR="00AA2B42" w:rsidRPr="00AA2B42" w:rsidRDefault="00AA2B42" w:rsidP="00B639EE">
            <w:pPr>
              <w:pStyle w:val="naisf"/>
              <w:spacing w:before="0" w:after="0"/>
              <w:ind w:firstLine="0"/>
              <w:jc w:val="right"/>
              <w:rPr>
                <w:color w:val="000000" w:themeColor="text1"/>
              </w:rPr>
            </w:pPr>
            <w:r w:rsidRPr="00AA2B42">
              <w:rPr>
                <w:color w:val="000000" w:themeColor="text1"/>
              </w:rPr>
              <w:t>0,0</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t>6. Detalizēts ieņēmumu un izdevu</w:t>
            </w:r>
            <w:r w:rsidRPr="00AA2B42">
              <w:rPr>
                <w:color w:val="000000" w:themeColor="text1"/>
              </w:rPr>
              <w:softHyphen/>
              <w:t>mu aprēķins (ja nepieciešams, detalizētu ieņēmumu un izdevumu aprēķinu var pievienot anotācijas pielikumā):</w:t>
            </w:r>
          </w:p>
        </w:tc>
        <w:tc>
          <w:tcPr>
            <w:tcW w:w="6634" w:type="dxa"/>
            <w:gridSpan w:val="5"/>
            <w:vMerge w:val="restart"/>
          </w:tcPr>
          <w:p w:rsidR="00AA2B42" w:rsidRPr="00AA2B42" w:rsidRDefault="00AA2B42" w:rsidP="00B639EE">
            <w:pPr>
              <w:pStyle w:val="naisf"/>
              <w:spacing w:before="120" w:after="0"/>
              <w:ind w:firstLine="0"/>
              <w:rPr>
                <w:color w:val="000000" w:themeColor="text1"/>
              </w:rPr>
            </w:pPr>
            <w:r w:rsidRPr="00AA2B42">
              <w:rPr>
                <w:b/>
                <w:color w:val="000000" w:themeColor="text1"/>
                <w:u w:val="single"/>
              </w:rPr>
              <w:t>Budžeta ieņēmumi 2012.gadā</w:t>
            </w:r>
            <w:r w:rsidRPr="00AA2B42">
              <w:rPr>
                <w:color w:val="000000" w:themeColor="text1"/>
              </w:rPr>
              <w:t xml:space="preserve"> MK noteikumu projekta ietvaros jeb resursi izdevumu segšanai ir valsts pamatbudžeta dotācija no vispārējiem ieņēmumiem (ieņēmumi no maksas pakalpojumiem nav plānoti).</w:t>
            </w:r>
          </w:p>
          <w:p w:rsidR="00AA2B42" w:rsidRPr="00AA2B42" w:rsidRDefault="00AA2B42" w:rsidP="00B639EE">
            <w:pPr>
              <w:pStyle w:val="naisf"/>
              <w:spacing w:before="120" w:after="0"/>
              <w:ind w:firstLine="0"/>
              <w:rPr>
                <w:color w:val="000000" w:themeColor="text1"/>
              </w:rPr>
            </w:pPr>
            <w:r w:rsidRPr="00AA2B42">
              <w:rPr>
                <w:color w:val="000000" w:themeColor="text1"/>
              </w:rPr>
              <w:t xml:space="preserve">Atbilstoši likumam „Par valsts </w:t>
            </w:r>
            <w:r w:rsidR="00B639EE">
              <w:rPr>
                <w:color w:val="000000" w:themeColor="text1"/>
              </w:rPr>
              <w:t xml:space="preserve">budžetu 2012.gadam”, ņemot vērā </w:t>
            </w:r>
            <w:r w:rsidRPr="00AA2B42">
              <w:rPr>
                <w:color w:val="000000" w:themeColor="text1"/>
              </w:rPr>
              <w:t xml:space="preserve">reorganizāciju atbilstoši </w:t>
            </w:r>
            <w:r w:rsidR="00B639EE">
              <w:rPr>
                <w:color w:val="000000" w:themeColor="text1"/>
              </w:rPr>
              <w:t xml:space="preserve">MK rīkojumam Nr.101, </w:t>
            </w:r>
            <w:r w:rsidRPr="00AA2B42">
              <w:rPr>
                <w:color w:val="000000" w:themeColor="text1"/>
              </w:rPr>
              <w:t xml:space="preserve">kā arī Finanšu </w:t>
            </w:r>
            <w:r w:rsidRPr="00AA2B42">
              <w:rPr>
                <w:color w:val="000000" w:themeColor="text1"/>
              </w:rPr>
              <w:lastRenderedPageBreak/>
              <w:t xml:space="preserve">ministrijas rīkojumus par apropriācijas pārdali 2012.gadā, kopējie resursi izdevumu segšanai MK noteikumu Nr.241 grozījumu projekta ietvaros ir </w:t>
            </w:r>
            <w:r w:rsidRPr="00AA2B42">
              <w:rPr>
                <w:b/>
                <w:color w:val="000000" w:themeColor="text1"/>
              </w:rPr>
              <w:t>1 669 837 lati</w:t>
            </w:r>
            <w:r w:rsidRPr="00AA2B42">
              <w:rPr>
                <w:color w:val="000000" w:themeColor="text1"/>
              </w:rPr>
              <w:t>, tai skaitā:</w:t>
            </w:r>
          </w:p>
          <w:p w:rsidR="00AA2B42" w:rsidRPr="00AA2B42" w:rsidRDefault="00AA2B42" w:rsidP="00B639EE">
            <w:pPr>
              <w:spacing w:before="120"/>
              <w:jc w:val="both"/>
              <w:rPr>
                <w:color w:val="000000" w:themeColor="text1"/>
              </w:rPr>
            </w:pPr>
            <w:r w:rsidRPr="00AA2B42">
              <w:rPr>
                <w:color w:val="000000" w:themeColor="text1"/>
              </w:rPr>
              <w:t>1. </w:t>
            </w:r>
            <w:r w:rsidRPr="00AA2B42">
              <w:rPr>
                <w:color w:val="000000" w:themeColor="text1"/>
                <w:u w:val="single"/>
              </w:rPr>
              <w:t>Budžeta apakšprogrammā 39.01.00</w:t>
            </w:r>
            <w:r w:rsidRPr="00AA2B42">
              <w:rPr>
                <w:color w:val="000000" w:themeColor="text1"/>
              </w:rPr>
              <w:t xml:space="preserve"> „Infekcijas slimību specifiskā diagnostika, ārstēšana un profilakse” – </w:t>
            </w:r>
            <w:r w:rsidRPr="00AA2B42">
              <w:rPr>
                <w:b/>
                <w:color w:val="000000" w:themeColor="text1"/>
              </w:rPr>
              <w:t>1 500 740 lati</w:t>
            </w:r>
            <w:r w:rsidRPr="00AA2B42">
              <w:rPr>
                <w:color w:val="000000" w:themeColor="text1"/>
              </w:rPr>
              <w:t xml:space="preserve">, tai skaitā 1 474 956 lati </w:t>
            </w:r>
            <w:r w:rsidR="00B639EE">
              <w:rPr>
                <w:color w:val="000000" w:themeColor="text1"/>
              </w:rPr>
              <w:t>–</w:t>
            </w:r>
            <w:r w:rsidRPr="00AA2B42">
              <w:rPr>
                <w:color w:val="000000" w:themeColor="text1"/>
              </w:rPr>
              <w:t xml:space="preserve"> </w:t>
            </w:r>
            <w:r w:rsidR="00B639EE">
              <w:rPr>
                <w:color w:val="000000" w:themeColor="text1"/>
              </w:rPr>
              <w:t xml:space="preserve">SPKC </w:t>
            </w:r>
            <w:r w:rsidRPr="00AA2B42">
              <w:rPr>
                <w:color w:val="000000" w:themeColor="text1"/>
              </w:rPr>
              <w:t>finansējums no valsts budžeta dotācijas 2012.gada</w:t>
            </w:r>
            <w:r w:rsidRPr="00AA2B42">
              <w:rPr>
                <w:b/>
                <w:color w:val="000000" w:themeColor="text1"/>
              </w:rPr>
              <w:t xml:space="preserve"> </w:t>
            </w:r>
            <w:r w:rsidRPr="00AA2B42">
              <w:rPr>
                <w:color w:val="000000" w:themeColor="text1"/>
              </w:rPr>
              <w:t>9 mēnešiem, 25 784 lati – dotācija, kas ar Finanšu ministrijas 04.06.2012 rīkojumu Nr.300 „Par pamatbudžeta apropriācijas pārdali starp budžeta programmām, apakšprogrammām un izdevumu kodiem atbilstoši ekonomis</w:t>
            </w:r>
            <w:r w:rsidRPr="00AA2B42">
              <w:rPr>
                <w:color w:val="000000" w:themeColor="text1"/>
              </w:rPr>
              <w:softHyphen/>
              <w:t>ka</w:t>
            </w:r>
            <w:r w:rsidRPr="00AA2B42">
              <w:rPr>
                <w:color w:val="000000" w:themeColor="text1"/>
              </w:rPr>
              <w:softHyphen/>
              <w:t>jām kategorijām” pārcelta no budžeta programmas 45.00.00 „Veselības aprūpes finansējuma administrē</w:t>
            </w:r>
            <w:r w:rsidRPr="00AA2B42">
              <w:rPr>
                <w:color w:val="000000" w:themeColor="text1"/>
              </w:rPr>
              <w:softHyphen/>
              <w:t xml:space="preserve">šana un ekonomiskā novērtēšana”, lai līdz ar funkciju pārņemšanu no </w:t>
            </w:r>
            <w:r w:rsidR="00B639EE">
              <w:rPr>
                <w:color w:val="000000" w:themeColor="text1"/>
              </w:rPr>
              <w:t xml:space="preserve">NVD </w:t>
            </w:r>
            <w:r w:rsidRPr="00AA2B42">
              <w:rPr>
                <w:color w:val="000000" w:themeColor="text1"/>
              </w:rPr>
              <w:t xml:space="preserve">nodrošinātu </w:t>
            </w:r>
            <w:r w:rsidR="00B639EE">
              <w:rPr>
                <w:color w:val="000000" w:themeColor="text1"/>
              </w:rPr>
              <w:t xml:space="preserve">SPKC </w:t>
            </w:r>
            <w:r w:rsidRPr="00AA2B42">
              <w:rPr>
                <w:color w:val="000000" w:themeColor="text1"/>
              </w:rPr>
              <w:t>ārvalstu komandējumu apmaksu.</w:t>
            </w:r>
          </w:p>
          <w:p w:rsidR="00AA2B42" w:rsidRPr="00AA2B42" w:rsidRDefault="00AA2B42" w:rsidP="00B639EE">
            <w:pPr>
              <w:pStyle w:val="naisf"/>
              <w:spacing w:before="120" w:after="0"/>
              <w:ind w:firstLine="0"/>
              <w:rPr>
                <w:color w:val="000000" w:themeColor="text1"/>
              </w:rPr>
            </w:pPr>
            <w:r w:rsidRPr="00AA2B42">
              <w:rPr>
                <w:color w:val="000000" w:themeColor="text1"/>
              </w:rPr>
              <w:t>2. </w:t>
            </w:r>
            <w:r w:rsidRPr="00AA2B42">
              <w:rPr>
                <w:color w:val="000000" w:themeColor="text1"/>
                <w:u w:val="single"/>
              </w:rPr>
              <w:t>Budžeta apakšprogrammā 01.05.00</w:t>
            </w:r>
            <w:r w:rsidRPr="00AA2B42">
              <w:rPr>
                <w:color w:val="000000" w:themeColor="text1"/>
              </w:rPr>
              <w:t xml:space="preserve"> „Veselības veicināšana” – </w:t>
            </w:r>
            <w:r w:rsidRPr="00AA2B42">
              <w:rPr>
                <w:b/>
                <w:color w:val="000000" w:themeColor="text1"/>
              </w:rPr>
              <w:t>62 745 lati</w:t>
            </w:r>
            <w:r w:rsidRPr="00AA2B42">
              <w:rPr>
                <w:color w:val="000000" w:themeColor="text1"/>
              </w:rPr>
              <w:t>;</w:t>
            </w:r>
          </w:p>
          <w:p w:rsidR="00AA2B42" w:rsidRPr="00AA2B42" w:rsidRDefault="00AA2B42" w:rsidP="00B639EE">
            <w:pPr>
              <w:pStyle w:val="naisf"/>
              <w:spacing w:before="120" w:after="0"/>
              <w:ind w:firstLine="0"/>
              <w:rPr>
                <w:color w:val="000000" w:themeColor="text1"/>
              </w:rPr>
            </w:pPr>
            <w:r w:rsidRPr="00AA2B42">
              <w:rPr>
                <w:color w:val="000000" w:themeColor="text1"/>
              </w:rPr>
              <w:t>3. </w:t>
            </w:r>
            <w:r w:rsidRPr="00AA2B42">
              <w:rPr>
                <w:color w:val="000000" w:themeColor="text1"/>
                <w:u w:val="single"/>
              </w:rPr>
              <w:t>Budžeta apakšprogrammā 33.01.00</w:t>
            </w:r>
            <w:r w:rsidRPr="00AA2B42">
              <w:rPr>
                <w:color w:val="000000" w:themeColor="text1"/>
              </w:rPr>
              <w:t xml:space="preserve"> „Ārstniecība” </w:t>
            </w:r>
            <w:r w:rsidRPr="00AA2B42">
              <w:rPr>
                <w:b/>
                <w:color w:val="000000" w:themeColor="text1"/>
              </w:rPr>
              <w:t>106 352 lati</w:t>
            </w:r>
            <w:r w:rsidRPr="00AA2B42">
              <w:rPr>
                <w:color w:val="000000" w:themeColor="text1"/>
              </w:rPr>
              <w:t xml:space="preserve"> (finansējums laboratorisko izmeklējumu apmaksai un HIV/AIDS medikamentu iepirkumam, kas </w:t>
            </w:r>
            <w:r w:rsidR="00B639EE">
              <w:rPr>
                <w:color w:val="000000" w:themeColor="text1"/>
              </w:rPr>
              <w:t xml:space="preserve">LIC </w:t>
            </w:r>
            <w:r w:rsidRPr="00AA2B42">
              <w:rPr>
                <w:color w:val="000000" w:themeColor="text1"/>
              </w:rPr>
              <w:t>reorganizācijas procesā tika novirzīts uz apakšprogrammu 33.01.00);</w:t>
            </w:r>
          </w:p>
          <w:p w:rsidR="00AA2B42" w:rsidRPr="00AA2B42" w:rsidRDefault="00AA2B42" w:rsidP="00B639EE">
            <w:pPr>
              <w:pStyle w:val="naisf"/>
              <w:spacing w:before="0" w:after="0"/>
              <w:ind w:firstLine="0"/>
              <w:jc w:val="left"/>
              <w:rPr>
                <w:b/>
                <w:color w:val="000000" w:themeColor="text1"/>
              </w:rPr>
            </w:pPr>
          </w:p>
          <w:p w:rsidR="00AA2B42" w:rsidRPr="00AA2B42" w:rsidRDefault="00AA2B42" w:rsidP="00B639EE">
            <w:pPr>
              <w:pStyle w:val="naisf"/>
              <w:spacing w:before="0" w:after="0"/>
              <w:ind w:firstLine="0"/>
              <w:rPr>
                <w:color w:val="000000" w:themeColor="text1"/>
              </w:rPr>
            </w:pPr>
            <w:r w:rsidRPr="00AA2B42">
              <w:rPr>
                <w:b/>
                <w:color w:val="000000" w:themeColor="text1"/>
                <w:u w:val="single"/>
              </w:rPr>
              <w:t>Budžeta izdevumi 2012.gadā</w:t>
            </w:r>
            <w:r w:rsidRPr="00AA2B42">
              <w:rPr>
                <w:b/>
                <w:color w:val="000000" w:themeColor="text1"/>
              </w:rPr>
              <w:t xml:space="preserve"> </w:t>
            </w:r>
            <w:r w:rsidR="00BC79CB">
              <w:rPr>
                <w:color w:val="000000" w:themeColor="text1"/>
              </w:rPr>
              <w:t xml:space="preserve">MK noteikumu </w:t>
            </w:r>
            <w:r w:rsidRPr="00AA2B42">
              <w:rPr>
                <w:color w:val="000000" w:themeColor="text1"/>
              </w:rPr>
              <w:t xml:space="preserve">projekta ietvaros – atbilstoši likumam „Par valsts budžetu 2012.gadam”, ņemot vērā reorganizāciju atbilstoši </w:t>
            </w:r>
            <w:r w:rsidR="00BC79CB">
              <w:rPr>
                <w:color w:val="000000" w:themeColor="text1"/>
              </w:rPr>
              <w:t xml:space="preserve">MK </w:t>
            </w:r>
            <w:r w:rsidRPr="00AA2B42">
              <w:rPr>
                <w:color w:val="000000" w:themeColor="text1"/>
              </w:rPr>
              <w:t xml:space="preserve">rīkojumam Nr.101, kā arī Finanšu ministrijas rīkojumus par apropriācijas pārdali un apropriācijas palielinājumu 2012.gadā, ir </w:t>
            </w:r>
            <w:r w:rsidRPr="00AA2B42">
              <w:rPr>
                <w:b/>
                <w:color w:val="000000" w:themeColor="text1"/>
              </w:rPr>
              <w:t>1 676 913 lati</w:t>
            </w:r>
            <w:r w:rsidRPr="00AA2B42">
              <w:rPr>
                <w:color w:val="000000" w:themeColor="text1"/>
              </w:rPr>
              <w:t>, tai skaitā:</w:t>
            </w:r>
          </w:p>
          <w:p w:rsidR="00AA2B42" w:rsidRPr="00AA2B42" w:rsidRDefault="00AA2B42" w:rsidP="00B639EE">
            <w:pPr>
              <w:pStyle w:val="naisf"/>
              <w:spacing w:before="120" w:after="0"/>
              <w:ind w:firstLine="0"/>
              <w:rPr>
                <w:color w:val="000000" w:themeColor="text1"/>
              </w:rPr>
            </w:pPr>
            <w:r w:rsidRPr="00AA2B42">
              <w:rPr>
                <w:color w:val="000000" w:themeColor="text1"/>
              </w:rPr>
              <w:t>1. </w:t>
            </w:r>
            <w:r w:rsidRPr="00AA2B42">
              <w:rPr>
                <w:color w:val="000000" w:themeColor="text1"/>
                <w:u w:val="single"/>
              </w:rPr>
              <w:t>Budžeta apakšprogrammā 39.01.00</w:t>
            </w:r>
            <w:r w:rsidRPr="00AA2B42">
              <w:rPr>
                <w:color w:val="000000" w:themeColor="text1"/>
              </w:rPr>
              <w:t xml:space="preserve"> „Infekcijas slimību specifiskā diagnostika, ārstēšana un profilakse” – </w:t>
            </w:r>
            <w:r w:rsidRPr="00AA2B42">
              <w:rPr>
                <w:b/>
                <w:color w:val="000000" w:themeColor="text1"/>
              </w:rPr>
              <w:t>1 507 816 lati</w:t>
            </w:r>
            <w:r w:rsidRPr="00AA2B42">
              <w:rPr>
                <w:color w:val="000000" w:themeColor="text1"/>
              </w:rPr>
              <w:t xml:space="preserve">, tai skaitā: 1 474 956 lati </w:t>
            </w:r>
            <w:r w:rsidR="00BC79CB">
              <w:rPr>
                <w:color w:val="000000" w:themeColor="text1"/>
              </w:rPr>
              <w:t>–</w:t>
            </w:r>
            <w:r w:rsidRPr="00AA2B42">
              <w:rPr>
                <w:color w:val="000000" w:themeColor="text1"/>
              </w:rPr>
              <w:t xml:space="preserve"> </w:t>
            </w:r>
            <w:r w:rsidR="00BC79CB">
              <w:rPr>
                <w:color w:val="000000" w:themeColor="text1"/>
              </w:rPr>
              <w:t xml:space="preserve">SPKC </w:t>
            </w:r>
            <w:r w:rsidRPr="00AA2B42">
              <w:rPr>
                <w:color w:val="000000" w:themeColor="text1"/>
              </w:rPr>
              <w:t>izdevumi 2012.gada</w:t>
            </w:r>
            <w:r w:rsidRPr="00AA2B42">
              <w:rPr>
                <w:b/>
                <w:color w:val="000000" w:themeColor="text1"/>
              </w:rPr>
              <w:t xml:space="preserve"> </w:t>
            </w:r>
            <w:r w:rsidRPr="00AA2B42">
              <w:rPr>
                <w:color w:val="000000" w:themeColor="text1"/>
              </w:rPr>
              <w:t>9 mēnešiem, 25 784 lati - izdevumi koman</w:t>
            </w:r>
            <w:r w:rsidRPr="00AA2B42">
              <w:rPr>
                <w:color w:val="000000" w:themeColor="text1"/>
              </w:rPr>
              <w:softHyphen/>
              <w:t>dējumiem, kas ar Finanšu ministrijas 04.06.2012 rīkojumu Nr.300 pārcelti no budžeta programmas 45.00.00 „Veselības aprūpes finansējuma administrē</w:t>
            </w:r>
            <w:r w:rsidRPr="00AA2B42">
              <w:rPr>
                <w:color w:val="000000" w:themeColor="text1"/>
              </w:rPr>
              <w:softHyphen/>
              <w:t xml:space="preserve">šana un ekonomiskā novērtēšana”, 7 076 lati - izdevumi, kas ar Finanšu ministrijas 04.07.2012 rīkojumu Nr.359 „Par apropriācijas palielināšanu” kā vienreizējs pasākums piešķirti </w:t>
            </w:r>
            <w:r w:rsidR="00BC79CB">
              <w:rPr>
                <w:color w:val="000000" w:themeColor="text1"/>
              </w:rPr>
              <w:t xml:space="preserve">SPKC, </w:t>
            </w:r>
            <w:r w:rsidRPr="00AA2B42">
              <w:rPr>
                <w:color w:val="000000" w:themeColor="text1"/>
              </w:rPr>
              <w:t xml:space="preserve">lai nodrošinātu tā </w:t>
            </w:r>
            <w:proofErr w:type="spellStart"/>
            <w:r w:rsidRPr="00AA2B42">
              <w:rPr>
                <w:color w:val="000000" w:themeColor="text1"/>
              </w:rPr>
              <w:t>pārziņā</w:t>
            </w:r>
            <w:proofErr w:type="spellEnd"/>
            <w:r w:rsidRPr="00AA2B42">
              <w:rPr>
                <w:color w:val="000000" w:themeColor="text1"/>
              </w:rPr>
              <w:t xml:space="preserve"> esošo reģistru informācijas eksportu uz elektroniskās veselības kartes informācijas sistēmu (e</w:t>
            </w:r>
            <w:r w:rsidRPr="00AA2B42">
              <w:rPr>
                <w:color w:val="000000" w:themeColor="text1"/>
              </w:rPr>
              <w:noBreakHyphen/>
              <w:t xml:space="preserve">Veselība), tai skaitā PREDA reģistra diagnožu informācijas sākotnējo importu un jaundzimušo reģistra personas kodu datu iegūšanai (izdevumi precēm un pakalpojumiem), kā finansēšanas avotu izmantojot </w:t>
            </w:r>
            <w:r w:rsidR="00BC79CB">
              <w:rPr>
                <w:color w:val="000000" w:themeColor="text1"/>
              </w:rPr>
              <w:t xml:space="preserve">NVD </w:t>
            </w:r>
            <w:r w:rsidRPr="00AA2B42">
              <w:rPr>
                <w:color w:val="000000" w:themeColor="text1"/>
              </w:rPr>
              <w:t xml:space="preserve">2011.gada pašu ieņēmumu līdzekļu atlikumu daļu. </w:t>
            </w:r>
          </w:p>
          <w:p w:rsidR="00AA2B42" w:rsidRPr="00AA2B42" w:rsidRDefault="00AA2B42" w:rsidP="00B639EE">
            <w:pPr>
              <w:pStyle w:val="naisf"/>
              <w:spacing w:before="120" w:after="0"/>
              <w:ind w:firstLine="0"/>
              <w:rPr>
                <w:color w:val="000000" w:themeColor="text1"/>
              </w:rPr>
            </w:pPr>
            <w:r w:rsidRPr="00AA2B42">
              <w:rPr>
                <w:color w:val="000000" w:themeColor="text1"/>
              </w:rPr>
              <w:t>2. </w:t>
            </w:r>
            <w:r w:rsidRPr="00AA2B42">
              <w:rPr>
                <w:color w:val="000000" w:themeColor="text1"/>
                <w:u w:val="single"/>
              </w:rPr>
              <w:t>Budžeta apakšprogrammā 01.05.00</w:t>
            </w:r>
            <w:r w:rsidRPr="00AA2B42">
              <w:rPr>
                <w:color w:val="000000" w:themeColor="text1"/>
              </w:rPr>
              <w:t xml:space="preserve"> „Veselības veicināšana” – </w:t>
            </w:r>
            <w:r w:rsidRPr="00AA2B42">
              <w:rPr>
                <w:b/>
                <w:color w:val="000000" w:themeColor="text1"/>
              </w:rPr>
              <w:t>62 745 lati</w:t>
            </w:r>
            <w:r w:rsidRPr="00AA2B42">
              <w:rPr>
                <w:color w:val="000000" w:themeColor="text1"/>
              </w:rPr>
              <w:t xml:space="preserve"> (izdevumi precēm un pakalpojumiem);</w:t>
            </w:r>
          </w:p>
          <w:p w:rsidR="00AA2B42" w:rsidRPr="00AA2B42" w:rsidRDefault="00AA2B42" w:rsidP="00B639EE">
            <w:pPr>
              <w:pStyle w:val="naisf"/>
              <w:spacing w:before="120" w:after="0"/>
              <w:ind w:firstLine="0"/>
              <w:rPr>
                <w:color w:val="000000" w:themeColor="text1"/>
              </w:rPr>
            </w:pPr>
            <w:r w:rsidRPr="00AA2B42">
              <w:rPr>
                <w:color w:val="000000" w:themeColor="text1"/>
              </w:rPr>
              <w:t>3. </w:t>
            </w:r>
            <w:r w:rsidRPr="00AA2B42">
              <w:rPr>
                <w:color w:val="000000" w:themeColor="text1"/>
                <w:u w:val="single"/>
              </w:rPr>
              <w:t>Budžeta apakšprogrammā 33.01.00</w:t>
            </w:r>
            <w:r w:rsidRPr="00AA2B42">
              <w:rPr>
                <w:color w:val="000000" w:themeColor="text1"/>
              </w:rPr>
              <w:t xml:space="preserve"> „Ārstniecība” – </w:t>
            </w:r>
            <w:r w:rsidRPr="00AA2B42">
              <w:rPr>
                <w:b/>
                <w:color w:val="000000" w:themeColor="text1"/>
              </w:rPr>
              <w:t>106 352 lati</w:t>
            </w:r>
            <w:r w:rsidRPr="00AA2B42">
              <w:rPr>
                <w:color w:val="000000" w:themeColor="text1"/>
              </w:rPr>
              <w:t xml:space="preserve"> (izdevumi laboratorisko izmeklējumu apmaksai un HIV/A</w:t>
            </w:r>
            <w:r w:rsidR="00BC79CB">
              <w:rPr>
                <w:color w:val="000000" w:themeColor="text1"/>
              </w:rPr>
              <w:t xml:space="preserve">IDS medikamentu iepirkumam, kas LIC </w:t>
            </w:r>
            <w:r w:rsidRPr="00AA2B42">
              <w:rPr>
                <w:color w:val="000000" w:themeColor="text1"/>
              </w:rPr>
              <w:t>reorganizācijas procesā tika novirzīti uz apakšprogrammu 33.01.00 – izdevumi subsīdijām un dotācijām);</w:t>
            </w:r>
          </w:p>
          <w:p w:rsidR="00AA2B42" w:rsidRPr="00AA2B42" w:rsidRDefault="00AA2B42" w:rsidP="00B639EE">
            <w:pPr>
              <w:pStyle w:val="naisf"/>
              <w:spacing w:before="0" w:after="0"/>
              <w:ind w:firstLine="0"/>
              <w:rPr>
                <w:b/>
                <w:color w:val="000000" w:themeColor="text1"/>
              </w:rPr>
            </w:pPr>
          </w:p>
          <w:p w:rsidR="00AA2B42" w:rsidRPr="00AA2B42" w:rsidRDefault="00BC79CB" w:rsidP="00B639EE">
            <w:pPr>
              <w:pStyle w:val="naisf"/>
              <w:spacing w:before="0" w:after="0"/>
              <w:ind w:firstLine="0"/>
              <w:rPr>
                <w:color w:val="000000" w:themeColor="text1"/>
              </w:rPr>
            </w:pPr>
            <w:r>
              <w:rPr>
                <w:b/>
                <w:color w:val="000000" w:themeColor="text1"/>
              </w:rPr>
              <w:t xml:space="preserve">SPKC </w:t>
            </w:r>
            <w:r w:rsidR="00AA2B42" w:rsidRPr="00AA2B42">
              <w:rPr>
                <w:color w:val="000000" w:themeColor="text1"/>
              </w:rPr>
              <w:t xml:space="preserve">apakšprogrammā 39.01.00 kopā ar izmaiņām 2012.gadā resursi izdevumu segšanai no valsts budžeta dotācijas ir </w:t>
            </w:r>
            <w:r w:rsidR="00AA2B42" w:rsidRPr="00AA2B42">
              <w:rPr>
                <w:b/>
                <w:color w:val="000000" w:themeColor="text1"/>
              </w:rPr>
              <w:t>1 500 740 lati</w:t>
            </w:r>
            <w:r w:rsidR="00AA2B42" w:rsidRPr="00AA2B42">
              <w:rPr>
                <w:color w:val="000000" w:themeColor="text1"/>
              </w:rPr>
              <w:t>, izdevumi ir</w:t>
            </w:r>
            <w:r w:rsidR="00AA2B42" w:rsidRPr="00AA2B42">
              <w:rPr>
                <w:b/>
                <w:color w:val="000000" w:themeColor="text1"/>
              </w:rPr>
              <w:t xml:space="preserve"> 1 507 816 lati</w:t>
            </w:r>
            <w:r w:rsidR="00AA2B42" w:rsidRPr="00AA2B42">
              <w:rPr>
                <w:color w:val="000000" w:themeColor="text1"/>
              </w:rPr>
              <w:t xml:space="preserve">, tai skaitā </w:t>
            </w:r>
            <w:r w:rsidR="00AA2B42" w:rsidRPr="00AA2B42">
              <w:rPr>
                <w:b/>
                <w:color w:val="000000" w:themeColor="text1"/>
              </w:rPr>
              <w:t xml:space="preserve">7 076 lati </w:t>
            </w:r>
            <w:r w:rsidR="00AA2B42" w:rsidRPr="00AA2B42">
              <w:rPr>
                <w:color w:val="000000" w:themeColor="text1"/>
              </w:rPr>
              <w:t>ir</w:t>
            </w:r>
            <w:r w:rsidR="00AA2B42" w:rsidRPr="00AA2B42">
              <w:rPr>
                <w:b/>
                <w:color w:val="000000" w:themeColor="text1"/>
              </w:rPr>
              <w:t xml:space="preserve"> </w:t>
            </w:r>
            <w:r w:rsidR="00AA2B42" w:rsidRPr="00AA2B42">
              <w:rPr>
                <w:color w:val="000000" w:themeColor="text1"/>
              </w:rPr>
              <w:t>finansēšana no naudas līdzekļiem, kuru avots ir daļa no Nacionālā veselības dienesta 2011.gada pašu ieņēmumu līdzekļu atlikuma. Izdevumu sadalījums pa kodiem atbilstoši ekonomiskajām kategorijām:</w:t>
            </w:r>
          </w:p>
          <w:p w:rsidR="00AA2B42" w:rsidRPr="00AA2B42" w:rsidRDefault="00AA2B42" w:rsidP="00B639EE">
            <w:pPr>
              <w:pStyle w:val="naisf"/>
              <w:spacing w:before="0" w:after="0"/>
              <w:ind w:left="488" w:firstLine="0"/>
              <w:rPr>
                <w:color w:val="000000" w:themeColor="text1"/>
              </w:rPr>
            </w:pPr>
            <w:r w:rsidRPr="00AA2B42">
              <w:rPr>
                <w:color w:val="000000" w:themeColor="text1"/>
              </w:rPr>
              <w:t>1 035 506 lati atlīdzībai, tai skaitā</w:t>
            </w:r>
          </w:p>
          <w:p w:rsidR="00AA2B42" w:rsidRPr="00AA2B42" w:rsidRDefault="00AA2B42" w:rsidP="00B639EE">
            <w:pPr>
              <w:pStyle w:val="naisf"/>
              <w:spacing w:before="0" w:after="0"/>
              <w:ind w:left="915" w:firstLine="0"/>
              <w:rPr>
                <w:color w:val="000000" w:themeColor="text1"/>
              </w:rPr>
            </w:pPr>
            <w:r w:rsidRPr="00AA2B42">
              <w:rPr>
                <w:color w:val="000000" w:themeColor="text1"/>
              </w:rPr>
              <w:t>823 916 lati atalgojumam,</w:t>
            </w:r>
          </w:p>
          <w:p w:rsidR="00AA2B42" w:rsidRPr="00AA2B42" w:rsidRDefault="00AA2B42" w:rsidP="00B639EE">
            <w:pPr>
              <w:pStyle w:val="naisf"/>
              <w:spacing w:before="0" w:after="0"/>
              <w:ind w:left="488" w:firstLine="0"/>
              <w:rPr>
                <w:color w:val="000000" w:themeColor="text1"/>
              </w:rPr>
            </w:pPr>
            <w:r w:rsidRPr="00AA2B42">
              <w:rPr>
                <w:color w:val="000000" w:themeColor="text1"/>
              </w:rPr>
              <w:t>432 575 lati precēm un pakalpojumiem,</w:t>
            </w:r>
          </w:p>
          <w:p w:rsidR="00AA2B42" w:rsidRPr="00AA2B42" w:rsidRDefault="00AA2B42" w:rsidP="00B639EE">
            <w:pPr>
              <w:pStyle w:val="naisf"/>
              <w:spacing w:before="0" w:after="0"/>
              <w:ind w:left="488" w:firstLine="0"/>
              <w:rPr>
                <w:color w:val="000000" w:themeColor="text1"/>
              </w:rPr>
            </w:pPr>
            <w:r w:rsidRPr="00AA2B42">
              <w:rPr>
                <w:color w:val="000000" w:themeColor="text1"/>
              </w:rPr>
              <w:t>39 735 lati kapitāliem izdevumiem.</w:t>
            </w:r>
          </w:p>
          <w:p w:rsidR="00AA2B42" w:rsidRPr="00AA2B42" w:rsidRDefault="00AA2B42" w:rsidP="00B639EE">
            <w:pPr>
              <w:pStyle w:val="naisf"/>
              <w:spacing w:before="0" w:after="0"/>
              <w:ind w:firstLine="0"/>
              <w:rPr>
                <w:b/>
                <w:color w:val="000000" w:themeColor="text1"/>
              </w:rPr>
            </w:pPr>
          </w:p>
          <w:p w:rsidR="00AA2B42" w:rsidRPr="00AA2B42" w:rsidRDefault="00AA2B42" w:rsidP="00B639EE">
            <w:pPr>
              <w:pStyle w:val="naisf"/>
              <w:spacing w:before="0" w:after="0"/>
              <w:ind w:firstLine="0"/>
              <w:rPr>
                <w:color w:val="000000" w:themeColor="text1"/>
              </w:rPr>
            </w:pPr>
            <w:r w:rsidRPr="00AA2B42">
              <w:rPr>
                <w:b/>
                <w:color w:val="000000" w:themeColor="text1"/>
              </w:rPr>
              <w:t xml:space="preserve">Izmaiņas 2013.-2015.gadā MK noteikumu projekta ietvaros </w:t>
            </w:r>
            <w:r w:rsidRPr="00AA2B42">
              <w:rPr>
                <w:b/>
                <w:color w:val="000000" w:themeColor="text1"/>
                <w:u w:val="single"/>
              </w:rPr>
              <w:t>atbilstoši 2013.-2015.gada budžeta bāzei</w:t>
            </w:r>
            <w:r w:rsidRPr="00AA2B42">
              <w:rPr>
                <w:b/>
                <w:color w:val="000000" w:themeColor="text1"/>
              </w:rPr>
              <w:t xml:space="preserve"> </w:t>
            </w:r>
            <w:r w:rsidRPr="00AA2B42">
              <w:rPr>
                <w:color w:val="000000" w:themeColor="text1"/>
              </w:rPr>
              <w:t>(pamatā apstiprināta Ministru kabineta 17.04.2012 sēdē, protokols Nr.20, 38.§):</w:t>
            </w:r>
          </w:p>
          <w:p w:rsidR="00AA2B42" w:rsidRPr="00AA2B42" w:rsidRDefault="00AA2B42" w:rsidP="00B639EE">
            <w:pPr>
              <w:pStyle w:val="naisf"/>
              <w:spacing w:before="120" w:after="0"/>
              <w:ind w:firstLine="0"/>
              <w:rPr>
                <w:color w:val="000000" w:themeColor="text1"/>
              </w:rPr>
            </w:pPr>
            <w:r w:rsidRPr="00AA2B42">
              <w:rPr>
                <w:b/>
                <w:color w:val="000000" w:themeColor="text1"/>
              </w:rPr>
              <w:t>-1 474 956 lati</w:t>
            </w:r>
            <w:r w:rsidRPr="00AA2B42">
              <w:rPr>
                <w:color w:val="000000" w:themeColor="text1"/>
              </w:rPr>
              <w:t xml:space="preserve"> – ieņēmumu un izdevumu samazinājums </w:t>
            </w:r>
            <w:r w:rsidR="00BC79CB">
              <w:rPr>
                <w:color w:val="000000" w:themeColor="text1"/>
              </w:rPr>
              <w:t xml:space="preserve">SPKC </w:t>
            </w:r>
            <w:r w:rsidRPr="00AA2B42">
              <w:rPr>
                <w:color w:val="000000" w:themeColor="text1"/>
                <w:u w:val="single"/>
              </w:rPr>
              <w:t>apakšprogrammā 39.01.00</w:t>
            </w:r>
            <w:r w:rsidRPr="00AA2B42">
              <w:rPr>
                <w:color w:val="000000" w:themeColor="text1"/>
              </w:rPr>
              <w:t xml:space="preserve"> (apakšprogramma tiek likvidēta);</w:t>
            </w:r>
          </w:p>
          <w:p w:rsidR="00AA2B42" w:rsidRPr="00AA2B42" w:rsidRDefault="00AA2B42" w:rsidP="00B639EE">
            <w:pPr>
              <w:pStyle w:val="naisf"/>
              <w:spacing w:before="0" w:after="0"/>
              <w:ind w:firstLine="0"/>
              <w:rPr>
                <w:color w:val="000000" w:themeColor="text1"/>
              </w:rPr>
            </w:pPr>
            <w:r w:rsidRPr="00AA2B42">
              <w:rPr>
                <w:b/>
                <w:color w:val="000000" w:themeColor="text1"/>
              </w:rPr>
              <w:t xml:space="preserve">+1 903 264 lati </w:t>
            </w:r>
            <w:r w:rsidRPr="00AA2B42">
              <w:rPr>
                <w:color w:val="000000" w:themeColor="text1"/>
              </w:rPr>
              <w:t xml:space="preserve">– ieņēmumu un izdevumu palielinājums </w:t>
            </w:r>
            <w:r w:rsidR="00BC79CB">
              <w:rPr>
                <w:color w:val="000000" w:themeColor="text1"/>
              </w:rPr>
              <w:t xml:space="preserve">SPKC </w:t>
            </w:r>
            <w:r w:rsidRPr="00AA2B42">
              <w:rPr>
                <w:color w:val="000000" w:themeColor="text1"/>
                <w:u w:val="single"/>
              </w:rPr>
              <w:t>jaunā apakšprogrammā 46.03.00</w:t>
            </w:r>
            <w:r w:rsidRPr="00AA2B42">
              <w:rPr>
                <w:color w:val="000000" w:themeColor="text1"/>
              </w:rPr>
              <w:t xml:space="preserve"> „Slimību profilakses nodrošināšana”. Tiek plānots par 428 308 latiem vairāk kā 2012.gadā, pārrēķinot 9 mēnešu finansējumu uz pilnu gadu.</w:t>
            </w:r>
          </w:p>
          <w:p w:rsidR="00AA2B42" w:rsidRPr="00AA2B42" w:rsidRDefault="00AA2B42" w:rsidP="00B639EE">
            <w:pPr>
              <w:pStyle w:val="naisf"/>
              <w:spacing w:before="120" w:after="0"/>
              <w:ind w:firstLine="0"/>
              <w:rPr>
                <w:color w:val="000000" w:themeColor="text1"/>
              </w:rPr>
            </w:pPr>
            <w:r w:rsidRPr="00AA2B42">
              <w:rPr>
                <w:b/>
                <w:color w:val="000000" w:themeColor="text1"/>
              </w:rPr>
              <w:t xml:space="preserve">+79 260 lati - </w:t>
            </w:r>
            <w:r w:rsidRPr="00AA2B42">
              <w:rPr>
                <w:color w:val="000000" w:themeColor="text1"/>
              </w:rPr>
              <w:t xml:space="preserve">ieņēmumu un izdevumu palielinājums </w:t>
            </w:r>
            <w:r w:rsidR="00BC79CB">
              <w:rPr>
                <w:color w:val="000000" w:themeColor="text1"/>
              </w:rPr>
              <w:t xml:space="preserve">SPKC </w:t>
            </w:r>
            <w:r w:rsidRPr="00AA2B42">
              <w:rPr>
                <w:color w:val="000000" w:themeColor="text1"/>
              </w:rPr>
              <w:t xml:space="preserve">apakšprogrammā 46.03.00 „Slimību profilakses nodrošināšana” </w:t>
            </w:r>
            <w:r w:rsidRPr="00AA2B42">
              <w:rPr>
                <w:color w:val="000000" w:themeColor="text1"/>
                <w:u w:val="single"/>
              </w:rPr>
              <w:t>Mātes un bērna veselības uzlabošanas plāna 2012.-2014.gadam</w:t>
            </w:r>
            <w:r w:rsidRPr="00AA2B42">
              <w:rPr>
                <w:color w:val="000000" w:themeColor="text1"/>
              </w:rPr>
              <w:t xml:space="preserve"> ietvaros (I rīcības virziena pasākums 1.1.2. „Ieviest papildus ultrasonogrāfijas </w:t>
            </w:r>
            <w:proofErr w:type="spellStart"/>
            <w:r w:rsidRPr="00AA2B42">
              <w:rPr>
                <w:color w:val="000000" w:themeColor="text1"/>
              </w:rPr>
              <w:t>skrīningu</w:t>
            </w:r>
            <w:proofErr w:type="spellEnd"/>
            <w:r w:rsidRPr="00AA2B42">
              <w:rPr>
                <w:color w:val="000000" w:themeColor="text1"/>
              </w:rPr>
              <w:t>, veicot informatīvi skaidrojošu darbu par metodoloģiju tiem ginekologiem, kas veic šos izmeklējumus, un citiem speciālistiem, kas veic grūtnieču aprūpi”). Izdevumi precēm un pakalpojumiem.</w:t>
            </w:r>
          </w:p>
          <w:p w:rsidR="00AA2B42" w:rsidRPr="00AA2B42" w:rsidRDefault="00AA2B42" w:rsidP="00B639EE">
            <w:pPr>
              <w:pStyle w:val="naisf"/>
              <w:spacing w:before="0" w:after="0"/>
              <w:ind w:firstLine="0"/>
              <w:rPr>
                <w:b/>
                <w:color w:val="000000" w:themeColor="text1"/>
              </w:rPr>
            </w:pPr>
            <w:r w:rsidRPr="00AA2B42">
              <w:rPr>
                <w:color w:val="000000" w:themeColor="text1"/>
              </w:rPr>
              <w:t>2013.-2014.gadam finansējums piešķirts precizētajā budžeta bāzē (apstiprināta Ministru kabinetā 10.07.2012, protokols Nr.39, 51.§ 33.punkts). 2015.gadam finansējums iekļauts Ministru kabinetā akceptētajos prioritārajos pasākumos un jaunajās politikas iniciatīvās 2013.-2015.gadam (16.08.2012  protokols Nr.46, 11§).</w:t>
            </w:r>
          </w:p>
          <w:p w:rsidR="00AA2B42" w:rsidRPr="00AA2B42" w:rsidRDefault="00AA2B42" w:rsidP="00B639EE">
            <w:pPr>
              <w:pStyle w:val="naisf"/>
              <w:spacing w:before="0" w:after="0"/>
              <w:ind w:firstLine="0"/>
              <w:rPr>
                <w:b/>
                <w:color w:val="000000" w:themeColor="text1"/>
              </w:rPr>
            </w:pPr>
          </w:p>
          <w:p w:rsidR="00AA2B42" w:rsidRPr="00AA2B42" w:rsidRDefault="00AA2B42" w:rsidP="00B639EE">
            <w:pPr>
              <w:pStyle w:val="naisf"/>
              <w:spacing w:before="0" w:after="0"/>
              <w:ind w:firstLine="0"/>
              <w:rPr>
                <w:color w:val="000000" w:themeColor="text1"/>
              </w:rPr>
            </w:pPr>
            <w:r w:rsidRPr="00AA2B42">
              <w:rPr>
                <w:b/>
                <w:color w:val="000000" w:themeColor="text1"/>
              </w:rPr>
              <w:t xml:space="preserve">Izmaiņas 2013.-2015.gadā </w:t>
            </w:r>
            <w:r w:rsidRPr="00AA2B42">
              <w:rPr>
                <w:b/>
                <w:color w:val="000000" w:themeColor="text1"/>
                <w:u w:val="single"/>
              </w:rPr>
              <w:t>MK noteikumu projekta ietvaros</w:t>
            </w:r>
            <w:r w:rsidRPr="00AA2B42">
              <w:rPr>
                <w:color w:val="000000" w:themeColor="text1"/>
              </w:rPr>
              <w:t>, tai skaitā:</w:t>
            </w:r>
          </w:p>
          <w:p w:rsidR="00AA2B42" w:rsidRPr="00AA2B42" w:rsidRDefault="00AA2B42" w:rsidP="00B639EE">
            <w:pPr>
              <w:pStyle w:val="naisf"/>
              <w:spacing w:before="0" w:after="0"/>
              <w:ind w:firstLine="0"/>
              <w:jc w:val="left"/>
              <w:rPr>
                <w:b/>
                <w:color w:val="000000" w:themeColor="text1"/>
              </w:rPr>
            </w:pPr>
          </w:p>
          <w:p w:rsidR="00AA2B42" w:rsidRPr="00AA2B42" w:rsidRDefault="00AA2B42" w:rsidP="00B639EE">
            <w:pPr>
              <w:pStyle w:val="naisf"/>
              <w:spacing w:before="0" w:after="0"/>
              <w:ind w:firstLine="0"/>
              <w:rPr>
                <w:b/>
                <w:color w:val="000000" w:themeColor="text1"/>
              </w:rPr>
            </w:pPr>
            <w:r w:rsidRPr="00AA2B42">
              <w:rPr>
                <w:b/>
                <w:color w:val="000000" w:themeColor="text1"/>
              </w:rPr>
              <w:t>I.</w:t>
            </w:r>
            <w:r w:rsidRPr="00AA2B42">
              <w:rPr>
                <w:color w:val="000000" w:themeColor="text1"/>
              </w:rPr>
              <w:t xml:space="preserve"> Izmaiņas, kas </w:t>
            </w:r>
            <w:r w:rsidRPr="00AA2B42">
              <w:rPr>
                <w:b/>
                <w:color w:val="000000" w:themeColor="text1"/>
                <w:u w:val="single"/>
              </w:rPr>
              <w:t>iekļautas</w:t>
            </w:r>
            <w:r w:rsidRPr="00AA2B42">
              <w:rPr>
                <w:color w:val="000000" w:themeColor="text1"/>
                <w:u w:val="single"/>
              </w:rPr>
              <w:t xml:space="preserve"> Ministru kabinetā akceptētajā nozarei maksimāli pieļaujamo pamatbudžeta izdevumu kopapjomā</w:t>
            </w:r>
            <w:r w:rsidRPr="00AA2B42">
              <w:rPr>
                <w:b/>
                <w:color w:val="000000" w:themeColor="text1"/>
              </w:rPr>
              <w:t xml:space="preserve"> </w:t>
            </w:r>
            <w:r w:rsidRPr="00AA2B42">
              <w:rPr>
                <w:color w:val="000000" w:themeColor="text1"/>
              </w:rPr>
              <w:t>2013.-2015. gadam</w:t>
            </w:r>
            <w:r w:rsidRPr="00AA2B42">
              <w:rPr>
                <w:b/>
                <w:color w:val="000000" w:themeColor="text1"/>
              </w:rPr>
              <w:t xml:space="preserve"> </w:t>
            </w:r>
            <w:r w:rsidRPr="00AA2B42">
              <w:rPr>
                <w:color w:val="000000" w:themeColor="text1"/>
              </w:rPr>
              <w:t>(21.08.2012 protokols Nr.48, 36.§):</w:t>
            </w:r>
          </w:p>
          <w:p w:rsidR="00AA2B42" w:rsidRPr="00AA2B42" w:rsidRDefault="00AA2B42" w:rsidP="00B639EE">
            <w:pPr>
              <w:pStyle w:val="naisf"/>
              <w:spacing w:before="120" w:after="0"/>
              <w:ind w:firstLine="0"/>
              <w:rPr>
                <w:color w:val="000000" w:themeColor="text1"/>
              </w:rPr>
            </w:pPr>
            <w:r w:rsidRPr="00AA2B42">
              <w:rPr>
                <w:b/>
                <w:color w:val="000000" w:themeColor="text1"/>
              </w:rPr>
              <w:t>-223 498 lati</w:t>
            </w:r>
            <w:r w:rsidRPr="00AA2B42">
              <w:rPr>
                <w:color w:val="000000" w:themeColor="text1"/>
              </w:rPr>
              <w:t xml:space="preserve"> – ieņēmumu un izdevumu samazinājums </w:t>
            </w:r>
            <w:r w:rsidR="00BC79CB">
              <w:rPr>
                <w:color w:val="000000" w:themeColor="text1"/>
              </w:rPr>
              <w:t xml:space="preserve">SPKC </w:t>
            </w:r>
            <w:r w:rsidRPr="00AA2B42">
              <w:rPr>
                <w:color w:val="000000" w:themeColor="text1"/>
              </w:rPr>
              <w:t xml:space="preserve">apakšprogrammā 46.03.00, pārceļot uz apakšprogrammu 33.04.00 „Centralizēta medikamentu un materiālu iegāde”, ņemot vērā, ka ar 2013.gada 1.janvāri </w:t>
            </w:r>
            <w:r w:rsidR="00BC79CB">
              <w:rPr>
                <w:color w:val="000000" w:themeColor="text1"/>
              </w:rPr>
              <w:t xml:space="preserve">SPKC </w:t>
            </w:r>
            <w:r w:rsidRPr="00AA2B42">
              <w:rPr>
                <w:color w:val="000000" w:themeColor="text1"/>
              </w:rPr>
              <w:t xml:space="preserve">vairs neveiks </w:t>
            </w:r>
            <w:proofErr w:type="spellStart"/>
            <w:r w:rsidRPr="00AA2B42">
              <w:rPr>
                <w:color w:val="000000" w:themeColor="text1"/>
              </w:rPr>
              <w:t>imūnbioloģisko</w:t>
            </w:r>
            <w:proofErr w:type="spellEnd"/>
            <w:r w:rsidRPr="00AA2B42">
              <w:rPr>
                <w:color w:val="000000" w:themeColor="text1"/>
              </w:rPr>
              <w:t xml:space="preserve"> preparātu iepirkumu, uzskaiti un sadali (saskaņā ar MK noteikumu </w:t>
            </w:r>
            <w:r w:rsidRPr="00AA2B42">
              <w:rPr>
                <w:color w:val="000000" w:themeColor="text1"/>
                <w:u w:val="single"/>
              </w:rPr>
              <w:t>projekta 1.6.apakšpunktu</w:t>
            </w:r>
            <w:r w:rsidRPr="00AA2B42">
              <w:rPr>
                <w:color w:val="000000" w:themeColor="text1"/>
              </w:rPr>
              <w:t>), bet to centralizēti veiks</w:t>
            </w:r>
            <w:r w:rsidR="00BC79CB">
              <w:rPr>
                <w:color w:val="000000" w:themeColor="text1"/>
              </w:rPr>
              <w:t xml:space="preserve"> NVD</w:t>
            </w:r>
            <w:r w:rsidRPr="00AA2B42">
              <w:rPr>
                <w:color w:val="000000" w:themeColor="text1"/>
              </w:rPr>
              <w:t>. Apakšprog</w:t>
            </w:r>
            <w:r w:rsidRPr="00AA2B42">
              <w:rPr>
                <w:color w:val="000000" w:themeColor="text1"/>
              </w:rPr>
              <w:softHyphen/>
              <w:t>rammā 46.03.00 samazinājums izdevumiem precēm un pakalpojumiem, apakšprog</w:t>
            </w:r>
            <w:r w:rsidRPr="00AA2B42">
              <w:rPr>
                <w:color w:val="000000" w:themeColor="text1"/>
              </w:rPr>
              <w:softHyphen/>
              <w:t>rammā 33.04.00 palielinā</w:t>
            </w:r>
            <w:r w:rsidRPr="00AA2B42">
              <w:rPr>
                <w:color w:val="000000" w:themeColor="text1"/>
              </w:rPr>
              <w:softHyphen/>
              <w:t>jums izdevu</w:t>
            </w:r>
            <w:r w:rsidRPr="00AA2B42">
              <w:rPr>
                <w:color w:val="000000" w:themeColor="text1"/>
              </w:rPr>
              <w:softHyphen/>
            </w:r>
            <w:r w:rsidRPr="00AA2B42">
              <w:rPr>
                <w:color w:val="000000" w:themeColor="text1"/>
              </w:rPr>
              <w:lastRenderedPageBreak/>
              <w:t>miem subsīdijām un dotācijām (aprēķins 1.pielikumā).</w:t>
            </w:r>
          </w:p>
          <w:p w:rsidR="00AA2B42" w:rsidRPr="00AA2B42" w:rsidRDefault="00AA2B42" w:rsidP="00B639EE">
            <w:pPr>
              <w:pStyle w:val="naisf"/>
              <w:spacing w:before="0" w:after="0"/>
              <w:ind w:firstLine="0"/>
              <w:rPr>
                <w:color w:val="000000" w:themeColor="text1"/>
              </w:rPr>
            </w:pPr>
          </w:p>
          <w:p w:rsidR="00AA2B42" w:rsidRPr="00AA2B42" w:rsidRDefault="00AA2B42" w:rsidP="00B639EE">
            <w:pPr>
              <w:pStyle w:val="naisf"/>
              <w:spacing w:before="0" w:after="0"/>
              <w:ind w:firstLine="0"/>
              <w:rPr>
                <w:b/>
                <w:color w:val="000000" w:themeColor="text1"/>
              </w:rPr>
            </w:pPr>
            <w:r w:rsidRPr="00AA2B42">
              <w:rPr>
                <w:b/>
                <w:color w:val="000000" w:themeColor="text1"/>
              </w:rPr>
              <w:t>II</w:t>
            </w:r>
            <w:r w:rsidRPr="00AA2B42">
              <w:rPr>
                <w:color w:val="000000" w:themeColor="text1"/>
              </w:rPr>
              <w:t xml:space="preserve">. Izmaiņas MK noteikumu projekta ietvaros, kas </w:t>
            </w:r>
            <w:r w:rsidRPr="00AA2B42">
              <w:rPr>
                <w:b/>
                <w:color w:val="000000" w:themeColor="text1"/>
                <w:u w:val="single"/>
              </w:rPr>
              <w:t>nemaina</w:t>
            </w:r>
            <w:r w:rsidRPr="00AA2B42">
              <w:rPr>
                <w:color w:val="000000" w:themeColor="text1"/>
                <w:u w:val="single"/>
              </w:rPr>
              <w:t xml:space="preserve"> apstiprinātā maksimāli pieļaujamā izdevumu kopapjoma sadalījumu</w:t>
            </w:r>
            <w:r w:rsidRPr="00AA2B42">
              <w:rPr>
                <w:color w:val="000000" w:themeColor="text1"/>
              </w:rPr>
              <w:t>:</w:t>
            </w:r>
          </w:p>
          <w:p w:rsidR="00AA2B42" w:rsidRPr="00AA2B42" w:rsidRDefault="00AA2B42" w:rsidP="00B639EE">
            <w:pPr>
              <w:pStyle w:val="naisf"/>
              <w:spacing w:before="120" w:after="0"/>
              <w:ind w:firstLine="0"/>
              <w:rPr>
                <w:color w:val="000000" w:themeColor="text1"/>
              </w:rPr>
            </w:pPr>
            <w:r w:rsidRPr="00AA2B42">
              <w:rPr>
                <w:b/>
                <w:color w:val="000000" w:themeColor="text1"/>
              </w:rPr>
              <w:t>+62 745 lati</w:t>
            </w:r>
            <w:r w:rsidRPr="00AA2B42">
              <w:rPr>
                <w:color w:val="000000" w:themeColor="text1"/>
              </w:rPr>
              <w:t xml:space="preserve"> – ieņēmumu un izdevumu palielinājums </w:t>
            </w:r>
            <w:r w:rsidR="00BC79CB">
              <w:rPr>
                <w:color w:val="000000" w:themeColor="text1"/>
              </w:rPr>
              <w:t>SPKC</w:t>
            </w:r>
            <w:r w:rsidRPr="00AA2B42">
              <w:rPr>
                <w:color w:val="000000" w:themeColor="text1"/>
              </w:rPr>
              <w:t xml:space="preserve"> apakšprogrammā 46.03.00, pārceļot no apakšprog</w:t>
            </w:r>
            <w:r w:rsidRPr="00AA2B42">
              <w:rPr>
                <w:color w:val="000000" w:themeColor="text1"/>
              </w:rPr>
              <w:softHyphen/>
              <w:t xml:space="preserve">rammas 01.05.00 „Veselības veicināšana”, saskaņā ar MK noteikumu </w:t>
            </w:r>
            <w:r w:rsidRPr="00AA2B42">
              <w:rPr>
                <w:color w:val="000000" w:themeColor="text1"/>
                <w:u w:val="single"/>
              </w:rPr>
              <w:t>projekta 1.2., 1.3. un 1.4. apakšpunktiem</w:t>
            </w:r>
            <w:r w:rsidRPr="00AA2B42">
              <w:rPr>
                <w:color w:val="000000" w:themeColor="text1"/>
              </w:rPr>
              <w:t xml:space="preserve">, kas nosaka veselības veicināšanas uzdevumu pārdali no ministrijas uz </w:t>
            </w:r>
            <w:r w:rsidR="00BC79CB">
              <w:rPr>
                <w:color w:val="000000" w:themeColor="text1"/>
              </w:rPr>
              <w:t xml:space="preserve">SPKC </w:t>
            </w:r>
            <w:r w:rsidRPr="00AA2B42">
              <w:rPr>
                <w:color w:val="000000" w:themeColor="text1"/>
              </w:rPr>
              <w:t>(apakšprogramma 01.05.00 tiek likvidēta). Samazinājums apakšprogrammā 01.05.00 un palielinājums apakšprogrammā 46.03.00 izdevumiem precēm un pakalpo</w:t>
            </w:r>
            <w:r w:rsidRPr="00AA2B42">
              <w:rPr>
                <w:color w:val="000000" w:themeColor="text1"/>
              </w:rPr>
              <w:softHyphen/>
              <w:t>jumiem.</w:t>
            </w:r>
          </w:p>
          <w:p w:rsidR="00AA2B42" w:rsidRPr="00AA2B42" w:rsidRDefault="00AA2B42" w:rsidP="00B639EE">
            <w:pPr>
              <w:pStyle w:val="naisf"/>
              <w:spacing w:before="0" w:after="0"/>
              <w:ind w:firstLine="0"/>
              <w:jc w:val="left"/>
              <w:rPr>
                <w:color w:val="000000" w:themeColor="text1"/>
              </w:rPr>
            </w:pPr>
          </w:p>
          <w:p w:rsidR="00AA2B42" w:rsidRPr="00AA2B42" w:rsidRDefault="00AA2B42" w:rsidP="00B639EE">
            <w:pPr>
              <w:pStyle w:val="naisf"/>
              <w:spacing w:before="0" w:after="0"/>
              <w:ind w:left="62" w:firstLine="0"/>
              <w:rPr>
                <w:color w:val="000000" w:themeColor="text1"/>
                <w:u w:val="single"/>
              </w:rPr>
            </w:pPr>
            <w:r w:rsidRPr="00AA2B42">
              <w:rPr>
                <w:b/>
                <w:color w:val="000000" w:themeColor="text1"/>
              </w:rPr>
              <w:t>III.</w:t>
            </w:r>
            <w:r w:rsidRPr="00AA2B42">
              <w:rPr>
                <w:color w:val="000000" w:themeColor="text1"/>
              </w:rPr>
              <w:t xml:space="preserve"> Izmaiņas MK noteikumu projekta ietvaros, kas </w:t>
            </w:r>
            <w:r w:rsidRPr="00AA2B42">
              <w:rPr>
                <w:b/>
                <w:color w:val="000000" w:themeColor="text1"/>
                <w:u w:val="single"/>
              </w:rPr>
              <w:t>maina</w:t>
            </w:r>
            <w:r w:rsidRPr="00AA2B42">
              <w:rPr>
                <w:color w:val="000000" w:themeColor="text1"/>
                <w:u w:val="single"/>
              </w:rPr>
              <w:t xml:space="preserve"> apstiprinātā maksimāli pieļaujamā izdevumu kopapjoma sadalījumu izdevumos, bet ir </w:t>
            </w:r>
            <w:r w:rsidRPr="00AA2B42">
              <w:rPr>
                <w:b/>
                <w:color w:val="000000" w:themeColor="text1"/>
                <w:u w:val="single"/>
              </w:rPr>
              <w:t>saskaņotas un</w:t>
            </w:r>
            <w:r w:rsidRPr="00AA2B42">
              <w:rPr>
                <w:color w:val="000000" w:themeColor="text1"/>
                <w:u w:val="single"/>
              </w:rPr>
              <w:t xml:space="preserve"> </w:t>
            </w:r>
            <w:r w:rsidRPr="00AA2B42">
              <w:rPr>
                <w:b/>
                <w:color w:val="000000" w:themeColor="text1"/>
                <w:u w:val="single"/>
              </w:rPr>
              <w:t xml:space="preserve">iekļautas </w:t>
            </w:r>
            <w:r w:rsidRPr="00AA2B42">
              <w:rPr>
                <w:color w:val="000000" w:themeColor="text1"/>
                <w:u w:val="single"/>
              </w:rPr>
              <w:t>2013.gada budžeta pieprasījumā:</w:t>
            </w:r>
          </w:p>
          <w:p w:rsidR="00AA2B42" w:rsidRPr="00AA2B42" w:rsidRDefault="00AA2B42" w:rsidP="00B639EE">
            <w:pPr>
              <w:pStyle w:val="naisf"/>
              <w:spacing w:before="120" w:after="0"/>
              <w:ind w:left="62" w:firstLine="0"/>
              <w:rPr>
                <w:color w:val="000000" w:themeColor="text1"/>
              </w:rPr>
            </w:pPr>
            <w:r w:rsidRPr="00AA2B42">
              <w:rPr>
                <w:color w:val="000000" w:themeColor="text1"/>
              </w:rPr>
              <w:t>Budžeta apakšprogrammā 46.03.00 „Slimību profilakses nodrošinā</w:t>
            </w:r>
            <w:r w:rsidRPr="00AA2B42">
              <w:rPr>
                <w:color w:val="000000" w:themeColor="text1"/>
              </w:rPr>
              <w:softHyphen/>
              <w:t>ša</w:t>
            </w:r>
            <w:r w:rsidRPr="00AA2B42">
              <w:rPr>
                <w:color w:val="000000" w:themeColor="text1"/>
              </w:rPr>
              <w:softHyphen/>
              <w:t xml:space="preserve">na” esošā finansējuma ietvaros veikta </w:t>
            </w:r>
            <w:r w:rsidRPr="00AA2B42">
              <w:rPr>
                <w:b/>
                <w:color w:val="000000" w:themeColor="text1"/>
              </w:rPr>
              <w:t>pārdale</w:t>
            </w:r>
            <w:r w:rsidRPr="00AA2B42">
              <w:rPr>
                <w:color w:val="000000" w:themeColor="text1"/>
              </w:rPr>
              <w:t xml:space="preserve"> </w:t>
            </w:r>
            <w:r w:rsidRPr="00AA2B42">
              <w:rPr>
                <w:b/>
                <w:color w:val="000000" w:themeColor="text1"/>
              </w:rPr>
              <w:t>starp izdevumu kodiem atbilstoši ekonomiskajām kategorijām</w:t>
            </w:r>
            <w:r w:rsidRPr="00AA2B42">
              <w:rPr>
                <w:color w:val="000000" w:themeColor="text1"/>
              </w:rPr>
              <w:t xml:space="preserve">, lai ar 2013.gada 1.janvāri nodrošinātu atlīdzību 3 jaunām amata vietām veselības veicināšanas </w:t>
            </w:r>
            <w:r w:rsidR="00BC79CB">
              <w:rPr>
                <w:color w:val="000000" w:themeColor="text1"/>
              </w:rPr>
              <w:t xml:space="preserve">uzdevumu </w:t>
            </w:r>
            <w:r w:rsidRPr="00AA2B42">
              <w:rPr>
                <w:color w:val="000000" w:themeColor="text1"/>
              </w:rPr>
              <w:t xml:space="preserve">izpildei (ņemot vērā, ka amata vietas nav pārceļamas no </w:t>
            </w:r>
            <w:r w:rsidR="00C64F26">
              <w:rPr>
                <w:color w:val="000000" w:themeColor="text1"/>
              </w:rPr>
              <w:t>Ministrija</w:t>
            </w:r>
            <w:r w:rsidRPr="00AA2B42">
              <w:rPr>
                <w:color w:val="000000" w:themeColor="text1"/>
              </w:rPr>
              <w:t xml:space="preserve">s, jo ministrijā nav atsevišķu amata vienību, kas nodarbotos tikai ar šiem uzdevumiem), tai skaitā: Veselības veicināšanas nodaļas vadītājs (36 amata saime, IV līmenis, 12 mēnešalgu grupa, mēnešalga 1157 Ls), vecākais referents (36 amata saime, II līmenis, 9 mēnešalgu grupa, mēnešalga 698 Ls), vecākais veselības veicināšanas koordinētājs (35 amata saime, II līmenis, 9 mēnešalgu grupa, mēnešalga 698 Ls). </w:t>
            </w:r>
          </w:p>
          <w:p w:rsidR="00AA2B42" w:rsidRPr="00AA2B42" w:rsidRDefault="00AA2B42" w:rsidP="00B639EE">
            <w:pPr>
              <w:pStyle w:val="naisf"/>
              <w:spacing w:before="120" w:after="0"/>
              <w:ind w:left="62" w:firstLine="0"/>
              <w:rPr>
                <w:color w:val="000000" w:themeColor="text1"/>
              </w:rPr>
            </w:pPr>
            <w:r w:rsidRPr="00AA2B42">
              <w:rPr>
                <w:color w:val="000000" w:themeColor="text1"/>
              </w:rPr>
              <w:t xml:space="preserve">Līdz ar to </w:t>
            </w:r>
            <w:r w:rsidR="00BC79CB">
              <w:rPr>
                <w:color w:val="000000" w:themeColor="text1"/>
              </w:rPr>
              <w:t xml:space="preserve">SPKC </w:t>
            </w:r>
            <w:r w:rsidRPr="00AA2B42">
              <w:rPr>
                <w:color w:val="000000" w:themeColor="text1"/>
              </w:rPr>
              <w:t>kopējais amata vietu skaits 2013.gadā būs: 149 + 3 = 152, no kurām 149 amata vietas plānotas iestādes pamatfunkciju veikšanai, 3 amata vietas - darbam ar ārvalstu līdzfinansētajiem projektiem.</w:t>
            </w:r>
          </w:p>
          <w:p w:rsidR="00AA2B42" w:rsidRPr="00AA2B42" w:rsidRDefault="00AA2B42" w:rsidP="00B639EE">
            <w:pPr>
              <w:pStyle w:val="naisf"/>
              <w:spacing w:before="0" w:after="0"/>
              <w:ind w:left="62" w:firstLine="0"/>
              <w:rPr>
                <w:color w:val="000000" w:themeColor="text1"/>
              </w:rPr>
            </w:pPr>
            <w:r w:rsidRPr="00AA2B42">
              <w:rPr>
                <w:color w:val="000000" w:themeColor="text1"/>
              </w:rPr>
              <w:t>Amata vietu limits (bez finansējuma) tiks nodrošināts no Valsts asinsdonoru centra vakancēm, tādējādi nemainot nozares kopējo maksimālo amata vietu skaitu.</w:t>
            </w:r>
          </w:p>
          <w:p w:rsidR="00AA2B42" w:rsidRPr="00AA2B42" w:rsidRDefault="00AA2B42" w:rsidP="00B639EE">
            <w:pPr>
              <w:pStyle w:val="naisf"/>
              <w:spacing w:before="60" w:after="0"/>
              <w:ind w:left="346" w:firstLine="0"/>
              <w:rPr>
                <w:b/>
                <w:color w:val="000000" w:themeColor="text1"/>
              </w:rPr>
            </w:pPr>
            <w:r w:rsidRPr="00AA2B42">
              <w:rPr>
                <w:b/>
                <w:color w:val="000000" w:themeColor="text1"/>
              </w:rPr>
              <w:t xml:space="preserve">Aprēķins </w:t>
            </w:r>
            <w:r w:rsidRPr="00AA2B42">
              <w:rPr>
                <w:color w:val="000000" w:themeColor="text1"/>
              </w:rPr>
              <w:t>izdevumiem atlīdzībai gadam 3 jaunām amata vietām veselības veicināšanas funkciju izpildei:</w:t>
            </w:r>
          </w:p>
          <w:p w:rsidR="00AA2B42" w:rsidRPr="00AA2B42" w:rsidRDefault="00AA2B42" w:rsidP="00B639EE">
            <w:pPr>
              <w:pStyle w:val="naisf"/>
              <w:spacing w:before="60" w:after="0"/>
              <w:ind w:left="346" w:firstLine="0"/>
              <w:rPr>
                <w:color w:val="000000" w:themeColor="text1"/>
              </w:rPr>
            </w:pPr>
            <w:r w:rsidRPr="00AA2B42">
              <w:rPr>
                <w:color w:val="000000" w:themeColor="text1"/>
              </w:rPr>
              <w:t xml:space="preserve">(1157Ls × 12mēn. + 698Ls × 12mēn. + 698Ls × 12mēn.) = </w:t>
            </w:r>
          </w:p>
          <w:p w:rsidR="00AA2B42" w:rsidRPr="00AA2B42" w:rsidRDefault="00AA2B42" w:rsidP="00B639EE">
            <w:pPr>
              <w:pStyle w:val="naisf"/>
              <w:spacing w:before="60" w:after="0"/>
              <w:ind w:left="346" w:firstLine="0"/>
              <w:rPr>
                <w:color w:val="000000" w:themeColor="text1"/>
              </w:rPr>
            </w:pPr>
            <w:r w:rsidRPr="00AA2B42">
              <w:rPr>
                <w:color w:val="000000" w:themeColor="text1"/>
              </w:rPr>
              <w:t>= (13 884 + 8376 + 8376) Ls = 30 636 Ls (atalgojumam) +</w:t>
            </w:r>
          </w:p>
          <w:p w:rsidR="00AA2B42" w:rsidRPr="00AA2B42" w:rsidRDefault="00AA2B42" w:rsidP="00B639EE">
            <w:pPr>
              <w:pStyle w:val="naisf"/>
              <w:spacing w:before="60" w:after="0"/>
              <w:ind w:left="346" w:firstLine="0"/>
              <w:rPr>
                <w:color w:val="000000" w:themeColor="text1"/>
              </w:rPr>
            </w:pPr>
            <w:r w:rsidRPr="00AA2B42">
              <w:rPr>
                <w:color w:val="000000" w:themeColor="text1"/>
              </w:rPr>
              <w:t xml:space="preserve">+ 7380 Ls (VSAOI 24,09%) = </w:t>
            </w:r>
            <w:r w:rsidRPr="00AA2B42">
              <w:rPr>
                <w:b/>
                <w:color w:val="000000" w:themeColor="text1"/>
              </w:rPr>
              <w:t>38 016 Ls</w:t>
            </w:r>
            <w:r w:rsidRPr="00AA2B42">
              <w:rPr>
                <w:color w:val="000000" w:themeColor="text1"/>
              </w:rPr>
              <w:t xml:space="preserve">. </w:t>
            </w:r>
          </w:p>
          <w:p w:rsidR="00AA2B42" w:rsidRPr="00AA2B42" w:rsidRDefault="00AA2B42" w:rsidP="00B639EE">
            <w:pPr>
              <w:pStyle w:val="naisf"/>
              <w:spacing w:before="60" w:after="0"/>
              <w:ind w:left="346" w:firstLine="0"/>
              <w:rPr>
                <w:color w:val="000000" w:themeColor="text1"/>
              </w:rPr>
            </w:pPr>
            <w:r w:rsidRPr="00AA2B42">
              <w:rPr>
                <w:color w:val="000000" w:themeColor="text1"/>
              </w:rPr>
              <w:t>Līdz ar to apakšprogrammā 46.03.00 palielinājums par 38 016 latiem izdevumiem atlīdzībai, tai skaitā par 30 636 latiem atalgojumam  un atbilstošs samazinājums par 38 016 latiem precēm un pakalpojumiem.</w:t>
            </w:r>
          </w:p>
          <w:p w:rsidR="00AA2B42" w:rsidRPr="00AA2B42" w:rsidRDefault="00AA2B42" w:rsidP="00B639EE">
            <w:pPr>
              <w:pStyle w:val="naisf"/>
              <w:spacing w:before="60" w:after="0"/>
              <w:ind w:left="346" w:firstLine="0"/>
              <w:rPr>
                <w:color w:val="000000" w:themeColor="text1"/>
              </w:rPr>
            </w:pPr>
            <w:r w:rsidRPr="00AA2B42">
              <w:rPr>
                <w:color w:val="000000" w:themeColor="text1"/>
              </w:rPr>
              <w:t xml:space="preserve">Atlīdzības palielinājums apakšprogrammā 46.03.00 tiek kompensēts ar atlīdzības samazinājumu apakšprogrammā </w:t>
            </w:r>
            <w:r w:rsidRPr="00AA2B42">
              <w:rPr>
                <w:color w:val="000000" w:themeColor="text1"/>
              </w:rPr>
              <w:lastRenderedPageBreak/>
              <w:t xml:space="preserve">39.03.00 „Asins un asins komponentu nodrošināšana”, kā rezultātā nozarei kopā izdevumi atlīdzībai nevis palielinās, bet samazinās, tādējādi nepārkāpjot Ministru kabineta 21.08.2012 protokola Nr.48, 36.§ 13.punktā noteikto. </w:t>
            </w:r>
            <w:r w:rsidRPr="00AA2B42">
              <w:rPr>
                <w:color w:val="000000" w:themeColor="text1"/>
                <w:u w:val="single"/>
              </w:rPr>
              <w:t>Pārdale ir saskaņota ar Finanšu ministriju 31.08.2012 un iekļauta ministrijas iesniegtajā 2013.gada budžeta projektā</w:t>
            </w:r>
            <w:r w:rsidRPr="00AA2B42">
              <w:rPr>
                <w:color w:val="000000" w:themeColor="text1"/>
              </w:rPr>
              <w:t xml:space="preserve"> (tai skaitā ievadīta Vienotajā budžeta plānošanas un izpildes informācijas sistēmā SAP).</w:t>
            </w:r>
          </w:p>
          <w:p w:rsidR="00AA2B42" w:rsidRPr="00AA2B42" w:rsidRDefault="00AA2B42" w:rsidP="00B639EE">
            <w:pPr>
              <w:pStyle w:val="naisf"/>
              <w:spacing w:before="0" w:after="0"/>
              <w:ind w:firstLine="0"/>
              <w:rPr>
                <w:color w:val="000000" w:themeColor="text1"/>
              </w:rPr>
            </w:pPr>
          </w:p>
          <w:p w:rsidR="00AA2B42" w:rsidRPr="00AA2B42" w:rsidRDefault="00AA2B42" w:rsidP="00B639EE">
            <w:pPr>
              <w:pStyle w:val="naisf"/>
              <w:spacing w:before="0" w:after="0"/>
              <w:ind w:left="62" w:firstLine="0"/>
              <w:rPr>
                <w:color w:val="000000" w:themeColor="text1"/>
                <w:u w:val="single"/>
              </w:rPr>
            </w:pPr>
            <w:r w:rsidRPr="00AA2B42">
              <w:rPr>
                <w:b/>
                <w:color w:val="000000" w:themeColor="text1"/>
              </w:rPr>
              <w:t>III.</w:t>
            </w:r>
            <w:r w:rsidRPr="00AA2B42">
              <w:rPr>
                <w:color w:val="000000" w:themeColor="text1"/>
              </w:rPr>
              <w:t xml:space="preserve"> Izmaiņas MK noteikumu projekta ietvaros, kas </w:t>
            </w:r>
            <w:r w:rsidRPr="00AA2B42">
              <w:rPr>
                <w:b/>
                <w:color w:val="000000" w:themeColor="text1"/>
                <w:u w:val="single"/>
              </w:rPr>
              <w:t>maina</w:t>
            </w:r>
            <w:r w:rsidRPr="00AA2B42">
              <w:rPr>
                <w:color w:val="000000" w:themeColor="text1"/>
                <w:u w:val="single"/>
              </w:rPr>
              <w:t xml:space="preserve"> apstiprinātā maksimāli pieļaujamā izdevumu kopapjoma sadalījumu izdevumos, bet vēl </w:t>
            </w:r>
            <w:r w:rsidRPr="00AA2B42">
              <w:rPr>
                <w:b/>
                <w:color w:val="000000" w:themeColor="text1"/>
                <w:u w:val="single"/>
              </w:rPr>
              <w:t xml:space="preserve">nav iekļautas </w:t>
            </w:r>
            <w:r w:rsidRPr="00AA2B42">
              <w:rPr>
                <w:color w:val="000000" w:themeColor="text1"/>
                <w:u w:val="single"/>
              </w:rPr>
              <w:t>2013.gada budžeta projektā:</w:t>
            </w:r>
          </w:p>
          <w:p w:rsidR="00AA2B42" w:rsidRPr="00AA2B42" w:rsidRDefault="00AA2B42" w:rsidP="00B639EE">
            <w:pPr>
              <w:pStyle w:val="naisf"/>
              <w:spacing w:before="0" w:after="0"/>
              <w:ind w:left="65" w:firstLine="0"/>
              <w:rPr>
                <w:b/>
                <w:color w:val="000000" w:themeColor="text1"/>
              </w:rPr>
            </w:pPr>
          </w:p>
          <w:p w:rsidR="00AA2B42" w:rsidRPr="00AA2B42" w:rsidRDefault="00AA2B42" w:rsidP="00B639EE">
            <w:pPr>
              <w:pStyle w:val="naisf"/>
              <w:spacing w:before="0" w:after="0"/>
              <w:ind w:left="65" w:firstLine="0"/>
              <w:rPr>
                <w:color w:val="000000" w:themeColor="text1"/>
              </w:rPr>
            </w:pPr>
            <w:r w:rsidRPr="00AA2B42">
              <w:rPr>
                <w:b/>
                <w:color w:val="000000" w:themeColor="text1"/>
              </w:rPr>
              <w:t>1) +40 000 lati</w:t>
            </w:r>
            <w:r w:rsidRPr="00AA2B42">
              <w:rPr>
                <w:color w:val="000000" w:themeColor="text1"/>
              </w:rPr>
              <w:t xml:space="preserve"> – ieņēmumu un izdevumu palielinājums </w:t>
            </w:r>
            <w:r w:rsidR="00BC79CB">
              <w:rPr>
                <w:color w:val="000000" w:themeColor="text1"/>
              </w:rPr>
              <w:t>SPKC</w:t>
            </w:r>
            <w:r w:rsidRPr="00AA2B42">
              <w:rPr>
                <w:color w:val="000000" w:themeColor="text1"/>
              </w:rPr>
              <w:t xml:space="preserve"> apakšprogrammā 46.03.00, pārceļot no apakšprog</w:t>
            </w:r>
            <w:r w:rsidRPr="00AA2B42">
              <w:rPr>
                <w:color w:val="000000" w:themeColor="text1"/>
              </w:rPr>
              <w:softHyphen/>
              <w:t xml:space="preserve">rammas 33.01.00 „Ārstniecība”, lai nodrošinātu HIV profilakses punktiem nepieciešamo zāļu iepirkšanu (ne tikai pasūtīšanu), saskaņā ar MK noteikumu </w:t>
            </w:r>
            <w:r w:rsidRPr="00AA2B42">
              <w:rPr>
                <w:color w:val="000000" w:themeColor="text1"/>
                <w:u w:val="single"/>
              </w:rPr>
              <w:t>projekta 1.7.apakšpunktu</w:t>
            </w:r>
            <w:r w:rsidRPr="00AA2B42">
              <w:rPr>
                <w:color w:val="000000" w:themeColor="text1"/>
              </w:rPr>
              <w:t>. Apakšprogrammā 33.01.00 samazinājums izdevumos subsīdijām un dotācijām un apakšprogrammā 46.03.00  palielinā</w:t>
            </w:r>
            <w:r w:rsidRPr="00AA2B42">
              <w:rPr>
                <w:color w:val="000000" w:themeColor="text1"/>
              </w:rPr>
              <w:softHyphen/>
              <w:t>jums izdevumos precēm un pakalpojumiem (aprēķins 2.pielikumā).</w:t>
            </w:r>
          </w:p>
          <w:p w:rsidR="00AA2B42" w:rsidRPr="00AA2B42" w:rsidRDefault="00AA2B42" w:rsidP="00B639EE">
            <w:pPr>
              <w:pStyle w:val="naisf"/>
              <w:spacing w:before="0" w:after="0"/>
              <w:ind w:left="65" w:firstLine="0"/>
              <w:rPr>
                <w:color w:val="000000" w:themeColor="text1"/>
              </w:rPr>
            </w:pPr>
            <w:r w:rsidRPr="00AA2B42">
              <w:rPr>
                <w:color w:val="000000" w:themeColor="text1"/>
              </w:rPr>
              <w:t xml:space="preserve">Šī pārdale nav iekļauta ministrijas iesniegtajā 2013.gada budžeta projektā, tā </w:t>
            </w:r>
            <w:r w:rsidRPr="00AA2B42">
              <w:rPr>
                <w:color w:val="000000" w:themeColor="text1"/>
                <w:u w:val="single"/>
              </w:rPr>
              <w:t>tiks iesniegta priekšlikumos uz 2013.gada budžeta projekta otro lasījumu</w:t>
            </w:r>
            <w:r w:rsidRPr="00AA2B42">
              <w:rPr>
                <w:color w:val="000000" w:themeColor="text1"/>
              </w:rPr>
              <w:t xml:space="preserve"> Saeimā.</w:t>
            </w:r>
          </w:p>
          <w:p w:rsidR="00AA2B42" w:rsidRPr="00AA2B42" w:rsidRDefault="00AA2B42" w:rsidP="00B639EE">
            <w:pPr>
              <w:pStyle w:val="naisf"/>
              <w:spacing w:before="0" w:after="0"/>
              <w:ind w:firstLine="0"/>
              <w:rPr>
                <w:color w:val="000000" w:themeColor="text1"/>
              </w:rPr>
            </w:pPr>
          </w:p>
          <w:p w:rsidR="00AA2B42" w:rsidRPr="00AA2B42" w:rsidRDefault="00AA2B42" w:rsidP="00B639EE">
            <w:pPr>
              <w:pStyle w:val="naisf"/>
              <w:spacing w:before="0" w:after="0"/>
              <w:ind w:left="65" w:firstLine="0"/>
              <w:rPr>
                <w:color w:val="000000" w:themeColor="text1"/>
              </w:rPr>
            </w:pPr>
            <w:r w:rsidRPr="00AA2B42">
              <w:rPr>
                <w:b/>
                <w:color w:val="000000" w:themeColor="text1"/>
              </w:rPr>
              <w:t>2) +66 352 lati</w:t>
            </w:r>
            <w:r w:rsidRPr="00AA2B42">
              <w:rPr>
                <w:color w:val="000000" w:themeColor="text1"/>
              </w:rPr>
              <w:t xml:space="preserve"> – ieņēmumu un izdevumu palielinājums </w:t>
            </w:r>
            <w:r w:rsidR="00BC79CB">
              <w:rPr>
                <w:color w:val="000000" w:themeColor="text1"/>
              </w:rPr>
              <w:t>SPKC</w:t>
            </w:r>
            <w:r w:rsidRPr="00AA2B42">
              <w:rPr>
                <w:color w:val="000000" w:themeColor="text1"/>
              </w:rPr>
              <w:t xml:space="preserve"> apakšprogrammā 46.03.00, pārceļot no apakšprog</w:t>
            </w:r>
            <w:r w:rsidRPr="00AA2B42">
              <w:rPr>
                <w:color w:val="000000" w:themeColor="text1"/>
              </w:rPr>
              <w:softHyphen/>
              <w:t>rammas 33.01.00 „Ārstniecība”, lai nodrošinātu SPKC iespēju slēgt līgumus:</w:t>
            </w:r>
          </w:p>
          <w:p w:rsidR="00AA2B42" w:rsidRPr="00AA2B42" w:rsidRDefault="00AA2B42" w:rsidP="00B639EE">
            <w:pPr>
              <w:pStyle w:val="naisf"/>
              <w:spacing w:before="0" w:after="0"/>
              <w:ind w:left="65" w:firstLine="0"/>
              <w:rPr>
                <w:color w:val="000000" w:themeColor="text1"/>
              </w:rPr>
            </w:pPr>
            <w:r w:rsidRPr="00AA2B42">
              <w:rPr>
                <w:b/>
                <w:color w:val="000000" w:themeColor="text1"/>
              </w:rPr>
              <w:t>-</w:t>
            </w:r>
            <w:r w:rsidRPr="00AA2B42">
              <w:rPr>
                <w:color w:val="000000" w:themeColor="text1"/>
              </w:rPr>
              <w:t xml:space="preserve"> par laborato</w:t>
            </w:r>
            <w:r w:rsidRPr="00AA2B42">
              <w:rPr>
                <w:color w:val="000000" w:themeColor="text1"/>
              </w:rPr>
              <w:softHyphen/>
              <w:t>ris</w:t>
            </w:r>
            <w:r w:rsidRPr="00AA2B42">
              <w:rPr>
                <w:color w:val="000000" w:themeColor="text1"/>
              </w:rPr>
              <w:softHyphen/>
              <w:t>kiem izmeklējumiem t.sk. infekcijas slimību perēkļos un retu infekcijas slimību perēkļos (38 000 lati);</w:t>
            </w:r>
          </w:p>
          <w:p w:rsidR="00AA2B42" w:rsidRPr="00AA2B42" w:rsidRDefault="00AA2B42" w:rsidP="00B639EE">
            <w:pPr>
              <w:pStyle w:val="naisf"/>
              <w:spacing w:before="0" w:after="0"/>
              <w:ind w:left="65" w:firstLine="0"/>
              <w:rPr>
                <w:color w:val="000000" w:themeColor="text1"/>
              </w:rPr>
            </w:pPr>
            <w:r w:rsidRPr="00AA2B42">
              <w:rPr>
                <w:color w:val="000000" w:themeColor="text1"/>
              </w:rPr>
              <w:t xml:space="preserve">- par kontaktpersonu laboratoriskiem (bakterioloģiskiem) izmeklējumiem infekcijas slimību perēkļos (28 352 lati). </w:t>
            </w:r>
          </w:p>
          <w:p w:rsidR="00AA2B42" w:rsidRPr="00AA2B42" w:rsidRDefault="00AA2B42" w:rsidP="00B639EE">
            <w:pPr>
              <w:autoSpaceDE w:val="0"/>
              <w:autoSpaceDN w:val="0"/>
              <w:adjustRightInd w:val="0"/>
              <w:jc w:val="both"/>
              <w:rPr>
                <w:color w:val="000000" w:themeColor="text1"/>
              </w:rPr>
            </w:pPr>
            <w:r w:rsidRPr="00AA2B42">
              <w:rPr>
                <w:color w:val="000000" w:themeColor="text1"/>
              </w:rPr>
              <w:t xml:space="preserve">Reorganizācijas procesā finansējums laboratoriskajiem izmeklējumiem netika atsevišķi uzskaitīts un finansējums ārstniecības nodrošināšanai tika pārdalīts uz </w:t>
            </w:r>
            <w:r w:rsidR="00BC79CB">
              <w:rPr>
                <w:color w:val="000000" w:themeColor="text1"/>
              </w:rPr>
              <w:t xml:space="preserve">NVD </w:t>
            </w:r>
            <w:r w:rsidRPr="00AA2B42">
              <w:rPr>
                <w:color w:val="000000" w:themeColor="text1"/>
              </w:rPr>
              <w:t xml:space="preserve">administrēto apakšprogrammu 33.01.00, lai </w:t>
            </w:r>
            <w:r w:rsidR="00BC79CB">
              <w:rPr>
                <w:color w:val="000000" w:themeColor="text1"/>
              </w:rPr>
              <w:t xml:space="preserve">NVD </w:t>
            </w:r>
            <w:r w:rsidRPr="00AA2B42">
              <w:rPr>
                <w:color w:val="000000" w:themeColor="text1"/>
              </w:rPr>
              <w:t xml:space="preserve">no 01.04.2012 varētu slēgt līgumus ar </w:t>
            </w:r>
            <w:r w:rsidR="00BC79CB">
              <w:rPr>
                <w:color w:val="000000" w:themeColor="text1"/>
              </w:rPr>
              <w:t xml:space="preserve">RAKUS </w:t>
            </w:r>
            <w:r w:rsidRPr="00AA2B42">
              <w:rPr>
                <w:color w:val="000000" w:themeColor="text1"/>
              </w:rPr>
              <w:t xml:space="preserve">par veselības aprūpes pakalpojumu nodrošināšanu. Sakarā ar to, ka SPKC ir veicis aprēķinus par nepieciešamo finansējumu laboratoriskajiem izmeklējumiem, lai realizētu uzdevumu - nodrošināt infekcijas slimību gadījumu un uzliesmojumu epidemioloģisko izmeklēšanu un pretepidēmijas pasākumu organizēšanu infekcijas slimību perēkļos, veikt epidemioloģisko datu analīzi, riska novērtēšanu, piedalīties ārkārtas situāciju pārvaldīšanā un epidēmijas (pandēmijas) draudu novēršanā atbilstoši </w:t>
            </w:r>
            <w:r w:rsidR="00BC79CB">
              <w:rPr>
                <w:color w:val="000000" w:themeColor="text1"/>
              </w:rPr>
              <w:t xml:space="preserve">MK noteikumu Nr.241 </w:t>
            </w:r>
            <w:r w:rsidRPr="00AA2B42">
              <w:rPr>
                <w:color w:val="000000" w:themeColor="text1"/>
              </w:rPr>
              <w:t>4.2.apakšpunktam ir nepieciešams veikt līdzekļu pārdali. (aprēķins 3.pielikumā). Apakšprogrammā 33.01.00 samazinājums izdevumiem subsīdijām un dotācijām un apakšprogrammā 46.03.00 palielinā</w:t>
            </w:r>
            <w:r w:rsidRPr="00AA2B42">
              <w:rPr>
                <w:color w:val="000000" w:themeColor="text1"/>
              </w:rPr>
              <w:softHyphen/>
              <w:t xml:space="preserve">jums izdevumiem precēm un pakalpojumiem. </w:t>
            </w:r>
          </w:p>
          <w:p w:rsidR="00AA2B42" w:rsidRPr="00AA2B42" w:rsidRDefault="00AA2B42" w:rsidP="00B639EE">
            <w:pPr>
              <w:pStyle w:val="naisf"/>
              <w:spacing w:before="0" w:after="0"/>
              <w:ind w:left="65" w:firstLine="0"/>
              <w:rPr>
                <w:color w:val="000000" w:themeColor="text1"/>
              </w:rPr>
            </w:pPr>
            <w:r w:rsidRPr="00AA2B42">
              <w:rPr>
                <w:color w:val="000000" w:themeColor="text1"/>
              </w:rPr>
              <w:lastRenderedPageBreak/>
              <w:t xml:space="preserve">Šī pārdale nav iekļauta ministrijas iesniegtajā 2013.gada budžeta projektā, tā </w:t>
            </w:r>
            <w:r w:rsidRPr="00AA2B42">
              <w:rPr>
                <w:color w:val="000000" w:themeColor="text1"/>
                <w:u w:val="single"/>
              </w:rPr>
              <w:t>tiks iesniegta priekšlikumos uz 2013.gada budžeta projekta otro lasījumu</w:t>
            </w:r>
            <w:r w:rsidRPr="00AA2B42">
              <w:rPr>
                <w:color w:val="000000" w:themeColor="text1"/>
              </w:rPr>
              <w:t xml:space="preserve"> Saeimā.</w:t>
            </w:r>
          </w:p>
          <w:p w:rsidR="00AA2B42" w:rsidRPr="00AA2B42" w:rsidRDefault="00AA2B42" w:rsidP="00B639EE">
            <w:pPr>
              <w:pStyle w:val="naisf"/>
              <w:spacing w:before="0" w:after="0"/>
              <w:ind w:firstLine="0"/>
              <w:rPr>
                <w:color w:val="000000" w:themeColor="text1"/>
              </w:rPr>
            </w:pPr>
          </w:p>
          <w:p w:rsidR="00AA2B42" w:rsidRPr="00AA2B42" w:rsidRDefault="00AA2B42" w:rsidP="00B639EE">
            <w:pPr>
              <w:pStyle w:val="naisf"/>
              <w:spacing w:before="0" w:after="0"/>
              <w:ind w:firstLine="0"/>
              <w:rPr>
                <w:color w:val="000000" w:themeColor="text1"/>
              </w:rPr>
            </w:pPr>
          </w:p>
          <w:p w:rsidR="00AA2B42" w:rsidRPr="00AA2B42" w:rsidRDefault="00BC79CB" w:rsidP="00B639EE">
            <w:pPr>
              <w:pStyle w:val="naisf"/>
              <w:spacing w:before="0" w:after="0"/>
              <w:ind w:firstLine="0"/>
              <w:rPr>
                <w:color w:val="000000" w:themeColor="text1"/>
              </w:rPr>
            </w:pPr>
            <w:r>
              <w:rPr>
                <w:b/>
                <w:color w:val="000000" w:themeColor="text1"/>
              </w:rPr>
              <w:t xml:space="preserve">SPKC </w:t>
            </w:r>
            <w:r w:rsidR="00AA2B42" w:rsidRPr="00AA2B42">
              <w:rPr>
                <w:b/>
                <w:color w:val="000000" w:themeColor="text1"/>
              </w:rPr>
              <w:t>izdevumi 2013.gadā</w:t>
            </w:r>
            <w:r w:rsidR="00AA2B42" w:rsidRPr="00AA2B42">
              <w:rPr>
                <w:color w:val="000000" w:themeColor="text1"/>
              </w:rPr>
              <w:t xml:space="preserve"> apakšprogrammā 46.03.00 atbilstoši 2013.gada budžeta projektam uz pirmo lasījumu:</w:t>
            </w:r>
          </w:p>
          <w:p w:rsidR="00AA2B42" w:rsidRPr="00AA2B42" w:rsidRDefault="00AA2B42" w:rsidP="00B639EE">
            <w:pPr>
              <w:pStyle w:val="naisf"/>
              <w:spacing w:before="120" w:after="0"/>
              <w:ind w:left="488" w:firstLine="0"/>
              <w:rPr>
                <w:color w:val="000000" w:themeColor="text1"/>
              </w:rPr>
            </w:pPr>
            <w:r w:rsidRPr="00AA2B42">
              <w:rPr>
                <w:b/>
                <w:color w:val="000000" w:themeColor="text1"/>
              </w:rPr>
              <w:t>1 847 555 lati – izdevumi kopā</w:t>
            </w:r>
            <w:r w:rsidRPr="00AA2B42">
              <w:rPr>
                <w:color w:val="000000" w:themeColor="text1"/>
              </w:rPr>
              <w:t>, tai skaitā:</w:t>
            </w:r>
          </w:p>
          <w:p w:rsidR="00AA2B42" w:rsidRPr="00AA2B42" w:rsidRDefault="00AA2B42" w:rsidP="00B639EE">
            <w:pPr>
              <w:pStyle w:val="naisf"/>
              <w:spacing w:before="0" w:after="0"/>
              <w:ind w:left="488" w:firstLine="0"/>
              <w:rPr>
                <w:color w:val="000000" w:themeColor="text1"/>
              </w:rPr>
            </w:pPr>
            <w:r w:rsidRPr="00AA2B42">
              <w:rPr>
                <w:color w:val="000000" w:themeColor="text1"/>
              </w:rPr>
              <w:t>1 418 689 lati atlīdzībai, tai skaitā</w:t>
            </w:r>
          </w:p>
          <w:p w:rsidR="00AA2B42" w:rsidRPr="00AA2B42" w:rsidRDefault="00AA2B42" w:rsidP="00B639EE">
            <w:pPr>
              <w:pStyle w:val="naisf"/>
              <w:spacing w:before="0" w:after="0"/>
              <w:ind w:left="915" w:firstLine="0"/>
              <w:rPr>
                <w:color w:val="000000" w:themeColor="text1"/>
              </w:rPr>
            </w:pPr>
            <w:r w:rsidRPr="00AA2B42">
              <w:rPr>
                <w:color w:val="000000" w:themeColor="text1"/>
              </w:rPr>
              <w:t>1 129 190 lati atalgojumam,</w:t>
            </w:r>
          </w:p>
          <w:p w:rsidR="00AA2B42" w:rsidRPr="00AA2B42" w:rsidRDefault="00AA2B42" w:rsidP="00B639EE">
            <w:pPr>
              <w:pStyle w:val="naisf"/>
              <w:spacing w:before="0" w:after="0"/>
              <w:ind w:left="488" w:firstLine="0"/>
              <w:rPr>
                <w:color w:val="000000" w:themeColor="text1"/>
              </w:rPr>
            </w:pPr>
            <w:r w:rsidRPr="00AA2B42">
              <w:rPr>
                <w:color w:val="000000" w:themeColor="text1"/>
              </w:rPr>
              <w:t>372 395 lati precēm un pakalpojumiem,</w:t>
            </w:r>
          </w:p>
          <w:p w:rsidR="00AA2B42" w:rsidRPr="00AA2B42" w:rsidRDefault="00AA2B42" w:rsidP="00B639EE">
            <w:pPr>
              <w:pStyle w:val="naisf"/>
              <w:spacing w:before="0" w:after="120"/>
              <w:ind w:left="490" w:firstLine="0"/>
              <w:jc w:val="left"/>
              <w:rPr>
                <w:color w:val="000000" w:themeColor="text1"/>
              </w:rPr>
            </w:pPr>
            <w:r w:rsidRPr="00AA2B42">
              <w:rPr>
                <w:color w:val="000000" w:themeColor="text1"/>
              </w:rPr>
              <w:t>56 471 lats kapitāliem izdevumiem.</w:t>
            </w:r>
          </w:p>
          <w:p w:rsidR="00AA2B42" w:rsidRPr="00AA2B42" w:rsidRDefault="00BC79CB" w:rsidP="00B639EE">
            <w:pPr>
              <w:pStyle w:val="naisf"/>
              <w:spacing w:before="0" w:after="0"/>
              <w:ind w:firstLine="0"/>
              <w:rPr>
                <w:color w:val="000000" w:themeColor="text1"/>
              </w:rPr>
            </w:pPr>
            <w:r>
              <w:rPr>
                <w:b/>
                <w:color w:val="000000" w:themeColor="text1"/>
              </w:rPr>
              <w:t xml:space="preserve">SPKC </w:t>
            </w:r>
            <w:r w:rsidR="00AA2B42" w:rsidRPr="00AA2B42">
              <w:rPr>
                <w:b/>
                <w:color w:val="000000" w:themeColor="text1"/>
              </w:rPr>
              <w:t>izdevumi 2013.gadā</w:t>
            </w:r>
            <w:r w:rsidR="00AA2B42" w:rsidRPr="00AA2B42">
              <w:rPr>
                <w:color w:val="000000" w:themeColor="text1"/>
              </w:rPr>
              <w:t xml:space="preserve"> apakšprogrammā 46.03.00 kopā ar ministrijas plānotajiem priekšlikumiem uz 2013.gada budžeta projekta otro lasījumu Saeimā:</w:t>
            </w:r>
          </w:p>
          <w:p w:rsidR="00AA2B42" w:rsidRPr="00AA2B42" w:rsidRDefault="00AA2B42" w:rsidP="00B639EE">
            <w:pPr>
              <w:pStyle w:val="naisf"/>
              <w:spacing w:before="120" w:after="0"/>
              <w:ind w:left="488" w:firstLine="0"/>
              <w:rPr>
                <w:color w:val="000000" w:themeColor="text1"/>
              </w:rPr>
            </w:pPr>
            <w:r w:rsidRPr="00AA2B42">
              <w:rPr>
                <w:b/>
                <w:color w:val="000000" w:themeColor="text1"/>
              </w:rPr>
              <w:t>1 953 907 lati – izdevumi kopā</w:t>
            </w:r>
            <w:r w:rsidRPr="00AA2B42">
              <w:rPr>
                <w:color w:val="000000" w:themeColor="text1"/>
              </w:rPr>
              <w:t>, tai skaitā:</w:t>
            </w:r>
          </w:p>
          <w:p w:rsidR="00AA2B42" w:rsidRPr="00AA2B42" w:rsidRDefault="00AA2B42" w:rsidP="00B639EE">
            <w:pPr>
              <w:pStyle w:val="naisf"/>
              <w:spacing w:before="0" w:after="0"/>
              <w:ind w:left="488" w:firstLine="0"/>
              <w:rPr>
                <w:color w:val="000000" w:themeColor="text1"/>
              </w:rPr>
            </w:pPr>
            <w:r w:rsidRPr="00AA2B42">
              <w:rPr>
                <w:color w:val="000000" w:themeColor="text1"/>
              </w:rPr>
              <w:t>1 418 689 lati atlīdzībai, tai skaitā</w:t>
            </w:r>
          </w:p>
          <w:p w:rsidR="00AA2B42" w:rsidRPr="00AA2B42" w:rsidRDefault="00AA2B42" w:rsidP="00B639EE">
            <w:pPr>
              <w:pStyle w:val="naisf"/>
              <w:spacing w:before="0" w:after="0"/>
              <w:ind w:left="915" w:firstLine="0"/>
              <w:rPr>
                <w:color w:val="000000" w:themeColor="text1"/>
              </w:rPr>
            </w:pPr>
            <w:r w:rsidRPr="00AA2B42">
              <w:rPr>
                <w:color w:val="000000" w:themeColor="text1"/>
              </w:rPr>
              <w:t>1 129 190 lati atalgojumam,</w:t>
            </w:r>
          </w:p>
          <w:p w:rsidR="00AA2B42" w:rsidRPr="00AA2B42" w:rsidRDefault="00AA2B42" w:rsidP="00B639EE">
            <w:pPr>
              <w:pStyle w:val="naisf"/>
              <w:spacing w:before="0" w:after="0"/>
              <w:ind w:left="488" w:firstLine="0"/>
              <w:rPr>
                <w:color w:val="000000" w:themeColor="text1"/>
              </w:rPr>
            </w:pPr>
            <w:r w:rsidRPr="00AA2B42">
              <w:rPr>
                <w:color w:val="000000" w:themeColor="text1"/>
              </w:rPr>
              <w:t>478 747 lati precēm un pakalpojumiem,</w:t>
            </w:r>
          </w:p>
          <w:p w:rsidR="00AA2B42" w:rsidRPr="00AA2B42" w:rsidRDefault="00AA2B42" w:rsidP="00B639EE">
            <w:pPr>
              <w:pStyle w:val="naisf"/>
              <w:spacing w:before="0" w:after="120"/>
              <w:ind w:left="490" w:firstLine="0"/>
              <w:jc w:val="left"/>
              <w:rPr>
                <w:color w:val="000000" w:themeColor="text1"/>
              </w:rPr>
            </w:pPr>
            <w:r w:rsidRPr="00AA2B42">
              <w:rPr>
                <w:color w:val="000000" w:themeColor="text1"/>
              </w:rPr>
              <w:t>56 471 lats kapitāliem izdevumiem.</w:t>
            </w:r>
          </w:p>
          <w:p w:rsidR="00AA2B42" w:rsidRPr="00AA2B42" w:rsidRDefault="00AA2B42" w:rsidP="00BC79CB">
            <w:pPr>
              <w:pStyle w:val="naisf"/>
              <w:spacing w:before="0" w:after="120"/>
              <w:ind w:firstLine="0"/>
              <w:rPr>
                <w:color w:val="000000" w:themeColor="text1"/>
              </w:rPr>
            </w:pPr>
            <w:r w:rsidRPr="00AA2B42">
              <w:rPr>
                <w:color w:val="000000" w:themeColor="text1"/>
              </w:rPr>
              <w:t>Tāds pats finansējuma sadalījums kā 2013.gadā būs nepieciešams arī turpmākajos gados. </w:t>
            </w: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lastRenderedPageBreak/>
              <w:t>6.1. detalizēts ieņēmumu aprēķins</w:t>
            </w:r>
          </w:p>
        </w:tc>
        <w:tc>
          <w:tcPr>
            <w:tcW w:w="6634" w:type="dxa"/>
            <w:gridSpan w:val="5"/>
            <w:vMerge/>
          </w:tcPr>
          <w:p w:rsidR="00AA2B42" w:rsidRPr="00AA2B42" w:rsidRDefault="00AA2B42" w:rsidP="00B639EE">
            <w:pPr>
              <w:pStyle w:val="naisf"/>
              <w:spacing w:before="0" w:after="0"/>
              <w:ind w:firstLine="0"/>
              <w:rPr>
                <w:b/>
                <w:i/>
                <w:color w:val="000000" w:themeColor="text1"/>
              </w:rPr>
            </w:pP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lastRenderedPageBreak/>
              <w:t>6.2. detalizēts izdevumu aprēķins</w:t>
            </w:r>
          </w:p>
        </w:tc>
        <w:tc>
          <w:tcPr>
            <w:tcW w:w="6634" w:type="dxa"/>
            <w:gridSpan w:val="5"/>
            <w:vMerge/>
          </w:tcPr>
          <w:p w:rsidR="00AA2B42" w:rsidRPr="00AA2B42" w:rsidRDefault="00AA2B42" w:rsidP="00B639EE">
            <w:pPr>
              <w:pStyle w:val="naisf"/>
              <w:spacing w:before="0" w:after="0"/>
              <w:ind w:firstLine="0"/>
              <w:rPr>
                <w:b/>
                <w:i/>
                <w:color w:val="000000" w:themeColor="text1"/>
              </w:rPr>
            </w:pPr>
          </w:p>
        </w:tc>
      </w:tr>
      <w:tr w:rsidR="00AA2B42" w:rsidRPr="00AA2B42" w:rsidTr="00B639EE">
        <w:trPr>
          <w:jc w:val="center"/>
        </w:trPr>
        <w:tc>
          <w:tcPr>
            <w:tcW w:w="2605" w:type="dxa"/>
          </w:tcPr>
          <w:p w:rsidR="00AA2B42" w:rsidRPr="00AA2B42" w:rsidRDefault="00AA2B42" w:rsidP="00B639EE">
            <w:pPr>
              <w:rPr>
                <w:color w:val="000000" w:themeColor="text1"/>
              </w:rPr>
            </w:pPr>
            <w:r w:rsidRPr="00AA2B42">
              <w:rPr>
                <w:color w:val="000000" w:themeColor="text1"/>
              </w:rPr>
              <w:lastRenderedPageBreak/>
              <w:t>7. Cita informācija</w:t>
            </w:r>
          </w:p>
        </w:tc>
        <w:tc>
          <w:tcPr>
            <w:tcW w:w="6634" w:type="dxa"/>
            <w:gridSpan w:val="5"/>
          </w:tcPr>
          <w:p w:rsidR="00AA2B42" w:rsidRPr="00AA2B42" w:rsidRDefault="00AA2B42" w:rsidP="00B639EE">
            <w:pPr>
              <w:pStyle w:val="naiskr"/>
              <w:spacing w:before="0" w:after="120"/>
              <w:jc w:val="both"/>
              <w:rPr>
                <w:color w:val="000000" w:themeColor="text1"/>
              </w:rPr>
            </w:pPr>
            <w:r w:rsidRPr="00AA2B42">
              <w:rPr>
                <w:color w:val="000000" w:themeColor="text1"/>
              </w:rPr>
              <w:t>Ieņēmumu un izdevumu pārdale 62 745 latu apmērā veselības veicināšanas funkciju izpildei no apakšprogrammas 01.05.00 uz apakšprogrammu 46.03.00 ir iekļauta likum</w:t>
            </w:r>
            <w:r w:rsidRPr="00AA2B42">
              <w:rPr>
                <w:color w:val="000000" w:themeColor="text1"/>
              </w:rPr>
              <w:softHyphen/>
              <w:t>projektā „Par valsts budžetu 2013.gadam” .</w:t>
            </w:r>
          </w:p>
          <w:p w:rsidR="00AA2B42" w:rsidRPr="00AA2B42" w:rsidRDefault="00AA2B42" w:rsidP="00B639EE">
            <w:pPr>
              <w:pStyle w:val="naiskr"/>
              <w:spacing w:before="0" w:after="120"/>
              <w:jc w:val="both"/>
              <w:rPr>
                <w:color w:val="000000" w:themeColor="text1"/>
              </w:rPr>
            </w:pPr>
            <w:r w:rsidRPr="00AA2B42">
              <w:rPr>
                <w:color w:val="000000" w:themeColor="text1"/>
              </w:rPr>
              <w:t xml:space="preserve">Ieņēmumu un izdevumu pārdale 223 498 latu apmērā no apakšprogrammas 46.03.00 uz apakšprogrammu 33.04.00 </w:t>
            </w:r>
            <w:proofErr w:type="spellStart"/>
            <w:r w:rsidRPr="00AA2B42">
              <w:rPr>
                <w:color w:val="000000" w:themeColor="text1"/>
              </w:rPr>
              <w:t>imūnbioloģisko</w:t>
            </w:r>
            <w:proofErr w:type="spellEnd"/>
            <w:r w:rsidRPr="00AA2B42">
              <w:rPr>
                <w:color w:val="000000" w:themeColor="text1"/>
              </w:rPr>
              <w:t xml:space="preserve"> preparātu centralizētam iepirkumam 2013.gadam ir iekļauta likumprojektā „Par valsts budžetu 2013.gadam” un 2014.-2015. gadam ir iekļauta ministrijas maksimāli pieļaujamajā pamatbudžeta izdevumu kopapjomā 2014.-2015.gadam”.</w:t>
            </w:r>
          </w:p>
          <w:p w:rsidR="00AA2B42" w:rsidRPr="00AA2B42" w:rsidRDefault="00AA2B42" w:rsidP="00B639EE">
            <w:pPr>
              <w:pStyle w:val="naiskr"/>
              <w:spacing w:before="0" w:after="120"/>
              <w:jc w:val="both"/>
              <w:rPr>
                <w:color w:val="000000" w:themeColor="text1"/>
              </w:rPr>
            </w:pPr>
            <w:r w:rsidRPr="00AA2B42">
              <w:rPr>
                <w:color w:val="000000" w:themeColor="text1"/>
              </w:rPr>
              <w:t>Ieņēmumu un izdevumu pārdale 40 000 latu apmērā no apakšprogrammas 33.01.00 uz apakšprogrammu 46.03.00 HIV/AIDS medikamentu iepirkumam 2013.gadam tiks iekļauta ministrijas priekšlikumos likumprojekta „Par valsts budžetu 2013.gadam” otrajam lasījumam Saeimā un pārdale 2014.-2015.gadam tiks iekļauta ministrijas priekšlikumos izmaiņām maksimāli pieļaujamā pamatbudžeta izdevumu kopapjoma 2014.-2015.gadam” sadalījumā pa izdevumu kodiem atbilstoši ekonomiskajām kategorijām.</w:t>
            </w:r>
          </w:p>
          <w:p w:rsidR="00AA2B42" w:rsidRPr="00AA2B42" w:rsidRDefault="00AA2B42" w:rsidP="00B639EE">
            <w:pPr>
              <w:pStyle w:val="naiskr"/>
              <w:spacing w:before="0" w:after="120"/>
              <w:jc w:val="both"/>
              <w:rPr>
                <w:color w:val="000000" w:themeColor="text1"/>
              </w:rPr>
            </w:pPr>
            <w:r w:rsidRPr="00AA2B42">
              <w:rPr>
                <w:color w:val="000000" w:themeColor="text1"/>
              </w:rPr>
              <w:t>Ieņēmumu un izdevumu pārdale 66 352 latu apmērā no apakšprogrammas 33.01.00 uz apakšprogrammu 46.03.00 laboratorisko izmeklējumu apmaksai 2013.gadam tiks iekļauta ministrijas priekšlikumos likumprojekta „Par valsts budžetu 2013.gadam” otrajam lasījumam Saeimā un pārdale 2014.-2015.gadam tiks iekļauta ministrijas priekšlikumos izmaiņām maksimāli pieļaujamā pamatbudžeta izdevumu kopapjoma 2014.-</w:t>
            </w:r>
            <w:r w:rsidRPr="00AA2B42">
              <w:rPr>
                <w:color w:val="000000" w:themeColor="text1"/>
              </w:rPr>
              <w:lastRenderedPageBreak/>
              <w:t>2015.gadam” sadalījumā pa izdevumu kodiem atbilstoši ekonomiskajām kategorijām.</w:t>
            </w:r>
          </w:p>
          <w:p w:rsidR="00AA2B42" w:rsidRPr="00AA2B42" w:rsidRDefault="0045540C" w:rsidP="00B639EE">
            <w:pPr>
              <w:pStyle w:val="naiskr"/>
              <w:spacing w:before="0" w:after="0"/>
              <w:jc w:val="both"/>
              <w:rPr>
                <w:color w:val="000000" w:themeColor="text1"/>
              </w:rPr>
            </w:pPr>
            <w:r>
              <w:rPr>
                <w:color w:val="000000" w:themeColor="text1"/>
              </w:rPr>
              <w:t>Saskaņā ar MK noteikumu</w:t>
            </w:r>
            <w:r w:rsidR="00AA2B42" w:rsidRPr="00AA2B42">
              <w:rPr>
                <w:color w:val="000000" w:themeColor="text1"/>
              </w:rPr>
              <w:t xml:space="preserve"> projekta 1.10.apakšpunktu, tiks izstrādāts </w:t>
            </w:r>
            <w:r>
              <w:rPr>
                <w:color w:val="000000" w:themeColor="text1"/>
              </w:rPr>
              <w:t xml:space="preserve">SPKC </w:t>
            </w:r>
            <w:r w:rsidR="00AA2B42" w:rsidRPr="00AA2B42">
              <w:rPr>
                <w:color w:val="000000" w:themeColor="text1"/>
              </w:rPr>
              <w:t>publisko maksas pakalpojumu cenrādis un pēc tā apstiprināšanas Ministru kabinetā</w:t>
            </w:r>
            <w:r>
              <w:rPr>
                <w:color w:val="000000" w:themeColor="text1"/>
              </w:rPr>
              <w:t>,</w:t>
            </w:r>
            <w:r w:rsidR="00AA2B42" w:rsidRPr="00AA2B42">
              <w:rPr>
                <w:color w:val="000000" w:themeColor="text1"/>
              </w:rPr>
              <w:t xml:space="preserve"> ministrija iesniegs priekšlikumus apropriācijas palielinājumam likumā „Par valsts budžetu 2013.gadam”.</w:t>
            </w:r>
          </w:p>
          <w:p w:rsidR="00AA2B42" w:rsidRPr="00AA2B42" w:rsidRDefault="00AA2B42" w:rsidP="00B639EE">
            <w:pPr>
              <w:pStyle w:val="naiskr"/>
              <w:spacing w:before="0" w:after="0"/>
              <w:jc w:val="both"/>
              <w:rPr>
                <w:color w:val="000000" w:themeColor="text1"/>
              </w:rPr>
            </w:pPr>
          </w:p>
          <w:p w:rsidR="00AA2B42" w:rsidRPr="00AA2B42" w:rsidRDefault="00AA2B42" w:rsidP="00B639EE">
            <w:pPr>
              <w:ind w:right="135"/>
              <w:jc w:val="both"/>
              <w:rPr>
                <w:color w:val="000000" w:themeColor="text1"/>
              </w:rPr>
            </w:pPr>
            <w:r w:rsidRPr="00AA2B42">
              <w:rPr>
                <w:color w:val="000000" w:themeColor="text1"/>
              </w:rPr>
              <w:t>Noteikumu projektā paredzēto pasākumu īstenošanu ministrija nodrošinās nozarei piešķirto valsts budžeta līdzekļu ietvaros.</w:t>
            </w:r>
          </w:p>
          <w:p w:rsidR="00AA2B42" w:rsidRPr="00AA2B42" w:rsidRDefault="00AA2B42" w:rsidP="00B639EE">
            <w:pPr>
              <w:pStyle w:val="naiskr"/>
              <w:spacing w:before="0" w:after="0"/>
              <w:jc w:val="both"/>
              <w:rPr>
                <w:color w:val="000000" w:themeColor="text1"/>
              </w:rPr>
            </w:pPr>
          </w:p>
        </w:tc>
      </w:tr>
    </w:tbl>
    <w:p w:rsidR="009744CD" w:rsidRPr="004F58C0" w:rsidRDefault="009744CD" w:rsidP="000B76E3">
      <w:pPr>
        <w:jc w:val="both"/>
        <w:rPr>
          <w:color w:val="000000"/>
          <w:sz w:val="28"/>
          <w:szCs w:val="28"/>
        </w:rPr>
      </w:pPr>
    </w:p>
    <w:p w:rsidR="003675A0" w:rsidRPr="004F58C0" w:rsidRDefault="003675A0" w:rsidP="000B76E3">
      <w:pPr>
        <w:jc w:val="both"/>
        <w:rPr>
          <w:color w:val="000000"/>
          <w:sz w:val="28"/>
          <w:szCs w:val="28"/>
        </w:rPr>
      </w:pPr>
    </w:p>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37"/>
        <w:gridCol w:w="6014"/>
      </w:tblGrid>
      <w:tr w:rsidR="00C127B5" w:rsidRPr="004F58C0" w:rsidTr="00C127B5">
        <w:trPr>
          <w:jc w:val="center"/>
        </w:trPr>
        <w:tc>
          <w:tcPr>
            <w:tcW w:w="9447" w:type="dxa"/>
            <w:gridSpan w:val="3"/>
          </w:tcPr>
          <w:p w:rsidR="00C127B5" w:rsidRPr="004F58C0" w:rsidRDefault="00C127B5" w:rsidP="00C127B5">
            <w:pPr>
              <w:pStyle w:val="naisnod"/>
              <w:spacing w:before="0" w:after="0"/>
              <w:rPr>
                <w:color w:val="000000"/>
              </w:rPr>
            </w:pPr>
            <w:r w:rsidRPr="004F58C0">
              <w:rPr>
                <w:color w:val="000000"/>
              </w:rPr>
              <w:t>IV. Tiesību akta projekta ietekme uz spēkā esošo tiesību normu sistēmu</w:t>
            </w:r>
          </w:p>
        </w:tc>
      </w:tr>
      <w:tr w:rsidR="00C127B5" w:rsidRPr="00487786" w:rsidTr="00C127B5">
        <w:trPr>
          <w:jc w:val="center"/>
        </w:trPr>
        <w:tc>
          <w:tcPr>
            <w:tcW w:w="396" w:type="dxa"/>
          </w:tcPr>
          <w:p w:rsidR="00C127B5" w:rsidRPr="004F58C0" w:rsidRDefault="00C127B5" w:rsidP="00C127B5">
            <w:pPr>
              <w:pStyle w:val="naiskr"/>
              <w:tabs>
                <w:tab w:val="left" w:pos="2628"/>
              </w:tabs>
              <w:spacing w:before="0" w:after="0"/>
              <w:jc w:val="both"/>
              <w:rPr>
                <w:iCs/>
                <w:color w:val="000000"/>
              </w:rPr>
            </w:pPr>
            <w:r w:rsidRPr="004F58C0">
              <w:rPr>
                <w:iCs/>
                <w:color w:val="000000"/>
              </w:rPr>
              <w:t>1.</w:t>
            </w:r>
          </w:p>
        </w:tc>
        <w:tc>
          <w:tcPr>
            <w:tcW w:w="3037" w:type="dxa"/>
          </w:tcPr>
          <w:p w:rsidR="00C127B5" w:rsidRPr="004F58C0" w:rsidRDefault="00C127B5" w:rsidP="00C127B5">
            <w:pPr>
              <w:pStyle w:val="naiskr"/>
              <w:tabs>
                <w:tab w:val="left" w:pos="2628"/>
              </w:tabs>
              <w:spacing w:before="0" w:after="0"/>
              <w:jc w:val="both"/>
              <w:rPr>
                <w:iCs/>
                <w:color w:val="000000"/>
              </w:rPr>
            </w:pPr>
            <w:r w:rsidRPr="004F58C0">
              <w:rPr>
                <w:color w:val="000000"/>
                <w:sz w:val="22"/>
                <w:szCs w:val="22"/>
              </w:rPr>
              <w:t>Nepieciešamie saistītie tiesību aktu projekti</w:t>
            </w:r>
          </w:p>
        </w:tc>
        <w:tc>
          <w:tcPr>
            <w:tcW w:w="6014" w:type="dxa"/>
          </w:tcPr>
          <w:p w:rsidR="00A96D7B" w:rsidRPr="004F58C0" w:rsidRDefault="00A96D7B" w:rsidP="00A96D7B">
            <w:pPr>
              <w:pStyle w:val="naiskr"/>
              <w:tabs>
                <w:tab w:val="left" w:pos="2628"/>
              </w:tabs>
              <w:spacing w:before="0" w:after="0"/>
              <w:jc w:val="both"/>
              <w:rPr>
                <w:color w:val="000000"/>
              </w:rPr>
            </w:pPr>
            <w:r w:rsidRPr="004F58C0">
              <w:rPr>
                <w:color w:val="000000"/>
              </w:rPr>
              <w:t>Ministr</w:t>
            </w:r>
            <w:r w:rsidR="00992D67" w:rsidRPr="004F58C0">
              <w:rPr>
                <w:color w:val="000000"/>
              </w:rPr>
              <w:t xml:space="preserve">ija līdz 2012.gada 31.decembrim </w:t>
            </w:r>
            <w:r w:rsidRPr="004F58C0">
              <w:rPr>
                <w:color w:val="000000"/>
              </w:rPr>
              <w:t>sagatavos grozījumus:</w:t>
            </w:r>
          </w:p>
          <w:p w:rsidR="00A96D7B" w:rsidRPr="004F58C0" w:rsidRDefault="00A96D7B" w:rsidP="00A96D7B">
            <w:pPr>
              <w:pStyle w:val="naiskr"/>
              <w:numPr>
                <w:ilvl w:val="0"/>
                <w:numId w:val="34"/>
              </w:numPr>
              <w:tabs>
                <w:tab w:val="left" w:pos="2628"/>
              </w:tabs>
              <w:spacing w:before="0" w:after="0"/>
              <w:jc w:val="both"/>
            </w:pPr>
            <w:r w:rsidRPr="004F58C0">
              <w:rPr>
                <w:color w:val="000000"/>
              </w:rPr>
              <w:t>Ministru kabineta 2004.gada 13.aprīļa noteikumos Nr.286 „Veselības ministrijas nolikums”;</w:t>
            </w:r>
          </w:p>
          <w:p w:rsidR="00A96D7B" w:rsidRPr="004F58C0" w:rsidRDefault="00A96D7B" w:rsidP="00A96D7B">
            <w:pPr>
              <w:pStyle w:val="naiskr"/>
              <w:numPr>
                <w:ilvl w:val="0"/>
                <w:numId w:val="34"/>
              </w:numPr>
              <w:tabs>
                <w:tab w:val="left" w:pos="2628"/>
              </w:tabs>
              <w:spacing w:before="0" w:after="0"/>
              <w:jc w:val="both"/>
            </w:pPr>
            <w:r w:rsidRPr="004F58C0">
              <w:rPr>
                <w:color w:val="000000"/>
              </w:rPr>
              <w:t>M</w:t>
            </w:r>
            <w:r w:rsidRPr="004F58C0">
              <w:rPr>
                <w:bCs/>
              </w:rPr>
              <w:t>inistru kabineta 2011.gada 1.novembra noteikumi Nr.850</w:t>
            </w:r>
            <w:r w:rsidRPr="004F58C0">
              <w:t xml:space="preserve"> „Nacionālā veselības dienesta nolikums”;</w:t>
            </w:r>
          </w:p>
          <w:p w:rsidR="007339BD" w:rsidRPr="004F58C0" w:rsidRDefault="007339BD" w:rsidP="00747F85">
            <w:pPr>
              <w:pStyle w:val="naiskr"/>
              <w:numPr>
                <w:ilvl w:val="0"/>
                <w:numId w:val="34"/>
              </w:numPr>
              <w:tabs>
                <w:tab w:val="left" w:pos="2628"/>
              </w:tabs>
              <w:spacing w:before="0" w:after="0"/>
              <w:jc w:val="both"/>
              <w:rPr>
                <w:color w:val="000000"/>
              </w:rPr>
            </w:pPr>
            <w:r w:rsidRPr="004F58C0">
              <w:rPr>
                <w:color w:val="000000"/>
              </w:rPr>
              <w:t xml:space="preserve">Ministru kabineta </w:t>
            </w:r>
            <w:r w:rsidR="00854C99" w:rsidRPr="004F58C0">
              <w:rPr>
                <w:color w:val="000000"/>
              </w:rPr>
              <w:t xml:space="preserve">2006.gada 19.decembra noteikumos </w:t>
            </w:r>
            <w:r w:rsidR="00854C99" w:rsidRPr="004F58C0">
              <w:t xml:space="preserve">Nr.1046 </w:t>
            </w:r>
            <w:r w:rsidR="009A4636" w:rsidRPr="004F58C0">
              <w:t>„</w:t>
            </w:r>
            <w:r w:rsidR="00854C99" w:rsidRPr="004F58C0">
              <w:t>Veselības aprūpes organizēšanas un finansēšanas kārtība</w:t>
            </w:r>
            <w:r w:rsidR="009A4636" w:rsidRPr="004F58C0">
              <w:t>”</w:t>
            </w:r>
            <w:r w:rsidR="00747F85" w:rsidRPr="004F58C0">
              <w:rPr>
                <w:color w:val="000000"/>
              </w:rPr>
              <w:t>.</w:t>
            </w:r>
          </w:p>
          <w:p w:rsidR="00950A51" w:rsidRPr="004F58C0" w:rsidRDefault="0045540C" w:rsidP="00C0113E">
            <w:pPr>
              <w:jc w:val="both"/>
            </w:pPr>
            <w:r>
              <w:t>M</w:t>
            </w:r>
            <w:r w:rsidR="00950A51" w:rsidRPr="004F58C0">
              <w:t>inistrija līdz 20</w:t>
            </w:r>
            <w:r w:rsidR="00992D67" w:rsidRPr="004F58C0">
              <w:t xml:space="preserve">12.gada </w:t>
            </w:r>
            <w:r w:rsidR="000A7A5D" w:rsidRPr="004F58C0">
              <w:t>31.decembrim</w:t>
            </w:r>
            <w:r w:rsidR="00992D67" w:rsidRPr="004F58C0">
              <w:t xml:space="preserve"> </w:t>
            </w:r>
            <w:r w:rsidR="00950A51" w:rsidRPr="004F58C0">
              <w:t>sagatavos noteikumu projektu „Noteikumi par Slimību profilakses un kontroles centra sniegto publisko maksas pakalpojumu cenrādi”.</w:t>
            </w:r>
          </w:p>
        </w:tc>
      </w:tr>
      <w:tr w:rsidR="00C127B5" w:rsidRPr="00487786" w:rsidTr="00C127B5">
        <w:trPr>
          <w:jc w:val="center"/>
        </w:trPr>
        <w:tc>
          <w:tcPr>
            <w:tcW w:w="396" w:type="dxa"/>
          </w:tcPr>
          <w:p w:rsidR="00C127B5" w:rsidRPr="00487786" w:rsidRDefault="00C127B5" w:rsidP="00C127B5">
            <w:pPr>
              <w:pStyle w:val="naiskr"/>
              <w:tabs>
                <w:tab w:val="left" w:pos="2628"/>
              </w:tabs>
              <w:spacing w:before="0" w:after="0"/>
              <w:jc w:val="both"/>
              <w:rPr>
                <w:iCs/>
                <w:color w:val="000000"/>
              </w:rPr>
            </w:pPr>
            <w:r w:rsidRPr="00487786">
              <w:rPr>
                <w:iCs/>
                <w:color w:val="000000"/>
              </w:rPr>
              <w:t>2.</w:t>
            </w:r>
          </w:p>
        </w:tc>
        <w:tc>
          <w:tcPr>
            <w:tcW w:w="3037" w:type="dxa"/>
          </w:tcPr>
          <w:p w:rsidR="00C127B5" w:rsidRPr="00487786" w:rsidRDefault="00C127B5" w:rsidP="00C127B5">
            <w:pPr>
              <w:pStyle w:val="naiskr"/>
              <w:tabs>
                <w:tab w:val="left" w:pos="2628"/>
              </w:tabs>
              <w:spacing w:before="0" w:after="0"/>
              <w:jc w:val="both"/>
              <w:rPr>
                <w:iCs/>
                <w:color w:val="000000"/>
              </w:rPr>
            </w:pPr>
            <w:r w:rsidRPr="00487786">
              <w:rPr>
                <w:color w:val="000000"/>
                <w:sz w:val="22"/>
                <w:szCs w:val="22"/>
              </w:rPr>
              <w:t>Cita informācija</w:t>
            </w:r>
          </w:p>
        </w:tc>
        <w:tc>
          <w:tcPr>
            <w:tcW w:w="6014" w:type="dxa"/>
          </w:tcPr>
          <w:p w:rsidR="00C127B5" w:rsidRPr="00487786" w:rsidRDefault="001B1720" w:rsidP="002028ED">
            <w:pPr>
              <w:pStyle w:val="naiskr"/>
              <w:tabs>
                <w:tab w:val="left" w:pos="2628"/>
              </w:tabs>
              <w:spacing w:before="0" w:after="0"/>
              <w:jc w:val="both"/>
              <w:rPr>
                <w:iCs/>
                <w:color w:val="000000"/>
              </w:rPr>
            </w:pPr>
            <w:r w:rsidRPr="00487786">
              <w:rPr>
                <w:iCs/>
                <w:color w:val="000000"/>
              </w:rPr>
              <w:t>Nav</w:t>
            </w:r>
          </w:p>
        </w:tc>
      </w:tr>
    </w:tbl>
    <w:p w:rsidR="000B76E3" w:rsidRPr="00487786" w:rsidRDefault="000B76E3" w:rsidP="000B76E3">
      <w:pPr>
        <w:spacing w:line="360" w:lineRule="auto"/>
        <w:rPr>
          <w:vanish/>
          <w:color w:val="000000"/>
          <w:lang w:eastAsia="en-US" w:bidi="lo-LA"/>
        </w:rPr>
      </w:pPr>
    </w:p>
    <w:p w:rsidR="005938F8" w:rsidRPr="00487786" w:rsidRDefault="005938F8" w:rsidP="00C127B5">
      <w:pPr>
        <w:pStyle w:val="naisf"/>
        <w:spacing w:before="0" w:after="0"/>
        <w:ind w:firstLine="0"/>
        <w:jc w:val="center"/>
        <w:rPr>
          <w:color w:val="000000"/>
          <w:sz w:val="28"/>
          <w:szCs w:val="28"/>
        </w:rPr>
      </w:pPr>
    </w:p>
    <w:p w:rsidR="00B21933" w:rsidRDefault="00B21933" w:rsidP="005F65BC">
      <w:pPr>
        <w:pStyle w:val="naisf"/>
        <w:spacing w:before="0" w:after="0"/>
        <w:ind w:firstLine="0"/>
        <w:jc w:val="center"/>
        <w:rPr>
          <w:color w:val="000000"/>
          <w:sz w:val="28"/>
          <w:szCs w:val="28"/>
        </w:rPr>
      </w:pPr>
    </w:p>
    <w:p w:rsidR="00E92573" w:rsidRPr="005F65BC" w:rsidRDefault="00591749" w:rsidP="005F65BC">
      <w:pPr>
        <w:pStyle w:val="naisf"/>
        <w:spacing w:before="0" w:after="0"/>
        <w:ind w:firstLine="0"/>
        <w:jc w:val="center"/>
        <w:rPr>
          <w:i/>
          <w:color w:val="000000"/>
          <w:sz w:val="28"/>
          <w:szCs w:val="28"/>
        </w:rPr>
      </w:pPr>
      <w:r w:rsidRPr="00487786">
        <w:rPr>
          <w:color w:val="000000"/>
          <w:sz w:val="28"/>
          <w:szCs w:val="28"/>
        </w:rPr>
        <w:t>Anotācijas</w:t>
      </w:r>
      <w:r w:rsidR="005F65BC">
        <w:rPr>
          <w:color w:val="000000"/>
          <w:sz w:val="28"/>
          <w:szCs w:val="28"/>
        </w:rPr>
        <w:t xml:space="preserve"> V-</w:t>
      </w:r>
      <w:r w:rsidRPr="00487786">
        <w:rPr>
          <w:color w:val="000000"/>
          <w:sz w:val="28"/>
          <w:szCs w:val="28"/>
        </w:rPr>
        <w:t xml:space="preserve"> VI </w:t>
      </w:r>
      <w:r w:rsidR="00E92573" w:rsidRPr="00487786">
        <w:rPr>
          <w:color w:val="000000"/>
          <w:sz w:val="28"/>
          <w:szCs w:val="28"/>
        </w:rPr>
        <w:t xml:space="preserve">sadaļa – </w:t>
      </w:r>
      <w:r w:rsidR="00E92573" w:rsidRPr="00487786">
        <w:rPr>
          <w:i/>
          <w:iCs/>
          <w:color w:val="000000"/>
          <w:sz w:val="28"/>
          <w:szCs w:val="28"/>
        </w:rPr>
        <w:t>p</w:t>
      </w:r>
      <w:r w:rsidR="00E92573" w:rsidRPr="00487786">
        <w:rPr>
          <w:i/>
          <w:color w:val="000000"/>
          <w:sz w:val="28"/>
          <w:szCs w:val="28"/>
        </w:rPr>
        <w:t>rojekts š</w:t>
      </w:r>
      <w:r w:rsidR="00946E4F" w:rsidRPr="00487786">
        <w:rPr>
          <w:i/>
          <w:color w:val="000000"/>
          <w:sz w:val="28"/>
          <w:szCs w:val="28"/>
        </w:rPr>
        <w:t>o</w:t>
      </w:r>
      <w:r w:rsidR="00E92573" w:rsidRPr="00487786">
        <w:rPr>
          <w:i/>
          <w:color w:val="000000"/>
          <w:sz w:val="28"/>
          <w:szCs w:val="28"/>
        </w:rPr>
        <w:t xml:space="preserve"> jom</w:t>
      </w:r>
      <w:r w:rsidR="00946E4F" w:rsidRPr="00487786">
        <w:rPr>
          <w:i/>
          <w:color w:val="000000"/>
          <w:sz w:val="28"/>
          <w:szCs w:val="28"/>
        </w:rPr>
        <w:t>u</w:t>
      </w:r>
      <w:r w:rsidR="00E92573" w:rsidRPr="00487786">
        <w:rPr>
          <w:i/>
          <w:color w:val="000000"/>
          <w:sz w:val="28"/>
          <w:szCs w:val="28"/>
        </w:rPr>
        <w:t xml:space="preserve"> neskar.</w:t>
      </w:r>
    </w:p>
    <w:p w:rsidR="005938F8" w:rsidRPr="00487786" w:rsidRDefault="005938F8" w:rsidP="00C127B5">
      <w:pPr>
        <w:pStyle w:val="naisf"/>
        <w:spacing w:before="0" w:after="0"/>
        <w:ind w:firstLine="0"/>
        <w:jc w:val="center"/>
        <w:rPr>
          <w:color w:val="000000"/>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574"/>
        <w:gridCol w:w="5557"/>
      </w:tblGrid>
      <w:tr w:rsidR="00591749" w:rsidRPr="00487786" w:rsidTr="00591749">
        <w:tc>
          <w:tcPr>
            <w:tcW w:w="9131" w:type="dxa"/>
            <w:gridSpan w:val="2"/>
            <w:tcBorders>
              <w:top w:val="single" w:sz="4" w:space="0" w:color="auto"/>
              <w:left w:val="outset" w:sz="6" w:space="0" w:color="auto"/>
              <w:bottom w:val="outset" w:sz="6" w:space="0" w:color="auto"/>
              <w:right w:val="outset" w:sz="6" w:space="0" w:color="auto"/>
            </w:tcBorders>
            <w:hideMark/>
          </w:tcPr>
          <w:p w:rsidR="00591749" w:rsidRPr="00487786" w:rsidRDefault="00591749" w:rsidP="00591749">
            <w:pPr>
              <w:autoSpaceDE w:val="0"/>
              <w:autoSpaceDN w:val="0"/>
              <w:adjustRightInd w:val="0"/>
              <w:jc w:val="center"/>
              <w:rPr>
                <w:rFonts w:ascii="TimesNewRomanPS-BoldMT" w:eastAsia="Calibri" w:hAnsi="TimesNewRomanPS-BoldMT" w:cs="TimesNewRomanPS-BoldMT"/>
                <w:b/>
                <w:bCs/>
                <w:color w:val="000000"/>
                <w:sz w:val="22"/>
                <w:szCs w:val="22"/>
                <w:lang w:eastAsia="en-US"/>
              </w:rPr>
            </w:pPr>
            <w:r w:rsidRPr="00487786">
              <w:rPr>
                <w:rFonts w:ascii="TimesNewRomanPS-BoldMT" w:eastAsia="Calibri" w:hAnsi="TimesNewRomanPS-BoldMT" w:cs="TimesNewRomanPS-BoldMT"/>
                <w:b/>
                <w:bCs/>
                <w:color w:val="000000"/>
                <w:sz w:val="22"/>
                <w:szCs w:val="22"/>
                <w:lang w:eastAsia="en-US"/>
              </w:rPr>
              <w:t>VII. Tiesību akta projekta izpildes nodrošināšana un tās ietekme uz institūcijām</w:t>
            </w:r>
          </w:p>
          <w:p w:rsidR="00591749" w:rsidRPr="00487786" w:rsidRDefault="00591749" w:rsidP="00591749">
            <w:pPr>
              <w:spacing w:line="360" w:lineRule="auto"/>
              <w:jc w:val="center"/>
              <w:rPr>
                <w:b/>
                <w:color w:val="000000"/>
                <w:lang w:eastAsia="en-US" w:bidi="lo-LA"/>
              </w:rPr>
            </w:pPr>
          </w:p>
        </w:tc>
      </w:tr>
      <w:tr w:rsidR="001D72A2" w:rsidRPr="00487786" w:rsidTr="00591749">
        <w:tc>
          <w:tcPr>
            <w:tcW w:w="3574" w:type="dxa"/>
            <w:tcBorders>
              <w:top w:val="outset" w:sz="6" w:space="0" w:color="auto"/>
              <w:left w:val="outset" w:sz="6" w:space="0" w:color="auto"/>
              <w:bottom w:val="outset" w:sz="6" w:space="0" w:color="auto"/>
              <w:right w:val="outset" w:sz="6" w:space="0" w:color="auto"/>
            </w:tcBorders>
            <w:hideMark/>
          </w:tcPr>
          <w:p w:rsidR="001D72A2" w:rsidRPr="0091098E" w:rsidRDefault="001D72A2" w:rsidP="001D72A2">
            <w:pPr>
              <w:autoSpaceDE w:val="0"/>
              <w:autoSpaceDN w:val="0"/>
              <w:adjustRightInd w:val="0"/>
              <w:rPr>
                <w:rFonts w:eastAsia="Calibri"/>
                <w:b/>
                <w:bCs/>
                <w:color w:val="000000"/>
                <w:sz w:val="22"/>
                <w:szCs w:val="22"/>
                <w:lang w:eastAsia="en-US"/>
              </w:rPr>
            </w:pPr>
            <w:r w:rsidRPr="0091098E">
              <w:rPr>
                <w:rFonts w:eastAsia="Calibri"/>
                <w:color w:val="000000"/>
                <w:sz w:val="22"/>
                <w:szCs w:val="22"/>
                <w:lang w:eastAsia="en-US"/>
              </w:rPr>
              <w:t>1. Projekta izpildē iesaistītās institūcijas</w:t>
            </w:r>
          </w:p>
        </w:tc>
        <w:tc>
          <w:tcPr>
            <w:tcW w:w="5557" w:type="dxa"/>
            <w:tcBorders>
              <w:top w:val="outset" w:sz="6" w:space="0" w:color="auto"/>
              <w:left w:val="outset" w:sz="6" w:space="0" w:color="auto"/>
              <w:bottom w:val="outset" w:sz="6" w:space="0" w:color="auto"/>
              <w:right w:val="outset" w:sz="6" w:space="0" w:color="auto"/>
            </w:tcBorders>
          </w:tcPr>
          <w:p w:rsidR="001D72A2" w:rsidRPr="0091098E" w:rsidRDefault="001D72A2" w:rsidP="001D72A2">
            <w:pPr>
              <w:autoSpaceDE w:val="0"/>
              <w:autoSpaceDN w:val="0"/>
              <w:adjustRightInd w:val="0"/>
              <w:jc w:val="both"/>
              <w:rPr>
                <w:rFonts w:eastAsia="Calibri"/>
                <w:bCs/>
                <w:color w:val="000000"/>
                <w:lang w:eastAsia="en-US"/>
              </w:rPr>
            </w:pPr>
            <w:r>
              <w:rPr>
                <w:rFonts w:eastAsia="Calibri"/>
                <w:bCs/>
                <w:color w:val="000000"/>
                <w:lang w:eastAsia="en-US"/>
              </w:rPr>
              <w:t>MK noteikumu projekta izpildi nodrošinās SPKC</w:t>
            </w:r>
            <w:r w:rsidR="000F5707">
              <w:rPr>
                <w:rFonts w:eastAsia="Calibri"/>
                <w:bCs/>
                <w:color w:val="000000"/>
                <w:lang w:eastAsia="en-US"/>
              </w:rPr>
              <w:t xml:space="preserve"> un ministrija</w:t>
            </w:r>
            <w:r w:rsidR="00356323">
              <w:rPr>
                <w:rFonts w:eastAsia="Calibri"/>
                <w:bCs/>
                <w:color w:val="000000"/>
                <w:lang w:eastAsia="en-US"/>
              </w:rPr>
              <w:t>.</w:t>
            </w:r>
          </w:p>
        </w:tc>
      </w:tr>
      <w:tr w:rsidR="001D72A2" w:rsidRPr="00487786" w:rsidTr="00591749">
        <w:tc>
          <w:tcPr>
            <w:tcW w:w="3574" w:type="dxa"/>
            <w:tcBorders>
              <w:top w:val="outset" w:sz="6" w:space="0" w:color="auto"/>
              <w:left w:val="outset" w:sz="6" w:space="0" w:color="auto"/>
              <w:bottom w:val="outset" w:sz="6" w:space="0" w:color="auto"/>
              <w:right w:val="outset" w:sz="6" w:space="0" w:color="auto"/>
            </w:tcBorders>
            <w:hideMark/>
          </w:tcPr>
          <w:p w:rsidR="001D72A2" w:rsidRPr="0091098E" w:rsidRDefault="001D72A2" w:rsidP="001D72A2">
            <w:pPr>
              <w:autoSpaceDE w:val="0"/>
              <w:autoSpaceDN w:val="0"/>
              <w:adjustRightInd w:val="0"/>
              <w:rPr>
                <w:rFonts w:eastAsia="Calibri"/>
                <w:b/>
                <w:bCs/>
                <w:color w:val="000000"/>
                <w:sz w:val="22"/>
                <w:szCs w:val="22"/>
                <w:lang w:eastAsia="en-US"/>
              </w:rPr>
            </w:pPr>
            <w:r w:rsidRPr="0091098E">
              <w:rPr>
                <w:rFonts w:eastAsia="Calibri"/>
                <w:color w:val="000000"/>
                <w:sz w:val="22"/>
                <w:szCs w:val="22"/>
                <w:lang w:eastAsia="en-US"/>
              </w:rPr>
              <w:t>2. Projekta izpildes ietekme uz pārvaldes funkcijām</w:t>
            </w:r>
          </w:p>
        </w:tc>
        <w:tc>
          <w:tcPr>
            <w:tcW w:w="5557" w:type="dxa"/>
            <w:tcBorders>
              <w:top w:val="outset" w:sz="6" w:space="0" w:color="auto"/>
              <w:left w:val="outset" w:sz="6" w:space="0" w:color="auto"/>
              <w:bottom w:val="outset" w:sz="6" w:space="0" w:color="auto"/>
              <w:right w:val="outset" w:sz="6" w:space="0" w:color="auto"/>
            </w:tcBorders>
          </w:tcPr>
          <w:p w:rsidR="001D72A2" w:rsidRPr="0091098E" w:rsidRDefault="001D72A2" w:rsidP="001D72A2">
            <w:pPr>
              <w:pStyle w:val="naiskr"/>
              <w:spacing w:before="0" w:after="0"/>
              <w:jc w:val="both"/>
              <w:rPr>
                <w:bCs/>
                <w:color w:val="000000"/>
                <w:lang w:eastAsia="en-US"/>
              </w:rPr>
            </w:pPr>
            <w:r w:rsidRPr="0091098E">
              <w:rPr>
                <w:bCs/>
                <w:color w:val="000000"/>
                <w:lang w:eastAsia="en-US"/>
              </w:rPr>
              <w:t xml:space="preserve">MK noteikumu projekts neparedz sašaurināt vai paplašināt pārvaldes funkcijas. </w:t>
            </w:r>
          </w:p>
        </w:tc>
      </w:tr>
      <w:tr w:rsidR="001D72A2" w:rsidRPr="00487786" w:rsidTr="00591749">
        <w:tc>
          <w:tcPr>
            <w:tcW w:w="3574" w:type="dxa"/>
            <w:tcBorders>
              <w:top w:val="outset" w:sz="6" w:space="0" w:color="auto"/>
              <w:left w:val="outset" w:sz="6" w:space="0" w:color="auto"/>
              <w:bottom w:val="outset" w:sz="6" w:space="0" w:color="auto"/>
              <w:right w:val="outset" w:sz="6" w:space="0" w:color="auto"/>
            </w:tcBorders>
            <w:hideMark/>
          </w:tcPr>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3. Projekta izpildes ietekme uz pārvaldes</w:t>
            </w:r>
          </w:p>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institucionālo struktūru.</w:t>
            </w:r>
          </w:p>
          <w:p w:rsidR="001D72A2" w:rsidRPr="0091098E" w:rsidRDefault="001D72A2" w:rsidP="001D72A2">
            <w:pPr>
              <w:autoSpaceDE w:val="0"/>
              <w:autoSpaceDN w:val="0"/>
              <w:adjustRightInd w:val="0"/>
              <w:rPr>
                <w:rFonts w:eastAsia="Calibri"/>
                <w:color w:val="000000"/>
                <w:sz w:val="22"/>
                <w:szCs w:val="22"/>
                <w:lang w:eastAsia="en-US"/>
              </w:rPr>
            </w:pPr>
          </w:p>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Jaunu institūciju izveide</w:t>
            </w:r>
          </w:p>
          <w:p w:rsidR="001D72A2" w:rsidRPr="0091098E" w:rsidRDefault="001D72A2" w:rsidP="001D72A2">
            <w:pPr>
              <w:autoSpaceDE w:val="0"/>
              <w:autoSpaceDN w:val="0"/>
              <w:adjustRightInd w:val="0"/>
              <w:rPr>
                <w:rFonts w:eastAsia="Calibri"/>
                <w:b/>
                <w:bCs/>
                <w:color w:val="000000"/>
                <w:sz w:val="22"/>
                <w:szCs w:val="22"/>
                <w:lang w:eastAsia="en-US"/>
              </w:rPr>
            </w:pPr>
          </w:p>
        </w:tc>
        <w:tc>
          <w:tcPr>
            <w:tcW w:w="5557" w:type="dxa"/>
            <w:tcBorders>
              <w:top w:val="outset" w:sz="6" w:space="0" w:color="auto"/>
              <w:left w:val="outset" w:sz="6" w:space="0" w:color="auto"/>
              <w:bottom w:val="outset" w:sz="6" w:space="0" w:color="auto"/>
              <w:right w:val="outset" w:sz="6" w:space="0" w:color="auto"/>
            </w:tcBorders>
          </w:tcPr>
          <w:p w:rsidR="000F5707" w:rsidRPr="0091098E" w:rsidRDefault="000F5707" w:rsidP="008B3FAE">
            <w:pPr>
              <w:autoSpaceDE w:val="0"/>
              <w:autoSpaceDN w:val="0"/>
              <w:adjustRightInd w:val="0"/>
              <w:jc w:val="both"/>
              <w:rPr>
                <w:rFonts w:eastAsia="Calibri"/>
                <w:bCs/>
                <w:color w:val="000000"/>
                <w:lang w:eastAsia="en-US"/>
              </w:rPr>
            </w:pPr>
            <w:r>
              <w:rPr>
                <w:rFonts w:eastAsia="Calibri"/>
                <w:bCs/>
                <w:color w:val="000000"/>
                <w:lang w:eastAsia="en-US"/>
              </w:rPr>
              <w:t>Tiek</w:t>
            </w:r>
            <w:r w:rsidR="00865ABB">
              <w:rPr>
                <w:rFonts w:eastAsia="Calibri"/>
                <w:bCs/>
                <w:color w:val="000000"/>
                <w:lang w:eastAsia="en-US"/>
              </w:rPr>
              <w:t xml:space="preserve"> precizētas </w:t>
            </w:r>
            <w:r w:rsidR="001D72A2">
              <w:rPr>
                <w:rFonts w:eastAsia="Calibri"/>
                <w:bCs/>
                <w:color w:val="000000"/>
                <w:lang w:eastAsia="en-US"/>
              </w:rPr>
              <w:t xml:space="preserve">SPKC funkcijas un </w:t>
            </w:r>
            <w:r w:rsidR="00865ABB">
              <w:rPr>
                <w:rFonts w:eastAsia="Calibri"/>
                <w:bCs/>
                <w:color w:val="000000"/>
                <w:lang w:eastAsia="en-US"/>
              </w:rPr>
              <w:t xml:space="preserve">paplašināti </w:t>
            </w:r>
            <w:r w:rsidR="001D72A2">
              <w:rPr>
                <w:rFonts w:eastAsia="Calibri"/>
                <w:bCs/>
                <w:color w:val="000000"/>
                <w:lang w:eastAsia="en-US"/>
              </w:rPr>
              <w:t>uzdevumi veselības ve</w:t>
            </w:r>
            <w:r w:rsidR="008B3FAE">
              <w:rPr>
                <w:rFonts w:eastAsia="Calibri"/>
                <w:bCs/>
                <w:color w:val="000000"/>
                <w:lang w:eastAsia="en-US"/>
              </w:rPr>
              <w:t xml:space="preserve">icināšanas politikas īstenošanas </w:t>
            </w:r>
            <w:r w:rsidR="001D72A2">
              <w:rPr>
                <w:rFonts w:eastAsia="Calibri"/>
                <w:bCs/>
                <w:color w:val="000000"/>
                <w:lang w:eastAsia="en-US"/>
              </w:rPr>
              <w:t xml:space="preserve">koordinēšanā, kā arī </w:t>
            </w:r>
            <w:r w:rsidR="00865ABB">
              <w:rPr>
                <w:rFonts w:eastAsia="Calibri"/>
                <w:bCs/>
                <w:color w:val="000000"/>
                <w:lang w:eastAsia="en-US"/>
              </w:rPr>
              <w:t>tiek sašaurināti</w:t>
            </w:r>
            <w:r w:rsidR="001D72A2">
              <w:rPr>
                <w:rFonts w:eastAsia="Calibri"/>
                <w:bCs/>
                <w:color w:val="000000"/>
                <w:lang w:eastAsia="en-US"/>
              </w:rPr>
              <w:t xml:space="preserve"> ministrijas</w:t>
            </w:r>
            <w:r w:rsidR="001D72A2">
              <w:t xml:space="preserve"> uzdevumi veselības veicināšanas politikas</w:t>
            </w:r>
            <w:r w:rsidR="00865ABB">
              <w:t xml:space="preserve"> īstenošanas </w:t>
            </w:r>
            <w:r w:rsidR="008B3FAE">
              <w:t>koordinācijas jomā.</w:t>
            </w:r>
            <w:r w:rsidR="00865ABB">
              <w:t xml:space="preserve"> </w:t>
            </w:r>
          </w:p>
        </w:tc>
      </w:tr>
      <w:tr w:rsidR="001D72A2" w:rsidRPr="00487786" w:rsidTr="00591749">
        <w:tc>
          <w:tcPr>
            <w:tcW w:w="3574" w:type="dxa"/>
            <w:tcBorders>
              <w:top w:val="outset" w:sz="6" w:space="0" w:color="auto"/>
              <w:left w:val="outset" w:sz="6" w:space="0" w:color="auto"/>
              <w:bottom w:val="outset" w:sz="6" w:space="0" w:color="auto"/>
              <w:right w:val="outset" w:sz="6" w:space="0" w:color="auto"/>
            </w:tcBorders>
            <w:hideMark/>
          </w:tcPr>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4. Projekta izpildes ietekme uz pārvaldes</w:t>
            </w:r>
          </w:p>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institucionālo struktūru.</w:t>
            </w:r>
          </w:p>
          <w:p w:rsidR="001D72A2" w:rsidRPr="0091098E" w:rsidRDefault="001D72A2" w:rsidP="001D72A2">
            <w:pPr>
              <w:autoSpaceDE w:val="0"/>
              <w:autoSpaceDN w:val="0"/>
              <w:adjustRightInd w:val="0"/>
              <w:rPr>
                <w:rFonts w:eastAsia="Calibri"/>
                <w:color w:val="000000"/>
                <w:sz w:val="22"/>
                <w:szCs w:val="22"/>
                <w:lang w:eastAsia="en-US"/>
              </w:rPr>
            </w:pPr>
          </w:p>
          <w:p w:rsidR="001D72A2" w:rsidRPr="00893BD1"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lastRenderedPageBreak/>
              <w:t>Esošu institūciju likvidācija</w:t>
            </w:r>
          </w:p>
        </w:tc>
        <w:tc>
          <w:tcPr>
            <w:tcW w:w="5557" w:type="dxa"/>
            <w:tcBorders>
              <w:top w:val="outset" w:sz="6" w:space="0" w:color="auto"/>
              <w:left w:val="outset" w:sz="6" w:space="0" w:color="auto"/>
              <w:bottom w:val="outset" w:sz="6" w:space="0" w:color="auto"/>
              <w:right w:val="outset" w:sz="6" w:space="0" w:color="auto"/>
            </w:tcBorders>
          </w:tcPr>
          <w:p w:rsidR="001E53FD" w:rsidRPr="0091098E" w:rsidRDefault="001D72A2" w:rsidP="00865ABB">
            <w:pPr>
              <w:autoSpaceDE w:val="0"/>
              <w:autoSpaceDN w:val="0"/>
              <w:adjustRightInd w:val="0"/>
              <w:jc w:val="both"/>
              <w:rPr>
                <w:rFonts w:eastAsia="Calibri"/>
                <w:bCs/>
                <w:color w:val="000000"/>
                <w:lang w:eastAsia="en-US"/>
              </w:rPr>
            </w:pPr>
            <w:r>
              <w:lastRenderedPageBreak/>
              <w:t>Saistībā ar MK noteikumu projekta izpildi nav nepieciešams veidot jaunas institūcijas</w:t>
            </w:r>
            <w:r w:rsidRPr="0091098E">
              <w:t>.</w:t>
            </w:r>
            <w:r w:rsidR="00865ABB">
              <w:t xml:space="preserve"> MK noteikumu projekts paredz ar veselības veic</w:t>
            </w:r>
            <w:r w:rsidR="008B3FAE">
              <w:t xml:space="preserve">ināšanas politikas </w:t>
            </w:r>
            <w:r w:rsidR="008B3FAE">
              <w:lastRenderedPageBreak/>
              <w:t>īstenošanas</w:t>
            </w:r>
            <w:r w:rsidR="00865ABB">
              <w:t xml:space="preserve"> koordināciju saistīto</w:t>
            </w:r>
            <w:r w:rsidR="008B3FAE">
              <w:t>s</w:t>
            </w:r>
            <w:r w:rsidR="00865ABB">
              <w:t xml:space="preserve"> pārvaldes uzdevumus no ministrijas nodot SPKC.</w:t>
            </w:r>
          </w:p>
        </w:tc>
      </w:tr>
      <w:tr w:rsidR="001D72A2" w:rsidRPr="00487786" w:rsidTr="00591749">
        <w:tc>
          <w:tcPr>
            <w:tcW w:w="3574" w:type="dxa"/>
            <w:tcBorders>
              <w:top w:val="outset" w:sz="6" w:space="0" w:color="auto"/>
              <w:left w:val="outset" w:sz="6" w:space="0" w:color="auto"/>
              <w:bottom w:val="outset" w:sz="6" w:space="0" w:color="auto"/>
              <w:right w:val="outset" w:sz="6" w:space="0" w:color="auto"/>
            </w:tcBorders>
            <w:hideMark/>
          </w:tcPr>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lastRenderedPageBreak/>
              <w:t>5. Projekta izpildes ietekme uz pārvaldes</w:t>
            </w:r>
          </w:p>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institucionālo struktūru.</w:t>
            </w:r>
          </w:p>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Esošu institūciju reorganizācija</w:t>
            </w:r>
          </w:p>
          <w:p w:rsidR="001D72A2" w:rsidRPr="0091098E" w:rsidRDefault="001D72A2" w:rsidP="001D72A2">
            <w:pPr>
              <w:autoSpaceDE w:val="0"/>
              <w:autoSpaceDN w:val="0"/>
              <w:adjustRightInd w:val="0"/>
              <w:rPr>
                <w:rFonts w:eastAsia="Calibri"/>
                <w:color w:val="000000"/>
                <w:sz w:val="22"/>
                <w:szCs w:val="22"/>
                <w:lang w:eastAsia="en-US"/>
              </w:rPr>
            </w:pPr>
          </w:p>
        </w:tc>
        <w:tc>
          <w:tcPr>
            <w:tcW w:w="5557" w:type="dxa"/>
            <w:tcBorders>
              <w:top w:val="outset" w:sz="6" w:space="0" w:color="auto"/>
              <w:left w:val="outset" w:sz="6" w:space="0" w:color="auto"/>
              <w:bottom w:val="outset" w:sz="6" w:space="0" w:color="auto"/>
              <w:right w:val="outset" w:sz="6" w:space="0" w:color="auto"/>
            </w:tcBorders>
          </w:tcPr>
          <w:p w:rsidR="001D72A2" w:rsidRDefault="001D72A2" w:rsidP="001D72A2">
            <w:pPr>
              <w:widowControl w:val="0"/>
              <w:autoSpaceDE w:val="0"/>
              <w:autoSpaceDN w:val="0"/>
              <w:adjustRightInd w:val="0"/>
              <w:jc w:val="both"/>
            </w:pPr>
            <w:r>
              <w:t>Saistībā ar MK noteikumu projekta izpildi nav plānots likvidēt esošu institūciju.</w:t>
            </w:r>
          </w:p>
          <w:p w:rsidR="008423B5" w:rsidRPr="008423B5" w:rsidRDefault="00865ABB" w:rsidP="00865ABB">
            <w:pPr>
              <w:autoSpaceDE w:val="0"/>
              <w:autoSpaceDN w:val="0"/>
              <w:adjustRightInd w:val="0"/>
              <w:jc w:val="both"/>
            </w:pPr>
            <w:r>
              <w:t>MK noteikumu projekts paredz ar veselības veic</w:t>
            </w:r>
            <w:r w:rsidR="008B3FAE">
              <w:t>ināšanas politikas īstenošanas</w:t>
            </w:r>
            <w:r>
              <w:t xml:space="preserve"> koordināciju saistīto pārvaldes uzdevumus no ministrijas nodot SPKC.</w:t>
            </w:r>
          </w:p>
        </w:tc>
      </w:tr>
      <w:tr w:rsidR="001D72A2" w:rsidRPr="00487786" w:rsidTr="00591749">
        <w:tc>
          <w:tcPr>
            <w:tcW w:w="3574" w:type="dxa"/>
            <w:tcBorders>
              <w:top w:val="outset" w:sz="6" w:space="0" w:color="auto"/>
              <w:left w:val="outset" w:sz="6" w:space="0" w:color="auto"/>
              <w:bottom w:val="outset" w:sz="6" w:space="0" w:color="auto"/>
              <w:right w:val="outset" w:sz="6" w:space="0" w:color="auto"/>
            </w:tcBorders>
            <w:hideMark/>
          </w:tcPr>
          <w:p w:rsidR="001D72A2" w:rsidRPr="0091098E" w:rsidRDefault="001D72A2" w:rsidP="001D72A2">
            <w:pPr>
              <w:autoSpaceDE w:val="0"/>
              <w:autoSpaceDN w:val="0"/>
              <w:adjustRightInd w:val="0"/>
              <w:rPr>
                <w:rFonts w:eastAsia="Calibri"/>
                <w:color w:val="000000"/>
                <w:sz w:val="22"/>
                <w:szCs w:val="22"/>
                <w:lang w:eastAsia="en-US"/>
              </w:rPr>
            </w:pPr>
            <w:r w:rsidRPr="0091098E">
              <w:rPr>
                <w:rFonts w:eastAsia="Calibri"/>
                <w:color w:val="000000"/>
                <w:sz w:val="22"/>
                <w:szCs w:val="22"/>
                <w:lang w:eastAsia="en-US"/>
              </w:rPr>
              <w:t>6. Cita informācija</w:t>
            </w:r>
          </w:p>
        </w:tc>
        <w:tc>
          <w:tcPr>
            <w:tcW w:w="5557" w:type="dxa"/>
            <w:tcBorders>
              <w:top w:val="outset" w:sz="6" w:space="0" w:color="auto"/>
              <w:left w:val="outset" w:sz="6" w:space="0" w:color="auto"/>
              <w:bottom w:val="outset" w:sz="6" w:space="0" w:color="auto"/>
              <w:right w:val="outset" w:sz="6" w:space="0" w:color="auto"/>
            </w:tcBorders>
          </w:tcPr>
          <w:p w:rsidR="001D72A2" w:rsidRPr="0091098E" w:rsidRDefault="001D72A2" w:rsidP="001D72A2">
            <w:pPr>
              <w:autoSpaceDE w:val="0"/>
              <w:autoSpaceDN w:val="0"/>
              <w:adjustRightInd w:val="0"/>
              <w:rPr>
                <w:rFonts w:eastAsia="Calibri"/>
                <w:bCs/>
                <w:color w:val="000000"/>
                <w:lang w:eastAsia="en-US"/>
              </w:rPr>
            </w:pPr>
            <w:r w:rsidRPr="0091098E">
              <w:rPr>
                <w:rFonts w:eastAsia="Calibri"/>
                <w:bCs/>
                <w:color w:val="000000"/>
                <w:lang w:eastAsia="en-US"/>
              </w:rPr>
              <w:t>Nav</w:t>
            </w:r>
          </w:p>
        </w:tc>
      </w:tr>
    </w:tbl>
    <w:p w:rsidR="00E92573" w:rsidRPr="00487786" w:rsidRDefault="00E92573" w:rsidP="00C127B5">
      <w:pPr>
        <w:pStyle w:val="naisf"/>
        <w:spacing w:before="0" w:after="0"/>
        <w:ind w:firstLine="0"/>
        <w:jc w:val="center"/>
        <w:rPr>
          <w:color w:val="000000"/>
          <w:sz w:val="28"/>
          <w:szCs w:val="28"/>
        </w:rPr>
      </w:pPr>
    </w:p>
    <w:p w:rsidR="00C127B5" w:rsidRPr="00487786" w:rsidRDefault="00C127B5" w:rsidP="00C127B5">
      <w:pPr>
        <w:rPr>
          <w:color w:val="000000"/>
          <w:sz w:val="28"/>
          <w:szCs w:val="28"/>
        </w:rPr>
      </w:pPr>
    </w:p>
    <w:p w:rsidR="00C127B5" w:rsidRPr="00487786" w:rsidRDefault="00C127B5" w:rsidP="00797123">
      <w:pPr>
        <w:pStyle w:val="naisf"/>
        <w:tabs>
          <w:tab w:val="left" w:pos="6804"/>
        </w:tabs>
        <w:spacing w:before="0" w:after="0"/>
        <w:ind w:firstLine="0"/>
        <w:rPr>
          <w:color w:val="000000"/>
          <w:sz w:val="28"/>
          <w:szCs w:val="28"/>
        </w:rPr>
      </w:pPr>
      <w:r w:rsidRPr="00487786">
        <w:rPr>
          <w:color w:val="000000"/>
          <w:sz w:val="28"/>
          <w:szCs w:val="28"/>
        </w:rPr>
        <w:t>Veselības ministre</w:t>
      </w:r>
      <w:r w:rsidRPr="00487786">
        <w:rPr>
          <w:color w:val="000000"/>
          <w:sz w:val="28"/>
          <w:szCs w:val="28"/>
        </w:rPr>
        <w:tab/>
      </w:r>
      <w:r w:rsidR="00797123" w:rsidRPr="00487786">
        <w:rPr>
          <w:color w:val="000000"/>
          <w:sz w:val="28"/>
          <w:szCs w:val="28"/>
        </w:rPr>
        <w:t xml:space="preserve">                 </w:t>
      </w:r>
      <w:r w:rsidRPr="00487786">
        <w:rPr>
          <w:color w:val="000000"/>
          <w:sz w:val="28"/>
          <w:szCs w:val="28"/>
        </w:rPr>
        <w:t>I.Circene</w:t>
      </w:r>
    </w:p>
    <w:p w:rsidR="009D00D8" w:rsidRPr="00487786" w:rsidRDefault="009D00D8" w:rsidP="00500326">
      <w:pPr>
        <w:pStyle w:val="naisf"/>
        <w:tabs>
          <w:tab w:val="left" w:pos="720"/>
        </w:tabs>
        <w:spacing w:before="0" w:after="0"/>
        <w:ind w:firstLine="0"/>
        <w:rPr>
          <w:color w:val="000000"/>
          <w:sz w:val="18"/>
          <w:szCs w:val="18"/>
        </w:rPr>
      </w:pPr>
    </w:p>
    <w:p w:rsidR="006C6AFA" w:rsidRDefault="006C6AFA" w:rsidP="00500326">
      <w:pPr>
        <w:pStyle w:val="naisf"/>
        <w:tabs>
          <w:tab w:val="left" w:pos="720"/>
        </w:tabs>
        <w:spacing w:before="0" w:after="0"/>
        <w:ind w:firstLine="0"/>
        <w:rPr>
          <w:color w:val="000000"/>
          <w:sz w:val="18"/>
          <w:szCs w:val="18"/>
        </w:rPr>
      </w:pPr>
    </w:p>
    <w:p w:rsidR="000810B0" w:rsidRPr="00487786" w:rsidRDefault="000810B0" w:rsidP="00500326">
      <w:pPr>
        <w:pStyle w:val="naisf"/>
        <w:tabs>
          <w:tab w:val="left" w:pos="720"/>
        </w:tabs>
        <w:spacing w:before="0" w:after="0"/>
        <w:ind w:firstLine="0"/>
        <w:rPr>
          <w:color w:val="000000"/>
          <w:sz w:val="18"/>
          <w:szCs w:val="18"/>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B639EE" w:rsidRDefault="00B639EE"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45540C" w:rsidRDefault="0045540C" w:rsidP="00BE587C">
      <w:pPr>
        <w:jc w:val="both"/>
        <w:rPr>
          <w:sz w:val="22"/>
          <w:szCs w:val="22"/>
        </w:rPr>
      </w:pPr>
    </w:p>
    <w:p w:rsidR="00BE587C" w:rsidRPr="00660A9D" w:rsidRDefault="0062034F" w:rsidP="00BE587C">
      <w:pPr>
        <w:jc w:val="both"/>
        <w:rPr>
          <w:sz w:val="22"/>
          <w:szCs w:val="22"/>
        </w:rPr>
      </w:pPr>
      <w:r>
        <w:rPr>
          <w:sz w:val="22"/>
          <w:szCs w:val="22"/>
        </w:rPr>
        <w:t>08.10</w:t>
      </w:r>
      <w:r w:rsidR="002C6670" w:rsidRPr="00660A9D">
        <w:rPr>
          <w:sz w:val="22"/>
          <w:szCs w:val="22"/>
        </w:rPr>
        <w:t xml:space="preserve">.2012. </w:t>
      </w:r>
      <w:r w:rsidR="00543306">
        <w:rPr>
          <w:sz w:val="22"/>
          <w:szCs w:val="22"/>
        </w:rPr>
        <w:t>1</w:t>
      </w:r>
      <w:r w:rsidR="00343DE9">
        <w:rPr>
          <w:sz w:val="22"/>
          <w:szCs w:val="22"/>
        </w:rPr>
        <w:t>6:12</w:t>
      </w:r>
    </w:p>
    <w:p w:rsidR="00BE587C" w:rsidRPr="00660A9D" w:rsidRDefault="00343DE9" w:rsidP="00BE587C">
      <w:pPr>
        <w:jc w:val="both"/>
        <w:rPr>
          <w:sz w:val="22"/>
          <w:szCs w:val="22"/>
        </w:rPr>
      </w:pPr>
      <w:r>
        <w:rPr>
          <w:sz w:val="22"/>
          <w:szCs w:val="22"/>
        </w:rPr>
        <w:t>3844</w:t>
      </w:r>
    </w:p>
    <w:p w:rsidR="00BE587C" w:rsidRPr="00660A9D" w:rsidRDefault="00BE587C" w:rsidP="00BE587C">
      <w:pPr>
        <w:jc w:val="both"/>
        <w:rPr>
          <w:sz w:val="22"/>
          <w:szCs w:val="22"/>
        </w:rPr>
      </w:pPr>
      <w:proofErr w:type="spellStart"/>
      <w:r w:rsidRPr="00660A9D">
        <w:rPr>
          <w:sz w:val="22"/>
          <w:szCs w:val="22"/>
        </w:rPr>
        <w:t>S.Kukliča</w:t>
      </w:r>
      <w:proofErr w:type="spellEnd"/>
      <w:r w:rsidRPr="00660A9D">
        <w:rPr>
          <w:sz w:val="22"/>
          <w:szCs w:val="22"/>
        </w:rPr>
        <w:t>,</w:t>
      </w:r>
    </w:p>
    <w:p w:rsidR="00BE587C" w:rsidRPr="00660A9D" w:rsidRDefault="000830AC" w:rsidP="00BE587C">
      <w:pPr>
        <w:jc w:val="both"/>
        <w:rPr>
          <w:sz w:val="22"/>
          <w:szCs w:val="22"/>
        </w:rPr>
      </w:pPr>
      <w:bookmarkStart w:id="4" w:name="OLE_LINK11"/>
      <w:bookmarkStart w:id="5" w:name="OLE_LINK12"/>
      <w:r w:rsidRPr="00660A9D">
        <w:rPr>
          <w:sz w:val="22"/>
          <w:szCs w:val="22"/>
        </w:rPr>
        <w:t>sanita.kuklica@vm.gov.lv</w:t>
      </w:r>
    </w:p>
    <w:p w:rsidR="00E04EDE" w:rsidRPr="00660A9D" w:rsidRDefault="00BE587C" w:rsidP="00FF3D8B">
      <w:pPr>
        <w:jc w:val="both"/>
        <w:rPr>
          <w:color w:val="000000"/>
          <w:sz w:val="22"/>
          <w:szCs w:val="22"/>
        </w:rPr>
      </w:pPr>
      <w:r w:rsidRPr="00660A9D">
        <w:rPr>
          <w:rFonts w:eastAsia="Calibri"/>
          <w:color w:val="000000"/>
          <w:sz w:val="22"/>
          <w:szCs w:val="22"/>
          <w:lang w:eastAsia="en-US"/>
        </w:rPr>
        <w:t>67876074</w:t>
      </w:r>
      <w:bookmarkEnd w:id="4"/>
      <w:bookmarkEnd w:id="5"/>
    </w:p>
    <w:sectPr w:rsidR="00E04EDE" w:rsidRPr="00660A9D" w:rsidSect="00295EE9">
      <w:headerReference w:type="default" r:id="rId8"/>
      <w:footerReference w:type="default" r:id="rId9"/>
      <w:footerReference w:type="first" r:id="rId10"/>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26" w:rsidRDefault="00C64F26" w:rsidP="000B76E3">
      <w:r>
        <w:separator/>
      </w:r>
    </w:p>
  </w:endnote>
  <w:endnote w:type="continuationSeparator" w:id="0">
    <w:p w:rsidR="00C64F26" w:rsidRDefault="00C64F26" w:rsidP="000B7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26" w:rsidRPr="008423B5" w:rsidRDefault="00C64F26" w:rsidP="008423B5">
    <w:pPr>
      <w:jc w:val="both"/>
      <w:rPr>
        <w:sz w:val="20"/>
        <w:szCs w:val="20"/>
      </w:rPr>
    </w:pPr>
    <w:r w:rsidRPr="008423B5">
      <w:rPr>
        <w:sz w:val="20"/>
        <w:szCs w:val="20"/>
      </w:rPr>
      <w:t>VManot_</w:t>
    </w:r>
    <w:r>
      <w:rPr>
        <w:sz w:val="20"/>
        <w:szCs w:val="20"/>
      </w:rPr>
      <w:t>081012</w:t>
    </w:r>
    <w:r w:rsidRPr="008423B5">
      <w:rPr>
        <w:sz w:val="20"/>
        <w:szCs w:val="20"/>
      </w:rPr>
      <w:t xml:space="preserve">; </w:t>
    </w:r>
    <w:bookmarkStart w:id="6" w:name="OLE_LINK9"/>
    <w:bookmarkStart w:id="7" w:name="OLE_LINK10"/>
    <w:r w:rsidRPr="008423B5">
      <w:rPr>
        <w:bCs/>
        <w:sz w:val="20"/>
        <w:szCs w:val="20"/>
      </w:rPr>
      <w:t>Ministru kabineta noteikumu projekta „</w:t>
    </w:r>
    <w:r w:rsidRPr="008423B5">
      <w:rPr>
        <w:sz w:val="20"/>
        <w:szCs w:val="20"/>
      </w:rPr>
      <w:t xml:space="preserve">Grozījumi Ministru kabineta 2012.gada 3.aprīļa noteikumos Nr.241 „Slimību profilakses un kontroles centra nolikums sākotnējās ietekmes novērtējuma </w:t>
    </w:r>
    <w:smartTag w:uri="schemas-tilde-lv/tildestengine" w:element="veidnes">
      <w:smartTagPr>
        <w:attr w:name="text" w:val="ziņojums"/>
        <w:attr w:name="baseform" w:val="ziņojums"/>
        <w:attr w:name="id" w:val="-1"/>
      </w:smartTagPr>
      <w:r w:rsidRPr="008423B5">
        <w:rPr>
          <w:sz w:val="20"/>
          <w:szCs w:val="20"/>
        </w:rPr>
        <w:t>ziņojums</w:t>
      </w:r>
    </w:smartTag>
    <w:r w:rsidRPr="008423B5">
      <w:rPr>
        <w:sz w:val="20"/>
        <w:szCs w:val="20"/>
      </w:rPr>
      <w:t xml:space="preserve"> </w:t>
    </w:r>
    <w:bookmarkEnd w:id="6"/>
    <w:bookmarkEnd w:id="7"/>
    <w:r w:rsidRPr="008423B5">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26" w:rsidRPr="00E018A1" w:rsidRDefault="00C64F26" w:rsidP="00EE13D7">
    <w:pPr>
      <w:jc w:val="both"/>
      <w:rPr>
        <w:sz w:val="20"/>
        <w:szCs w:val="20"/>
      </w:rPr>
    </w:pPr>
    <w:r>
      <w:rPr>
        <w:sz w:val="20"/>
        <w:szCs w:val="20"/>
      </w:rPr>
      <w:t>VManot_081012</w:t>
    </w:r>
    <w:r w:rsidRPr="00BC1B14">
      <w:rPr>
        <w:sz w:val="20"/>
        <w:szCs w:val="20"/>
      </w:rPr>
      <w:t xml:space="preserve">; </w:t>
    </w:r>
    <w:r w:rsidRPr="00BC1B14">
      <w:rPr>
        <w:bCs/>
        <w:sz w:val="20"/>
        <w:szCs w:val="20"/>
      </w:rPr>
      <w:t>Mini</w:t>
    </w:r>
    <w:r>
      <w:rPr>
        <w:bCs/>
        <w:sz w:val="20"/>
        <w:szCs w:val="20"/>
      </w:rPr>
      <w:t>stru kabineta noteikumu projekta</w:t>
    </w:r>
    <w:r w:rsidRPr="00BC1B14">
      <w:rPr>
        <w:bCs/>
        <w:sz w:val="20"/>
        <w:szCs w:val="20"/>
      </w:rPr>
      <w:t xml:space="preserve"> „</w:t>
    </w:r>
    <w:r>
      <w:rPr>
        <w:bCs/>
        <w:sz w:val="20"/>
        <w:szCs w:val="20"/>
      </w:rPr>
      <w:t xml:space="preserve">Grozījumi </w:t>
    </w:r>
    <w:r w:rsidRPr="00BC1B14">
      <w:rPr>
        <w:sz w:val="20"/>
        <w:szCs w:val="20"/>
      </w:rPr>
      <w:t xml:space="preserve">Slimību profilakses un kontroles centra nolikums” sākotnējās ietekmes novērtējuma </w:t>
    </w:r>
    <w:smartTag w:uri="schemas-tilde-lv/tildestengine" w:element="veidnes">
      <w:smartTagPr>
        <w:attr w:name="text" w:val="ziņojums"/>
        <w:attr w:name="baseform" w:val="ziņojums"/>
        <w:attr w:name="id" w:val="-1"/>
      </w:smartTagPr>
      <w:r w:rsidRPr="00BC1B14">
        <w:rPr>
          <w:sz w:val="20"/>
          <w:szCs w:val="20"/>
        </w:rPr>
        <w:t>ziņojums</w:t>
      </w:r>
    </w:smartTag>
    <w:r w:rsidRPr="00BC1B14">
      <w:rPr>
        <w:sz w:val="20"/>
        <w:szCs w:val="20"/>
      </w:rPr>
      <w:t xml:space="preserve"> (anotācija)</w:t>
    </w:r>
  </w:p>
  <w:p w:rsidR="00C64F26" w:rsidRPr="00D42719" w:rsidRDefault="00C64F26" w:rsidP="005A03E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26" w:rsidRDefault="00C64F26" w:rsidP="000B76E3">
      <w:r>
        <w:separator/>
      </w:r>
    </w:p>
  </w:footnote>
  <w:footnote w:type="continuationSeparator" w:id="0">
    <w:p w:rsidR="00C64F26" w:rsidRDefault="00C64F26" w:rsidP="000B76E3">
      <w:r>
        <w:continuationSeparator/>
      </w:r>
    </w:p>
  </w:footnote>
  <w:footnote w:id="1">
    <w:p w:rsidR="00C64F26" w:rsidRPr="007401B9" w:rsidRDefault="00C64F26" w:rsidP="00F46283">
      <w:pPr>
        <w:pStyle w:val="Vresteksts"/>
        <w:jc w:val="both"/>
      </w:pPr>
      <w:r w:rsidRPr="007401B9">
        <w:rPr>
          <w:rStyle w:val="Vresatsauce"/>
        </w:rPr>
        <w:footnoteRef/>
      </w:r>
      <w:r w:rsidRPr="007401B9">
        <w:t xml:space="preserve"> </w:t>
      </w:r>
      <w:proofErr w:type="spellStart"/>
      <w:r w:rsidRPr="007401B9">
        <w:t>Busse</w:t>
      </w:r>
      <w:proofErr w:type="spellEnd"/>
      <w:r w:rsidRPr="007401B9">
        <w:t xml:space="preserve"> R. </w:t>
      </w:r>
      <w:proofErr w:type="spellStart"/>
      <w:r w:rsidRPr="007401B9">
        <w:t>et</w:t>
      </w:r>
      <w:proofErr w:type="spellEnd"/>
      <w:r w:rsidRPr="007401B9">
        <w:t xml:space="preserve"> </w:t>
      </w:r>
      <w:proofErr w:type="spellStart"/>
      <w:r w:rsidRPr="007401B9">
        <w:t>al</w:t>
      </w:r>
      <w:proofErr w:type="spellEnd"/>
      <w:r w:rsidRPr="007401B9">
        <w:t xml:space="preserve">, </w:t>
      </w:r>
      <w:proofErr w:type="spellStart"/>
      <w:r w:rsidRPr="007401B9">
        <w:t>Tackling</w:t>
      </w:r>
      <w:proofErr w:type="spellEnd"/>
      <w:r w:rsidRPr="007401B9">
        <w:t xml:space="preserve"> </w:t>
      </w:r>
      <w:proofErr w:type="spellStart"/>
      <w:r w:rsidRPr="007401B9">
        <w:t>chronic</w:t>
      </w:r>
      <w:proofErr w:type="spellEnd"/>
      <w:r w:rsidRPr="007401B9">
        <w:t xml:space="preserve"> </w:t>
      </w:r>
      <w:proofErr w:type="spellStart"/>
      <w:r w:rsidRPr="007401B9">
        <w:t>disease</w:t>
      </w:r>
      <w:proofErr w:type="spellEnd"/>
      <w:r w:rsidRPr="007401B9">
        <w:t xml:space="preserve"> </w:t>
      </w:r>
      <w:proofErr w:type="spellStart"/>
      <w:r w:rsidRPr="007401B9">
        <w:t>in</w:t>
      </w:r>
      <w:proofErr w:type="spellEnd"/>
      <w:r w:rsidRPr="007401B9">
        <w:t xml:space="preserve"> </w:t>
      </w:r>
      <w:proofErr w:type="spellStart"/>
      <w:r w:rsidRPr="007401B9">
        <w:t>Europe</w:t>
      </w:r>
      <w:proofErr w:type="spellEnd"/>
      <w:r w:rsidRPr="007401B9">
        <w:t xml:space="preserve">. </w:t>
      </w:r>
      <w:proofErr w:type="spellStart"/>
      <w:r w:rsidRPr="007401B9">
        <w:t>Strategies</w:t>
      </w:r>
      <w:proofErr w:type="spellEnd"/>
      <w:r w:rsidRPr="007401B9">
        <w:t xml:space="preserve">, </w:t>
      </w:r>
      <w:proofErr w:type="spellStart"/>
      <w:r w:rsidRPr="007401B9">
        <w:t>interventions</w:t>
      </w:r>
      <w:proofErr w:type="spellEnd"/>
      <w:r w:rsidRPr="007401B9">
        <w:t xml:space="preserve"> </w:t>
      </w:r>
      <w:proofErr w:type="spellStart"/>
      <w:r w:rsidRPr="007401B9">
        <w:t>and</w:t>
      </w:r>
      <w:proofErr w:type="spellEnd"/>
      <w:r w:rsidRPr="007401B9">
        <w:t xml:space="preserve"> </w:t>
      </w:r>
      <w:proofErr w:type="spellStart"/>
      <w:r w:rsidRPr="007401B9">
        <w:t>challenges</w:t>
      </w:r>
      <w:proofErr w:type="spellEnd"/>
      <w:r w:rsidRPr="007401B9">
        <w:t>. WHO, 2010, http://www.euro.who.int/__data/assets/pdf_file/0008/96632/E93736.pdf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26" w:rsidRDefault="00C64F26" w:rsidP="008A2196">
    <w:pPr>
      <w:pStyle w:val="Galvene"/>
      <w:jc w:val="center"/>
    </w:pPr>
    <w:fldSimple w:instr=" PAGE   \* MERGEFORMAT ">
      <w:r w:rsidR="00343DE9">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8CB"/>
    <w:multiLevelType w:val="hybridMultilevel"/>
    <w:tmpl w:val="09AEB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173EFA"/>
    <w:multiLevelType w:val="hybridMultilevel"/>
    <w:tmpl w:val="F36AF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194D07"/>
    <w:multiLevelType w:val="hybridMultilevel"/>
    <w:tmpl w:val="F36AF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3541A8"/>
    <w:multiLevelType w:val="hybridMultilevel"/>
    <w:tmpl w:val="3D10E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8C6DEE"/>
    <w:multiLevelType w:val="hybridMultilevel"/>
    <w:tmpl w:val="198433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02700"/>
    <w:multiLevelType w:val="hybridMultilevel"/>
    <w:tmpl w:val="80EA0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1940DA"/>
    <w:multiLevelType w:val="hybridMultilevel"/>
    <w:tmpl w:val="C5ACE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1408BD"/>
    <w:multiLevelType w:val="hybridMultilevel"/>
    <w:tmpl w:val="76204570"/>
    <w:lvl w:ilvl="0" w:tplc="4E9AD95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42CB1"/>
    <w:multiLevelType w:val="hybridMultilevel"/>
    <w:tmpl w:val="78B08A86"/>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9">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90828"/>
    <w:multiLevelType w:val="hybridMultilevel"/>
    <w:tmpl w:val="B016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741293"/>
    <w:multiLevelType w:val="hybridMultilevel"/>
    <w:tmpl w:val="637AD080"/>
    <w:lvl w:ilvl="0" w:tplc="45D2E6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F5623"/>
    <w:multiLevelType w:val="hybridMultilevel"/>
    <w:tmpl w:val="9F3678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8B4962"/>
    <w:multiLevelType w:val="hybridMultilevel"/>
    <w:tmpl w:val="22043C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24246"/>
    <w:multiLevelType w:val="hybridMultilevel"/>
    <w:tmpl w:val="61E4E13C"/>
    <w:lvl w:ilvl="0" w:tplc="423A04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76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D55C30"/>
    <w:multiLevelType w:val="hybridMultilevel"/>
    <w:tmpl w:val="F27289F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35D02CDF"/>
    <w:multiLevelType w:val="hybridMultilevel"/>
    <w:tmpl w:val="9ABA559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DB32B2"/>
    <w:multiLevelType w:val="hybridMultilevel"/>
    <w:tmpl w:val="86DC0F2A"/>
    <w:lvl w:ilvl="0" w:tplc="FEE67E74">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296228"/>
    <w:multiLevelType w:val="hybridMultilevel"/>
    <w:tmpl w:val="F36AF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39209E4"/>
    <w:multiLevelType w:val="hybridMultilevel"/>
    <w:tmpl w:val="5BBCC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277B6"/>
    <w:multiLevelType w:val="hybridMultilevel"/>
    <w:tmpl w:val="B68E0D32"/>
    <w:lvl w:ilvl="0" w:tplc="02AE1A0C">
      <w:start w:val="1"/>
      <w:numFmt w:val="decimal"/>
      <w:lvlText w:val="%1."/>
      <w:lvlJc w:val="left"/>
      <w:pPr>
        <w:ind w:left="3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7E5B08"/>
    <w:multiLevelType w:val="hybridMultilevel"/>
    <w:tmpl w:val="AA0E5FBC"/>
    <w:lvl w:ilvl="0" w:tplc="21647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951EE"/>
    <w:multiLevelType w:val="hybridMultilevel"/>
    <w:tmpl w:val="ABFC5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A4666C"/>
    <w:multiLevelType w:val="hybridMultilevel"/>
    <w:tmpl w:val="D7E4D7CA"/>
    <w:lvl w:ilvl="0" w:tplc="89C6006E">
      <w:start w:val="7"/>
      <w:numFmt w:val="bullet"/>
      <w:lvlText w:val="-"/>
      <w:lvlJc w:val="left"/>
      <w:pPr>
        <w:ind w:left="492" w:hanging="360"/>
      </w:pPr>
      <w:rPr>
        <w:rFonts w:ascii="Times New Roman" w:eastAsia="Times New Roman" w:hAnsi="Times New Roman" w:cs="Times New Roman" w:hint="default"/>
        <w:color w:val="000000"/>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26">
    <w:nsid w:val="52E85D39"/>
    <w:multiLevelType w:val="hybridMultilevel"/>
    <w:tmpl w:val="34A2B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EE38CA"/>
    <w:multiLevelType w:val="hybridMultilevel"/>
    <w:tmpl w:val="FA26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F5A00"/>
    <w:multiLevelType w:val="multilevel"/>
    <w:tmpl w:val="BA52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B90C48"/>
    <w:multiLevelType w:val="multilevel"/>
    <w:tmpl w:val="F2507556"/>
    <w:lvl w:ilvl="0">
      <w:start w:val="1"/>
      <w:numFmt w:val="decimal"/>
      <w:lvlText w:val="%1."/>
      <w:lvlJc w:val="left"/>
      <w:pPr>
        <w:ind w:left="405" w:hanging="405"/>
      </w:pPr>
      <w:rPr>
        <w:rFonts w:hint="default"/>
        <w:color w:val="000000"/>
      </w:rPr>
    </w:lvl>
    <w:lvl w:ilvl="1">
      <w:start w:val="1"/>
      <w:numFmt w:val="decimal"/>
      <w:isLgl/>
      <w:lvlText w:val="%1.%2."/>
      <w:lvlJc w:val="left"/>
      <w:pPr>
        <w:ind w:left="915" w:hanging="915"/>
      </w:pPr>
      <w:rPr>
        <w:rFonts w:hint="default"/>
      </w:rPr>
    </w:lvl>
    <w:lvl w:ilvl="2">
      <w:start w:val="2"/>
      <w:numFmt w:val="decimal"/>
      <w:isLgl/>
      <w:lvlText w:val="%1.%2.%3."/>
      <w:lvlJc w:val="left"/>
      <w:pPr>
        <w:ind w:left="915" w:hanging="915"/>
      </w:pPr>
      <w:rPr>
        <w:rFonts w:hint="default"/>
      </w:rPr>
    </w:lvl>
    <w:lvl w:ilvl="3">
      <w:start w:val="4"/>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3342076"/>
    <w:multiLevelType w:val="hybridMultilevel"/>
    <w:tmpl w:val="16E227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43A4990"/>
    <w:multiLevelType w:val="hybridMultilevel"/>
    <w:tmpl w:val="A5C4F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A3F4CA9"/>
    <w:multiLevelType w:val="hybridMultilevel"/>
    <w:tmpl w:val="52C49AF2"/>
    <w:lvl w:ilvl="0" w:tplc="403E09B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B0A3305"/>
    <w:multiLevelType w:val="hybridMultilevel"/>
    <w:tmpl w:val="640458B8"/>
    <w:lvl w:ilvl="0" w:tplc="BE9A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2756A"/>
    <w:multiLevelType w:val="hybridMultilevel"/>
    <w:tmpl w:val="58CAA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E5026"/>
    <w:multiLevelType w:val="hybridMultilevel"/>
    <w:tmpl w:val="FF68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6A3564"/>
    <w:multiLevelType w:val="hybridMultilevel"/>
    <w:tmpl w:val="F36AF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37"/>
  </w:num>
  <w:num w:numId="4">
    <w:abstractNumId w:val="29"/>
  </w:num>
  <w:num w:numId="5">
    <w:abstractNumId w:val="3"/>
  </w:num>
  <w:num w:numId="6">
    <w:abstractNumId w:val="18"/>
  </w:num>
  <w:num w:numId="7">
    <w:abstractNumId w:val="27"/>
  </w:num>
  <w:num w:numId="8">
    <w:abstractNumId w:val="8"/>
  </w:num>
  <w:num w:numId="9">
    <w:abstractNumId w:val="10"/>
  </w:num>
  <w:num w:numId="10">
    <w:abstractNumId w:val="6"/>
  </w:num>
  <w:num w:numId="11">
    <w:abstractNumId w:val="28"/>
  </w:num>
  <w:num w:numId="12">
    <w:abstractNumId w:val="20"/>
  </w:num>
  <w:num w:numId="13">
    <w:abstractNumId w:val="31"/>
  </w:num>
  <w:num w:numId="14">
    <w:abstractNumId w:val="24"/>
  </w:num>
  <w:num w:numId="15">
    <w:abstractNumId w:val="5"/>
  </w:num>
  <w:num w:numId="16">
    <w:abstractNumId w:val="17"/>
  </w:num>
  <w:num w:numId="17">
    <w:abstractNumId w:val="34"/>
  </w:num>
  <w:num w:numId="18">
    <w:abstractNumId w:val="4"/>
  </w:num>
  <w:num w:numId="19">
    <w:abstractNumId w:val="15"/>
  </w:num>
  <w:num w:numId="20">
    <w:abstractNumId w:val="23"/>
  </w:num>
  <w:num w:numId="21">
    <w:abstractNumId w:val="33"/>
  </w:num>
  <w:num w:numId="22">
    <w:abstractNumId w:val="14"/>
  </w:num>
  <w:num w:numId="23">
    <w:abstractNumId w:val="7"/>
  </w:num>
  <w:num w:numId="24">
    <w:abstractNumId w:val="13"/>
  </w:num>
  <w:num w:numId="25">
    <w:abstractNumId w:val="11"/>
  </w:num>
  <w:num w:numId="26">
    <w:abstractNumId w:val="0"/>
  </w:num>
  <w:num w:numId="27">
    <w:abstractNumId w:val="25"/>
  </w:num>
  <w:num w:numId="28">
    <w:abstractNumId w:val="36"/>
  </w:num>
  <w:num w:numId="29">
    <w:abstractNumId w:val="1"/>
  </w:num>
  <w:num w:numId="30">
    <w:abstractNumId w:val="19"/>
  </w:num>
  <w:num w:numId="31">
    <w:abstractNumId w:val="2"/>
  </w:num>
  <w:num w:numId="32">
    <w:abstractNumId w:val="12"/>
  </w:num>
  <w:num w:numId="33">
    <w:abstractNumId w:val="22"/>
  </w:num>
  <w:num w:numId="34">
    <w:abstractNumId w:val="32"/>
  </w:num>
  <w:num w:numId="35">
    <w:abstractNumId w:val="35"/>
  </w:num>
  <w:num w:numId="36">
    <w:abstractNumId w:val="16"/>
  </w:num>
  <w:num w:numId="37">
    <w:abstractNumId w:val="30"/>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rsids>
    <w:rsidRoot w:val="000B76E3"/>
    <w:rsid w:val="000015D8"/>
    <w:rsid w:val="00001721"/>
    <w:rsid w:val="000066F8"/>
    <w:rsid w:val="0001010E"/>
    <w:rsid w:val="00011B21"/>
    <w:rsid w:val="000165C2"/>
    <w:rsid w:val="000165D0"/>
    <w:rsid w:val="00023880"/>
    <w:rsid w:val="00035F91"/>
    <w:rsid w:val="00053A12"/>
    <w:rsid w:val="00055107"/>
    <w:rsid w:val="0006054B"/>
    <w:rsid w:val="00060668"/>
    <w:rsid w:val="000609A8"/>
    <w:rsid w:val="00066B9B"/>
    <w:rsid w:val="0006717A"/>
    <w:rsid w:val="00071EF8"/>
    <w:rsid w:val="00074177"/>
    <w:rsid w:val="00074D83"/>
    <w:rsid w:val="00077BEC"/>
    <w:rsid w:val="000810B0"/>
    <w:rsid w:val="000830AC"/>
    <w:rsid w:val="00084368"/>
    <w:rsid w:val="00090363"/>
    <w:rsid w:val="000908A6"/>
    <w:rsid w:val="00091873"/>
    <w:rsid w:val="00093EB3"/>
    <w:rsid w:val="00095F36"/>
    <w:rsid w:val="000963FD"/>
    <w:rsid w:val="000A2F77"/>
    <w:rsid w:val="000A3E19"/>
    <w:rsid w:val="000A517B"/>
    <w:rsid w:val="000A7655"/>
    <w:rsid w:val="000A7A5D"/>
    <w:rsid w:val="000B2EF7"/>
    <w:rsid w:val="000B76E3"/>
    <w:rsid w:val="000B7F78"/>
    <w:rsid w:val="000C0A18"/>
    <w:rsid w:val="000C31C5"/>
    <w:rsid w:val="000C5B0A"/>
    <w:rsid w:val="000D3708"/>
    <w:rsid w:val="000D3C2C"/>
    <w:rsid w:val="000D4D87"/>
    <w:rsid w:val="000D686F"/>
    <w:rsid w:val="000D6AF2"/>
    <w:rsid w:val="000D7322"/>
    <w:rsid w:val="000E2009"/>
    <w:rsid w:val="000E57F3"/>
    <w:rsid w:val="000F10FE"/>
    <w:rsid w:val="000F2B97"/>
    <w:rsid w:val="000F4943"/>
    <w:rsid w:val="000F5707"/>
    <w:rsid w:val="000F6117"/>
    <w:rsid w:val="00102883"/>
    <w:rsid w:val="001047B7"/>
    <w:rsid w:val="00107135"/>
    <w:rsid w:val="0011003A"/>
    <w:rsid w:val="001157C3"/>
    <w:rsid w:val="001158EF"/>
    <w:rsid w:val="00117116"/>
    <w:rsid w:val="001173F7"/>
    <w:rsid w:val="00122C08"/>
    <w:rsid w:val="0012419B"/>
    <w:rsid w:val="001257D1"/>
    <w:rsid w:val="00134FA0"/>
    <w:rsid w:val="00135F97"/>
    <w:rsid w:val="00136E95"/>
    <w:rsid w:val="00142066"/>
    <w:rsid w:val="001440A4"/>
    <w:rsid w:val="0014497A"/>
    <w:rsid w:val="00147C13"/>
    <w:rsid w:val="0015031A"/>
    <w:rsid w:val="00151F3E"/>
    <w:rsid w:val="00152EEF"/>
    <w:rsid w:val="00153238"/>
    <w:rsid w:val="00153E76"/>
    <w:rsid w:val="00156F2A"/>
    <w:rsid w:val="0016104F"/>
    <w:rsid w:val="001614AC"/>
    <w:rsid w:val="00162C8E"/>
    <w:rsid w:val="0016548C"/>
    <w:rsid w:val="00167548"/>
    <w:rsid w:val="00167F19"/>
    <w:rsid w:val="0017529A"/>
    <w:rsid w:val="00176477"/>
    <w:rsid w:val="0017728F"/>
    <w:rsid w:val="00180E70"/>
    <w:rsid w:val="00185FDF"/>
    <w:rsid w:val="00186DA0"/>
    <w:rsid w:val="00191B67"/>
    <w:rsid w:val="001A1824"/>
    <w:rsid w:val="001A2258"/>
    <w:rsid w:val="001A24F0"/>
    <w:rsid w:val="001A24F8"/>
    <w:rsid w:val="001A2720"/>
    <w:rsid w:val="001A3177"/>
    <w:rsid w:val="001A47CF"/>
    <w:rsid w:val="001A50F6"/>
    <w:rsid w:val="001B12E5"/>
    <w:rsid w:val="001B1720"/>
    <w:rsid w:val="001B2DEA"/>
    <w:rsid w:val="001C2327"/>
    <w:rsid w:val="001C3152"/>
    <w:rsid w:val="001C500B"/>
    <w:rsid w:val="001C524F"/>
    <w:rsid w:val="001C6A7F"/>
    <w:rsid w:val="001D1C01"/>
    <w:rsid w:val="001D5587"/>
    <w:rsid w:val="001D72A2"/>
    <w:rsid w:val="001E378B"/>
    <w:rsid w:val="001E53FD"/>
    <w:rsid w:val="001F14A7"/>
    <w:rsid w:val="001F5A34"/>
    <w:rsid w:val="002018AC"/>
    <w:rsid w:val="002028ED"/>
    <w:rsid w:val="00207049"/>
    <w:rsid w:val="00207105"/>
    <w:rsid w:val="002121D4"/>
    <w:rsid w:val="002141E0"/>
    <w:rsid w:val="002218F4"/>
    <w:rsid w:val="00221D39"/>
    <w:rsid w:val="0022505E"/>
    <w:rsid w:val="00225226"/>
    <w:rsid w:val="00227A67"/>
    <w:rsid w:val="00231C9C"/>
    <w:rsid w:val="002402E5"/>
    <w:rsid w:val="002428BD"/>
    <w:rsid w:val="00243F04"/>
    <w:rsid w:val="00243FDE"/>
    <w:rsid w:val="002448D5"/>
    <w:rsid w:val="0024555C"/>
    <w:rsid w:val="002462D9"/>
    <w:rsid w:val="00250CCD"/>
    <w:rsid w:val="00253602"/>
    <w:rsid w:val="002546D4"/>
    <w:rsid w:val="00256E87"/>
    <w:rsid w:val="002604F9"/>
    <w:rsid w:val="0027132A"/>
    <w:rsid w:val="00272781"/>
    <w:rsid w:val="00273165"/>
    <w:rsid w:val="002754FC"/>
    <w:rsid w:val="0028201E"/>
    <w:rsid w:val="00283F82"/>
    <w:rsid w:val="00295DE3"/>
    <w:rsid w:val="00295EE9"/>
    <w:rsid w:val="00296D8A"/>
    <w:rsid w:val="002A0088"/>
    <w:rsid w:val="002A13CC"/>
    <w:rsid w:val="002A4E72"/>
    <w:rsid w:val="002B2F6F"/>
    <w:rsid w:val="002B4BF4"/>
    <w:rsid w:val="002C03AA"/>
    <w:rsid w:val="002C6670"/>
    <w:rsid w:val="002D1E65"/>
    <w:rsid w:val="002D397E"/>
    <w:rsid w:val="002D4DE5"/>
    <w:rsid w:val="002D71DE"/>
    <w:rsid w:val="002D75F0"/>
    <w:rsid w:val="002E082D"/>
    <w:rsid w:val="002E29AF"/>
    <w:rsid w:val="002E5843"/>
    <w:rsid w:val="002E6DC4"/>
    <w:rsid w:val="002F2C1F"/>
    <w:rsid w:val="002F5833"/>
    <w:rsid w:val="002F5F8C"/>
    <w:rsid w:val="00301CC0"/>
    <w:rsid w:val="003030E7"/>
    <w:rsid w:val="00305197"/>
    <w:rsid w:val="00317202"/>
    <w:rsid w:val="00320D86"/>
    <w:rsid w:val="00326942"/>
    <w:rsid w:val="00327CFE"/>
    <w:rsid w:val="003347A2"/>
    <w:rsid w:val="0033503E"/>
    <w:rsid w:val="00335701"/>
    <w:rsid w:val="00336061"/>
    <w:rsid w:val="0034149E"/>
    <w:rsid w:val="00342BE2"/>
    <w:rsid w:val="00343DE9"/>
    <w:rsid w:val="00352159"/>
    <w:rsid w:val="003549CF"/>
    <w:rsid w:val="00356323"/>
    <w:rsid w:val="00357193"/>
    <w:rsid w:val="0035757B"/>
    <w:rsid w:val="00365831"/>
    <w:rsid w:val="003675A0"/>
    <w:rsid w:val="00376CEB"/>
    <w:rsid w:val="0038627C"/>
    <w:rsid w:val="003876FB"/>
    <w:rsid w:val="003A06D4"/>
    <w:rsid w:val="003B0F41"/>
    <w:rsid w:val="003B2FD5"/>
    <w:rsid w:val="003B357A"/>
    <w:rsid w:val="003C071C"/>
    <w:rsid w:val="003C269D"/>
    <w:rsid w:val="003C2AF2"/>
    <w:rsid w:val="003C3841"/>
    <w:rsid w:val="003C6A16"/>
    <w:rsid w:val="003C6FEA"/>
    <w:rsid w:val="003C7065"/>
    <w:rsid w:val="003C758A"/>
    <w:rsid w:val="003D0E47"/>
    <w:rsid w:val="003D3B59"/>
    <w:rsid w:val="003D6E95"/>
    <w:rsid w:val="003E492F"/>
    <w:rsid w:val="003F0A3E"/>
    <w:rsid w:val="003F209C"/>
    <w:rsid w:val="003F2B0F"/>
    <w:rsid w:val="003F2D0A"/>
    <w:rsid w:val="003F3023"/>
    <w:rsid w:val="003F456F"/>
    <w:rsid w:val="003F7CBA"/>
    <w:rsid w:val="00401D4B"/>
    <w:rsid w:val="00401E97"/>
    <w:rsid w:val="0040647D"/>
    <w:rsid w:val="00407A05"/>
    <w:rsid w:val="004107FA"/>
    <w:rsid w:val="00414007"/>
    <w:rsid w:val="0042086E"/>
    <w:rsid w:val="00421D50"/>
    <w:rsid w:val="004253F1"/>
    <w:rsid w:val="00432F14"/>
    <w:rsid w:val="0044240A"/>
    <w:rsid w:val="00442B0D"/>
    <w:rsid w:val="0044302B"/>
    <w:rsid w:val="00443C9A"/>
    <w:rsid w:val="0044418B"/>
    <w:rsid w:val="004456F9"/>
    <w:rsid w:val="0045120B"/>
    <w:rsid w:val="00451642"/>
    <w:rsid w:val="00451DD8"/>
    <w:rsid w:val="00453BF5"/>
    <w:rsid w:val="00453FB6"/>
    <w:rsid w:val="00454373"/>
    <w:rsid w:val="0045449C"/>
    <w:rsid w:val="0045540C"/>
    <w:rsid w:val="004617A2"/>
    <w:rsid w:val="0046276B"/>
    <w:rsid w:val="00464989"/>
    <w:rsid w:val="00464B98"/>
    <w:rsid w:val="00465930"/>
    <w:rsid w:val="0048203C"/>
    <w:rsid w:val="00482821"/>
    <w:rsid w:val="00483BDE"/>
    <w:rsid w:val="00484312"/>
    <w:rsid w:val="00487786"/>
    <w:rsid w:val="004909F7"/>
    <w:rsid w:val="00494A26"/>
    <w:rsid w:val="00495A00"/>
    <w:rsid w:val="00495D19"/>
    <w:rsid w:val="00497D14"/>
    <w:rsid w:val="004A0B94"/>
    <w:rsid w:val="004A1968"/>
    <w:rsid w:val="004A2B5D"/>
    <w:rsid w:val="004B3A37"/>
    <w:rsid w:val="004B5330"/>
    <w:rsid w:val="004B5405"/>
    <w:rsid w:val="004B6D17"/>
    <w:rsid w:val="004B7AFA"/>
    <w:rsid w:val="004C22DF"/>
    <w:rsid w:val="004C2675"/>
    <w:rsid w:val="004C2A00"/>
    <w:rsid w:val="004C513F"/>
    <w:rsid w:val="004D194F"/>
    <w:rsid w:val="004D4AFF"/>
    <w:rsid w:val="004D5203"/>
    <w:rsid w:val="004D6724"/>
    <w:rsid w:val="004E10EA"/>
    <w:rsid w:val="004E34F0"/>
    <w:rsid w:val="004E798B"/>
    <w:rsid w:val="004E7D32"/>
    <w:rsid w:val="004F41E2"/>
    <w:rsid w:val="004F58C0"/>
    <w:rsid w:val="00500326"/>
    <w:rsid w:val="005004E2"/>
    <w:rsid w:val="00501FDC"/>
    <w:rsid w:val="0050451A"/>
    <w:rsid w:val="00510BDA"/>
    <w:rsid w:val="00511C54"/>
    <w:rsid w:val="00512E91"/>
    <w:rsid w:val="00513AD5"/>
    <w:rsid w:val="0051449E"/>
    <w:rsid w:val="00516FAA"/>
    <w:rsid w:val="0052096B"/>
    <w:rsid w:val="00526EED"/>
    <w:rsid w:val="0053243E"/>
    <w:rsid w:val="00535675"/>
    <w:rsid w:val="00536889"/>
    <w:rsid w:val="0054013C"/>
    <w:rsid w:val="0054198D"/>
    <w:rsid w:val="0054212F"/>
    <w:rsid w:val="00543011"/>
    <w:rsid w:val="00543306"/>
    <w:rsid w:val="00547175"/>
    <w:rsid w:val="005510B7"/>
    <w:rsid w:val="00554DF9"/>
    <w:rsid w:val="00564534"/>
    <w:rsid w:val="005710B3"/>
    <w:rsid w:val="0057119B"/>
    <w:rsid w:val="00575251"/>
    <w:rsid w:val="005845A3"/>
    <w:rsid w:val="00590AD1"/>
    <w:rsid w:val="00591749"/>
    <w:rsid w:val="005924E8"/>
    <w:rsid w:val="005938F8"/>
    <w:rsid w:val="005A03EE"/>
    <w:rsid w:val="005A1A89"/>
    <w:rsid w:val="005A250A"/>
    <w:rsid w:val="005A5181"/>
    <w:rsid w:val="005A5352"/>
    <w:rsid w:val="005B334A"/>
    <w:rsid w:val="005B4405"/>
    <w:rsid w:val="005B4AB6"/>
    <w:rsid w:val="005B6E82"/>
    <w:rsid w:val="005B7066"/>
    <w:rsid w:val="005C3B1F"/>
    <w:rsid w:val="005C5D73"/>
    <w:rsid w:val="005D1E80"/>
    <w:rsid w:val="005D21BD"/>
    <w:rsid w:val="005D2D4B"/>
    <w:rsid w:val="005D621A"/>
    <w:rsid w:val="005D69FA"/>
    <w:rsid w:val="005E0E22"/>
    <w:rsid w:val="005E18CB"/>
    <w:rsid w:val="005E537F"/>
    <w:rsid w:val="005E64CE"/>
    <w:rsid w:val="005E69F4"/>
    <w:rsid w:val="005E70E9"/>
    <w:rsid w:val="005F0427"/>
    <w:rsid w:val="005F39AB"/>
    <w:rsid w:val="005F5A77"/>
    <w:rsid w:val="005F65BC"/>
    <w:rsid w:val="005F6AFA"/>
    <w:rsid w:val="0060028A"/>
    <w:rsid w:val="00603BB9"/>
    <w:rsid w:val="0060717F"/>
    <w:rsid w:val="006077F5"/>
    <w:rsid w:val="0062032B"/>
    <w:rsid w:val="0062034F"/>
    <w:rsid w:val="00626E32"/>
    <w:rsid w:val="00627597"/>
    <w:rsid w:val="0063762F"/>
    <w:rsid w:val="00642BC9"/>
    <w:rsid w:val="0064636E"/>
    <w:rsid w:val="0064741C"/>
    <w:rsid w:val="00647C0F"/>
    <w:rsid w:val="00656D5D"/>
    <w:rsid w:val="00660A9D"/>
    <w:rsid w:val="00663DCF"/>
    <w:rsid w:val="006670B7"/>
    <w:rsid w:val="006700ED"/>
    <w:rsid w:val="00670481"/>
    <w:rsid w:val="00680969"/>
    <w:rsid w:val="00685C32"/>
    <w:rsid w:val="00686824"/>
    <w:rsid w:val="00687979"/>
    <w:rsid w:val="006907FC"/>
    <w:rsid w:val="006915F8"/>
    <w:rsid w:val="00691B82"/>
    <w:rsid w:val="0069705D"/>
    <w:rsid w:val="006A007C"/>
    <w:rsid w:val="006A0120"/>
    <w:rsid w:val="006A0582"/>
    <w:rsid w:val="006A49F0"/>
    <w:rsid w:val="006A5C78"/>
    <w:rsid w:val="006B0CB1"/>
    <w:rsid w:val="006B14AD"/>
    <w:rsid w:val="006B456D"/>
    <w:rsid w:val="006B4903"/>
    <w:rsid w:val="006B4A8D"/>
    <w:rsid w:val="006B782F"/>
    <w:rsid w:val="006B7D37"/>
    <w:rsid w:val="006C0E9F"/>
    <w:rsid w:val="006C22F1"/>
    <w:rsid w:val="006C2A41"/>
    <w:rsid w:val="006C5042"/>
    <w:rsid w:val="006C6AFA"/>
    <w:rsid w:val="006C7D07"/>
    <w:rsid w:val="006D0421"/>
    <w:rsid w:val="006D1CCB"/>
    <w:rsid w:val="006D74AB"/>
    <w:rsid w:val="006D75A7"/>
    <w:rsid w:val="006D7713"/>
    <w:rsid w:val="006E4CA5"/>
    <w:rsid w:val="006E6D1B"/>
    <w:rsid w:val="006E72A3"/>
    <w:rsid w:val="006F0712"/>
    <w:rsid w:val="006F2C10"/>
    <w:rsid w:val="006F7F39"/>
    <w:rsid w:val="00703633"/>
    <w:rsid w:val="0070386C"/>
    <w:rsid w:val="007062CF"/>
    <w:rsid w:val="00706C2F"/>
    <w:rsid w:val="00712174"/>
    <w:rsid w:val="00714C2F"/>
    <w:rsid w:val="007157CD"/>
    <w:rsid w:val="00721068"/>
    <w:rsid w:val="0072114A"/>
    <w:rsid w:val="00722310"/>
    <w:rsid w:val="00722551"/>
    <w:rsid w:val="00726AF2"/>
    <w:rsid w:val="00727F85"/>
    <w:rsid w:val="007303CC"/>
    <w:rsid w:val="007304E7"/>
    <w:rsid w:val="00731B03"/>
    <w:rsid w:val="00731C91"/>
    <w:rsid w:val="00732F56"/>
    <w:rsid w:val="007339BD"/>
    <w:rsid w:val="007401B9"/>
    <w:rsid w:val="007430BC"/>
    <w:rsid w:val="00746F50"/>
    <w:rsid w:val="00747917"/>
    <w:rsid w:val="00747F85"/>
    <w:rsid w:val="0075138D"/>
    <w:rsid w:val="00751D2B"/>
    <w:rsid w:val="007546AC"/>
    <w:rsid w:val="00760867"/>
    <w:rsid w:val="007707CF"/>
    <w:rsid w:val="007708C0"/>
    <w:rsid w:val="007730BF"/>
    <w:rsid w:val="0077346F"/>
    <w:rsid w:val="0077572E"/>
    <w:rsid w:val="00777FFA"/>
    <w:rsid w:val="00780DC4"/>
    <w:rsid w:val="00781B18"/>
    <w:rsid w:val="00797123"/>
    <w:rsid w:val="007A07CA"/>
    <w:rsid w:val="007A1CC6"/>
    <w:rsid w:val="007B2E1A"/>
    <w:rsid w:val="007B31EF"/>
    <w:rsid w:val="007B459E"/>
    <w:rsid w:val="007B4808"/>
    <w:rsid w:val="007B6DEC"/>
    <w:rsid w:val="007C4D14"/>
    <w:rsid w:val="007D1314"/>
    <w:rsid w:val="007D5389"/>
    <w:rsid w:val="007D53CB"/>
    <w:rsid w:val="007D5EC2"/>
    <w:rsid w:val="007D7053"/>
    <w:rsid w:val="007D74C9"/>
    <w:rsid w:val="007E0970"/>
    <w:rsid w:val="007E1458"/>
    <w:rsid w:val="007F05D8"/>
    <w:rsid w:val="007F2512"/>
    <w:rsid w:val="007F5B83"/>
    <w:rsid w:val="007F601D"/>
    <w:rsid w:val="007F774C"/>
    <w:rsid w:val="00800393"/>
    <w:rsid w:val="008009D3"/>
    <w:rsid w:val="00803EEF"/>
    <w:rsid w:val="00805791"/>
    <w:rsid w:val="00805BDF"/>
    <w:rsid w:val="00806D35"/>
    <w:rsid w:val="00807F42"/>
    <w:rsid w:val="008106FF"/>
    <w:rsid w:val="00811066"/>
    <w:rsid w:val="00811BB0"/>
    <w:rsid w:val="00814DFE"/>
    <w:rsid w:val="00820760"/>
    <w:rsid w:val="008231CE"/>
    <w:rsid w:val="00824DCA"/>
    <w:rsid w:val="00832C12"/>
    <w:rsid w:val="00833D4B"/>
    <w:rsid w:val="00835DB6"/>
    <w:rsid w:val="00840160"/>
    <w:rsid w:val="0084116E"/>
    <w:rsid w:val="0084175A"/>
    <w:rsid w:val="008423B5"/>
    <w:rsid w:val="00846E3F"/>
    <w:rsid w:val="00847A7D"/>
    <w:rsid w:val="00851A51"/>
    <w:rsid w:val="0085389D"/>
    <w:rsid w:val="00854C99"/>
    <w:rsid w:val="00855C66"/>
    <w:rsid w:val="00855F0E"/>
    <w:rsid w:val="00860418"/>
    <w:rsid w:val="00861172"/>
    <w:rsid w:val="00865ABB"/>
    <w:rsid w:val="00865BFA"/>
    <w:rsid w:val="008667CF"/>
    <w:rsid w:val="00867FDE"/>
    <w:rsid w:val="00870B6A"/>
    <w:rsid w:val="00871D62"/>
    <w:rsid w:val="00872C08"/>
    <w:rsid w:val="00873611"/>
    <w:rsid w:val="00874FFB"/>
    <w:rsid w:val="008776B6"/>
    <w:rsid w:val="00883266"/>
    <w:rsid w:val="00883B29"/>
    <w:rsid w:val="00884AA9"/>
    <w:rsid w:val="00884CDB"/>
    <w:rsid w:val="0088722F"/>
    <w:rsid w:val="00895A5F"/>
    <w:rsid w:val="008A10C9"/>
    <w:rsid w:val="008A2196"/>
    <w:rsid w:val="008A6535"/>
    <w:rsid w:val="008B0035"/>
    <w:rsid w:val="008B0161"/>
    <w:rsid w:val="008B0B24"/>
    <w:rsid w:val="008B1AEC"/>
    <w:rsid w:val="008B1B91"/>
    <w:rsid w:val="008B35A1"/>
    <w:rsid w:val="008B3FAE"/>
    <w:rsid w:val="008B63D9"/>
    <w:rsid w:val="008B68A5"/>
    <w:rsid w:val="008B780F"/>
    <w:rsid w:val="008C11A9"/>
    <w:rsid w:val="008C1F66"/>
    <w:rsid w:val="008C394E"/>
    <w:rsid w:val="008C762F"/>
    <w:rsid w:val="008D3414"/>
    <w:rsid w:val="008D5F7E"/>
    <w:rsid w:val="008D7B8A"/>
    <w:rsid w:val="008E108F"/>
    <w:rsid w:val="008F3EDB"/>
    <w:rsid w:val="008F4574"/>
    <w:rsid w:val="008F7A09"/>
    <w:rsid w:val="00900D24"/>
    <w:rsid w:val="009044E3"/>
    <w:rsid w:val="009063FD"/>
    <w:rsid w:val="00912F5D"/>
    <w:rsid w:val="0091473F"/>
    <w:rsid w:val="0092090C"/>
    <w:rsid w:val="00922F97"/>
    <w:rsid w:val="009242EC"/>
    <w:rsid w:val="00926885"/>
    <w:rsid w:val="00926F1B"/>
    <w:rsid w:val="009270DD"/>
    <w:rsid w:val="00927FB6"/>
    <w:rsid w:val="00933578"/>
    <w:rsid w:val="00933E20"/>
    <w:rsid w:val="00935EFA"/>
    <w:rsid w:val="009362C3"/>
    <w:rsid w:val="00936CC2"/>
    <w:rsid w:val="00937659"/>
    <w:rsid w:val="00940805"/>
    <w:rsid w:val="00945315"/>
    <w:rsid w:val="00946494"/>
    <w:rsid w:val="00946E4F"/>
    <w:rsid w:val="009471A3"/>
    <w:rsid w:val="00950A51"/>
    <w:rsid w:val="00950C23"/>
    <w:rsid w:val="00953315"/>
    <w:rsid w:val="00953D4F"/>
    <w:rsid w:val="00954215"/>
    <w:rsid w:val="0095440D"/>
    <w:rsid w:val="00961501"/>
    <w:rsid w:val="00961D68"/>
    <w:rsid w:val="00965B5F"/>
    <w:rsid w:val="009719AA"/>
    <w:rsid w:val="00972AC5"/>
    <w:rsid w:val="009740B5"/>
    <w:rsid w:val="009744CD"/>
    <w:rsid w:val="00980CC2"/>
    <w:rsid w:val="009817AF"/>
    <w:rsid w:val="009847BA"/>
    <w:rsid w:val="00987D09"/>
    <w:rsid w:val="00987E90"/>
    <w:rsid w:val="00987EEC"/>
    <w:rsid w:val="00990750"/>
    <w:rsid w:val="00992D67"/>
    <w:rsid w:val="00993FFF"/>
    <w:rsid w:val="0099423D"/>
    <w:rsid w:val="00996EAD"/>
    <w:rsid w:val="009A1226"/>
    <w:rsid w:val="009A2E10"/>
    <w:rsid w:val="009A37EC"/>
    <w:rsid w:val="009A4636"/>
    <w:rsid w:val="009A5C52"/>
    <w:rsid w:val="009A5D39"/>
    <w:rsid w:val="009B0077"/>
    <w:rsid w:val="009B163C"/>
    <w:rsid w:val="009B2AE7"/>
    <w:rsid w:val="009C1EE3"/>
    <w:rsid w:val="009C5E55"/>
    <w:rsid w:val="009D00D8"/>
    <w:rsid w:val="009D043A"/>
    <w:rsid w:val="009D2119"/>
    <w:rsid w:val="009E0566"/>
    <w:rsid w:val="009E41FF"/>
    <w:rsid w:val="009E5A31"/>
    <w:rsid w:val="009E61F9"/>
    <w:rsid w:val="009F53B1"/>
    <w:rsid w:val="00A0279E"/>
    <w:rsid w:val="00A02D30"/>
    <w:rsid w:val="00A038F0"/>
    <w:rsid w:val="00A03FBA"/>
    <w:rsid w:val="00A07149"/>
    <w:rsid w:val="00A1068A"/>
    <w:rsid w:val="00A21DC9"/>
    <w:rsid w:val="00A23816"/>
    <w:rsid w:val="00A26E28"/>
    <w:rsid w:val="00A27308"/>
    <w:rsid w:val="00A27A7C"/>
    <w:rsid w:val="00A30D1D"/>
    <w:rsid w:val="00A316D9"/>
    <w:rsid w:val="00A32FFF"/>
    <w:rsid w:val="00A335C6"/>
    <w:rsid w:val="00A3592E"/>
    <w:rsid w:val="00A40083"/>
    <w:rsid w:val="00A4101F"/>
    <w:rsid w:val="00A417EF"/>
    <w:rsid w:val="00A454E4"/>
    <w:rsid w:val="00A46F53"/>
    <w:rsid w:val="00A5186A"/>
    <w:rsid w:val="00A52AF8"/>
    <w:rsid w:val="00A563EC"/>
    <w:rsid w:val="00A57852"/>
    <w:rsid w:val="00A63C13"/>
    <w:rsid w:val="00A64485"/>
    <w:rsid w:val="00A64A0D"/>
    <w:rsid w:val="00A66B66"/>
    <w:rsid w:val="00A6799B"/>
    <w:rsid w:val="00A731D0"/>
    <w:rsid w:val="00A73C4B"/>
    <w:rsid w:val="00A77116"/>
    <w:rsid w:val="00A8402D"/>
    <w:rsid w:val="00A916C2"/>
    <w:rsid w:val="00A96D7B"/>
    <w:rsid w:val="00AA2B42"/>
    <w:rsid w:val="00AA3CFE"/>
    <w:rsid w:val="00AB0572"/>
    <w:rsid w:val="00AB493B"/>
    <w:rsid w:val="00AB4AF1"/>
    <w:rsid w:val="00AB6464"/>
    <w:rsid w:val="00AB6735"/>
    <w:rsid w:val="00AB6920"/>
    <w:rsid w:val="00AC3081"/>
    <w:rsid w:val="00AD6B0F"/>
    <w:rsid w:val="00AE1134"/>
    <w:rsid w:val="00AE2001"/>
    <w:rsid w:val="00AE3C2C"/>
    <w:rsid w:val="00AE3E2F"/>
    <w:rsid w:val="00AE7052"/>
    <w:rsid w:val="00AF05C8"/>
    <w:rsid w:val="00AF1F78"/>
    <w:rsid w:val="00AF44A0"/>
    <w:rsid w:val="00AF5C0D"/>
    <w:rsid w:val="00AF68C7"/>
    <w:rsid w:val="00B00856"/>
    <w:rsid w:val="00B01955"/>
    <w:rsid w:val="00B01FD8"/>
    <w:rsid w:val="00B035EF"/>
    <w:rsid w:val="00B03892"/>
    <w:rsid w:val="00B06AD3"/>
    <w:rsid w:val="00B07A91"/>
    <w:rsid w:val="00B106F7"/>
    <w:rsid w:val="00B1322B"/>
    <w:rsid w:val="00B13A4B"/>
    <w:rsid w:val="00B14B8C"/>
    <w:rsid w:val="00B1533C"/>
    <w:rsid w:val="00B202AE"/>
    <w:rsid w:val="00B21682"/>
    <w:rsid w:val="00B21933"/>
    <w:rsid w:val="00B226DB"/>
    <w:rsid w:val="00B23190"/>
    <w:rsid w:val="00B33F2E"/>
    <w:rsid w:val="00B342D8"/>
    <w:rsid w:val="00B34935"/>
    <w:rsid w:val="00B35C39"/>
    <w:rsid w:val="00B35ED5"/>
    <w:rsid w:val="00B3737E"/>
    <w:rsid w:val="00B4478E"/>
    <w:rsid w:val="00B47825"/>
    <w:rsid w:val="00B50A51"/>
    <w:rsid w:val="00B51361"/>
    <w:rsid w:val="00B52767"/>
    <w:rsid w:val="00B55365"/>
    <w:rsid w:val="00B56A97"/>
    <w:rsid w:val="00B62ABC"/>
    <w:rsid w:val="00B639EE"/>
    <w:rsid w:val="00B649DD"/>
    <w:rsid w:val="00B65409"/>
    <w:rsid w:val="00B730D3"/>
    <w:rsid w:val="00B74719"/>
    <w:rsid w:val="00B74847"/>
    <w:rsid w:val="00B76529"/>
    <w:rsid w:val="00B76D59"/>
    <w:rsid w:val="00B81836"/>
    <w:rsid w:val="00B81926"/>
    <w:rsid w:val="00B831FD"/>
    <w:rsid w:val="00B84422"/>
    <w:rsid w:val="00B86EC1"/>
    <w:rsid w:val="00B90F5D"/>
    <w:rsid w:val="00B911A0"/>
    <w:rsid w:val="00B93545"/>
    <w:rsid w:val="00B94A51"/>
    <w:rsid w:val="00B96322"/>
    <w:rsid w:val="00BA077F"/>
    <w:rsid w:val="00BA2450"/>
    <w:rsid w:val="00BA25C1"/>
    <w:rsid w:val="00BA2B1A"/>
    <w:rsid w:val="00BA5D3F"/>
    <w:rsid w:val="00BA77C0"/>
    <w:rsid w:val="00BB1E11"/>
    <w:rsid w:val="00BB473B"/>
    <w:rsid w:val="00BB698F"/>
    <w:rsid w:val="00BB7FAD"/>
    <w:rsid w:val="00BC07AD"/>
    <w:rsid w:val="00BC182F"/>
    <w:rsid w:val="00BC1B14"/>
    <w:rsid w:val="00BC259F"/>
    <w:rsid w:val="00BC65B9"/>
    <w:rsid w:val="00BC79CB"/>
    <w:rsid w:val="00BD0F23"/>
    <w:rsid w:val="00BD3546"/>
    <w:rsid w:val="00BD3B1F"/>
    <w:rsid w:val="00BD63B2"/>
    <w:rsid w:val="00BD73DC"/>
    <w:rsid w:val="00BE1635"/>
    <w:rsid w:val="00BE578E"/>
    <w:rsid w:val="00BE587C"/>
    <w:rsid w:val="00BE61BE"/>
    <w:rsid w:val="00BF40CA"/>
    <w:rsid w:val="00BF4729"/>
    <w:rsid w:val="00BF4A80"/>
    <w:rsid w:val="00BF4AEA"/>
    <w:rsid w:val="00BF5100"/>
    <w:rsid w:val="00BF6196"/>
    <w:rsid w:val="00BF695A"/>
    <w:rsid w:val="00BF6BCA"/>
    <w:rsid w:val="00C0113E"/>
    <w:rsid w:val="00C011B1"/>
    <w:rsid w:val="00C011CC"/>
    <w:rsid w:val="00C01FE2"/>
    <w:rsid w:val="00C10129"/>
    <w:rsid w:val="00C11714"/>
    <w:rsid w:val="00C127B5"/>
    <w:rsid w:val="00C12F3B"/>
    <w:rsid w:val="00C146CB"/>
    <w:rsid w:val="00C14D72"/>
    <w:rsid w:val="00C2232F"/>
    <w:rsid w:val="00C223AB"/>
    <w:rsid w:val="00C22B9E"/>
    <w:rsid w:val="00C237E1"/>
    <w:rsid w:val="00C27B8B"/>
    <w:rsid w:val="00C326E8"/>
    <w:rsid w:val="00C3534F"/>
    <w:rsid w:val="00C3545F"/>
    <w:rsid w:val="00C36662"/>
    <w:rsid w:val="00C41841"/>
    <w:rsid w:val="00C46B17"/>
    <w:rsid w:val="00C56A90"/>
    <w:rsid w:val="00C62E21"/>
    <w:rsid w:val="00C64F26"/>
    <w:rsid w:val="00C676CE"/>
    <w:rsid w:val="00C703CD"/>
    <w:rsid w:val="00C74D07"/>
    <w:rsid w:val="00C81A36"/>
    <w:rsid w:val="00C82798"/>
    <w:rsid w:val="00C82BDA"/>
    <w:rsid w:val="00C8401B"/>
    <w:rsid w:val="00C84917"/>
    <w:rsid w:val="00C85858"/>
    <w:rsid w:val="00C85F00"/>
    <w:rsid w:val="00C87D54"/>
    <w:rsid w:val="00C96501"/>
    <w:rsid w:val="00CA5DAE"/>
    <w:rsid w:val="00CB047C"/>
    <w:rsid w:val="00CC3BAC"/>
    <w:rsid w:val="00CC4C06"/>
    <w:rsid w:val="00CC59AC"/>
    <w:rsid w:val="00CC77E7"/>
    <w:rsid w:val="00CD1947"/>
    <w:rsid w:val="00CD4482"/>
    <w:rsid w:val="00CD454D"/>
    <w:rsid w:val="00CD6891"/>
    <w:rsid w:val="00CE0A48"/>
    <w:rsid w:val="00CE0EE1"/>
    <w:rsid w:val="00CE6D1C"/>
    <w:rsid w:val="00CF5746"/>
    <w:rsid w:val="00CF624E"/>
    <w:rsid w:val="00CF7692"/>
    <w:rsid w:val="00D00E7B"/>
    <w:rsid w:val="00D01E5C"/>
    <w:rsid w:val="00D03C35"/>
    <w:rsid w:val="00D04B4E"/>
    <w:rsid w:val="00D075AB"/>
    <w:rsid w:val="00D07E1E"/>
    <w:rsid w:val="00D13FA3"/>
    <w:rsid w:val="00D14A21"/>
    <w:rsid w:val="00D159BA"/>
    <w:rsid w:val="00D1602E"/>
    <w:rsid w:val="00D216CD"/>
    <w:rsid w:val="00D21D48"/>
    <w:rsid w:val="00D2521E"/>
    <w:rsid w:val="00D313F6"/>
    <w:rsid w:val="00D36529"/>
    <w:rsid w:val="00D41270"/>
    <w:rsid w:val="00D41E83"/>
    <w:rsid w:val="00D4453E"/>
    <w:rsid w:val="00D479DD"/>
    <w:rsid w:val="00D50A39"/>
    <w:rsid w:val="00D53BF6"/>
    <w:rsid w:val="00D61695"/>
    <w:rsid w:val="00D637FE"/>
    <w:rsid w:val="00D677E1"/>
    <w:rsid w:val="00D70A08"/>
    <w:rsid w:val="00D71F34"/>
    <w:rsid w:val="00D76C17"/>
    <w:rsid w:val="00D820BC"/>
    <w:rsid w:val="00D85401"/>
    <w:rsid w:val="00D862ED"/>
    <w:rsid w:val="00D87ADC"/>
    <w:rsid w:val="00D9033C"/>
    <w:rsid w:val="00D93223"/>
    <w:rsid w:val="00D9433A"/>
    <w:rsid w:val="00D966F0"/>
    <w:rsid w:val="00DA1605"/>
    <w:rsid w:val="00DA2331"/>
    <w:rsid w:val="00DA563F"/>
    <w:rsid w:val="00DA71A3"/>
    <w:rsid w:val="00DA7CAE"/>
    <w:rsid w:val="00DB0EF0"/>
    <w:rsid w:val="00DB4914"/>
    <w:rsid w:val="00DB6994"/>
    <w:rsid w:val="00DB7197"/>
    <w:rsid w:val="00DB7874"/>
    <w:rsid w:val="00DC1F29"/>
    <w:rsid w:val="00DC2429"/>
    <w:rsid w:val="00DD0A85"/>
    <w:rsid w:val="00DD1FBC"/>
    <w:rsid w:val="00DD22E7"/>
    <w:rsid w:val="00DD5273"/>
    <w:rsid w:val="00DD542D"/>
    <w:rsid w:val="00DD7ED4"/>
    <w:rsid w:val="00DE1120"/>
    <w:rsid w:val="00DE153C"/>
    <w:rsid w:val="00DE7090"/>
    <w:rsid w:val="00DE70EB"/>
    <w:rsid w:val="00DE7CD1"/>
    <w:rsid w:val="00DF196B"/>
    <w:rsid w:val="00DF1E4C"/>
    <w:rsid w:val="00DF3453"/>
    <w:rsid w:val="00DF498A"/>
    <w:rsid w:val="00E023B4"/>
    <w:rsid w:val="00E04EDE"/>
    <w:rsid w:val="00E05610"/>
    <w:rsid w:val="00E13267"/>
    <w:rsid w:val="00E15105"/>
    <w:rsid w:val="00E157C4"/>
    <w:rsid w:val="00E25C38"/>
    <w:rsid w:val="00E27407"/>
    <w:rsid w:val="00E3092E"/>
    <w:rsid w:val="00E340D5"/>
    <w:rsid w:val="00E346D0"/>
    <w:rsid w:val="00E34F87"/>
    <w:rsid w:val="00E36150"/>
    <w:rsid w:val="00E367C3"/>
    <w:rsid w:val="00E37C1B"/>
    <w:rsid w:val="00E40B2B"/>
    <w:rsid w:val="00E40CDF"/>
    <w:rsid w:val="00E42087"/>
    <w:rsid w:val="00E431C0"/>
    <w:rsid w:val="00E45A23"/>
    <w:rsid w:val="00E46208"/>
    <w:rsid w:val="00E46D88"/>
    <w:rsid w:val="00E50CF7"/>
    <w:rsid w:val="00E534A4"/>
    <w:rsid w:val="00E54AC6"/>
    <w:rsid w:val="00E64130"/>
    <w:rsid w:val="00E6711B"/>
    <w:rsid w:val="00E674E2"/>
    <w:rsid w:val="00E72CF8"/>
    <w:rsid w:val="00E73501"/>
    <w:rsid w:val="00E74532"/>
    <w:rsid w:val="00E74779"/>
    <w:rsid w:val="00E76257"/>
    <w:rsid w:val="00E77897"/>
    <w:rsid w:val="00E8003D"/>
    <w:rsid w:val="00E8011D"/>
    <w:rsid w:val="00E81E73"/>
    <w:rsid w:val="00E82D7F"/>
    <w:rsid w:val="00E84067"/>
    <w:rsid w:val="00E924FE"/>
    <w:rsid w:val="00E92573"/>
    <w:rsid w:val="00E92A75"/>
    <w:rsid w:val="00E94500"/>
    <w:rsid w:val="00E9740D"/>
    <w:rsid w:val="00E979FC"/>
    <w:rsid w:val="00EA7E47"/>
    <w:rsid w:val="00EA7FA5"/>
    <w:rsid w:val="00EB1FD2"/>
    <w:rsid w:val="00EB22E1"/>
    <w:rsid w:val="00EB3B9C"/>
    <w:rsid w:val="00EB3DC0"/>
    <w:rsid w:val="00EB4318"/>
    <w:rsid w:val="00EB6594"/>
    <w:rsid w:val="00EC057A"/>
    <w:rsid w:val="00EC097D"/>
    <w:rsid w:val="00ED14B4"/>
    <w:rsid w:val="00ED163F"/>
    <w:rsid w:val="00ED1664"/>
    <w:rsid w:val="00ED2F2A"/>
    <w:rsid w:val="00ED5180"/>
    <w:rsid w:val="00ED5AC1"/>
    <w:rsid w:val="00ED5F0A"/>
    <w:rsid w:val="00EE13D7"/>
    <w:rsid w:val="00EE2DB1"/>
    <w:rsid w:val="00EE6C91"/>
    <w:rsid w:val="00EF0599"/>
    <w:rsid w:val="00EF1B26"/>
    <w:rsid w:val="00EF44EC"/>
    <w:rsid w:val="00EF68CF"/>
    <w:rsid w:val="00EF7F37"/>
    <w:rsid w:val="00F01EA0"/>
    <w:rsid w:val="00F04F7D"/>
    <w:rsid w:val="00F06F56"/>
    <w:rsid w:val="00F07A55"/>
    <w:rsid w:val="00F11448"/>
    <w:rsid w:val="00F120AD"/>
    <w:rsid w:val="00F16B09"/>
    <w:rsid w:val="00F174E5"/>
    <w:rsid w:val="00F2067F"/>
    <w:rsid w:val="00F34096"/>
    <w:rsid w:val="00F344FE"/>
    <w:rsid w:val="00F35A23"/>
    <w:rsid w:val="00F4217C"/>
    <w:rsid w:val="00F42275"/>
    <w:rsid w:val="00F4280A"/>
    <w:rsid w:val="00F42F4F"/>
    <w:rsid w:val="00F43E23"/>
    <w:rsid w:val="00F45D58"/>
    <w:rsid w:val="00F46283"/>
    <w:rsid w:val="00F51704"/>
    <w:rsid w:val="00F563FF"/>
    <w:rsid w:val="00F60526"/>
    <w:rsid w:val="00F64EA3"/>
    <w:rsid w:val="00F74991"/>
    <w:rsid w:val="00F756E1"/>
    <w:rsid w:val="00F76BD0"/>
    <w:rsid w:val="00F7748F"/>
    <w:rsid w:val="00F77A3C"/>
    <w:rsid w:val="00F8427B"/>
    <w:rsid w:val="00F931F7"/>
    <w:rsid w:val="00F94808"/>
    <w:rsid w:val="00FA3D97"/>
    <w:rsid w:val="00FA3E96"/>
    <w:rsid w:val="00FB08E4"/>
    <w:rsid w:val="00FB148B"/>
    <w:rsid w:val="00FB58B0"/>
    <w:rsid w:val="00FC09FC"/>
    <w:rsid w:val="00FC25DB"/>
    <w:rsid w:val="00FC3226"/>
    <w:rsid w:val="00FC5B62"/>
    <w:rsid w:val="00FC7845"/>
    <w:rsid w:val="00FD58F0"/>
    <w:rsid w:val="00FD6B03"/>
    <w:rsid w:val="00FE0AA8"/>
    <w:rsid w:val="00FE2C5F"/>
    <w:rsid w:val="00FE2CB3"/>
    <w:rsid w:val="00FE319E"/>
    <w:rsid w:val="00FE4A56"/>
    <w:rsid w:val="00FE6303"/>
    <w:rsid w:val="00FF1048"/>
    <w:rsid w:val="00FF1D74"/>
    <w:rsid w:val="00FF3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66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76E3"/>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0B76E3"/>
    <w:pPr>
      <w:tabs>
        <w:tab w:val="center" w:pos="4153"/>
        <w:tab w:val="right" w:pos="8306"/>
      </w:tabs>
    </w:pPr>
  </w:style>
  <w:style w:type="character" w:customStyle="1" w:styleId="GalveneRakstz">
    <w:name w:val="Galvene Rakstz."/>
    <w:basedOn w:val="Noklusjumarindkopasfonts"/>
    <w:link w:val="Galvene"/>
    <w:uiPriority w:val="99"/>
    <w:rsid w:val="000B76E3"/>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0B76E3"/>
    <w:pPr>
      <w:tabs>
        <w:tab w:val="center" w:pos="4153"/>
        <w:tab w:val="right" w:pos="8306"/>
      </w:tabs>
    </w:pPr>
  </w:style>
  <w:style w:type="character" w:customStyle="1" w:styleId="KjeneRakstz">
    <w:name w:val="Kājene Rakstz."/>
    <w:basedOn w:val="Noklusjumarindkopasfonts"/>
    <w:link w:val="Kjene"/>
    <w:uiPriority w:val="99"/>
    <w:rsid w:val="000B76E3"/>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0B76E3"/>
  </w:style>
  <w:style w:type="paragraph" w:customStyle="1" w:styleId="naisf">
    <w:name w:val="naisf"/>
    <w:basedOn w:val="Parastais"/>
    <w:rsid w:val="000B76E3"/>
    <w:pPr>
      <w:spacing w:before="75" w:after="75"/>
      <w:ind w:firstLine="375"/>
      <w:jc w:val="both"/>
    </w:pPr>
  </w:style>
  <w:style w:type="paragraph" w:customStyle="1" w:styleId="naisnod">
    <w:name w:val="naisnod"/>
    <w:basedOn w:val="Parastais"/>
    <w:rsid w:val="000B76E3"/>
    <w:pPr>
      <w:spacing w:before="150" w:after="150"/>
      <w:jc w:val="center"/>
    </w:pPr>
    <w:rPr>
      <w:rFonts w:eastAsia="Calibri"/>
      <w:b/>
      <w:bCs/>
    </w:rPr>
  </w:style>
  <w:style w:type="paragraph" w:customStyle="1" w:styleId="naiskr">
    <w:name w:val="naiskr"/>
    <w:basedOn w:val="Parastais"/>
    <w:rsid w:val="000B76E3"/>
    <w:pPr>
      <w:spacing w:before="75" w:after="75"/>
    </w:pPr>
    <w:rPr>
      <w:rFonts w:eastAsia="Calibri"/>
    </w:rPr>
  </w:style>
  <w:style w:type="paragraph" w:styleId="Sarakstarindkopa">
    <w:name w:val="List Paragraph"/>
    <w:basedOn w:val="Parastais"/>
    <w:uiPriority w:val="34"/>
    <w:qFormat/>
    <w:rsid w:val="000B76E3"/>
    <w:pPr>
      <w:spacing w:after="200" w:line="276" w:lineRule="auto"/>
      <w:ind w:left="720"/>
      <w:contextualSpacing/>
    </w:pPr>
    <w:rPr>
      <w:rFonts w:ascii="Calibri" w:eastAsia="Calibri" w:hAnsi="Calibri"/>
      <w:sz w:val="22"/>
      <w:szCs w:val="22"/>
      <w:lang w:val="en-US" w:eastAsia="en-US"/>
    </w:rPr>
  </w:style>
  <w:style w:type="paragraph" w:styleId="ParastaisWeb">
    <w:name w:val="Normal (Web)"/>
    <w:basedOn w:val="Parastais"/>
    <w:uiPriority w:val="99"/>
    <w:rsid w:val="000B76E3"/>
    <w:pPr>
      <w:spacing w:before="100" w:beforeAutospacing="1" w:after="119"/>
    </w:pPr>
  </w:style>
  <w:style w:type="character" w:styleId="Hipersaite">
    <w:name w:val="Hyperlink"/>
    <w:basedOn w:val="Noklusjumarindkopasfonts"/>
    <w:uiPriority w:val="99"/>
    <w:rsid w:val="000B76E3"/>
    <w:rPr>
      <w:color w:val="0000FF"/>
      <w:u w:val="single"/>
    </w:rPr>
  </w:style>
  <w:style w:type="paragraph" w:styleId="Vresteksts">
    <w:name w:val="footnote text"/>
    <w:aliases w:val="Footnote,Fußnote,single space,ft Rakstz. Rakstz.,ft Rakstz.,ft,-E Fußnotentext,footnote text,Fußnotentext Ursprung,Footnote Text qer"/>
    <w:basedOn w:val="Parastais"/>
    <w:link w:val="VrestekstsRakstz"/>
    <w:uiPriority w:val="99"/>
    <w:rsid w:val="000B76E3"/>
    <w:rPr>
      <w:sz w:val="20"/>
      <w:szCs w:val="20"/>
    </w:rPr>
  </w:style>
  <w:style w:type="character" w:customStyle="1" w:styleId="VrestekstsRakstz">
    <w:name w:val="Vēres teksts Rakstz."/>
    <w:aliases w:val="Footnote Rakstz.,Fußnote Rakstz.,single space Rakstz.,ft Rakstz. Rakstz. Rakstz.,ft Rakstz. Rakstz.1,ft Rakstz.1,-E Fußnotentext Rakstz.,footnote text Rakstz.,Fußnotentext Ursprung Rakstz.,Footnote Text qer Rakstz."/>
    <w:basedOn w:val="Noklusjumarindkopasfonts"/>
    <w:link w:val="Vresteksts"/>
    <w:uiPriority w:val="99"/>
    <w:rsid w:val="000B76E3"/>
    <w:rPr>
      <w:rFonts w:ascii="Times New Roman" w:eastAsia="Times New Roman" w:hAnsi="Times New Roman" w:cs="Times New Roman"/>
      <w:sz w:val="20"/>
      <w:szCs w:val="20"/>
      <w:lang w:val="lv-LV" w:eastAsia="lv-LV"/>
    </w:rPr>
  </w:style>
  <w:style w:type="paragraph" w:styleId="Bezatstarpm">
    <w:name w:val="No Spacing"/>
    <w:uiPriority w:val="1"/>
    <w:qFormat/>
    <w:rsid w:val="000B76E3"/>
    <w:rPr>
      <w:rFonts w:ascii="Times New Roman" w:eastAsia="Times New Roman" w:hAnsi="Times New Roman"/>
      <w:sz w:val="24"/>
      <w:szCs w:val="24"/>
      <w:lang w:val="lv-LV" w:eastAsia="lv-LV"/>
    </w:rPr>
  </w:style>
  <w:style w:type="paragraph" w:customStyle="1" w:styleId="tvhtml">
    <w:name w:val="tv_html"/>
    <w:basedOn w:val="Parastais"/>
    <w:rsid w:val="000B76E3"/>
    <w:pPr>
      <w:spacing w:before="100" w:beforeAutospacing="1" w:after="100" w:afterAutospacing="1"/>
    </w:pPr>
    <w:rPr>
      <w:rFonts w:ascii="Verdana" w:hAnsi="Verdana"/>
      <w:sz w:val="18"/>
      <w:szCs w:val="18"/>
      <w:lang w:val="en-US" w:eastAsia="en-US" w:bidi="lo-LA"/>
    </w:rPr>
  </w:style>
  <w:style w:type="paragraph" w:customStyle="1" w:styleId="naisc">
    <w:name w:val="naisc"/>
    <w:basedOn w:val="Parastais"/>
    <w:rsid w:val="000B76E3"/>
    <w:pPr>
      <w:spacing w:before="75" w:after="75"/>
      <w:jc w:val="center"/>
    </w:pPr>
  </w:style>
  <w:style w:type="paragraph" w:customStyle="1" w:styleId="Default">
    <w:name w:val="Default"/>
    <w:rsid w:val="000B76E3"/>
    <w:pPr>
      <w:autoSpaceDE w:val="0"/>
      <w:autoSpaceDN w:val="0"/>
      <w:adjustRightInd w:val="0"/>
    </w:pPr>
    <w:rPr>
      <w:rFonts w:ascii="EUAlbertina" w:eastAsia="Times New Roman" w:hAnsi="EUAlbertina" w:cs="EUAlbertina"/>
      <w:color w:val="000000"/>
      <w:sz w:val="24"/>
      <w:szCs w:val="24"/>
      <w:lang w:bidi="lo-LA"/>
    </w:rPr>
  </w:style>
  <w:style w:type="character" w:styleId="Komentraatsauce">
    <w:name w:val="annotation reference"/>
    <w:basedOn w:val="Noklusjumarindkopasfonts"/>
    <w:uiPriority w:val="99"/>
    <w:semiHidden/>
    <w:unhideWhenUsed/>
    <w:rsid w:val="00F07A55"/>
    <w:rPr>
      <w:sz w:val="16"/>
      <w:szCs w:val="16"/>
    </w:rPr>
  </w:style>
  <w:style w:type="paragraph" w:styleId="Komentrateksts">
    <w:name w:val="annotation text"/>
    <w:basedOn w:val="Parastais"/>
    <w:link w:val="KomentratekstsRakstz"/>
    <w:uiPriority w:val="99"/>
    <w:semiHidden/>
    <w:unhideWhenUsed/>
    <w:rsid w:val="00F07A55"/>
    <w:rPr>
      <w:sz w:val="20"/>
      <w:szCs w:val="20"/>
    </w:rPr>
  </w:style>
  <w:style w:type="character" w:customStyle="1" w:styleId="KomentratekstsRakstz">
    <w:name w:val="Komentāra teksts Rakstz."/>
    <w:basedOn w:val="Noklusjumarindkopasfonts"/>
    <w:link w:val="Komentrateksts"/>
    <w:uiPriority w:val="99"/>
    <w:semiHidden/>
    <w:rsid w:val="00F07A55"/>
    <w:rPr>
      <w:rFonts w:ascii="Times New Roman" w:eastAsia="Times New Roman" w:hAnsi="Times New Roman"/>
      <w:lang w:val="lv-LV" w:eastAsia="lv-LV"/>
    </w:rPr>
  </w:style>
  <w:style w:type="paragraph" w:styleId="Komentratma">
    <w:name w:val="annotation subject"/>
    <w:basedOn w:val="Komentrateksts"/>
    <w:next w:val="Komentrateksts"/>
    <w:link w:val="KomentratmaRakstz"/>
    <w:uiPriority w:val="99"/>
    <w:semiHidden/>
    <w:unhideWhenUsed/>
    <w:rsid w:val="00F07A55"/>
    <w:rPr>
      <w:b/>
      <w:bCs/>
    </w:rPr>
  </w:style>
  <w:style w:type="character" w:customStyle="1" w:styleId="KomentratmaRakstz">
    <w:name w:val="Komentāra tēma Rakstz."/>
    <w:basedOn w:val="KomentratekstsRakstz"/>
    <w:link w:val="Komentratma"/>
    <w:uiPriority w:val="99"/>
    <w:semiHidden/>
    <w:rsid w:val="00F07A55"/>
    <w:rPr>
      <w:b/>
      <w:bCs/>
    </w:rPr>
  </w:style>
  <w:style w:type="paragraph" w:styleId="Balonteksts">
    <w:name w:val="Balloon Text"/>
    <w:basedOn w:val="Parastais"/>
    <w:link w:val="BalontekstsRakstz"/>
    <w:uiPriority w:val="99"/>
    <w:semiHidden/>
    <w:unhideWhenUsed/>
    <w:rsid w:val="00F07A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7A55"/>
    <w:rPr>
      <w:rFonts w:ascii="Tahoma" w:eastAsia="Times New Roman" w:hAnsi="Tahoma" w:cs="Tahoma"/>
      <w:sz w:val="16"/>
      <w:szCs w:val="16"/>
      <w:lang w:val="lv-LV" w:eastAsia="lv-LV"/>
    </w:rPr>
  </w:style>
  <w:style w:type="character" w:styleId="Vresatsauce">
    <w:name w:val="footnote reference"/>
    <w:aliases w:val="Footnote Reference Number,ftref,Footnote symbol"/>
    <w:basedOn w:val="Noklusjumarindkopasfonts"/>
    <w:uiPriority w:val="99"/>
    <w:unhideWhenUsed/>
    <w:rsid w:val="003C269D"/>
    <w:rPr>
      <w:vertAlign w:val="superscript"/>
    </w:rPr>
  </w:style>
  <w:style w:type="paragraph" w:styleId="Pamatteksts">
    <w:name w:val="Body Text"/>
    <w:basedOn w:val="Parastais"/>
    <w:link w:val="PamattekstsRakstz"/>
    <w:rsid w:val="004C2675"/>
    <w:pPr>
      <w:jc w:val="center"/>
    </w:pPr>
    <w:rPr>
      <w:b/>
      <w:bCs/>
      <w:sz w:val="28"/>
      <w:lang w:eastAsia="en-US"/>
    </w:rPr>
  </w:style>
  <w:style w:type="character" w:customStyle="1" w:styleId="PamattekstsRakstz">
    <w:name w:val="Pamatteksts Rakstz."/>
    <w:basedOn w:val="Noklusjumarindkopasfonts"/>
    <w:link w:val="Pamatteksts"/>
    <w:rsid w:val="004C2675"/>
    <w:rPr>
      <w:rFonts w:ascii="Times New Roman" w:eastAsia="Times New Roman" w:hAnsi="Times New Roman"/>
      <w:b/>
      <w:bCs/>
      <w:sz w:val="28"/>
      <w:szCs w:val="24"/>
      <w:lang w:val="lv-LV"/>
    </w:rPr>
  </w:style>
  <w:style w:type="paragraph" w:styleId="Vienkrsteksts">
    <w:name w:val="Plain Text"/>
    <w:basedOn w:val="Parastais"/>
    <w:link w:val="VienkrstekstsRakstz"/>
    <w:rsid w:val="004909F7"/>
    <w:pPr>
      <w:snapToGrid w:val="0"/>
    </w:pPr>
    <w:rPr>
      <w:rFonts w:ascii="Courier New" w:hAnsi="Courier New"/>
      <w:sz w:val="28"/>
      <w:szCs w:val="20"/>
    </w:rPr>
  </w:style>
  <w:style w:type="character" w:customStyle="1" w:styleId="VienkrstekstsRakstz">
    <w:name w:val="Vienkāršs teksts Rakstz."/>
    <w:basedOn w:val="Noklusjumarindkopasfonts"/>
    <w:link w:val="Vienkrsteksts"/>
    <w:rsid w:val="004909F7"/>
    <w:rPr>
      <w:rFonts w:ascii="Courier New" w:eastAsia="Times New Roman" w:hAnsi="Courier New"/>
      <w:sz w:val="28"/>
      <w:lang w:val="lv-LV"/>
    </w:rPr>
  </w:style>
  <w:style w:type="character" w:customStyle="1" w:styleId="FooterChar1">
    <w:name w:val="Footer Char1"/>
    <w:basedOn w:val="Noklusjumarindkopasfonts"/>
    <w:uiPriority w:val="99"/>
    <w:semiHidden/>
    <w:rsid w:val="00703633"/>
    <w:rPr>
      <w:rFonts w:ascii="Calibri" w:eastAsia="Calibri" w:hAnsi="Calibri" w:cs="Times New Roman"/>
    </w:rPr>
  </w:style>
  <w:style w:type="table" w:styleId="Reatabula">
    <w:name w:val="Table Grid"/>
    <w:basedOn w:val="Parastatabula"/>
    <w:uiPriority w:val="59"/>
    <w:rsid w:val="0045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590619">
      <w:bodyDiv w:val="1"/>
      <w:marLeft w:val="0"/>
      <w:marRight w:val="0"/>
      <w:marTop w:val="0"/>
      <w:marBottom w:val="0"/>
      <w:divBdr>
        <w:top w:val="none" w:sz="0" w:space="0" w:color="auto"/>
        <w:left w:val="none" w:sz="0" w:space="0" w:color="auto"/>
        <w:bottom w:val="none" w:sz="0" w:space="0" w:color="auto"/>
        <w:right w:val="none" w:sz="0" w:space="0" w:color="auto"/>
      </w:divBdr>
      <w:divsChild>
        <w:div w:id="1480069879">
          <w:marLeft w:val="0"/>
          <w:marRight w:val="0"/>
          <w:marTop w:val="0"/>
          <w:marBottom w:val="0"/>
          <w:divBdr>
            <w:top w:val="none" w:sz="0" w:space="0" w:color="auto"/>
            <w:left w:val="none" w:sz="0" w:space="0" w:color="auto"/>
            <w:bottom w:val="none" w:sz="0" w:space="0" w:color="auto"/>
            <w:right w:val="none" w:sz="0" w:space="0" w:color="auto"/>
          </w:divBdr>
          <w:divsChild>
            <w:div w:id="1784155252">
              <w:marLeft w:val="0"/>
              <w:marRight w:val="0"/>
              <w:marTop w:val="0"/>
              <w:marBottom w:val="0"/>
              <w:divBdr>
                <w:top w:val="none" w:sz="0" w:space="0" w:color="auto"/>
                <w:left w:val="none" w:sz="0" w:space="0" w:color="auto"/>
                <w:bottom w:val="none" w:sz="0" w:space="0" w:color="auto"/>
                <w:right w:val="none" w:sz="0" w:space="0" w:color="auto"/>
              </w:divBdr>
              <w:divsChild>
                <w:div w:id="120422121">
                  <w:marLeft w:val="0"/>
                  <w:marRight w:val="0"/>
                  <w:marTop w:val="0"/>
                  <w:marBottom w:val="0"/>
                  <w:divBdr>
                    <w:top w:val="none" w:sz="0" w:space="0" w:color="auto"/>
                    <w:left w:val="none" w:sz="0" w:space="0" w:color="auto"/>
                    <w:bottom w:val="none" w:sz="0" w:space="0" w:color="auto"/>
                    <w:right w:val="none" w:sz="0" w:space="0" w:color="auto"/>
                  </w:divBdr>
                  <w:divsChild>
                    <w:div w:id="170532142">
                      <w:marLeft w:val="0"/>
                      <w:marRight w:val="0"/>
                      <w:marTop w:val="0"/>
                      <w:marBottom w:val="0"/>
                      <w:divBdr>
                        <w:top w:val="none" w:sz="0" w:space="0" w:color="auto"/>
                        <w:left w:val="none" w:sz="0" w:space="0" w:color="auto"/>
                        <w:bottom w:val="none" w:sz="0" w:space="0" w:color="auto"/>
                        <w:right w:val="none" w:sz="0" w:space="0" w:color="auto"/>
                      </w:divBdr>
                      <w:divsChild>
                        <w:div w:id="160630314">
                          <w:marLeft w:val="0"/>
                          <w:marRight w:val="0"/>
                          <w:marTop w:val="0"/>
                          <w:marBottom w:val="0"/>
                          <w:divBdr>
                            <w:top w:val="none" w:sz="0" w:space="0" w:color="auto"/>
                            <w:left w:val="none" w:sz="0" w:space="0" w:color="auto"/>
                            <w:bottom w:val="none" w:sz="0" w:space="0" w:color="auto"/>
                            <w:right w:val="none" w:sz="0" w:space="0" w:color="auto"/>
                          </w:divBdr>
                          <w:divsChild>
                            <w:div w:id="227883866">
                              <w:marLeft w:val="0"/>
                              <w:marRight w:val="0"/>
                              <w:marTop w:val="0"/>
                              <w:marBottom w:val="0"/>
                              <w:divBdr>
                                <w:top w:val="none" w:sz="0" w:space="0" w:color="auto"/>
                                <w:left w:val="none" w:sz="0" w:space="0" w:color="auto"/>
                                <w:bottom w:val="none" w:sz="0" w:space="0" w:color="auto"/>
                                <w:right w:val="none" w:sz="0" w:space="0" w:color="auto"/>
                              </w:divBdr>
                              <w:divsChild>
                                <w:div w:id="1583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13908">
      <w:bodyDiv w:val="1"/>
      <w:marLeft w:val="0"/>
      <w:marRight w:val="0"/>
      <w:marTop w:val="0"/>
      <w:marBottom w:val="0"/>
      <w:divBdr>
        <w:top w:val="none" w:sz="0" w:space="0" w:color="auto"/>
        <w:left w:val="none" w:sz="0" w:space="0" w:color="auto"/>
        <w:bottom w:val="none" w:sz="0" w:space="0" w:color="auto"/>
        <w:right w:val="none" w:sz="0" w:space="0" w:color="auto"/>
      </w:divBdr>
      <w:divsChild>
        <w:div w:id="2116829669">
          <w:marLeft w:val="0"/>
          <w:marRight w:val="0"/>
          <w:marTop w:val="0"/>
          <w:marBottom w:val="0"/>
          <w:divBdr>
            <w:top w:val="none" w:sz="0" w:space="0" w:color="auto"/>
            <w:left w:val="none" w:sz="0" w:space="0" w:color="auto"/>
            <w:bottom w:val="none" w:sz="0" w:space="0" w:color="auto"/>
            <w:right w:val="none" w:sz="0" w:space="0" w:color="auto"/>
          </w:divBdr>
          <w:divsChild>
            <w:div w:id="10604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3422">
      <w:bodyDiv w:val="1"/>
      <w:marLeft w:val="45"/>
      <w:marRight w:val="45"/>
      <w:marTop w:val="90"/>
      <w:marBottom w:val="90"/>
      <w:divBdr>
        <w:top w:val="none" w:sz="0" w:space="0" w:color="auto"/>
        <w:left w:val="none" w:sz="0" w:space="0" w:color="auto"/>
        <w:bottom w:val="none" w:sz="0" w:space="0" w:color="auto"/>
        <w:right w:val="none" w:sz="0" w:space="0" w:color="auto"/>
      </w:divBdr>
      <w:divsChild>
        <w:div w:id="1206143062">
          <w:marLeft w:val="0"/>
          <w:marRight w:val="0"/>
          <w:marTop w:val="0"/>
          <w:marBottom w:val="567"/>
          <w:divBdr>
            <w:top w:val="none" w:sz="0" w:space="0" w:color="auto"/>
            <w:left w:val="none" w:sz="0" w:space="0" w:color="auto"/>
            <w:bottom w:val="none" w:sz="0" w:space="0" w:color="auto"/>
            <w:right w:val="none" w:sz="0" w:space="0" w:color="auto"/>
          </w:divBdr>
        </w:div>
      </w:divsChild>
    </w:div>
    <w:div w:id="1201360527">
      <w:bodyDiv w:val="1"/>
      <w:marLeft w:val="0"/>
      <w:marRight w:val="0"/>
      <w:marTop w:val="0"/>
      <w:marBottom w:val="0"/>
      <w:divBdr>
        <w:top w:val="none" w:sz="0" w:space="0" w:color="auto"/>
        <w:left w:val="none" w:sz="0" w:space="0" w:color="auto"/>
        <w:bottom w:val="none" w:sz="0" w:space="0" w:color="auto"/>
        <w:right w:val="none" w:sz="0" w:space="0" w:color="auto"/>
      </w:divBdr>
      <w:divsChild>
        <w:div w:id="721173051">
          <w:marLeft w:val="0"/>
          <w:marRight w:val="0"/>
          <w:marTop w:val="0"/>
          <w:marBottom w:val="0"/>
          <w:divBdr>
            <w:top w:val="none" w:sz="0" w:space="0" w:color="auto"/>
            <w:left w:val="none" w:sz="0" w:space="0" w:color="auto"/>
            <w:bottom w:val="none" w:sz="0" w:space="0" w:color="auto"/>
            <w:right w:val="none" w:sz="0" w:space="0" w:color="auto"/>
          </w:divBdr>
        </w:div>
        <w:div w:id="2125492634">
          <w:marLeft w:val="0"/>
          <w:marRight w:val="0"/>
          <w:marTop w:val="0"/>
          <w:marBottom w:val="0"/>
          <w:divBdr>
            <w:top w:val="none" w:sz="0" w:space="0" w:color="auto"/>
            <w:left w:val="none" w:sz="0" w:space="0" w:color="auto"/>
            <w:bottom w:val="none" w:sz="0" w:space="0" w:color="auto"/>
            <w:right w:val="none" w:sz="0" w:space="0" w:color="auto"/>
          </w:divBdr>
        </w:div>
      </w:divsChild>
    </w:div>
    <w:div w:id="1517964684">
      <w:bodyDiv w:val="1"/>
      <w:marLeft w:val="0"/>
      <w:marRight w:val="0"/>
      <w:marTop w:val="0"/>
      <w:marBottom w:val="0"/>
      <w:divBdr>
        <w:top w:val="none" w:sz="0" w:space="0" w:color="auto"/>
        <w:left w:val="none" w:sz="0" w:space="0" w:color="auto"/>
        <w:bottom w:val="none" w:sz="0" w:space="0" w:color="auto"/>
        <w:right w:val="none" w:sz="0" w:space="0" w:color="auto"/>
      </w:divBdr>
      <w:divsChild>
        <w:div w:id="154034222">
          <w:marLeft w:val="0"/>
          <w:marRight w:val="0"/>
          <w:marTop w:val="0"/>
          <w:marBottom w:val="0"/>
          <w:divBdr>
            <w:top w:val="none" w:sz="0" w:space="0" w:color="auto"/>
            <w:left w:val="none" w:sz="0" w:space="0" w:color="auto"/>
            <w:bottom w:val="none" w:sz="0" w:space="0" w:color="auto"/>
            <w:right w:val="none" w:sz="0" w:space="0" w:color="auto"/>
          </w:divBdr>
        </w:div>
        <w:div w:id="67445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AF694-CFEC-463E-A92A-74CD9D8F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13</Pages>
  <Words>3603</Words>
  <Characters>27494</Characters>
  <Application>Microsoft Office Word</Application>
  <DocSecurity>0</DocSecurity>
  <Lines>1617</Lines>
  <Paragraphs>797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2012.gada 3.aprīļa noteikumos Nr.241 „Slimību profilakses un kontroles centra nolikums sākotnējās ietekmes novērtējuma ziņojums (anotācija) </vt:lpstr>
      <vt:lpstr>Ministru kabineta noteikumu projekta „Grozījumi Ministru kabineta 2012.gada 3.aprīļa noteikumos Nr.241 „Slimību profilakses un kontroles centra nolikums sākotnējās ietekmes novērtējuma ziņojums </vt:lpstr>
    </vt:vector>
  </TitlesOfParts>
  <Company>Veselības ministrija</Company>
  <LinksUpToDate>false</LinksUpToDate>
  <CharactersWithSpaces>30300</CharactersWithSpaces>
  <SharedDoc>false</SharedDoc>
  <HLinks>
    <vt:vector size="54" baseType="variant">
      <vt:variant>
        <vt:i4>3342349</vt:i4>
      </vt:variant>
      <vt:variant>
        <vt:i4>24</vt:i4>
      </vt:variant>
      <vt:variant>
        <vt:i4>0</vt:i4>
      </vt:variant>
      <vt:variant>
        <vt:i4>5</vt:i4>
      </vt:variant>
      <vt:variant>
        <vt:lpwstr>mailto:raimonds.osis@vm.gov.lv</vt:lpwstr>
      </vt:variant>
      <vt:variant>
        <vt:lpwstr/>
      </vt:variant>
      <vt:variant>
        <vt:i4>3473436</vt:i4>
      </vt:variant>
      <vt:variant>
        <vt:i4>21</vt:i4>
      </vt:variant>
      <vt:variant>
        <vt:i4>0</vt:i4>
      </vt:variant>
      <vt:variant>
        <vt:i4>5</vt:i4>
      </vt:variant>
      <vt:variant>
        <vt:lpwstr>mailto:arturs.veidemanis@vm.gov.lv</vt:lpwstr>
      </vt:variant>
      <vt:variant>
        <vt:lpwstr/>
      </vt:variant>
      <vt:variant>
        <vt:i4>4718692</vt:i4>
      </vt:variant>
      <vt:variant>
        <vt:i4>18</vt:i4>
      </vt:variant>
      <vt:variant>
        <vt:i4>0</vt:i4>
      </vt:variant>
      <vt:variant>
        <vt:i4>5</vt:i4>
      </vt:variant>
      <vt:variant>
        <vt:lpwstr>mailto:laura.selakova@vm.gov.lv</vt:lpwstr>
      </vt:variant>
      <vt:variant>
        <vt:lpwstr/>
      </vt:variant>
      <vt:variant>
        <vt:i4>7078000</vt:i4>
      </vt:variant>
      <vt:variant>
        <vt:i4>15</vt:i4>
      </vt:variant>
      <vt:variant>
        <vt:i4>0</vt:i4>
      </vt:variant>
      <vt:variant>
        <vt:i4>5</vt:i4>
      </vt:variant>
      <vt:variant>
        <vt:lpwstr>http://pro.nais.lv/naiser/esdoc.cfm?esid=32006R1920</vt:lpwstr>
      </vt:variant>
      <vt:variant>
        <vt:lpwstr/>
      </vt:variant>
      <vt:variant>
        <vt:i4>6881342</vt:i4>
      </vt:variant>
      <vt:variant>
        <vt:i4>12</vt:i4>
      </vt:variant>
      <vt:variant>
        <vt:i4>0</vt:i4>
      </vt:variant>
      <vt:variant>
        <vt:i4>5</vt:i4>
      </vt:variant>
      <vt:variant>
        <vt:lpwstr>http://eur-lex.europa.eu/LexUriServ/LexUriServ.do?uri=OJ:L:2006:376:0001:01:LV:HTML</vt:lpwstr>
      </vt:variant>
      <vt:variant>
        <vt:lpwstr/>
      </vt:variant>
      <vt:variant>
        <vt:i4>6881342</vt:i4>
      </vt:variant>
      <vt:variant>
        <vt:i4>9</vt:i4>
      </vt:variant>
      <vt:variant>
        <vt:i4>0</vt:i4>
      </vt:variant>
      <vt:variant>
        <vt:i4>5</vt:i4>
      </vt:variant>
      <vt:variant>
        <vt:lpwstr>http://eur-lex.europa.eu/LexUriServ/LexUriServ.do?uri=OJ:L:2006:376:0001:01:LV:HTML</vt:lpwstr>
      </vt:variant>
      <vt:variant>
        <vt:lpwstr/>
      </vt:variant>
      <vt:variant>
        <vt:i4>7536676</vt:i4>
      </vt:variant>
      <vt:variant>
        <vt:i4>6</vt:i4>
      </vt:variant>
      <vt:variant>
        <vt:i4>0</vt:i4>
      </vt:variant>
      <vt:variant>
        <vt:i4>5</vt:i4>
      </vt:variant>
      <vt:variant>
        <vt:lpwstr>http://www.likumi.lv/doc.php?id=180617</vt:lpwstr>
      </vt:variant>
      <vt:variant>
        <vt:lpwstr/>
      </vt:variant>
      <vt:variant>
        <vt:i4>5046295</vt:i4>
      </vt:variant>
      <vt:variant>
        <vt:i4>3</vt:i4>
      </vt:variant>
      <vt:variant>
        <vt:i4>0</vt:i4>
      </vt:variant>
      <vt:variant>
        <vt:i4>5</vt:i4>
      </vt:variant>
      <vt:variant>
        <vt:lpwstr>http://www.likumi.lv/doc.php?id=63545</vt:lpwstr>
      </vt:variant>
      <vt:variant>
        <vt:lpwstr/>
      </vt:variant>
      <vt:variant>
        <vt:i4>7208994</vt:i4>
      </vt:variant>
      <vt:variant>
        <vt:i4>0</vt:i4>
      </vt:variant>
      <vt:variant>
        <vt:i4>0</vt:i4>
      </vt:variant>
      <vt:variant>
        <vt:i4>5</vt:i4>
      </vt:variant>
      <vt:variant>
        <vt:lpwstr>http://polsis.mk.gov.lv/view.do?id=1675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3.aprīļa noteikumos Nr.241 „Slimību profilakses un kontroles centra nolikums sākotnējās ietekmes novērtējuma ziņojums (anotācija) </dc:title>
  <dc:subject>Anotācija</dc:subject>
  <dc:creator>Sanita Kukliča</dc:creator>
  <cp:keywords/>
  <dc:description>sanita.kuklica@vm.gov.lv
67876074</dc:description>
  <cp:lastModifiedBy>skuklica</cp:lastModifiedBy>
  <cp:revision>28</cp:revision>
  <cp:lastPrinted>2012-10-08T12:40:00Z</cp:lastPrinted>
  <dcterms:created xsi:type="dcterms:W3CDTF">2012-07-24T13:55:00Z</dcterms:created>
  <dcterms:modified xsi:type="dcterms:W3CDTF">2012-10-08T13:12:00Z</dcterms:modified>
</cp:coreProperties>
</file>