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C2" w:rsidRPr="006D6A6A" w:rsidRDefault="008021C2" w:rsidP="008021C2">
      <w:pPr>
        <w:jc w:val="center"/>
        <w:rPr>
          <w:b/>
          <w:bCs/>
        </w:rPr>
      </w:pPr>
      <w:bookmarkStart w:id="0" w:name="OLE_LINK1"/>
      <w:bookmarkStart w:id="1" w:name="OLE_LINK2"/>
      <w:bookmarkStart w:id="2" w:name="OLE_LINK8"/>
      <w:bookmarkStart w:id="3" w:name="OLE_LINK9"/>
    </w:p>
    <w:p w:rsidR="008021C2" w:rsidRPr="006D6A6A" w:rsidRDefault="00BE09F3" w:rsidP="008021C2">
      <w:pPr>
        <w:jc w:val="center"/>
        <w:rPr>
          <w:b/>
          <w:sz w:val="28"/>
          <w:szCs w:val="28"/>
        </w:rPr>
      </w:pPr>
      <w:r w:rsidRPr="006D6A6A">
        <w:rPr>
          <w:b/>
          <w:bCs/>
          <w:sz w:val="28"/>
          <w:szCs w:val="28"/>
        </w:rPr>
        <w:t>Ministru kabineta noteikumu projekta „</w:t>
      </w:r>
      <w:bookmarkStart w:id="4" w:name="OLE_LINK26"/>
      <w:bookmarkStart w:id="5" w:name="OLE_LINK27"/>
      <w:bookmarkStart w:id="6" w:name="OLE_LINK3"/>
      <w:bookmarkStart w:id="7" w:name="OLE_LINK4"/>
      <w:r w:rsidR="00C25272" w:rsidRPr="006D6A6A">
        <w:rPr>
          <w:b/>
          <w:bCs/>
          <w:sz w:val="28"/>
          <w:szCs w:val="28"/>
        </w:rPr>
        <w:t xml:space="preserve">Grozījumi Ministru kabineta </w:t>
      </w:r>
      <w:bookmarkEnd w:id="4"/>
      <w:bookmarkEnd w:id="5"/>
      <w:r w:rsidR="00C25272" w:rsidRPr="006D6A6A">
        <w:rPr>
          <w:b/>
          <w:bCs/>
          <w:iCs/>
          <w:sz w:val="28"/>
          <w:szCs w:val="28"/>
        </w:rPr>
        <w:t>2008.gada 1</w:t>
      </w:r>
      <w:r w:rsidR="000A1851" w:rsidRPr="006D6A6A">
        <w:rPr>
          <w:b/>
          <w:bCs/>
          <w:iCs/>
          <w:sz w:val="28"/>
          <w:szCs w:val="28"/>
        </w:rPr>
        <w:t>9</w:t>
      </w:r>
      <w:r w:rsidR="00C25272" w:rsidRPr="006D6A6A">
        <w:rPr>
          <w:b/>
          <w:bCs/>
          <w:iCs/>
          <w:sz w:val="28"/>
          <w:szCs w:val="28"/>
        </w:rPr>
        <w:t>.maija noteikumos Nr.353 „Noteikumi par darbības programmas „Cilvēkresursi un nodarbinātība” papildinājuma 1.3.2.3.aktivitāti "Veselības aprūpes un veicināšanas procesā iesaistīto institūciju personāla kompetences, prasmju un iemaņu līmeņa paaugstināšana”</w:t>
      </w:r>
      <w:bookmarkEnd w:id="6"/>
      <w:bookmarkEnd w:id="7"/>
      <w:r w:rsidR="008520C3" w:rsidRPr="006D6A6A">
        <w:rPr>
          <w:b/>
          <w:bCs/>
          <w:iCs/>
          <w:sz w:val="28"/>
          <w:szCs w:val="28"/>
        </w:rPr>
        <w:t>”</w:t>
      </w:r>
      <w:bookmarkEnd w:id="0"/>
      <w:bookmarkEnd w:id="1"/>
      <w:r w:rsidR="00A524BD" w:rsidRPr="006D6A6A">
        <w:rPr>
          <w:b/>
          <w:bCs/>
          <w:iCs/>
          <w:sz w:val="28"/>
          <w:szCs w:val="28"/>
        </w:rPr>
        <w:t xml:space="preserve"> </w:t>
      </w:r>
      <w:r w:rsidR="00A524BD" w:rsidRPr="006D6A6A">
        <w:rPr>
          <w:b/>
          <w:sz w:val="28"/>
          <w:szCs w:val="28"/>
        </w:rPr>
        <w:t>sākotnējās ietekmes novērtējuma ziņojums (anotācija)</w:t>
      </w:r>
      <w:bookmarkEnd w:id="2"/>
      <w:bookmarkEnd w:id="3"/>
    </w:p>
    <w:p w:rsidR="008021C2" w:rsidRPr="006D6A6A" w:rsidRDefault="008021C2" w:rsidP="008021C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918"/>
      </w:tblGrid>
      <w:tr w:rsidR="00BE09F3" w:rsidRPr="006D6A6A" w:rsidTr="001E3003">
        <w:trPr>
          <w:trHeight w:val="559"/>
        </w:trPr>
        <w:tc>
          <w:tcPr>
            <w:tcW w:w="9287" w:type="dxa"/>
            <w:gridSpan w:val="3"/>
            <w:vAlign w:val="center"/>
          </w:tcPr>
          <w:p w:rsidR="00BE09F3" w:rsidRPr="006D6A6A" w:rsidRDefault="00BE09F3" w:rsidP="00AD79CD">
            <w:pPr>
              <w:autoSpaceDE w:val="0"/>
              <w:autoSpaceDN w:val="0"/>
              <w:adjustRightInd w:val="0"/>
              <w:jc w:val="center"/>
              <w:rPr>
                <w:noProof/>
              </w:rPr>
            </w:pPr>
            <w:r w:rsidRPr="006D6A6A">
              <w:rPr>
                <w:b/>
                <w:bCs/>
                <w:lang w:eastAsia="lv-LV" w:bidi="lo-LA"/>
              </w:rPr>
              <w:t>I. Tiesību akta projekta izstrādes nepieciešamība</w:t>
            </w:r>
          </w:p>
        </w:tc>
      </w:tr>
      <w:tr w:rsidR="00BE09F3" w:rsidRPr="006D6A6A" w:rsidTr="001E3003">
        <w:tc>
          <w:tcPr>
            <w:tcW w:w="652" w:type="dxa"/>
          </w:tcPr>
          <w:p w:rsidR="00BE09F3" w:rsidRPr="006D6A6A" w:rsidRDefault="00BE09F3" w:rsidP="001E3003">
            <w:pPr>
              <w:spacing w:before="100" w:beforeAutospacing="1" w:after="100" w:afterAutospacing="1"/>
              <w:rPr>
                <w:lang w:eastAsia="lv-LV" w:bidi="lo-LA"/>
              </w:rPr>
            </w:pPr>
            <w:r w:rsidRPr="006D6A6A">
              <w:rPr>
                <w:lang w:eastAsia="lv-LV" w:bidi="lo-LA"/>
              </w:rPr>
              <w:t> 1.</w:t>
            </w:r>
          </w:p>
        </w:tc>
        <w:tc>
          <w:tcPr>
            <w:tcW w:w="2717" w:type="dxa"/>
          </w:tcPr>
          <w:p w:rsidR="00BE09F3" w:rsidRPr="006D6A6A" w:rsidRDefault="00BE09F3" w:rsidP="001E3003">
            <w:pPr>
              <w:spacing w:before="100" w:beforeAutospacing="1" w:after="100" w:afterAutospacing="1"/>
              <w:rPr>
                <w:lang w:eastAsia="lv-LV" w:bidi="lo-LA"/>
              </w:rPr>
            </w:pPr>
            <w:r w:rsidRPr="006D6A6A">
              <w:rPr>
                <w:lang w:eastAsia="lv-LV" w:bidi="lo-LA"/>
              </w:rPr>
              <w:t>Pamatojums</w:t>
            </w:r>
          </w:p>
        </w:tc>
        <w:tc>
          <w:tcPr>
            <w:tcW w:w="5918" w:type="dxa"/>
            <w:vAlign w:val="center"/>
          </w:tcPr>
          <w:p w:rsidR="0071736B" w:rsidRPr="006D6A6A" w:rsidRDefault="00BE09F3" w:rsidP="00FD579E">
            <w:pPr>
              <w:jc w:val="both"/>
              <w:rPr>
                <w:color w:val="2A2A2A"/>
              </w:rPr>
            </w:pPr>
            <w:r w:rsidRPr="006D6A6A">
              <w:rPr>
                <w:color w:val="2A2A2A"/>
              </w:rPr>
              <w:t xml:space="preserve">Ministru kabineta noteikumu </w:t>
            </w:r>
            <w:r w:rsidRPr="006D6A6A">
              <w:rPr>
                <w:i/>
                <w:color w:val="2A2A2A"/>
              </w:rPr>
              <w:t>„</w:t>
            </w:r>
            <w:r w:rsidR="00C25272" w:rsidRPr="006D6A6A">
              <w:rPr>
                <w:i/>
                <w:color w:val="2A2A2A"/>
              </w:rPr>
              <w:t>Grozījumi Ministru kabineta 2008.gada 1</w:t>
            </w:r>
            <w:r w:rsidR="000A1851" w:rsidRPr="006D6A6A">
              <w:rPr>
                <w:i/>
                <w:color w:val="2A2A2A"/>
              </w:rPr>
              <w:t>9</w:t>
            </w:r>
            <w:r w:rsidR="00C25272" w:rsidRPr="006D6A6A">
              <w:rPr>
                <w:i/>
                <w:color w:val="2A2A2A"/>
              </w:rPr>
              <w:t>.maija noteikumos Nr.353 „Noteikumi par darbības programmas „Cilvēkresursi un nodarbinātība” papildinājuma 1.3.2.3.aktivitāti "Veselības aprūpes un veicināšanas procesā iesaistīto institūciju personāla kompetences, prasmju un iemaņu līmeņa paaugstināšana””</w:t>
            </w:r>
            <w:r w:rsidRPr="006D6A6A">
              <w:rPr>
                <w:color w:val="2A2A2A"/>
              </w:rPr>
              <w:t xml:space="preserve"> projekts</w:t>
            </w:r>
            <w:r w:rsidR="009A7369" w:rsidRPr="006D6A6A">
              <w:rPr>
                <w:color w:val="2A2A2A"/>
              </w:rPr>
              <w:t xml:space="preserve"> (turpmāk –noteikumu projekts)</w:t>
            </w:r>
            <w:r w:rsidRPr="006D6A6A">
              <w:rPr>
                <w:color w:val="2A2A2A"/>
              </w:rPr>
              <w:t xml:space="preserve"> sagatavots pamatojoties uz Eiropas Savienības struktūrfondu un Kohēzijas fonda vad</w:t>
            </w:r>
            <w:r w:rsidR="00DA0C9F" w:rsidRPr="006D6A6A">
              <w:rPr>
                <w:color w:val="2A2A2A"/>
              </w:rPr>
              <w:t>ības likuma 18.panta 10.punktu</w:t>
            </w:r>
            <w:r w:rsidR="0071736B" w:rsidRPr="006D6A6A">
              <w:rPr>
                <w:color w:val="2A2A2A"/>
              </w:rPr>
              <w:t xml:space="preserve"> </w:t>
            </w:r>
            <w:r w:rsidR="0071736B" w:rsidRPr="006D6A6A">
              <w:t>un saskaņā ar 2012.gada 8.maija Ministru kabineta protokola Nr.25 26.§ 2.punktu (turpmāk – MK protokols Nr.25).</w:t>
            </w:r>
          </w:p>
        </w:tc>
      </w:tr>
      <w:tr w:rsidR="00BE09F3" w:rsidRPr="006D6A6A" w:rsidTr="006D49BD">
        <w:trPr>
          <w:trHeight w:val="273"/>
        </w:trPr>
        <w:tc>
          <w:tcPr>
            <w:tcW w:w="652" w:type="dxa"/>
          </w:tcPr>
          <w:p w:rsidR="00BE09F3" w:rsidRPr="006D6A6A" w:rsidRDefault="00BE09F3" w:rsidP="001E3003">
            <w:pPr>
              <w:spacing w:before="100" w:beforeAutospacing="1" w:after="100" w:afterAutospacing="1"/>
              <w:rPr>
                <w:lang w:eastAsia="lv-LV" w:bidi="lo-LA"/>
              </w:rPr>
            </w:pPr>
            <w:r w:rsidRPr="006D6A6A">
              <w:rPr>
                <w:lang w:eastAsia="lv-LV" w:bidi="lo-LA"/>
              </w:rPr>
              <w:t> 2.</w:t>
            </w:r>
          </w:p>
        </w:tc>
        <w:tc>
          <w:tcPr>
            <w:tcW w:w="2717" w:type="dxa"/>
          </w:tcPr>
          <w:p w:rsidR="00BE09F3" w:rsidRPr="006D6A6A" w:rsidRDefault="00BE09F3" w:rsidP="001E3003">
            <w:pPr>
              <w:spacing w:before="100" w:beforeAutospacing="1" w:after="100" w:afterAutospacing="1"/>
              <w:rPr>
                <w:lang w:eastAsia="lv-LV" w:bidi="lo-LA"/>
              </w:rPr>
            </w:pPr>
            <w:r w:rsidRPr="006D6A6A">
              <w:rPr>
                <w:lang w:eastAsia="lv-LV" w:bidi="lo-LA"/>
              </w:rPr>
              <w:t>Pašreizējā situācija un problēmas</w:t>
            </w:r>
          </w:p>
        </w:tc>
        <w:tc>
          <w:tcPr>
            <w:tcW w:w="5918" w:type="dxa"/>
            <w:vAlign w:val="center"/>
          </w:tcPr>
          <w:p w:rsidR="005213C4" w:rsidRPr="006D6A6A" w:rsidRDefault="005213C4" w:rsidP="005213C4">
            <w:pPr>
              <w:spacing w:before="120" w:after="120"/>
              <w:jc w:val="both"/>
            </w:pPr>
            <w:r w:rsidRPr="006D6A6A">
              <w:t xml:space="preserve">Ar MK protokola Nr.25 atbildīgajām iestādēm un sadarbības iestādēm Eiropas Savienības struktūrfondu (turpmāk – ES fondi) un Kohēzijas fonda 2007.-2013.gada plānošanas perioda ietvaros ir atļauts slēgt līgumu vai vienošanos par ES fondu projekta īstenošanu vai veikt grozījumus minētajā līgumā, uzņemoties saistības, kas pārsniedz kopējo publiskā (ES fondu un nacionālā) finansējuma apjomu (turpmāk - </w:t>
            </w:r>
            <w:proofErr w:type="spellStart"/>
            <w:r w:rsidRPr="006D6A6A">
              <w:t>virssaistības</w:t>
            </w:r>
            <w:proofErr w:type="spellEnd"/>
            <w:r w:rsidRPr="006D6A6A">
              <w:t xml:space="preserve">). Veselības ministrijas </w:t>
            </w:r>
            <w:proofErr w:type="spellStart"/>
            <w:r w:rsidRPr="006D6A6A">
              <w:t>pārziņā</w:t>
            </w:r>
            <w:proofErr w:type="spellEnd"/>
            <w:r w:rsidRPr="006D6A6A">
              <w:t xml:space="preserve"> esošajās aktivitātēs </w:t>
            </w:r>
            <w:proofErr w:type="spellStart"/>
            <w:r w:rsidRPr="006D6A6A">
              <w:t>virssaistību</w:t>
            </w:r>
            <w:proofErr w:type="spellEnd"/>
            <w:r w:rsidRPr="006D6A6A">
              <w:t xml:space="preserve"> kopējais apmērs ir noteikts ne vairāk kā 12 100 000 latu apmērā, tai skaitā </w:t>
            </w:r>
            <w:proofErr w:type="spellStart"/>
            <w:r w:rsidRPr="006D6A6A">
              <w:t>virssaistības</w:t>
            </w:r>
            <w:proofErr w:type="spellEnd"/>
            <w:r w:rsidRPr="006D6A6A">
              <w:t xml:space="preserve"> 1.3.2.3.aktivitātei „</w:t>
            </w:r>
            <w:r w:rsidRPr="006D6A6A">
              <w:rPr>
                <w:color w:val="2A2A2A"/>
              </w:rPr>
              <w:t>Veselības aprūpes un veicināšanas procesā iesaistīto institūciju personāla kompetences, prasmju un iemaņu līmeņa paaugstināšana</w:t>
            </w:r>
            <w:r w:rsidRPr="006D6A6A">
              <w:t>” (turpmāk – 1.3.2.3.aktivitāte) 1 500 000 latu apmērā un 3.1.5.2.aktivitātei „Neatliekamās medicīniskās palīdzības attīstība” 10 600 000 latu apmērā.</w:t>
            </w:r>
          </w:p>
          <w:p w:rsidR="005213C4" w:rsidRPr="006D6A6A" w:rsidRDefault="005213C4" w:rsidP="003D7E98">
            <w:pPr>
              <w:spacing w:before="120" w:after="120"/>
              <w:jc w:val="both"/>
            </w:pPr>
            <w:r w:rsidRPr="006D6A6A">
              <w:rPr>
                <w:color w:val="2A2A2A"/>
              </w:rPr>
              <w:t xml:space="preserve">Pašreizējā </w:t>
            </w:r>
            <w:r w:rsidR="00A14C6C" w:rsidRPr="006D6A6A">
              <w:rPr>
                <w:color w:val="2A2A2A"/>
              </w:rPr>
              <w:t>Ministru kabine</w:t>
            </w:r>
            <w:r w:rsidR="00FD579E" w:rsidRPr="006D6A6A">
              <w:rPr>
                <w:color w:val="2A2A2A"/>
              </w:rPr>
              <w:t>ta 2008.gada 19.maija noteikumu</w:t>
            </w:r>
            <w:r w:rsidR="00A14C6C" w:rsidRPr="006D6A6A">
              <w:rPr>
                <w:color w:val="2A2A2A"/>
              </w:rPr>
              <w:t xml:space="preserve"> Nr.353 „Noteikumi par darbības programmas „Cilvēkresursi un nodarbinātība” papildinājuma 1.3.2.3.aktivitāti "Veselības aprūpes un veicināšanas procesā iesaistīto institūciju personāla kompetences, prasmju un iemaņu līmeņa paaugstināšana””</w:t>
            </w:r>
            <w:r w:rsidRPr="006D6A6A">
              <w:t xml:space="preserve"> (turpmāk – MK noteikumi Nr.</w:t>
            </w:r>
            <w:r w:rsidR="00A14C6C" w:rsidRPr="006D6A6A">
              <w:t>353</w:t>
            </w:r>
            <w:r w:rsidRPr="006D6A6A">
              <w:t xml:space="preserve">) 6.punkta redakcija nosaka, ka </w:t>
            </w:r>
            <w:r w:rsidR="00A14C6C" w:rsidRPr="006D6A6A">
              <w:t xml:space="preserve">1.3.2.3.aktivitātei </w:t>
            </w:r>
            <w:r w:rsidRPr="006D6A6A">
              <w:t xml:space="preserve">pieejamais </w:t>
            </w:r>
            <w:r w:rsidR="00A14C6C" w:rsidRPr="006D6A6A">
              <w:rPr>
                <w:lang w:eastAsia="lv-LV"/>
              </w:rPr>
              <w:t>kopējais attiecināmais publiskais finansējums ir 10 098 255 lati, tai skaitā Eiropas Sociālā fonda (turpmāk - ESF) līdzfinansējums - 8 720 345 lati un nacionālais publiskais finansējums - 1 377 909 lati.</w:t>
            </w:r>
            <w:r w:rsidRPr="006D6A6A">
              <w:t xml:space="preserve"> </w:t>
            </w:r>
            <w:r w:rsidRPr="006D6A6A">
              <w:lastRenderedPageBreak/>
              <w:t>Līdz ar to nepieciešams veikt grozījumus esošajā MK noteikumu Nr.</w:t>
            </w:r>
            <w:r w:rsidR="00127481" w:rsidRPr="006D6A6A">
              <w:t>353</w:t>
            </w:r>
            <w:r w:rsidRPr="006D6A6A">
              <w:t xml:space="preserve"> redakcijā, paredzot arī </w:t>
            </w:r>
            <w:proofErr w:type="spellStart"/>
            <w:r w:rsidRPr="006D6A6A">
              <w:t>virssaistību</w:t>
            </w:r>
            <w:proofErr w:type="spellEnd"/>
            <w:r w:rsidRPr="006D6A6A">
              <w:t xml:space="preserve"> apjomu </w:t>
            </w:r>
            <w:r w:rsidR="00127481" w:rsidRPr="006D6A6A">
              <w:t xml:space="preserve">1.3.2.3.aktivitātes </w:t>
            </w:r>
            <w:r w:rsidRPr="006D6A6A">
              <w:t xml:space="preserve">īstenošanai atbilstoši MK protokolā Nr.25 noteiktajam. </w:t>
            </w:r>
          </w:p>
          <w:p w:rsidR="003D7E98" w:rsidRPr="006D6A6A" w:rsidRDefault="005213C4" w:rsidP="003D7E98">
            <w:pPr>
              <w:spacing w:before="100" w:beforeAutospacing="1" w:after="100" w:afterAutospacing="1"/>
              <w:jc w:val="both"/>
            </w:pPr>
            <w:r w:rsidRPr="006D6A6A">
              <w:t xml:space="preserve">Ieviešot </w:t>
            </w:r>
            <w:r w:rsidR="00127481" w:rsidRPr="006D6A6A">
              <w:t>1.3.2.3.aktivitāti</w:t>
            </w:r>
            <w:r w:rsidRPr="006D6A6A">
              <w:t xml:space="preserve">, </w:t>
            </w:r>
            <w:r w:rsidR="000A735E" w:rsidRPr="006D6A6A">
              <w:t>tika konstatēts, ka pēdējo maksājumu veikšanai projektu ietvaros ir nepieciešams papildu laiks dokumentu sakārtošanai</w:t>
            </w:r>
            <w:r w:rsidR="003D7E98" w:rsidRPr="006D6A6A">
              <w:t>, ņemot vērā vairākus līdz šim konstatētos objektīvos gadījumus projektu ietvaros veikto maksājumu kavējumiem (piemēram, konstatēto nepilnību novēršanu u.c.). L</w:t>
            </w:r>
            <w:r w:rsidR="000A735E" w:rsidRPr="006D6A6A">
              <w:t xml:space="preserve">īdz ar to atsevišķos gadījumos iespējama maksājumu veikšana pēc projekta īstenošanas termiņa beigām, jo projekta īstenošanas termiņa beigu nosaka atbilstoši piegādes, pakalpojumu un preču līgumu izpildes termiņiem, nevis atbilstoši maksājumu veikšanas termiņiem. </w:t>
            </w:r>
          </w:p>
          <w:p w:rsidR="003D7E98" w:rsidRPr="006D6A6A" w:rsidRDefault="003D7E98" w:rsidP="00C84B0B">
            <w:pPr>
              <w:jc w:val="both"/>
            </w:pPr>
            <w:r w:rsidRPr="006D6A6A">
              <w:t xml:space="preserve">Turklāt, atbilstoši Ministru kabineta 2010.gada 9.novembra noteikumu Nr.1041 </w:t>
            </w:r>
            <w:r w:rsidRPr="006D6A6A">
              <w:rPr>
                <w:i/>
              </w:rPr>
              <w:t>„Kārtība, kādā paredzami valsts budžeta līdzekļi Eiropas Savienības struktūrfondu un Kohēzijas fonda līdzfinansēto projektu īstenošanai, kā arī maksājumu veikšanas un izdevumu deklarācijas sagatavošanas kārtība”</w:t>
            </w:r>
            <w:r w:rsidRPr="006D6A6A">
              <w:t xml:space="preserve"> </w:t>
            </w:r>
            <w:r w:rsidR="009E04BC" w:rsidRPr="006D6A6A">
              <w:t xml:space="preserve">(turpmāk – MK noteikumi Nr.1041) </w:t>
            </w:r>
            <w:r w:rsidRPr="006D6A6A">
              <w:t xml:space="preserve">26.3.apakšpunktam finansējuma saņēmējs iesniedz maksājuma pieprasījumu un tajā iekļautos izdevumus pamatojošo dokumentu kopijas sadarbības iestādē </w:t>
            </w:r>
            <w:r w:rsidRPr="006D6A6A">
              <w:rPr>
                <w:u w:val="single"/>
              </w:rPr>
              <w:t>līgumā noteiktajos termiņos un kārtībā</w:t>
            </w:r>
            <w:r w:rsidR="00C84B0B" w:rsidRPr="006D6A6A">
              <w:t xml:space="preserve">, kā arī saskaņā ar Ministru kabineta 2007.gada 26.jūnija noteikumu Nr.419 </w:t>
            </w:r>
            <w:r w:rsidR="00C84B0B" w:rsidRPr="006D6A6A">
              <w:rPr>
                <w:i/>
              </w:rPr>
              <w:t>„Kārtība, kādā Eiropas Savienības struktūrfondu un Kohēzijas fonda vadībā iesaistītās institūcijas nodrošina plānošanas dokumentu sagatavošanu un šo fondu ieviešanu”</w:t>
            </w:r>
            <w:r w:rsidR="00C84B0B" w:rsidRPr="006D6A6A">
              <w:t xml:space="preserve"> </w:t>
            </w:r>
            <w:r w:rsidR="00270305" w:rsidRPr="006D6A6A">
              <w:t xml:space="preserve">(turpmāk – MK noteikumi Nr.419) </w:t>
            </w:r>
            <w:r w:rsidR="00C84B0B" w:rsidRPr="006D6A6A">
              <w:t xml:space="preserve">26.6.apakšpunktu sadarbības iestāde līgumā vai vienošanās dokumentā </w:t>
            </w:r>
            <w:r w:rsidR="00C84B0B" w:rsidRPr="006D6A6A">
              <w:rPr>
                <w:u w:val="single"/>
              </w:rPr>
              <w:t>nosaka ES fonda maksājuma pieprasījuma sagatavošanas un iesniegšanas kārtību</w:t>
            </w:r>
            <w:r w:rsidR="00C84B0B" w:rsidRPr="006D6A6A">
              <w:t>.</w:t>
            </w:r>
          </w:p>
          <w:p w:rsidR="00636FCA" w:rsidRPr="006D6A6A" w:rsidRDefault="00636FCA" w:rsidP="003D7E98">
            <w:pPr>
              <w:spacing w:before="100" w:beforeAutospacing="1" w:after="100" w:afterAutospacing="1"/>
              <w:jc w:val="both"/>
            </w:pPr>
            <w:r w:rsidRPr="006D6A6A">
              <w:t>Sadarbības iestādes līguma ar finansējuma saņēmēju par ESF līdzfinansētā projekta īstenošanu vispārējos noteikumos noteikts, ka noslēguma maksājuma pieprasījums tiek iesniegts ne vēlāk kā 20 (divdesmit) darba dienu laikā pēc projekta aktivitāšu īstenošanas beigu termiņa. Taču ņemot vērā objektīvus apstākļus, līgumslēdzējpusēm pēc attiecīgās situācijas izvērtēšanas, rakstiski vienojoties, būtu iespējams pagarināt maksājumu veikšanas termiņu.</w:t>
            </w:r>
          </w:p>
          <w:p w:rsidR="000A735E" w:rsidRPr="006D6A6A" w:rsidRDefault="003D7E98" w:rsidP="00636FCA">
            <w:pPr>
              <w:spacing w:before="100" w:beforeAutospacing="1" w:after="100" w:afterAutospacing="1"/>
              <w:jc w:val="both"/>
            </w:pPr>
            <w:r w:rsidRPr="006D6A6A">
              <w:t xml:space="preserve">Šobrīd esošais MK noteikumu Nr.353 73.6.apakšpunkta regulējums nosaka maksājumu veikšanas kārtību, kas </w:t>
            </w:r>
            <w:r w:rsidRPr="006D6A6A">
              <w:lastRenderedPageBreak/>
              <w:t xml:space="preserve">ierobežo maksājumu veikšanu </w:t>
            </w:r>
            <w:r w:rsidRPr="006D6A6A">
              <w:rPr>
                <w:u w:val="single"/>
              </w:rPr>
              <w:t>par projekta ietvaros radušām izmaksām</w:t>
            </w:r>
            <w:r w:rsidRPr="006D6A6A">
              <w:t xml:space="preserve"> ietverta līguma par ESF līdzfinansētā projekta īstenošanu ar finansējuma saņēmēju</w:t>
            </w:r>
            <w:r w:rsidR="00636FCA" w:rsidRPr="006D6A6A">
              <w:t>.</w:t>
            </w:r>
          </w:p>
          <w:p w:rsidR="00320437" w:rsidRPr="006D6A6A" w:rsidRDefault="00EE6D7B" w:rsidP="00320437">
            <w:pPr>
              <w:jc w:val="both"/>
            </w:pPr>
            <w:r w:rsidRPr="006D6A6A">
              <w:t>Ņemot vērā augstākminēto</w:t>
            </w:r>
            <w:r w:rsidR="000A735E" w:rsidRPr="006D6A6A">
              <w:t xml:space="preserve">, nepieciešams </w:t>
            </w:r>
            <w:r w:rsidRPr="006D6A6A">
              <w:t>precizēt MK noteikumu</w:t>
            </w:r>
            <w:r w:rsidR="000A735E" w:rsidRPr="006D6A6A">
              <w:t xml:space="preserve"> Nr.353 </w:t>
            </w:r>
            <w:r w:rsidR="008C6194" w:rsidRPr="006D6A6A">
              <w:t>73.6.apakšpunktu</w:t>
            </w:r>
            <w:r w:rsidRPr="006D6A6A">
              <w:t xml:space="preserve">, </w:t>
            </w:r>
            <w:r w:rsidR="008C6194" w:rsidRPr="006D6A6A">
              <w:t xml:space="preserve">paredzot </w:t>
            </w:r>
            <w:r w:rsidR="008C6194" w:rsidRPr="006D6A6A">
              <w:rPr>
                <w:u w:val="single"/>
              </w:rPr>
              <w:t>nevis maksājuma veikšanas kārtību</w:t>
            </w:r>
            <w:r w:rsidR="008C6194" w:rsidRPr="006D6A6A">
              <w:t xml:space="preserve"> (kas atbilstoši normatīvajiem aktiem ir noteikta līgumā par ESF līdzfinansētā projekta īstenošanu), bet nosacījumu, ka finansēšanai no ESF un valsts budžeta līdzekļiem nav attiecināmas izmaksas, kuras radušās pēc projekta īstenošanas termiņa beigām.</w:t>
            </w:r>
          </w:p>
        </w:tc>
      </w:tr>
      <w:tr w:rsidR="00BE09F3" w:rsidRPr="006D6A6A" w:rsidTr="001E3003">
        <w:trPr>
          <w:trHeight w:val="478"/>
        </w:trPr>
        <w:tc>
          <w:tcPr>
            <w:tcW w:w="652" w:type="dxa"/>
          </w:tcPr>
          <w:p w:rsidR="00BE09F3" w:rsidRPr="006D6A6A" w:rsidRDefault="00BE09F3" w:rsidP="001E3003">
            <w:pPr>
              <w:spacing w:before="100" w:beforeAutospacing="1" w:after="100" w:afterAutospacing="1"/>
              <w:rPr>
                <w:lang w:eastAsia="lv-LV" w:bidi="lo-LA"/>
              </w:rPr>
            </w:pPr>
            <w:r w:rsidRPr="006D6A6A">
              <w:rPr>
                <w:lang w:eastAsia="lv-LV" w:bidi="lo-LA"/>
              </w:rPr>
              <w:lastRenderedPageBreak/>
              <w:t> 3.</w:t>
            </w:r>
          </w:p>
        </w:tc>
        <w:tc>
          <w:tcPr>
            <w:tcW w:w="2717" w:type="dxa"/>
          </w:tcPr>
          <w:p w:rsidR="00BE09F3" w:rsidRPr="006D6A6A" w:rsidRDefault="00BE09F3" w:rsidP="001E3003">
            <w:pPr>
              <w:spacing w:before="100" w:beforeAutospacing="1" w:after="100" w:afterAutospacing="1"/>
              <w:rPr>
                <w:lang w:eastAsia="lv-LV" w:bidi="lo-LA"/>
              </w:rPr>
            </w:pPr>
            <w:r w:rsidRPr="006D6A6A">
              <w:rPr>
                <w:lang w:eastAsia="lv-LV" w:bidi="lo-LA"/>
              </w:rPr>
              <w:t>Saistītie politikas ietekmes novērtējumi un pētījumi</w:t>
            </w:r>
          </w:p>
        </w:tc>
        <w:tc>
          <w:tcPr>
            <w:tcW w:w="5918" w:type="dxa"/>
            <w:vAlign w:val="center"/>
          </w:tcPr>
          <w:p w:rsidR="00BE09F3" w:rsidRPr="006D6A6A" w:rsidRDefault="000364B4" w:rsidP="006D49BD">
            <w:pPr>
              <w:ind w:firstLine="318"/>
              <w:jc w:val="both"/>
              <w:rPr>
                <w:color w:val="2A2A2A"/>
                <w:highlight w:val="yellow"/>
              </w:rPr>
            </w:pPr>
            <w:r w:rsidRPr="006D6A6A">
              <w:rPr>
                <w:iCs/>
                <w:lang w:eastAsia="lv-LV"/>
              </w:rPr>
              <w:t>Projekts šo jomu neskar.</w:t>
            </w:r>
          </w:p>
        </w:tc>
      </w:tr>
      <w:tr w:rsidR="00BE09F3" w:rsidRPr="006D6A6A" w:rsidTr="001E3003">
        <w:tc>
          <w:tcPr>
            <w:tcW w:w="652" w:type="dxa"/>
          </w:tcPr>
          <w:p w:rsidR="00BE09F3" w:rsidRPr="006D6A6A" w:rsidRDefault="00BE09F3" w:rsidP="001E3003">
            <w:pPr>
              <w:spacing w:before="100" w:beforeAutospacing="1" w:after="100" w:afterAutospacing="1"/>
              <w:rPr>
                <w:lang w:eastAsia="lv-LV" w:bidi="lo-LA"/>
              </w:rPr>
            </w:pPr>
            <w:r w:rsidRPr="006D6A6A">
              <w:rPr>
                <w:lang w:eastAsia="lv-LV" w:bidi="lo-LA"/>
              </w:rPr>
              <w:t> 4.</w:t>
            </w:r>
          </w:p>
        </w:tc>
        <w:tc>
          <w:tcPr>
            <w:tcW w:w="2717" w:type="dxa"/>
          </w:tcPr>
          <w:p w:rsidR="00BE09F3" w:rsidRPr="006D6A6A" w:rsidRDefault="00BE09F3" w:rsidP="001E3003">
            <w:pPr>
              <w:spacing w:before="100" w:beforeAutospacing="1" w:after="100" w:afterAutospacing="1"/>
              <w:rPr>
                <w:lang w:eastAsia="lv-LV" w:bidi="lo-LA"/>
              </w:rPr>
            </w:pPr>
            <w:r w:rsidRPr="006D6A6A">
              <w:rPr>
                <w:lang w:eastAsia="lv-LV" w:bidi="lo-LA"/>
              </w:rPr>
              <w:t>Tiesiskā regulējuma mērķis un būtība</w:t>
            </w:r>
          </w:p>
        </w:tc>
        <w:tc>
          <w:tcPr>
            <w:tcW w:w="5918" w:type="dxa"/>
            <w:vAlign w:val="center"/>
          </w:tcPr>
          <w:p w:rsidR="008014F6" w:rsidRPr="006D6A6A" w:rsidRDefault="008014F6" w:rsidP="008014F6">
            <w:pPr>
              <w:autoSpaceDE w:val="0"/>
              <w:autoSpaceDN w:val="0"/>
              <w:adjustRightInd w:val="0"/>
              <w:jc w:val="both"/>
            </w:pPr>
            <w:r w:rsidRPr="006D6A6A">
              <w:t xml:space="preserve">Noteikumu projekta mērķis </w:t>
            </w:r>
            <w:r w:rsidR="00FD579E" w:rsidRPr="006D6A6A">
              <w:t xml:space="preserve">ir </w:t>
            </w:r>
            <w:r w:rsidRPr="006D6A6A">
              <w:t xml:space="preserve">nodrošināt MK protokolā Nr.25 noteikto, kā arī uzlabot </w:t>
            </w:r>
            <w:r w:rsidRPr="006D6A6A">
              <w:rPr>
                <w:color w:val="2A2A2A"/>
              </w:rPr>
              <w:t>1.3.2.3.aktivitātes</w:t>
            </w:r>
            <w:r w:rsidRPr="006D6A6A">
              <w:t xml:space="preserve"> regulējumu.</w:t>
            </w:r>
          </w:p>
          <w:p w:rsidR="008014F6" w:rsidRPr="006D6A6A" w:rsidRDefault="008014F6" w:rsidP="008014F6">
            <w:pPr>
              <w:jc w:val="both"/>
            </w:pPr>
            <w:r w:rsidRPr="006D6A6A">
              <w:t>Noteikumu projekts paredz šādus grozījumus:</w:t>
            </w:r>
          </w:p>
          <w:p w:rsidR="008014F6" w:rsidRPr="006D6A6A" w:rsidRDefault="008014F6" w:rsidP="008014F6">
            <w:pPr>
              <w:numPr>
                <w:ilvl w:val="0"/>
                <w:numId w:val="16"/>
              </w:numPr>
              <w:autoSpaceDE w:val="0"/>
              <w:autoSpaceDN w:val="0"/>
              <w:adjustRightInd w:val="0"/>
              <w:jc w:val="both"/>
              <w:rPr>
                <w:rFonts w:eastAsia="Calibri"/>
              </w:rPr>
            </w:pPr>
            <w:r w:rsidRPr="006D6A6A">
              <w:rPr>
                <w:rFonts w:eastAsia="Calibri"/>
              </w:rPr>
              <w:t xml:space="preserve">papildināt MK noteikumu Nr.353 </w:t>
            </w:r>
            <w:r w:rsidR="00095C56" w:rsidRPr="006D6A6A">
              <w:rPr>
                <w:rFonts w:eastAsia="Calibri"/>
              </w:rPr>
              <w:t xml:space="preserve">ar jaunu </w:t>
            </w:r>
            <w:r w:rsidRPr="006D6A6A">
              <w:rPr>
                <w:rFonts w:eastAsia="Calibri"/>
              </w:rPr>
              <w:t>6</w:t>
            </w:r>
            <w:r w:rsidR="00095C56" w:rsidRPr="006D6A6A">
              <w:rPr>
                <w:rFonts w:eastAsia="Calibri"/>
              </w:rPr>
              <w:t>¹</w:t>
            </w:r>
            <w:r w:rsidRPr="006D6A6A">
              <w:rPr>
                <w:rFonts w:eastAsia="Calibri"/>
              </w:rPr>
              <w:t xml:space="preserve">.punktu, kas nosaka, ka </w:t>
            </w:r>
            <w:r w:rsidR="00E21905" w:rsidRPr="006D6A6A">
              <w:rPr>
                <w:rFonts w:eastAsia="Calibri"/>
              </w:rPr>
              <w:t>aktivitātei pieejamais saistību apjoms, kas pārsniedz noteikumu norādīto kopējo attiecināmo finansējumu ir 1 500 000 lati, tai skaitā Eiropas Sociālā fonda finansējums 1 295 250 lati un valsts budžeta finansējums 204 750 lati</w:t>
            </w:r>
            <w:r w:rsidRPr="006D6A6A">
              <w:rPr>
                <w:rFonts w:eastAsia="Calibri"/>
              </w:rPr>
              <w:t>;</w:t>
            </w:r>
          </w:p>
          <w:p w:rsidR="002744D7" w:rsidRPr="006D6A6A" w:rsidRDefault="002744D7" w:rsidP="002744D7">
            <w:pPr>
              <w:numPr>
                <w:ilvl w:val="0"/>
                <w:numId w:val="16"/>
              </w:numPr>
              <w:autoSpaceDE w:val="0"/>
              <w:autoSpaceDN w:val="0"/>
              <w:adjustRightInd w:val="0"/>
              <w:jc w:val="both"/>
            </w:pPr>
            <w:r w:rsidRPr="006D6A6A">
              <w:t xml:space="preserve">paredz MK noteikumu Nr.353 8.punktā aizstāt vārdus „Veselības ekonomikas centrs” ar vārdiem „Centrālā finanšu un līgumu aģentūra”, kas ir </w:t>
            </w:r>
            <w:r w:rsidRPr="006D6A6A">
              <w:rPr>
                <w:rFonts w:eastAsia="Calibri"/>
              </w:rPr>
              <w:t>tehniska rakstura precizējums</w:t>
            </w:r>
            <w:r w:rsidRPr="006D6A6A">
              <w:t>, jo atbilstoši Ministru kabineta 2011.gada 7.septembrī apstiprinātajam rīkojumam Nr.436 „Par Veselības norēķinu centra un Veselības ekonomikas centra reorganizāciju” no 2011.gada 1.novembra Veselības ministrijas padotībā esošās iestādes „Veselības ekonomikas centrs” veiktās Eiropas Savienības fondu sadarbības iestādes funkcijas pilda valsts aģentūra „Centrālā finanšu un līgumu aģentūra”;</w:t>
            </w:r>
          </w:p>
          <w:p w:rsidR="002744D7" w:rsidRPr="006D6A6A" w:rsidRDefault="002744D7" w:rsidP="002744D7">
            <w:pPr>
              <w:numPr>
                <w:ilvl w:val="0"/>
                <w:numId w:val="16"/>
              </w:numPr>
              <w:autoSpaceDE w:val="0"/>
              <w:autoSpaceDN w:val="0"/>
              <w:adjustRightInd w:val="0"/>
              <w:jc w:val="both"/>
            </w:pPr>
            <w:r w:rsidRPr="006D6A6A">
              <w:t xml:space="preserve">paredz MK noteikumu Nr.353 26.punktā precizēt 1.3.2.3.aktivitātes projekta maksimālo attiecināmo izmaksu summu uz 11 598 255 latiem, ņemot vērā piešķirto </w:t>
            </w:r>
            <w:proofErr w:type="spellStart"/>
            <w:r w:rsidRPr="006D6A6A">
              <w:t>virssaistību</w:t>
            </w:r>
            <w:proofErr w:type="spellEnd"/>
            <w:r w:rsidRPr="006D6A6A">
              <w:t xml:space="preserve"> apm</w:t>
            </w:r>
            <w:r w:rsidR="00355EF9" w:rsidRPr="006D6A6A">
              <w:t>ēru;</w:t>
            </w:r>
          </w:p>
          <w:p w:rsidR="00CA5CB1" w:rsidRPr="006D6A6A" w:rsidRDefault="00CA5CB1" w:rsidP="002744D7">
            <w:pPr>
              <w:numPr>
                <w:ilvl w:val="0"/>
                <w:numId w:val="16"/>
              </w:numPr>
              <w:autoSpaceDE w:val="0"/>
              <w:autoSpaceDN w:val="0"/>
              <w:adjustRightInd w:val="0"/>
              <w:jc w:val="both"/>
            </w:pPr>
            <w:r w:rsidRPr="006D6A6A">
              <w:t xml:space="preserve">paredz </w:t>
            </w:r>
            <w:r w:rsidR="00930414" w:rsidRPr="006D6A6A">
              <w:t xml:space="preserve">precizēt MK noteikumu Nr.353 11.8.apakšpunkta redakciju, paredzot nosacījumu, ka sadarbības iestādes kompetencē ietilpst arī </w:t>
            </w:r>
            <w:r w:rsidR="00930414" w:rsidRPr="006D6A6A">
              <w:rPr>
                <w:u w:val="single"/>
              </w:rPr>
              <w:t xml:space="preserve">iepirkuma </w:t>
            </w:r>
            <w:proofErr w:type="spellStart"/>
            <w:r w:rsidR="00930414" w:rsidRPr="006D6A6A">
              <w:rPr>
                <w:u w:val="single"/>
              </w:rPr>
              <w:t>pirmspārbaude</w:t>
            </w:r>
            <w:proofErr w:type="spellEnd"/>
            <w:r w:rsidR="00930414" w:rsidRPr="006D6A6A">
              <w:t xml:space="preserve"> atbilstoši  kārtībai, kādā Eiropas Savienības struktūrfondu un Kohēzijas fonda vadībā iesaistītās institūcijas nodrošina plānošanas dokumentu sagatavošanu un šo fondu ieviešanu</w:t>
            </w:r>
            <w:r w:rsidR="00270305" w:rsidRPr="006D6A6A">
              <w:t xml:space="preserve"> (atbilstoši </w:t>
            </w:r>
            <w:r w:rsidR="005420C4" w:rsidRPr="006D6A6A">
              <w:t xml:space="preserve">MK noteikumu Nr.419 VII nodaļas </w:t>
            </w:r>
            <w:r w:rsidR="005420C4" w:rsidRPr="006D6A6A">
              <w:rPr>
                <w:i/>
              </w:rPr>
              <w:t>„</w:t>
            </w:r>
            <w:bookmarkStart w:id="8" w:name="406720"/>
            <w:r w:rsidR="005420C4" w:rsidRPr="006D6A6A">
              <w:rPr>
                <w:i/>
              </w:rPr>
              <w:t xml:space="preserve">Eiropas Savienības fonda projekta iepirkuma </w:t>
            </w:r>
            <w:proofErr w:type="spellStart"/>
            <w:r w:rsidR="005420C4" w:rsidRPr="006D6A6A">
              <w:rPr>
                <w:i/>
              </w:rPr>
              <w:t>pirmspārbaude</w:t>
            </w:r>
            <w:bookmarkEnd w:id="8"/>
            <w:proofErr w:type="spellEnd"/>
            <w:r w:rsidR="005420C4" w:rsidRPr="006D6A6A">
              <w:rPr>
                <w:i/>
              </w:rPr>
              <w:t>”</w:t>
            </w:r>
            <w:r w:rsidR="005420C4" w:rsidRPr="006D6A6A">
              <w:t xml:space="preserve"> nosacījumiem, kas ir spēkā ar </w:t>
            </w:r>
            <w:r w:rsidR="005420C4" w:rsidRPr="006D6A6A">
              <w:lastRenderedPageBreak/>
              <w:t>2012.gada 2.janvāri</w:t>
            </w:r>
            <w:r w:rsidR="00270305" w:rsidRPr="006D6A6A">
              <w:t>)</w:t>
            </w:r>
            <w:r w:rsidR="00EF0A03" w:rsidRPr="006D6A6A">
              <w:t>;</w:t>
            </w:r>
          </w:p>
          <w:p w:rsidR="00EF0A03" w:rsidRPr="006D6A6A" w:rsidRDefault="00EF0A03" w:rsidP="002744D7">
            <w:pPr>
              <w:numPr>
                <w:ilvl w:val="0"/>
                <w:numId w:val="16"/>
              </w:numPr>
              <w:autoSpaceDE w:val="0"/>
              <w:autoSpaceDN w:val="0"/>
              <w:adjustRightInd w:val="0"/>
              <w:jc w:val="both"/>
            </w:pPr>
            <w:r w:rsidRPr="006D6A6A">
              <w:t xml:space="preserve">paredz precizēt MK noteikumu Nr.353 11.11.apakšpunkta redakciju, </w:t>
            </w:r>
            <w:r w:rsidR="000D17B2" w:rsidRPr="006D6A6A">
              <w:t xml:space="preserve">paredzot, ka sadarbības iestādes kompetencē ir sagatavot </w:t>
            </w:r>
            <w:r w:rsidR="000D17B2" w:rsidRPr="006D6A6A">
              <w:rPr>
                <w:u w:val="single"/>
              </w:rPr>
              <w:t>apliecinājumu</w:t>
            </w:r>
            <w:r w:rsidR="000D17B2" w:rsidRPr="006D6A6A">
              <w:t xml:space="preserve"> </w:t>
            </w:r>
            <w:r w:rsidR="000D17B2" w:rsidRPr="006D6A6A">
              <w:rPr>
                <w:u w:val="single"/>
              </w:rPr>
              <w:t>izdevumu deklarācijas apstiprināšanai</w:t>
            </w:r>
            <w:r w:rsidR="009E04BC" w:rsidRPr="006D6A6A">
              <w:t xml:space="preserve"> saskaņā ar MK noteikumu Nr.1041</w:t>
            </w:r>
            <w:r w:rsidR="00C36341" w:rsidRPr="006D6A6A">
              <w:t xml:space="preserve"> 41.punkta prasībām, t.i., sadarbības iestāde noteiktajos termiņos sagatavo un iesniedz sertifikācijas iestādē aizpildītu apliecinājumu izdevumu deklarācijas apstiprināšanai atsevišķi par katru darbības programmu un fondu atbilstoši t</w:t>
            </w:r>
            <w:r w:rsidR="00C80D0C" w:rsidRPr="006D6A6A">
              <w:t xml:space="preserve">ās </w:t>
            </w:r>
            <w:proofErr w:type="spellStart"/>
            <w:r w:rsidR="00C80D0C" w:rsidRPr="006D6A6A">
              <w:t>pārziņā</w:t>
            </w:r>
            <w:proofErr w:type="spellEnd"/>
            <w:r w:rsidR="00C80D0C" w:rsidRPr="006D6A6A">
              <w:t xml:space="preserve"> esošajām aktivitātēm;</w:t>
            </w:r>
          </w:p>
          <w:p w:rsidR="00872C9D" w:rsidRPr="006D6A6A" w:rsidRDefault="00872C9D" w:rsidP="002202FD">
            <w:pPr>
              <w:numPr>
                <w:ilvl w:val="0"/>
                <w:numId w:val="16"/>
              </w:numPr>
              <w:autoSpaceDE w:val="0"/>
              <w:autoSpaceDN w:val="0"/>
              <w:adjustRightInd w:val="0"/>
              <w:jc w:val="both"/>
              <w:rPr>
                <w:color w:val="FF0000"/>
              </w:rPr>
            </w:pPr>
            <w:r w:rsidRPr="006D6A6A">
              <w:t>paredz papildināt MK noteikumu Nr.353 ar jaunu 26¹.</w:t>
            </w:r>
            <w:r w:rsidR="002202FD" w:rsidRPr="006D6A6A">
              <w:t xml:space="preserve"> un 26².</w:t>
            </w:r>
            <w:r w:rsidRPr="006D6A6A">
              <w:t xml:space="preserve">punktu, </w:t>
            </w:r>
            <w:r w:rsidR="002202FD" w:rsidRPr="006D6A6A">
              <w:t xml:space="preserve">kas atbilstoši MK protokola Nr.25 26.§ 6.punktam nosaka, ka </w:t>
            </w:r>
            <w:r w:rsidR="006D6A6A" w:rsidRPr="006D6A6A">
              <w:t xml:space="preserve">finansējuma saņēmējs atbalstāmās darbības, kuras vēl nav uzsāktas, tai skaitā </w:t>
            </w:r>
            <w:r w:rsidR="00782A0B">
              <w:t xml:space="preserve">pirmo </w:t>
            </w:r>
            <w:r w:rsidR="006D6A6A" w:rsidRPr="006D6A6A">
              <w:t>iepirkumu, uzsāk vai turpina ne vēlāk kā pirmajā ceturksnī pēc grozījumu veikšanas vienošanās. Sadarbības iestāde uzsāk maksājumu veikšanu finansējuma saņēmējam vai finansējuma saņēmējs projekta ietvaros uzsāk izdevumu veikšanu pirmajā pusgadā pēc grozījumu veikšanas vienošanās</w:t>
            </w:r>
            <w:r w:rsidR="002202FD" w:rsidRPr="006D6A6A">
              <w:t>;</w:t>
            </w:r>
          </w:p>
          <w:p w:rsidR="008014F6" w:rsidRPr="006D6A6A" w:rsidRDefault="008014F6" w:rsidP="008014F6">
            <w:pPr>
              <w:numPr>
                <w:ilvl w:val="0"/>
                <w:numId w:val="16"/>
              </w:numPr>
              <w:autoSpaceDE w:val="0"/>
              <w:autoSpaceDN w:val="0"/>
              <w:adjustRightInd w:val="0"/>
              <w:jc w:val="both"/>
              <w:rPr>
                <w:color w:val="2A2A2A"/>
              </w:rPr>
            </w:pPr>
            <w:r w:rsidRPr="006D6A6A">
              <w:t xml:space="preserve">izteikt MK noteikumu Nr.353 </w:t>
            </w:r>
            <w:r w:rsidR="00FD579E" w:rsidRPr="006D6A6A">
              <w:t>73.6.apakšpunktu jaunā</w:t>
            </w:r>
            <w:r w:rsidRPr="006D6A6A">
              <w:t xml:space="preserve"> redakcijā, paredzot, ka </w:t>
            </w:r>
            <w:r w:rsidR="00095C56" w:rsidRPr="006D6A6A">
              <w:t xml:space="preserve">finansēšanai no ESF līdzekļiem un valsts budžeta </w:t>
            </w:r>
            <w:r w:rsidR="00095C56" w:rsidRPr="006D6A6A">
              <w:rPr>
                <w:u w:val="single"/>
              </w:rPr>
              <w:t>nav attiecināmas izmaksas kuras radušās pēc projekta īstenošanas termiņa beigām</w:t>
            </w:r>
            <w:r w:rsidR="002744D7" w:rsidRPr="006D6A6A">
              <w:rPr>
                <w:color w:val="2A2A2A"/>
              </w:rPr>
              <w:t>.</w:t>
            </w:r>
          </w:p>
          <w:p w:rsidR="00FE60A4" w:rsidRPr="006D6A6A" w:rsidRDefault="008014F6" w:rsidP="00FD579E">
            <w:pPr>
              <w:jc w:val="both"/>
            </w:pPr>
            <w:r w:rsidRPr="006D6A6A">
              <w:t xml:space="preserve">Ar </w:t>
            </w:r>
            <w:r w:rsidRPr="006D6A6A">
              <w:rPr>
                <w:lang w:eastAsia="lv-LV" w:bidi="lo-LA"/>
              </w:rPr>
              <w:t xml:space="preserve">noteikumu projektu plānots atrisināt anotācijas </w:t>
            </w:r>
            <w:proofErr w:type="spellStart"/>
            <w:r w:rsidRPr="006D6A6A">
              <w:rPr>
                <w:lang w:eastAsia="lv-LV" w:bidi="lo-LA"/>
              </w:rPr>
              <w:t>I.sadaļas</w:t>
            </w:r>
            <w:proofErr w:type="spellEnd"/>
            <w:r w:rsidRPr="006D6A6A">
              <w:rPr>
                <w:lang w:eastAsia="lv-LV" w:bidi="lo-LA"/>
              </w:rPr>
              <w:t xml:space="preserve"> 2.punktā minētās problēmas.</w:t>
            </w:r>
          </w:p>
        </w:tc>
      </w:tr>
      <w:tr w:rsidR="009A7369" w:rsidRPr="006D6A6A" w:rsidTr="001E3003">
        <w:tc>
          <w:tcPr>
            <w:tcW w:w="652" w:type="dxa"/>
          </w:tcPr>
          <w:p w:rsidR="009A7369" w:rsidRPr="006D6A6A" w:rsidRDefault="009A7369" w:rsidP="001E3003">
            <w:pPr>
              <w:spacing w:before="100" w:beforeAutospacing="1" w:after="100" w:afterAutospacing="1"/>
              <w:rPr>
                <w:lang w:eastAsia="lv-LV" w:bidi="lo-LA"/>
              </w:rPr>
            </w:pPr>
            <w:r w:rsidRPr="006D6A6A">
              <w:rPr>
                <w:lang w:eastAsia="lv-LV" w:bidi="lo-LA"/>
              </w:rPr>
              <w:lastRenderedPageBreak/>
              <w:t> 5.</w:t>
            </w:r>
          </w:p>
        </w:tc>
        <w:tc>
          <w:tcPr>
            <w:tcW w:w="2717" w:type="dxa"/>
          </w:tcPr>
          <w:p w:rsidR="009A7369" w:rsidRPr="006D6A6A" w:rsidRDefault="009A7369" w:rsidP="001E3003">
            <w:pPr>
              <w:spacing w:before="100" w:beforeAutospacing="1" w:after="100" w:afterAutospacing="1"/>
              <w:rPr>
                <w:lang w:eastAsia="lv-LV" w:bidi="lo-LA"/>
              </w:rPr>
            </w:pPr>
            <w:r w:rsidRPr="006D6A6A">
              <w:rPr>
                <w:lang w:eastAsia="lv-LV" w:bidi="lo-LA"/>
              </w:rPr>
              <w:t>Projekta izstrādē iesaistītās institūcijas</w:t>
            </w:r>
          </w:p>
        </w:tc>
        <w:tc>
          <w:tcPr>
            <w:tcW w:w="5918" w:type="dxa"/>
            <w:vAlign w:val="center"/>
          </w:tcPr>
          <w:p w:rsidR="009A7369" w:rsidRPr="006D6A6A" w:rsidRDefault="00FD579E" w:rsidP="008014F6">
            <w:pPr>
              <w:ind w:right="-1"/>
              <w:jc w:val="both"/>
              <w:rPr>
                <w:iCs/>
              </w:rPr>
            </w:pPr>
            <w:r w:rsidRPr="006D6A6A">
              <w:t>Projekts šo jomu neskar.</w:t>
            </w:r>
          </w:p>
        </w:tc>
      </w:tr>
      <w:tr w:rsidR="009A7369" w:rsidRPr="006D6A6A" w:rsidTr="001E3003">
        <w:tc>
          <w:tcPr>
            <w:tcW w:w="652" w:type="dxa"/>
          </w:tcPr>
          <w:p w:rsidR="009A7369" w:rsidRPr="006D6A6A" w:rsidRDefault="009A7369" w:rsidP="001E3003">
            <w:pPr>
              <w:spacing w:before="100" w:beforeAutospacing="1" w:after="100" w:afterAutospacing="1"/>
              <w:rPr>
                <w:lang w:eastAsia="lv-LV" w:bidi="lo-LA"/>
              </w:rPr>
            </w:pPr>
            <w:r w:rsidRPr="006D6A6A">
              <w:rPr>
                <w:lang w:eastAsia="lv-LV" w:bidi="lo-LA"/>
              </w:rPr>
              <w:t> 6.</w:t>
            </w:r>
          </w:p>
        </w:tc>
        <w:tc>
          <w:tcPr>
            <w:tcW w:w="2717" w:type="dxa"/>
          </w:tcPr>
          <w:p w:rsidR="009A7369" w:rsidRPr="006D6A6A" w:rsidRDefault="009A7369" w:rsidP="001E3003">
            <w:pPr>
              <w:spacing w:before="100" w:beforeAutospacing="1" w:after="100" w:afterAutospacing="1"/>
              <w:rPr>
                <w:lang w:eastAsia="lv-LV" w:bidi="lo-LA"/>
              </w:rPr>
            </w:pPr>
            <w:r w:rsidRPr="006D6A6A">
              <w:rPr>
                <w:lang w:eastAsia="lv-LV" w:bidi="lo-LA"/>
              </w:rPr>
              <w:t>Iemesli, kādēļ netika nodrošināta sabiedrības līdzdalība</w:t>
            </w:r>
          </w:p>
        </w:tc>
        <w:tc>
          <w:tcPr>
            <w:tcW w:w="5918" w:type="dxa"/>
            <w:vAlign w:val="center"/>
          </w:tcPr>
          <w:p w:rsidR="009A7369" w:rsidRPr="006D6A6A" w:rsidRDefault="008014F6" w:rsidP="008014F6">
            <w:pPr>
              <w:jc w:val="both"/>
            </w:pPr>
            <w:r w:rsidRPr="006D6A6A">
              <w:rPr>
                <w:bCs/>
              </w:rPr>
              <w:t xml:space="preserve">Noteikumu projekts paredz noteikt </w:t>
            </w:r>
            <w:proofErr w:type="spellStart"/>
            <w:r w:rsidRPr="006D6A6A">
              <w:rPr>
                <w:bCs/>
              </w:rPr>
              <w:t>virssaistību</w:t>
            </w:r>
            <w:proofErr w:type="spellEnd"/>
            <w:r w:rsidRPr="006D6A6A">
              <w:rPr>
                <w:bCs/>
              </w:rPr>
              <w:t xml:space="preserve"> apmēru </w:t>
            </w:r>
            <w:r w:rsidRPr="006D6A6A">
              <w:rPr>
                <w:color w:val="2A2A2A"/>
              </w:rPr>
              <w:t>1.3.2.3.aktivitātes</w:t>
            </w:r>
            <w:r w:rsidRPr="006D6A6A">
              <w:t xml:space="preserve"> nodrošināšanai un nodrošināt </w:t>
            </w:r>
            <w:r w:rsidRPr="006D6A6A">
              <w:rPr>
                <w:color w:val="2A2A2A"/>
              </w:rPr>
              <w:t>1.3.2.3.aktivitātes</w:t>
            </w:r>
            <w:r w:rsidRPr="006D6A6A">
              <w:t xml:space="preserve"> </w:t>
            </w:r>
            <w:r w:rsidRPr="006D6A6A">
              <w:rPr>
                <w:color w:val="2A2A2A"/>
              </w:rPr>
              <w:t>regulējuma atbilstību maksājumu veikšanas kārtībai.</w:t>
            </w:r>
            <w:r w:rsidRPr="006D6A6A">
              <w:rPr>
                <w:bCs/>
              </w:rPr>
              <w:t xml:space="preserve"> Līdz ar to noteikumu projekts neparedz negatīvu ietekmi uz sabiedrību un tādejādi sabiedrības līdzdalība netika nodrošināta.</w:t>
            </w:r>
          </w:p>
        </w:tc>
      </w:tr>
      <w:tr w:rsidR="00BE09F3" w:rsidRPr="006D6A6A" w:rsidTr="001E3003">
        <w:trPr>
          <w:trHeight w:val="70"/>
        </w:trPr>
        <w:tc>
          <w:tcPr>
            <w:tcW w:w="652" w:type="dxa"/>
          </w:tcPr>
          <w:p w:rsidR="00BE09F3" w:rsidRPr="006D6A6A" w:rsidRDefault="00BE09F3" w:rsidP="001E3003">
            <w:pPr>
              <w:spacing w:before="100" w:beforeAutospacing="1" w:after="100" w:afterAutospacing="1"/>
              <w:rPr>
                <w:lang w:eastAsia="lv-LV" w:bidi="lo-LA"/>
              </w:rPr>
            </w:pPr>
            <w:r w:rsidRPr="006D6A6A">
              <w:rPr>
                <w:lang w:eastAsia="lv-LV" w:bidi="lo-LA"/>
              </w:rPr>
              <w:t> 7.</w:t>
            </w:r>
          </w:p>
        </w:tc>
        <w:tc>
          <w:tcPr>
            <w:tcW w:w="2717" w:type="dxa"/>
          </w:tcPr>
          <w:p w:rsidR="00BE09F3" w:rsidRPr="006D6A6A" w:rsidRDefault="00BE09F3" w:rsidP="001E3003">
            <w:pPr>
              <w:spacing w:before="100" w:beforeAutospacing="1" w:after="100" w:afterAutospacing="1"/>
              <w:rPr>
                <w:lang w:eastAsia="lv-LV" w:bidi="lo-LA"/>
              </w:rPr>
            </w:pPr>
            <w:r w:rsidRPr="006D6A6A">
              <w:rPr>
                <w:lang w:eastAsia="lv-LV" w:bidi="lo-LA"/>
              </w:rPr>
              <w:t>Cita informācija</w:t>
            </w:r>
          </w:p>
        </w:tc>
        <w:tc>
          <w:tcPr>
            <w:tcW w:w="5918" w:type="dxa"/>
            <w:vAlign w:val="center"/>
          </w:tcPr>
          <w:p w:rsidR="00BE09F3" w:rsidRPr="006D6A6A" w:rsidRDefault="0002038C" w:rsidP="009B1E40">
            <w:pPr>
              <w:ind w:firstLine="318"/>
              <w:jc w:val="both"/>
            </w:pPr>
            <w:r w:rsidRPr="006D6A6A">
              <w:rPr>
                <w:bCs/>
                <w:lang w:bidi="lo-LA"/>
              </w:rPr>
              <w:t xml:space="preserve"> </w:t>
            </w:r>
            <w:r w:rsidR="009B1E40" w:rsidRPr="006D6A6A">
              <w:rPr>
                <w:bCs/>
                <w:lang w:bidi="lo-LA"/>
              </w:rPr>
              <w:t>Nav.</w:t>
            </w:r>
          </w:p>
        </w:tc>
      </w:tr>
    </w:tbl>
    <w:p w:rsidR="007756CD" w:rsidRPr="006D6A6A" w:rsidRDefault="007756CD" w:rsidP="00B9292C">
      <w:pPr>
        <w:autoSpaceDE w:val="0"/>
        <w:autoSpaceDN w:val="0"/>
        <w:adjustRightInd w:val="0"/>
        <w:rPr>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5918"/>
      </w:tblGrid>
      <w:tr w:rsidR="000F0B0D" w:rsidRPr="006D6A6A" w:rsidTr="001E3003">
        <w:trPr>
          <w:trHeight w:val="503"/>
        </w:trPr>
        <w:tc>
          <w:tcPr>
            <w:tcW w:w="9287" w:type="dxa"/>
            <w:gridSpan w:val="3"/>
            <w:vAlign w:val="center"/>
          </w:tcPr>
          <w:p w:rsidR="000F0B0D" w:rsidRPr="006D6A6A" w:rsidRDefault="000F0B0D" w:rsidP="00C81AEC">
            <w:pPr>
              <w:autoSpaceDE w:val="0"/>
              <w:autoSpaceDN w:val="0"/>
              <w:adjustRightInd w:val="0"/>
              <w:jc w:val="center"/>
              <w:rPr>
                <w:b/>
                <w:noProof/>
              </w:rPr>
            </w:pPr>
            <w:r w:rsidRPr="006D6A6A">
              <w:rPr>
                <w:b/>
                <w:lang w:eastAsia="lv-LV" w:bidi="lo-LA"/>
              </w:rPr>
              <w:t>II. Tiesību akta projekta ietekme uz sabiedrību</w:t>
            </w:r>
          </w:p>
        </w:tc>
      </w:tr>
      <w:tr w:rsidR="000F0B0D" w:rsidRPr="006D6A6A" w:rsidTr="001E3003">
        <w:tc>
          <w:tcPr>
            <w:tcW w:w="654" w:type="dxa"/>
          </w:tcPr>
          <w:p w:rsidR="000F0B0D" w:rsidRPr="006D6A6A" w:rsidRDefault="000F0B0D" w:rsidP="001E3003">
            <w:pPr>
              <w:spacing w:before="100" w:beforeAutospacing="1" w:after="100" w:afterAutospacing="1"/>
              <w:rPr>
                <w:lang w:eastAsia="lv-LV" w:bidi="lo-LA"/>
              </w:rPr>
            </w:pPr>
            <w:r w:rsidRPr="006D6A6A">
              <w:rPr>
                <w:lang w:eastAsia="lv-LV" w:bidi="lo-LA"/>
              </w:rPr>
              <w:t> 1.</w:t>
            </w:r>
          </w:p>
        </w:tc>
        <w:tc>
          <w:tcPr>
            <w:tcW w:w="2715" w:type="dxa"/>
          </w:tcPr>
          <w:p w:rsidR="000F0B0D" w:rsidRPr="006D6A6A" w:rsidRDefault="000F0B0D" w:rsidP="001E3003">
            <w:pPr>
              <w:spacing w:before="100" w:beforeAutospacing="1" w:after="100" w:afterAutospacing="1"/>
              <w:rPr>
                <w:lang w:eastAsia="lv-LV" w:bidi="lo-LA"/>
              </w:rPr>
            </w:pPr>
            <w:r w:rsidRPr="006D6A6A">
              <w:rPr>
                <w:lang w:eastAsia="lv-LV" w:bidi="lo-LA"/>
              </w:rPr>
              <w:t xml:space="preserve">Sabiedrības </w:t>
            </w:r>
            <w:proofErr w:type="spellStart"/>
            <w:r w:rsidRPr="006D6A6A">
              <w:rPr>
                <w:lang w:eastAsia="lv-LV" w:bidi="lo-LA"/>
              </w:rPr>
              <w:t>mērķgrupa</w:t>
            </w:r>
            <w:proofErr w:type="spellEnd"/>
          </w:p>
        </w:tc>
        <w:tc>
          <w:tcPr>
            <w:tcW w:w="5918" w:type="dxa"/>
            <w:vAlign w:val="center"/>
          </w:tcPr>
          <w:p w:rsidR="000F0B0D" w:rsidRPr="006D6A6A" w:rsidRDefault="007756CD" w:rsidP="008014F6">
            <w:pPr>
              <w:jc w:val="both"/>
              <w:rPr>
                <w:highlight w:val="yellow"/>
              </w:rPr>
            </w:pPr>
            <w:r w:rsidRPr="006D6A6A">
              <w:rPr>
                <w:lang w:eastAsia="lv-LV"/>
              </w:rPr>
              <w:t>Veselības aprūpes un veselības vei</w:t>
            </w:r>
            <w:r w:rsidRPr="006D6A6A">
              <w:rPr>
                <w:lang w:eastAsia="lv-LV"/>
              </w:rPr>
              <w:softHyphen/>
              <w:t>cināšanas procesā iesaistīto institūciju personāls, veselības aprūpes un veselības veicināšanas pakalpojumu saņēmēji.</w:t>
            </w:r>
          </w:p>
        </w:tc>
      </w:tr>
      <w:tr w:rsidR="007F2B5D" w:rsidRPr="006D6A6A" w:rsidTr="001E3003">
        <w:tc>
          <w:tcPr>
            <w:tcW w:w="654" w:type="dxa"/>
          </w:tcPr>
          <w:p w:rsidR="007F2B5D" w:rsidRPr="006D6A6A" w:rsidRDefault="007F2B5D" w:rsidP="001E3003">
            <w:pPr>
              <w:spacing w:before="100" w:beforeAutospacing="1" w:after="100" w:afterAutospacing="1"/>
              <w:rPr>
                <w:lang w:eastAsia="lv-LV" w:bidi="lo-LA"/>
              </w:rPr>
            </w:pPr>
            <w:r w:rsidRPr="006D6A6A">
              <w:rPr>
                <w:lang w:eastAsia="lv-LV" w:bidi="lo-LA"/>
              </w:rPr>
              <w:t> 2.</w:t>
            </w:r>
          </w:p>
        </w:tc>
        <w:tc>
          <w:tcPr>
            <w:tcW w:w="2715" w:type="dxa"/>
          </w:tcPr>
          <w:p w:rsidR="007F2B5D" w:rsidRPr="006D6A6A" w:rsidRDefault="007F2B5D" w:rsidP="001E3003">
            <w:pPr>
              <w:spacing w:before="100" w:beforeAutospacing="1" w:after="100" w:afterAutospacing="1"/>
              <w:rPr>
                <w:lang w:eastAsia="lv-LV" w:bidi="lo-LA"/>
              </w:rPr>
            </w:pPr>
            <w:r w:rsidRPr="006D6A6A">
              <w:rPr>
                <w:lang w:eastAsia="lv-LV" w:bidi="lo-LA"/>
              </w:rPr>
              <w:t xml:space="preserve">Citas sabiedrības grupas (bez </w:t>
            </w:r>
            <w:proofErr w:type="spellStart"/>
            <w:r w:rsidRPr="006D6A6A">
              <w:rPr>
                <w:lang w:eastAsia="lv-LV" w:bidi="lo-LA"/>
              </w:rPr>
              <w:t>mērķgrupas</w:t>
            </w:r>
            <w:proofErr w:type="spellEnd"/>
            <w:r w:rsidRPr="006D6A6A">
              <w:rPr>
                <w:lang w:eastAsia="lv-LV" w:bidi="lo-LA"/>
              </w:rPr>
              <w:t>), kuras tiesiskais regulējums arī ietekmē vai varētu ietekmēt</w:t>
            </w:r>
          </w:p>
        </w:tc>
        <w:tc>
          <w:tcPr>
            <w:tcW w:w="5918" w:type="dxa"/>
            <w:vAlign w:val="center"/>
          </w:tcPr>
          <w:p w:rsidR="007F2B5D" w:rsidRPr="006D6A6A" w:rsidRDefault="009E55C2" w:rsidP="008014F6">
            <w:pPr>
              <w:pStyle w:val="naiskr"/>
              <w:rPr>
                <w:highlight w:val="yellow"/>
              </w:rPr>
            </w:pPr>
            <w:r w:rsidRPr="006D6A6A">
              <w:rPr>
                <w:iCs/>
              </w:rPr>
              <w:t>Projekts šo jomu neskar</w:t>
            </w:r>
            <w:r w:rsidR="000364B4" w:rsidRPr="006D6A6A">
              <w:rPr>
                <w:iCs/>
              </w:rPr>
              <w:t>.</w:t>
            </w:r>
          </w:p>
        </w:tc>
      </w:tr>
      <w:tr w:rsidR="007F2B5D" w:rsidRPr="006D6A6A" w:rsidTr="0080035F">
        <w:tc>
          <w:tcPr>
            <w:tcW w:w="654" w:type="dxa"/>
          </w:tcPr>
          <w:p w:rsidR="007F2B5D" w:rsidRPr="006D6A6A" w:rsidRDefault="007F2B5D" w:rsidP="001E3003">
            <w:pPr>
              <w:spacing w:before="100" w:beforeAutospacing="1" w:after="100" w:afterAutospacing="1"/>
              <w:rPr>
                <w:lang w:eastAsia="lv-LV" w:bidi="lo-LA"/>
              </w:rPr>
            </w:pPr>
            <w:r w:rsidRPr="006D6A6A">
              <w:rPr>
                <w:lang w:eastAsia="lv-LV" w:bidi="lo-LA"/>
              </w:rPr>
              <w:t> 3.</w:t>
            </w:r>
          </w:p>
        </w:tc>
        <w:tc>
          <w:tcPr>
            <w:tcW w:w="2715" w:type="dxa"/>
          </w:tcPr>
          <w:p w:rsidR="007F2B5D" w:rsidRPr="006D6A6A" w:rsidRDefault="007F2B5D" w:rsidP="001E3003">
            <w:pPr>
              <w:spacing w:before="100" w:beforeAutospacing="1" w:after="100" w:afterAutospacing="1"/>
              <w:rPr>
                <w:lang w:eastAsia="lv-LV" w:bidi="lo-LA"/>
              </w:rPr>
            </w:pPr>
            <w:r w:rsidRPr="006D6A6A">
              <w:rPr>
                <w:lang w:eastAsia="lv-LV" w:bidi="lo-LA"/>
              </w:rPr>
              <w:t>Tiesiskā regulējuma finansiālā ietekme</w:t>
            </w:r>
          </w:p>
        </w:tc>
        <w:tc>
          <w:tcPr>
            <w:tcW w:w="5918" w:type="dxa"/>
            <w:shd w:val="clear" w:color="auto" w:fill="auto"/>
            <w:vAlign w:val="center"/>
          </w:tcPr>
          <w:p w:rsidR="008014F6" w:rsidRPr="006D6A6A" w:rsidRDefault="008014F6" w:rsidP="008014F6">
            <w:pPr>
              <w:pStyle w:val="naiskr"/>
              <w:spacing w:before="0" w:beforeAutospacing="0" w:after="0" w:afterAutospacing="0"/>
              <w:ind w:left="318"/>
              <w:jc w:val="both"/>
              <w:rPr>
                <w:b/>
              </w:rPr>
            </w:pPr>
            <w:r w:rsidRPr="006D6A6A">
              <w:rPr>
                <w:b/>
              </w:rPr>
              <w:t>Tiešās finansiālās izmaksas</w:t>
            </w:r>
          </w:p>
          <w:p w:rsidR="008014F6" w:rsidRPr="006D6A6A" w:rsidRDefault="008014F6" w:rsidP="008014F6">
            <w:pPr>
              <w:pStyle w:val="naiskr"/>
              <w:spacing w:before="0" w:beforeAutospacing="0" w:after="0" w:afterAutospacing="0"/>
              <w:jc w:val="both"/>
            </w:pPr>
            <w:r w:rsidRPr="006D6A6A">
              <w:t xml:space="preserve">Noteikumu projektam nav ietekmes uz tiešajām </w:t>
            </w:r>
            <w:r w:rsidRPr="006D6A6A">
              <w:lastRenderedPageBreak/>
              <w:t xml:space="preserve">finansiālajām izmaksām. </w:t>
            </w:r>
          </w:p>
          <w:p w:rsidR="008014F6" w:rsidRPr="006D6A6A" w:rsidRDefault="008014F6" w:rsidP="008014F6">
            <w:pPr>
              <w:pStyle w:val="naiskr"/>
              <w:spacing w:before="0" w:beforeAutospacing="0" w:after="0" w:afterAutospacing="0"/>
              <w:ind w:left="318"/>
              <w:jc w:val="both"/>
              <w:rPr>
                <w:b/>
              </w:rPr>
            </w:pPr>
            <w:r w:rsidRPr="006D6A6A">
              <w:rPr>
                <w:b/>
              </w:rPr>
              <w:t>Netiešās finansiālās izmaksas</w:t>
            </w:r>
          </w:p>
          <w:p w:rsidR="008014F6" w:rsidRPr="006D6A6A" w:rsidRDefault="008014F6" w:rsidP="008014F6">
            <w:pPr>
              <w:pStyle w:val="naiskr"/>
              <w:spacing w:before="0" w:beforeAutospacing="0" w:after="0" w:afterAutospacing="0"/>
              <w:ind w:left="34"/>
              <w:jc w:val="both"/>
            </w:pPr>
            <w:r w:rsidRPr="006D6A6A">
              <w:t xml:space="preserve">Noteikumu projektam nav ietekmes uz netiešajām finansiālajām izmaksām. </w:t>
            </w:r>
          </w:p>
          <w:p w:rsidR="008014F6" w:rsidRPr="006D6A6A" w:rsidRDefault="008014F6" w:rsidP="008014F6">
            <w:pPr>
              <w:pStyle w:val="naiskr"/>
              <w:spacing w:before="0" w:beforeAutospacing="0" w:after="0" w:afterAutospacing="0"/>
              <w:ind w:left="318"/>
              <w:jc w:val="both"/>
              <w:rPr>
                <w:b/>
              </w:rPr>
            </w:pPr>
            <w:r w:rsidRPr="006D6A6A">
              <w:rPr>
                <w:b/>
              </w:rPr>
              <w:t>Ietekme uz ienākumiem</w:t>
            </w:r>
          </w:p>
          <w:p w:rsidR="007F2B5D" w:rsidRPr="006D6A6A" w:rsidRDefault="008014F6" w:rsidP="008014F6">
            <w:pPr>
              <w:pStyle w:val="naiskr"/>
              <w:spacing w:before="0" w:beforeAutospacing="0" w:after="0" w:afterAutospacing="0"/>
              <w:ind w:left="34"/>
              <w:jc w:val="both"/>
              <w:rPr>
                <w:highlight w:val="yellow"/>
              </w:rPr>
            </w:pPr>
            <w:r w:rsidRPr="006D6A6A">
              <w:t>Noteikumu projektam nav ietekmes uz ienākumiem.</w:t>
            </w:r>
          </w:p>
        </w:tc>
      </w:tr>
      <w:tr w:rsidR="007F2B5D" w:rsidRPr="006D6A6A" w:rsidTr="001E3003">
        <w:tc>
          <w:tcPr>
            <w:tcW w:w="654" w:type="dxa"/>
          </w:tcPr>
          <w:p w:rsidR="007F2B5D" w:rsidRPr="006D6A6A" w:rsidRDefault="007F2B5D" w:rsidP="001E3003">
            <w:pPr>
              <w:spacing w:before="100" w:beforeAutospacing="1" w:after="100" w:afterAutospacing="1"/>
              <w:rPr>
                <w:lang w:eastAsia="lv-LV" w:bidi="lo-LA"/>
              </w:rPr>
            </w:pPr>
            <w:r w:rsidRPr="006D6A6A">
              <w:rPr>
                <w:lang w:eastAsia="lv-LV" w:bidi="lo-LA"/>
              </w:rPr>
              <w:lastRenderedPageBreak/>
              <w:t> 4.</w:t>
            </w:r>
          </w:p>
        </w:tc>
        <w:tc>
          <w:tcPr>
            <w:tcW w:w="2715" w:type="dxa"/>
          </w:tcPr>
          <w:p w:rsidR="007F2B5D" w:rsidRPr="006D6A6A" w:rsidRDefault="007F2B5D" w:rsidP="001E3003">
            <w:pPr>
              <w:spacing w:before="100" w:beforeAutospacing="1" w:after="100" w:afterAutospacing="1"/>
              <w:rPr>
                <w:lang w:eastAsia="lv-LV" w:bidi="lo-LA"/>
              </w:rPr>
            </w:pPr>
            <w:r w:rsidRPr="006D6A6A">
              <w:rPr>
                <w:lang w:eastAsia="lv-LV" w:bidi="lo-LA"/>
              </w:rPr>
              <w:t>Tiesiskā regulējuma nefinansiālā ietekme</w:t>
            </w:r>
          </w:p>
        </w:tc>
        <w:tc>
          <w:tcPr>
            <w:tcW w:w="5918" w:type="dxa"/>
            <w:vAlign w:val="center"/>
          </w:tcPr>
          <w:p w:rsidR="007F2B5D" w:rsidRPr="006D6A6A" w:rsidRDefault="009E55C2" w:rsidP="00FD579E">
            <w:pPr>
              <w:jc w:val="both"/>
            </w:pPr>
            <w:r w:rsidRPr="006D6A6A">
              <w:rPr>
                <w:iCs/>
                <w:lang w:eastAsia="lv-LV"/>
              </w:rPr>
              <w:t>Projekts šo jomu neskar</w:t>
            </w:r>
            <w:r w:rsidR="000364B4" w:rsidRPr="006D6A6A">
              <w:rPr>
                <w:iCs/>
                <w:lang w:eastAsia="lv-LV"/>
              </w:rPr>
              <w:t>.</w:t>
            </w:r>
          </w:p>
        </w:tc>
      </w:tr>
      <w:tr w:rsidR="007F2B5D" w:rsidRPr="006D6A6A" w:rsidTr="001E3003">
        <w:tc>
          <w:tcPr>
            <w:tcW w:w="654" w:type="dxa"/>
          </w:tcPr>
          <w:p w:rsidR="007F2B5D" w:rsidRPr="006D6A6A" w:rsidRDefault="007F2B5D" w:rsidP="001E3003">
            <w:pPr>
              <w:spacing w:before="100" w:beforeAutospacing="1" w:after="100" w:afterAutospacing="1"/>
              <w:rPr>
                <w:lang w:eastAsia="lv-LV" w:bidi="lo-LA"/>
              </w:rPr>
            </w:pPr>
            <w:r w:rsidRPr="006D6A6A">
              <w:rPr>
                <w:lang w:eastAsia="lv-LV" w:bidi="lo-LA"/>
              </w:rPr>
              <w:t> 5.</w:t>
            </w:r>
          </w:p>
        </w:tc>
        <w:tc>
          <w:tcPr>
            <w:tcW w:w="2715" w:type="dxa"/>
          </w:tcPr>
          <w:p w:rsidR="007F2B5D" w:rsidRPr="006D6A6A" w:rsidRDefault="007F2B5D" w:rsidP="001E3003">
            <w:pPr>
              <w:spacing w:before="100" w:beforeAutospacing="1" w:after="100" w:afterAutospacing="1"/>
              <w:rPr>
                <w:lang w:eastAsia="lv-LV" w:bidi="lo-LA"/>
              </w:rPr>
            </w:pPr>
            <w:r w:rsidRPr="006D6A6A">
              <w:rPr>
                <w:lang w:eastAsia="lv-LV" w:bidi="lo-LA"/>
              </w:rPr>
              <w:t>Administratīvās procedūras raksturojums</w:t>
            </w:r>
          </w:p>
        </w:tc>
        <w:tc>
          <w:tcPr>
            <w:tcW w:w="5918" w:type="dxa"/>
            <w:vAlign w:val="center"/>
          </w:tcPr>
          <w:p w:rsidR="007F2B5D" w:rsidRPr="006D6A6A" w:rsidRDefault="009E55C2" w:rsidP="00FD579E">
            <w:pPr>
              <w:pStyle w:val="naiskr"/>
            </w:pPr>
            <w:r w:rsidRPr="006D6A6A">
              <w:rPr>
                <w:iCs/>
              </w:rPr>
              <w:t>Projekts šo jomu neskar</w:t>
            </w:r>
            <w:r w:rsidR="000364B4" w:rsidRPr="006D6A6A">
              <w:rPr>
                <w:iCs/>
              </w:rPr>
              <w:t>.</w:t>
            </w:r>
          </w:p>
        </w:tc>
      </w:tr>
      <w:tr w:rsidR="007F2B5D" w:rsidRPr="006D6A6A" w:rsidTr="001E3003">
        <w:tc>
          <w:tcPr>
            <w:tcW w:w="654" w:type="dxa"/>
          </w:tcPr>
          <w:p w:rsidR="007F2B5D" w:rsidRPr="006D6A6A" w:rsidRDefault="007F2B5D" w:rsidP="001E3003">
            <w:pPr>
              <w:spacing w:before="100" w:beforeAutospacing="1" w:after="100" w:afterAutospacing="1"/>
              <w:rPr>
                <w:lang w:eastAsia="lv-LV" w:bidi="lo-LA"/>
              </w:rPr>
            </w:pPr>
            <w:r w:rsidRPr="006D6A6A">
              <w:rPr>
                <w:lang w:eastAsia="lv-LV" w:bidi="lo-LA"/>
              </w:rPr>
              <w:t> 6.</w:t>
            </w:r>
          </w:p>
        </w:tc>
        <w:tc>
          <w:tcPr>
            <w:tcW w:w="2715" w:type="dxa"/>
          </w:tcPr>
          <w:p w:rsidR="007F2B5D" w:rsidRPr="006D6A6A" w:rsidRDefault="007F2B5D" w:rsidP="001E3003">
            <w:pPr>
              <w:spacing w:before="100" w:beforeAutospacing="1" w:after="100" w:afterAutospacing="1"/>
              <w:rPr>
                <w:lang w:eastAsia="lv-LV" w:bidi="lo-LA"/>
              </w:rPr>
            </w:pPr>
            <w:r w:rsidRPr="006D6A6A">
              <w:rPr>
                <w:lang w:eastAsia="lv-LV" w:bidi="lo-LA"/>
              </w:rPr>
              <w:t>Administratīvo izmaksu monetārs novērtējums</w:t>
            </w:r>
          </w:p>
        </w:tc>
        <w:tc>
          <w:tcPr>
            <w:tcW w:w="5918" w:type="dxa"/>
            <w:vAlign w:val="center"/>
          </w:tcPr>
          <w:p w:rsidR="007F2B5D" w:rsidRPr="006D6A6A" w:rsidRDefault="009E55C2" w:rsidP="00FD579E">
            <w:pPr>
              <w:pStyle w:val="naiskr"/>
            </w:pPr>
            <w:r w:rsidRPr="006D6A6A">
              <w:rPr>
                <w:iCs/>
              </w:rPr>
              <w:t>Projekts šo jomu neskar</w:t>
            </w:r>
            <w:r w:rsidR="000364B4" w:rsidRPr="006D6A6A">
              <w:rPr>
                <w:iCs/>
              </w:rPr>
              <w:t>.</w:t>
            </w:r>
          </w:p>
        </w:tc>
      </w:tr>
      <w:tr w:rsidR="007F2B5D" w:rsidRPr="006D6A6A" w:rsidTr="001E3003">
        <w:trPr>
          <w:trHeight w:val="174"/>
        </w:trPr>
        <w:tc>
          <w:tcPr>
            <w:tcW w:w="654" w:type="dxa"/>
            <w:vAlign w:val="center"/>
          </w:tcPr>
          <w:p w:rsidR="007F2B5D" w:rsidRPr="006D6A6A" w:rsidRDefault="007F2B5D" w:rsidP="001E3003">
            <w:pPr>
              <w:spacing w:before="100" w:beforeAutospacing="1" w:after="100" w:afterAutospacing="1"/>
              <w:rPr>
                <w:lang w:eastAsia="lv-LV" w:bidi="lo-LA"/>
              </w:rPr>
            </w:pPr>
            <w:r w:rsidRPr="006D6A6A">
              <w:rPr>
                <w:lang w:eastAsia="lv-LV" w:bidi="lo-LA"/>
              </w:rPr>
              <w:t> 7.</w:t>
            </w:r>
          </w:p>
        </w:tc>
        <w:tc>
          <w:tcPr>
            <w:tcW w:w="2715" w:type="dxa"/>
            <w:vAlign w:val="center"/>
          </w:tcPr>
          <w:p w:rsidR="007F2B5D" w:rsidRPr="006D6A6A" w:rsidRDefault="007F2B5D" w:rsidP="001E3003">
            <w:pPr>
              <w:spacing w:before="100" w:beforeAutospacing="1" w:after="100" w:afterAutospacing="1"/>
              <w:rPr>
                <w:lang w:eastAsia="lv-LV" w:bidi="lo-LA"/>
              </w:rPr>
            </w:pPr>
            <w:r w:rsidRPr="006D6A6A">
              <w:rPr>
                <w:lang w:eastAsia="lv-LV" w:bidi="lo-LA"/>
              </w:rPr>
              <w:t>Cita informācija</w:t>
            </w:r>
          </w:p>
        </w:tc>
        <w:tc>
          <w:tcPr>
            <w:tcW w:w="5918" w:type="dxa"/>
            <w:vAlign w:val="center"/>
          </w:tcPr>
          <w:p w:rsidR="007F2B5D" w:rsidRPr="006D6A6A" w:rsidRDefault="007F2B5D" w:rsidP="00FD579E">
            <w:pPr>
              <w:pStyle w:val="naiskr"/>
            </w:pPr>
            <w:r w:rsidRPr="006D6A6A">
              <w:t>Nav</w:t>
            </w:r>
          </w:p>
        </w:tc>
      </w:tr>
    </w:tbl>
    <w:p w:rsidR="00623AE2" w:rsidRPr="006D6A6A" w:rsidRDefault="00623AE2" w:rsidP="00B9292C">
      <w:pPr>
        <w:autoSpaceDE w:val="0"/>
        <w:autoSpaceDN w:val="0"/>
        <w:adjustRightInd w:val="0"/>
        <w:rPr>
          <w:noProof/>
        </w:rPr>
      </w:pP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176"/>
        <w:gridCol w:w="1229"/>
        <w:gridCol w:w="1171"/>
        <w:gridCol w:w="1218"/>
        <w:gridCol w:w="1176"/>
      </w:tblGrid>
      <w:tr w:rsidR="00623AE2" w:rsidRPr="006D6A6A" w:rsidTr="001E3003">
        <w:trPr>
          <w:trHeight w:val="551"/>
        </w:trPr>
        <w:tc>
          <w:tcPr>
            <w:tcW w:w="9339" w:type="dxa"/>
            <w:gridSpan w:val="6"/>
            <w:vAlign w:val="center"/>
          </w:tcPr>
          <w:p w:rsidR="00623AE2" w:rsidRPr="006D6A6A" w:rsidRDefault="00623AE2" w:rsidP="00C81AEC">
            <w:pPr>
              <w:autoSpaceDE w:val="0"/>
              <w:autoSpaceDN w:val="0"/>
              <w:adjustRightInd w:val="0"/>
              <w:jc w:val="center"/>
              <w:rPr>
                <w:b/>
                <w:noProof/>
              </w:rPr>
            </w:pPr>
            <w:r w:rsidRPr="006D6A6A">
              <w:rPr>
                <w:b/>
                <w:lang w:eastAsia="lv-LV" w:bidi="lo-LA"/>
              </w:rPr>
              <w:t>III. Tiesību akta projekta ietekme uz valsts budžetu un pašvaldību budžetiem</w:t>
            </w:r>
          </w:p>
        </w:tc>
      </w:tr>
      <w:tr w:rsidR="00623AE2" w:rsidRPr="006D6A6A" w:rsidTr="001E3003">
        <w:tc>
          <w:tcPr>
            <w:tcW w:w="3369" w:type="dxa"/>
            <w:vMerge w:val="restart"/>
            <w:vAlign w:val="center"/>
          </w:tcPr>
          <w:p w:rsidR="00623AE2" w:rsidRPr="006D6A6A" w:rsidRDefault="00623AE2" w:rsidP="001E3003">
            <w:pPr>
              <w:autoSpaceDE w:val="0"/>
              <w:autoSpaceDN w:val="0"/>
              <w:adjustRightInd w:val="0"/>
              <w:jc w:val="center"/>
              <w:rPr>
                <w:noProof/>
              </w:rPr>
            </w:pPr>
            <w:r w:rsidRPr="006D6A6A">
              <w:rPr>
                <w:bCs/>
                <w:lang w:eastAsia="lv-LV" w:bidi="lo-LA"/>
              </w:rPr>
              <w:t>Rādītāji</w:t>
            </w:r>
          </w:p>
        </w:tc>
        <w:tc>
          <w:tcPr>
            <w:tcW w:w="2405" w:type="dxa"/>
            <w:gridSpan w:val="2"/>
            <w:vMerge w:val="restart"/>
            <w:vAlign w:val="center"/>
          </w:tcPr>
          <w:p w:rsidR="00623AE2" w:rsidRPr="006D6A6A" w:rsidRDefault="007F2B5D" w:rsidP="0013657B">
            <w:pPr>
              <w:autoSpaceDE w:val="0"/>
              <w:autoSpaceDN w:val="0"/>
              <w:adjustRightInd w:val="0"/>
              <w:jc w:val="center"/>
              <w:rPr>
                <w:noProof/>
              </w:rPr>
            </w:pPr>
            <w:r w:rsidRPr="006D6A6A">
              <w:rPr>
                <w:bCs/>
                <w:lang w:eastAsia="lv-LV" w:bidi="lo-LA"/>
              </w:rPr>
              <w:t>201</w:t>
            </w:r>
            <w:r w:rsidR="008014F6" w:rsidRPr="006D6A6A">
              <w:rPr>
                <w:bCs/>
                <w:lang w:eastAsia="lv-LV" w:bidi="lo-LA"/>
              </w:rPr>
              <w:t>2</w:t>
            </w:r>
            <w:r w:rsidRPr="006D6A6A">
              <w:rPr>
                <w:bCs/>
                <w:lang w:eastAsia="lv-LV" w:bidi="lo-LA"/>
              </w:rPr>
              <w:t>.</w:t>
            </w:r>
          </w:p>
        </w:tc>
        <w:tc>
          <w:tcPr>
            <w:tcW w:w="3565" w:type="dxa"/>
            <w:gridSpan w:val="3"/>
            <w:vAlign w:val="center"/>
          </w:tcPr>
          <w:p w:rsidR="00623AE2" w:rsidRPr="006D6A6A" w:rsidRDefault="00623AE2" w:rsidP="001E3003">
            <w:pPr>
              <w:autoSpaceDE w:val="0"/>
              <w:autoSpaceDN w:val="0"/>
              <w:adjustRightInd w:val="0"/>
              <w:jc w:val="center"/>
              <w:rPr>
                <w:noProof/>
              </w:rPr>
            </w:pPr>
            <w:r w:rsidRPr="006D6A6A">
              <w:rPr>
                <w:lang w:eastAsia="lv-LV" w:bidi="lo-LA"/>
              </w:rPr>
              <w:t>Turpmākie trīs gadi (tūkst. latu)</w:t>
            </w:r>
          </w:p>
        </w:tc>
      </w:tr>
      <w:tr w:rsidR="00623AE2" w:rsidRPr="006D6A6A" w:rsidTr="001E3003">
        <w:tc>
          <w:tcPr>
            <w:tcW w:w="3369" w:type="dxa"/>
            <w:vMerge/>
          </w:tcPr>
          <w:p w:rsidR="00623AE2" w:rsidRPr="006D6A6A" w:rsidRDefault="00623AE2" w:rsidP="001E3003">
            <w:pPr>
              <w:autoSpaceDE w:val="0"/>
              <w:autoSpaceDN w:val="0"/>
              <w:adjustRightInd w:val="0"/>
              <w:jc w:val="center"/>
              <w:rPr>
                <w:noProof/>
              </w:rPr>
            </w:pPr>
          </w:p>
        </w:tc>
        <w:tc>
          <w:tcPr>
            <w:tcW w:w="2405" w:type="dxa"/>
            <w:gridSpan w:val="2"/>
            <w:vMerge/>
            <w:vAlign w:val="center"/>
          </w:tcPr>
          <w:p w:rsidR="00623AE2" w:rsidRPr="006D6A6A" w:rsidRDefault="00623AE2" w:rsidP="001E3003">
            <w:pPr>
              <w:autoSpaceDE w:val="0"/>
              <w:autoSpaceDN w:val="0"/>
              <w:adjustRightInd w:val="0"/>
              <w:jc w:val="center"/>
              <w:rPr>
                <w:noProof/>
              </w:rPr>
            </w:pPr>
          </w:p>
        </w:tc>
        <w:tc>
          <w:tcPr>
            <w:tcW w:w="1171" w:type="dxa"/>
            <w:vAlign w:val="center"/>
          </w:tcPr>
          <w:p w:rsidR="00623AE2" w:rsidRPr="006D6A6A" w:rsidRDefault="007F2B5D" w:rsidP="0013657B">
            <w:pPr>
              <w:spacing w:before="100" w:beforeAutospacing="1" w:after="100" w:afterAutospacing="1"/>
              <w:jc w:val="center"/>
              <w:rPr>
                <w:lang w:eastAsia="lv-LV" w:bidi="lo-LA"/>
              </w:rPr>
            </w:pPr>
            <w:r w:rsidRPr="006D6A6A">
              <w:rPr>
                <w:lang w:eastAsia="lv-LV" w:bidi="lo-LA"/>
              </w:rPr>
              <w:t>201</w:t>
            </w:r>
            <w:r w:rsidR="008014F6" w:rsidRPr="006D6A6A">
              <w:rPr>
                <w:lang w:eastAsia="lv-LV" w:bidi="lo-LA"/>
              </w:rPr>
              <w:t>3</w:t>
            </w:r>
            <w:r w:rsidRPr="006D6A6A">
              <w:rPr>
                <w:lang w:eastAsia="lv-LV" w:bidi="lo-LA"/>
              </w:rPr>
              <w:t>.</w:t>
            </w:r>
          </w:p>
        </w:tc>
        <w:tc>
          <w:tcPr>
            <w:tcW w:w="1218" w:type="dxa"/>
            <w:vAlign w:val="center"/>
          </w:tcPr>
          <w:p w:rsidR="00623AE2" w:rsidRPr="006D6A6A" w:rsidRDefault="008014F6" w:rsidP="001E3003">
            <w:pPr>
              <w:spacing w:before="100" w:beforeAutospacing="1" w:after="100" w:afterAutospacing="1"/>
              <w:jc w:val="center"/>
              <w:rPr>
                <w:lang w:eastAsia="lv-LV" w:bidi="lo-LA"/>
              </w:rPr>
            </w:pPr>
            <w:r w:rsidRPr="006D6A6A">
              <w:rPr>
                <w:lang w:eastAsia="lv-LV" w:bidi="lo-LA"/>
              </w:rPr>
              <w:t>2014</w:t>
            </w:r>
            <w:r w:rsidR="007F2B5D" w:rsidRPr="006D6A6A">
              <w:rPr>
                <w:lang w:eastAsia="lv-LV" w:bidi="lo-LA"/>
              </w:rPr>
              <w:t>.</w:t>
            </w:r>
          </w:p>
        </w:tc>
        <w:tc>
          <w:tcPr>
            <w:tcW w:w="1176" w:type="dxa"/>
            <w:vAlign w:val="center"/>
          </w:tcPr>
          <w:p w:rsidR="00623AE2" w:rsidRPr="006D6A6A" w:rsidRDefault="008014F6" w:rsidP="001E3003">
            <w:pPr>
              <w:spacing w:before="100" w:beforeAutospacing="1" w:after="100" w:afterAutospacing="1"/>
              <w:jc w:val="center"/>
              <w:rPr>
                <w:lang w:eastAsia="lv-LV" w:bidi="lo-LA"/>
              </w:rPr>
            </w:pPr>
            <w:r w:rsidRPr="006D6A6A">
              <w:rPr>
                <w:lang w:eastAsia="lv-LV" w:bidi="lo-LA"/>
              </w:rPr>
              <w:t>2015</w:t>
            </w:r>
            <w:r w:rsidR="007F2B5D" w:rsidRPr="006D6A6A">
              <w:rPr>
                <w:lang w:eastAsia="lv-LV" w:bidi="lo-LA"/>
              </w:rPr>
              <w:t>.</w:t>
            </w:r>
          </w:p>
        </w:tc>
      </w:tr>
      <w:tr w:rsidR="00623AE2" w:rsidRPr="006D6A6A" w:rsidTr="001E3003">
        <w:tc>
          <w:tcPr>
            <w:tcW w:w="3369" w:type="dxa"/>
            <w:vMerge/>
          </w:tcPr>
          <w:p w:rsidR="00623AE2" w:rsidRPr="006D6A6A" w:rsidRDefault="00623AE2" w:rsidP="001E3003">
            <w:pPr>
              <w:autoSpaceDE w:val="0"/>
              <w:autoSpaceDN w:val="0"/>
              <w:adjustRightInd w:val="0"/>
              <w:jc w:val="center"/>
              <w:rPr>
                <w:noProof/>
              </w:rPr>
            </w:pPr>
          </w:p>
        </w:tc>
        <w:tc>
          <w:tcPr>
            <w:tcW w:w="1176" w:type="dxa"/>
            <w:vAlign w:val="center"/>
          </w:tcPr>
          <w:p w:rsidR="00623AE2" w:rsidRPr="006D6A6A" w:rsidRDefault="00623AE2" w:rsidP="001E3003">
            <w:pPr>
              <w:spacing w:before="100" w:beforeAutospacing="1" w:after="100" w:afterAutospacing="1"/>
              <w:jc w:val="center"/>
              <w:rPr>
                <w:lang w:eastAsia="lv-LV" w:bidi="lo-LA"/>
              </w:rPr>
            </w:pPr>
            <w:r w:rsidRPr="006D6A6A">
              <w:rPr>
                <w:lang w:eastAsia="lv-LV" w:bidi="lo-LA"/>
              </w:rPr>
              <w:t>Saskaņā ar valsts budžetu kārtējam gadam</w:t>
            </w:r>
          </w:p>
        </w:tc>
        <w:tc>
          <w:tcPr>
            <w:tcW w:w="1229" w:type="dxa"/>
            <w:vAlign w:val="center"/>
          </w:tcPr>
          <w:p w:rsidR="00623AE2" w:rsidRPr="006D6A6A" w:rsidRDefault="00623AE2" w:rsidP="001E3003">
            <w:pPr>
              <w:spacing w:before="100" w:beforeAutospacing="1" w:after="100" w:afterAutospacing="1"/>
              <w:jc w:val="center"/>
              <w:rPr>
                <w:lang w:eastAsia="lv-LV" w:bidi="lo-LA"/>
              </w:rPr>
            </w:pPr>
            <w:r w:rsidRPr="006D6A6A">
              <w:rPr>
                <w:lang w:eastAsia="lv-LV" w:bidi="lo-LA"/>
              </w:rPr>
              <w:t>Izmaiņas kārtējā gadā, salīdzinot ar budžetu kārtējam gadam</w:t>
            </w:r>
          </w:p>
        </w:tc>
        <w:tc>
          <w:tcPr>
            <w:tcW w:w="1171" w:type="dxa"/>
            <w:vAlign w:val="center"/>
          </w:tcPr>
          <w:p w:rsidR="00623AE2" w:rsidRPr="006D6A6A" w:rsidRDefault="00623AE2" w:rsidP="00804DD6">
            <w:pPr>
              <w:spacing w:before="100" w:beforeAutospacing="1" w:after="100" w:afterAutospacing="1"/>
              <w:jc w:val="center"/>
              <w:rPr>
                <w:lang w:eastAsia="lv-LV" w:bidi="lo-LA"/>
              </w:rPr>
            </w:pPr>
            <w:r w:rsidRPr="006D6A6A">
              <w:rPr>
                <w:lang w:eastAsia="lv-LV" w:bidi="lo-LA"/>
              </w:rPr>
              <w:t xml:space="preserve">Izmaiņas, salīdzinot ar </w:t>
            </w:r>
            <w:r w:rsidR="007F2B5D" w:rsidRPr="006D6A6A">
              <w:rPr>
                <w:lang w:eastAsia="lv-LV" w:bidi="lo-LA"/>
              </w:rPr>
              <w:t>201</w:t>
            </w:r>
            <w:r w:rsidR="008014F6" w:rsidRPr="006D6A6A">
              <w:rPr>
                <w:lang w:eastAsia="lv-LV" w:bidi="lo-LA"/>
              </w:rPr>
              <w:t>2</w:t>
            </w:r>
            <w:r w:rsidR="007F2B5D" w:rsidRPr="006D6A6A">
              <w:rPr>
                <w:lang w:eastAsia="lv-LV" w:bidi="lo-LA"/>
              </w:rPr>
              <w:t xml:space="preserve">. </w:t>
            </w:r>
            <w:r w:rsidRPr="006D6A6A">
              <w:rPr>
                <w:lang w:eastAsia="lv-LV" w:bidi="lo-LA"/>
              </w:rPr>
              <w:t>gadu</w:t>
            </w:r>
          </w:p>
        </w:tc>
        <w:tc>
          <w:tcPr>
            <w:tcW w:w="1218" w:type="dxa"/>
            <w:vAlign w:val="center"/>
          </w:tcPr>
          <w:p w:rsidR="00623AE2" w:rsidRPr="006D6A6A" w:rsidRDefault="00623AE2" w:rsidP="00804DD6">
            <w:pPr>
              <w:spacing w:before="100" w:beforeAutospacing="1" w:after="100" w:afterAutospacing="1"/>
              <w:jc w:val="center"/>
              <w:rPr>
                <w:lang w:eastAsia="lv-LV" w:bidi="lo-LA"/>
              </w:rPr>
            </w:pPr>
            <w:r w:rsidRPr="006D6A6A">
              <w:rPr>
                <w:lang w:eastAsia="lv-LV" w:bidi="lo-LA"/>
              </w:rPr>
              <w:t xml:space="preserve">Izmaiņas, salīdzinot ar </w:t>
            </w:r>
            <w:r w:rsidR="007F2B5D" w:rsidRPr="006D6A6A">
              <w:rPr>
                <w:lang w:eastAsia="lv-LV" w:bidi="lo-LA"/>
              </w:rPr>
              <w:t>201</w:t>
            </w:r>
            <w:r w:rsidR="008014F6" w:rsidRPr="006D6A6A">
              <w:rPr>
                <w:lang w:eastAsia="lv-LV" w:bidi="lo-LA"/>
              </w:rPr>
              <w:t>2</w:t>
            </w:r>
            <w:r w:rsidR="007F2B5D" w:rsidRPr="006D6A6A">
              <w:rPr>
                <w:lang w:eastAsia="lv-LV" w:bidi="lo-LA"/>
              </w:rPr>
              <w:t>. gadu</w:t>
            </w:r>
          </w:p>
        </w:tc>
        <w:tc>
          <w:tcPr>
            <w:tcW w:w="1176" w:type="dxa"/>
            <w:vAlign w:val="center"/>
          </w:tcPr>
          <w:p w:rsidR="00623AE2" w:rsidRPr="006D6A6A" w:rsidRDefault="00623AE2" w:rsidP="00804DD6">
            <w:pPr>
              <w:spacing w:before="100" w:beforeAutospacing="1" w:after="100" w:afterAutospacing="1"/>
              <w:jc w:val="center"/>
              <w:rPr>
                <w:lang w:eastAsia="lv-LV" w:bidi="lo-LA"/>
              </w:rPr>
            </w:pPr>
            <w:r w:rsidRPr="006D6A6A">
              <w:rPr>
                <w:lang w:eastAsia="lv-LV" w:bidi="lo-LA"/>
              </w:rPr>
              <w:t xml:space="preserve">Izmaiņas, salīdzinot ar </w:t>
            </w:r>
            <w:r w:rsidR="007F2B5D" w:rsidRPr="006D6A6A">
              <w:rPr>
                <w:lang w:eastAsia="lv-LV" w:bidi="lo-LA"/>
              </w:rPr>
              <w:t>201</w:t>
            </w:r>
            <w:r w:rsidR="008014F6" w:rsidRPr="006D6A6A">
              <w:rPr>
                <w:lang w:eastAsia="lv-LV" w:bidi="lo-LA"/>
              </w:rPr>
              <w:t>2</w:t>
            </w:r>
            <w:r w:rsidR="007F2B5D" w:rsidRPr="006D6A6A">
              <w:rPr>
                <w:lang w:eastAsia="lv-LV" w:bidi="lo-LA"/>
              </w:rPr>
              <w:t>. gadu</w:t>
            </w:r>
          </w:p>
        </w:tc>
      </w:tr>
      <w:tr w:rsidR="008014F6" w:rsidRPr="006D6A6A" w:rsidTr="00687D5D">
        <w:tc>
          <w:tcPr>
            <w:tcW w:w="3369" w:type="dxa"/>
          </w:tcPr>
          <w:p w:rsidR="008014F6" w:rsidRPr="006D6A6A" w:rsidRDefault="008014F6" w:rsidP="001E3003">
            <w:pPr>
              <w:spacing w:before="100" w:beforeAutospacing="1" w:after="100" w:afterAutospacing="1"/>
              <w:rPr>
                <w:b/>
                <w:lang w:eastAsia="lv-LV" w:bidi="lo-LA"/>
              </w:rPr>
            </w:pPr>
            <w:r w:rsidRPr="006D6A6A">
              <w:rPr>
                <w:b/>
                <w:lang w:eastAsia="lv-LV" w:bidi="lo-LA"/>
              </w:rPr>
              <w:t> 1. Budžeta ieņēmumi:</w:t>
            </w:r>
          </w:p>
        </w:tc>
        <w:tc>
          <w:tcPr>
            <w:tcW w:w="1176" w:type="dxa"/>
            <w:vAlign w:val="center"/>
          </w:tcPr>
          <w:p w:rsidR="008014F6" w:rsidRPr="006D6A6A" w:rsidRDefault="00706831" w:rsidP="008014F6">
            <w:pPr>
              <w:autoSpaceDE w:val="0"/>
              <w:autoSpaceDN w:val="0"/>
              <w:adjustRightInd w:val="0"/>
              <w:jc w:val="right"/>
              <w:rPr>
                <w:b/>
                <w:bCs/>
              </w:rPr>
            </w:pPr>
            <w:r w:rsidRPr="006D6A6A">
              <w:rPr>
                <w:b/>
                <w:bCs/>
              </w:rPr>
              <w:t>1 667,8</w:t>
            </w:r>
          </w:p>
        </w:tc>
        <w:tc>
          <w:tcPr>
            <w:tcW w:w="1229" w:type="dxa"/>
            <w:vAlign w:val="center"/>
          </w:tcPr>
          <w:p w:rsidR="008014F6" w:rsidRPr="006D6A6A" w:rsidRDefault="00706831" w:rsidP="008014F6">
            <w:pPr>
              <w:autoSpaceDE w:val="0"/>
              <w:autoSpaceDN w:val="0"/>
              <w:adjustRightInd w:val="0"/>
              <w:jc w:val="right"/>
              <w:rPr>
                <w:b/>
                <w:bCs/>
              </w:rPr>
            </w:pPr>
            <w:r w:rsidRPr="006D6A6A">
              <w:rPr>
                <w:b/>
                <w:bCs/>
              </w:rPr>
              <w:t>0,0</w:t>
            </w:r>
          </w:p>
        </w:tc>
        <w:tc>
          <w:tcPr>
            <w:tcW w:w="1171" w:type="dxa"/>
            <w:vAlign w:val="center"/>
          </w:tcPr>
          <w:p w:rsidR="008014F6" w:rsidRPr="006D6A6A" w:rsidRDefault="004173E2" w:rsidP="003C4325">
            <w:pPr>
              <w:autoSpaceDE w:val="0"/>
              <w:autoSpaceDN w:val="0"/>
              <w:adjustRightInd w:val="0"/>
              <w:jc w:val="right"/>
              <w:rPr>
                <w:b/>
                <w:bCs/>
              </w:rPr>
            </w:pPr>
            <w:r w:rsidRPr="006D6A6A">
              <w:rPr>
                <w:b/>
                <w:bCs/>
              </w:rPr>
              <w:t>-</w:t>
            </w:r>
            <w:r w:rsidR="009274F5" w:rsidRPr="006D6A6A">
              <w:rPr>
                <w:b/>
                <w:bCs/>
              </w:rPr>
              <w:t>279,1</w:t>
            </w:r>
          </w:p>
        </w:tc>
        <w:tc>
          <w:tcPr>
            <w:tcW w:w="1218" w:type="dxa"/>
            <w:vAlign w:val="center"/>
          </w:tcPr>
          <w:p w:rsidR="008014F6" w:rsidRPr="006D6A6A" w:rsidRDefault="004173E2" w:rsidP="009274F5">
            <w:pPr>
              <w:autoSpaceDE w:val="0"/>
              <w:autoSpaceDN w:val="0"/>
              <w:adjustRightInd w:val="0"/>
              <w:jc w:val="right"/>
              <w:rPr>
                <w:b/>
                <w:bCs/>
              </w:rPr>
            </w:pPr>
            <w:r w:rsidRPr="006D6A6A">
              <w:rPr>
                <w:b/>
                <w:bCs/>
              </w:rPr>
              <w:t>-</w:t>
            </w:r>
            <w:r w:rsidR="009274F5" w:rsidRPr="006D6A6A">
              <w:rPr>
                <w:b/>
                <w:bCs/>
              </w:rPr>
              <w:t>761,1</w:t>
            </w:r>
          </w:p>
        </w:tc>
        <w:tc>
          <w:tcPr>
            <w:tcW w:w="1176" w:type="dxa"/>
            <w:vAlign w:val="center"/>
          </w:tcPr>
          <w:p w:rsidR="008014F6" w:rsidRPr="006D6A6A" w:rsidRDefault="00C81AEC" w:rsidP="009274F5">
            <w:pPr>
              <w:autoSpaceDE w:val="0"/>
              <w:autoSpaceDN w:val="0"/>
              <w:adjustRightInd w:val="0"/>
              <w:jc w:val="right"/>
              <w:rPr>
                <w:b/>
                <w:bCs/>
              </w:rPr>
            </w:pPr>
            <w:r w:rsidRPr="006D6A6A">
              <w:rPr>
                <w:b/>
                <w:bCs/>
              </w:rPr>
              <w:t>-</w:t>
            </w:r>
            <w:r w:rsidR="009274F5" w:rsidRPr="006D6A6A">
              <w:rPr>
                <w:b/>
                <w:bCs/>
              </w:rPr>
              <w:t>1 495,1</w:t>
            </w:r>
          </w:p>
        </w:tc>
      </w:tr>
      <w:tr w:rsidR="008014F6" w:rsidRPr="006D6A6A" w:rsidTr="00687D5D">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1.1. valsts pamatbudžets, tai skaitā ieņēmumi no maksas pakalpojumiem un citi pašu ieņēmumi</w:t>
            </w:r>
          </w:p>
        </w:tc>
        <w:tc>
          <w:tcPr>
            <w:tcW w:w="1176" w:type="dxa"/>
            <w:vAlign w:val="center"/>
          </w:tcPr>
          <w:p w:rsidR="008014F6" w:rsidRPr="006D6A6A" w:rsidRDefault="00706831" w:rsidP="008014F6">
            <w:pPr>
              <w:autoSpaceDE w:val="0"/>
              <w:autoSpaceDN w:val="0"/>
              <w:adjustRightInd w:val="0"/>
              <w:jc w:val="right"/>
            </w:pPr>
            <w:r w:rsidRPr="006D6A6A">
              <w:t>1 667,8</w:t>
            </w:r>
          </w:p>
        </w:tc>
        <w:tc>
          <w:tcPr>
            <w:tcW w:w="1229" w:type="dxa"/>
            <w:vAlign w:val="center"/>
          </w:tcPr>
          <w:p w:rsidR="008014F6" w:rsidRPr="006D6A6A" w:rsidRDefault="00706831" w:rsidP="008014F6">
            <w:pPr>
              <w:autoSpaceDE w:val="0"/>
              <w:autoSpaceDN w:val="0"/>
              <w:adjustRightInd w:val="0"/>
              <w:jc w:val="right"/>
            </w:pPr>
            <w:r w:rsidRPr="006D6A6A">
              <w:t>0,0</w:t>
            </w:r>
          </w:p>
        </w:tc>
        <w:tc>
          <w:tcPr>
            <w:tcW w:w="1171" w:type="dxa"/>
            <w:vAlign w:val="center"/>
          </w:tcPr>
          <w:p w:rsidR="008014F6" w:rsidRPr="006D6A6A" w:rsidRDefault="004173E2" w:rsidP="009274F5">
            <w:pPr>
              <w:autoSpaceDE w:val="0"/>
              <w:autoSpaceDN w:val="0"/>
              <w:adjustRightInd w:val="0"/>
              <w:jc w:val="right"/>
            </w:pPr>
            <w:r w:rsidRPr="006D6A6A">
              <w:t>-</w:t>
            </w:r>
            <w:r w:rsidR="009274F5" w:rsidRPr="006D6A6A">
              <w:t>279,1</w:t>
            </w:r>
          </w:p>
        </w:tc>
        <w:tc>
          <w:tcPr>
            <w:tcW w:w="1218" w:type="dxa"/>
            <w:vAlign w:val="center"/>
          </w:tcPr>
          <w:p w:rsidR="008014F6" w:rsidRPr="006D6A6A" w:rsidRDefault="00C81AEC" w:rsidP="009274F5">
            <w:pPr>
              <w:autoSpaceDE w:val="0"/>
              <w:autoSpaceDN w:val="0"/>
              <w:adjustRightInd w:val="0"/>
              <w:jc w:val="right"/>
            </w:pPr>
            <w:r w:rsidRPr="006D6A6A">
              <w:t>-</w:t>
            </w:r>
            <w:r w:rsidR="009274F5" w:rsidRPr="006D6A6A">
              <w:t>761,1</w:t>
            </w:r>
          </w:p>
        </w:tc>
        <w:tc>
          <w:tcPr>
            <w:tcW w:w="1176" w:type="dxa"/>
            <w:vAlign w:val="center"/>
          </w:tcPr>
          <w:p w:rsidR="008014F6" w:rsidRPr="006D6A6A" w:rsidRDefault="00C81AEC" w:rsidP="009274F5">
            <w:pPr>
              <w:autoSpaceDE w:val="0"/>
              <w:autoSpaceDN w:val="0"/>
              <w:adjustRightInd w:val="0"/>
              <w:jc w:val="right"/>
            </w:pPr>
            <w:r w:rsidRPr="006D6A6A">
              <w:t>-1</w:t>
            </w:r>
            <w:r w:rsidR="009274F5" w:rsidRPr="006D6A6A">
              <w:t> 495,1</w:t>
            </w:r>
          </w:p>
        </w:tc>
      </w:tr>
      <w:tr w:rsidR="008014F6" w:rsidRPr="006D6A6A" w:rsidTr="008014F6">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1.2. valsts speciālais budžets</w:t>
            </w:r>
          </w:p>
        </w:tc>
        <w:tc>
          <w:tcPr>
            <w:tcW w:w="1176" w:type="dxa"/>
          </w:tcPr>
          <w:p w:rsidR="008014F6" w:rsidRPr="006D6A6A" w:rsidRDefault="008014F6" w:rsidP="008014F6">
            <w:pPr>
              <w:jc w:val="right"/>
            </w:pPr>
            <w:r w:rsidRPr="006D6A6A">
              <w:t>0,00</w:t>
            </w:r>
          </w:p>
        </w:tc>
        <w:tc>
          <w:tcPr>
            <w:tcW w:w="1229" w:type="dxa"/>
          </w:tcPr>
          <w:p w:rsidR="008014F6" w:rsidRPr="006D6A6A" w:rsidRDefault="008014F6" w:rsidP="008014F6">
            <w:pPr>
              <w:jc w:val="right"/>
            </w:pPr>
            <w:r w:rsidRPr="006D6A6A">
              <w:t>0,00</w:t>
            </w:r>
          </w:p>
        </w:tc>
        <w:tc>
          <w:tcPr>
            <w:tcW w:w="1171" w:type="dxa"/>
          </w:tcPr>
          <w:p w:rsidR="008014F6" w:rsidRPr="006D6A6A" w:rsidRDefault="008014F6" w:rsidP="008014F6">
            <w:pPr>
              <w:jc w:val="right"/>
            </w:pPr>
            <w:r w:rsidRPr="006D6A6A">
              <w:t>0,00</w:t>
            </w:r>
          </w:p>
        </w:tc>
        <w:tc>
          <w:tcPr>
            <w:tcW w:w="1218" w:type="dxa"/>
          </w:tcPr>
          <w:p w:rsidR="008014F6" w:rsidRPr="006D6A6A" w:rsidRDefault="008014F6" w:rsidP="008014F6">
            <w:pPr>
              <w:jc w:val="right"/>
            </w:pPr>
            <w:r w:rsidRPr="006D6A6A">
              <w:t>0,00</w:t>
            </w:r>
          </w:p>
        </w:tc>
        <w:tc>
          <w:tcPr>
            <w:tcW w:w="1176" w:type="dxa"/>
          </w:tcPr>
          <w:p w:rsidR="008014F6" w:rsidRPr="006D6A6A" w:rsidRDefault="008014F6" w:rsidP="008014F6">
            <w:pPr>
              <w:jc w:val="right"/>
            </w:pPr>
            <w:r w:rsidRPr="006D6A6A">
              <w:t>0,00</w:t>
            </w:r>
          </w:p>
        </w:tc>
      </w:tr>
      <w:tr w:rsidR="008014F6" w:rsidRPr="006D6A6A" w:rsidTr="008014F6">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1.3. pašvaldību budžets</w:t>
            </w:r>
          </w:p>
        </w:tc>
        <w:tc>
          <w:tcPr>
            <w:tcW w:w="1176" w:type="dxa"/>
          </w:tcPr>
          <w:p w:rsidR="008014F6" w:rsidRPr="006D6A6A" w:rsidRDefault="008014F6" w:rsidP="008014F6">
            <w:pPr>
              <w:jc w:val="right"/>
            </w:pPr>
            <w:r w:rsidRPr="006D6A6A">
              <w:t>0,00</w:t>
            </w:r>
          </w:p>
        </w:tc>
        <w:tc>
          <w:tcPr>
            <w:tcW w:w="1229" w:type="dxa"/>
          </w:tcPr>
          <w:p w:rsidR="008014F6" w:rsidRPr="006D6A6A" w:rsidRDefault="008014F6" w:rsidP="008014F6">
            <w:pPr>
              <w:jc w:val="right"/>
            </w:pPr>
            <w:r w:rsidRPr="006D6A6A">
              <w:t>0,00</w:t>
            </w:r>
          </w:p>
        </w:tc>
        <w:tc>
          <w:tcPr>
            <w:tcW w:w="1171" w:type="dxa"/>
          </w:tcPr>
          <w:p w:rsidR="008014F6" w:rsidRPr="006D6A6A" w:rsidRDefault="008014F6" w:rsidP="008014F6">
            <w:pPr>
              <w:jc w:val="right"/>
            </w:pPr>
            <w:r w:rsidRPr="006D6A6A">
              <w:t>0,00</w:t>
            </w:r>
          </w:p>
        </w:tc>
        <w:tc>
          <w:tcPr>
            <w:tcW w:w="1218" w:type="dxa"/>
          </w:tcPr>
          <w:p w:rsidR="008014F6" w:rsidRPr="006D6A6A" w:rsidRDefault="008014F6" w:rsidP="008014F6">
            <w:pPr>
              <w:jc w:val="right"/>
            </w:pPr>
            <w:r w:rsidRPr="006D6A6A">
              <w:t>0,00</w:t>
            </w:r>
          </w:p>
        </w:tc>
        <w:tc>
          <w:tcPr>
            <w:tcW w:w="1176" w:type="dxa"/>
          </w:tcPr>
          <w:p w:rsidR="008014F6" w:rsidRPr="006D6A6A" w:rsidRDefault="008014F6" w:rsidP="008014F6">
            <w:pPr>
              <w:jc w:val="right"/>
            </w:pPr>
            <w:r w:rsidRPr="006D6A6A">
              <w:t>0,00</w:t>
            </w:r>
          </w:p>
        </w:tc>
      </w:tr>
      <w:tr w:rsidR="008014F6" w:rsidRPr="006D6A6A" w:rsidTr="00687D5D">
        <w:tc>
          <w:tcPr>
            <w:tcW w:w="3369" w:type="dxa"/>
          </w:tcPr>
          <w:p w:rsidR="008014F6" w:rsidRPr="006D6A6A" w:rsidRDefault="008014F6" w:rsidP="001E3003">
            <w:pPr>
              <w:spacing w:before="100" w:beforeAutospacing="1" w:after="100" w:afterAutospacing="1"/>
              <w:rPr>
                <w:b/>
                <w:lang w:eastAsia="lv-LV" w:bidi="lo-LA"/>
              </w:rPr>
            </w:pPr>
            <w:r w:rsidRPr="006D6A6A">
              <w:rPr>
                <w:b/>
                <w:lang w:eastAsia="lv-LV" w:bidi="lo-LA"/>
              </w:rPr>
              <w:t> 2. Budžeta izdevumi:</w:t>
            </w:r>
          </w:p>
        </w:tc>
        <w:tc>
          <w:tcPr>
            <w:tcW w:w="1176" w:type="dxa"/>
            <w:vAlign w:val="center"/>
          </w:tcPr>
          <w:p w:rsidR="008014F6" w:rsidRPr="006D6A6A" w:rsidRDefault="00706831" w:rsidP="008014F6">
            <w:pPr>
              <w:jc w:val="right"/>
              <w:rPr>
                <w:b/>
                <w:bCs/>
              </w:rPr>
            </w:pPr>
            <w:r w:rsidRPr="006D6A6A">
              <w:rPr>
                <w:b/>
                <w:bCs/>
              </w:rPr>
              <w:t>1 900,0</w:t>
            </w:r>
          </w:p>
        </w:tc>
        <w:tc>
          <w:tcPr>
            <w:tcW w:w="1229" w:type="dxa"/>
            <w:vAlign w:val="center"/>
          </w:tcPr>
          <w:p w:rsidR="008014F6" w:rsidRPr="006D6A6A" w:rsidRDefault="00706831" w:rsidP="008014F6">
            <w:pPr>
              <w:jc w:val="right"/>
              <w:rPr>
                <w:b/>
                <w:bCs/>
              </w:rPr>
            </w:pPr>
            <w:r w:rsidRPr="006D6A6A">
              <w:rPr>
                <w:b/>
                <w:bCs/>
              </w:rPr>
              <w:t>0,0</w:t>
            </w:r>
          </w:p>
        </w:tc>
        <w:tc>
          <w:tcPr>
            <w:tcW w:w="1171" w:type="dxa"/>
            <w:vAlign w:val="center"/>
          </w:tcPr>
          <w:p w:rsidR="008014F6" w:rsidRPr="006D6A6A" w:rsidRDefault="004173E2" w:rsidP="003C4325">
            <w:pPr>
              <w:jc w:val="right"/>
              <w:rPr>
                <w:b/>
                <w:bCs/>
              </w:rPr>
            </w:pPr>
            <w:r w:rsidRPr="006D6A6A">
              <w:rPr>
                <w:b/>
                <w:bCs/>
              </w:rPr>
              <w:t>-</w:t>
            </w:r>
            <w:r w:rsidR="003C4325" w:rsidRPr="006D6A6A">
              <w:rPr>
                <w:b/>
                <w:bCs/>
              </w:rPr>
              <w:t>313,6</w:t>
            </w:r>
          </w:p>
        </w:tc>
        <w:tc>
          <w:tcPr>
            <w:tcW w:w="1218" w:type="dxa"/>
            <w:vAlign w:val="center"/>
          </w:tcPr>
          <w:p w:rsidR="008014F6" w:rsidRPr="006D6A6A" w:rsidRDefault="004173E2" w:rsidP="008014F6">
            <w:pPr>
              <w:jc w:val="right"/>
              <w:rPr>
                <w:b/>
                <w:bCs/>
              </w:rPr>
            </w:pPr>
            <w:r w:rsidRPr="006D6A6A">
              <w:rPr>
                <w:b/>
                <w:bCs/>
              </w:rPr>
              <w:t>-850,0</w:t>
            </w:r>
          </w:p>
        </w:tc>
        <w:tc>
          <w:tcPr>
            <w:tcW w:w="1176" w:type="dxa"/>
            <w:vAlign w:val="center"/>
          </w:tcPr>
          <w:p w:rsidR="008014F6" w:rsidRPr="006D6A6A" w:rsidRDefault="00C81AEC" w:rsidP="008014F6">
            <w:pPr>
              <w:jc w:val="right"/>
              <w:rPr>
                <w:b/>
                <w:bCs/>
              </w:rPr>
            </w:pPr>
            <w:r w:rsidRPr="006D6A6A">
              <w:rPr>
                <w:b/>
                <w:bCs/>
              </w:rPr>
              <w:t>-1 700,0</w:t>
            </w:r>
          </w:p>
        </w:tc>
      </w:tr>
      <w:tr w:rsidR="008014F6" w:rsidRPr="006D6A6A" w:rsidTr="00687D5D">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2.1. valsts pamatbudžets</w:t>
            </w:r>
          </w:p>
        </w:tc>
        <w:tc>
          <w:tcPr>
            <w:tcW w:w="1176" w:type="dxa"/>
            <w:vAlign w:val="center"/>
          </w:tcPr>
          <w:p w:rsidR="008014F6" w:rsidRPr="006D6A6A" w:rsidRDefault="00706831" w:rsidP="008014F6">
            <w:pPr>
              <w:jc w:val="right"/>
            </w:pPr>
            <w:r w:rsidRPr="006D6A6A">
              <w:t>1 900,0</w:t>
            </w:r>
          </w:p>
        </w:tc>
        <w:tc>
          <w:tcPr>
            <w:tcW w:w="1229" w:type="dxa"/>
            <w:vAlign w:val="center"/>
          </w:tcPr>
          <w:p w:rsidR="008014F6" w:rsidRPr="006D6A6A" w:rsidRDefault="00706831" w:rsidP="008014F6">
            <w:pPr>
              <w:jc w:val="right"/>
            </w:pPr>
            <w:r w:rsidRPr="006D6A6A">
              <w:t>0,0</w:t>
            </w:r>
          </w:p>
        </w:tc>
        <w:tc>
          <w:tcPr>
            <w:tcW w:w="1171" w:type="dxa"/>
            <w:vAlign w:val="center"/>
          </w:tcPr>
          <w:p w:rsidR="008014F6" w:rsidRPr="006D6A6A" w:rsidRDefault="004173E2" w:rsidP="003C4325">
            <w:pPr>
              <w:jc w:val="right"/>
            </w:pPr>
            <w:r w:rsidRPr="006D6A6A">
              <w:t>-</w:t>
            </w:r>
            <w:r w:rsidR="003C4325" w:rsidRPr="006D6A6A">
              <w:t>313,6</w:t>
            </w:r>
          </w:p>
        </w:tc>
        <w:tc>
          <w:tcPr>
            <w:tcW w:w="1218" w:type="dxa"/>
            <w:vAlign w:val="center"/>
          </w:tcPr>
          <w:p w:rsidR="008014F6" w:rsidRPr="006D6A6A" w:rsidRDefault="00C81AEC" w:rsidP="008014F6">
            <w:pPr>
              <w:jc w:val="right"/>
            </w:pPr>
            <w:r w:rsidRPr="006D6A6A">
              <w:t>-850,0</w:t>
            </w:r>
          </w:p>
        </w:tc>
        <w:tc>
          <w:tcPr>
            <w:tcW w:w="1176" w:type="dxa"/>
            <w:vAlign w:val="center"/>
          </w:tcPr>
          <w:p w:rsidR="008014F6" w:rsidRPr="006D6A6A" w:rsidRDefault="00C81AEC" w:rsidP="008014F6">
            <w:pPr>
              <w:jc w:val="right"/>
            </w:pPr>
            <w:r w:rsidRPr="006D6A6A">
              <w:t>-1 700,0</w:t>
            </w:r>
          </w:p>
        </w:tc>
      </w:tr>
      <w:tr w:rsidR="008014F6" w:rsidRPr="006D6A6A" w:rsidTr="008014F6">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2.2. valsts speciālais budžets</w:t>
            </w:r>
          </w:p>
        </w:tc>
        <w:tc>
          <w:tcPr>
            <w:tcW w:w="1176" w:type="dxa"/>
          </w:tcPr>
          <w:p w:rsidR="008014F6" w:rsidRPr="006D6A6A" w:rsidRDefault="008014F6" w:rsidP="008014F6">
            <w:pPr>
              <w:jc w:val="right"/>
            </w:pPr>
            <w:r w:rsidRPr="006D6A6A">
              <w:t>0,00</w:t>
            </w:r>
          </w:p>
        </w:tc>
        <w:tc>
          <w:tcPr>
            <w:tcW w:w="1229" w:type="dxa"/>
          </w:tcPr>
          <w:p w:rsidR="008014F6" w:rsidRPr="006D6A6A" w:rsidRDefault="008014F6" w:rsidP="008014F6">
            <w:pPr>
              <w:jc w:val="right"/>
            </w:pPr>
            <w:r w:rsidRPr="006D6A6A">
              <w:t>0,00</w:t>
            </w:r>
          </w:p>
        </w:tc>
        <w:tc>
          <w:tcPr>
            <w:tcW w:w="1171" w:type="dxa"/>
          </w:tcPr>
          <w:p w:rsidR="008014F6" w:rsidRPr="006D6A6A" w:rsidRDefault="008014F6" w:rsidP="008014F6">
            <w:pPr>
              <w:jc w:val="right"/>
            </w:pPr>
            <w:r w:rsidRPr="006D6A6A">
              <w:t>0,00</w:t>
            </w:r>
          </w:p>
        </w:tc>
        <w:tc>
          <w:tcPr>
            <w:tcW w:w="1218" w:type="dxa"/>
          </w:tcPr>
          <w:p w:rsidR="008014F6" w:rsidRPr="006D6A6A" w:rsidRDefault="008014F6" w:rsidP="008014F6">
            <w:pPr>
              <w:jc w:val="right"/>
            </w:pPr>
            <w:r w:rsidRPr="006D6A6A">
              <w:t>0,00</w:t>
            </w:r>
          </w:p>
        </w:tc>
        <w:tc>
          <w:tcPr>
            <w:tcW w:w="1176" w:type="dxa"/>
          </w:tcPr>
          <w:p w:rsidR="008014F6" w:rsidRPr="006D6A6A" w:rsidRDefault="008014F6" w:rsidP="008014F6">
            <w:pPr>
              <w:jc w:val="right"/>
            </w:pPr>
            <w:r w:rsidRPr="006D6A6A">
              <w:t>0,00</w:t>
            </w:r>
          </w:p>
        </w:tc>
      </w:tr>
      <w:tr w:rsidR="008014F6" w:rsidRPr="006D6A6A" w:rsidTr="008014F6">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2.3. pašvaldību budžets</w:t>
            </w:r>
          </w:p>
        </w:tc>
        <w:tc>
          <w:tcPr>
            <w:tcW w:w="1176" w:type="dxa"/>
          </w:tcPr>
          <w:p w:rsidR="008014F6" w:rsidRPr="006D6A6A" w:rsidRDefault="008014F6" w:rsidP="008014F6">
            <w:pPr>
              <w:jc w:val="right"/>
            </w:pPr>
            <w:r w:rsidRPr="006D6A6A">
              <w:t>0,00</w:t>
            </w:r>
          </w:p>
        </w:tc>
        <w:tc>
          <w:tcPr>
            <w:tcW w:w="1229" w:type="dxa"/>
          </w:tcPr>
          <w:p w:rsidR="008014F6" w:rsidRPr="006D6A6A" w:rsidRDefault="008014F6" w:rsidP="008014F6">
            <w:pPr>
              <w:jc w:val="right"/>
            </w:pPr>
            <w:r w:rsidRPr="006D6A6A">
              <w:t>0,00</w:t>
            </w:r>
          </w:p>
        </w:tc>
        <w:tc>
          <w:tcPr>
            <w:tcW w:w="1171" w:type="dxa"/>
          </w:tcPr>
          <w:p w:rsidR="008014F6" w:rsidRPr="006D6A6A" w:rsidRDefault="008014F6" w:rsidP="008014F6">
            <w:pPr>
              <w:jc w:val="right"/>
            </w:pPr>
            <w:r w:rsidRPr="006D6A6A">
              <w:t>0,00</w:t>
            </w:r>
          </w:p>
        </w:tc>
        <w:tc>
          <w:tcPr>
            <w:tcW w:w="1218" w:type="dxa"/>
          </w:tcPr>
          <w:p w:rsidR="008014F6" w:rsidRPr="006D6A6A" w:rsidRDefault="008014F6" w:rsidP="008014F6">
            <w:pPr>
              <w:jc w:val="right"/>
            </w:pPr>
            <w:r w:rsidRPr="006D6A6A">
              <w:t>0,00</w:t>
            </w:r>
          </w:p>
        </w:tc>
        <w:tc>
          <w:tcPr>
            <w:tcW w:w="1176" w:type="dxa"/>
          </w:tcPr>
          <w:p w:rsidR="008014F6" w:rsidRPr="006D6A6A" w:rsidRDefault="008014F6" w:rsidP="008014F6">
            <w:pPr>
              <w:jc w:val="right"/>
            </w:pPr>
            <w:r w:rsidRPr="006D6A6A">
              <w:t>0,00</w:t>
            </w:r>
          </w:p>
        </w:tc>
      </w:tr>
      <w:tr w:rsidR="008014F6" w:rsidRPr="006D6A6A" w:rsidTr="00687D5D">
        <w:tc>
          <w:tcPr>
            <w:tcW w:w="3369" w:type="dxa"/>
          </w:tcPr>
          <w:p w:rsidR="008014F6" w:rsidRPr="006D6A6A" w:rsidRDefault="008014F6" w:rsidP="001E3003">
            <w:pPr>
              <w:spacing w:before="100" w:beforeAutospacing="1" w:after="100" w:afterAutospacing="1"/>
              <w:rPr>
                <w:b/>
                <w:lang w:eastAsia="lv-LV" w:bidi="lo-LA"/>
              </w:rPr>
            </w:pPr>
            <w:r w:rsidRPr="006D6A6A">
              <w:rPr>
                <w:b/>
                <w:lang w:eastAsia="lv-LV" w:bidi="lo-LA"/>
              </w:rPr>
              <w:t> 3. Finansiālā ietekme:</w:t>
            </w:r>
          </w:p>
        </w:tc>
        <w:tc>
          <w:tcPr>
            <w:tcW w:w="1176" w:type="dxa"/>
            <w:vAlign w:val="center"/>
          </w:tcPr>
          <w:p w:rsidR="008014F6" w:rsidRPr="006D6A6A" w:rsidRDefault="00706831" w:rsidP="008014F6">
            <w:pPr>
              <w:jc w:val="right"/>
              <w:rPr>
                <w:b/>
                <w:bCs/>
              </w:rPr>
            </w:pPr>
            <w:r w:rsidRPr="006D6A6A">
              <w:rPr>
                <w:b/>
                <w:bCs/>
              </w:rPr>
              <w:t>-232,2</w:t>
            </w:r>
          </w:p>
        </w:tc>
        <w:tc>
          <w:tcPr>
            <w:tcW w:w="1229" w:type="dxa"/>
            <w:vAlign w:val="center"/>
          </w:tcPr>
          <w:p w:rsidR="008014F6" w:rsidRPr="006D6A6A" w:rsidRDefault="00706831" w:rsidP="008014F6">
            <w:pPr>
              <w:jc w:val="right"/>
              <w:rPr>
                <w:b/>
                <w:bCs/>
              </w:rPr>
            </w:pPr>
            <w:r w:rsidRPr="006D6A6A">
              <w:rPr>
                <w:b/>
                <w:bCs/>
              </w:rPr>
              <w:t>0,0</w:t>
            </w:r>
          </w:p>
        </w:tc>
        <w:tc>
          <w:tcPr>
            <w:tcW w:w="1171" w:type="dxa"/>
            <w:vAlign w:val="center"/>
          </w:tcPr>
          <w:p w:rsidR="008014F6" w:rsidRPr="006D6A6A" w:rsidRDefault="009274F5" w:rsidP="009274F5">
            <w:pPr>
              <w:jc w:val="right"/>
              <w:rPr>
                <w:b/>
                <w:bCs/>
              </w:rPr>
            </w:pPr>
            <w:r w:rsidRPr="006D6A6A">
              <w:rPr>
                <w:b/>
                <w:bCs/>
              </w:rPr>
              <w:t>34,5</w:t>
            </w:r>
          </w:p>
        </w:tc>
        <w:tc>
          <w:tcPr>
            <w:tcW w:w="1218" w:type="dxa"/>
            <w:vAlign w:val="center"/>
          </w:tcPr>
          <w:p w:rsidR="008014F6" w:rsidRPr="006D6A6A" w:rsidRDefault="009274F5" w:rsidP="009274F5">
            <w:pPr>
              <w:jc w:val="right"/>
              <w:rPr>
                <w:b/>
                <w:bCs/>
              </w:rPr>
            </w:pPr>
            <w:r w:rsidRPr="006D6A6A">
              <w:rPr>
                <w:b/>
                <w:bCs/>
              </w:rPr>
              <w:t>88,9</w:t>
            </w:r>
          </w:p>
        </w:tc>
        <w:tc>
          <w:tcPr>
            <w:tcW w:w="1176" w:type="dxa"/>
            <w:vAlign w:val="center"/>
          </w:tcPr>
          <w:p w:rsidR="008014F6" w:rsidRPr="006D6A6A" w:rsidRDefault="009274F5" w:rsidP="008014F6">
            <w:pPr>
              <w:jc w:val="right"/>
              <w:rPr>
                <w:b/>
                <w:bCs/>
              </w:rPr>
            </w:pPr>
            <w:r w:rsidRPr="006D6A6A">
              <w:rPr>
                <w:b/>
                <w:bCs/>
              </w:rPr>
              <w:t>204,9</w:t>
            </w:r>
          </w:p>
        </w:tc>
      </w:tr>
      <w:tr w:rsidR="008014F6" w:rsidRPr="006D6A6A" w:rsidTr="0054334B">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3.1. valsts pamatbudžets</w:t>
            </w:r>
          </w:p>
        </w:tc>
        <w:tc>
          <w:tcPr>
            <w:tcW w:w="1176" w:type="dxa"/>
            <w:vAlign w:val="center"/>
          </w:tcPr>
          <w:p w:rsidR="008014F6" w:rsidRPr="006D6A6A" w:rsidRDefault="00706831" w:rsidP="008014F6">
            <w:pPr>
              <w:jc w:val="right"/>
            </w:pPr>
            <w:r w:rsidRPr="006D6A6A">
              <w:t>-232,2</w:t>
            </w:r>
          </w:p>
        </w:tc>
        <w:tc>
          <w:tcPr>
            <w:tcW w:w="1229" w:type="dxa"/>
            <w:vAlign w:val="center"/>
          </w:tcPr>
          <w:p w:rsidR="008014F6" w:rsidRPr="006D6A6A" w:rsidRDefault="00706831" w:rsidP="008014F6">
            <w:pPr>
              <w:jc w:val="right"/>
            </w:pPr>
            <w:r w:rsidRPr="006D6A6A">
              <w:t>0,0</w:t>
            </w:r>
          </w:p>
        </w:tc>
        <w:tc>
          <w:tcPr>
            <w:tcW w:w="1171" w:type="dxa"/>
            <w:vAlign w:val="center"/>
          </w:tcPr>
          <w:p w:rsidR="008014F6" w:rsidRPr="006D6A6A" w:rsidRDefault="009274F5" w:rsidP="009274F5">
            <w:pPr>
              <w:jc w:val="right"/>
            </w:pPr>
            <w:r w:rsidRPr="006D6A6A">
              <w:t>34,5</w:t>
            </w:r>
          </w:p>
        </w:tc>
        <w:tc>
          <w:tcPr>
            <w:tcW w:w="1218" w:type="dxa"/>
            <w:vAlign w:val="center"/>
          </w:tcPr>
          <w:p w:rsidR="008014F6" w:rsidRPr="006D6A6A" w:rsidRDefault="009274F5" w:rsidP="009274F5">
            <w:pPr>
              <w:jc w:val="right"/>
            </w:pPr>
            <w:r w:rsidRPr="006D6A6A">
              <w:t>88,9</w:t>
            </w:r>
          </w:p>
        </w:tc>
        <w:tc>
          <w:tcPr>
            <w:tcW w:w="1176" w:type="dxa"/>
            <w:vAlign w:val="center"/>
          </w:tcPr>
          <w:p w:rsidR="008014F6" w:rsidRPr="006D6A6A" w:rsidRDefault="009274F5" w:rsidP="008014F6">
            <w:pPr>
              <w:jc w:val="right"/>
            </w:pPr>
            <w:r w:rsidRPr="006D6A6A">
              <w:t>204,9</w:t>
            </w:r>
          </w:p>
        </w:tc>
      </w:tr>
      <w:tr w:rsidR="008014F6" w:rsidRPr="006D6A6A" w:rsidTr="008014F6">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3.2. speciālais budžets</w:t>
            </w:r>
          </w:p>
        </w:tc>
        <w:tc>
          <w:tcPr>
            <w:tcW w:w="1176" w:type="dxa"/>
          </w:tcPr>
          <w:p w:rsidR="008014F6" w:rsidRPr="006D6A6A" w:rsidRDefault="008014F6" w:rsidP="008014F6">
            <w:pPr>
              <w:jc w:val="right"/>
            </w:pPr>
            <w:r w:rsidRPr="006D6A6A">
              <w:t>0,00</w:t>
            </w:r>
          </w:p>
        </w:tc>
        <w:tc>
          <w:tcPr>
            <w:tcW w:w="1229" w:type="dxa"/>
          </w:tcPr>
          <w:p w:rsidR="008014F6" w:rsidRPr="006D6A6A" w:rsidRDefault="008014F6" w:rsidP="008014F6">
            <w:pPr>
              <w:jc w:val="right"/>
            </w:pPr>
            <w:r w:rsidRPr="006D6A6A">
              <w:t>0,00</w:t>
            </w:r>
          </w:p>
        </w:tc>
        <w:tc>
          <w:tcPr>
            <w:tcW w:w="1171" w:type="dxa"/>
          </w:tcPr>
          <w:p w:rsidR="008014F6" w:rsidRPr="006D6A6A" w:rsidRDefault="008014F6" w:rsidP="008014F6">
            <w:pPr>
              <w:jc w:val="right"/>
            </w:pPr>
            <w:r w:rsidRPr="006D6A6A">
              <w:t>0,00</w:t>
            </w:r>
          </w:p>
        </w:tc>
        <w:tc>
          <w:tcPr>
            <w:tcW w:w="1218" w:type="dxa"/>
          </w:tcPr>
          <w:p w:rsidR="008014F6" w:rsidRPr="006D6A6A" w:rsidRDefault="008014F6" w:rsidP="008014F6">
            <w:pPr>
              <w:jc w:val="right"/>
            </w:pPr>
            <w:r w:rsidRPr="006D6A6A">
              <w:t>0,00</w:t>
            </w:r>
          </w:p>
        </w:tc>
        <w:tc>
          <w:tcPr>
            <w:tcW w:w="1176" w:type="dxa"/>
          </w:tcPr>
          <w:p w:rsidR="008014F6" w:rsidRPr="006D6A6A" w:rsidRDefault="008014F6" w:rsidP="008014F6">
            <w:pPr>
              <w:jc w:val="right"/>
            </w:pPr>
            <w:r w:rsidRPr="006D6A6A">
              <w:t>0,00</w:t>
            </w:r>
          </w:p>
        </w:tc>
      </w:tr>
      <w:tr w:rsidR="008014F6" w:rsidRPr="006D6A6A" w:rsidTr="008014F6">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3.3. pašvaldību budžets</w:t>
            </w:r>
          </w:p>
        </w:tc>
        <w:tc>
          <w:tcPr>
            <w:tcW w:w="1176" w:type="dxa"/>
          </w:tcPr>
          <w:p w:rsidR="008014F6" w:rsidRPr="006D6A6A" w:rsidRDefault="008014F6" w:rsidP="008014F6">
            <w:pPr>
              <w:jc w:val="right"/>
            </w:pPr>
            <w:r w:rsidRPr="006D6A6A">
              <w:t>0,00</w:t>
            </w:r>
          </w:p>
        </w:tc>
        <w:tc>
          <w:tcPr>
            <w:tcW w:w="1229" w:type="dxa"/>
          </w:tcPr>
          <w:p w:rsidR="008014F6" w:rsidRPr="006D6A6A" w:rsidRDefault="008014F6" w:rsidP="008014F6">
            <w:pPr>
              <w:jc w:val="right"/>
            </w:pPr>
            <w:r w:rsidRPr="006D6A6A">
              <w:t>0,00</w:t>
            </w:r>
          </w:p>
        </w:tc>
        <w:tc>
          <w:tcPr>
            <w:tcW w:w="1171" w:type="dxa"/>
          </w:tcPr>
          <w:p w:rsidR="008014F6" w:rsidRPr="006D6A6A" w:rsidRDefault="008014F6" w:rsidP="008014F6">
            <w:pPr>
              <w:jc w:val="right"/>
            </w:pPr>
            <w:r w:rsidRPr="006D6A6A">
              <w:t>0,00</w:t>
            </w:r>
          </w:p>
        </w:tc>
        <w:tc>
          <w:tcPr>
            <w:tcW w:w="1218" w:type="dxa"/>
          </w:tcPr>
          <w:p w:rsidR="008014F6" w:rsidRPr="006D6A6A" w:rsidRDefault="008014F6" w:rsidP="008014F6">
            <w:pPr>
              <w:jc w:val="right"/>
            </w:pPr>
            <w:r w:rsidRPr="006D6A6A">
              <w:t>0,00</w:t>
            </w:r>
          </w:p>
        </w:tc>
        <w:tc>
          <w:tcPr>
            <w:tcW w:w="1176" w:type="dxa"/>
          </w:tcPr>
          <w:p w:rsidR="008014F6" w:rsidRPr="006D6A6A" w:rsidRDefault="008014F6" w:rsidP="008014F6">
            <w:pPr>
              <w:jc w:val="right"/>
            </w:pPr>
            <w:r w:rsidRPr="006D6A6A">
              <w:t>0,00</w:t>
            </w:r>
          </w:p>
        </w:tc>
      </w:tr>
      <w:tr w:rsidR="008014F6" w:rsidRPr="006D6A6A" w:rsidTr="008014F6">
        <w:trPr>
          <w:trHeight w:val="454"/>
        </w:trPr>
        <w:tc>
          <w:tcPr>
            <w:tcW w:w="3369" w:type="dxa"/>
            <w:vMerge w:val="restart"/>
          </w:tcPr>
          <w:p w:rsidR="008014F6" w:rsidRPr="006D6A6A" w:rsidRDefault="008014F6" w:rsidP="001E3003">
            <w:pPr>
              <w:spacing w:before="100" w:beforeAutospacing="1" w:after="100" w:afterAutospacing="1"/>
              <w:rPr>
                <w:lang w:eastAsia="lv-LV" w:bidi="lo-LA"/>
              </w:rPr>
            </w:pPr>
            <w:r w:rsidRPr="006D6A6A">
              <w:rPr>
                <w:lang w:eastAsia="lv-LV" w:bidi="lo-LA"/>
              </w:rPr>
              <w:t> 4. Finanšu līdzekļi papildu izde</w:t>
            </w:r>
            <w:r w:rsidRPr="006D6A6A">
              <w:rPr>
                <w:lang w:eastAsia="lv-LV" w:bidi="lo-LA"/>
              </w:rPr>
              <w:softHyphen/>
              <w:t>vumu finansēšanai (kompensējošu izdevumu samazinājumu norāda ar "+" zīmi)</w:t>
            </w:r>
          </w:p>
        </w:tc>
        <w:tc>
          <w:tcPr>
            <w:tcW w:w="1176" w:type="dxa"/>
            <w:vMerge w:val="restart"/>
            <w:vAlign w:val="center"/>
          </w:tcPr>
          <w:p w:rsidR="008014F6" w:rsidRPr="006D6A6A" w:rsidRDefault="008014F6" w:rsidP="008014F6">
            <w:pPr>
              <w:autoSpaceDE w:val="0"/>
              <w:autoSpaceDN w:val="0"/>
              <w:adjustRightInd w:val="0"/>
              <w:jc w:val="center"/>
              <w:rPr>
                <w:noProof/>
              </w:rPr>
            </w:pPr>
            <w:r w:rsidRPr="006D6A6A">
              <w:rPr>
                <w:noProof/>
              </w:rPr>
              <w:t>X</w:t>
            </w:r>
          </w:p>
        </w:tc>
        <w:tc>
          <w:tcPr>
            <w:tcW w:w="1229" w:type="dxa"/>
          </w:tcPr>
          <w:p w:rsidR="008014F6" w:rsidRPr="006D6A6A" w:rsidRDefault="008014F6" w:rsidP="008014F6">
            <w:pPr>
              <w:jc w:val="right"/>
            </w:pPr>
            <w:r w:rsidRPr="006D6A6A">
              <w:t>0,00</w:t>
            </w:r>
          </w:p>
        </w:tc>
        <w:tc>
          <w:tcPr>
            <w:tcW w:w="1171" w:type="dxa"/>
          </w:tcPr>
          <w:p w:rsidR="008014F6" w:rsidRPr="006D6A6A" w:rsidRDefault="008014F6" w:rsidP="008014F6">
            <w:pPr>
              <w:jc w:val="right"/>
            </w:pPr>
            <w:r w:rsidRPr="006D6A6A">
              <w:t>0,00</w:t>
            </w:r>
          </w:p>
        </w:tc>
        <w:tc>
          <w:tcPr>
            <w:tcW w:w="1218" w:type="dxa"/>
          </w:tcPr>
          <w:p w:rsidR="008014F6" w:rsidRPr="006D6A6A" w:rsidRDefault="008014F6" w:rsidP="008014F6">
            <w:pPr>
              <w:jc w:val="right"/>
            </w:pPr>
            <w:r w:rsidRPr="006D6A6A">
              <w:t>0,00</w:t>
            </w:r>
          </w:p>
        </w:tc>
        <w:tc>
          <w:tcPr>
            <w:tcW w:w="1176" w:type="dxa"/>
          </w:tcPr>
          <w:p w:rsidR="008014F6" w:rsidRPr="006D6A6A" w:rsidRDefault="008014F6" w:rsidP="008014F6">
            <w:pPr>
              <w:jc w:val="right"/>
            </w:pPr>
            <w:r w:rsidRPr="006D6A6A">
              <w:t>0,00</w:t>
            </w:r>
          </w:p>
        </w:tc>
      </w:tr>
      <w:tr w:rsidR="008014F6" w:rsidRPr="006D6A6A" w:rsidTr="008014F6">
        <w:trPr>
          <w:trHeight w:val="454"/>
        </w:trPr>
        <w:tc>
          <w:tcPr>
            <w:tcW w:w="3369" w:type="dxa"/>
            <w:vMerge/>
            <w:vAlign w:val="center"/>
          </w:tcPr>
          <w:p w:rsidR="008014F6" w:rsidRPr="006D6A6A" w:rsidRDefault="008014F6" w:rsidP="00623AE2">
            <w:pPr>
              <w:rPr>
                <w:lang w:eastAsia="lv-LV" w:bidi="lo-LA"/>
              </w:rPr>
            </w:pPr>
          </w:p>
        </w:tc>
        <w:tc>
          <w:tcPr>
            <w:tcW w:w="1176" w:type="dxa"/>
            <w:vMerge/>
            <w:vAlign w:val="center"/>
          </w:tcPr>
          <w:p w:rsidR="008014F6" w:rsidRPr="006D6A6A" w:rsidRDefault="008014F6" w:rsidP="001E3003">
            <w:pPr>
              <w:autoSpaceDE w:val="0"/>
              <w:autoSpaceDN w:val="0"/>
              <w:adjustRightInd w:val="0"/>
              <w:jc w:val="center"/>
              <w:rPr>
                <w:noProof/>
              </w:rPr>
            </w:pPr>
          </w:p>
        </w:tc>
        <w:tc>
          <w:tcPr>
            <w:tcW w:w="1229" w:type="dxa"/>
          </w:tcPr>
          <w:p w:rsidR="008014F6" w:rsidRPr="006D6A6A" w:rsidRDefault="008014F6" w:rsidP="00687D5D">
            <w:pPr>
              <w:jc w:val="right"/>
            </w:pPr>
            <w:r w:rsidRPr="006D6A6A">
              <w:t>0,00</w:t>
            </w:r>
          </w:p>
        </w:tc>
        <w:tc>
          <w:tcPr>
            <w:tcW w:w="1171" w:type="dxa"/>
          </w:tcPr>
          <w:p w:rsidR="008014F6" w:rsidRPr="006D6A6A" w:rsidRDefault="008014F6" w:rsidP="00687D5D">
            <w:pPr>
              <w:jc w:val="right"/>
            </w:pPr>
            <w:r w:rsidRPr="006D6A6A">
              <w:t>0,00</w:t>
            </w:r>
          </w:p>
        </w:tc>
        <w:tc>
          <w:tcPr>
            <w:tcW w:w="1218" w:type="dxa"/>
          </w:tcPr>
          <w:p w:rsidR="008014F6" w:rsidRPr="006D6A6A" w:rsidRDefault="008014F6" w:rsidP="00687D5D">
            <w:pPr>
              <w:jc w:val="right"/>
            </w:pPr>
            <w:r w:rsidRPr="006D6A6A">
              <w:t>0,00</w:t>
            </w:r>
          </w:p>
        </w:tc>
        <w:tc>
          <w:tcPr>
            <w:tcW w:w="1176" w:type="dxa"/>
          </w:tcPr>
          <w:p w:rsidR="008014F6" w:rsidRPr="006D6A6A" w:rsidRDefault="008014F6" w:rsidP="00687D5D">
            <w:pPr>
              <w:jc w:val="right"/>
            </w:pPr>
            <w:r w:rsidRPr="006D6A6A">
              <w:t>0,00</w:t>
            </w:r>
          </w:p>
        </w:tc>
      </w:tr>
      <w:tr w:rsidR="008014F6" w:rsidRPr="006D6A6A" w:rsidTr="008014F6">
        <w:trPr>
          <w:trHeight w:val="454"/>
        </w:trPr>
        <w:tc>
          <w:tcPr>
            <w:tcW w:w="3369" w:type="dxa"/>
            <w:vMerge/>
            <w:vAlign w:val="center"/>
          </w:tcPr>
          <w:p w:rsidR="008014F6" w:rsidRPr="006D6A6A" w:rsidRDefault="008014F6" w:rsidP="00623AE2">
            <w:pPr>
              <w:rPr>
                <w:lang w:eastAsia="lv-LV" w:bidi="lo-LA"/>
              </w:rPr>
            </w:pPr>
          </w:p>
        </w:tc>
        <w:tc>
          <w:tcPr>
            <w:tcW w:w="1176" w:type="dxa"/>
            <w:vMerge/>
            <w:vAlign w:val="center"/>
          </w:tcPr>
          <w:p w:rsidR="008014F6" w:rsidRPr="006D6A6A" w:rsidRDefault="008014F6" w:rsidP="001E3003">
            <w:pPr>
              <w:autoSpaceDE w:val="0"/>
              <w:autoSpaceDN w:val="0"/>
              <w:adjustRightInd w:val="0"/>
              <w:jc w:val="center"/>
              <w:rPr>
                <w:noProof/>
              </w:rPr>
            </w:pPr>
          </w:p>
        </w:tc>
        <w:tc>
          <w:tcPr>
            <w:tcW w:w="1229" w:type="dxa"/>
          </w:tcPr>
          <w:p w:rsidR="008014F6" w:rsidRPr="006D6A6A" w:rsidRDefault="008014F6" w:rsidP="00687D5D">
            <w:pPr>
              <w:jc w:val="right"/>
            </w:pPr>
            <w:r w:rsidRPr="006D6A6A">
              <w:t>0,00</w:t>
            </w:r>
          </w:p>
        </w:tc>
        <w:tc>
          <w:tcPr>
            <w:tcW w:w="1171" w:type="dxa"/>
          </w:tcPr>
          <w:p w:rsidR="008014F6" w:rsidRPr="006D6A6A" w:rsidRDefault="008014F6" w:rsidP="00687D5D">
            <w:pPr>
              <w:jc w:val="right"/>
            </w:pPr>
            <w:r w:rsidRPr="006D6A6A">
              <w:t>0,00</w:t>
            </w:r>
          </w:p>
        </w:tc>
        <w:tc>
          <w:tcPr>
            <w:tcW w:w="1218" w:type="dxa"/>
          </w:tcPr>
          <w:p w:rsidR="008014F6" w:rsidRPr="006D6A6A" w:rsidRDefault="008014F6" w:rsidP="00687D5D">
            <w:pPr>
              <w:jc w:val="right"/>
            </w:pPr>
            <w:r w:rsidRPr="006D6A6A">
              <w:t>0,00</w:t>
            </w:r>
          </w:p>
        </w:tc>
        <w:tc>
          <w:tcPr>
            <w:tcW w:w="1176" w:type="dxa"/>
          </w:tcPr>
          <w:p w:rsidR="008014F6" w:rsidRPr="006D6A6A" w:rsidRDefault="008014F6" w:rsidP="00687D5D">
            <w:pPr>
              <w:jc w:val="right"/>
            </w:pPr>
            <w:r w:rsidRPr="006D6A6A">
              <w:t>0,00</w:t>
            </w:r>
          </w:p>
        </w:tc>
      </w:tr>
      <w:tr w:rsidR="008014F6" w:rsidRPr="006D6A6A" w:rsidTr="008014F6">
        <w:tc>
          <w:tcPr>
            <w:tcW w:w="3369" w:type="dxa"/>
          </w:tcPr>
          <w:p w:rsidR="008014F6" w:rsidRPr="006D6A6A" w:rsidRDefault="008014F6" w:rsidP="001E3003">
            <w:pPr>
              <w:spacing w:before="100" w:beforeAutospacing="1" w:after="100" w:afterAutospacing="1"/>
              <w:rPr>
                <w:lang w:eastAsia="lv-LV" w:bidi="lo-LA"/>
              </w:rPr>
            </w:pPr>
            <w:r w:rsidRPr="006D6A6A">
              <w:rPr>
                <w:lang w:eastAsia="lv-LV" w:bidi="lo-LA"/>
              </w:rPr>
              <w:t> 5. Precizēta finansiālā ietekme:</w:t>
            </w:r>
          </w:p>
        </w:tc>
        <w:tc>
          <w:tcPr>
            <w:tcW w:w="1176" w:type="dxa"/>
            <w:vMerge w:val="restart"/>
            <w:vAlign w:val="center"/>
          </w:tcPr>
          <w:p w:rsidR="008014F6" w:rsidRPr="006D6A6A" w:rsidRDefault="008014F6" w:rsidP="008014F6">
            <w:pPr>
              <w:autoSpaceDE w:val="0"/>
              <w:autoSpaceDN w:val="0"/>
              <w:adjustRightInd w:val="0"/>
              <w:jc w:val="center"/>
              <w:rPr>
                <w:noProof/>
              </w:rPr>
            </w:pPr>
            <w:r w:rsidRPr="006D6A6A">
              <w:rPr>
                <w:noProof/>
              </w:rPr>
              <w:t>X</w:t>
            </w:r>
          </w:p>
        </w:tc>
        <w:tc>
          <w:tcPr>
            <w:tcW w:w="1229" w:type="dxa"/>
          </w:tcPr>
          <w:p w:rsidR="008014F6" w:rsidRPr="006D6A6A" w:rsidRDefault="008014F6" w:rsidP="008014F6">
            <w:pPr>
              <w:jc w:val="right"/>
            </w:pPr>
            <w:r w:rsidRPr="006D6A6A">
              <w:t>0,00</w:t>
            </w:r>
          </w:p>
        </w:tc>
        <w:tc>
          <w:tcPr>
            <w:tcW w:w="1171" w:type="dxa"/>
          </w:tcPr>
          <w:p w:rsidR="008014F6" w:rsidRPr="006D6A6A" w:rsidRDefault="008014F6" w:rsidP="008014F6">
            <w:pPr>
              <w:jc w:val="right"/>
            </w:pPr>
            <w:r w:rsidRPr="006D6A6A">
              <w:t>0,00</w:t>
            </w:r>
          </w:p>
        </w:tc>
        <w:tc>
          <w:tcPr>
            <w:tcW w:w="1218" w:type="dxa"/>
          </w:tcPr>
          <w:p w:rsidR="008014F6" w:rsidRPr="006D6A6A" w:rsidRDefault="008014F6" w:rsidP="008014F6">
            <w:pPr>
              <w:jc w:val="right"/>
            </w:pPr>
            <w:r w:rsidRPr="006D6A6A">
              <w:t>0,00</w:t>
            </w:r>
          </w:p>
        </w:tc>
        <w:tc>
          <w:tcPr>
            <w:tcW w:w="1176" w:type="dxa"/>
          </w:tcPr>
          <w:p w:rsidR="008014F6" w:rsidRPr="006D6A6A" w:rsidRDefault="008014F6" w:rsidP="008014F6">
            <w:pPr>
              <w:jc w:val="right"/>
            </w:pPr>
            <w:r w:rsidRPr="006D6A6A">
              <w:t>0,00</w:t>
            </w:r>
          </w:p>
        </w:tc>
      </w:tr>
      <w:tr w:rsidR="008014F6" w:rsidRPr="006D6A6A" w:rsidTr="001E3003">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5.1. valsts pamatbudžets</w:t>
            </w:r>
          </w:p>
        </w:tc>
        <w:tc>
          <w:tcPr>
            <w:tcW w:w="1176" w:type="dxa"/>
            <w:vMerge/>
          </w:tcPr>
          <w:p w:rsidR="008014F6" w:rsidRPr="006D6A6A" w:rsidRDefault="008014F6" w:rsidP="001E3003">
            <w:pPr>
              <w:autoSpaceDE w:val="0"/>
              <w:autoSpaceDN w:val="0"/>
              <w:adjustRightInd w:val="0"/>
              <w:rPr>
                <w:noProof/>
              </w:rPr>
            </w:pPr>
          </w:p>
        </w:tc>
        <w:tc>
          <w:tcPr>
            <w:tcW w:w="1229" w:type="dxa"/>
          </w:tcPr>
          <w:p w:rsidR="008014F6" w:rsidRPr="006D6A6A" w:rsidRDefault="008014F6" w:rsidP="001E3003">
            <w:pPr>
              <w:jc w:val="right"/>
            </w:pPr>
            <w:r w:rsidRPr="006D6A6A">
              <w:t>0,00</w:t>
            </w:r>
          </w:p>
        </w:tc>
        <w:tc>
          <w:tcPr>
            <w:tcW w:w="1171" w:type="dxa"/>
          </w:tcPr>
          <w:p w:rsidR="008014F6" w:rsidRPr="006D6A6A" w:rsidRDefault="008014F6" w:rsidP="001E3003">
            <w:pPr>
              <w:jc w:val="right"/>
            </w:pPr>
            <w:r w:rsidRPr="006D6A6A">
              <w:t>0,00</w:t>
            </w:r>
          </w:p>
        </w:tc>
        <w:tc>
          <w:tcPr>
            <w:tcW w:w="1218" w:type="dxa"/>
          </w:tcPr>
          <w:p w:rsidR="008014F6" w:rsidRPr="006D6A6A" w:rsidRDefault="008014F6" w:rsidP="001E3003">
            <w:pPr>
              <w:jc w:val="right"/>
            </w:pPr>
            <w:r w:rsidRPr="006D6A6A">
              <w:t>0,00</w:t>
            </w:r>
          </w:p>
        </w:tc>
        <w:tc>
          <w:tcPr>
            <w:tcW w:w="1176" w:type="dxa"/>
          </w:tcPr>
          <w:p w:rsidR="008014F6" w:rsidRPr="006D6A6A" w:rsidRDefault="008014F6" w:rsidP="001E3003">
            <w:pPr>
              <w:jc w:val="right"/>
            </w:pPr>
            <w:r w:rsidRPr="006D6A6A">
              <w:t>0,00</w:t>
            </w:r>
          </w:p>
        </w:tc>
      </w:tr>
      <w:tr w:rsidR="008014F6" w:rsidRPr="006D6A6A" w:rsidTr="001E3003">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5.2. speciālais budžets</w:t>
            </w:r>
          </w:p>
        </w:tc>
        <w:tc>
          <w:tcPr>
            <w:tcW w:w="1176" w:type="dxa"/>
            <w:vMerge/>
          </w:tcPr>
          <w:p w:rsidR="008014F6" w:rsidRPr="006D6A6A" w:rsidRDefault="008014F6" w:rsidP="001E3003">
            <w:pPr>
              <w:autoSpaceDE w:val="0"/>
              <w:autoSpaceDN w:val="0"/>
              <w:adjustRightInd w:val="0"/>
              <w:rPr>
                <w:noProof/>
              </w:rPr>
            </w:pPr>
          </w:p>
        </w:tc>
        <w:tc>
          <w:tcPr>
            <w:tcW w:w="1229" w:type="dxa"/>
          </w:tcPr>
          <w:p w:rsidR="008014F6" w:rsidRPr="006D6A6A" w:rsidRDefault="008014F6" w:rsidP="001E3003">
            <w:pPr>
              <w:jc w:val="right"/>
            </w:pPr>
            <w:r w:rsidRPr="006D6A6A">
              <w:t>0,00</w:t>
            </w:r>
          </w:p>
        </w:tc>
        <w:tc>
          <w:tcPr>
            <w:tcW w:w="1171" w:type="dxa"/>
          </w:tcPr>
          <w:p w:rsidR="008014F6" w:rsidRPr="006D6A6A" w:rsidRDefault="008014F6" w:rsidP="001E3003">
            <w:pPr>
              <w:jc w:val="right"/>
            </w:pPr>
            <w:r w:rsidRPr="006D6A6A">
              <w:t>0,00</w:t>
            </w:r>
          </w:p>
        </w:tc>
        <w:tc>
          <w:tcPr>
            <w:tcW w:w="1218" w:type="dxa"/>
          </w:tcPr>
          <w:p w:rsidR="008014F6" w:rsidRPr="006D6A6A" w:rsidRDefault="008014F6" w:rsidP="001E3003">
            <w:pPr>
              <w:jc w:val="right"/>
            </w:pPr>
            <w:r w:rsidRPr="006D6A6A">
              <w:t>0,00</w:t>
            </w:r>
          </w:p>
        </w:tc>
        <w:tc>
          <w:tcPr>
            <w:tcW w:w="1176" w:type="dxa"/>
          </w:tcPr>
          <w:p w:rsidR="008014F6" w:rsidRPr="006D6A6A" w:rsidRDefault="008014F6" w:rsidP="001E3003">
            <w:pPr>
              <w:jc w:val="right"/>
            </w:pPr>
            <w:r w:rsidRPr="006D6A6A">
              <w:t>0,00</w:t>
            </w:r>
          </w:p>
        </w:tc>
      </w:tr>
      <w:tr w:rsidR="008014F6" w:rsidRPr="006D6A6A" w:rsidTr="001E3003">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5.3. pašvaldību budžets</w:t>
            </w:r>
          </w:p>
        </w:tc>
        <w:tc>
          <w:tcPr>
            <w:tcW w:w="1176" w:type="dxa"/>
            <w:vMerge/>
          </w:tcPr>
          <w:p w:rsidR="008014F6" w:rsidRPr="006D6A6A" w:rsidRDefault="008014F6" w:rsidP="001E3003">
            <w:pPr>
              <w:autoSpaceDE w:val="0"/>
              <w:autoSpaceDN w:val="0"/>
              <w:adjustRightInd w:val="0"/>
              <w:rPr>
                <w:noProof/>
              </w:rPr>
            </w:pPr>
          </w:p>
        </w:tc>
        <w:tc>
          <w:tcPr>
            <w:tcW w:w="1229" w:type="dxa"/>
          </w:tcPr>
          <w:p w:rsidR="008014F6" w:rsidRPr="006D6A6A" w:rsidRDefault="008014F6" w:rsidP="001E3003">
            <w:pPr>
              <w:jc w:val="right"/>
            </w:pPr>
            <w:r w:rsidRPr="006D6A6A">
              <w:t>0,00</w:t>
            </w:r>
          </w:p>
        </w:tc>
        <w:tc>
          <w:tcPr>
            <w:tcW w:w="1171" w:type="dxa"/>
          </w:tcPr>
          <w:p w:rsidR="008014F6" w:rsidRPr="006D6A6A" w:rsidRDefault="008014F6" w:rsidP="001E3003">
            <w:pPr>
              <w:jc w:val="right"/>
            </w:pPr>
            <w:r w:rsidRPr="006D6A6A">
              <w:t>0,00</w:t>
            </w:r>
          </w:p>
        </w:tc>
        <w:tc>
          <w:tcPr>
            <w:tcW w:w="1218" w:type="dxa"/>
          </w:tcPr>
          <w:p w:rsidR="008014F6" w:rsidRPr="006D6A6A" w:rsidRDefault="008014F6" w:rsidP="001E3003">
            <w:pPr>
              <w:jc w:val="right"/>
            </w:pPr>
            <w:r w:rsidRPr="006D6A6A">
              <w:t>0,00</w:t>
            </w:r>
          </w:p>
        </w:tc>
        <w:tc>
          <w:tcPr>
            <w:tcW w:w="1176" w:type="dxa"/>
          </w:tcPr>
          <w:p w:rsidR="008014F6" w:rsidRPr="006D6A6A" w:rsidRDefault="008014F6" w:rsidP="001E3003">
            <w:pPr>
              <w:jc w:val="right"/>
            </w:pPr>
            <w:r w:rsidRPr="006D6A6A">
              <w:t>0,00</w:t>
            </w:r>
          </w:p>
        </w:tc>
      </w:tr>
      <w:tr w:rsidR="008014F6" w:rsidRPr="006D6A6A" w:rsidTr="001E3003">
        <w:tc>
          <w:tcPr>
            <w:tcW w:w="3369" w:type="dxa"/>
          </w:tcPr>
          <w:p w:rsidR="008014F6" w:rsidRPr="006D6A6A" w:rsidRDefault="008014F6" w:rsidP="001E3003">
            <w:pPr>
              <w:spacing w:before="100" w:beforeAutospacing="1" w:after="100" w:afterAutospacing="1"/>
              <w:rPr>
                <w:lang w:eastAsia="lv-LV" w:bidi="lo-LA"/>
              </w:rPr>
            </w:pPr>
            <w:r w:rsidRPr="006D6A6A">
              <w:rPr>
                <w:lang w:eastAsia="lv-LV" w:bidi="lo-LA"/>
              </w:rPr>
              <w:lastRenderedPageBreak/>
              <w:t> 6. Detalizēts ieņēmumu un izdevu</w:t>
            </w:r>
            <w:r w:rsidRPr="006D6A6A">
              <w:rPr>
                <w:lang w:eastAsia="lv-LV" w:bidi="lo-LA"/>
              </w:rPr>
              <w:softHyphen/>
              <w:t>mu aprēķins (ja nepieciešams, detalizētu ieņēmumu un izdevumu aprēķinu var pievienot anotācijas pielikumā):</w:t>
            </w:r>
          </w:p>
        </w:tc>
        <w:tc>
          <w:tcPr>
            <w:tcW w:w="5970" w:type="dxa"/>
            <w:gridSpan w:val="5"/>
            <w:vMerge w:val="restart"/>
            <w:vAlign w:val="center"/>
          </w:tcPr>
          <w:p w:rsidR="008014F6" w:rsidRPr="006D6A6A" w:rsidRDefault="008014F6" w:rsidP="008014F6">
            <w:pPr>
              <w:pStyle w:val="naisf"/>
              <w:tabs>
                <w:tab w:val="num" w:pos="1391"/>
              </w:tabs>
              <w:spacing w:before="0" w:beforeAutospacing="0" w:after="0" w:afterAutospacing="0"/>
              <w:rPr>
                <w:bCs/>
                <w:lang w:val="lv-LV"/>
              </w:rPr>
            </w:pPr>
            <w:r w:rsidRPr="006D6A6A">
              <w:rPr>
                <w:bCs/>
                <w:lang w:val="lv-LV"/>
              </w:rPr>
              <w:t xml:space="preserve">Budžeta ieņēmumi ir </w:t>
            </w:r>
            <w:r w:rsidR="00706831" w:rsidRPr="006D6A6A">
              <w:rPr>
                <w:bCs/>
                <w:lang w:val="lv-LV"/>
              </w:rPr>
              <w:t>ESF</w:t>
            </w:r>
            <w:r w:rsidRPr="006D6A6A">
              <w:rPr>
                <w:bCs/>
                <w:lang w:val="lv-LV"/>
              </w:rPr>
              <w:t xml:space="preserve"> daļa un budžeta izdevumi ir kopējie nepieciešamie līdzekļi attiecīgajā gadā. </w:t>
            </w:r>
            <w:r w:rsidRPr="006D6A6A">
              <w:rPr>
                <w:color w:val="000000"/>
                <w:u w:val="single"/>
                <w:lang w:val="lv-LV" w:eastAsia="lv-LV"/>
              </w:rPr>
              <w:t>Atbilstoši likumam „Par valsts budžetu 2012.gadam”</w:t>
            </w:r>
            <w:r w:rsidRPr="006D6A6A">
              <w:rPr>
                <w:color w:val="000000"/>
                <w:lang w:val="lv-LV" w:eastAsia="lv-LV"/>
              </w:rPr>
              <w:t>, lai nodrošinātu darbības programmas “</w:t>
            </w:r>
            <w:r w:rsidR="00706831" w:rsidRPr="006D6A6A">
              <w:rPr>
                <w:lang w:val="lv-LV"/>
              </w:rPr>
              <w:t xml:space="preserve"> </w:t>
            </w:r>
            <w:r w:rsidR="00706831" w:rsidRPr="006D6A6A">
              <w:rPr>
                <w:bCs/>
                <w:lang w:val="lv-LV"/>
              </w:rPr>
              <w:t>Cilvēkresursi un nodarbinātība” papildinājuma 1.3</w:t>
            </w:r>
            <w:r w:rsidRPr="006D6A6A">
              <w:rPr>
                <w:bCs/>
                <w:lang w:val="lv-LV"/>
              </w:rPr>
              <w:t>.prioritātes “</w:t>
            </w:r>
            <w:r w:rsidR="00706831" w:rsidRPr="006D6A6A">
              <w:rPr>
                <w:bCs/>
                <w:lang w:val="lv-LV"/>
              </w:rPr>
              <w:t>Nodarbinātības veicināšana un veselība darbā</w:t>
            </w:r>
            <w:r w:rsidRPr="006D6A6A">
              <w:rPr>
                <w:color w:val="000000"/>
                <w:lang w:val="lv-LV" w:eastAsia="lv-LV"/>
              </w:rPr>
              <w:t xml:space="preserve">” </w:t>
            </w:r>
            <w:r w:rsidR="00706831" w:rsidRPr="006D6A6A">
              <w:rPr>
                <w:color w:val="000000"/>
                <w:lang w:val="lv-LV" w:eastAsia="lv-LV"/>
              </w:rPr>
              <w:t>1.3.2</w:t>
            </w:r>
            <w:r w:rsidRPr="006D6A6A">
              <w:rPr>
                <w:color w:val="000000"/>
                <w:lang w:val="lv-LV" w:eastAsia="lv-LV"/>
              </w:rPr>
              <w:t xml:space="preserve">.pasākuma “Veselība </w:t>
            </w:r>
            <w:r w:rsidR="00706831" w:rsidRPr="006D6A6A">
              <w:rPr>
                <w:color w:val="000000"/>
                <w:lang w:val="lv-LV" w:eastAsia="lv-LV"/>
              </w:rPr>
              <w:t>darbā</w:t>
            </w:r>
            <w:r w:rsidRPr="006D6A6A">
              <w:rPr>
                <w:color w:val="000000"/>
                <w:lang w:val="lv-LV" w:eastAsia="lv-LV"/>
              </w:rPr>
              <w:t xml:space="preserve">” </w:t>
            </w:r>
            <w:r w:rsidR="00706831" w:rsidRPr="006D6A6A">
              <w:rPr>
                <w:color w:val="2A2A2A"/>
                <w:lang w:val="lv-LV"/>
              </w:rPr>
              <w:t>1.3.2.3.aktivitātes</w:t>
            </w:r>
            <w:r w:rsidR="00706831" w:rsidRPr="006D6A6A">
              <w:rPr>
                <w:lang w:val="lv-LV"/>
              </w:rPr>
              <w:t xml:space="preserve"> </w:t>
            </w:r>
            <w:r w:rsidRPr="006D6A6A">
              <w:rPr>
                <w:lang w:val="lv-LV"/>
              </w:rPr>
              <w:t xml:space="preserve">paredzēto pasākumu īstenošanu Veselības ministrijas </w:t>
            </w:r>
            <w:r w:rsidRPr="006D6A6A">
              <w:rPr>
                <w:bCs/>
                <w:lang w:val="lv-LV"/>
              </w:rPr>
              <w:t xml:space="preserve">budžeta programmas </w:t>
            </w:r>
            <w:r w:rsidR="00F45BE2" w:rsidRPr="006D6A6A">
              <w:rPr>
                <w:bCs/>
                <w:lang w:val="lv-LV"/>
              </w:rPr>
              <w:t>63.00.00 ”Eiropas Sociālā fonda (ESF) projektu un pasākumu īstenošana” apakšprogramm</w:t>
            </w:r>
            <w:r w:rsidR="00706831" w:rsidRPr="006D6A6A">
              <w:rPr>
                <w:bCs/>
                <w:lang w:val="lv-LV"/>
              </w:rPr>
              <w:t>as</w:t>
            </w:r>
            <w:r w:rsidR="00F45BE2" w:rsidRPr="006D6A6A">
              <w:rPr>
                <w:bCs/>
                <w:lang w:val="lv-LV"/>
              </w:rPr>
              <w:t xml:space="preserve"> 63.06.00 „Eiropas Sociālā fonda (ESF) projektu īstenošana (2007-2013)” (turpmāk – 63.06.00 apakšprogramma) ietvaros plānoti </w:t>
            </w:r>
            <w:r w:rsidR="00706831" w:rsidRPr="006D6A6A">
              <w:rPr>
                <w:bCs/>
                <w:lang w:val="lv-LV"/>
              </w:rPr>
              <w:t xml:space="preserve">1 900 000 </w:t>
            </w:r>
            <w:r w:rsidR="00F45BE2" w:rsidRPr="006D6A6A">
              <w:rPr>
                <w:bCs/>
                <w:lang w:val="lv-LV"/>
              </w:rPr>
              <w:t xml:space="preserve">lati, t.sk. ESF finansējums </w:t>
            </w:r>
            <w:r w:rsidR="00706831" w:rsidRPr="006D6A6A">
              <w:rPr>
                <w:bCs/>
                <w:lang w:val="lv-LV"/>
              </w:rPr>
              <w:t xml:space="preserve">1 667 824 </w:t>
            </w:r>
            <w:r w:rsidR="00F45BE2" w:rsidRPr="006D6A6A">
              <w:rPr>
                <w:bCs/>
                <w:lang w:val="lv-LV"/>
              </w:rPr>
              <w:t xml:space="preserve">lati un valsts budžeta finansējums </w:t>
            </w:r>
            <w:r w:rsidR="00706831" w:rsidRPr="006D6A6A">
              <w:rPr>
                <w:bCs/>
                <w:lang w:val="lv-LV"/>
              </w:rPr>
              <w:t xml:space="preserve">232 176 </w:t>
            </w:r>
            <w:r w:rsidR="00F45BE2" w:rsidRPr="006D6A6A">
              <w:rPr>
                <w:bCs/>
                <w:lang w:val="lv-LV"/>
              </w:rPr>
              <w:t>lati.</w:t>
            </w:r>
          </w:p>
          <w:p w:rsidR="008014F6" w:rsidRPr="006D6A6A" w:rsidRDefault="008014F6" w:rsidP="008014F6">
            <w:pPr>
              <w:pStyle w:val="naisf"/>
              <w:tabs>
                <w:tab w:val="num" w:pos="1391"/>
              </w:tabs>
              <w:spacing w:before="0" w:beforeAutospacing="0" w:after="0" w:afterAutospacing="0"/>
              <w:rPr>
                <w:bCs/>
                <w:lang w:val="lv-LV"/>
              </w:rPr>
            </w:pPr>
            <w:r w:rsidRPr="006D6A6A">
              <w:rPr>
                <w:lang w:val="lv-LV"/>
              </w:rPr>
              <w:t xml:space="preserve">Savukārt, </w:t>
            </w:r>
            <w:r w:rsidR="00C67C4C" w:rsidRPr="006D6A6A">
              <w:rPr>
                <w:color w:val="2A2A2A"/>
                <w:lang w:val="lv-LV"/>
              </w:rPr>
              <w:t>1.3.2.3.aktivitātes</w:t>
            </w:r>
            <w:r w:rsidR="00C67C4C" w:rsidRPr="006D6A6A">
              <w:rPr>
                <w:lang w:val="lv-LV"/>
              </w:rPr>
              <w:t xml:space="preserve"> </w:t>
            </w:r>
            <w:r w:rsidRPr="006D6A6A">
              <w:rPr>
                <w:bCs/>
                <w:lang w:val="lv-LV"/>
              </w:rPr>
              <w:t xml:space="preserve">kopējais finansējums ir </w:t>
            </w:r>
            <w:r w:rsidR="00C67C4C" w:rsidRPr="006D6A6A">
              <w:rPr>
                <w:lang w:val="lv-LV"/>
              </w:rPr>
              <w:t xml:space="preserve">10 200 852 </w:t>
            </w:r>
            <w:r w:rsidR="00C67C4C" w:rsidRPr="006D6A6A">
              <w:rPr>
                <w:bCs/>
                <w:lang w:val="lv-LV"/>
              </w:rPr>
              <w:t xml:space="preserve">lati, </w:t>
            </w:r>
            <w:r w:rsidRPr="006D6A6A">
              <w:rPr>
                <w:bCs/>
                <w:lang w:val="lv-LV"/>
              </w:rPr>
              <w:t xml:space="preserve"> </w:t>
            </w:r>
            <w:r w:rsidR="00C67C4C" w:rsidRPr="006D6A6A">
              <w:rPr>
                <w:bCs/>
                <w:lang w:val="lv-LV"/>
              </w:rPr>
              <w:t>t.sk., ESF finansējums</w:t>
            </w:r>
            <w:r w:rsidRPr="006D6A6A">
              <w:rPr>
                <w:bCs/>
                <w:lang w:val="lv-LV"/>
              </w:rPr>
              <w:t xml:space="preserve"> </w:t>
            </w:r>
            <w:r w:rsidR="00C67C4C" w:rsidRPr="006D6A6A">
              <w:rPr>
                <w:lang w:val="lv-LV"/>
              </w:rPr>
              <w:t xml:space="preserve">8 720 345 </w:t>
            </w:r>
            <w:r w:rsidRPr="006D6A6A">
              <w:rPr>
                <w:bCs/>
                <w:lang w:val="lv-LV"/>
              </w:rPr>
              <w:t>lati</w:t>
            </w:r>
            <w:r w:rsidR="00615FFB" w:rsidRPr="006D6A6A">
              <w:rPr>
                <w:bCs/>
                <w:lang w:val="lv-LV"/>
              </w:rPr>
              <w:t xml:space="preserve">, attiecināmais </w:t>
            </w:r>
            <w:r w:rsidRPr="006D6A6A">
              <w:rPr>
                <w:bCs/>
                <w:lang w:val="lv-LV"/>
              </w:rPr>
              <w:t xml:space="preserve">valsts budžeta līdzfinansējums </w:t>
            </w:r>
            <w:r w:rsidR="00C67C4C" w:rsidRPr="006D6A6A">
              <w:rPr>
                <w:bCs/>
                <w:lang w:val="lv-LV"/>
              </w:rPr>
              <w:t>1 377</w:t>
            </w:r>
            <w:r w:rsidR="00615FFB" w:rsidRPr="006D6A6A">
              <w:rPr>
                <w:bCs/>
                <w:lang w:val="lv-LV"/>
              </w:rPr>
              <w:t> </w:t>
            </w:r>
            <w:r w:rsidR="00C67C4C" w:rsidRPr="006D6A6A">
              <w:rPr>
                <w:bCs/>
                <w:lang w:val="lv-LV"/>
              </w:rPr>
              <w:t>909</w:t>
            </w:r>
            <w:r w:rsidR="00615FFB" w:rsidRPr="006D6A6A">
              <w:rPr>
                <w:bCs/>
                <w:lang w:val="lv-LV"/>
              </w:rPr>
              <w:t xml:space="preserve"> lati</w:t>
            </w:r>
            <w:r w:rsidR="00C67C4C" w:rsidRPr="006D6A6A">
              <w:rPr>
                <w:bCs/>
                <w:lang w:val="lv-LV"/>
              </w:rPr>
              <w:t xml:space="preserve"> un </w:t>
            </w:r>
            <w:r w:rsidR="00615FFB" w:rsidRPr="006D6A6A">
              <w:rPr>
                <w:bCs/>
                <w:lang w:val="lv-LV"/>
              </w:rPr>
              <w:t xml:space="preserve">valsts budžeta </w:t>
            </w:r>
            <w:r w:rsidR="00C67C4C" w:rsidRPr="006D6A6A">
              <w:rPr>
                <w:bCs/>
                <w:lang w:val="lv-LV"/>
              </w:rPr>
              <w:t>neattiecināmas izmaksas</w:t>
            </w:r>
            <w:r w:rsidR="00615FFB" w:rsidRPr="006D6A6A">
              <w:rPr>
                <w:bCs/>
                <w:lang w:val="lv-LV"/>
              </w:rPr>
              <w:t xml:space="preserve"> 102 598 lati</w:t>
            </w:r>
            <w:r w:rsidRPr="006D6A6A">
              <w:rPr>
                <w:bCs/>
                <w:lang w:val="lv-LV"/>
              </w:rPr>
              <w:t>.</w:t>
            </w:r>
          </w:p>
          <w:p w:rsidR="008014F6" w:rsidRPr="006D6A6A" w:rsidRDefault="00615FFB" w:rsidP="008014F6">
            <w:pPr>
              <w:pStyle w:val="naisf"/>
              <w:tabs>
                <w:tab w:val="num" w:pos="1391"/>
              </w:tabs>
              <w:spacing w:before="0" w:beforeAutospacing="0" w:after="0" w:afterAutospacing="0"/>
              <w:rPr>
                <w:bCs/>
                <w:lang w:val="lv-LV"/>
              </w:rPr>
            </w:pPr>
            <w:r w:rsidRPr="006D6A6A">
              <w:rPr>
                <w:color w:val="2A2A2A"/>
                <w:lang w:val="lv-LV"/>
              </w:rPr>
              <w:t>1.3.2.3.aktivitātes</w:t>
            </w:r>
            <w:r w:rsidRPr="006D6A6A">
              <w:rPr>
                <w:lang w:val="lv-LV"/>
              </w:rPr>
              <w:t xml:space="preserve"> </w:t>
            </w:r>
            <w:r w:rsidR="008014F6" w:rsidRPr="006D6A6A">
              <w:rPr>
                <w:bCs/>
                <w:lang w:val="lv-LV"/>
              </w:rPr>
              <w:t xml:space="preserve">ieviešana </w:t>
            </w:r>
            <w:r w:rsidRPr="006D6A6A">
              <w:rPr>
                <w:bCs/>
                <w:lang w:val="lv-LV"/>
              </w:rPr>
              <w:t>uzsākta 2008</w:t>
            </w:r>
            <w:r w:rsidR="008014F6" w:rsidRPr="006D6A6A">
              <w:rPr>
                <w:bCs/>
                <w:lang w:val="lv-LV"/>
              </w:rPr>
              <w:t>.gadā un tās ietvaros projekta „</w:t>
            </w:r>
            <w:r w:rsidRPr="006D6A6A">
              <w:rPr>
                <w:bCs/>
                <w:lang w:val="lv-LV"/>
              </w:rPr>
              <w:t>Veselības aprūpes un veicināšanas procesā iesaistīto institūciju personāla tālākizglītība nozares ilgtspējīgai attīstībai</w:t>
            </w:r>
            <w:r w:rsidR="008014F6" w:rsidRPr="006D6A6A">
              <w:rPr>
                <w:bCs/>
                <w:lang w:val="lv-LV"/>
              </w:rPr>
              <w:t>” (turpmāk - projekts) īstenošanai finansējuma piesaiste valsts budžeta ietvaros plānotā šādos apmēros:</w:t>
            </w:r>
          </w:p>
          <w:p w:rsidR="00615FFB" w:rsidRPr="006D6A6A" w:rsidRDefault="00615FFB" w:rsidP="00615FFB">
            <w:pPr>
              <w:numPr>
                <w:ilvl w:val="0"/>
                <w:numId w:val="11"/>
              </w:numPr>
              <w:jc w:val="both"/>
              <w:rPr>
                <w:bCs/>
              </w:rPr>
            </w:pPr>
            <w:r w:rsidRPr="006D6A6A">
              <w:rPr>
                <w:bCs/>
              </w:rPr>
              <w:t>Projekta īstenošanai 2008.gadā tika piesaistīts ESF 199 315 latu apmērā un valsts budžeta finansējums 57 634 lati, kopā 256 949 latu apmērā.</w:t>
            </w:r>
          </w:p>
          <w:p w:rsidR="008014F6" w:rsidRPr="006D6A6A" w:rsidRDefault="008014F6" w:rsidP="008014F6">
            <w:pPr>
              <w:numPr>
                <w:ilvl w:val="0"/>
                <w:numId w:val="11"/>
              </w:numPr>
              <w:jc w:val="both"/>
              <w:rPr>
                <w:bCs/>
              </w:rPr>
            </w:pPr>
            <w:r w:rsidRPr="006D6A6A">
              <w:rPr>
                <w:bCs/>
              </w:rPr>
              <w:t xml:space="preserve">Projekta īstenošanai 2009.gadā tika piesaistīts </w:t>
            </w:r>
            <w:r w:rsidR="00615FFB" w:rsidRPr="006D6A6A">
              <w:rPr>
                <w:bCs/>
              </w:rPr>
              <w:t xml:space="preserve">ESF 1 744 289 </w:t>
            </w:r>
            <w:r w:rsidRPr="006D6A6A">
              <w:rPr>
                <w:bCs/>
              </w:rPr>
              <w:t>latu apmērā un valsts budžeta finansējums</w:t>
            </w:r>
            <w:r w:rsidR="00615FFB" w:rsidRPr="006D6A6A">
              <w:rPr>
                <w:bCs/>
              </w:rPr>
              <w:t xml:space="preserve"> 370 470 </w:t>
            </w:r>
            <w:r w:rsidRPr="006D6A6A">
              <w:rPr>
                <w:bCs/>
              </w:rPr>
              <w:t xml:space="preserve">lati, kopā </w:t>
            </w:r>
            <w:r w:rsidR="00615FFB" w:rsidRPr="006D6A6A">
              <w:rPr>
                <w:bCs/>
              </w:rPr>
              <w:t xml:space="preserve">2 114 759 </w:t>
            </w:r>
            <w:r w:rsidRPr="006D6A6A">
              <w:rPr>
                <w:bCs/>
              </w:rPr>
              <w:t>latu apmērā.</w:t>
            </w:r>
          </w:p>
          <w:p w:rsidR="008014F6" w:rsidRPr="006D6A6A" w:rsidRDefault="008014F6" w:rsidP="008014F6">
            <w:pPr>
              <w:numPr>
                <w:ilvl w:val="0"/>
                <w:numId w:val="11"/>
              </w:numPr>
              <w:jc w:val="both"/>
              <w:rPr>
                <w:bCs/>
              </w:rPr>
            </w:pPr>
            <w:r w:rsidRPr="006D6A6A">
              <w:rPr>
                <w:bCs/>
              </w:rPr>
              <w:t xml:space="preserve">Projekta īstenošanai 2010.gadā tika piesaistīts </w:t>
            </w:r>
            <w:r w:rsidR="00615FFB" w:rsidRPr="006D6A6A">
              <w:rPr>
                <w:bCs/>
              </w:rPr>
              <w:t>ESF</w:t>
            </w:r>
            <w:r w:rsidRPr="006D6A6A">
              <w:rPr>
                <w:bCs/>
              </w:rPr>
              <w:t xml:space="preserve"> </w:t>
            </w:r>
            <w:r w:rsidR="00615FFB" w:rsidRPr="006D6A6A">
              <w:rPr>
                <w:bCs/>
              </w:rPr>
              <w:t xml:space="preserve">2 302 182 </w:t>
            </w:r>
            <w:r w:rsidRPr="006D6A6A">
              <w:rPr>
                <w:bCs/>
              </w:rPr>
              <w:t xml:space="preserve">latu apmērā un valsts budžeta finansējums </w:t>
            </w:r>
            <w:r w:rsidR="00615FFB" w:rsidRPr="006D6A6A">
              <w:rPr>
                <w:bCs/>
              </w:rPr>
              <w:t xml:space="preserve">423 579 </w:t>
            </w:r>
            <w:r w:rsidRPr="006D6A6A">
              <w:rPr>
                <w:bCs/>
              </w:rPr>
              <w:t xml:space="preserve">lati, kopā </w:t>
            </w:r>
            <w:r w:rsidR="00615FFB" w:rsidRPr="006D6A6A">
              <w:rPr>
                <w:bCs/>
              </w:rPr>
              <w:t xml:space="preserve">2 725 761 </w:t>
            </w:r>
            <w:r w:rsidRPr="006D6A6A">
              <w:rPr>
                <w:bCs/>
              </w:rPr>
              <w:t>latu apmērā.</w:t>
            </w:r>
          </w:p>
          <w:p w:rsidR="008014F6" w:rsidRPr="006D6A6A" w:rsidRDefault="008014F6" w:rsidP="008014F6">
            <w:pPr>
              <w:numPr>
                <w:ilvl w:val="0"/>
                <w:numId w:val="11"/>
              </w:numPr>
              <w:jc w:val="both"/>
              <w:rPr>
                <w:bCs/>
              </w:rPr>
            </w:pPr>
            <w:r w:rsidRPr="006D6A6A">
              <w:rPr>
                <w:bCs/>
              </w:rPr>
              <w:t xml:space="preserve">Projekta īstenošanai 2011.gadā tika piesaistīts </w:t>
            </w:r>
            <w:r w:rsidR="00615FFB" w:rsidRPr="006D6A6A">
              <w:rPr>
                <w:bCs/>
              </w:rPr>
              <w:t>ESF</w:t>
            </w:r>
            <w:r w:rsidRPr="006D6A6A">
              <w:rPr>
                <w:bCs/>
              </w:rPr>
              <w:t xml:space="preserve"> līdzfinansējumu </w:t>
            </w:r>
            <w:r w:rsidR="00615FFB" w:rsidRPr="006D6A6A">
              <w:rPr>
                <w:bCs/>
              </w:rPr>
              <w:t xml:space="preserve">1 662 766 </w:t>
            </w:r>
            <w:r w:rsidRPr="006D6A6A">
              <w:rPr>
                <w:bCs/>
              </w:rPr>
              <w:t xml:space="preserve">latu apmērā un valsts budžeta finansējums </w:t>
            </w:r>
            <w:r w:rsidR="00615FFB" w:rsidRPr="006D6A6A">
              <w:rPr>
                <w:bCs/>
              </w:rPr>
              <w:t xml:space="preserve">237 233 </w:t>
            </w:r>
            <w:r w:rsidRPr="006D6A6A">
              <w:rPr>
                <w:bCs/>
              </w:rPr>
              <w:t xml:space="preserve">latu apmērā, kopā </w:t>
            </w:r>
            <w:r w:rsidR="004E6C99" w:rsidRPr="006D6A6A">
              <w:rPr>
                <w:bCs/>
              </w:rPr>
              <w:t xml:space="preserve">1 899 999 </w:t>
            </w:r>
            <w:r w:rsidRPr="006D6A6A">
              <w:rPr>
                <w:bCs/>
              </w:rPr>
              <w:t>latu apmērā.</w:t>
            </w:r>
            <w:r w:rsidR="00AC30FB" w:rsidRPr="006D6A6A">
              <w:rPr>
                <w:bCs/>
              </w:rPr>
              <w:t xml:space="preserve"> Savukārt, 2012.gadā</w:t>
            </w:r>
            <w:r w:rsidR="002C3A78" w:rsidRPr="006D6A6A">
              <w:rPr>
                <w:bCs/>
              </w:rPr>
              <w:t xml:space="preserve"> vals</w:t>
            </w:r>
            <w:r w:rsidR="00276639" w:rsidRPr="006D6A6A">
              <w:rPr>
                <w:bCs/>
              </w:rPr>
              <w:t>ts budžetā tika atmaksāti 33 001 lats</w:t>
            </w:r>
            <w:r w:rsidR="002C3A78" w:rsidRPr="006D6A6A">
              <w:rPr>
                <w:bCs/>
              </w:rPr>
              <w:t xml:space="preserve"> par</w:t>
            </w:r>
            <w:r w:rsidR="00AC30FB" w:rsidRPr="006D6A6A">
              <w:rPr>
                <w:bCs/>
              </w:rPr>
              <w:t xml:space="preserve"> </w:t>
            </w:r>
            <w:r w:rsidR="002C3A78" w:rsidRPr="006D6A6A">
              <w:rPr>
                <w:bCs/>
              </w:rPr>
              <w:t xml:space="preserve">Rīgas Stradiņa universitātes pārmaksāto pievienotās vērtības nodokli. Līdz ar to projekta īstenošanai 2011.gadā tika piesaistīts ESF līdzfinansējumu </w:t>
            </w:r>
            <w:r w:rsidR="00995083" w:rsidRPr="006D6A6A">
              <w:rPr>
                <w:bCs/>
              </w:rPr>
              <w:t>1 633 </w:t>
            </w:r>
            <w:r w:rsidR="00F43F3E" w:rsidRPr="006D6A6A">
              <w:rPr>
                <w:bCs/>
              </w:rPr>
              <w:t>886</w:t>
            </w:r>
            <w:r w:rsidR="00995083" w:rsidRPr="006D6A6A">
              <w:rPr>
                <w:bCs/>
              </w:rPr>
              <w:t xml:space="preserve"> </w:t>
            </w:r>
            <w:r w:rsidR="002C3A78" w:rsidRPr="006D6A6A">
              <w:rPr>
                <w:bCs/>
              </w:rPr>
              <w:t xml:space="preserve">latu apmērā un valsts budžeta finansējums </w:t>
            </w:r>
            <w:r w:rsidR="00995083" w:rsidRPr="006D6A6A">
              <w:rPr>
                <w:bCs/>
              </w:rPr>
              <w:t>233 </w:t>
            </w:r>
            <w:r w:rsidR="00525C58" w:rsidRPr="006D6A6A">
              <w:rPr>
                <w:bCs/>
              </w:rPr>
              <w:t>113</w:t>
            </w:r>
            <w:r w:rsidR="00995083" w:rsidRPr="006D6A6A">
              <w:rPr>
                <w:bCs/>
              </w:rPr>
              <w:t xml:space="preserve"> </w:t>
            </w:r>
            <w:r w:rsidR="002C3A78" w:rsidRPr="006D6A6A">
              <w:rPr>
                <w:bCs/>
              </w:rPr>
              <w:t xml:space="preserve">latu apmērā, kopā </w:t>
            </w:r>
            <w:r w:rsidR="00525C58" w:rsidRPr="006D6A6A">
              <w:rPr>
                <w:bCs/>
              </w:rPr>
              <w:t>1 866 999</w:t>
            </w:r>
            <w:r w:rsidR="00995083" w:rsidRPr="006D6A6A">
              <w:rPr>
                <w:bCs/>
              </w:rPr>
              <w:t xml:space="preserve"> </w:t>
            </w:r>
            <w:r w:rsidR="002C3A78" w:rsidRPr="006D6A6A">
              <w:rPr>
                <w:bCs/>
              </w:rPr>
              <w:t>latu apmērā</w:t>
            </w:r>
            <w:r w:rsidR="00E82499" w:rsidRPr="006D6A6A">
              <w:rPr>
                <w:bCs/>
              </w:rPr>
              <w:t xml:space="preserve">                                                                                                                                                                                                                                                                                                                                                                                                                                                                                                                                                                                                                                                                                                                                                                                                                                                                                                                                                                                                                                                                                                                                                                                                                                                                                                                                                                                                                                                                                                                                                                                                                                                                                                                                                                                                                                                                                                                                                                                                                                                                                                                                                                                                                                                                                                                                                                                                                                                                                                                                                                                                                                                                                                                                                                                                                                                                                                                                                                           </w:t>
            </w:r>
          </w:p>
          <w:p w:rsidR="008014F6" w:rsidRPr="006D6A6A" w:rsidRDefault="008014F6" w:rsidP="008014F6">
            <w:pPr>
              <w:numPr>
                <w:ilvl w:val="0"/>
                <w:numId w:val="11"/>
              </w:numPr>
              <w:jc w:val="both"/>
              <w:rPr>
                <w:bCs/>
              </w:rPr>
            </w:pPr>
            <w:r w:rsidRPr="006D6A6A">
              <w:rPr>
                <w:bCs/>
              </w:rPr>
              <w:t xml:space="preserve">Projekta īstenošanai 2012.gadā plānots piesaistīt </w:t>
            </w:r>
            <w:r w:rsidR="004E6C99" w:rsidRPr="006D6A6A">
              <w:rPr>
                <w:bCs/>
              </w:rPr>
              <w:t>ESF</w:t>
            </w:r>
            <w:r w:rsidRPr="006D6A6A">
              <w:rPr>
                <w:bCs/>
              </w:rPr>
              <w:t xml:space="preserve">  līdzfinansējumu</w:t>
            </w:r>
            <w:r w:rsidRPr="006D6A6A">
              <w:t xml:space="preserve"> </w:t>
            </w:r>
            <w:r w:rsidR="004E6C99" w:rsidRPr="006D6A6A">
              <w:t xml:space="preserve">1 667 824 </w:t>
            </w:r>
            <w:r w:rsidRPr="006D6A6A">
              <w:rPr>
                <w:bCs/>
              </w:rPr>
              <w:t xml:space="preserve">latu apmērā un valsts budžeta finansējums </w:t>
            </w:r>
            <w:r w:rsidR="004E6C99" w:rsidRPr="006D6A6A">
              <w:t xml:space="preserve">232 176 </w:t>
            </w:r>
            <w:r w:rsidRPr="006D6A6A">
              <w:t>l</w:t>
            </w:r>
            <w:r w:rsidRPr="006D6A6A">
              <w:rPr>
                <w:bCs/>
              </w:rPr>
              <w:t xml:space="preserve">atu apmērā, kopā </w:t>
            </w:r>
            <w:r w:rsidR="004E6C99" w:rsidRPr="006D6A6A">
              <w:rPr>
                <w:bCs/>
              </w:rPr>
              <w:t xml:space="preserve">1 900 000 </w:t>
            </w:r>
            <w:r w:rsidRPr="006D6A6A">
              <w:rPr>
                <w:bCs/>
              </w:rPr>
              <w:t>latu apmērā.</w:t>
            </w:r>
          </w:p>
          <w:p w:rsidR="008014F6" w:rsidRPr="006D6A6A" w:rsidRDefault="00BD33AA" w:rsidP="008014F6">
            <w:pPr>
              <w:numPr>
                <w:ilvl w:val="0"/>
                <w:numId w:val="11"/>
              </w:numPr>
              <w:jc w:val="both"/>
              <w:rPr>
                <w:bCs/>
              </w:rPr>
            </w:pPr>
            <w:bookmarkStart w:id="9" w:name="OLE_LINK11"/>
            <w:bookmarkStart w:id="10" w:name="OLE_LINK12"/>
            <w:r w:rsidRPr="006D6A6A">
              <w:rPr>
                <w:bCs/>
              </w:rPr>
              <w:t xml:space="preserve">Projekta īstenošanai 2013.gadā </w:t>
            </w:r>
            <w:bookmarkEnd w:id="9"/>
            <w:bookmarkEnd w:id="10"/>
            <w:r w:rsidRPr="006D6A6A">
              <w:rPr>
                <w:bCs/>
              </w:rPr>
              <w:t xml:space="preserve">atbilstoši Ministru kabineta 2012.gada 17.aprīļa sēdes protokola Nr.20 38.§ „Informatīvais ziņojums </w:t>
            </w:r>
            <w:r w:rsidRPr="006D6A6A">
              <w:rPr>
                <w:lang w:bidi="lo-LA"/>
              </w:rPr>
              <w:t xml:space="preserve">„Par valsts budžeta bāzes </w:t>
            </w:r>
            <w:r w:rsidRPr="006D6A6A">
              <w:rPr>
                <w:lang w:bidi="lo-LA"/>
              </w:rPr>
              <w:lastRenderedPageBreak/>
              <w:t xml:space="preserve">izdevumiem 2013.–2015.gadam un bāzes izdevumos neiekļautajiem ministriju un citu centrālo valsts iestāžu iesniegtajiem papildu pieprasījumiem”” apstiprinātajiem valsts budžeta bāzes izdevumiem 2013.–2015.gadam </w:t>
            </w:r>
            <w:r w:rsidR="00AB781C" w:rsidRPr="006D6A6A">
              <w:t>1.3.2.3.aktivitātes</w:t>
            </w:r>
            <w:r w:rsidR="00AB781C" w:rsidRPr="006D6A6A">
              <w:rPr>
                <w:bCs/>
              </w:rPr>
              <w:t xml:space="preserve"> </w:t>
            </w:r>
            <w:r w:rsidRPr="006D6A6A">
              <w:rPr>
                <w:lang w:bidi="lo-LA"/>
              </w:rPr>
              <w:t>īstenošanai plāno</w:t>
            </w:r>
            <w:r w:rsidR="00E44569" w:rsidRPr="006D6A6A">
              <w:rPr>
                <w:lang w:bidi="lo-LA"/>
              </w:rPr>
              <w:t>ts</w:t>
            </w:r>
            <w:r w:rsidRPr="006D6A6A">
              <w:rPr>
                <w:lang w:bidi="lo-LA"/>
              </w:rPr>
              <w:t xml:space="preserve"> </w:t>
            </w:r>
            <w:r w:rsidR="00E44569" w:rsidRPr="006D6A6A">
              <w:rPr>
                <w:bCs/>
              </w:rPr>
              <w:t>ESF  līdzfinansējumu</w:t>
            </w:r>
            <w:r w:rsidR="00E44569" w:rsidRPr="006D6A6A">
              <w:t xml:space="preserve"> </w:t>
            </w:r>
            <w:r w:rsidR="00097FBC" w:rsidRPr="006D6A6A">
              <w:t xml:space="preserve">1 172 849 </w:t>
            </w:r>
            <w:r w:rsidR="00E44569" w:rsidRPr="006D6A6A">
              <w:rPr>
                <w:bCs/>
              </w:rPr>
              <w:t xml:space="preserve">latu apmērā un valsts budžeta finansējums </w:t>
            </w:r>
            <w:r w:rsidR="00097FBC" w:rsidRPr="006D6A6A">
              <w:t>163 </w:t>
            </w:r>
            <w:r w:rsidR="00525C58" w:rsidRPr="006D6A6A">
              <w:t>535</w:t>
            </w:r>
            <w:r w:rsidR="00097FBC" w:rsidRPr="006D6A6A">
              <w:t xml:space="preserve"> </w:t>
            </w:r>
            <w:r w:rsidR="00E44569" w:rsidRPr="006D6A6A">
              <w:rPr>
                <w:bCs/>
              </w:rPr>
              <w:t>latu apmērā, kopā</w:t>
            </w:r>
            <w:r w:rsidR="00E44569" w:rsidRPr="006D6A6A">
              <w:rPr>
                <w:lang w:bidi="lo-LA"/>
              </w:rPr>
              <w:t xml:space="preserve"> </w:t>
            </w:r>
            <w:r w:rsidR="00990E80" w:rsidRPr="006D6A6A">
              <w:rPr>
                <w:lang w:bidi="lo-LA"/>
              </w:rPr>
              <w:t>1 336 384</w:t>
            </w:r>
            <w:r w:rsidR="00E44569" w:rsidRPr="006D6A6A">
              <w:rPr>
                <w:lang w:bidi="lo-LA"/>
              </w:rPr>
              <w:t xml:space="preserve"> latu apmērā</w:t>
            </w:r>
            <w:r w:rsidR="008014F6" w:rsidRPr="006D6A6A">
              <w:rPr>
                <w:bCs/>
              </w:rPr>
              <w:t>.</w:t>
            </w:r>
          </w:p>
          <w:p w:rsidR="00BC0DAF" w:rsidRPr="006D6A6A" w:rsidRDefault="008014F6" w:rsidP="00836370">
            <w:pPr>
              <w:jc w:val="both"/>
              <w:rPr>
                <w:bCs/>
              </w:rPr>
            </w:pPr>
            <w:r w:rsidRPr="006D6A6A">
              <w:rPr>
                <w:bCs/>
              </w:rPr>
              <w:t xml:space="preserve">Ņemot vērā papildus </w:t>
            </w:r>
            <w:proofErr w:type="spellStart"/>
            <w:r w:rsidRPr="006D6A6A">
              <w:rPr>
                <w:bCs/>
              </w:rPr>
              <w:t>virssaistību</w:t>
            </w:r>
            <w:proofErr w:type="spellEnd"/>
            <w:r w:rsidRPr="006D6A6A">
              <w:rPr>
                <w:bCs/>
              </w:rPr>
              <w:t xml:space="preserve"> finansējuma piešķiršanu </w:t>
            </w:r>
            <w:r w:rsidR="006102F6" w:rsidRPr="006D6A6A">
              <w:rPr>
                <w:color w:val="2A2A2A"/>
              </w:rPr>
              <w:t>1.3.2.3.aktivitātes</w:t>
            </w:r>
            <w:r w:rsidR="006102F6" w:rsidRPr="006D6A6A">
              <w:rPr>
                <w:bCs/>
              </w:rPr>
              <w:t xml:space="preserve"> </w:t>
            </w:r>
            <w:r w:rsidRPr="006D6A6A">
              <w:rPr>
                <w:bCs/>
              </w:rPr>
              <w:t xml:space="preserve">ieviešanai atbilstoši MK protokola Nr.25 noteiktajām, </w:t>
            </w:r>
            <w:r w:rsidRPr="006D6A6A">
              <w:t xml:space="preserve">projekta ietvaros tiek plānots veikt papildus darbus. </w:t>
            </w:r>
            <w:r w:rsidRPr="006D6A6A">
              <w:rPr>
                <w:bCs/>
              </w:rPr>
              <w:t>Darbi tiks veikti esoša līguma ietvaros,</w:t>
            </w:r>
            <w:r w:rsidRPr="006D6A6A">
              <w:t xml:space="preserve"> </w:t>
            </w:r>
            <w:r w:rsidRPr="006D6A6A">
              <w:rPr>
                <w:bCs/>
              </w:rPr>
              <w:t xml:space="preserve">pagarinot līguma paredzēto </w:t>
            </w:r>
            <w:r w:rsidRPr="006D6A6A">
              <w:t>projekta īstenošanas termiņu</w:t>
            </w:r>
            <w:r w:rsidRPr="006D6A6A">
              <w:rPr>
                <w:bCs/>
              </w:rPr>
              <w:t xml:space="preserve"> saskaņā ar Ministru kabineta </w:t>
            </w:r>
            <w:r w:rsidR="00FD579E" w:rsidRPr="006D6A6A">
              <w:rPr>
                <w:bCs/>
              </w:rPr>
              <w:t xml:space="preserve">2007.gada 26.jūnija </w:t>
            </w:r>
            <w:r w:rsidRPr="006D6A6A">
              <w:rPr>
                <w:bCs/>
              </w:rPr>
              <w:t>noteikumu Nr.419 „Kārtība, kādā Eiropas Savienības struktūrfondu un Kohēzijas fonda vadībā iesaistītās institūcijas nodrošina plānošanas dokumentu sagatavošanu un šo fondu ieviešanu” 25.²7.apakšpunktu, kas nosaka, ka projekta īstenošanas termiņu var pagarināt, ja ES fonda projektam ir piešķirts papildu finansējums papildu darbību veikšanai vai papildu mērķa grupas dalībnieku iesaistei.</w:t>
            </w:r>
          </w:p>
        </w:tc>
      </w:tr>
      <w:tr w:rsidR="008014F6" w:rsidRPr="006D6A6A" w:rsidTr="001E3003">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6.1. detalizēts ieņēmumu aprēķins</w:t>
            </w:r>
          </w:p>
        </w:tc>
        <w:tc>
          <w:tcPr>
            <w:tcW w:w="5970" w:type="dxa"/>
            <w:gridSpan w:val="5"/>
            <w:vMerge/>
          </w:tcPr>
          <w:p w:rsidR="008014F6" w:rsidRPr="006D6A6A" w:rsidRDefault="008014F6" w:rsidP="001E3003">
            <w:pPr>
              <w:autoSpaceDE w:val="0"/>
              <w:autoSpaceDN w:val="0"/>
              <w:adjustRightInd w:val="0"/>
              <w:rPr>
                <w:noProof/>
              </w:rPr>
            </w:pPr>
          </w:p>
        </w:tc>
      </w:tr>
      <w:tr w:rsidR="008014F6" w:rsidRPr="006D6A6A" w:rsidTr="001E3003">
        <w:tc>
          <w:tcPr>
            <w:tcW w:w="3369" w:type="dxa"/>
          </w:tcPr>
          <w:p w:rsidR="008014F6" w:rsidRPr="006D6A6A" w:rsidRDefault="008014F6" w:rsidP="001E3003">
            <w:pPr>
              <w:spacing w:before="100" w:beforeAutospacing="1" w:after="100" w:afterAutospacing="1"/>
              <w:ind w:left="284"/>
              <w:rPr>
                <w:lang w:eastAsia="lv-LV" w:bidi="lo-LA"/>
              </w:rPr>
            </w:pPr>
            <w:r w:rsidRPr="006D6A6A">
              <w:rPr>
                <w:lang w:eastAsia="lv-LV" w:bidi="lo-LA"/>
              </w:rPr>
              <w:t> 6.2. detalizēts izdevumu aprēķins</w:t>
            </w:r>
          </w:p>
        </w:tc>
        <w:tc>
          <w:tcPr>
            <w:tcW w:w="5970" w:type="dxa"/>
            <w:gridSpan w:val="5"/>
            <w:vMerge/>
          </w:tcPr>
          <w:p w:rsidR="008014F6" w:rsidRPr="006D6A6A" w:rsidRDefault="008014F6" w:rsidP="001E3003">
            <w:pPr>
              <w:autoSpaceDE w:val="0"/>
              <w:autoSpaceDN w:val="0"/>
              <w:adjustRightInd w:val="0"/>
              <w:rPr>
                <w:noProof/>
              </w:rPr>
            </w:pPr>
          </w:p>
        </w:tc>
      </w:tr>
      <w:tr w:rsidR="008014F6" w:rsidRPr="006D6A6A" w:rsidTr="001E3003">
        <w:tc>
          <w:tcPr>
            <w:tcW w:w="3369" w:type="dxa"/>
          </w:tcPr>
          <w:p w:rsidR="008014F6" w:rsidRPr="006D6A6A" w:rsidRDefault="008014F6" w:rsidP="001E3003">
            <w:pPr>
              <w:spacing w:before="100" w:beforeAutospacing="1" w:after="100" w:afterAutospacing="1"/>
              <w:rPr>
                <w:lang w:eastAsia="lv-LV" w:bidi="lo-LA"/>
              </w:rPr>
            </w:pPr>
            <w:r w:rsidRPr="006D6A6A">
              <w:rPr>
                <w:lang w:eastAsia="lv-LV" w:bidi="lo-LA"/>
              </w:rPr>
              <w:lastRenderedPageBreak/>
              <w:t> 7. Cita informācija</w:t>
            </w:r>
          </w:p>
        </w:tc>
        <w:tc>
          <w:tcPr>
            <w:tcW w:w="5970" w:type="dxa"/>
            <w:gridSpan w:val="5"/>
          </w:tcPr>
          <w:p w:rsidR="008014F6" w:rsidRPr="006D6A6A" w:rsidRDefault="004173E2" w:rsidP="008014F6">
            <w:pPr>
              <w:jc w:val="both"/>
            </w:pPr>
            <w:r w:rsidRPr="006D6A6A">
              <w:t xml:space="preserve">Atbilstoši MK protokola Nr.25 4.punktam, </w:t>
            </w:r>
            <w:proofErr w:type="spellStart"/>
            <w:r w:rsidRPr="006D6A6A">
              <w:t>virssaistības</w:t>
            </w:r>
            <w:proofErr w:type="spellEnd"/>
            <w:r w:rsidR="000F3EA1" w:rsidRPr="006D6A6A">
              <w:t xml:space="preserve"> </w:t>
            </w:r>
            <w:r w:rsidRPr="006D6A6A">
              <w:t>tiks</w:t>
            </w:r>
            <w:r w:rsidR="00FD579E" w:rsidRPr="006D6A6A">
              <w:t xml:space="preserve"> nodrošinātas no bāzes izdevumiem</w:t>
            </w:r>
            <w:r w:rsidRPr="006D6A6A">
              <w:t xml:space="preserve"> 2013.-2015.gadam, tai skaitā 74.resora „Gadskārtējā valsts budžeta izpildes procesā pārdalāmais finansējums” programmā 80.00.00 „Nesadalītais finansējums Eiropas Savienības politiku instrumentu un pārējās ārvalstu finanšu palīdzības līdzfinansēto projektu un pasākumu īstenošanai”, plānotā valsts budžeta finansējuma.</w:t>
            </w:r>
          </w:p>
          <w:p w:rsidR="00836370" w:rsidRPr="006D6A6A" w:rsidRDefault="00836370" w:rsidP="00836370">
            <w:pPr>
              <w:jc w:val="both"/>
              <w:rPr>
                <w:bCs/>
              </w:rPr>
            </w:pPr>
            <w:r w:rsidRPr="006D6A6A">
              <w:rPr>
                <w:bCs/>
              </w:rPr>
              <w:t xml:space="preserve">Ņemot vērā augstāk minēto, projekta īstenošanai 2013., 2014. un 2015.gadā </w:t>
            </w:r>
            <w:r w:rsidR="00516B0A" w:rsidRPr="006D6A6A">
              <w:rPr>
                <w:bCs/>
              </w:rPr>
              <w:t xml:space="preserve">plānots pieprasīt </w:t>
            </w:r>
            <w:r w:rsidR="00516B0A" w:rsidRPr="006D6A6A">
              <w:t xml:space="preserve">kā pārdali </w:t>
            </w:r>
            <w:r w:rsidR="000F3EA1" w:rsidRPr="006D6A6A">
              <w:t xml:space="preserve">1 500 000 latus (tai skaitā ESF finansējums 1 295 250 lati un valsts budžeta finansējums 204 750 lati) </w:t>
            </w:r>
            <w:r w:rsidR="00516B0A" w:rsidRPr="006D6A6A">
              <w:t>no 74.resora „Gadskārtējā valsts budžeta izpildes procesā pārdalāmais finansējums” programmā 80.00.00 „Nesadalītais finansējums Eiropas Savienības politiku instrumentu un pārējās ārvalstu finanšu palīdzības līdzfinansēto projektu un pasākumu īstenošanai”</w:t>
            </w:r>
            <w:r w:rsidRPr="006D6A6A">
              <w:rPr>
                <w:bCs/>
              </w:rPr>
              <w:t>, tai skaitā:</w:t>
            </w:r>
          </w:p>
          <w:p w:rsidR="00836370" w:rsidRPr="006D6A6A" w:rsidRDefault="00836370" w:rsidP="00836370">
            <w:pPr>
              <w:numPr>
                <w:ilvl w:val="0"/>
                <w:numId w:val="17"/>
              </w:numPr>
              <w:ind w:left="317" w:hanging="284"/>
              <w:jc w:val="both"/>
            </w:pPr>
            <w:r w:rsidRPr="006D6A6A">
              <w:t xml:space="preserve">Projekta īstenošanai 2013.gadā plānots piesaistīt </w:t>
            </w:r>
            <w:r w:rsidRPr="006D6A6A">
              <w:rPr>
                <w:u w:val="single"/>
              </w:rPr>
              <w:t xml:space="preserve">papildus </w:t>
            </w:r>
            <w:proofErr w:type="spellStart"/>
            <w:r w:rsidRPr="006D6A6A">
              <w:rPr>
                <w:u w:val="single"/>
              </w:rPr>
              <w:t>virssaistību</w:t>
            </w:r>
            <w:proofErr w:type="spellEnd"/>
            <w:r w:rsidRPr="006D6A6A">
              <w:rPr>
                <w:u w:val="single"/>
              </w:rPr>
              <w:t xml:space="preserve"> finansējumu</w:t>
            </w:r>
            <w:r w:rsidRPr="006D6A6A">
              <w:t xml:space="preserve"> 250 000 latu apmērā</w:t>
            </w:r>
            <w:r w:rsidR="000F3EA1" w:rsidRPr="006D6A6A">
              <w:t xml:space="preserve">, tai skaitā </w:t>
            </w:r>
            <w:r w:rsidR="00510DAD" w:rsidRPr="006D6A6A">
              <w:t>ESF finansējumu</w:t>
            </w:r>
            <w:r w:rsidR="000F3EA1" w:rsidRPr="006D6A6A">
              <w:t xml:space="preserve"> 215 875 </w:t>
            </w:r>
            <w:r w:rsidR="00510DAD" w:rsidRPr="006D6A6A">
              <w:t>latu apmērā un valsts budžeta finansējumu 34 125 latu apmērā</w:t>
            </w:r>
            <w:r w:rsidRPr="006D6A6A">
              <w:t>.</w:t>
            </w:r>
          </w:p>
          <w:p w:rsidR="0032585C" w:rsidRPr="006D6A6A" w:rsidRDefault="00836370" w:rsidP="00836370">
            <w:pPr>
              <w:numPr>
                <w:ilvl w:val="0"/>
                <w:numId w:val="17"/>
              </w:numPr>
              <w:ind w:left="317" w:hanging="284"/>
              <w:jc w:val="both"/>
            </w:pPr>
            <w:r w:rsidRPr="006D6A6A">
              <w:t xml:space="preserve">Projekta īstenošanai 2014.gadā plānots piesaistīt </w:t>
            </w:r>
            <w:r w:rsidRPr="006D6A6A">
              <w:rPr>
                <w:u w:val="single"/>
              </w:rPr>
              <w:t xml:space="preserve">papildus </w:t>
            </w:r>
            <w:proofErr w:type="spellStart"/>
            <w:r w:rsidRPr="006D6A6A">
              <w:rPr>
                <w:u w:val="single"/>
              </w:rPr>
              <w:t>virssaistību</w:t>
            </w:r>
            <w:proofErr w:type="spellEnd"/>
            <w:r w:rsidRPr="006D6A6A">
              <w:rPr>
                <w:u w:val="single"/>
              </w:rPr>
              <w:t xml:space="preserve"> finansējumu</w:t>
            </w:r>
            <w:r w:rsidRPr="006D6A6A">
              <w:t xml:space="preserve"> 1 050 000 latu apmērā</w:t>
            </w:r>
            <w:r w:rsidR="000F3EA1" w:rsidRPr="006D6A6A">
              <w:t xml:space="preserve">, tai skaitā </w:t>
            </w:r>
            <w:r w:rsidR="00510DAD" w:rsidRPr="006D6A6A">
              <w:t>ESF finansējumu</w:t>
            </w:r>
            <w:r w:rsidR="000F3EA1" w:rsidRPr="006D6A6A">
              <w:t xml:space="preserve"> 906 675 </w:t>
            </w:r>
            <w:r w:rsidR="00510DAD" w:rsidRPr="006D6A6A">
              <w:t>latu apmērā un valsts budžeta finansējumu</w:t>
            </w:r>
            <w:r w:rsidR="000F3EA1" w:rsidRPr="006D6A6A">
              <w:t xml:space="preserve"> 143 325 </w:t>
            </w:r>
            <w:r w:rsidR="00510DAD" w:rsidRPr="006D6A6A">
              <w:t>latu apmērā</w:t>
            </w:r>
            <w:r w:rsidRPr="006D6A6A">
              <w:t>.</w:t>
            </w:r>
          </w:p>
          <w:p w:rsidR="00836370" w:rsidRPr="006D6A6A" w:rsidRDefault="0032585C" w:rsidP="005E271B">
            <w:pPr>
              <w:numPr>
                <w:ilvl w:val="0"/>
                <w:numId w:val="17"/>
              </w:numPr>
              <w:ind w:left="317" w:hanging="284"/>
              <w:jc w:val="both"/>
            </w:pPr>
            <w:r w:rsidRPr="006D6A6A">
              <w:t>Projekta īstenošanai 2015</w:t>
            </w:r>
            <w:r w:rsidR="00836370" w:rsidRPr="006D6A6A">
              <w:t xml:space="preserve">.gadā plānots piesaistīt </w:t>
            </w:r>
            <w:r w:rsidR="00836370" w:rsidRPr="006D6A6A">
              <w:rPr>
                <w:u w:val="single"/>
              </w:rPr>
              <w:t xml:space="preserve">papildus </w:t>
            </w:r>
            <w:proofErr w:type="spellStart"/>
            <w:r w:rsidR="00836370" w:rsidRPr="006D6A6A">
              <w:rPr>
                <w:u w:val="single"/>
              </w:rPr>
              <w:t>virssaistību</w:t>
            </w:r>
            <w:proofErr w:type="spellEnd"/>
            <w:r w:rsidR="00836370" w:rsidRPr="006D6A6A">
              <w:rPr>
                <w:u w:val="single"/>
              </w:rPr>
              <w:t xml:space="preserve"> finansējumu</w:t>
            </w:r>
            <w:r w:rsidR="00836370" w:rsidRPr="006D6A6A">
              <w:t xml:space="preserve"> 200 000 latu apmērā</w:t>
            </w:r>
            <w:r w:rsidR="000F3EA1" w:rsidRPr="006D6A6A">
              <w:t xml:space="preserve">, tai skaitā </w:t>
            </w:r>
            <w:r w:rsidR="00510DAD" w:rsidRPr="006D6A6A">
              <w:t>ESF finansējumu</w:t>
            </w:r>
            <w:r w:rsidR="000F3EA1" w:rsidRPr="006D6A6A">
              <w:t xml:space="preserve"> 172 700 </w:t>
            </w:r>
            <w:r w:rsidR="00510DAD" w:rsidRPr="006D6A6A">
              <w:t>latu apmērā un valsts budžeta finansējumu</w:t>
            </w:r>
            <w:r w:rsidR="000F3EA1" w:rsidRPr="006D6A6A">
              <w:t xml:space="preserve"> </w:t>
            </w:r>
            <w:r w:rsidR="005E271B" w:rsidRPr="006D6A6A">
              <w:t xml:space="preserve">27 300 </w:t>
            </w:r>
            <w:r w:rsidR="00510DAD" w:rsidRPr="006D6A6A">
              <w:t>latu apmērā</w:t>
            </w:r>
            <w:r w:rsidR="00836370" w:rsidRPr="006D6A6A">
              <w:t>.</w:t>
            </w:r>
          </w:p>
        </w:tc>
      </w:tr>
    </w:tbl>
    <w:p w:rsidR="00575A23" w:rsidRPr="006D6A6A" w:rsidRDefault="00575A23" w:rsidP="00F05A22">
      <w:pPr>
        <w:rPr>
          <w:lang w:eastAsia="lv-LV" w:bidi="lo-LA"/>
        </w:rPr>
      </w:pPr>
    </w:p>
    <w:p w:rsidR="00F3333E" w:rsidRPr="006D6A6A" w:rsidRDefault="00F3333E" w:rsidP="00F3333E">
      <w:pPr>
        <w:jc w:val="both"/>
        <w:rPr>
          <w:b/>
          <w:lang w:eastAsia="lv-LV" w:bidi="lo-LA"/>
        </w:rPr>
      </w:pPr>
      <w:r w:rsidRPr="006D6A6A">
        <w:rPr>
          <w:b/>
          <w:lang w:eastAsia="lv-LV" w:bidi="lo-LA"/>
        </w:rPr>
        <w:t xml:space="preserve">Anotācijas </w:t>
      </w:r>
      <w:proofErr w:type="spellStart"/>
      <w:r w:rsidRPr="006D6A6A">
        <w:rPr>
          <w:b/>
          <w:lang w:eastAsia="lv-LV" w:bidi="lo-LA"/>
        </w:rPr>
        <w:t>IV.sadaļa</w:t>
      </w:r>
      <w:proofErr w:type="spellEnd"/>
      <w:r w:rsidRPr="006D6A6A">
        <w:rPr>
          <w:b/>
          <w:lang w:eastAsia="lv-LV" w:bidi="lo-LA"/>
        </w:rPr>
        <w:t xml:space="preserve">, </w:t>
      </w:r>
      <w:proofErr w:type="spellStart"/>
      <w:r w:rsidRPr="006D6A6A">
        <w:rPr>
          <w:b/>
          <w:lang w:eastAsia="lv-LV" w:bidi="lo-LA"/>
        </w:rPr>
        <w:t>V.sadaļa</w:t>
      </w:r>
      <w:proofErr w:type="spellEnd"/>
      <w:r w:rsidRPr="006D6A6A">
        <w:rPr>
          <w:b/>
          <w:lang w:eastAsia="lv-LV" w:bidi="lo-LA"/>
        </w:rPr>
        <w:t xml:space="preserve">,  </w:t>
      </w:r>
      <w:proofErr w:type="spellStart"/>
      <w:r w:rsidRPr="006D6A6A">
        <w:rPr>
          <w:b/>
          <w:bCs/>
          <w:lang w:eastAsia="lv-LV" w:bidi="lo-LA"/>
        </w:rPr>
        <w:t>VI.sadaļa</w:t>
      </w:r>
      <w:proofErr w:type="spellEnd"/>
      <w:r w:rsidRPr="006D6A6A">
        <w:rPr>
          <w:b/>
          <w:bCs/>
          <w:lang w:eastAsia="lv-LV" w:bidi="lo-LA"/>
        </w:rPr>
        <w:t xml:space="preserve"> – </w:t>
      </w:r>
      <w:r w:rsidRPr="006D6A6A">
        <w:rPr>
          <w:b/>
          <w:iCs/>
          <w:lang w:eastAsia="lv-LV"/>
        </w:rPr>
        <w:t xml:space="preserve"> projekts šīs jomas neskar</w:t>
      </w:r>
      <w:r w:rsidRPr="006D6A6A">
        <w:rPr>
          <w:b/>
          <w:bCs/>
          <w:lang w:eastAsia="lv-LV" w:bidi="lo-LA"/>
        </w:rPr>
        <w:t xml:space="preserve">. </w:t>
      </w:r>
    </w:p>
    <w:p w:rsidR="00F3333E" w:rsidRPr="006D6A6A" w:rsidRDefault="00F3333E" w:rsidP="00F05A22">
      <w:pPr>
        <w:rPr>
          <w:lang w:eastAsia="lv-LV" w:bidi="lo-L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
        <w:gridCol w:w="2877"/>
        <w:gridCol w:w="5953"/>
      </w:tblGrid>
      <w:tr w:rsidR="00F05A22" w:rsidRPr="006D6A6A" w:rsidTr="00902784">
        <w:trPr>
          <w:trHeight w:val="527"/>
        </w:trPr>
        <w:tc>
          <w:tcPr>
            <w:tcW w:w="9322" w:type="dxa"/>
            <w:gridSpan w:val="3"/>
            <w:vAlign w:val="center"/>
          </w:tcPr>
          <w:p w:rsidR="00F05A22" w:rsidRPr="006D6A6A" w:rsidRDefault="00F05A22" w:rsidP="00C81AEC">
            <w:pPr>
              <w:jc w:val="center"/>
              <w:rPr>
                <w:lang w:eastAsia="lv-LV" w:bidi="lo-LA"/>
              </w:rPr>
            </w:pPr>
            <w:r w:rsidRPr="006D6A6A">
              <w:rPr>
                <w:b/>
                <w:bCs/>
                <w:lang w:eastAsia="lv-LV" w:bidi="lo-LA"/>
              </w:rPr>
              <w:t>VII. Tiesību akta projekta izpildes nodrošināšana un tās ietekme uz institūcijām</w:t>
            </w:r>
          </w:p>
        </w:tc>
      </w:tr>
      <w:tr w:rsidR="00F05A22" w:rsidRPr="006D6A6A" w:rsidTr="00902784">
        <w:tc>
          <w:tcPr>
            <w:tcW w:w="492" w:type="dxa"/>
          </w:tcPr>
          <w:p w:rsidR="00F05A22" w:rsidRPr="006D6A6A" w:rsidRDefault="00F05A22" w:rsidP="001E3003">
            <w:pPr>
              <w:spacing w:before="100" w:beforeAutospacing="1" w:after="100" w:afterAutospacing="1"/>
              <w:rPr>
                <w:lang w:eastAsia="lv-LV" w:bidi="lo-LA"/>
              </w:rPr>
            </w:pPr>
            <w:r w:rsidRPr="006D6A6A">
              <w:rPr>
                <w:lang w:eastAsia="lv-LV" w:bidi="lo-LA"/>
              </w:rPr>
              <w:t> 1.</w:t>
            </w:r>
          </w:p>
        </w:tc>
        <w:tc>
          <w:tcPr>
            <w:tcW w:w="2877" w:type="dxa"/>
          </w:tcPr>
          <w:p w:rsidR="00F05A22" w:rsidRPr="006D6A6A" w:rsidRDefault="00F05A22" w:rsidP="00C37452">
            <w:pPr>
              <w:rPr>
                <w:lang w:eastAsia="lv-LV" w:bidi="lo-LA"/>
              </w:rPr>
            </w:pPr>
            <w:r w:rsidRPr="006D6A6A">
              <w:rPr>
                <w:lang w:eastAsia="lv-LV" w:bidi="lo-LA"/>
              </w:rPr>
              <w:t>Projekta izpildē iesaistītās institūcijas</w:t>
            </w:r>
          </w:p>
        </w:tc>
        <w:tc>
          <w:tcPr>
            <w:tcW w:w="5953" w:type="dxa"/>
          </w:tcPr>
          <w:p w:rsidR="00C81AEC" w:rsidRPr="006D6A6A" w:rsidRDefault="00C81AEC" w:rsidP="00C81AEC">
            <w:pPr>
              <w:rPr>
                <w:lang w:eastAsia="lv-LV" w:bidi="lo-LA"/>
              </w:rPr>
            </w:pPr>
            <w:r w:rsidRPr="006D6A6A">
              <w:rPr>
                <w:lang w:eastAsia="lv-LV" w:bidi="lo-LA"/>
              </w:rPr>
              <w:t>Veselības ministrija;</w:t>
            </w:r>
          </w:p>
          <w:p w:rsidR="00C37452" w:rsidRPr="006D6A6A" w:rsidRDefault="00C81AEC" w:rsidP="00F0507A">
            <w:pPr>
              <w:rPr>
                <w:lang w:eastAsia="lv-LV" w:bidi="lo-LA"/>
              </w:rPr>
            </w:pPr>
            <w:r w:rsidRPr="006D6A6A">
              <w:rPr>
                <w:lang w:eastAsia="lv-LV" w:bidi="lo-LA"/>
              </w:rPr>
              <w:t>Valsts aģentūra „Centrālā finanšu un līgumu aģentūra”.</w:t>
            </w:r>
          </w:p>
        </w:tc>
      </w:tr>
      <w:tr w:rsidR="00C37452" w:rsidRPr="006D6A6A" w:rsidTr="00902784">
        <w:tc>
          <w:tcPr>
            <w:tcW w:w="492" w:type="dxa"/>
          </w:tcPr>
          <w:p w:rsidR="00C37452" w:rsidRPr="006D6A6A" w:rsidRDefault="00C37452" w:rsidP="001E3003">
            <w:pPr>
              <w:spacing w:before="100" w:beforeAutospacing="1" w:after="100" w:afterAutospacing="1"/>
              <w:rPr>
                <w:lang w:eastAsia="lv-LV" w:bidi="lo-LA"/>
              </w:rPr>
            </w:pPr>
            <w:r w:rsidRPr="006D6A6A">
              <w:rPr>
                <w:lang w:eastAsia="lv-LV" w:bidi="lo-LA"/>
              </w:rPr>
              <w:t> 2.</w:t>
            </w:r>
          </w:p>
        </w:tc>
        <w:tc>
          <w:tcPr>
            <w:tcW w:w="2877" w:type="dxa"/>
          </w:tcPr>
          <w:p w:rsidR="00C37452" w:rsidRPr="006D6A6A" w:rsidRDefault="00C37452" w:rsidP="00C37452">
            <w:pPr>
              <w:rPr>
                <w:lang w:eastAsia="lv-LV" w:bidi="lo-LA"/>
              </w:rPr>
            </w:pPr>
            <w:r w:rsidRPr="006D6A6A">
              <w:rPr>
                <w:lang w:eastAsia="lv-LV" w:bidi="lo-LA"/>
              </w:rPr>
              <w:t>Projekta izpildes ietekme uz pārvaldes funkcijām</w:t>
            </w:r>
          </w:p>
        </w:tc>
        <w:tc>
          <w:tcPr>
            <w:tcW w:w="5953" w:type="dxa"/>
            <w:vAlign w:val="center"/>
          </w:tcPr>
          <w:p w:rsidR="002B5E1D" w:rsidRPr="006D6A6A" w:rsidRDefault="002B5E1D" w:rsidP="00F876C1">
            <w:pPr>
              <w:rPr>
                <w:lang w:eastAsia="lv-LV" w:bidi="lo-LA"/>
              </w:rPr>
            </w:pPr>
            <w:r w:rsidRPr="006D6A6A">
              <w:rPr>
                <w:lang w:eastAsia="lv-LV" w:bidi="lo-LA"/>
              </w:rPr>
              <w:t>Projekts neparedz funkciju paplašināšanu.</w:t>
            </w:r>
          </w:p>
          <w:p w:rsidR="00C37452" w:rsidRPr="006D6A6A" w:rsidRDefault="00C37452" w:rsidP="00F876C1">
            <w:pPr>
              <w:rPr>
                <w:lang w:eastAsia="lv-LV" w:bidi="lo-LA"/>
              </w:rPr>
            </w:pPr>
          </w:p>
        </w:tc>
      </w:tr>
      <w:tr w:rsidR="00C37452" w:rsidRPr="006D6A6A" w:rsidTr="00902784">
        <w:tc>
          <w:tcPr>
            <w:tcW w:w="492" w:type="dxa"/>
          </w:tcPr>
          <w:p w:rsidR="00C37452" w:rsidRPr="006D6A6A" w:rsidRDefault="00C37452" w:rsidP="001E3003">
            <w:pPr>
              <w:spacing w:before="100" w:beforeAutospacing="1" w:after="100" w:afterAutospacing="1"/>
              <w:rPr>
                <w:lang w:eastAsia="lv-LV" w:bidi="lo-LA"/>
              </w:rPr>
            </w:pPr>
            <w:r w:rsidRPr="006D6A6A">
              <w:rPr>
                <w:lang w:eastAsia="lv-LV" w:bidi="lo-LA"/>
              </w:rPr>
              <w:t> 3.</w:t>
            </w:r>
          </w:p>
        </w:tc>
        <w:tc>
          <w:tcPr>
            <w:tcW w:w="2877" w:type="dxa"/>
          </w:tcPr>
          <w:p w:rsidR="00C37452" w:rsidRPr="006D6A6A" w:rsidRDefault="00C37452" w:rsidP="00C37452">
            <w:pPr>
              <w:rPr>
                <w:lang w:eastAsia="lv-LV" w:bidi="lo-LA"/>
              </w:rPr>
            </w:pPr>
            <w:r w:rsidRPr="006D6A6A">
              <w:rPr>
                <w:lang w:eastAsia="lv-LV" w:bidi="lo-LA"/>
              </w:rPr>
              <w:t>Projekta izpildes ietekme uz pārvaldes institucionālo struktūru.</w:t>
            </w:r>
          </w:p>
          <w:p w:rsidR="00C37452" w:rsidRPr="006D6A6A" w:rsidRDefault="00C37452" w:rsidP="00C37452">
            <w:pPr>
              <w:rPr>
                <w:lang w:eastAsia="lv-LV" w:bidi="lo-LA"/>
              </w:rPr>
            </w:pPr>
            <w:r w:rsidRPr="006D6A6A">
              <w:rPr>
                <w:lang w:eastAsia="lv-LV" w:bidi="lo-LA"/>
              </w:rPr>
              <w:t>Jaunu institūciju izveide</w:t>
            </w:r>
          </w:p>
        </w:tc>
        <w:tc>
          <w:tcPr>
            <w:tcW w:w="5953" w:type="dxa"/>
          </w:tcPr>
          <w:p w:rsidR="00C37452" w:rsidRPr="006D6A6A" w:rsidRDefault="002B5E1D" w:rsidP="00F876C1">
            <w:pPr>
              <w:rPr>
                <w:lang w:eastAsia="lv-LV" w:bidi="lo-LA"/>
              </w:rPr>
            </w:pPr>
            <w:r w:rsidRPr="006D6A6A">
              <w:rPr>
                <w:lang w:eastAsia="lv-LV" w:bidi="lo-LA"/>
              </w:rPr>
              <w:t>Projekts neparedz veidot jaunas valsts institūcijas.</w:t>
            </w:r>
          </w:p>
        </w:tc>
      </w:tr>
      <w:tr w:rsidR="00C37452" w:rsidRPr="006D6A6A" w:rsidTr="00902784">
        <w:tc>
          <w:tcPr>
            <w:tcW w:w="492" w:type="dxa"/>
          </w:tcPr>
          <w:p w:rsidR="00C37452" w:rsidRPr="006D6A6A" w:rsidRDefault="00C37452" w:rsidP="001E3003">
            <w:pPr>
              <w:spacing w:before="100" w:beforeAutospacing="1" w:after="100" w:afterAutospacing="1"/>
              <w:rPr>
                <w:lang w:eastAsia="lv-LV" w:bidi="lo-LA"/>
              </w:rPr>
            </w:pPr>
            <w:r w:rsidRPr="006D6A6A">
              <w:rPr>
                <w:lang w:eastAsia="lv-LV" w:bidi="lo-LA"/>
              </w:rPr>
              <w:t> 4.</w:t>
            </w:r>
          </w:p>
        </w:tc>
        <w:tc>
          <w:tcPr>
            <w:tcW w:w="2877" w:type="dxa"/>
          </w:tcPr>
          <w:p w:rsidR="00C37452" w:rsidRPr="006D6A6A" w:rsidRDefault="00C37452" w:rsidP="00C37452">
            <w:pPr>
              <w:rPr>
                <w:lang w:eastAsia="lv-LV" w:bidi="lo-LA"/>
              </w:rPr>
            </w:pPr>
            <w:r w:rsidRPr="006D6A6A">
              <w:rPr>
                <w:lang w:eastAsia="lv-LV" w:bidi="lo-LA"/>
              </w:rPr>
              <w:t>Projekta izpildes ietekme uz pārvaldes institucionālo struktūru.</w:t>
            </w:r>
          </w:p>
          <w:p w:rsidR="00C37452" w:rsidRPr="006D6A6A" w:rsidRDefault="00C37452" w:rsidP="00C37452">
            <w:pPr>
              <w:rPr>
                <w:lang w:eastAsia="lv-LV" w:bidi="lo-LA"/>
              </w:rPr>
            </w:pPr>
            <w:r w:rsidRPr="006D6A6A">
              <w:rPr>
                <w:lang w:eastAsia="lv-LV" w:bidi="lo-LA"/>
              </w:rPr>
              <w:t>Esošu institūciju likvidācija</w:t>
            </w:r>
          </w:p>
        </w:tc>
        <w:tc>
          <w:tcPr>
            <w:tcW w:w="5953" w:type="dxa"/>
            <w:vAlign w:val="center"/>
          </w:tcPr>
          <w:p w:rsidR="00C37452" w:rsidRPr="006D6A6A" w:rsidRDefault="009E55C2" w:rsidP="001E3003">
            <w:pPr>
              <w:autoSpaceDE w:val="0"/>
              <w:autoSpaceDN w:val="0"/>
              <w:adjustRightInd w:val="0"/>
              <w:rPr>
                <w:noProof/>
              </w:rPr>
            </w:pPr>
            <w:r w:rsidRPr="006D6A6A">
              <w:rPr>
                <w:iCs/>
                <w:lang w:eastAsia="lv-LV"/>
              </w:rPr>
              <w:t>Projekts šo jomu neskar</w:t>
            </w:r>
            <w:r w:rsidR="00FD579E" w:rsidRPr="006D6A6A">
              <w:rPr>
                <w:iCs/>
                <w:lang w:eastAsia="lv-LV"/>
              </w:rPr>
              <w:t>.</w:t>
            </w:r>
          </w:p>
        </w:tc>
      </w:tr>
      <w:tr w:rsidR="00C37452" w:rsidRPr="006D6A6A" w:rsidTr="00902784">
        <w:tc>
          <w:tcPr>
            <w:tcW w:w="492" w:type="dxa"/>
          </w:tcPr>
          <w:p w:rsidR="00C37452" w:rsidRPr="006D6A6A" w:rsidRDefault="00C37452" w:rsidP="001E3003">
            <w:pPr>
              <w:spacing w:before="100" w:beforeAutospacing="1" w:after="100" w:afterAutospacing="1"/>
              <w:rPr>
                <w:lang w:eastAsia="lv-LV" w:bidi="lo-LA"/>
              </w:rPr>
            </w:pPr>
            <w:r w:rsidRPr="006D6A6A">
              <w:rPr>
                <w:lang w:eastAsia="lv-LV" w:bidi="lo-LA"/>
              </w:rPr>
              <w:t> 5.</w:t>
            </w:r>
          </w:p>
        </w:tc>
        <w:tc>
          <w:tcPr>
            <w:tcW w:w="2877" w:type="dxa"/>
          </w:tcPr>
          <w:p w:rsidR="00C37452" w:rsidRPr="006D6A6A" w:rsidRDefault="00C37452" w:rsidP="00C37452">
            <w:pPr>
              <w:rPr>
                <w:lang w:eastAsia="lv-LV" w:bidi="lo-LA"/>
              </w:rPr>
            </w:pPr>
            <w:r w:rsidRPr="006D6A6A">
              <w:rPr>
                <w:lang w:eastAsia="lv-LV" w:bidi="lo-LA"/>
              </w:rPr>
              <w:t>Projekta izpildes ietekme uz pārvaldes institucionālo struktūru.</w:t>
            </w:r>
          </w:p>
          <w:p w:rsidR="00C37452" w:rsidRPr="006D6A6A" w:rsidRDefault="00C37452" w:rsidP="00C37452">
            <w:pPr>
              <w:rPr>
                <w:lang w:eastAsia="lv-LV" w:bidi="lo-LA"/>
              </w:rPr>
            </w:pPr>
            <w:r w:rsidRPr="006D6A6A">
              <w:rPr>
                <w:lang w:eastAsia="lv-LV" w:bidi="lo-LA"/>
              </w:rPr>
              <w:t>Esošu institūciju reorganizācija</w:t>
            </w:r>
          </w:p>
        </w:tc>
        <w:tc>
          <w:tcPr>
            <w:tcW w:w="5953" w:type="dxa"/>
            <w:vAlign w:val="center"/>
          </w:tcPr>
          <w:p w:rsidR="00C37452" w:rsidRPr="006D6A6A" w:rsidRDefault="009E55C2" w:rsidP="001E3003">
            <w:pPr>
              <w:autoSpaceDE w:val="0"/>
              <w:autoSpaceDN w:val="0"/>
              <w:adjustRightInd w:val="0"/>
              <w:rPr>
                <w:noProof/>
              </w:rPr>
            </w:pPr>
            <w:r w:rsidRPr="006D6A6A">
              <w:rPr>
                <w:iCs/>
                <w:lang w:eastAsia="lv-LV"/>
              </w:rPr>
              <w:t>Projekts šo jomu neskar</w:t>
            </w:r>
            <w:r w:rsidR="00FD579E" w:rsidRPr="006D6A6A">
              <w:rPr>
                <w:iCs/>
                <w:lang w:eastAsia="lv-LV"/>
              </w:rPr>
              <w:t>.</w:t>
            </w:r>
          </w:p>
        </w:tc>
      </w:tr>
      <w:tr w:rsidR="00C37452" w:rsidRPr="006D6A6A" w:rsidTr="00902784">
        <w:tc>
          <w:tcPr>
            <w:tcW w:w="492" w:type="dxa"/>
          </w:tcPr>
          <w:p w:rsidR="00C37452" w:rsidRPr="006D6A6A" w:rsidRDefault="00C37452" w:rsidP="001E3003">
            <w:pPr>
              <w:spacing w:before="100" w:beforeAutospacing="1" w:after="100" w:afterAutospacing="1"/>
              <w:rPr>
                <w:lang w:eastAsia="lv-LV" w:bidi="lo-LA"/>
              </w:rPr>
            </w:pPr>
            <w:r w:rsidRPr="006D6A6A">
              <w:rPr>
                <w:lang w:eastAsia="lv-LV" w:bidi="lo-LA"/>
              </w:rPr>
              <w:t> 6.</w:t>
            </w:r>
          </w:p>
        </w:tc>
        <w:tc>
          <w:tcPr>
            <w:tcW w:w="2877" w:type="dxa"/>
          </w:tcPr>
          <w:p w:rsidR="00C37452" w:rsidRPr="006D6A6A" w:rsidRDefault="00C37452" w:rsidP="00C37452">
            <w:pPr>
              <w:rPr>
                <w:lang w:eastAsia="lv-LV" w:bidi="lo-LA"/>
              </w:rPr>
            </w:pPr>
            <w:r w:rsidRPr="006D6A6A">
              <w:rPr>
                <w:lang w:eastAsia="lv-LV" w:bidi="lo-LA"/>
              </w:rPr>
              <w:t>Cita informācija</w:t>
            </w:r>
          </w:p>
        </w:tc>
        <w:tc>
          <w:tcPr>
            <w:tcW w:w="5953" w:type="dxa"/>
          </w:tcPr>
          <w:p w:rsidR="00C37452" w:rsidRPr="006D6A6A" w:rsidRDefault="00C37452" w:rsidP="00F05A22">
            <w:pPr>
              <w:rPr>
                <w:lang w:eastAsia="lv-LV" w:bidi="lo-LA"/>
              </w:rPr>
            </w:pPr>
            <w:r w:rsidRPr="006D6A6A">
              <w:rPr>
                <w:lang w:eastAsia="lv-LV" w:bidi="lo-LA"/>
              </w:rPr>
              <w:t>Nav</w:t>
            </w:r>
          </w:p>
        </w:tc>
      </w:tr>
    </w:tbl>
    <w:p w:rsidR="003B3788" w:rsidRPr="006D6A6A" w:rsidRDefault="003B3788" w:rsidP="006D6609">
      <w:pPr>
        <w:jc w:val="both"/>
      </w:pPr>
    </w:p>
    <w:p w:rsidR="007D3690" w:rsidRPr="006D6A6A" w:rsidRDefault="007D3690" w:rsidP="006D6609">
      <w:pPr>
        <w:jc w:val="both"/>
      </w:pPr>
    </w:p>
    <w:p w:rsidR="007D3690" w:rsidRPr="006D6A6A" w:rsidRDefault="007D3690" w:rsidP="006D6609">
      <w:pPr>
        <w:jc w:val="both"/>
        <w:rPr>
          <w:sz w:val="28"/>
          <w:szCs w:val="28"/>
        </w:rPr>
      </w:pPr>
    </w:p>
    <w:p w:rsidR="00AD79CD" w:rsidRPr="006D6A6A" w:rsidRDefault="00AD79CD" w:rsidP="00AD79CD">
      <w:pPr>
        <w:tabs>
          <w:tab w:val="right" w:pos="8504"/>
        </w:tabs>
        <w:ind w:left="-284" w:firstLine="284"/>
        <w:rPr>
          <w:sz w:val="28"/>
          <w:szCs w:val="28"/>
        </w:rPr>
      </w:pPr>
      <w:r w:rsidRPr="006D6A6A">
        <w:rPr>
          <w:sz w:val="28"/>
          <w:szCs w:val="28"/>
        </w:rPr>
        <w:t xml:space="preserve">Veselības ministre </w:t>
      </w:r>
      <w:r w:rsidRPr="006D6A6A">
        <w:rPr>
          <w:sz w:val="28"/>
          <w:szCs w:val="28"/>
        </w:rPr>
        <w:tab/>
      </w:r>
      <w:proofErr w:type="spellStart"/>
      <w:r w:rsidRPr="006D6A6A">
        <w:rPr>
          <w:sz w:val="28"/>
          <w:szCs w:val="28"/>
        </w:rPr>
        <w:t>I.Circene</w:t>
      </w:r>
      <w:proofErr w:type="spellEnd"/>
    </w:p>
    <w:p w:rsidR="0095257D" w:rsidRPr="006D6A6A" w:rsidRDefault="0095257D" w:rsidP="00AD79CD">
      <w:pPr>
        <w:ind w:right="4818"/>
      </w:pPr>
    </w:p>
    <w:p w:rsidR="007D3690" w:rsidRPr="006D6A6A" w:rsidRDefault="007D3690" w:rsidP="00AD79CD">
      <w:pPr>
        <w:ind w:right="4818"/>
      </w:pPr>
    </w:p>
    <w:p w:rsidR="007D3690" w:rsidRPr="006D6A6A" w:rsidRDefault="007D3690" w:rsidP="00AD79CD">
      <w:pPr>
        <w:ind w:right="4818"/>
      </w:pPr>
    </w:p>
    <w:p w:rsidR="007D3690" w:rsidRPr="006D6A6A" w:rsidRDefault="007D3690" w:rsidP="00AD79CD">
      <w:pPr>
        <w:ind w:right="4818"/>
      </w:pPr>
    </w:p>
    <w:p w:rsidR="007D3690" w:rsidRPr="006D6A6A" w:rsidRDefault="007D3690" w:rsidP="00AD79CD">
      <w:pPr>
        <w:ind w:right="4818"/>
      </w:pPr>
    </w:p>
    <w:p w:rsidR="0095257D" w:rsidRPr="006D6A6A" w:rsidRDefault="0095257D" w:rsidP="00AD79CD">
      <w:pPr>
        <w:ind w:right="4818"/>
      </w:pPr>
    </w:p>
    <w:p w:rsidR="00523E3D" w:rsidRDefault="00523E3D" w:rsidP="00AD79CD">
      <w:pPr>
        <w:ind w:right="4818"/>
        <w:rPr>
          <w:sz w:val="20"/>
          <w:szCs w:val="20"/>
        </w:rPr>
      </w:pPr>
      <w:r>
        <w:rPr>
          <w:sz w:val="20"/>
          <w:szCs w:val="20"/>
        </w:rPr>
        <w:t>11.07.2012 15:16</w:t>
      </w:r>
    </w:p>
    <w:p w:rsidR="00AD79CD" w:rsidRPr="006D6A6A" w:rsidRDefault="00A2358F" w:rsidP="00AD79CD">
      <w:pPr>
        <w:ind w:right="4818"/>
        <w:rPr>
          <w:sz w:val="20"/>
          <w:szCs w:val="20"/>
        </w:rPr>
      </w:pPr>
      <w:r w:rsidRPr="006D6A6A">
        <w:rPr>
          <w:sz w:val="20"/>
          <w:szCs w:val="20"/>
        </w:rPr>
        <w:fldChar w:fldCharType="begin"/>
      </w:r>
      <w:r w:rsidR="00AD79CD" w:rsidRPr="006D6A6A">
        <w:rPr>
          <w:sz w:val="20"/>
          <w:szCs w:val="20"/>
        </w:rPr>
        <w:instrText xml:space="preserve"> NUMWORDS  \# "# ##0"  \* MERGEFORMAT </w:instrText>
      </w:r>
      <w:r w:rsidRPr="006D6A6A">
        <w:rPr>
          <w:sz w:val="20"/>
          <w:szCs w:val="20"/>
        </w:rPr>
        <w:fldChar w:fldCharType="separate"/>
      </w:r>
      <w:r w:rsidR="00523E3D">
        <w:rPr>
          <w:noProof/>
          <w:sz w:val="20"/>
          <w:szCs w:val="20"/>
        </w:rPr>
        <w:t>2 180</w:t>
      </w:r>
      <w:r w:rsidRPr="006D6A6A">
        <w:rPr>
          <w:sz w:val="20"/>
          <w:szCs w:val="20"/>
        </w:rPr>
        <w:fldChar w:fldCharType="end"/>
      </w:r>
    </w:p>
    <w:p w:rsidR="00AD79CD" w:rsidRPr="006D6A6A" w:rsidRDefault="00AD79CD" w:rsidP="00AD79CD">
      <w:pPr>
        <w:ind w:right="4818"/>
        <w:rPr>
          <w:sz w:val="20"/>
          <w:szCs w:val="20"/>
        </w:rPr>
      </w:pPr>
      <w:proofErr w:type="spellStart"/>
      <w:r w:rsidRPr="006D6A6A">
        <w:rPr>
          <w:sz w:val="20"/>
          <w:szCs w:val="20"/>
        </w:rPr>
        <w:t>N.Hamandikova</w:t>
      </w:r>
      <w:proofErr w:type="spellEnd"/>
      <w:r w:rsidRPr="006D6A6A">
        <w:rPr>
          <w:sz w:val="20"/>
          <w:szCs w:val="20"/>
        </w:rPr>
        <w:t>, 67876090</w:t>
      </w:r>
    </w:p>
    <w:p w:rsidR="00AD79CD" w:rsidRPr="006D6A6A" w:rsidRDefault="00AD79CD" w:rsidP="00AD79CD">
      <w:pPr>
        <w:ind w:right="4818"/>
        <w:rPr>
          <w:sz w:val="20"/>
          <w:szCs w:val="20"/>
          <w:lang w:val="en-GB"/>
        </w:rPr>
      </w:pPr>
      <w:r w:rsidRPr="006D6A6A">
        <w:rPr>
          <w:sz w:val="20"/>
          <w:szCs w:val="20"/>
        </w:rPr>
        <w:t>Natalija.Hamandikova@vm.gov.lv</w:t>
      </w:r>
    </w:p>
    <w:sectPr w:rsidR="00AD79CD" w:rsidRPr="006D6A6A" w:rsidSect="00902784">
      <w:headerReference w:type="even" r:id="rId8"/>
      <w:headerReference w:type="default" r:id="rId9"/>
      <w:footerReference w:type="default" r:id="rId10"/>
      <w:footerReference w:type="first" r:id="rId11"/>
      <w:pgSz w:w="11906" w:h="16838" w:code="9"/>
      <w:pgMar w:top="709" w:right="1134" w:bottom="1701" w:left="1701" w:header="680" w:footer="62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7B" w:rsidRDefault="00EE6D7B">
      <w:r>
        <w:separator/>
      </w:r>
    </w:p>
  </w:endnote>
  <w:endnote w:type="continuationSeparator" w:id="0">
    <w:p w:rsidR="00EE6D7B" w:rsidRDefault="00EE6D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7B" w:rsidRPr="00AD79CD" w:rsidRDefault="00EE6D7B" w:rsidP="00AD79CD">
    <w:pPr>
      <w:jc w:val="both"/>
      <w:rPr>
        <w:noProof/>
      </w:rPr>
    </w:pPr>
    <w:r>
      <w:rPr>
        <w:noProof/>
        <w:sz w:val="20"/>
        <w:szCs w:val="20"/>
      </w:rPr>
      <w:t>VMa</w:t>
    </w:r>
    <w:r w:rsidRPr="000559BB">
      <w:rPr>
        <w:noProof/>
        <w:sz w:val="20"/>
        <w:szCs w:val="20"/>
      </w:rPr>
      <w:t>not_</w:t>
    </w:r>
    <w:r w:rsidR="00523E3D">
      <w:rPr>
        <w:noProof/>
        <w:sz w:val="20"/>
        <w:szCs w:val="20"/>
      </w:rPr>
      <w:t>1107</w:t>
    </w:r>
    <w:r>
      <w:rPr>
        <w:noProof/>
        <w:sz w:val="20"/>
        <w:szCs w:val="20"/>
      </w:rPr>
      <w:t>12</w:t>
    </w:r>
    <w:r w:rsidRPr="000559BB">
      <w:rPr>
        <w:noProof/>
        <w:sz w:val="20"/>
        <w:szCs w:val="20"/>
      </w:rPr>
      <w:t>_MK3</w:t>
    </w:r>
    <w:r>
      <w:rPr>
        <w:noProof/>
        <w:sz w:val="20"/>
        <w:szCs w:val="20"/>
      </w:rPr>
      <w:t>5</w:t>
    </w:r>
    <w:r w:rsidRPr="000559BB">
      <w:rPr>
        <w:noProof/>
        <w:sz w:val="20"/>
        <w:szCs w:val="20"/>
      </w:rPr>
      <w:t>3</w:t>
    </w:r>
    <w:r w:rsidRPr="00D473C0">
      <w:rPr>
        <w:noProof/>
        <w:sz w:val="20"/>
        <w:szCs w:val="20"/>
      </w:rPr>
      <w:t xml:space="preserve">; </w:t>
    </w:r>
    <w:r w:rsidRPr="00912DE3">
      <w:rPr>
        <w:sz w:val="20"/>
        <w:szCs w:val="20"/>
      </w:rPr>
      <w:t>Ministru kabineta noteikumu projekta „</w:t>
    </w:r>
    <w:r w:rsidRPr="00E77CA5">
      <w:rPr>
        <w:sz w:val="20"/>
        <w:szCs w:val="20"/>
      </w:rPr>
      <w:t>Grozījumi Ministru kabineta 2008.gada 1</w:t>
    </w:r>
    <w:r>
      <w:rPr>
        <w:sz w:val="20"/>
        <w:szCs w:val="20"/>
      </w:rPr>
      <w:t>9</w:t>
    </w:r>
    <w:r w:rsidRPr="00E77CA5">
      <w:rPr>
        <w:sz w:val="20"/>
        <w:szCs w:val="20"/>
      </w:rPr>
      <w:t>.maija noteikumos Nr.353 „Noteikumi par darbības programmas „Cilvēkresursi un nodarbinātība” papildinājuma 1.3.2.3.aktivitāti "Veselības aprūpes un veicināšanas procesā iesaistīto institūciju personāla kompetences, prasmju un iemaņu līmeņa paaugstināšana”</w:t>
    </w:r>
    <w:r w:rsidRPr="00912DE3">
      <w:rPr>
        <w:iCs/>
        <w:sz w:val="20"/>
        <w:szCs w:val="20"/>
      </w:rPr>
      <w:t>”</w:t>
    </w:r>
    <w:r>
      <w:rPr>
        <w:iCs/>
        <w:sz w:val="20"/>
        <w:szCs w:val="20"/>
      </w:rPr>
      <w:t xml:space="preserve"> sākotnējās ietekmes novērtējuma ziņojums (</w:t>
    </w:r>
    <w:r w:rsidRPr="00912DE3">
      <w:rPr>
        <w:sz w:val="20"/>
        <w:szCs w:val="20"/>
      </w:rPr>
      <w:t>anotācija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7B" w:rsidRPr="00912DE3" w:rsidRDefault="00EE6D7B" w:rsidP="0080035F">
    <w:pPr>
      <w:jc w:val="both"/>
      <w:rPr>
        <w:noProof/>
      </w:rPr>
    </w:pPr>
    <w:r>
      <w:rPr>
        <w:noProof/>
        <w:sz w:val="20"/>
        <w:szCs w:val="20"/>
      </w:rPr>
      <w:t>VMa</w:t>
    </w:r>
    <w:r w:rsidRPr="000559BB">
      <w:rPr>
        <w:noProof/>
        <w:sz w:val="20"/>
        <w:szCs w:val="20"/>
      </w:rPr>
      <w:t>not_</w:t>
    </w:r>
    <w:r w:rsidR="00523E3D">
      <w:rPr>
        <w:noProof/>
        <w:sz w:val="20"/>
        <w:szCs w:val="20"/>
      </w:rPr>
      <w:t>1107</w:t>
    </w:r>
    <w:r>
      <w:rPr>
        <w:noProof/>
        <w:sz w:val="20"/>
        <w:szCs w:val="20"/>
      </w:rPr>
      <w:t>12</w:t>
    </w:r>
    <w:r w:rsidRPr="000559BB">
      <w:rPr>
        <w:noProof/>
        <w:sz w:val="20"/>
        <w:szCs w:val="20"/>
      </w:rPr>
      <w:t>_MK3</w:t>
    </w:r>
    <w:r>
      <w:rPr>
        <w:noProof/>
        <w:sz w:val="20"/>
        <w:szCs w:val="20"/>
      </w:rPr>
      <w:t>5</w:t>
    </w:r>
    <w:r w:rsidRPr="000559BB">
      <w:rPr>
        <w:noProof/>
        <w:sz w:val="20"/>
        <w:szCs w:val="20"/>
      </w:rPr>
      <w:t>3</w:t>
    </w:r>
    <w:r w:rsidRPr="00D473C0">
      <w:rPr>
        <w:noProof/>
        <w:sz w:val="20"/>
        <w:szCs w:val="20"/>
      </w:rPr>
      <w:t xml:space="preserve">; </w:t>
    </w:r>
    <w:r w:rsidRPr="00912DE3">
      <w:rPr>
        <w:sz w:val="20"/>
        <w:szCs w:val="20"/>
      </w:rPr>
      <w:t>Ministru kabineta noteikumu projekta „</w:t>
    </w:r>
    <w:r w:rsidRPr="00E77CA5">
      <w:rPr>
        <w:sz w:val="20"/>
        <w:szCs w:val="20"/>
      </w:rPr>
      <w:t>Grozījumi Ministru kabineta 2008.gada 1</w:t>
    </w:r>
    <w:r>
      <w:rPr>
        <w:sz w:val="20"/>
        <w:szCs w:val="20"/>
      </w:rPr>
      <w:t>9</w:t>
    </w:r>
    <w:r w:rsidRPr="00E77CA5">
      <w:rPr>
        <w:sz w:val="20"/>
        <w:szCs w:val="20"/>
      </w:rPr>
      <w:t>.maija noteikumos Nr.353 „Noteikumi par darbības programmas „Cilvēkresursi un nodarbinātība” papildinājuma 1.3.2.3.aktivitāti "Veselības aprūpes un veicināšanas procesā iesaistīto institūciju personāla kompetences, prasmju un iemaņu līmeņa paaugstināšana”</w:t>
    </w:r>
    <w:r w:rsidRPr="00912DE3">
      <w:rPr>
        <w:iCs/>
        <w:sz w:val="20"/>
        <w:szCs w:val="20"/>
      </w:rPr>
      <w:t>”</w:t>
    </w:r>
    <w:r>
      <w:rPr>
        <w:iCs/>
        <w:sz w:val="20"/>
        <w:szCs w:val="20"/>
      </w:rPr>
      <w:t xml:space="preserve"> sākotnējās ietekmes novērtējuma ziņojums (</w:t>
    </w:r>
    <w:r w:rsidRPr="00912DE3">
      <w:rPr>
        <w:sz w:val="20"/>
        <w:szCs w:val="20"/>
      </w:rPr>
      <w:t>anotācija</w:t>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7B" w:rsidRDefault="00EE6D7B">
      <w:r>
        <w:separator/>
      </w:r>
    </w:p>
  </w:footnote>
  <w:footnote w:type="continuationSeparator" w:id="0">
    <w:p w:rsidR="00EE6D7B" w:rsidRDefault="00EE6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7B" w:rsidRDefault="00A2358F">
    <w:pPr>
      <w:pStyle w:val="Header"/>
      <w:framePr w:wrap="around" w:vAnchor="text" w:hAnchor="margin" w:xAlign="center" w:y="1"/>
      <w:rPr>
        <w:rStyle w:val="PageNumber"/>
      </w:rPr>
    </w:pPr>
    <w:r>
      <w:rPr>
        <w:rStyle w:val="PageNumber"/>
      </w:rPr>
      <w:fldChar w:fldCharType="begin"/>
    </w:r>
    <w:r w:rsidR="00EE6D7B">
      <w:rPr>
        <w:rStyle w:val="PageNumber"/>
      </w:rPr>
      <w:instrText xml:space="preserve">PAGE  </w:instrText>
    </w:r>
    <w:r>
      <w:rPr>
        <w:rStyle w:val="PageNumber"/>
      </w:rPr>
      <w:fldChar w:fldCharType="end"/>
    </w:r>
  </w:p>
  <w:p w:rsidR="00EE6D7B" w:rsidRDefault="00EE6D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7B" w:rsidRDefault="00A2358F">
    <w:pPr>
      <w:pStyle w:val="Header"/>
      <w:framePr w:wrap="around" w:vAnchor="text" w:hAnchor="margin" w:xAlign="center" w:y="1"/>
      <w:rPr>
        <w:rStyle w:val="PageNumber"/>
      </w:rPr>
    </w:pPr>
    <w:r>
      <w:rPr>
        <w:rStyle w:val="PageNumber"/>
      </w:rPr>
      <w:fldChar w:fldCharType="begin"/>
    </w:r>
    <w:r w:rsidR="00EE6D7B">
      <w:rPr>
        <w:rStyle w:val="PageNumber"/>
      </w:rPr>
      <w:instrText xml:space="preserve">PAGE  </w:instrText>
    </w:r>
    <w:r>
      <w:rPr>
        <w:rStyle w:val="PageNumber"/>
      </w:rPr>
      <w:fldChar w:fldCharType="separate"/>
    </w:r>
    <w:r w:rsidR="00523E3D">
      <w:rPr>
        <w:rStyle w:val="PageNumber"/>
        <w:noProof/>
      </w:rPr>
      <w:t>8</w:t>
    </w:r>
    <w:r>
      <w:rPr>
        <w:rStyle w:val="PageNumber"/>
      </w:rPr>
      <w:fldChar w:fldCharType="end"/>
    </w:r>
  </w:p>
  <w:p w:rsidR="00EE6D7B" w:rsidRDefault="00EE6D7B">
    <w:pPr>
      <w:pStyle w:val="Header"/>
    </w:pPr>
  </w:p>
  <w:p w:rsidR="00902784" w:rsidRDefault="00902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271503B"/>
    <w:multiLevelType w:val="hybridMultilevel"/>
    <w:tmpl w:val="8A4ABB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E452A7"/>
    <w:multiLevelType w:val="hybridMultilevel"/>
    <w:tmpl w:val="4680EB36"/>
    <w:lvl w:ilvl="0" w:tplc="FB9AF7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7C775AC"/>
    <w:multiLevelType w:val="hybridMultilevel"/>
    <w:tmpl w:val="65749344"/>
    <w:lvl w:ilvl="0" w:tplc="26F4DE72">
      <w:start w:val="1"/>
      <w:numFmt w:val="decimal"/>
      <w:lvlText w:val="%1."/>
      <w:lvlJc w:val="left"/>
      <w:pPr>
        <w:ind w:left="585" w:hanging="585"/>
      </w:pPr>
      <w:rPr>
        <w:rFonts w:hint="default"/>
        <w:color w:val="2A2A2A"/>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3664953"/>
    <w:multiLevelType w:val="hybridMultilevel"/>
    <w:tmpl w:val="181C2C2A"/>
    <w:lvl w:ilvl="0" w:tplc="3DC4F59C">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8">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90508"/>
    <w:multiLevelType w:val="hybridMultilevel"/>
    <w:tmpl w:val="BC5A64F2"/>
    <w:lvl w:ilvl="0" w:tplc="02B8BF6E">
      <w:start w:val="6"/>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5">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EF27C4C"/>
    <w:multiLevelType w:val="hybridMultilevel"/>
    <w:tmpl w:val="9BA48F2C"/>
    <w:lvl w:ilvl="0" w:tplc="04090005">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
  </w:num>
  <w:num w:numId="2">
    <w:abstractNumId w:val="13"/>
  </w:num>
  <w:num w:numId="3">
    <w:abstractNumId w:val="11"/>
  </w:num>
  <w:num w:numId="4">
    <w:abstractNumId w:val="1"/>
  </w:num>
  <w:num w:numId="5">
    <w:abstractNumId w:val="0"/>
  </w:num>
  <w:num w:numId="6">
    <w:abstractNumId w:val="4"/>
  </w:num>
  <w:num w:numId="7">
    <w:abstractNumId w:val="14"/>
  </w:num>
  <w:num w:numId="8">
    <w:abstractNumId w:val="10"/>
  </w:num>
  <w:num w:numId="9">
    <w:abstractNumId w:val="8"/>
  </w:num>
  <w:num w:numId="10">
    <w:abstractNumId w:val="9"/>
  </w:num>
  <w:num w:numId="11">
    <w:abstractNumId w:val="15"/>
  </w:num>
  <w:num w:numId="12">
    <w:abstractNumId w:val="7"/>
  </w:num>
  <w:num w:numId="13">
    <w:abstractNumId w:val="6"/>
  </w:num>
  <w:num w:numId="14">
    <w:abstractNumId w:val="5"/>
  </w:num>
  <w:num w:numId="15">
    <w:abstractNumId w:val="16"/>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188417"/>
  </w:hdrShapeDefaults>
  <w:footnotePr>
    <w:footnote w:id="-1"/>
    <w:footnote w:id="0"/>
  </w:footnotePr>
  <w:endnotePr>
    <w:endnote w:id="-1"/>
    <w:endnote w:id="0"/>
  </w:endnotePr>
  <w:compat/>
  <w:rsids>
    <w:rsidRoot w:val="00051A1C"/>
    <w:rsid w:val="000006CF"/>
    <w:rsid w:val="00010573"/>
    <w:rsid w:val="0001496E"/>
    <w:rsid w:val="00016BD9"/>
    <w:rsid w:val="0001778D"/>
    <w:rsid w:val="00017DF7"/>
    <w:rsid w:val="0002038C"/>
    <w:rsid w:val="00020DC5"/>
    <w:rsid w:val="00022022"/>
    <w:rsid w:val="00022523"/>
    <w:rsid w:val="00023A89"/>
    <w:rsid w:val="00023BA6"/>
    <w:rsid w:val="00023EAD"/>
    <w:rsid w:val="00023EC3"/>
    <w:rsid w:val="0002403F"/>
    <w:rsid w:val="0002480A"/>
    <w:rsid w:val="00031B47"/>
    <w:rsid w:val="00032A9F"/>
    <w:rsid w:val="000331F5"/>
    <w:rsid w:val="000350F7"/>
    <w:rsid w:val="000364B4"/>
    <w:rsid w:val="000401EE"/>
    <w:rsid w:val="00040261"/>
    <w:rsid w:val="00040280"/>
    <w:rsid w:val="0004188B"/>
    <w:rsid w:val="000419AE"/>
    <w:rsid w:val="0004341C"/>
    <w:rsid w:val="00044751"/>
    <w:rsid w:val="00044811"/>
    <w:rsid w:val="0004526E"/>
    <w:rsid w:val="000461A6"/>
    <w:rsid w:val="00046C46"/>
    <w:rsid w:val="000518C5"/>
    <w:rsid w:val="00051A1C"/>
    <w:rsid w:val="00053B7A"/>
    <w:rsid w:val="0005514A"/>
    <w:rsid w:val="000559BB"/>
    <w:rsid w:val="0005631C"/>
    <w:rsid w:val="0005680A"/>
    <w:rsid w:val="00060FDE"/>
    <w:rsid w:val="00062879"/>
    <w:rsid w:val="00062E81"/>
    <w:rsid w:val="00063035"/>
    <w:rsid w:val="00065D21"/>
    <w:rsid w:val="000700EC"/>
    <w:rsid w:val="000703FA"/>
    <w:rsid w:val="00074C50"/>
    <w:rsid w:val="000751CD"/>
    <w:rsid w:val="00075C90"/>
    <w:rsid w:val="00075D28"/>
    <w:rsid w:val="00075FE6"/>
    <w:rsid w:val="0007617E"/>
    <w:rsid w:val="0008105E"/>
    <w:rsid w:val="0008118C"/>
    <w:rsid w:val="00081E56"/>
    <w:rsid w:val="00082220"/>
    <w:rsid w:val="0008397F"/>
    <w:rsid w:val="00086F78"/>
    <w:rsid w:val="000876AA"/>
    <w:rsid w:val="00087787"/>
    <w:rsid w:val="00087912"/>
    <w:rsid w:val="000879A1"/>
    <w:rsid w:val="00092C08"/>
    <w:rsid w:val="00092C69"/>
    <w:rsid w:val="00093955"/>
    <w:rsid w:val="00093E32"/>
    <w:rsid w:val="00094A86"/>
    <w:rsid w:val="00094D29"/>
    <w:rsid w:val="00094F8F"/>
    <w:rsid w:val="00095C56"/>
    <w:rsid w:val="0009711C"/>
    <w:rsid w:val="00097FBC"/>
    <w:rsid w:val="000A0B0B"/>
    <w:rsid w:val="000A1230"/>
    <w:rsid w:val="000A1851"/>
    <w:rsid w:val="000A2285"/>
    <w:rsid w:val="000A249F"/>
    <w:rsid w:val="000A3D7C"/>
    <w:rsid w:val="000A632A"/>
    <w:rsid w:val="000A6B35"/>
    <w:rsid w:val="000A735E"/>
    <w:rsid w:val="000A7B2A"/>
    <w:rsid w:val="000B0A3D"/>
    <w:rsid w:val="000B18FD"/>
    <w:rsid w:val="000C0894"/>
    <w:rsid w:val="000C11F7"/>
    <w:rsid w:val="000C1806"/>
    <w:rsid w:val="000C326C"/>
    <w:rsid w:val="000C328B"/>
    <w:rsid w:val="000C62B6"/>
    <w:rsid w:val="000C69A8"/>
    <w:rsid w:val="000C7F03"/>
    <w:rsid w:val="000D10A0"/>
    <w:rsid w:val="000D17B2"/>
    <w:rsid w:val="000D1DF2"/>
    <w:rsid w:val="000D3507"/>
    <w:rsid w:val="000D40AC"/>
    <w:rsid w:val="000D5A1E"/>
    <w:rsid w:val="000D689C"/>
    <w:rsid w:val="000E2002"/>
    <w:rsid w:val="000E2BB8"/>
    <w:rsid w:val="000E6D22"/>
    <w:rsid w:val="000E7156"/>
    <w:rsid w:val="000F079B"/>
    <w:rsid w:val="000F099A"/>
    <w:rsid w:val="000F0B0D"/>
    <w:rsid w:val="000F0B4F"/>
    <w:rsid w:val="000F3EA1"/>
    <w:rsid w:val="000F42B4"/>
    <w:rsid w:val="00101A00"/>
    <w:rsid w:val="00101C4C"/>
    <w:rsid w:val="001022F4"/>
    <w:rsid w:val="00102B64"/>
    <w:rsid w:val="00104722"/>
    <w:rsid w:val="00106FF3"/>
    <w:rsid w:val="001108E9"/>
    <w:rsid w:val="00111190"/>
    <w:rsid w:val="0011122E"/>
    <w:rsid w:val="0011132A"/>
    <w:rsid w:val="00111D17"/>
    <w:rsid w:val="00113E50"/>
    <w:rsid w:val="00115C48"/>
    <w:rsid w:val="00117BB9"/>
    <w:rsid w:val="0012089E"/>
    <w:rsid w:val="00121708"/>
    <w:rsid w:val="00124003"/>
    <w:rsid w:val="00124582"/>
    <w:rsid w:val="001268E7"/>
    <w:rsid w:val="00127481"/>
    <w:rsid w:val="00127F7C"/>
    <w:rsid w:val="00130286"/>
    <w:rsid w:val="0013083A"/>
    <w:rsid w:val="00130B15"/>
    <w:rsid w:val="00132010"/>
    <w:rsid w:val="00132477"/>
    <w:rsid w:val="00132673"/>
    <w:rsid w:val="0013353D"/>
    <w:rsid w:val="001342F6"/>
    <w:rsid w:val="001343E2"/>
    <w:rsid w:val="00134603"/>
    <w:rsid w:val="0013473F"/>
    <w:rsid w:val="0013657B"/>
    <w:rsid w:val="001420EE"/>
    <w:rsid w:val="0014373C"/>
    <w:rsid w:val="001437C1"/>
    <w:rsid w:val="001445AA"/>
    <w:rsid w:val="00151E3F"/>
    <w:rsid w:val="001526CD"/>
    <w:rsid w:val="00152866"/>
    <w:rsid w:val="001535B3"/>
    <w:rsid w:val="0016187F"/>
    <w:rsid w:val="0016188D"/>
    <w:rsid w:val="00162A40"/>
    <w:rsid w:val="0016725E"/>
    <w:rsid w:val="00172E1B"/>
    <w:rsid w:val="00173657"/>
    <w:rsid w:val="00173DB7"/>
    <w:rsid w:val="00174F93"/>
    <w:rsid w:val="00175FE2"/>
    <w:rsid w:val="00176498"/>
    <w:rsid w:val="001777FC"/>
    <w:rsid w:val="0018006E"/>
    <w:rsid w:val="00180ACF"/>
    <w:rsid w:val="00180D14"/>
    <w:rsid w:val="00182AA3"/>
    <w:rsid w:val="00183B82"/>
    <w:rsid w:val="00184C32"/>
    <w:rsid w:val="00185B8D"/>
    <w:rsid w:val="0018686C"/>
    <w:rsid w:val="00187BCA"/>
    <w:rsid w:val="00190E51"/>
    <w:rsid w:val="00191D21"/>
    <w:rsid w:val="00193692"/>
    <w:rsid w:val="001942EB"/>
    <w:rsid w:val="001950BA"/>
    <w:rsid w:val="00195FE5"/>
    <w:rsid w:val="00197678"/>
    <w:rsid w:val="001A033A"/>
    <w:rsid w:val="001A034B"/>
    <w:rsid w:val="001A0D98"/>
    <w:rsid w:val="001A22CB"/>
    <w:rsid w:val="001A28C3"/>
    <w:rsid w:val="001A3B62"/>
    <w:rsid w:val="001A4EE7"/>
    <w:rsid w:val="001A5F95"/>
    <w:rsid w:val="001A788A"/>
    <w:rsid w:val="001B02E4"/>
    <w:rsid w:val="001B0FB3"/>
    <w:rsid w:val="001B1DEC"/>
    <w:rsid w:val="001B206A"/>
    <w:rsid w:val="001B7153"/>
    <w:rsid w:val="001C02F2"/>
    <w:rsid w:val="001C07E0"/>
    <w:rsid w:val="001C11EA"/>
    <w:rsid w:val="001C457A"/>
    <w:rsid w:val="001C493F"/>
    <w:rsid w:val="001C5F71"/>
    <w:rsid w:val="001C68E9"/>
    <w:rsid w:val="001C75D8"/>
    <w:rsid w:val="001D0025"/>
    <w:rsid w:val="001D2D91"/>
    <w:rsid w:val="001D2F3C"/>
    <w:rsid w:val="001D3051"/>
    <w:rsid w:val="001D3987"/>
    <w:rsid w:val="001D49E8"/>
    <w:rsid w:val="001D6102"/>
    <w:rsid w:val="001D6DB1"/>
    <w:rsid w:val="001E0AB6"/>
    <w:rsid w:val="001E1180"/>
    <w:rsid w:val="001E155F"/>
    <w:rsid w:val="001E20B3"/>
    <w:rsid w:val="001E3003"/>
    <w:rsid w:val="001E32B2"/>
    <w:rsid w:val="001E375E"/>
    <w:rsid w:val="001E4130"/>
    <w:rsid w:val="001E4513"/>
    <w:rsid w:val="001E6859"/>
    <w:rsid w:val="001E6BA1"/>
    <w:rsid w:val="001E6CEC"/>
    <w:rsid w:val="001E7771"/>
    <w:rsid w:val="001F1DDC"/>
    <w:rsid w:val="001F1DDE"/>
    <w:rsid w:val="001F2F1B"/>
    <w:rsid w:val="001F31EB"/>
    <w:rsid w:val="001F39B6"/>
    <w:rsid w:val="001F4934"/>
    <w:rsid w:val="001F6BC5"/>
    <w:rsid w:val="001F76D3"/>
    <w:rsid w:val="0020206A"/>
    <w:rsid w:val="00202099"/>
    <w:rsid w:val="00205006"/>
    <w:rsid w:val="002070E9"/>
    <w:rsid w:val="002105B1"/>
    <w:rsid w:val="00210B37"/>
    <w:rsid w:val="0021148A"/>
    <w:rsid w:val="00211906"/>
    <w:rsid w:val="00216724"/>
    <w:rsid w:val="00217705"/>
    <w:rsid w:val="002202FD"/>
    <w:rsid w:val="002209CB"/>
    <w:rsid w:val="00221576"/>
    <w:rsid w:val="0022195A"/>
    <w:rsid w:val="00226A91"/>
    <w:rsid w:val="00231B6A"/>
    <w:rsid w:val="00232CEC"/>
    <w:rsid w:val="00233132"/>
    <w:rsid w:val="00234B35"/>
    <w:rsid w:val="002352C7"/>
    <w:rsid w:val="00235360"/>
    <w:rsid w:val="0023643A"/>
    <w:rsid w:val="00236630"/>
    <w:rsid w:val="00236F7C"/>
    <w:rsid w:val="00241EAF"/>
    <w:rsid w:val="00243493"/>
    <w:rsid w:val="0024551A"/>
    <w:rsid w:val="00245E4D"/>
    <w:rsid w:val="0024688C"/>
    <w:rsid w:val="002472B0"/>
    <w:rsid w:val="00250E14"/>
    <w:rsid w:val="00251191"/>
    <w:rsid w:val="00252F83"/>
    <w:rsid w:val="00253E28"/>
    <w:rsid w:val="00260F8B"/>
    <w:rsid w:val="00262B6A"/>
    <w:rsid w:val="0026440F"/>
    <w:rsid w:val="00266AD1"/>
    <w:rsid w:val="00270305"/>
    <w:rsid w:val="00271D97"/>
    <w:rsid w:val="00272653"/>
    <w:rsid w:val="00272DE6"/>
    <w:rsid w:val="00273157"/>
    <w:rsid w:val="002742A1"/>
    <w:rsid w:val="002744D7"/>
    <w:rsid w:val="00274C76"/>
    <w:rsid w:val="00275599"/>
    <w:rsid w:val="00276639"/>
    <w:rsid w:val="00282642"/>
    <w:rsid w:val="002845C6"/>
    <w:rsid w:val="002850BF"/>
    <w:rsid w:val="0028551C"/>
    <w:rsid w:val="002857CA"/>
    <w:rsid w:val="0028615F"/>
    <w:rsid w:val="00290C29"/>
    <w:rsid w:val="0029194F"/>
    <w:rsid w:val="00291DAD"/>
    <w:rsid w:val="00291E72"/>
    <w:rsid w:val="0029403B"/>
    <w:rsid w:val="00295754"/>
    <w:rsid w:val="00297DDD"/>
    <w:rsid w:val="002A0184"/>
    <w:rsid w:val="002A1432"/>
    <w:rsid w:val="002A1939"/>
    <w:rsid w:val="002A46CA"/>
    <w:rsid w:val="002A49D0"/>
    <w:rsid w:val="002A725C"/>
    <w:rsid w:val="002B0032"/>
    <w:rsid w:val="002B1284"/>
    <w:rsid w:val="002B2135"/>
    <w:rsid w:val="002B2650"/>
    <w:rsid w:val="002B29C1"/>
    <w:rsid w:val="002B3DFA"/>
    <w:rsid w:val="002B5A80"/>
    <w:rsid w:val="002B5D9A"/>
    <w:rsid w:val="002B5E1D"/>
    <w:rsid w:val="002B6C72"/>
    <w:rsid w:val="002C13CF"/>
    <w:rsid w:val="002C2306"/>
    <w:rsid w:val="002C2D27"/>
    <w:rsid w:val="002C3028"/>
    <w:rsid w:val="002C3857"/>
    <w:rsid w:val="002C3A78"/>
    <w:rsid w:val="002C3F14"/>
    <w:rsid w:val="002C5D12"/>
    <w:rsid w:val="002C605B"/>
    <w:rsid w:val="002C6AD5"/>
    <w:rsid w:val="002D0DEF"/>
    <w:rsid w:val="002D2859"/>
    <w:rsid w:val="002D33E0"/>
    <w:rsid w:val="002D3F36"/>
    <w:rsid w:val="002D48B0"/>
    <w:rsid w:val="002D599A"/>
    <w:rsid w:val="002E1C0E"/>
    <w:rsid w:val="002E4977"/>
    <w:rsid w:val="002E5090"/>
    <w:rsid w:val="002E64EC"/>
    <w:rsid w:val="002E6680"/>
    <w:rsid w:val="002E70B4"/>
    <w:rsid w:val="002E70C1"/>
    <w:rsid w:val="002F1089"/>
    <w:rsid w:val="002F1C53"/>
    <w:rsid w:val="002F25D5"/>
    <w:rsid w:val="002F2C30"/>
    <w:rsid w:val="002F35E2"/>
    <w:rsid w:val="002F3C9C"/>
    <w:rsid w:val="002F3DAD"/>
    <w:rsid w:val="002F4AA1"/>
    <w:rsid w:val="002F55B9"/>
    <w:rsid w:val="002F5C8A"/>
    <w:rsid w:val="002F6DDC"/>
    <w:rsid w:val="0030041C"/>
    <w:rsid w:val="00303ECC"/>
    <w:rsid w:val="00304FB3"/>
    <w:rsid w:val="003053E2"/>
    <w:rsid w:val="00312F4F"/>
    <w:rsid w:val="00320437"/>
    <w:rsid w:val="00320DFD"/>
    <w:rsid w:val="00321733"/>
    <w:rsid w:val="0032178A"/>
    <w:rsid w:val="003222F7"/>
    <w:rsid w:val="003225AA"/>
    <w:rsid w:val="003233AF"/>
    <w:rsid w:val="00323DD9"/>
    <w:rsid w:val="00323E40"/>
    <w:rsid w:val="0032585C"/>
    <w:rsid w:val="00327F2F"/>
    <w:rsid w:val="003312B4"/>
    <w:rsid w:val="00332010"/>
    <w:rsid w:val="00332500"/>
    <w:rsid w:val="0033566F"/>
    <w:rsid w:val="00336364"/>
    <w:rsid w:val="0033694D"/>
    <w:rsid w:val="00340B9C"/>
    <w:rsid w:val="003431F6"/>
    <w:rsid w:val="0034346D"/>
    <w:rsid w:val="0034660F"/>
    <w:rsid w:val="00350BD6"/>
    <w:rsid w:val="003536D5"/>
    <w:rsid w:val="00355EF9"/>
    <w:rsid w:val="0036029D"/>
    <w:rsid w:val="003615C2"/>
    <w:rsid w:val="0036166B"/>
    <w:rsid w:val="0036313C"/>
    <w:rsid w:val="00363DC2"/>
    <w:rsid w:val="00365A5C"/>
    <w:rsid w:val="00371CAB"/>
    <w:rsid w:val="003720ED"/>
    <w:rsid w:val="00372200"/>
    <w:rsid w:val="00374E68"/>
    <w:rsid w:val="00375726"/>
    <w:rsid w:val="00376CD4"/>
    <w:rsid w:val="00377438"/>
    <w:rsid w:val="0038256D"/>
    <w:rsid w:val="00384797"/>
    <w:rsid w:val="00384D18"/>
    <w:rsid w:val="00386E5C"/>
    <w:rsid w:val="00387FF6"/>
    <w:rsid w:val="00391A0D"/>
    <w:rsid w:val="00392AD8"/>
    <w:rsid w:val="00394632"/>
    <w:rsid w:val="00394AC9"/>
    <w:rsid w:val="00395167"/>
    <w:rsid w:val="00397A86"/>
    <w:rsid w:val="003A33E3"/>
    <w:rsid w:val="003A4FD6"/>
    <w:rsid w:val="003A5810"/>
    <w:rsid w:val="003A58AA"/>
    <w:rsid w:val="003A68AD"/>
    <w:rsid w:val="003A71D9"/>
    <w:rsid w:val="003A743D"/>
    <w:rsid w:val="003B18AC"/>
    <w:rsid w:val="003B27A7"/>
    <w:rsid w:val="003B3788"/>
    <w:rsid w:val="003B5988"/>
    <w:rsid w:val="003C1A61"/>
    <w:rsid w:val="003C1A7F"/>
    <w:rsid w:val="003C341E"/>
    <w:rsid w:val="003C4325"/>
    <w:rsid w:val="003C71C8"/>
    <w:rsid w:val="003D19D5"/>
    <w:rsid w:val="003D2D26"/>
    <w:rsid w:val="003D55EC"/>
    <w:rsid w:val="003D6FF6"/>
    <w:rsid w:val="003D7E98"/>
    <w:rsid w:val="003E093F"/>
    <w:rsid w:val="003E1C44"/>
    <w:rsid w:val="003E5FE9"/>
    <w:rsid w:val="003E6BA0"/>
    <w:rsid w:val="003F02B2"/>
    <w:rsid w:val="003F1D51"/>
    <w:rsid w:val="003F2C9C"/>
    <w:rsid w:val="003F4890"/>
    <w:rsid w:val="003F64ED"/>
    <w:rsid w:val="003F6E3D"/>
    <w:rsid w:val="003F7881"/>
    <w:rsid w:val="003F7B8E"/>
    <w:rsid w:val="0040092E"/>
    <w:rsid w:val="00402AEB"/>
    <w:rsid w:val="00403525"/>
    <w:rsid w:val="004039F0"/>
    <w:rsid w:val="00404336"/>
    <w:rsid w:val="00406460"/>
    <w:rsid w:val="00406A38"/>
    <w:rsid w:val="00407067"/>
    <w:rsid w:val="00407AD9"/>
    <w:rsid w:val="004106D1"/>
    <w:rsid w:val="00412639"/>
    <w:rsid w:val="00413FE9"/>
    <w:rsid w:val="004142AE"/>
    <w:rsid w:val="00415285"/>
    <w:rsid w:val="004173E2"/>
    <w:rsid w:val="00422021"/>
    <w:rsid w:val="00425F1A"/>
    <w:rsid w:val="00425FA9"/>
    <w:rsid w:val="00427E7B"/>
    <w:rsid w:val="00435509"/>
    <w:rsid w:val="00436B22"/>
    <w:rsid w:val="00437540"/>
    <w:rsid w:val="0043756A"/>
    <w:rsid w:val="00443CA4"/>
    <w:rsid w:val="00444DC2"/>
    <w:rsid w:val="00445515"/>
    <w:rsid w:val="00445E18"/>
    <w:rsid w:val="0044734E"/>
    <w:rsid w:val="00451DF3"/>
    <w:rsid w:val="00452170"/>
    <w:rsid w:val="00452DC4"/>
    <w:rsid w:val="0045306C"/>
    <w:rsid w:val="004543CC"/>
    <w:rsid w:val="0045495E"/>
    <w:rsid w:val="0045670D"/>
    <w:rsid w:val="00460D59"/>
    <w:rsid w:val="004612BD"/>
    <w:rsid w:val="004614BE"/>
    <w:rsid w:val="00461752"/>
    <w:rsid w:val="00461DD0"/>
    <w:rsid w:val="0046222A"/>
    <w:rsid w:val="00463E49"/>
    <w:rsid w:val="0047035C"/>
    <w:rsid w:val="0047129B"/>
    <w:rsid w:val="0047285A"/>
    <w:rsid w:val="00472AC0"/>
    <w:rsid w:val="004733BB"/>
    <w:rsid w:val="00476A6E"/>
    <w:rsid w:val="00480AFD"/>
    <w:rsid w:val="004832CE"/>
    <w:rsid w:val="004837AB"/>
    <w:rsid w:val="0048532F"/>
    <w:rsid w:val="004853DD"/>
    <w:rsid w:val="00487AEB"/>
    <w:rsid w:val="004926AD"/>
    <w:rsid w:val="004943E5"/>
    <w:rsid w:val="00497CBE"/>
    <w:rsid w:val="004A289F"/>
    <w:rsid w:val="004A303C"/>
    <w:rsid w:val="004A36F9"/>
    <w:rsid w:val="004A3942"/>
    <w:rsid w:val="004A41D5"/>
    <w:rsid w:val="004A455D"/>
    <w:rsid w:val="004A60A4"/>
    <w:rsid w:val="004A60DF"/>
    <w:rsid w:val="004B0DBD"/>
    <w:rsid w:val="004B232E"/>
    <w:rsid w:val="004B2405"/>
    <w:rsid w:val="004B3557"/>
    <w:rsid w:val="004B4C51"/>
    <w:rsid w:val="004B5FCF"/>
    <w:rsid w:val="004B6222"/>
    <w:rsid w:val="004B6226"/>
    <w:rsid w:val="004C0B9C"/>
    <w:rsid w:val="004C242C"/>
    <w:rsid w:val="004C2B40"/>
    <w:rsid w:val="004C6D39"/>
    <w:rsid w:val="004D014F"/>
    <w:rsid w:val="004D49BE"/>
    <w:rsid w:val="004D5B1B"/>
    <w:rsid w:val="004D60D4"/>
    <w:rsid w:val="004D6704"/>
    <w:rsid w:val="004D6813"/>
    <w:rsid w:val="004D7897"/>
    <w:rsid w:val="004E0E1B"/>
    <w:rsid w:val="004E1B75"/>
    <w:rsid w:val="004E3019"/>
    <w:rsid w:val="004E37E9"/>
    <w:rsid w:val="004E6C99"/>
    <w:rsid w:val="004F3397"/>
    <w:rsid w:val="004F3D53"/>
    <w:rsid w:val="004F3F9F"/>
    <w:rsid w:val="004F68A9"/>
    <w:rsid w:val="00502C2B"/>
    <w:rsid w:val="00503B34"/>
    <w:rsid w:val="00504667"/>
    <w:rsid w:val="00504BC9"/>
    <w:rsid w:val="00505E68"/>
    <w:rsid w:val="00506220"/>
    <w:rsid w:val="00507B6B"/>
    <w:rsid w:val="00510DAD"/>
    <w:rsid w:val="00511CEB"/>
    <w:rsid w:val="0051270C"/>
    <w:rsid w:val="00515648"/>
    <w:rsid w:val="00515706"/>
    <w:rsid w:val="00516B0A"/>
    <w:rsid w:val="005212B1"/>
    <w:rsid w:val="005213C4"/>
    <w:rsid w:val="00523695"/>
    <w:rsid w:val="00523E3D"/>
    <w:rsid w:val="00524751"/>
    <w:rsid w:val="0052523D"/>
    <w:rsid w:val="00525855"/>
    <w:rsid w:val="00525C58"/>
    <w:rsid w:val="00526F21"/>
    <w:rsid w:val="00527A13"/>
    <w:rsid w:val="00530D0A"/>
    <w:rsid w:val="00531C98"/>
    <w:rsid w:val="00531E74"/>
    <w:rsid w:val="00533845"/>
    <w:rsid w:val="00534893"/>
    <w:rsid w:val="00534EF5"/>
    <w:rsid w:val="00536F46"/>
    <w:rsid w:val="005420C4"/>
    <w:rsid w:val="0054229B"/>
    <w:rsid w:val="0054254F"/>
    <w:rsid w:val="0054334B"/>
    <w:rsid w:val="0054383D"/>
    <w:rsid w:val="005456A4"/>
    <w:rsid w:val="00545862"/>
    <w:rsid w:val="005473E7"/>
    <w:rsid w:val="00550437"/>
    <w:rsid w:val="00553314"/>
    <w:rsid w:val="0055342C"/>
    <w:rsid w:val="005540B9"/>
    <w:rsid w:val="005548BD"/>
    <w:rsid w:val="005557A1"/>
    <w:rsid w:val="00556A19"/>
    <w:rsid w:val="00557784"/>
    <w:rsid w:val="0056168A"/>
    <w:rsid w:val="00562116"/>
    <w:rsid w:val="0056303D"/>
    <w:rsid w:val="00564B00"/>
    <w:rsid w:val="00565F33"/>
    <w:rsid w:val="00566694"/>
    <w:rsid w:val="00570845"/>
    <w:rsid w:val="00570F7B"/>
    <w:rsid w:val="00570F82"/>
    <w:rsid w:val="005715E6"/>
    <w:rsid w:val="00572022"/>
    <w:rsid w:val="005727D4"/>
    <w:rsid w:val="00572B38"/>
    <w:rsid w:val="005749A7"/>
    <w:rsid w:val="00574FA8"/>
    <w:rsid w:val="0057502B"/>
    <w:rsid w:val="005759D8"/>
    <w:rsid w:val="00575A23"/>
    <w:rsid w:val="00580558"/>
    <w:rsid w:val="005807AF"/>
    <w:rsid w:val="00581270"/>
    <w:rsid w:val="00581E42"/>
    <w:rsid w:val="00582808"/>
    <w:rsid w:val="005842AC"/>
    <w:rsid w:val="00584D91"/>
    <w:rsid w:val="00585F96"/>
    <w:rsid w:val="00586D5D"/>
    <w:rsid w:val="00592472"/>
    <w:rsid w:val="0059541B"/>
    <w:rsid w:val="00595DFB"/>
    <w:rsid w:val="005968B7"/>
    <w:rsid w:val="005A0203"/>
    <w:rsid w:val="005A0358"/>
    <w:rsid w:val="005A1572"/>
    <w:rsid w:val="005A5899"/>
    <w:rsid w:val="005A5968"/>
    <w:rsid w:val="005A64CD"/>
    <w:rsid w:val="005A6E26"/>
    <w:rsid w:val="005B073D"/>
    <w:rsid w:val="005B143B"/>
    <w:rsid w:val="005B2CE0"/>
    <w:rsid w:val="005B4AA4"/>
    <w:rsid w:val="005C0F88"/>
    <w:rsid w:val="005C48CC"/>
    <w:rsid w:val="005C5317"/>
    <w:rsid w:val="005D106F"/>
    <w:rsid w:val="005D2A92"/>
    <w:rsid w:val="005D2CAC"/>
    <w:rsid w:val="005D3DEE"/>
    <w:rsid w:val="005D4452"/>
    <w:rsid w:val="005D4D8A"/>
    <w:rsid w:val="005E1132"/>
    <w:rsid w:val="005E271B"/>
    <w:rsid w:val="005E627E"/>
    <w:rsid w:val="005E6A79"/>
    <w:rsid w:val="005F2C42"/>
    <w:rsid w:val="005F5711"/>
    <w:rsid w:val="006007D6"/>
    <w:rsid w:val="006017BB"/>
    <w:rsid w:val="00603A61"/>
    <w:rsid w:val="00603B17"/>
    <w:rsid w:val="006102F6"/>
    <w:rsid w:val="00611275"/>
    <w:rsid w:val="00611B0E"/>
    <w:rsid w:val="00612FE3"/>
    <w:rsid w:val="00615FFB"/>
    <w:rsid w:val="00617EAE"/>
    <w:rsid w:val="00621CE5"/>
    <w:rsid w:val="00623154"/>
    <w:rsid w:val="00623AE2"/>
    <w:rsid w:val="00624CE3"/>
    <w:rsid w:val="00626EFE"/>
    <w:rsid w:val="006303F8"/>
    <w:rsid w:val="0063122B"/>
    <w:rsid w:val="00633A90"/>
    <w:rsid w:val="00634A76"/>
    <w:rsid w:val="00635F13"/>
    <w:rsid w:val="00636F5B"/>
    <w:rsid w:val="00636FCA"/>
    <w:rsid w:val="00640263"/>
    <w:rsid w:val="00641487"/>
    <w:rsid w:val="00641585"/>
    <w:rsid w:val="006419FF"/>
    <w:rsid w:val="0064310B"/>
    <w:rsid w:val="00643D50"/>
    <w:rsid w:val="00643EA4"/>
    <w:rsid w:val="006446A6"/>
    <w:rsid w:val="006450C2"/>
    <w:rsid w:val="00645213"/>
    <w:rsid w:val="00645C03"/>
    <w:rsid w:val="00646424"/>
    <w:rsid w:val="006476C3"/>
    <w:rsid w:val="006526A1"/>
    <w:rsid w:val="00653354"/>
    <w:rsid w:val="00653419"/>
    <w:rsid w:val="006559AC"/>
    <w:rsid w:val="00656B85"/>
    <w:rsid w:val="00656CBC"/>
    <w:rsid w:val="00656EA7"/>
    <w:rsid w:val="0065733C"/>
    <w:rsid w:val="00657610"/>
    <w:rsid w:val="006605C7"/>
    <w:rsid w:val="0066117F"/>
    <w:rsid w:val="00662DF2"/>
    <w:rsid w:val="0066675E"/>
    <w:rsid w:val="00666E06"/>
    <w:rsid w:val="00670776"/>
    <w:rsid w:val="00670D7F"/>
    <w:rsid w:val="00672058"/>
    <w:rsid w:val="006721D7"/>
    <w:rsid w:val="006726FB"/>
    <w:rsid w:val="0067290E"/>
    <w:rsid w:val="00673220"/>
    <w:rsid w:val="00674E83"/>
    <w:rsid w:val="0067660E"/>
    <w:rsid w:val="006771FC"/>
    <w:rsid w:val="006809CB"/>
    <w:rsid w:val="00681332"/>
    <w:rsid w:val="0068626A"/>
    <w:rsid w:val="00686DC1"/>
    <w:rsid w:val="0068746E"/>
    <w:rsid w:val="00687949"/>
    <w:rsid w:val="00687D5D"/>
    <w:rsid w:val="00687FC1"/>
    <w:rsid w:val="00692632"/>
    <w:rsid w:val="00694C8F"/>
    <w:rsid w:val="0069680F"/>
    <w:rsid w:val="00696EFF"/>
    <w:rsid w:val="006A35B8"/>
    <w:rsid w:val="006A43E7"/>
    <w:rsid w:val="006A5E10"/>
    <w:rsid w:val="006A60F3"/>
    <w:rsid w:val="006A64E5"/>
    <w:rsid w:val="006B1174"/>
    <w:rsid w:val="006B1587"/>
    <w:rsid w:val="006B2120"/>
    <w:rsid w:val="006B2CDB"/>
    <w:rsid w:val="006B2FB5"/>
    <w:rsid w:val="006B3FEE"/>
    <w:rsid w:val="006B669A"/>
    <w:rsid w:val="006B7013"/>
    <w:rsid w:val="006C21D2"/>
    <w:rsid w:val="006C74FF"/>
    <w:rsid w:val="006C7DDE"/>
    <w:rsid w:val="006D0547"/>
    <w:rsid w:val="006D3EC5"/>
    <w:rsid w:val="006D45E1"/>
    <w:rsid w:val="006D4755"/>
    <w:rsid w:val="006D49BD"/>
    <w:rsid w:val="006D6609"/>
    <w:rsid w:val="006D6A6A"/>
    <w:rsid w:val="006D7A15"/>
    <w:rsid w:val="006E0234"/>
    <w:rsid w:val="006E0F0C"/>
    <w:rsid w:val="006E6F24"/>
    <w:rsid w:val="006E719B"/>
    <w:rsid w:val="006E7387"/>
    <w:rsid w:val="006F13BE"/>
    <w:rsid w:val="006F291D"/>
    <w:rsid w:val="006F45D6"/>
    <w:rsid w:val="006F507E"/>
    <w:rsid w:val="006F55BB"/>
    <w:rsid w:val="007044DA"/>
    <w:rsid w:val="00704D5E"/>
    <w:rsid w:val="00705713"/>
    <w:rsid w:val="00706831"/>
    <w:rsid w:val="00707BDE"/>
    <w:rsid w:val="00707DCB"/>
    <w:rsid w:val="00710816"/>
    <w:rsid w:val="00713DE8"/>
    <w:rsid w:val="00713FE4"/>
    <w:rsid w:val="00715B84"/>
    <w:rsid w:val="0071736B"/>
    <w:rsid w:val="007175BD"/>
    <w:rsid w:val="00717D11"/>
    <w:rsid w:val="00722800"/>
    <w:rsid w:val="00723AD0"/>
    <w:rsid w:val="00727B39"/>
    <w:rsid w:val="0073363A"/>
    <w:rsid w:val="00735911"/>
    <w:rsid w:val="00735F67"/>
    <w:rsid w:val="00740F76"/>
    <w:rsid w:val="00744650"/>
    <w:rsid w:val="00752565"/>
    <w:rsid w:val="00752662"/>
    <w:rsid w:val="0075368F"/>
    <w:rsid w:val="007545DD"/>
    <w:rsid w:val="007560F0"/>
    <w:rsid w:val="007565E0"/>
    <w:rsid w:val="00757C4D"/>
    <w:rsid w:val="00760F9F"/>
    <w:rsid w:val="00763141"/>
    <w:rsid w:val="007652CA"/>
    <w:rsid w:val="007667EC"/>
    <w:rsid w:val="00770756"/>
    <w:rsid w:val="00771460"/>
    <w:rsid w:val="00771DF1"/>
    <w:rsid w:val="007756CD"/>
    <w:rsid w:val="007812D1"/>
    <w:rsid w:val="00781671"/>
    <w:rsid w:val="00782A0B"/>
    <w:rsid w:val="00783E28"/>
    <w:rsid w:val="0078572B"/>
    <w:rsid w:val="00787D01"/>
    <w:rsid w:val="00790A31"/>
    <w:rsid w:val="0079215A"/>
    <w:rsid w:val="00792C43"/>
    <w:rsid w:val="007952DD"/>
    <w:rsid w:val="00797404"/>
    <w:rsid w:val="007A0784"/>
    <w:rsid w:val="007A122F"/>
    <w:rsid w:val="007A1919"/>
    <w:rsid w:val="007A5FB2"/>
    <w:rsid w:val="007A6598"/>
    <w:rsid w:val="007A7C8B"/>
    <w:rsid w:val="007B2107"/>
    <w:rsid w:val="007B5209"/>
    <w:rsid w:val="007B5C03"/>
    <w:rsid w:val="007C0858"/>
    <w:rsid w:val="007C4095"/>
    <w:rsid w:val="007C4099"/>
    <w:rsid w:val="007C4A52"/>
    <w:rsid w:val="007C57CD"/>
    <w:rsid w:val="007C782F"/>
    <w:rsid w:val="007D021B"/>
    <w:rsid w:val="007D132E"/>
    <w:rsid w:val="007D28CF"/>
    <w:rsid w:val="007D3690"/>
    <w:rsid w:val="007D3BCC"/>
    <w:rsid w:val="007D45B5"/>
    <w:rsid w:val="007D4B95"/>
    <w:rsid w:val="007D4C79"/>
    <w:rsid w:val="007D5722"/>
    <w:rsid w:val="007D703B"/>
    <w:rsid w:val="007D7B79"/>
    <w:rsid w:val="007E0B71"/>
    <w:rsid w:val="007E21EC"/>
    <w:rsid w:val="007E2BDE"/>
    <w:rsid w:val="007E5047"/>
    <w:rsid w:val="007E62EC"/>
    <w:rsid w:val="007E63FA"/>
    <w:rsid w:val="007F1156"/>
    <w:rsid w:val="007F2A84"/>
    <w:rsid w:val="007F2B5D"/>
    <w:rsid w:val="007F3390"/>
    <w:rsid w:val="007F3581"/>
    <w:rsid w:val="007F72A8"/>
    <w:rsid w:val="007F7C4B"/>
    <w:rsid w:val="0080035F"/>
    <w:rsid w:val="008014F6"/>
    <w:rsid w:val="008021C2"/>
    <w:rsid w:val="00804DD6"/>
    <w:rsid w:val="00804E4E"/>
    <w:rsid w:val="00805AF2"/>
    <w:rsid w:val="008061A5"/>
    <w:rsid w:val="0081067C"/>
    <w:rsid w:val="00810E47"/>
    <w:rsid w:val="008134E4"/>
    <w:rsid w:val="0081374A"/>
    <w:rsid w:val="00815001"/>
    <w:rsid w:val="008164E0"/>
    <w:rsid w:val="00817EBE"/>
    <w:rsid w:val="00817F1B"/>
    <w:rsid w:val="00820CDF"/>
    <w:rsid w:val="0082170C"/>
    <w:rsid w:val="00822D82"/>
    <w:rsid w:val="00825EF0"/>
    <w:rsid w:val="00826192"/>
    <w:rsid w:val="00831928"/>
    <w:rsid w:val="008321E8"/>
    <w:rsid w:val="00832F8E"/>
    <w:rsid w:val="00833D31"/>
    <w:rsid w:val="008361C3"/>
    <w:rsid w:val="00836370"/>
    <w:rsid w:val="00837E60"/>
    <w:rsid w:val="00841D0C"/>
    <w:rsid w:val="00841E0F"/>
    <w:rsid w:val="00842F1F"/>
    <w:rsid w:val="00844751"/>
    <w:rsid w:val="008447F2"/>
    <w:rsid w:val="0084592A"/>
    <w:rsid w:val="00846BCF"/>
    <w:rsid w:val="00847124"/>
    <w:rsid w:val="00850D9A"/>
    <w:rsid w:val="008520C3"/>
    <w:rsid w:val="008530B9"/>
    <w:rsid w:val="00854D50"/>
    <w:rsid w:val="00860888"/>
    <w:rsid w:val="0086170A"/>
    <w:rsid w:val="00864C89"/>
    <w:rsid w:val="00872C9D"/>
    <w:rsid w:val="0087453A"/>
    <w:rsid w:val="00874B9F"/>
    <w:rsid w:val="00874EED"/>
    <w:rsid w:val="008751D7"/>
    <w:rsid w:val="00875DE7"/>
    <w:rsid w:val="008817B7"/>
    <w:rsid w:val="0088309F"/>
    <w:rsid w:val="008832C4"/>
    <w:rsid w:val="00883458"/>
    <w:rsid w:val="00884187"/>
    <w:rsid w:val="00885691"/>
    <w:rsid w:val="00890451"/>
    <w:rsid w:val="00890A41"/>
    <w:rsid w:val="00890FF5"/>
    <w:rsid w:val="00895AAA"/>
    <w:rsid w:val="00896E66"/>
    <w:rsid w:val="008974D5"/>
    <w:rsid w:val="00897FD3"/>
    <w:rsid w:val="008A1044"/>
    <w:rsid w:val="008A3670"/>
    <w:rsid w:val="008A3F5F"/>
    <w:rsid w:val="008A4E49"/>
    <w:rsid w:val="008A4E9F"/>
    <w:rsid w:val="008A5924"/>
    <w:rsid w:val="008A652A"/>
    <w:rsid w:val="008A6BF2"/>
    <w:rsid w:val="008A7545"/>
    <w:rsid w:val="008B2B87"/>
    <w:rsid w:val="008B2F47"/>
    <w:rsid w:val="008B3998"/>
    <w:rsid w:val="008B468D"/>
    <w:rsid w:val="008B5A5A"/>
    <w:rsid w:val="008B7445"/>
    <w:rsid w:val="008B75DB"/>
    <w:rsid w:val="008C10FA"/>
    <w:rsid w:val="008C2C5E"/>
    <w:rsid w:val="008C3050"/>
    <w:rsid w:val="008C432F"/>
    <w:rsid w:val="008C5A12"/>
    <w:rsid w:val="008C5DA9"/>
    <w:rsid w:val="008C6194"/>
    <w:rsid w:val="008D35AB"/>
    <w:rsid w:val="008D69E8"/>
    <w:rsid w:val="008E007A"/>
    <w:rsid w:val="008E1612"/>
    <w:rsid w:val="008E2128"/>
    <w:rsid w:val="008E2D79"/>
    <w:rsid w:val="008E43E1"/>
    <w:rsid w:val="008E4ED4"/>
    <w:rsid w:val="008E593B"/>
    <w:rsid w:val="008E60A1"/>
    <w:rsid w:val="008E6C07"/>
    <w:rsid w:val="008E7E47"/>
    <w:rsid w:val="008F08A4"/>
    <w:rsid w:val="008F1146"/>
    <w:rsid w:val="008F32EF"/>
    <w:rsid w:val="008F3F39"/>
    <w:rsid w:val="008F4E95"/>
    <w:rsid w:val="008F738A"/>
    <w:rsid w:val="008F7EE4"/>
    <w:rsid w:val="00902784"/>
    <w:rsid w:val="00903AF4"/>
    <w:rsid w:val="009048CA"/>
    <w:rsid w:val="009057AE"/>
    <w:rsid w:val="00906472"/>
    <w:rsid w:val="009072E8"/>
    <w:rsid w:val="00907682"/>
    <w:rsid w:val="00907FDA"/>
    <w:rsid w:val="00910D33"/>
    <w:rsid w:val="0091213A"/>
    <w:rsid w:val="009125C8"/>
    <w:rsid w:val="00912CDC"/>
    <w:rsid w:val="00912DE3"/>
    <w:rsid w:val="00914B80"/>
    <w:rsid w:val="00916CCF"/>
    <w:rsid w:val="00916CEF"/>
    <w:rsid w:val="00921A8D"/>
    <w:rsid w:val="00922347"/>
    <w:rsid w:val="009239C5"/>
    <w:rsid w:val="009257DB"/>
    <w:rsid w:val="009274F5"/>
    <w:rsid w:val="009275C9"/>
    <w:rsid w:val="0092787E"/>
    <w:rsid w:val="00927B54"/>
    <w:rsid w:val="00930414"/>
    <w:rsid w:val="00934387"/>
    <w:rsid w:val="00934CE1"/>
    <w:rsid w:val="00937B91"/>
    <w:rsid w:val="00942202"/>
    <w:rsid w:val="009422B9"/>
    <w:rsid w:val="009466AE"/>
    <w:rsid w:val="00947C31"/>
    <w:rsid w:val="009512D2"/>
    <w:rsid w:val="0095257D"/>
    <w:rsid w:val="00952C19"/>
    <w:rsid w:val="0095449B"/>
    <w:rsid w:val="0095454D"/>
    <w:rsid w:val="00954E9D"/>
    <w:rsid w:val="00955292"/>
    <w:rsid w:val="009561E1"/>
    <w:rsid w:val="009566DF"/>
    <w:rsid w:val="00956BE0"/>
    <w:rsid w:val="00964137"/>
    <w:rsid w:val="009669AC"/>
    <w:rsid w:val="00971CF8"/>
    <w:rsid w:val="0097543B"/>
    <w:rsid w:val="0097574B"/>
    <w:rsid w:val="00977C9D"/>
    <w:rsid w:val="00982293"/>
    <w:rsid w:val="009848F8"/>
    <w:rsid w:val="0098570E"/>
    <w:rsid w:val="00987B37"/>
    <w:rsid w:val="00990BBE"/>
    <w:rsid w:val="00990E80"/>
    <w:rsid w:val="00991D8E"/>
    <w:rsid w:val="00995083"/>
    <w:rsid w:val="009A07F7"/>
    <w:rsid w:val="009A1AD8"/>
    <w:rsid w:val="009A3B53"/>
    <w:rsid w:val="009A3F95"/>
    <w:rsid w:val="009A4137"/>
    <w:rsid w:val="009A690C"/>
    <w:rsid w:val="009A7369"/>
    <w:rsid w:val="009B0A7B"/>
    <w:rsid w:val="009B1E40"/>
    <w:rsid w:val="009B2734"/>
    <w:rsid w:val="009B3E22"/>
    <w:rsid w:val="009B4456"/>
    <w:rsid w:val="009B4D86"/>
    <w:rsid w:val="009B5142"/>
    <w:rsid w:val="009B5305"/>
    <w:rsid w:val="009B6DF7"/>
    <w:rsid w:val="009B7177"/>
    <w:rsid w:val="009B7188"/>
    <w:rsid w:val="009B78CA"/>
    <w:rsid w:val="009C2018"/>
    <w:rsid w:val="009C3139"/>
    <w:rsid w:val="009C449D"/>
    <w:rsid w:val="009C4F84"/>
    <w:rsid w:val="009C70D7"/>
    <w:rsid w:val="009C7705"/>
    <w:rsid w:val="009C7DED"/>
    <w:rsid w:val="009C7F06"/>
    <w:rsid w:val="009D02B6"/>
    <w:rsid w:val="009D0F62"/>
    <w:rsid w:val="009D4640"/>
    <w:rsid w:val="009D6D8F"/>
    <w:rsid w:val="009E04BC"/>
    <w:rsid w:val="009E053A"/>
    <w:rsid w:val="009E3028"/>
    <w:rsid w:val="009E4020"/>
    <w:rsid w:val="009E55C2"/>
    <w:rsid w:val="009F1B0A"/>
    <w:rsid w:val="009F2063"/>
    <w:rsid w:val="009F297E"/>
    <w:rsid w:val="009F2D95"/>
    <w:rsid w:val="009F3DDB"/>
    <w:rsid w:val="009F411E"/>
    <w:rsid w:val="009F52EB"/>
    <w:rsid w:val="009F5349"/>
    <w:rsid w:val="009F681B"/>
    <w:rsid w:val="009F68D4"/>
    <w:rsid w:val="009F6950"/>
    <w:rsid w:val="009F6FFC"/>
    <w:rsid w:val="009F7206"/>
    <w:rsid w:val="00A00C4F"/>
    <w:rsid w:val="00A03770"/>
    <w:rsid w:val="00A05C48"/>
    <w:rsid w:val="00A06121"/>
    <w:rsid w:val="00A065DA"/>
    <w:rsid w:val="00A0723C"/>
    <w:rsid w:val="00A0772D"/>
    <w:rsid w:val="00A07B3B"/>
    <w:rsid w:val="00A10AE8"/>
    <w:rsid w:val="00A11B1F"/>
    <w:rsid w:val="00A11DF0"/>
    <w:rsid w:val="00A12CFF"/>
    <w:rsid w:val="00A1405D"/>
    <w:rsid w:val="00A14C6C"/>
    <w:rsid w:val="00A15758"/>
    <w:rsid w:val="00A15840"/>
    <w:rsid w:val="00A2076A"/>
    <w:rsid w:val="00A20B68"/>
    <w:rsid w:val="00A2358F"/>
    <w:rsid w:val="00A25691"/>
    <w:rsid w:val="00A259C5"/>
    <w:rsid w:val="00A260D9"/>
    <w:rsid w:val="00A31701"/>
    <w:rsid w:val="00A3480D"/>
    <w:rsid w:val="00A34B7C"/>
    <w:rsid w:val="00A35D22"/>
    <w:rsid w:val="00A374FB"/>
    <w:rsid w:val="00A45172"/>
    <w:rsid w:val="00A456AA"/>
    <w:rsid w:val="00A478CF"/>
    <w:rsid w:val="00A47ABD"/>
    <w:rsid w:val="00A524BD"/>
    <w:rsid w:val="00A53466"/>
    <w:rsid w:val="00A53705"/>
    <w:rsid w:val="00A53E1A"/>
    <w:rsid w:val="00A56161"/>
    <w:rsid w:val="00A573C2"/>
    <w:rsid w:val="00A5789D"/>
    <w:rsid w:val="00A61668"/>
    <w:rsid w:val="00A666EA"/>
    <w:rsid w:val="00A678BC"/>
    <w:rsid w:val="00A67BC9"/>
    <w:rsid w:val="00A70BBA"/>
    <w:rsid w:val="00A723F7"/>
    <w:rsid w:val="00A745BF"/>
    <w:rsid w:val="00A7474F"/>
    <w:rsid w:val="00A74F92"/>
    <w:rsid w:val="00A7585E"/>
    <w:rsid w:val="00A75DBC"/>
    <w:rsid w:val="00A75FE0"/>
    <w:rsid w:val="00A76668"/>
    <w:rsid w:val="00A82B3C"/>
    <w:rsid w:val="00A86DA7"/>
    <w:rsid w:val="00A86F66"/>
    <w:rsid w:val="00A90FB8"/>
    <w:rsid w:val="00A95059"/>
    <w:rsid w:val="00A95CF7"/>
    <w:rsid w:val="00A9791B"/>
    <w:rsid w:val="00AA2652"/>
    <w:rsid w:val="00AA7901"/>
    <w:rsid w:val="00AB2A1F"/>
    <w:rsid w:val="00AB380B"/>
    <w:rsid w:val="00AB433B"/>
    <w:rsid w:val="00AB4BCB"/>
    <w:rsid w:val="00AB5265"/>
    <w:rsid w:val="00AB551F"/>
    <w:rsid w:val="00AB6B17"/>
    <w:rsid w:val="00AB781C"/>
    <w:rsid w:val="00AB7CE1"/>
    <w:rsid w:val="00AC0B8D"/>
    <w:rsid w:val="00AC1EA1"/>
    <w:rsid w:val="00AC30FB"/>
    <w:rsid w:val="00AC51C4"/>
    <w:rsid w:val="00AD07E9"/>
    <w:rsid w:val="00AD4A55"/>
    <w:rsid w:val="00AD4AEA"/>
    <w:rsid w:val="00AD528C"/>
    <w:rsid w:val="00AD63DB"/>
    <w:rsid w:val="00AD79CD"/>
    <w:rsid w:val="00AE0DCA"/>
    <w:rsid w:val="00AE298A"/>
    <w:rsid w:val="00AE2E33"/>
    <w:rsid w:val="00AE619C"/>
    <w:rsid w:val="00AE7341"/>
    <w:rsid w:val="00AF1DE6"/>
    <w:rsid w:val="00AF3793"/>
    <w:rsid w:val="00AF44AF"/>
    <w:rsid w:val="00AF53F0"/>
    <w:rsid w:val="00B0017C"/>
    <w:rsid w:val="00B03693"/>
    <w:rsid w:val="00B04B2A"/>
    <w:rsid w:val="00B06149"/>
    <w:rsid w:val="00B115B5"/>
    <w:rsid w:val="00B115D0"/>
    <w:rsid w:val="00B11A64"/>
    <w:rsid w:val="00B13C3A"/>
    <w:rsid w:val="00B15208"/>
    <w:rsid w:val="00B15B83"/>
    <w:rsid w:val="00B16A64"/>
    <w:rsid w:val="00B202CB"/>
    <w:rsid w:val="00B223EB"/>
    <w:rsid w:val="00B23B86"/>
    <w:rsid w:val="00B250C5"/>
    <w:rsid w:val="00B25A49"/>
    <w:rsid w:val="00B31260"/>
    <w:rsid w:val="00B3195A"/>
    <w:rsid w:val="00B31994"/>
    <w:rsid w:val="00B319F8"/>
    <w:rsid w:val="00B32FF9"/>
    <w:rsid w:val="00B33C07"/>
    <w:rsid w:val="00B3546D"/>
    <w:rsid w:val="00B3622E"/>
    <w:rsid w:val="00B403D6"/>
    <w:rsid w:val="00B40722"/>
    <w:rsid w:val="00B43465"/>
    <w:rsid w:val="00B43976"/>
    <w:rsid w:val="00B43D3B"/>
    <w:rsid w:val="00B474BC"/>
    <w:rsid w:val="00B509FB"/>
    <w:rsid w:val="00B50FF5"/>
    <w:rsid w:val="00B516DB"/>
    <w:rsid w:val="00B52A17"/>
    <w:rsid w:val="00B52F1B"/>
    <w:rsid w:val="00B5458B"/>
    <w:rsid w:val="00B55987"/>
    <w:rsid w:val="00B56A68"/>
    <w:rsid w:val="00B56FBC"/>
    <w:rsid w:val="00B57EE4"/>
    <w:rsid w:val="00B62302"/>
    <w:rsid w:val="00B632A3"/>
    <w:rsid w:val="00B63B8D"/>
    <w:rsid w:val="00B6722B"/>
    <w:rsid w:val="00B709B6"/>
    <w:rsid w:val="00B70FC8"/>
    <w:rsid w:val="00B712D0"/>
    <w:rsid w:val="00B71713"/>
    <w:rsid w:val="00B722C7"/>
    <w:rsid w:val="00B75FAB"/>
    <w:rsid w:val="00B76575"/>
    <w:rsid w:val="00B76F4B"/>
    <w:rsid w:val="00B81520"/>
    <w:rsid w:val="00B8184B"/>
    <w:rsid w:val="00B818EB"/>
    <w:rsid w:val="00B83D39"/>
    <w:rsid w:val="00B84473"/>
    <w:rsid w:val="00B8465B"/>
    <w:rsid w:val="00B84FF5"/>
    <w:rsid w:val="00B8503D"/>
    <w:rsid w:val="00B85A0C"/>
    <w:rsid w:val="00B900A5"/>
    <w:rsid w:val="00B923BE"/>
    <w:rsid w:val="00B9292C"/>
    <w:rsid w:val="00B95B41"/>
    <w:rsid w:val="00B96CE1"/>
    <w:rsid w:val="00BA0CE5"/>
    <w:rsid w:val="00BA2CD0"/>
    <w:rsid w:val="00BA3412"/>
    <w:rsid w:val="00BA6835"/>
    <w:rsid w:val="00BA6A47"/>
    <w:rsid w:val="00BB0B79"/>
    <w:rsid w:val="00BB3A3A"/>
    <w:rsid w:val="00BB61CF"/>
    <w:rsid w:val="00BB68CD"/>
    <w:rsid w:val="00BB7397"/>
    <w:rsid w:val="00BB788F"/>
    <w:rsid w:val="00BC0DAF"/>
    <w:rsid w:val="00BC3F5B"/>
    <w:rsid w:val="00BC4231"/>
    <w:rsid w:val="00BC528F"/>
    <w:rsid w:val="00BC5649"/>
    <w:rsid w:val="00BC7204"/>
    <w:rsid w:val="00BD33AA"/>
    <w:rsid w:val="00BD54C8"/>
    <w:rsid w:val="00BD76C0"/>
    <w:rsid w:val="00BE05D8"/>
    <w:rsid w:val="00BE09F3"/>
    <w:rsid w:val="00BE0C68"/>
    <w:rsid w:val="00BE320E"/>
    <w:rsid w:val="00BE3636"/>
    <w:rsid w:val="00BE44FA"/>
    <w:rsid w:val="00BE4BE4"/>
    <w:rsid w:val="00BF1C44"/>
    <w:rsid w:val="00BF309E"/>
    <w:rsid w:val="00BF3978"/>
    <w:rsid w:val="00BF3BC6"/>
    <w:rsid w:val="00BF41FA"/>
    <w:rsid w:val="00BF5CC3"/>
    <w:rsid w:val="00BF74B8"/>
    <w:rsid w:val="00C01058"/>
    <w:rsid w:val="00C01D30"/>
    <w:rsid w:val="00C02558"/>
    <w:rsid w:val="00C04C2C"/>
    <w:rsid w:val="00C06827"/>
    <w:rsid w:val="00C14CE1"/>
    <w:rsid w:val="00C1604E"/>
    <w:rsid w:val="00C17B13"/>
    <w:rsid w:val="00C21D87"/>
    <w:rsid w:val="00C23677"/>
    <w:rsid w:val="00C23D9A"/>
    <w:rsid w:val="00C24972"/>
    <w:rsid w:val="00C24B96"/>
    <w:rsid w:val="00C25272"/>
    <w:rsid w:val="00C26649"/>
    <w:rsid w:val="00C267DD"/>
    <w:rsid w:val="00C30246"/>
    <w:rsid w:val="00C3055C"/>
    <w:rsid w:val="00C3125C"/>
    <w:rsid w:val="00C31A86"/>
    <w:rsid w:val="00C3226E"/>
    <w:rsid w:val="00C33018"/>
    <w:rsid w:val="00C3434D"/>
    <w:rsid w:val="00C36341"/>
    <w:rsid w:val="00C36450"/>
    <w:rsid w:val="00C37452"/>
    <w:rsid w:val="00C37760"/>
    <w:rsid w:val="00C40D44"/>
    <w:rsid w:val="00C41B42"/>
    <w:rsid w:val="00C439BF"/>
    <w:rsid w:val="00C4486F"/>
    <w:rsid w:val="00C45455"/>
    <w:rsid w:val="00C45CF2"/>
    <w:rsid w:val="00C461E6"/>
    <w:rsid w:val="00C47019"/>
    <w:rsid w:val="00C5021D"/>
    <w:rsid w:val="00C52487"/>
    <w:rsid w:val="00C53E8C"/>
    <w:rsid w:val="00C541AC"/>
    <w:rsid w:val="00C553BE"/>
    <w:rsid w:val="00C5750D"/>
    <w:rsid w:val="00C5785D"/>
    <w:rsid w:val="00C63A40"/>
    <w:rsid w:val="00C65542"/>
    <w:rsid w:val="00C6663F"/>
    <w:rsid w:val="00C67598"/>
    <w:rsid w:val="00C67C4C"/>
    <w:rsid w:val="00C71E4B"/>
    <w:rsid w:val="00C722E4"/>
    <w:rsid w:val="00C72443"/>
    <w:rsid w:val="00C74370"/>
    <w:rsid w:val="00C772C8"/>
    <w:rsid w:val="00C77E43"/>
    <w:rsid w:val="00C80D0C"/>
    <w:rsid w:val="00C81AEC"/>
    <w:rsid w:val="00C826AF"/>
    <w:rsid w:val="00C83002"/>
    <w:rsid w:val="00C84B0B"/>
    <w:rsid w:val="00C85131"/>
    <w:rsid w:val="00C861C1"/>
    <w:rsid w:val="00C9142F"/>
    <w:rsid w:val="00C922F6"/>
    <w:rsid w:val="00C92B01"/>
    <w:rsid w:val="00C94C21"/>
    <w:rsid w:val="00C95269"/>
    <w:rsid w:val="00C9538A"/>
    <w:rsid w:val="00C97483"/>
    <w:rsid w:val="00CA0795"/>
    <w:rsid w:val="00CA13C3"/>
    <w:rsid w:val="00CA19D7"/>
    <w:rsid w:val="00CA2C99"/>
    <w:rsid w:val="00CA2CE9"/>
    <w:rsid w:val="00CA2FE9"/>
    <w:rsid w:val="00CA3654"/>
    <w:rsid w:val="00CA5CB1"/>
    <w:rsid w:val="00CA5E4A"/>
    <w:rsid w:val="00CA6069"/>
    <w:rsid w:val="00CB0270"/>
    <w:rsid w:val="00CB2F2B"/>
    <w:rsid w:val="00CB4A5A"/>
    <w:rsid w:val="00CB4C19"/>
    <w:rsid w:val="00CB6196"/>
    <w:rsid w:val="00CB6BCB"/>
    <w:rsid w:val="00CB7251"/>
    <w:rsid w:val="00CC14E4"/>
    <w:rsid w:val="00CC1B2C"/>
    <w:rsid w:val="00CC20BB"/>
    <w:rsid w:val="00CC353E"/>
    <w:rsid w:val="00CC3C46"/>
    <w:rsid w:val="00CC4507"/>
    <w:rsid w:val="00CC6303"/>
    <w:rsid w:val="00CC74E5"/>
    <w:rsid w:val="00CD1E1F"/>
    <w:rsid w:val="00CD26A6"/>
    <w:rsid w:val="00CD31C3"/>
    <w:rsid w:val="00CD424F"/>
    <w:rsid w:val="00CD48F4"/>
    <w:rsid w:val="00CD7164"/>
    <w:rsid w:val="00CD740C"/>
    <w:rsid w:val="00CE00A3"/>
    <w:rsid w:val="00CE0325"/>
    <w:rsid w:val="00CE0D9D"/>
    <w:rsid w:val="00CE14D4"/>
    <w:rsid w:val="00CE2B42"/>
    <w:rsid w:val="00CE3CF6"/>
    <w:rsid w:val="00CE6C22"/>
    <w:rsid w:val="00CE7987"/>
    <w:rsid w:val="00CF2B86"/>
    <w:rsid w:val="00CF40A7"/>
    <w:rsid w:val="00CF47F3"/>
    <w:rsid w:val="00CF5435"/>
    <w:rsid w:val="00CF7299"/>
    <w:rsid w:val="00CF7434"/>
    <w:rsid w:val="00D01272"/>
    <w:rsid w:val="00D0263B"/>
    <w:rsid w:val="00D0309B"/>
    <w:rsid w:val="00D0369B"/>
    <w:rsid w:val="00D03E30"/>
    <w:rsid w:val="00D041AD"/>
    <w:rsid w:val="00D042B6"/>
    <w:rsid w:val="00D05230"/>
    <w:rsid w:val="00D057C9"/>
    <w:rsid w:val="00D05E51"/>
    <w:rsid w:val="00D0659C"/>
    <w:rsid w:val="00D078A1"/>
    <w:rsid w:val="00D121E5"/>
    <w:rsid w:val="00D1273D"/>
    <w:rsid w:val="00D1442D"/>
    <w:rsid w:val="00D147EB"/>
    <w:rsid w:val="00D15DDC"/>
    <w:rsid w:val="00D16D57"/>
    <w:rsid w:val="00D177BC"/>
    <w:rsid w:val="00D17B99"/>
    <w:rsid w:val="00D2060A"/>
    <w:rsid w:val="00D20CD7"/>
    <w:rsid w:val="00D24255"/>
    <w:rsid w:val="00D2440C"/>
    <w:rsid w:val="00D2651F"/>
    <w:rsid w:val="00D27A64"/>
    <w:rsid w:val="00D306F3"/>
    <w:rsid w:val="00D32B01"/>
    <w:rsid w:val="00D33BEB"/>
    <w:rsid w:val="00D359FC"/>
    <w:rsid w:val="00D41AA3"/>
    <w:rsid w:val="00D4246D"/>
    <w:rsid w:val="00D4399A"/>
    <w:rsid w:val="00D473C0"/>
    <w:rsid w:val="00D47F5D"/>
    <w:rsid w:val="00D47FAE"/>
    <w:rsid w:val="00D50E4C"/>
    <w:rsid w:val="00D50E74"/>
    <w:rsid w:val="00D548BF"/>
    <w:rsid w:val="00D55B8D"/>
    <w:rsid w:val="00D606F0"/>
    <w:rsid w:val="00D60B19"/>
    <w:rsid w:val="00D65492"/>
    <w:rsid w:val="00D704F7"/>
    <w:rsid w:val="00D70E1B"/>
    <w:rsid w:val="00D75260"/>
    <w:rsid w:val="00D75358"/>
    <w:rsid w:val="00D75A18"/>
    <w:rsid w:val="00D7651B"/>
    <w:rsid w:val="00D80C2E"/>
    <w:rsid w:val="00D8102D"/>
    <w:rsid w:val="00D81390"/>
    <w:rsid w:val="00D81B46"/>
    <w:rsid w:val="00D82E71"/>
    <w:rsid w:val="00D83E2F"/>
    <w:rsid w:val="00D87BBB"/>
    <w:rsid w:val="00D912B1"/>
    <w:rsid w:val="00D92195"/>
    <w:rsid w:val="00DA0C9F"/>
    <w:rsid w:val="00DA2F3A"/>
    <w:rsid w:val="00DA5DF8"/>
    <w:rsid w:val="00DA62C6"/>
    <w:rsid w:val="00DA75DA"/>
    <w:rsid w:val="00DB01CE"/>
    <w:rsid w:val="00DB155C"/>
    <w:rsid w:val="00DB1AAD"/>
    <w:rsid w:val="00DB2ABA"/>
    <w:rsid w:val="00DB36CD"/>
    <w:rsid w:val="00DB44B0"/>
    <w:rsid w:val="00DB4848"/>
    <w:rsid w:val="00DB4E32"/>
    <w:rsid w:val="00DB574B"/>
    <w:rsid w:val="00DB637B"/>
    <w:rsid w:val="00DB63B9"/>
    <w:rsid w:val="00DB7231"/>
    <w:rsid w:val="00DB7BC2"/>
    <w:rsid w:val="00DC14D7"/>
    <w:rsid w:val="00DC2C8A"/>
    <w:rsid w:val="00DC7875"/>
    <w:rsid w:val="00DD2256"/>
    <w:rsid w:val="00DD2393"/>
    <w:rsid w:val="00DD449D"/>
    <w:rsid w:val="00DD60E5"/>
    <w:rsid w:val="00DD7CDF"/>
    <w:rsid w:val="00DE3623"/>
    <w:rsid w:val="00DE42A2"/>
    <w:rsid w:val="00DE4791"/>
    <w:rsid w:val="00DE4960"/>
    <w:rsid w:val="00DE6093"/>
    <w:rsid w:val="00DF0395"/>
    <w:rsid w:val="00DF2479"/>
    <w:rsid w:val="00DF4002"/>
    <w:rsid w:val="00DF5418"/>
    <w:rsid w:val="00DF5933"/>
    <w:rsid w:val="00DF5B54"/>
    <w:rsid w:val="00DF6C15"/>
    <w:rsid w:val="00DF6F18"/>
    <w:rsid w:val="00DF737C"/>
    <w:rsid w:val="00E04AF5"/>
    <w:rsid w:val="00E05863"/>
    <w:rsid w:val="00E0672A"/>
    <w:rsid w:val="00E1053D"/>
    <w:rsid w:val="00E10794"/>
    <w:rsid w:val="00E12271"/>
    <w:rsid w:val="00E129A6"/>
    <w:rsid w:val="00E13AE0"/>
    <w:rsid w:val="00E13BBE"/>
    <w:rsid w:val="00E15741"/>
    <w:rsid w:val="00E15B9B"/>
    <w:rsid w:val="00E165C9"/>
    <w:rsid w:val="00E177DE"/>
    <w:rsid w:val="00E207AF"/>
    <w:rsid w:val="00E20DCC"/>
    <w:rsid w:val="00E21905"/>
    <w:rsid w:val="00E2369A"/>
    <w:rsid w:val="00E24823"/>
    <w:rsid w:val="00E27A85"/>
    <w:rsid w:val="00E32DB2"/>
    <w:rsid w:val="00E3474A"/>
    <w:rsid w:val="00E44569"/>
    <w:rsid w:val="00E4510B"/>
    <w:rsid w:val="00E45CBF"/>
    <w:rsid w:val="00E46C46"/>
    <w:rsid w:val="00E472C5"/>
    <w:rsid w:val="00E5049F"/>
    <w:rsid w:val="00E532A2"/>
    <w:rsid w:val="00E535EE"/>
    <w:rsid w:val="00E55148"/>
    <w:rsid w:val="00E553AD"/>
    <w:rsid w:val="00E556F6"/>
    <w:rsid w:val="00E564A1"/>
    <w:rsid w:val="00E57F0C"/>
    <w:rsid w:val="00E60C9D"/>
    <w:rsid w:val="00E60DB9"/>
    <w:rsid w:val="00E63CC0"/>
    <w:rsid w:val="00E663EB"/>
    <w:rsid w:val="00E66A0C"/>
    <w:rsid w:val="00E675BE"/>
    <w:rsid w:val="00E7042B"/>
    <w:rsid w:val="00E7158B"/>
    <w:rsid w:val="00E71719"/>
    <w:rsid w:val="00E7205C"/>
    <w:rsid w:val="00E72F02"/>
    <w:rsid w:val="00E738C0"/>
    <w:rsid w:val="00E76692"/>
    <w:rsid w:val="00E77306"/>
    <w:rsid w:val="00E80B62"/>
    <w:rsid w:val="00E80E9B"/>
    <w:rsid w:val="00E81442"/>
    <w:rsid w:val="00E8208F"/>
    <w:rsid w:val="00E82499"/>
    <w:rsid w:val="00E84508"/>
    <w:rsid w:val="00E86CDC"/>
    <w:rsid w:val="00E87D80"/>
    <w:rsid w:val="00E931DC"/>
    <w:rsid w:val="00E9398C"/>
    <w:rsid w:val="00EA0248"/>
    <w:rsid w:val="00EA12B1"/>
    <w:rsid w:val="00EA2165"/>
    <w:rsid w:val="00EA3AAA"/>
    <w:rsid w:val="00EA4808"/>
    <w:rsid w:val="00EA5CB8"/>
    <w:rsid w:val="00EB1AC1"/>
    <w:rsid w:val="00EB24F5"/>
    <w:rsid w:val="00EB4803"/>
    <w:rsid w:val="00EB5D54"/>
    <w:rsid w:val="00EC19AA"/>
    <w:rsid w:val="00EC21C0"/>
    <w:rsid w:val="00EC3C23"/>
    <w:rsid w:val="00EC3D25"/>
    <w:rsid w:val="00EC3F34"/>
    <w:rsid w:val="00EC466F"/>
    <w:rsid w:val="00EC5193"/>
    <w:rsid w:val="00EC6394"/>
    <w:rsid w:val="00EC6D23"/>
    <w:rsid w:val="00EC7219"/>
    <w:rsid w:val="00ED1F3B"/>
    <w:rsid w:val="00ED340C"/>
    <w:rsid w:val="00ED5237"/>
    <w:rsid w:val="00ED5868"/>
    <w:rsid w:val="00ED6914"/>
    <w:rsid w:val="00ED7219"/>
    <w:rsid w:val="00ED7266"/>
    <w:rsid w:val="00EE4281"/>
    <w:rsid w:val="00EE43E2"/>
    <w:rsid w:val="00EE4DD8"/>
    <w:rsid w:val="00EE5517"/>
    <w:rsid w:val="00EE662E"/>
    <w:rsid w:val="00EE6D7B"/>
    <w:rsid w:val="00EF05FC"/>
    <w:rsid w:val="00EF0A03"/>
    <w:rsid w:val="00EF2BB1"/>
    <w:rsid w:val="00EF3E07"/>
    <w:rsid w:val="00EF47E5"/>
    <w:rsid w:val="00F000FB"/>
    <w:rsid w:val="00F008E0"/>
    <w:rsid w:val="00F00A1E"/>
    <w:rsid w:val="00F039AA"/>
    <w:rsid w:val="00F0507A"/>
    <w:rsid w:val="00F05A22"/>
    <w:rsid w:val="00F05C68"/>
    <w:rsid w:val="00F0696F"/>
    <w:rsid w:val="00F07CC9"/>
    <w:rsid w:val="00F11797"/>
    <w:rsid w:val="00F11FD8"/>
    <w:rsid w:val="00F120F0"/>
    <w:rsid w:val="00F12899"/>
    <w:rsid w:val="00F13E3B"/>
    <w:rsid w:val="00F14FDD"/>
    <w:rsid w:val="00F15BA1"/>
    <w:rsid w:val="00F16864"/>
    <w:rsid w:val="00F17C34"/>
    <w:rsid w:val="00F21799"/>
    <w:rsid w:val="00F21EB4"/>
    <w:rsid w:val="00F25F18"/>
    <w:rsid w:val="00F26FA6"/>
    <w:rsid w:val="00F31326"/>
    <w:rsid w:val="00F3333E"/>
    <w:rsid w:val="00F33D25"/>
    <w:rsid w:val="00F362C5"/>
    <w:rsid w:val="00F36C7D"/>
    <w:rsid w:val="00F40558"/>
    <w:rsid w:val="00F43F3E"/>
    <w:rsid w:val="00F459FA"/>
    <w:rsid w:val="00F45BE2"/>
    <w:rsid w:val="00F46706"/>
    <w:rsid w:val="00F50B42"/>
    <w:rsid w:val="00F53AD8"/>
    <w:rsid w:val="00F563E0"/>
    <w:rsid w:val="00F60BD9"/>
    <w:rsid w:val="00F62B10"/>
    <w:rsid w:val="00F62D9F"/>
    <w:rsid w:val="00F6306B"/>
    <w:rsid w:val="00F639C8"/>
    <w:rsid w:val="00F65AD8"/>
    <w:rsid w:val="00F666AF"/>
    <w:rsid w:val="00F70B7F"/>
    <w:rsid w:val="00F72C4D"/>
    <w:rsid w:val="00F738E9"/>
    <w:rsid w:val="00F7428B"/>
    <w:rsid w:val="00F758FB"/>
    <w:rsid w:val="00F766CD"/>
    <w:rsid w:val="00F77604"/>
    <w:rsid w:val="00F82EF7"/>
    <w:rsid w:val="00F83C8A"/>
    <w:rsid w:val="00F8579C"/>
    <w:rsid w:val="00F85C3A"/>
    <w:rsid w:val="00F85EFE"/>
    <w:rsid w:val="00F876C1"/>
    <w:rsid w:val="00F87A21"/>
    <w:rsid w:val="00F87BFB"/>
    <w:rsid w:val="00F9044E"/>
    <w:rsid w:val="00F90A99"/>
    <w:rsid w:val="00F91779"/>
    <w:rsid w:val="00F924F5"/>
    <w:rsid w:val="00F92599"/>
    <w:rsid w:val="00F92D1C"/>
    <w:rsid w:val="00F93ADD"/>
    <w:rsid w:val="00F96301"/>
    <w:rsid w:val="00F96978"/>
    <w:rsid w:val="00F96D0A"/>
    <w:rsid w:val="00F9787F"/>
    <w:rsid w:val="00FA07D5"/>
    <w:rsid w:val="00FA15E0"/>
    <w:rsid w:val="00FA23E0"/>
    <w:rsid w:val="00FA3EB8"/>
    <w:rsid w:val="00FA52EA"/>
    <w:rsid w:val="00FA6EF1"/>
    <w:rsid w:val="00FB0C41"/>
    <w:rsid w:val="00FB14D0"/>
    <w:rsid w:val="00FB61D2"/>
    <w:rsid w:val="00FB6BE5"/>
    <w:rsid w:val="00FB7AC6"/>
    <w:rsid w:val="00FC23EB"/>
    <w:rsid w:val="00FC430C"/>
    <w:rsid w:val="00FD036F"/>
    <w:rsid w:val="00FD056E"/>
    <w:rsid w:val="00FD080B"/>
    <w:rsid w:val="00FD1D90"/>
    <w:rsid w:val="00FD208F"/>
    <w:rsid w:val="00FD243E"/>
    <w:rsid w:val="00FD40D7"/>
    <w:rsid w:val="00FD495A"/>
    <w:rsid w:val="00FD579E"/>
    <w:rsid w:val="00FD5F2B"/>
    <w:rsid w:val="00FE0FCD"/>
    <w:rsid w:val="00FE3954"/>
    <w:rsid w:val="00FE60A4"/>
    <w:rsid w:val="00FF1C31"/>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687D5D"/>
    <w:rPr>
      <w:sz w:val="24"/>
      <w:szCs w:val="24"/>
      <w:lang w:eastAsia="en-US"/>
    </w:rPr>
  </w:style>
  <w:style w:type="paragraph" w:styleId="ListParagraph">
    <w:name w:val="List Paragraph"/>
    <w:basedOn w:val="Normal"/>
    <w:uiPriority w:val="34"/>
    <w:qFormat/>
    <w:rsid w:val="00B63B8D"/>
    <w:pPr>
      <w:ind w:left="720"/>
      <w:contextualSpacing/>
    </w:pPr>
  </w:style>
</w:styles>
</file>

<file path=word/webSettings.xml><?xml version="1.0" encoding="utf-8"?>
<w:webSettings xmlns:r="http://schemas.openxmlformats.org/officeDocument/2006/relationships" xmlns:w="http://schemas.openxmlformats.org/wordprocessingml/2006/main">
  <w:divs>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51992841">
      <w:bodyDiv w:val="1"/>
      <w:marLeft w:val="0"/>
      <w:marRight w:val="0"/>
      <w:marTop w:val="0"/>
      <w:marBottom w:val="0"/>
      <w:divBdr>
        <w:top w:val="none" w:sz="0" w:space="0" w:color="auto"/>
        <w:left w:val="none" w:sz="0" w:space="0" w:color="auto"/>
        <w:bottom w:val="none" w:sz="0" w:space="0" w:color="auto"/>
        <w:right w:val="none" w:sz="0" w:space="0" w:color="auto"/>
      </w:divBdr>
    </w:div>
    <w:div w:id="233589059">
      <w:bodyDiv w:val="1"/>
      <w:marLeft w:val="0"/>
      <w:marRight w:val="0"/>
      <w:marTop w:val="0"/>
      <w:marBottom w:val="0"/>
      <w:divBdr>
        <w:top w:val="none" w:sz="0" w:space="0" w:color="auto"/>
        <w:left w:val="none" w:sz="0" w:space="0" w:color="auto"/>
        <w:bottom w:val="none" w:sz="0" w:space="0" w:color="auto"/>
        <w:right w:val="none" w:sz="0" w:space="0" w:color="auto"/>
      </w:divBdr>
    </w:div>
    <w:div w:id="352265464">
      <w:bodyDiv w:val="1"/>
      <w:marLeft w:val="0"/>
      <w:marRight w:val="0"/>
      <w:marTop w:val="0"/>
      <w:marBottom w:val="0"/>
      <w:divBdr>
        <w:top w:val="none" w:sz="0" w:space="0" w:color="auto"/>
        <w:left w:val="none" w:sz="0" w:space="0" w:color="auto"/>
        <w:bottom w:val="none" w:sz="0" w:space="0" w:color="auto"/>
        <w:right w:val="none" w:sz="0" w:space="0" w:color="auto"/>
      </w:divBdr>
    </w:div>
    <w:div w:id="530647279">
      <w:bodyDiv w:val="1"/>
      <w:marLeft w:val="0"/>
      <w:marRight w:val="0"/>
      <w:marTop w:val="0"/>
      <w:marBottom w:val="0"/>
      <w:divBdr>
        <w:top w:val="none" w:sz="0" w:space="0" w:color="auto"/>
        <w:left w:val="none" w:sz="0" w:space="0" w:color="auto"/>
        <w:bottom w:val="none" w:sz="0" w:space="0" w:color="auto"/>
        <w:right w:val="none" w:sz="0" w:space="0" w:color="auto"/>
      </w:divBdr>
      <w:divsChild>
        <w:div w:id="484056470">
          <w:marLeft w:val="0"/>
          <w:marRight w:val="0"/>
          <w:marTop w:val="0"/>
          <w:marBottom w:val="0"/>
          <w:divBdr>
            <w:top w:val="none" w:sz="0" w:space="0" w:color="auto"/>
            <w:left w:val="none" w:sz="0" w:space="0" w:color="auto"/>
            <w:bottom w:val="none" w:sz="0" w:space="0" w:color="auto"/>
            <w:right w:val="none" w:sz="0" w:space="0" w:color="auto"/>
          </w:divBdr>
        </w:div>
      </w:divsChild>
    </w:div>
    <w:div w:id="55050567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82668615">
      <w:bodyDiv w:val="1"/>
      <w:marLeft w:val="0"/>
      <w:marRight w:val="0"/>
      <w:marTop w:val="0"/>
      <w:marBottom w:val="0"/>
      <w:divBdr>
        <w:top w:val="none" w:sz="0" w:space="0" w:color="auto"/>
        <w:left w:val="none" w:sz="0" w:space="0" w:color="auto"/>
        <w:bottom w:val="none" w:sz="0" w:space="0" w:color="auto"/>
        <w:right w:val="none" w:sz="0" w:space="0" w:color="auto"/>
      </w:divBdr>
    </w:div>
    <w:div w:id="100532918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77441650">
      <w:bodyDiv w:val="1"/>
      <w:marLeft w:val="45"/>
      <w:marRight w:val="45"/>
      <w:marTop w:val="90"/>
      <w:marBottom w:val="90"/>
      <w:divBdr>
        <w:top w:val="none" w:sz="0" w:space="0" w:color="auto"/>
        <w:left w:val="none" w:sz="0" w:space="0" w:color="auto"/>
        <w:bottom w:val="none" w:sz="0" w:space="0" w:color="auto"/>
        <w:right w:val="none" w:sz="0" w:space="0" w:color="auto"/>
      </w:divBdr>
      <w:divsChild>
        <w:div w:id="96873767">
          <w:marLeft w:val="0"/>
          <w:marRight w:val="0"/>
          <w:marTop w:val="0"/>
          <w:marBottom w:val="567"/>
          <w:divBdr>
            <w:top w:val="none" w:sz="0" w:space="0" w:color="auto"/>
            <w:left w:val="none" w:sz="0" w:space="0" w:color="auto"/>
            <w:bottom w:val="none" w:sz="0" w:space="0" w:color="auto"/>
            <w:right w:val="none" w:sz="0" w:space="0" w:color="auto"/>
          </w:divBdr>
        </w:div>
      </w:divsChild>
    </w:div>
    <w:div w:id="1142848005">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19822525">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325088812">
      <w:bodyDiv w:val="1"/>
      <w:marLeft w:val="0"/>
      <w:marRight w:val="0"/>
      <w:marTop w:val="0"/>
      <w:marBottom w:val="0"/>
      <w:divBdr>
        <w:top w:val="none" w:sz="0" w:space="0" w:color="auto"/>
        <w:left w:val="none" w:sz="0" w:space="0" w:color="auto"/>
        <w:bottom w:val="none" w:sz="0" w:space="0" w:color="auto"/>
        <w:right w:val="none" w:sz="0" w:space="0" w:color="auto"/>
      </w:divBdr>
    </w:div>
    <w:div w:id="1381057553">
      <w:bodyDiv w:val="1"/>
      <w:marLeft w:val="0"/>
      <w:marRight w:val="0"/>
      <w:marTop w:val="0"/>
      <w:marBottom w:val="0"/>
      <w:divBdr>
        <w:top w:val="none" w:sz="0" w:space="0" w:color="auto"/>
        <w:left w:val="none" w:sz="0" w:space="0" w:color="auto"/>
        <w:bottom w:val="none" w:sz="0" w:space="0" w:color="auto"/>
        <w:right w:val="none" w:sz="0" w:space="0" w:color="auto"/>
      </w:divBdr>
    </w:div>
    <w:div w:id="1457988348">
      <w:bodyDiv w:val="1"/>
      <w:marLeft w:val="0"/>
      <w:marRight w:val="0"/>
      <w:marTop w:val="0"/>
      <w:marBottom w:val="0"/>
      <w:divBdr>
        <w:top w:val="none" w:sz="0" w:space="0" w:color="auto"/>
        <w:left w:val="none" w:sz="0" w:space="0" w:color="auto"/>
        <w:bottom w:val="none" w:sz="0" w:space="0" w:color="auto"/>
        <w:right w:val="none" w:sz="0" w:space="0" w:color="auto"/>
      </w:divBdr>
    </w:div>
    <w:div w:id="1497648235">
      <w:bodyDiv w:val="1"/>
      <w:marLeft w:val="0"/>
      <w:marRight w:val="0"/>
      <w:marTop w:val="0"/>
      <w:marBottom w:val="0"/>
      <w:divBdr>
        <w:top w:val="none" w:sz="0" w:space="0" w:color="auto"/>
        <w:left w:val="none" w:sz="0" w:space="0" w:color="auto"/>
        <w:bottom w:val="none" w:sz="0" w:space="0" w:color="auto"/>
        <w:right w:val="none" w:sz="0" w:space="0" w:color="auto"/>
      </w:divBdr>
    </w:div>
    <w:div w:id="1542865022">
      <w:bodyDiv w:val="1"/>
      <w:marLeft w:val="0"/>
      <w:marRight w:val="0"/>
      <w:marTop w:val="0"/>
      <w:marBottom w:val="0"/>
      <w:divBdr>
        <w:top w:val="none" w:sz="0" w:space="0" w:color="auto"/>
        <w:left w:val="none" w:sz="0" w:space="0" w:color="auto"/>
        <w:bottom w:val="none" w:sz="0" w:space="0" w:color="auto"/>
        <w:right w:val="none" w:sz="0" w:space="0" w:color="auto"/>
      </w:divBdr>
    </w:div>
    <w:div w:id="1835952111">
      <w:bodyDiv w:val="1"/>
      <w:marLeft w:val="41"/>
      <w:marRight w:val="41"/>
      <w:marTop w:val="82"/>
      <w:marBottom w:val="82"/>
      <w:divBdr>
        <w:top w:val="none" w:sz="0" w:space="0" w:color="auto"/>
        <w:left w:val="none" w:sz="0" w:space="0" w:color="auto"/>
        <w:bottom w:val="none" w:sz="0" w:space="0" w:color="auto"/>
        <w:right w:val="none" w:sz="0" w:space="0" w:color="auto"/>
      </w:divBdr>
      <w:divsChild>
        <w:div w:id="1801142079">
          <w:marLeft w:val="0"/>
          <w:marRight w:val="0"/>
          <w:marTop w:val="0"/>
          <w:marBottom w:val="567"/>
          <w:divBdr>
            <w:top w:val="none" w:sz="0" w:space="0" w:color="auto"/>
            <w:left w:val="none" w:sz="0" w:space="0" w:color="auto"/>
            <w:bottom w:val="none" w:sz="0" w:space="0" w:color="auto"/>
            <w:right w:val="none" w:sz="0" w:space="0" w:color="auto"/>
          </w:divBdr>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056730306">
      <w:bodyDiv w:val="1"/>
      <w:marLeft w:val="0"/>
      <w:marRight w:val="0"/>
      <w:marTop w:val="0"/>
      <w:marBottom w:val="0"/>
      <w:divBdr>
        <w:top w:val="none" w:sz="0" w:space="0" w:color="auto"/>
        <w:left w:val="none" w:sz="0" w:space="0" w:color="auto"/>
        <w:bottom w:val="none" w:sz="0" w:space="0" w:color="auto"/>
        <w:right w:val="none" w:sz="0" w:space="0" w:color="auto"/>
      </w:divBdr>
    </w:div>
    <w:div w:id="21434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C398-8EED-4750-85C8-B534BFA8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8</Pages>
  <Words>2562</Words>
  <Characters>17807</Characters>
  <Application>Microsoft Office Word</Application>
  <DocSecurity>0</DocSecurity>
  <Lines>659</Lines>
  <Paragraphs>308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2008.gada 19.maija noteikumos Nr.353 „Noteikumi par darbības programmas „Cilvēkresursi un nodarbinātība” papildinājuma 1.3.2.3.aktivitāti "Veselības aprūpes un veicināšanas procesā iesaistī</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19.maija noteikumos Nr.353 „Noteikumi par darbības programmas „Cilvēkresursi un nodarbinātība” papildinājuma 1.3.2.3.aktivitāti "Veselības aprūpes un veicināšanas procesā iesaistīto institūciju personāla kompetences, prasmju un iemaņu līmeņa paaugstināšana””” sākotnējās ietekmes novērtējuma ziņojums (anotācija)</dc:title>
  <dc:subject>Anotācija</dc:subject>
  <dc:creator>Natālija Hamandikova</dc:creator>
  <dc:description>Tālr. 67876090
Natalija.Hamandikova@vm.gov.lv</dc:description>
  <cp:lastModifiedBy>nhamandikova</cp:lastModifiedBy>
  <cp:revision>117</cp:revision>
  <cp:lastPrinted>2010-03-22T07:03:00Z</cp:lastPrinted>
  <dcterms:created xsi:type="dcterms:W3CDTF">2010-07-16T07:26:00Z</dcterms:created>
  <dcterms:modified xsi:type="dcterms:W3CDTF">2012-07-11T12:16:00Z</dcterms:modified>
</cp:coreProperties>
</file>