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E6" w:rsidRPr="003B0F26" w:rsidRDefault="00956BE6" w:rsidP="003B0F26">
      <w:pPr>
        <w:jc w:val="center"/>
        <w:rPr>
          <w:b/>
          <w:sz w:val="28"/>
          <w:szCs w:val="28"/>
        </w:rPr>
      </w:pPr>
      <w:bookmarkStart w:id="0" w:name="OLE_LINK3"/>
      <w:bookmarkStart w:id="1" w:name="OLE_LINK4"/>
      <w:bookmarkStart w:id="2" w:name="OLE_LINK1"/>
      <w:bookmarkStart w:id="3" w:name="OLE_LINK2"/>
      <w:bookmarkStart w:id="4" w:name="OLE_LINK12"/>
      <w:bookmarkStart w:id="5" w:name="OLE_LINK13"/>
      <w:r w:rsidRPr="003B0F26">
        <w:rPr>
          <w:b/>
          <w:sz w:val="28"/>
          <w:szCs w:val="28"/>
        </w:rPr>
        <w:t>Ministru kabineta noteikumu projekta</w:t>
      </w:r>
    </w:p>
    <w:p w:rsidR="003B0F26" w:rsidRPr="003E1AA2" w:rsidRDefault="0023228D" w:rsidP="003B0F26">
      <w:pPr>
        <w:jc w:val="center"/>
        <w:rPr>
          <w:b/>
          <w:bCs/>
          <w:sz w:val="28"/>
          <w:szCs w:val="28"/>
        </w:rPr>
      </w:pPr>
      <w:r>
        <w:rPr>
          <w:b/>
          <w:bCs/>
          <w:iCs/>
          <w:sz w:val="28"/>
          <w:szCs w:val="28"/>
        </w:rPr>
        <w:t>,,Grozījums</w:t>
      </w:r>
      <w:r w:rsidR="003B0F26" w:rsidRPr="003E1AA2">
        <w:rPr>
          <w:b/>
          <w:bCs/>
          <w:iCs/>
          <w:sz w:val="28"/>
          <w:szCs w:val="28"/>
        </w:rPr>
        <w:t xml:space="preserve"> </w:t>
      </w:r>
      <w:r w:rsidR="003E1AA2" w:rsidRPr="003E1AA2">
        <w:rPr>
          <w:b/>
          <w:sz w:val="28"/>
          <w:szCs w:val="28"/>
        </w:rPr>
        <w:t xml:space="preserve">Ministru kabineta 2009.gada 4.augusta noteikumos Nr.864  </w:t>
      </w:r>
      <w:r w:rsidR="003E1AA2" w:rsidRPr="003E1AA2">
        <w:rPr>
          <w:b/>
          <w:bCs/>
          <w:iCs/>
          <w:sz w:val="28"/>
          <w:szCs w:val="28"/>
        </w:rPr>
        <w:t>,,</w:t>
      </w:r>
      <w:r w:rsidR="003E1AA2" w:rsidRPr="003E1AA2">
        <w:rPr>
          <w:b/>
          <w:bCs/>
          <w:sz w:val="28"/>
          <w:szCs w:val="28"/>
        </w:rPr>
        <w:t>Noteikumi par references laboratorijas statusa piešķiršanas un akreditācijas kārtību, funkcijām un pienākumiem, kā arī iekārtām un aprīkojumam noteiktajām prasībām pārtikas, dzīvnieku barības un veterinārajā jomā”</w:t>
      </w:r>
      <w:r>
        <w:rPr>
          <w:b/>
          <w:bCs/>
          <w:sz w:val="28"/>
          <w:szCs w:val="28"/>
        </w:rPr>
        <w:t>”</w:t>
      </w:r>
    </w:p>
    <w:p w:rsidR="00956BE6" w:rsidRPr="003E1AA2" w:rsidRDefault="00956BE6" w:rsidP="003B0F26">
      <w:pPr>
        <w:jc w:val="center"/>
        <w:rPr>
          <w:b/>
          <w:bCs/>
          <w:sz w:val="28"/>
          <w:szCs w:val="28"/>
        </w:rPr>
      </w:pPr>
      <w:r w:rsidRPr="003E1AA2">
        <w:rPr>
          <w:b/>
          <w:bCs/>
          <w:sz w:val="28"/>
          <w:szCs w:val="28"/>
        </w:rPr>
        <w:t>sākotnējās ietekmes novērtējuma ziņojums (anotācija)</w:t>
      </w:r>
    </w:p>
    <w:p w:rsidR="00451330" w:rsidRPr="00B4226B" w:rsidRDefault="00911FEB" w:rsidP="00B4226B">
      <w:pPr>
        <w:jc w:val="center"/>
        <w:rPr>
          <w:b/>
          <w:bCs/>
        </w:rPr>
      </w:pPr>
      <w:r>
        <w:rPr>
          <w:b/>
          <w:bCs/>
        </w:rPr>
        <w:t xml:space="preserve"> </w:t>
      </w:r>
    </w:p>
    <w:bookmarkEnd w:id="0"/>
    <w:bookmarkEnd w:id="1"/>
    <w:p w:rsidR="002F17DF" w:rsidRPr="003E4B12" w:rsidRDefault="002F17DF" w:rsidP="00586F93">
      <w:pPr>
        <w:jc w:val="center"/>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
        <w:gridCol w:w="2323"/>
        <w:gridCol w:w="6251"/>
      </w:tblGrid>
      <w:tr w:rsidR="002F17DF" w:rsidRPr="003E4B12" w:rsidTr="002F17DF">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2F17DF" w:rsidRPr="003E4B12" w:rsidRDefault="002F17DF" w:rsidP="006007F8">
            <w:pPr>
              <w:spacing w:before="100" w:beforeAutospacing="1" w:after="100" w:afterAutospacing="1"/>
              <w:jc w:val="center"/>
            </w:pPr>
            <w:r w:rsidRPr="003E4B12">
              <w:rPr>
                <w:b/>
                <w:bCs/>
              </w:rPr>
              <w:t>I. Tiesību akta projekta izstrādes nepieciešamība</w:t>
            </w:r>
          </w:p>
        </w:tc>
      </w:tr>
      <w:tr w:rsidR="002F17DF" w:rsidRPr="00A022E6" w:rsidTr="003E4B12">
        <w:trPr>
          <w:trHeight w:val="630"/>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2F17DF" w:rsidRPr="005725DE" w:rsidRDefault="002F17DF" w:rsidP="002F17DF">
            <w:pPr>
              <w:spacing w:before="100" w:beforeAutospacing="1" w:after="100" w:afterAutospacing="1"/>
              <w:rPr>
                <w:sz w:val="28"/>
                <w:szCs w:val="28"/>
              </w:rPr>
            </w:pPr>
            <w:r w:rsidRPr="005725DE">
              <w:rPr>
                <w:sz w:val="28"/>
                <w:szCs w:val="28"/>
              </w:rPr>
              <w:t> 1.</w:t>
            </w:r>
          </w:p>
        </w:tc>
        <w:tc>
          <w:tcPr>
            <w:tcW w:w="2323" w:type="dxa"/>
            <w:tcBorders>
              <w:top w:val="outset" w:sz="6" w:space="0" w:color="auto"/>
              <w:left w:val="outset" w:sz="6" w:space="0" w:color="auto"/>
              <w:bottom w:val="outset" w:sz="6" w:space="0" w:color="auto"/>
              <w:right w:val="outset" w:sz="6" w:space="0" w:color="auto"/>
            </w:tcBorders>
            <w:hideMark/>
          </w:tcPr>
          <w:p w:rsidR="002F17DF" w:rsidRPr="005725DE" w:rsidRDefault="002F17DF" w:rsidP="002F17DF">
            <w:pPr>
              <w:spacing w:before="100" w:beforeAutospacing="1" w:after="100" w:afterAutospacing="1"/>
              <w:rPr>
                <w:sz w:val="28"/>
                <w:szCs w:val="28"/>
              </w:rPr>
            </w:pPr>
            <w:r w:rsidRPr="005725DE">
              <w:rPr>
                <w:sz w:val="28"/>
                <w:szCs w:val="28"/>
              </w:rPr>
              <w:t> Pamatojums</w:t>
            </w:r>
          </w:p>
        </w:tc>
        <w:tc>
          <w:tcPr>
            <w:tcW w:w="6251" w:type="dxa"/>
            <w:tcBorders>
              <w:top w:val="outset" w:sz="6" w:space="0" w:color="auto"/>
              <w:left w:val="outset" w:sz="6" w:space="0" w:color="auto"/>
              <w:bottom w:val="outset" w:sz="6" w:space="0" w:color="auto"/>
              <w:right w:val="outset" w:sz="6" w:space="0" w:color="auto"/>
            </w:tcBorders>
            <w:hideMark/>
          </w:tcPr>
          <w:p w:rsidR="00995D80" w:rsidRPr="00A022E6" w:rsidRDefault="00A022E6" w:rsidP="00B4226B">
            <w:pPr>
              <w:jc w:val="both"/>
              <w:rPr>
                <w:bCs/>
                <w:sz w:val="28"/>
                <w:szCs w:val="28"/>
              </w:rPr>
            </w:pPr>
            <w:r>
              <w:rPr>
                <w:sz w:val="28"/>
                <w:szCs w:val="28"/>
              </w:rPr>
              <w:t xml:space="preserve">  </w:t>
            </w:r>
            <w:r w:rsidR="00956BE6" w:rsidRPr="002E0831">
              <w:rPr>
                <w:sz w:val="28"/>
                <w:szCs w:val="28"/>
              </w:rPr>
              <w:t>Ministru kabineta noteikumu projekts</w:t>
            </w:r>
            <w:r w:rsidR="003E1AA2">
              <w:rPr>
                <w:sz w:val="28"/>
                <w:szCs w:val="28"/>
              </w:rPr>
              <w:t xml:space="preserve"> </w:t>
            </w:r>
            <w:r w:rsidR="00F10541">
              <w:rPr>
                <w:sz w:val="28"/>
                <w:szCs w:val="28"/>
              </w:rPr>
              <w:t>„</w:t>
            </w:r>
            <w:r w:rsidR="001F4089">
              <w:rPr>
                <w:sz w:val="28"/>
                <w:szCs w:val="28"/>
              </w:rPr>
              <w:t>Grozījums</w:t>
            </w:r>
            <w:r w:rsidR="00956BE6" w:rsidRPr="002E0831">
              <w:rPr>
                <w:sz w:val="28"/>
                <w:szCs w:val="28"/>
              </w:rPr>
              <w:t xml:space="preserve"> </w:t>
            </w:r>
            <w:r w:rsidR="003E1AA2">
              <w:rPr>
                <w:sz w:val="28"/>
                <w:szCs w:val="28"/>
              </w:rPr>
              <w:t>Ministru kabineta 2009.gada 4.augusta noteikumos Nr.</w:t>
            </w:r>
            <w:r w:rsidR="003E1AA2" w:rsidRPr="004C3F41">
              <w:rPr>
                <w:sz w:val="28"/>
                <w:szCs w:val="28"/>
              </w:rPr>
              <w:t xml:space="preserve">864  </w:t>
            </w:r>
            <w:r w:rsidR="003E1AA2" w:rsidRPr="004C3F41">
              <w:rPr>
                <w:bCs/>
                <w:iCs/>
                <w:sz w:val="28"/>
                <w:szCs w:val="28"/>
              </w:rPr>
              <w:t>,,</w:t>
            </w:r>
            <w:r w:rsidR="003E1AA2" w:rsidRPr="004C3F41">
              <w:rPr>
                <w:bCs/>
                <w:sz w:val="28"/>
                <w:szCs w:val="28"/>
              </w:rPr>
              <w:t>Noteikumi par references laboratorijas statusa piešķiršanas un akreditācijas kārtību, funkcijām un pienākumiem, kā arī iekārtām un aprīkojumam noteiktajām prasībām pārtikas, dzīvnieku barības un veterinārajā jomā”</w:t>
            </w:r>
            <w:r w:rsidR="00F10541">
              <w:rPr>
                <w:bCs/>
                <w:sz w:val="28"/>
                <w:szCs w:val="28"/>
              </w:rPr>
              <w:t>”</w:t>
            </w:r>
            <w:r w:rsidR="003E1AA2" w:rsidRPr="00A022E6">
              <w:rPr>
                <w:sz w:val="28"/>
                <w:szCs w:val="28"/>
              </w:rPr>
              <w:t xml:space="preserve"> </w:t>
            </w:r>
            <w:r w:rsidR="00956BE6" w:rsidRPr="00A022E6">
              <w:rPr>
                <w:sz w:val="28"/>
                <w:szCs w:val="28"/>
              </w:rPr>
              <w:t xml:space="preserve">(turpmāk – </w:t>
            </w:r>
            <w:r w:rsidR="00956BE6" w:rsidRPr="00F10541">
              <w:rPr>
                <w:sz w:val="28"/>
                <w:szCs w:val="28"/>
              </w:rPr>
              <w:t>noteikumu projekts</w:t>
            </w:r>
            <w:r w:rsidR="00956BE6" w:rsidRPr="00A022E6">
              <w:rPr>
                <w:sz w:val="28"/>
                <w:szCs w:val="28"/>
              </w:rPr>
              <w:t xml:space="preserve">) izstrādāts </w:t>
            </w:r>
            <w:r w:rsidR="00E04F41" w:rsidRPr="00A022E6">
              <w:rPr>
                <w:sz w:val="28"/>
                <w:szCs w:val="28"/>
              </w:rPr>
              <w:t>saskaņā a</w:t>
            </w:r>
            <w:r w:rsidR="002508F1">
              <w:rPr>
                <w:sz w:val="28"/>
                <w:szCs w:val="28"/>
              </w:rPr>
              <w:t>r Ministru kabineta 2012.gada 21</w:t>
            </w:r>
            <w:r w:rsidR="00E04F41" w:rsidRPr="00A022E6">
              <w:rPr>
                <w:sz w:val="28"/>
                <w:szCs w:val="28"/>
              </w:rPr>
              <w:t>.februāra rīkojuma Nr.</w:t>
            </w:r>
            <w:r w:rsidR="004A2544" w:rsidRPr="00A022E6">
              <w:rPr>
                <w:sz w:val="28"/>
                <w:szCs w:val="28"/>
              </w:rPr>
              <w:t>101</w:t>
            </w:r>
            <w:r w:rsidR="00E04F41" w:rsidRPr="00A022E6">
              <w:rPr>
                <w:sz w:val="28"/>
                <w:szCs w:val="28"/>
              </w:rPr>
              <w:t xml:space="preserve"> „Par Slimību profilakses un kontroles centra izvei</w:t>
            </w:r>
            <w:r w:rsidR="001025FD">
              <w:rPr>
                <w:sz w:val="28"/>
                <w:szCs w:val="28"/>
              </w:rPr>
              <w:t>došanu un Veselības ministrijas</w:t>
            </w:r>
            <w:r w:rsidR="002508F1">
              <w:rPr>
                <w:sz w:val="28"/>
                <w:szCs w:val="28"/>
              </w:rPr>
              <w:t xml:space="preserve"> un Zemkopības ministrijas</w:t>
            </w:r>
            <w:r w:rsidR="001025FD">
              <w:rPr>
                <w:sz w:val="28"/>
                <w:szCs w:val="28"/>
              </w:rPr>
              <w:t xml:space="preserve"> </w:t>
            </w:r>
            <w:r w:rsidR="00E04F41" w:rsidRPr="00A022E6">
              <w:rPr>
                <w:sz w:val="28"/>
                <w:szCs w:val="28"/>
              </w:rPr>
              <w:t>padotībā esošo valsts pārvaldes iestāžu reorgan</w:t>
            </w:r>
            <w:r w:rsidR="004A2544" w:rsidRPr="00A022E6">
              <w:rPr>
                <w:sz w:val="28"/>
                <w:szCs w:val="28"/>
              </w:rPr>
              <w:t xml:space="preserve">izāciju” (turpmāk – </w:t>
            </w:r>
            <w:r w:rsidR="004A2544" w:rsidRPr="00F10541">
              <w:rPr>
                <w:sz w:val="28"/>
                <w:szCs w:val="28"/>
              </w:rPr>
              <w:t>MK rīkojums</w:t>
            </w:r>
            <w:r w:rsidR="004A2544" w:rsidRPr="00A022E6">
              <w:rPr>
                <w:sz w:val="28"/>
                <w:szCs w:val="28"/>
              </w:rPr>
              <w:t>)</w:t>
            </w:r>
            <w:r w:rsidR="0003167E" w:rsidRPr="00A022E6">
              <w:rPr>
                <w:sz w:val="28"/>
                <w:szCs w:val="28"/>
              </w:rPr>
              <w:t>1.</w:t>
            </w:r>
            <w:r w:rsidR="00B4226B">
              <w:rPr>
                <w:sz w:val="28"/>
                <w:szCs w:val="28"/>
              </w:rPr>
              <w:t>,</w:t>
            </w:r>
            <w:r w:rsidR="004A2544" w:rsidRPr="00A022E6">
              <w:rPr>
                <w:sz w:val="28"/>
                <w:szCs w:val="28"/>
              </w:rPr>
              <w:t xml:space="preserve"> </w:t>
            </w:r>
            <w:r w:rsidR="005725DE" w:rsidRPr="00A022E6">
              <w:rPr>
                <w:sz w:val="28"/>
                <w:szCs w:val="28"/>
              </w:rPr>
              <w:t>2.</w:t>
            </w:r>
            <w:r w:rsidR="00B4226B">
              <w:rPr>
                <w:sz w:val="28"/>
                <w:szCs w:val="28"/>
              </w:rPr>
              <w:t xml:space="preserve"> </w:t>
            </w:r>
            <w:r w:rsidR="00DC1C61">
              <w:rPr>
                <w:sz w:val="28"/>
                <w:szCs w:val="28"/>
              </w:rPr>
              <w:t>u</w:t>
            </w:r>
            <w:r w:rsidR="00B4226B">
              <w:rPr>
                <w:sz w:val="28"/>
                <w:szCs w:val="28"/>
              </w:rPr>
              <w:t>n 17.</w:t>
            </w:r>
            <w:r w:rsidR="00E04F41" w:rsidRPr="00A022E6">
              <w:rPr>
                <w:sz w:val="28"/>
                <w:szCs w:val="28"/>
              </w:rPr>
              <w:t>punktu</w:t>
            </w:r>
            <w:r w:rsidR="004834C7" w:rsidRPr="00A022E6">
              <w:rPr>
                <w:sz w:val="28"/>
                <w:szCs w:val="28"/>
              </w:rPr>
              <w:t>.</w:t>
            </w:r>
          </w:p>
        </w:tc>
      </w:tr>
      <w:tr w:rsidR="00956BE6" w:rsidRPr="005725DE" w:rsidTr="003E4B12">
        <w:trPr>
          <w:trHeight w:val="472"/>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2F17DF">
            <w:pPr>
              <w:spacing w:before="100" w:beforeAutospacing="1" w:after="100" w:afterAutospacing="1"/>
              <w:rPr>
                <w:sz w:val="28"/>
                <w:szCs w:val="28"/>
              </w:rPr>
            </w:pPr>
            <w:r w:rsidRPr="005725DE">
              <w:rPr>
                <w:sz w:val="28"/>
                <w:szCs w:val="28"/>
              </w:rPr>
              <w:t> 2.</w:t>
            </w:r>
          </w:p>
        </w:tc>
        <w:tc>
          <w:tcPr>
            <w:tcW w:w="2323" w:type="dxa"/>
            <w:tcBorders>
              <w:top w:val="outset" w:sz="6" w:space="0" w:color="auto"/>
              <w:left w:val="outset" w:sz="6" w:space="0" w:color="auto"/>
              <w:bottom w:val="outset" w:sz="6" w:space="0" w:color="auto"/>
              <w:right w:val="outset" w:sz="6" w:space="0" w:color="auto"/>
            </w:tcBorders>
            <w:hideMark/>
          </w:tcPr>
          <w:p w:rsidR="00956BE6" w:rsidRPr="005725DE" w:rsidRDefault="00956BE6" w:rsidP="002F17DF">
            <w:pPr>
              <w:spacing w:before="100" w:beforeAutospacing="1" w:after="100" w:afterAutospacing="1"/>
              <w:rPr>
                <w:sz w:val="28"/>
                <w:szCs w:val="28"/>
              </w:rPr>
            </w:pPr>
            <w:r w:rsidRPr="005725DE">
              <w:rPr>
                <w:sz w:val="28"/>
                <w:szCs w:val="28"/>
              </w:rPr>
              <w:t> Pašreizējā situācija un problēmas</w:t>
            </w:r>
          </w:p>
        </w:tc>
        <w:tc>
          <w:tcPr>
            <w:tcW w:w="6251" w:type="dxa"/>
            <w:tcBorders>
              <w:top w:val="outset" w:sz="6" w:space="0" w:color="auto"/>
              <w:left w:val="outset" w:sz="6" w:space="0" w:color="auto"/>
              <w:bottom w:val="outset" w:sz="6" w:space="0" w:color="auto"/>
              <w:right w:val="outset" w:sz="6" w:space="0" w:color="auto"/>
            </w:tcBorders>
            <w:hideMark/>
          </w:tcPr>
          <w:p w:rsidR="003E1AA2" w:rsidRDefault="003E1AA2" w:rsidP="00750E0B">
            <w:pPr>
              <w:jc w:val="both"/>
              <w:rPr>
                <w:sz w:val="28"/>
                <w:szCs w:val="28"/>
              </w:rPr>
            </w:pPr>
            <w:r>
              <w:rPr>
                <w:sz w:val="28"/>
                <w:szCs w:val="28"/>
              </w:rPr>
              <w:t xml:space="preserve"> Ministru kabineta 2009.gada 4.augusta noteikumos Nr.</w:t>
            </w:r>
            <w:r w:rsidRPr="004C3F41">
              <w:rPr>
                <w:sz w:val="28"/>
                <w:szCs w:val="28"/>
              </w:rPr>
              <w:t xml:space="preserve">864  </w:t>
            </w:r>
            <w:r w:rsidRPr="004C3F41">
              <w:rPr>
                <w:bCs/>
                <w:iCs/>
                <w:sz w:val="28"/>
                <w:szCs w:val="28"/>
              </w:rPr>
              <w:t>,,</w:t>
            </w:r>
            <w:r w:rsidRPr="004C3F41">
              <w:rPr>
                <w:bCs/>
                <w:sz w:val="28"/>
                <w:szCs w:val="28"/>
              </w:rPr>
              <w:t>Noteikumi par references laboratorijas statusa piešķiršanas un akreditācijas kārtību, funkcijām un pienākumiem, kā arī iekārtām un aprīkojumam noteiktajām prasībām pārtikas, dzīvnieku barības un veterinārajā jomā”</w:t>
            </w:r>
            <w:r w:rsidRPr="00A022E6">
              <w:rPr>
                <w:sz w:val="28"/>
                <w:szCs w:val="28"/>
              </w:rPr>
              <w:t xml:space="preserve"> </w:t>
            </w:r>
            <w:r w:rsidR="00A103B3" w:rsidRPr="009958AC">
              <w:rPr>
                <w:sz w:val="28"/>
                <w:szCs w:val="28"/>
              </w:rPr>
              <w:t xml:space="preserve"> </w:t>
            </w:r>
            <w:r w:rsidR="006B7219" w:rsidRPr="009958AC">
              <w:rPr>
                <w:sz w:val="28"/>
                <w:szCs w:val="28"/>
              </w:rPr>
              <w:t xml:space="preserve">(turpmāk – </w:t>
            </w:r>
            <w:r w:rsidR="006B7219" w:rsidRPr="00F10541">
              <w:rPr>
                <w:sz w:val="28"/>
                <w:szCs w:val="28"/>
              </w:rPr>
              <w:t>MK noteikumi</w:t>
            </w:r>
            <w:r w:rsidR="006B7219" w:rsidRPr="009958AC">
              <w:rPr>
                <w:sz w:val="28"/>
                <w:szCs w:val="28"/>
              </w:rPr>
              <w:t>)</w:t>
            </w:r>
            <w:r w:rsidR="00747BFD" w:rsidRPr="009958AC">
              <w:rPr>
                <w:sz w:val="28"/>
                <w:szCs w:val="28"/>
              </w:rPr>
              <w:t xml:space="preserve"> </w:t>
            </w:r>
            <w:r>
              <w:rPr>
                <w:bCs/>
                <w:sz w:val="28"/>
                <w:szCs w:val="28"/>
              </w:rPr>
              <w:t>28.3 apakšpunkts nosaka</w:t>
            </w:r>
            <w:r w:rsidR="00F10541">
              <w:rPr>
                <w:bCs/>
                <w:sz w:val="28"/>
                <w:szCs w:val="28"/>
              </w:rPr>
              <w:t>, ka</w:t>
            </w:r>
            <w:r>
              <w:rPr>
                <w:bCs/>
                <w:sz w:val="28"/>
                <w:szCs w:val="28"/>
              </w:rPr>
              <w:t xml:space="preserve"> </w:t>
            </w:r>
            <w:r w:rsidR="00750E0B">
              <w:rPr>
                <w:sz w:val="28"/>
                <w:szCs w:val="28"/>
              </w:rPr>
              <w:t xml:space="preserve"> </w:t>
            </w:r>
            <w:r w:rsidR="00F10541">
              <w:rPr>
                <w:sz w:val="28"/>
                <w:szCs w:val="28"/>
              </w:rPr>
              <w:t>valsts aģentūra</w:t>
            </w:r>
            <w:r w:rsidR="006B7219" w:rsidRPr="005725DE">
              <w:rPr>
                <w:sz w:val="28"/>
                <w:szCs w:val="28"/>
              </w:rPr>
              <w:t xml:space="preserve"> „Latvijas Infektoloģijas centrs” (turpmāk - </w:t>
            </w:r>
            <w:r w:rsidR="006B7219" w:rsidRPr="00F10541">
              <w:rPr>
                <w:sz w:val="28"/>
                <w:szCs w:val="28"/>
              </w:rPr>
              <w:t>Infektoloģijas centrs</w:t>
            </w:r>
            <w:r w:rsidR="00AE363E" w:rsidRPr="005725DE">
              <w:rPr>
                <w:sz w:val="28"/>
                <w:szCs w:val="28"/>
              </w:rPr>
              <w:t>)</w:t>
            </w:r>
            <w:r w:rsidR="00F10541">
              <w:rPr>
                <w:sz w:val="28"/>
                <w:szCs w:val="28"/>
              </w:rPr>
              <w:t xml:space="preserve"> sadarbojas ar references laboratoriju informācijas apmaiņā par </w:t>
            </w:r>
            <w:r w:rsidR="00C551F2">
              <w:rPr>
                <w:sz w:val="28"/>
                <w:szCs w:val="28"/>
              </w:rPr>
              <w:t>laboratoriju diagnostikā lietojamām metodēm</w:t>
            </w:r>
            <w:r>
              <w:rPr>
                <w:sz w:val="28"/>
                <w:szCs w:val="28"/>
              </w:rPr>
              <w:t>.</w:t>
            </w:r>
          </w:p>
          <w:p w:rsidR="00E04F41" w:rsidRDefault="006B7219" w:rsidP="008A0084">
            <w:pPr>
              <w:jc w:val="both"/>
              <w:rPr>
                <w:color w:val="000000"/>
                <w:sz w:val="28"/>
                <w:szCs w:val="28"/>
              </w:rPr>
            </w:pPr>
            <w:r w:rsidRPr="005725DE">
              <w:rPr>
                <w:sz w:val="28"/>
                <w:szCs w:val="28"/>
              </w:rPr>
              <w:t xml:space="preserve"> </w:t>
            </w:r>
            <w:r w:rsidR="008A0084">
              <w:rPr>
                <w:sz w:val="28"/>
                <w:szCs w:val="28"/>
              </w:rPr>
              <w:t xml:space="preserve">MK </w:t>
            </w:r>
            <w:r w:rsidR="00AE363E" w:rsidRPr="005725DE">
              <w:rPr>
                <w:sz w:val="28"/>
                <w:szCs w:val="28"/>
              </w:rPr>
              <w:t xml:space="preserve">rīkojums </w:t>
            </w:r>
            <w:r w:rsidRPr="005725DE">
              <w:rPr>
                <w:sz w:val="28"/>
                <w:szCs w:val="28"/>
              </w:rPr>
              <w:t>paredz</w:t>
            </w:r>
            <w:r w:rsidR="003E1AA2">
              <w:rPr>
                <w:sz w:val="28"/>
                <w:szCs w:val="28"/>
              </w:rPr>
              <w:t xml:space="preserve">, ka ar </w:t>
            </w:r>
            <w:r w:rsidRPr="005725DE">
              <w:rPr>
                <w:sz w:val="28"/>
                <w:szCs w:val="28"/>
              </w:rPr>
              <w:t xml:space="preserve"> </w:t>
            </w:r>
            <w:r w:rsidR="00E04F41" w:rsidRPr="005725DE">
              <w:rPr>
                <w:color w:val="000000"/>
                <w:sz w:val="28"/>
                <w:szCs w:val="28"/>
              </w:rPr>
              <w:t>2012.gada 1.aprīl</w:t>
            </w:r>
            <w:r w:rsidR="003E1AA2">
              <w:rPr>
                <w:color w:val="000000"/>
                <w:sz w:val="28"/>
                <w:szCs w:val="28"/>
              </w:rPr>
              <w:t xml:space="preserve">i </w:t>
            </w:r>
            <w:r w:rsidR="003E1AA2" w:rsidRPr="005725DE">
              <w:rPr>
                <w:color w:val="000000"/>
                <w:sz w:val="28"/>
                <w:szCs w:val="28"/>
              </w:rPr>
              <w:t xml:space="preserve"> Infektoloģijas centrs beidz pastāvēt</w:t>
            </w:r>
            <w:r w:rsidR="003E1AA2">
              <w:rPr>
                <w:color w:val="000000"/>
                <w:sz w:val="28"/>
                <w:szCs w:val="28"/>
              </w:rPr>
              <w:t>.</w:t>
            </w:r>
          </w:p>
          <w:p w:rsidR="003E1AA2" w:rsidRPr="005725DE" w:rsidRDefault="003E1AA2" w:rsidP="00750E0B">
            <w:pPr>
              <w:jc w:val="both"/>
              <w:rPr>
                <w:color w:val="000000"/>
                <w:sz w:val="28"/>
                <w:szCs w:val="28"/>
              </w:rPr>
            </w:pPr>
          </w:p>
          <w:p w:rsidR="00991AC9" w:rsidRPr="005725DE" w:rsidRDefault="00F10541" w:rsidP="00750E0B">
            <w:pPr>
              <w:widowControl w:val="0"/>
              <w:autoSpaceDE w:val="0"/>
              <w:autoSpaceDN w:val="0"/>
              <w:adjustRightInd w:val="0"/>
              <w:jc w:val="both"/>
              <w:rPr>
                <w:sz w:val="28"/>
                <w:szCs w:val="28"/>
              </w:rPr>
            </w:pPr>
            <w:r>
              <w:rPr>
                <w:sz w:val="28"/>
                <w:szCs w:val="28"/>
              </w:rPr>
              <w:t xml:space="preserve"> </w:t>
            </w:r>
            <w:r w:rsidR="00D628C6" w:rsidRPr="005725DE">
              <w:rPr>
                <w:sz w:val="28"/>
                <w:szCs w:val="28"/>
              </w:rPr>
              <w:t xml:space="preserve">Saskaņā ar MK rīkojuma </w:t>
            </w:r>
            <w:r>
              <w:rPr>
                <w:sz w:val="28"/>
                <w:szCs w:val="28"/>
              </w:rPr>
              <w:t>3</w:t>
            </w:r>
            <w:r w:rsidR="006B7219" w:rsidRPr="005725DE">
              <w:rPr>
                <w:sz w:val="28"/>
                <w:szCs w:val="28"/>
              </w:rPr>
              <w:t>.</w:t>
            </w:r>
            <w:r w:rsidR="003E1AA2">
              <w:rPr>
                <w:sz w:val="28"/>
                <w:szCs w:val="28"/>
              </w:rPr>
              <w:t>2</w:t>
            </w:r>
            <w:r>
              <w:rPr>
                <w:sz w:val="28"/>
                <w:szCs w:val="28"/>
              </w:rPr>
              <w:t>.4</w:t>
            </w:r>
            <w:r w:rsidR="004A1928">
              <w:rPr>
                <w:sz w:val="28"/>
                <w:szCs w:val="28"/>
              </w:rPr>
              <w:t>.</w:t>
            </w:r>
            <w:r w:rsidR="006B7219" w:rsidRPr="005725DE">
              <w:rPr>
                <w:sz w:val="28"/>
                <w:szCs w:val="28"/>
              </w:rPr>
              <w:t xml:space="preserve">apakšpunktu </w:t>
            </w:r>
            <w:r w:rsidR="003E1AA2">
              <w:rPr>
                <w:color w:val="000000"/>
                <w:sz w:val="28"/>
                <w:szCs w:val="28"/>
              </w:rPr>
              <w:t xml:space="preserve">sabiedrība ar ierobežotu atbildību </w:t>
            </w:r>
            <w:r w:rsidR="004A1928">
              <w:rPr>
                <w:color w:val="000000"/>
                <w:sz w:val="28"/>
                <w:szCs w:val="28"/>
              </w:rPr>
              <w:t xml:space="preserve">,,Rīgas Austrumu klīniskā universitātes slimnīca” </w:t>
            </w:r>
            <w:r w:rsidR="00991AC9" w:rsidRPr="005725DE">
              <w:rPr>
                <w:sz w:val="28"/>
                <w:szCs w:val="28"/>
              </w:rPr>
              <w:t xml:space="preserve">pārņem </w:t>
            </w:r>
            <w:r w:rsidR="006B7219" w:rsidRPr="005725DE">
              <w:rPr>
                <w:sz w:val="28"/>
                <w:szCs w:val="28"/>
              </w:rPr>
              <w:t>Infektoloģijas centr</w:t>
            </w:r>
            <w:r w:rsidR="00991AC9" w:rsidRPr="005725DE">
              <w:rPr>
                <w:sz w:val="28"/>
                <w:szCs w:val="28"/>
              </w:rPr>
              <w:t>a</w:t>
            </w:r>
            <w:r w:rsidR="00C551F2">
              <w:rPr>
                <w:sz w:val="28"/>
                <w:szCs w:val="28"/>
              </w:rPr>
              <w:t xml:space="preserve"> funkciju sadarbībai ar references laboratoriju.</w:t>
            </w:r>
          </w:p>
          <w:p w:rsidR="00995D80" w:rsidRPr="005725DE" w:rsidRDefault="00991AC9" w:rsidP="000B26FB">
            <w:pPr>
              <w:jc w:val="both"/>
              <w:rPr>
                <w:sz w:val="28"/>
                <w:szCs w:val="28"/>
              </w:rPr>
            </w:pPr>
            <w:r w:rsidRPr="005725DE">
              <w:rPr>
                <w:sz w:val="28"/>
                <w:szCs w:val="28"/>
              </w:rPr>
              <w:t xml:space="preserve">Līdz ar to nepieciešams veikt tehniskus grozījumus </w:t>
            </w:r>
            <w:r w:rsidRPr="005725DE">
              <w:rPr>
                <w:sz w:val="28"/>
                <w:szCs w:val="28"/>
              </w:rPr>
              <w:lastRenderedPageBreak/>
              <w:t>MK noteikumos, aizstājot iestādes nosaukumu</w:t>
            </w:r>
            <w:r w:rsidR="000B26FB">
              <w:rPr>
                <w:sz w:val="28"/>
                <w:szCs w:val="28"/>
              </w:rPr>
              <w:t xml:space="preserve"> „</w:t>
            </w:r>
            <w:r w:rsidR="000B26FB" w:rsidRPr="005725DE">
              <w:rPr>
                <w:sz w:val="28"/>
                <w:szCs w:val="28"/>
              </w:rPr>
              <w:t>valsts aģentūra „Latvijas Infektoloģijas centrs”</w:t>
            </w:r>
            <w:r w:rsidR="000B26FB">
              <w:rPr>
                <w:sz w:val="28"/>
                <w:szCs w:val="28"/>
              </w:rPr>
              <w:t>”</w:t>
            </w:r>
            <w:r w:rsidR="000B26FB" w:rsidRPr="005725DE">
              <w:rPr>
                <w:sz w:val="28"/>
                <w:szCs w:val="28"/>
              </w:rPr>
              <w:t xml:space="preserve"> ar vārdiem </w:t>
            </w:r>
            <w:r w:rsidR="000B26FB">
              <w:rPr>
                <w:sz w:val="28"/>
                <w:szCs w:val="28"/>
              </w:rPr>
              <w:t>,,</w:t>
            </w:r>
            <w:r w:rsidR="000B26FB">
              <w:rPr>
                <w:color w:val="000000"/>
                <w:sz w:val="28"/>
                <w:szCs w:val="28"/>
              </w:rPr>
              <w:t xml:space="preserve">sabiedrība ar ierobežotu atbildību ,,Rīgas Austrumu klīniskā universitātes slimnīca””. </w:t>
            </w:r>
          </w:p>
        </w:tc>
      </w:tr>
      <w:tr w:rsidR="00956BE6" w:rsidRPr="005725DE" w:rsidTr="003E4B12">
        <w:trPr>
          <w:trHeight w:val="759"/>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2F17DF">
            <w:pPr>
              <w:spacing w:before="100" w:beforeAutospacing="1" w:after="100" w:afterAutospacing="1"/>
              <w:rPr>
                <w:sz w:val="28"/>
                <w:szCs w:val="28"/>
              </w:rPr>
            </w:pPr>
            <w:r w:rsidRPr="005725DE">
              <w:rPr>
                <w:sz w:val="28"/>
                <w:szCs w:val="28"/>
              </w:rPr>
              <w:lastRenderedPageBreak/>
              <w:t> 3.</w:t>
            </w:r>
          </w:p>
        </w:tc>
        <w:tc>
          <w:tcPr>
            <w:tcW w:w="2323" w:type="dxa"/>
            <w:tcBorders>
              <w:top w:val="outset" w:sz="6" w:space="0" w:color="auto"/>
              <w:left w:val="outset" w:sz="6" w:space="0" w:color="auto"/>
              <w:bottom w:val="outset" w:sz="6" w:space="0" w:color="auto"/>
              <w:right w:val="outset" w:sz="6" w:space="0" w:color="auto"/>
            </w:tcBorders>
            <w:hideMark/>
          </w:tcPr>
          <w:p w:rsidR="00956BE6" w:rsidRPr="005725DE" w:rsidRDefault="00956BE6" w:rsidP="002F17DF">
            <w:pPr>
              <w:spacing w:before="100" w:beforeAutospacing="1" w:after="100" w:afterAutospacing="1"/>
              <w:rPr>
                <w:sz w:val="28"/>
                <w:szCs w:val="28"/>
              </w:rPr>
            </w:pPr>
            <w:r w:rsidRPr="005725DE">
              <w:rPr>
                <w:sz w:val="28"/>
                <w:szCs w:val="28"/>
              </w:rPr>
              <w:t> Saistītie politikas ietekmes novērtējumi un pētījumi</w:t>
            </w:r>
          </w:p>
        </w:tc>
        <w:tc>
          <w:tcPr>
            <w:tcW w:w="6251" w:type="dxa"/>
            <w:tcBorders>
              <w:top w:val="outset" w:sz="6" w:space="0" w:color="auto"/>
              <w:left w:val="outset" w:sz="6" w:space="0" w:color="auto"/>
              <w:bottom w:val="outset" w:sz="6" w:space="0" w:color="auto"/>
              <w:right w:val="outset" w:sz="6" w:space="0" w:color="auto"/>
            </w:tcBorders>
            <w:hideMark/>
          </w:tcPr>
          <w:p w:rsidR="00956BE6" w:rsidRPr="005725DE" w:rsidRDefault="00956BE6" w:rsidP="007755B7">
            <w:pPr>
              <w:jc w:val="both"/>
              <w:rPr>
                <w:sz w:val="28"/>
                <w:szCs w:val="28"/>
              </w:rPr>
            </w:pPr>
            <w:r w:rsidRPr="005725DE">
              <w:rPr>
                <w:sz w:val="28"/>
                <w:szCs w:val="28"/>
              </w:rPr>
              <w:t>Projekts šo jomu neskar</w:t>
            </w:r>
          </w:p>
        </w:tc>
      </w:tr>
      <w:tr w:rsidR="00956BE6" w:rsidRPr="005725DE" w:rsidTr="003E4B12">
        <w:trPr>
          <w:trHeight w:val="384"/>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2F17DF">
            <w:pPr>
              <w:spacing w:before="100" w:beforeAutospacing="1" w:after="100" w:afterAutospacing="1"/>
              <w:rPr>
                <w:sz w:val="28"/>
                <w:szCs w:val="28"/>
              </w:rPr>
            </w:pPr>
            <w:r w:rsidRPr="005725DE">
              <w:rPr>
                <w:sz w:val="28"/>
                <w:szCs w:val="28"/>
              </w:rPr>
              <w:t> 4.</w:t>
            </w:r>
          </w:p>
        </w:tc>
        <w:tc>
          <w:tcPr>
            <w:tcW w:w="2323" w:type="dxa"/>
            <w:tcBorders>
              <w:top w:val="outset" w:sz="6" w:space="0" w:color="auto"/>
              <w:left w:val="outset" w:sz="6" w:space="0" w:color="auto"/>
              <w:bottom w:val="outset" w:sz="6" w:space="0" w:color="auto"/>
              <w:right w:val="outset" w:sz="6" w:space="0" w:color="auto"/>
            </w:tcBorders>
            <w:hideMark/>
          </w:tcPr>
          <w:p w:rsidR="00956BE6" w:rsidRPr="005725DE" w:rsidRDefault="00956BE6" w:rsidP="002F17DF">
            <w:pPr>
              <w:spacing w:before="100" w:beforeAutospacing="1" w:after="100" w:afterAutospacing="1"/>
              <w:rPr>
                <w:sz w:val="28"/>
                <w:szCs w:val="28"/>
              </w:rPr>
            </w:pPr>
            <w:r w:rsidRPr="005725DE">
              <w:rPr>
                <w:sz w:val="28"/>
                <w:szCs w:val="28"/>
              </w:rPr>
              <w:t> Tiesiskā regulējuma mērķis un būtība</w:t>
            </w:r>
          </w:p>
        </w:tc>
        <w:tc>
          <w:tcPr>
            <w:tcW w:w="6251" w:type="dxa"/>
            <w:tcBorders>
              <w:top w:val="outset" w:sz="6" w:space="0" w:color="auto"/>
              <w:left w:val="outset" w:sz="6" w:space="0" w:color="auto"/>
              <w:bottom w:val="outset" w:sz="6" w:space="0" w:color="auto"/>
              <w:right w:val="outset" w:sz="6" w:space="0" w:color="auto"/>
            </w:tcBorders>
            <w:hideMark/>
          </w:tcPr>
          <w:p w:rsidR="004A1928" w:rsidRPr="00761F15" w:rsidRDefault="00761F15" w:rsidP="00761F15">
            <w:pPr>
              <w:jc w:val="both"/>
              <w:rPr>
                <w:sz w:val="28"/>
                <w:szCs w:val="28"/>
              </w:rPr>
            </w:pPr>
            <w:r>
              <w:rPr>
                <w:sz w:val="28"/>
                <w:szCs w:val="28"/>
              </w:rPr>
              <w:t xml:space="preserve">Noteikumu projekta  mērķis </w:t>
            </w:r>
            <w:r w:rsidR="00055E6C">
              <w:rPr>
                <w:sz w:val="28"/>
                <w:szCs w:val="28"/>
              </w:rPr>
              <w:t xml:space="preserve">un būtība </w:t>
            </w:r>
            <w:r>
              <w:rPr>
                <w:sz w:val="28"/>
                <w:szCs w:val="28"/>
              </w:rPr>
              <w:t>ir veikt tehnisko</w:t>
            </w:r>
            <w:r w:rsidRPr="005725DE">
              <w:rPr>
                <w:sz w:val="28"/>
                <w:szCs w:val="28"/>
              </w:rPr>
              <w:t xml:space="preserve">s grozījumus, aizstājot nosaukumu </w:t>
            </w:r>
            <w:r>
              <w:rPr>
                <w:sz w:val="28"/>
                <w:szCs w:val="28"/>
              </w:rPr>
              <w:t>„</w:t>
            </w:r>
            <w:r w:rsidRPr="005725DE">
              <w:rPr>
                <w:sz w:val="28"/>
                <w:szCs w:val="28"/>
              </w:rPr>
              <w:t>valsts aģentūra „Latvijas Infektoloģijas centrs”</w:t>
            </w:r>
            <w:r>
              <w:rPr>
                <w:sz w:val="28"/>
                <w:szCs w:val="28"/>
              </w:rPr>
              <w:t>”</w:t>
            </w:r>
            <w:r w:rsidRPr="005725DE">
              <w:rPr>
                <w:sz w:val="28"/>
                <w:szCs w:val="28"/>
              </w:rPr>
              <w:t xml:space="preserve"> ar vārdiem </w:t>
            </w:r>
            <w:r w:rsidR="005905F8">
              <w:rPr>
                <w:sz w:val="28"/>
                <w:szCs w:val="28"/>
              </w:rPr>
              <w:t>,,</w:t>
            </w:r>
            <w:r w:rsidR="005905F8">
              <w:rPr>
                <w:color w:val="000000"/>
                <w:sz w:val="28"/>
                <w:szCs w:val="28"/>
              </w:rPr>
              <w:t xml:space="preserve">sabiedrība ar ierobežotu atbildību </w:t>
            </w:r>
            <w:r w:rsidR="004A1928">
              <w:rPr>
                <w:color w:val="000000"/>
                <w:sz w:val="28"/>
                <w:szCs w:val="28"/>
              </w:rPr>
              <w:t>,,Rīgas Austrumu klīniskā universitātes slimnīca”</w:t>
            </w:r>
            <w:r w:rsidR="005905F8">
              <w:rPr>
                <w:color w:val="000000"/>
                <w:sz w:val="28"/>
                <w:szCs w:val="28"/>
              </w:rPr>
              <w:t>”</w:t>
            </w:r>
            <w:r w:rsidR="004A1928">
              <w:rPr>
                <w:color w:val="000000"/>
                <w:sz w:val="28"/>
                <w:szCs w:val="28"/>
              </w:rPr>
              <w:t xml:space="preserve">. </w:t>
            </w:r>
          </w:p>
          <w:p w:rsidR="0061287A" w:rsidRPr="005725DE" w:rsidRDefault="00661A63" w:rsidP="000B26FB">
            <w:pPr>
              <w:jc w:val="both"/>
              <w:rPr>
                <w:sz w:val="28"/>
                <w:szCs w:val="28"/>
              </w:rPr>
            </w:pPr>
            <w:r w:rsidRPr="005725DE">
              <w:rPr>
                <w:sz w:val="28"/>
                <w:szCs w:val="28"/>
              </w:rPr>
              <w:t>Noteikumu projekts atrisinās 2.punktā minēt</w:t>
            </w:r>
            <w:r w:rsidR="000B26FB">
              <w:rPr>
                <w:sz w:val="28"/>
                <w:szCs w:val="28"/>
              </w:rPr>
              <w:t>o problēmu</w:t>
            </w:r>
            <w:r w:rsidRPr="005725DE">
              <w:rPr>
                <w:sz w:val="28"/>
                <w:szCs w:val="28"/>
              </w:rPr>
              <w:t>.</w:t>
            </w:r>
          </w:p>
        </w:tc>
      </w:tr>
      <w:tr w:rsidR="00956BE6" w:rsidRPr="005725DE" w:rsidTr="003E4B12">
        <w:trPr>
          <w:trHeight w:val="476"/>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6F266A">
            <w:pPr>
              <w:spacing w:before="100" w:beforeAutospacing="1" w:after="100" w:afterAutospacing="1"/>
              <w:rPr>
                <w:sz w:val="28"/>
                <w:szCs w:val="28"/>
              </w:rPr>
            </w:pPr>
            <w:r w:rsidRPr="005725DE">
              <w:rPr>
                <w:sz w:val="28"/>
                <w:szCs w:val="28"/>
              </w:rPr>
              <w:t> 5.</w:t>
            </w:r>
          </w:p>
        </w:tc>
        <w:tc>
          <w:tcPr>
            <w:tcW w:w="2323" w:type="dxa"/>
            <w:tcBorders>
              <w:top w:val="outset" w:sz="6" w:space="0" w:color="auto"/>
              <w:left w:val="outset" w:sz="6" w:space="0" w:color="auto"/>
              <w:bottom w:val="outset" w:sz="6" w:space="0" w:color="auto"/>
              <w:right w:val="outset" w:sz="6" w:space="0" w:color="auto"/>
            </w:tcBorders>
            <w:hideMark/>
          </w:tcPr>
          <w:p w:rsidR="00956BE6" w:rsidRPr="005725DE" w:rsidRDefault="00956BE6" w:rsidP="002F17DF">
            <w:pPr>
              <w:spacing w:before="100" w:beforeAutospacing="1" w:after="100" w:afterAutospacing="1"/>
              <w:rPr>
                <w:sz w:val="28"/>
                <w:szCs w:val="28"/>
              </w:rPr>
            </w:pPr>
            <w:r w:rsidRPr="005725DE">
              <w:rPr>
                <w:sz w:val="28"/>
                <w:szCs w:val="28"/>
              </w:rPr>
              <w:t> Projekta izstrādē iesaistītās institūcijas</w:t>
            </w:r>
          </w:p>
        </w:tc>
        <w:tc>
          <w:tcPr>
            <w:tcW w:w="6251" w:type="dxa"/>
            <w:tcBorders>
              <w:top w:val="outset" w:sz="6" w:space="0" w:color="auto"/>
              <w:left w:val="outset" w:sz="6" w:space="0" w:color="auto"/>
              <w:bottom w:val="outset" w:sz="6" w:space="0" w:color="auto"/>
              <w:right w:val="outset" w:sz="6" w:space="0" w:color="auto"/>
            </w:tcBorders>
            <w:hideMark/>
          </w:tcPr>
          <w:p w:rsidR="00956BE6" w:rsidRPr="005725DE" w:rsidRDefault="00FD4353" w:rsidP="007755B7">
            <w:pPr>
              <w:pStyle w:val="BodyTextIndent"/>
              <w:autoSpaceDE w:val="0"/>
              <w:autoSpaceDN w:val="0"/>
              <w:adjustRightInd w:val="0"/>
              <w:spacing w:after="0"/>
              <w:ind w:left="0"/>
              <w:jc w:val="both"/>
              <w:rPr>
                <w:sz w:val="28"/>
                <w:szCs w:val="28"/>
                <w:u w:val="single"/>
                <w:lang w:val="sv-SE"/>
              </w:rPr>
            </w:pPr>
            <w:r w:rsidRPr="005725DE">
              <w:rPr>
                <w:sz w:val="28"/>
                <w:szCs w:val="28"/>
                <w:lang w:val="sv-SE"/>
              </w:rPr>
              <w:t>Veselības ministrija sadarbībā ar Infektoloģijas centru</w:t>
            </w:r>
          </w:p>
        </w:tc>
      </w:tr>
      <w:tr w:rsidR="00956BE6" w:rsidRPr="005725DE" w:rsidTr="003E4B12">
        <w:trPr>
          <w:trHeight w:val="921"/>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8497C">
            <w:pPr>
              <w:spacing w:before="100" w:beforeAutospacing="1" w:after="100" w:afterAutospacing="1"/>
              <w:rPr>
                <w:sz w:val="28"/>
                <w:szCs w:val="28"/>
              </w:rPr>
            </w:pPr>
            <w:r w:rsidRPr="005725DE">
              <w:rPr>
                <w:sz w:val="28"/>
                <w:szCs w:val="28"/>
              </w:rPr>
              <w:t> 6.</w:t>
            </w:r>
          </w:p>
        </w:tc>
        <w:tc>
          <w:tcPr>
            <w:tcW w:w="2323"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8497C">
            <w:pPr>
              <w:spacing w:before="100" w:beforeAutospacing="1" w:after="100" w:afterAutospacing="1"/>
              <w:rPr>
                <w:sz w:val="28"/>
                <w:szCs w:val="28"/>
              </w:rPr>
            </w:pPr>
            <w:r w:rsidRPr="005725DE">
              <w:rPr>
                <w:sz w:val="28"/>
                <w:szCs w:val="28"/>
              </w:rPr>
              <w:t> Iemesli, kādēļ netika nodrošināta sabiedrības līdzdalība</w:t>
            </w:r>
          </w:p>
        </w:tc>
        <w:tc>
          <w:tcPr>
            <w:tcW w:w="6251" w:type="dxa"/>
            <w:tcBorders>
              <w:top w:val="outset" w:sz="6" w:space="0" w:color="auto"/>
              <w:left w:val="outset" w:sz="6" w:space="0" w:color="auto"/>
              <w:bottom w:val="outset" w:sz="6" w:space="0" w:color="auto"/>
              <w:right w:val="outset" w:sz="6" w:space="0" w:color="auto"/>
            </w:tcBorders>
            <w:hideMark/>
          </w:tcPr>
          <w:p w:rsidR="00956BE6" w:rsidRPr="005725DE" w:rsidRDefault="00FD4353" w:rsidP="00661A63">
            <w:pPr>
              <w:jc w:val="both"/>
              <w:rPr>
                <w:color w:val="000000"/>
                <w:sz w:val="28"/>
                <w:szCs w:val="28"/>
              </w:rPr>
            </w:pPr>
            <w:r w:rsidRPr="005725DE">
              <w:rPr>
                <w:sz w:val="28"/>
                <w:szCs w:val="28"/>
              </w:rPr>
              <w:t xml:space="preserve">Ņemot vērā, ka noteikumu projekts </w:t>
            </w:r>
            <w:r w:rsidR="00661A63" w:rsidRPr="005725DE">
              <w:rPr>
                <w:sz w:val="28"/>
                <w:szCs w:val="28"/>
              </w:rPr>
              <w:t>paredz veikt tehniskus grozījumus</w:t>
            </w:r>
            <w:r w:rsidRPr="005725DE">
              <w:rPr>
                <w:sz w:val="28"/>
                <w:szCs w:val="28"/>
              </w:rPr>
              <w:t>, sabiedrības līdzdalība projekta izstrādē netika nodrošināta</w:t>
            </w:r>
            <w:r w:rsidR="00735AA0" w:rsidRPr="005725DE">
              <w:rPr>
                <w:sz w:val="28"/>
                <w:szCs w:val="28"/>
              </w:rPr>
              <w:t>.</w:t>
            </w:r>
          </w:p>
        </w:tc>
      </w:tr>
      <w:tr w:rsidR="00956BE6" w:rsidRPr="005725DE" w:rsidTr="003E4B12">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8497C">
            <w:pPr>
              <w:spacing w:before="100" w:beforeAutospacing="1" w:after="100" w:afterAutospacing="1"/>
              <w:rPr>
                <w:sz w:val="28"/>
                <w:szCs w:val="28"/>
              </w:rPr>
            </w:pPr>
            <w:r w:rsidRPr="005725DE">
              <w:rPr>
                <w:sz w:val="28"/>
                <w:szCs w:val="28"/>
              </w:rPr>
              <w:t> 7.</w:t>
            </w:r>
          </w:p>
        </w:tc>
        <w:tc>
          <w:tcPr>
            <w:tcW w:w="2323"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8497C">
            <w:pPr>
              <w:spacing w:before="100" w:beforeAutospacing="1" w:after="100" w:afterAutospacing="1"/>
              <w:rPr>
                <w:sz w:val="28"/>
                <w:szCs w:val="28"/>
              </w:rPr>
            </w:pPr>
            <w:r w:rsidRPr="005725DE">
              <w:rPr>
                <w:sz w:val="28"/>
                <w:szCs w:val="28"/>
              </w:rPr>
              <w:t> Cita informācija</w:t>
            </w:r>
          </w:p>
        </w:tc>
        <w:tc>
          <w:tcPr>
            <w:tcW w:w="6251" w:type="dxa"/>
            <w:tcBorders>
              <w:top w:val="outset" w:sz="6" w:space="0" w:color="auto"/>
              <w:left w:val="outset" w:sz="6" w:space="0" w:color="auto"/>
              <w:bottom w:val="outset" w:sz="6" w:space="0" w:color="auto"/>
              <w:right w:val="outset" w:sz="6" w:space="0" w:color="auto"/>
            </w:tcBorders>
            <w:hideMark/>
          </w:tcPr>
          <w:p w:rsidR="00956BE6" w:rsidRPr="005725DE" w:rsidRDefault="00DA6606" w:rsidP="006B51D7">
            <w:pPr>
              <w:spacing w:after="120"/>
              <w:jc w:val="both"/>
              <w:rPr>
                <w:sz w:val="28"/>
                <w:szCs w:val="28"/>
              </w:rPr>
            </w:pPr>
            <w:r>
              <w:rPr>
                <w:sz w:val="28"/>
                <w:szCs w:val="28"/>
              </w:rPr>
              <w:t>Noteikumi s</w:t>
            </w:r>
            <w:r w:rsidR="00735AA0" w:rsidRPr="005725DE">
              <w:rPr>
                <w:sz w:val="28"/>
                <w:szCs w:val="28"/>
              </w:rPr>
              <w:t>tājas s</w:t>
            </w:r>
            <w:r w:rsidR="00661A63" w:rsidRPr="005725DE">
              <w:rPr>
                <w:sz w:val="28"/>
                <w:szCs w:val="28"/>
              </w:rPr>
              <w:t>pēkā 2012.gada 1.aprīlī</w:t>
            </w:r>
            <w:r w:rsidR="00735AA0" w:rsidRPr="005725DE">
              <w:rPr>
                <w:sz w:val="28"/>
                <w:szCs w:val="28"/>
              </w:rPr>
              <w:t>.</w:t>
            </w:r>
          </w:p>
        </w:tc>
      </w:tr>
      <w:bookmarkEnd w:id="2"/>
      <w:bookmarkEnd w:id="3"/>
      <w:bookmarkEnd w:id="4"/>
      <w:bookmarkEnd w:id="5"/>
    </w:tbl>
    <w:p w:rsidR="00C8067C" w:rsidRDefault="00C8067C">
      <w:pPr>
        <w:rPr>
          <w:sz w:val="28"/>
          <w:szCs w:val="28"/>
        </w:rPr>
      </w:pPr>
    </w:p>
    <w:p w:rsidR="008067CF" w:rsidRPr="005725DE" w:rsidRDefault="008067CF">
      <w:pPr>
        <w:rPr>
          <w:sz w:val="28"/>
          <w:szCs w:val="28"/>
        </w:rPr>
      </w:pPr>
    </w:p>
    <w:tbl>
      <w:tblPr>
        <w:tblW w:w="497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2"/>
        <w:gridCol w:w="2753"/>
        <w:gridCol w:w="5782"/>
      </w:tblGrid>
      <w:tr w:rsidR="00C8067C" w:rsidRPr="005725DE" w:rsidTr="00C8067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8067C" w:rsidRPr="005725DE" w:rsidRDefault="00C8067C" w:rsidP="006007F8">
            <w:pPr>
              <w:spacing w:before="100" w:beforeAutospacing="1" w:after="100" w:afterAutospacing="1"/>
              <w:jc w:val="center"/>
              <w:rPr>
                <w:b/>
                <w:sz w:val="28"/>
                <w:szCs w:val="28"/>
              </w:rPr>
            </w:pPr>
            <w:r w:rsidRPr="005725DE">
              <w:rPr>
                <w:b/>
                <w:sz w:val="28"/>
                <w:szCs w:val="28"/>
              </w:rPr>
              <w:t>II. Tiesību akta projekta ietekme uz sabiedrību</w:t>
            </w:r>
          </w:p>
        </w:tc>
      </w:tr>
      <w:tr w:rsidR="00956BE6" w:rsidRPr="005725DE" w:rsidTr="00956BE6">
        <w:trPr>
          <w:trHeight w:val="46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1.</w:t>
            </w:r>
          </w:p>
        </w:tc>
        <w:tc>
          <w:tcPr>
            <w:tcW w:w="1520"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Sabiedrības mērķgrupa</w:t>
            </w:r>
          </w:p>
        </w:tc>
        <w:tc>
          <w:tcPr>
            <w:tcW w:w="3191" w:type="pct"/>
            <w:tcBorders>
              <w:top w:val="outset" w:sz="6" w:space="0" w:color="auto"/>
              <w:left w:val="outset" w:sz="6" w:space="0" w:color="auto"/>
              <w:bottom w:val="outset" w:sz="6" w:space="0" w:color="auto"/>
              <w:right w:val="outset" w:sz="6" w:space="0" w:color="auto"/>
            </w:tcBorders>
            <w:hideMark/>
          </w:tcPr>
          <w:p w:rsidR="00956BE6" w:rsidRPr="00B80207" w:rsidRDefault="000B26FB" w:rsidP="000B26FB">
            <w:pPr>
              <w:jc w:val="both"/>
              <w:rPr>
                <w:color w:val="000000"/>
                <w:sz w:val="28"/>
                <w:szCs w:val="28"/>
              </w:rPr>
            </w:pPr>
            <w:r>
              <w:rPr>
                <w:color w:val="000000"/>
                <w:sz w:val="28"/>
                <w:szCs w:val="28"/>
              </w:rPr>
              <w:t xml:space="preserve"> Sabiedrība ar ierobežotu atbildību ,,Rīgas Austrumu klīniskā universitātes slimnīca”.</w:t>
            </w:r>
          </w:p>
        </w:tc>
      </w:tr>
      <w:tr w:rsidR="00956BE6" w:rsidRPr="005725DE" w:rsidTr="00956BE6">
        <w:trPr>
          <w:trHeight w:val="523"/>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2.</w:t>
            </w:r>
          </w:p>
        </w:tc>
        <w:tc>
          <w:tcPr>
            <w:tcW w:w="1520"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Citas sabiedrības grupas (bez mērķgrupas), kuras tiesiskais regulējums arī ietekmē vai varētu ietekmēt</w:t>
            </w:r>
          </w:p>
        </w:tc>
        <w:tc>
          <w:tcPr>
            <w:tcW w:w="3191" w:type="pct"/>
            <w:tcBorders>
              <w:top w:val="outset" w:sz="6" w:space="0" w:color="auto"/>
              <w:left w:val="outset" w:sz="6" w:space="0" w:color="auto"/>
              <w:bottom w:val="outset" w:sz="6" w:space="0" w:color="auto"/>
              <w:right w:val="outset" w:sz="6" w:space="0" w:color="auto"/>
            </w:tcBorders>
            <w:hideMark/>
          </w:tcPr>
          <w:p w:rsidR="00956BE6" w:rsidRPr="009223D0" w:rsidRDefault="009223D0" w:rsidP="007755B7">
            <w:pPr>
              <w:autoSpaceDE w:val="0"/>
              <w:autoSpaceDN w:val="0"/>
              <w:adjustRightInd w:val="0"/>
              <w:jc w:val="both"/>
              <w:rPr>
                <w:color w:val="000000"/>
                <w:sz w:val="28"/>
                <w:szCs w:val="28"/>
              </w:rPr>
            </w:pPr>
            <w:r>
              <w:rPr>
                <w:color w:val="000000"/>
                <w:sz w:val="28"/>
                <w:szCs w:val="28"/>
              </w:rPr>
              <w:t>Nav</w:t>
            </w:r>
          </w:p>
        </w:tc>
      </w:tr>
      <w:tr w:rsidR="00956BE6" w:rsidRPr="005725DE" w:rsidTr="00956BE6">
        <w:trPr>
          <w:trHeight w:val="51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3.</w:t>
            </w:r>
          </w:p>
        </w:tc>
        <w:tc>
          <w:tcPr>
            <w:tcW w:w="1520"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Tiesiskā regulējuma finansiālā ietekme</w:t>
            </w:r>
          </w:p>
        </w:tc>
        <w:tc>
          <w:tcPr>
            <w:tcW w:w="3191" w:type="pct"/>
            <w:tcBorders>
              <w:top w:val="outset" w:sz="6" w:space="0" w:color="auto"/>
              <w:left w:val="outset" w:sz="6" w:space="0" w:color="auto"/>
              <w:bottom w:val="outset" w:sz="6" w:space="0" w:color="auto"/>
              <w:right w:val="outset" w:sz="6" w:space="0" w:color="auto"/>
            </w:tcBorders>
            <w:hideMark/>
          </w:tcPr>
          <w:p w:rsidR="00995D80" w:rsidRPr="005725DE" w:rsidRDefault="00956BE6" w:rsidP="00464A4E">
            <w:pPr>
              <w:jc w:val="both"/>
              <w:rPr>
                <w:bCs/>
                <w:iCs/>
                <w:sz w:val="28"/>
                <w:szCs w:val="28"/>
              </w:rPr>
            </w:pPr>
            <w:r w:rsidRPr="005725DE">
              <w:rPr>
                <w:bCs/>
                <w:iCs/>
                <w:sz w:val="28"/>
                <w:szCs w:val="28"/>
              </w:rPr>
              <w:t>Tiešas finansiālas izmaksas (nodokļi, nodevas, sodi, institūciju ma</w:t>
            </w:r>
            <w:r w:rsidR="00464A4E">
              <w:rPr>
                <w:bCs/>
                <w:iCs/>
                <w:sz w:val="28"/>
                <w:szCs w:val="28"/>
              </w:rPr>
              <w:t>ksas pakalpojumi) nav paredzami</w:t>
            </w:r>
            <w:r w:rsidRPr="005725DE">
              <w:rPr>
                <w:bCs/>
                <w:iCs/>
                <w:sz w:val="28"/>
                <w:szCs w:val="28"/>
              </w:rPr>
              <w:t xml:space="preserve">. </w:t>
            </w:r>
          </w:p>
        </w:tc>
      </w:tr>
      <w:tr w:rsidR="00956BE6" w:rsidRPr="005725DE" w:rsidTr="00956BE6">
        <w:trPr>
          <w:trHeight w:val="51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4.</w:t>
            </w:r>
          </w:p>
        </w:tc>
        <w:tc>
          <w:tcPr>
            <w:tcW w:w="1520"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Tiesiskā regulējuma nefinansiālā ietekme</w:t>
            </w:r>
          </w:p>
        </w:tc>
        <w:tc>
          <w:tcPr>
            <w:tcW w:w="3191" w:type="pct"/>
            <w:tcBorders>
              <w:top w:val="outset" w:sz="6" w:space="0" w:color="auto"/>
              <w:left w:val="outset" w:sz="6" w:space="0" w:color="auto"/>
              <w:bottom w:val="outset" w:sz="6" w:space="0" w:color="auto"/>
              <w:right w:val="outset" w:sz="6" w:space="0" w:color="auto"/>
            </w:tcBorders>
            <w:hideMark/>
          </w:tcPr>
          <w:p w:rsidR="00995D80" w:rsidRPr="005725DE" w:rsidRDefault="000D43B0" w:rsidP="007755B7">
            <w:pPr>
              <w:jc w:val="both"/>
              <w:rPr>
                <w:sz w:val="28"/>
                <w:szCs w:val="28"/>
              </w:rPr>
            </w:pPr>
            <w:r w:rsidRPr="005725DE">
              <w:rPr>
                <w:sz w:val="28"/>
                <w:szCs w:val="28"/>
              </w:rPr>
              <w:t>Aizstāj kompetentās iestādes nosaukumu</w:t>
            </w:r>
            <w:r w:rsidR="00C1293E">
              <w:rPr>
                <w:sz w:val="28"/>
                <w:szCs w:val="28"/>
              </w:rPr>
              <w:t>.</w:t>
            </w:r>
          </w:p>
        </w:tc>
      </w:tr>
      <w:tr w:rsidR="00956BE6" w:rsidRPr="005725DE" w:rsidTr="00956BE6">
        <w:trPr>
          <w:trHeight w:val="531"/>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lastRenderedPageBreak/>
              <w:t> 5.</w:t>
            </w:r>
          </w:p>
        </w:tc>
        <w:tc>
          <w:tcPr>
            <w:tcW w:w="1520"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Administratīvās procedūras raksturojums</w:t>
            </w:r>
          </w:p>
        </w:tc>
        <w:tc>
          <w:tcPr>
            <w:tcW w:w="3191" w:type="pct"/>
            <w:tcBorders>
              <w:top w:val="outset" w:sz="6" w:space="0" w:color="auto"/>
              <w:left w:val="outset" w:sz="6" w:space="0" w:color="auto"/>
              <w:bottom w:val="outset" w:sz="6" w:space="0" w:color="auto"/>
              <w:right w:val="outset" w:sz="6" w:space="0" w:color="auto"/>
            </w:tcBorders>
            <w:hideMark/>
          </w:tcPr>
          <w:p w:rsidR="00956BE6" w:rsidRPr="005725DE" w:rsidRDefault="00956BE6" w:rsidP="00995D80">
            <w:pPr>
              <w:jc w:val="both"/>
              <w:rPr>
                <w:sz w:val="28"/>
                <w:szCs w:val="28"/>
              </w:rPr>
            </w:pPr>
            <w:r w:rsidRPr="005725DE">
              <w:rPr>
                <w:sz w:val="28"/>
                <w:szCs w:val="28"/>
              </w:rPr>
              <w:t>Projekts šo jomu neskar</w:t>
            </w:r>
            <w:r w:rsidR="00C1293E">
              <w:rPr>
                <w:sz w:val="28"/>
                <w:szCs w:val="28"/>
              </w:rPr>
              <w:t>.</w:t>
            </w:r>
          </w:p>
        </w:tc>
      </w:tr>
      <w:tr w:rsidR="00956BE6" w:rsidRPr="005725DE" w:rsidTr="00956BE6">
        <w:trPr>
          <w:trHeight w:val="35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6.</w:t>
            </w:r>
          </w:p>
        </w:tc>
        <w:tc>
          <w:tcPr>
            <w:tcW w:w="1520"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Administratīvo izmaksu monetārs novērtējums</w:t>
            </w:r>
          </w:p>
        </w:tc>
        <w:tc>
          <w:tcPr>
            <w:tcW w:w="3191" w:type="pct"/>
            <w:tcBorders>
              <w:top w:val="outset" w:sz="6" w:space="0" w:color="auto"/>
              <w:left w:val="outset" w:sz="6" w:space="0" w:color="auto"/>
              <w:bottom w:val="outset" w:sz="6" w:space="0" w:color="auto"/>
              <w:right w:val="outset" w:sz="6" w:space="0" w:color="auto"/>
            </w:tcBorders>
            <w:hideMark/>
          </w:tcPr>
          <w:p w:rsidR="00956BE6" w:rsidRPr="005725DE" w:rsidRDefault="00956BE6" w:rsidP="00995D80">
            <w:pPr>
              <w:jc w:val="both"/>
              <w:rPr>
                <w:sz w:val="28"/>
                <w:szCs w:val="28"/>
              </w:rPr>
            </w:pPr>
            <w:r w:rsidRPr="005725DE">
              <w:rPr>
                <w:sz w:val="28"/>
                <w:szCs w:val="28"/>
              </w:rPr>
              <w:t>Projekts šo jomu neskar</w:t>
            </w:r>
          </w:p>
        </w:tc>
      </w:tr>
      <w:tr w:rsidR="00956BE6" w:rsidRPr="005725DE" w:rsidTr="00956BE6">
        <w:trPr>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7.</w:t>
            </w:r>
          </w:p>
        </w:tc>
        <w:tc>
          <w:tcPr>
            <w:tcW w:w="1520"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Cita informācija</w:t>
            </w:r>
          </w:p>
        </w:tc>
        <w:tc>
          <w:tcPr>
            <w:tcW w:w="3191" w:type="pct"/>
            <w:tcBorders>
              <w:top w:val="outset" w:sz="6" w:space="0" w:color="auto"/>
              <w:left w:val="outset" w:sz="6" w:space="0" w:color="auto"/>
              <w:bottom w:val="outset" w:sz="6" w:space="0" w:color="auto"/>
              <w:right w:val="outset" w:sz="6" w:space="0" w:color="auto"/>
            </w:tcBorders>
            <w:hideMark/>
          </w:tcPr>
          <w:p w:rsidR="00995D80" w:rsidRPr="005725DE" w:rsidRDefault="00FD4353" w:rsidP="007755B7">
            <w:pPr>
              <w:jc w:val="both"/>
              <w:rPr>
                <w:sz w:val="28"/>
                <w:szCs w:val="28"/>
              </w:rPr>
            </w:pPr>
            <w:r w:rsidRPr="005725DE">
              <w:rPr>
                <w:sz w:val="28"/>
                <w:szCs w:val="28"/>
              </w:rPr>
              <w:t xml:space="preserve"> Nav</w:t>
            </w:r>
          </w:p>
        </w:tc>
      </w:tr>
    </w:tbl>
    <w:p w:rsidR="00EA620B" w:rsidRDefault="00432C60" w:rsidP="00586F93">
      <w:pPr>
        <w:rPr>
          <w:sz w:val="28"/>
          <w:szCs w:val="28"/>
        </w:rPr>
      </w:pPr>
      <w:r w:rsidRPr="005725DE">
        <w:rPr>
          <w:sz w:val="28"/>
          <w:szCs w:val="28"/>
        </w:rPr>
        <w:tab/>
      </w:r>
    </w:p>
    <w:p w:rsidR="00614C1E" w:rsidRDefault="00614C1E" w:rsidP="00586F93">
      <w:pPr>
        <w:rPr>
          <w:sz w:val="28"/>
          <w:szCs w:val="28"/>
        </w:rPr>
      </w:pPr>
    </w:p>
    <w:p w:rsidR="00614C1E" w:rsidRPr="005725DE" w:rsidRDefault="00614C1E" w:rsidP="00586F93">
      <w:pPr>
        <w:rPr>
          <w:sz w:val="28"/>
          <w:szCs w:val="28"/>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8"/>
        <w:gridCol w:w="3437"/>
        <w:gridCol w:w="4261"/>
      </w:tblGrid>
      <w:tr w:rsidR="00EA620B" w:rsidRPr="005725DE" w:rsidTr="00EA620B">
        <w:trPr>
          <w:tblCellSpacing w:w="0" w:type="dxa"/>
        </w:trPr>
        <w:tc>
          <w:tcPr>
            <w:tcW w:w="9116" w:type="dxa"/>
            <w:gridSpan w:val="3"/>
            <w:tcBorders>
              <w:top w:val="outset" w:sz="6" w:space="0" w:color="auto"/>
              <w:left w:val="outset" w:sz="6" w:space="0" w:color="auto"/>
              <w:bottom w:val="outset" w:sz="6" w:space="0" w:color="auto"/>
              <w:right w:val="outset" w:sz="6" w:space="0" w:color="auto"/>
            </w:tcBorders>
            <w:hideMark/>
          </w:tcPr>
          <w:p w:rsidR="00EA620B" w:rsidRPr="005725DE" w:rsidRDefault="00EA620B" w:rsidP="00EA620B">
            <w:pPr>
              <w:spacing w:before="100" w:beforeAutospacing="1" w:after="100" w:afterAutospacing="1"/>
              <w:jc w:val="center"/>
              <w:rPr>
                <w:b/>
                <w:bCs/>
                <w:sz w:val="28"/>
                <w:szCs w:val="28"/>
              </w:rPr>
            </w:pPr>
          </w:p>
        </w:tc>
      </w:tr>
      <w:tr w:rsidR="0091617D" w:rsidRPr="005725DE" w:rsidTr="00EA620B">
        <w:trPr>
          <w:tblCellSpacing w:w="0" w:type="dxa"/>
        </w:trPr>
        <w:tc>
          <w:tcPr>
            <w:tcW w:w="9116" w:type="dxa"/>
            <w:gridSpan w:val="3"/>
            <w:tcBorders>
              <w:top w:val="outset" w:sz="6" w:space="0" w:color="auto"/>
              <w:left w:val="outset" w:sz="6" w:space="0" w:color="auto"/>
              <w:bottom w:val="outset" w:sz="6" w:space="0" w:color="auto"/>
              <w:right w:val="outset" w:sz="6" w:space="0" w:color="auto"/>
            </w:tcBorders>
            <w:hideMark/>
          </w:tcPr>
          <w:p w:rsidR="0091617D" w:rsidRPr="005725DE" w:rsidRDefault="0091617D" w:rsidP="00900E0C">
            <w:pPr>
              <w:spacing w:before="100" w:beforeAutospacing="1" w:after="100" w:afterAutospacing="1"/>
              <w:jc w:val="center"/>
              <w:rPr>
                <w:sz w:val="28"/>
                <w:szCs w:val="28"/>
              </w:rPr>
            </w:pPr>
            <w:r w:rsidRPr="005725DE">
              <w:rPr>
                <w:b/>
                <w:bCs/>
                <w:sz w:val="28"/>
                <w:szCs w:val="28"/>
              </w:rPr>
              <w:t>VII. Tiesību akta projekta izpildes nodrošināšana un tās ietekme uz institūcijām</w:t>
            </w:r>
          </w:p>
        </w:tc>
      </w:tr>
      <w:tr w:rsidR="00956BE6" w:rsidRPr="005725DE" w:rsidTr="00EA620B">
        <w:trPr>
          <w:trHeight w:val="427"/>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1.</w:t>
            </w:r>
          </w:p>
        </w:tc>
        <w:tc>
          <w:tcPr>
            <w:tcW w:w="343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Projekta izpildē iesaistītās institūcijas</w:t>
            </w:r>
          </w:p>
        </w:tc>
        <w:tc>
          <w:tcPr>
            <w:tcW w:w="4261" w:type="dxa"/>
            <w:tcBorders>
              <w:top w:val="outset" w:sz="6" w:space="0" w:color="auto"/>
              <w:left w:val="outset" w:sz="6" w:space="0" w:color="auto"/>
              <w:bottom w:val="outset" w:sz="6" w:space="0" w:color="auto"/>
              <w:right w:val="outset" w:sz="6" w:space="0" w:color="auto"/>
            </w:tcBorders>
            <w:hideMark/>
          </w:tcPr>
          <w:p w:rsidR="00956BE6" w:rsidRPr="005725DE" w:rsidRDefault="004473CB" w:rsidP="00FD4353">
            <w:pPr>
              <w:pStyle w:val="BodyTextIndent"/>
              <w:autoSpaceDE w:val="0"/>
              <w:autoSpaceDN w:val="0"/>
              <w:adjustRightInd w:val="0"/>
              <w:spacing w:after="0"/>
              <w:ind w:left="0"/>
              <w:jc w:val="both"/>
              <w:rPr>
                <w:sz w:val="28"/>
                <w:szCs w:val="28"/>
              </w:rPr>
            </w:pPr>
            <w:r>
              <w:rPr>
                <w:color w:val="000000"/>
                <w:sz w:val="28"/>
                <w:szCs w:val="28"/>
              </w:rPr>
              <w:t>Sabiedrība ar ierobežotu atbildību ,,Rīgas Austrumu klīniskā universitātes slimnīca”</w:t>
            </w:r>
          </w:p>
        </w:tc>
      </w:tr>
      <w:tr w:rsidR="00956BE6" w:rsidRPr="005725DE" w:rsidTr="00EA620B">
        <w:trPr>
          <w:trHeight w:val="463"/>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2.</w:t>
            </w:r>
          </w:p>
        </w:tc>
        <w:tc>
          <w:tcPr>
            <w:tcW w:w="343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Projekta izpildes ietekme uz pārvaldes funkcijām</w:t>
            </w:r>
          </w:p>
        </w:tc>
        <w:tc>
          <w:tcPr>
            <w:tcW w:w="4261" w:type="dxa"/>
            <w:tcBorders>
              <w:top w:val="outset" w:sz="6" w:space="0" w:color="auto"/>
              <w:left w:val="outset" w:sz="6" w:space="0" w:color="auto"/>
              <w:bottom w:val="outset" w:sz="6" w:space="0" w:color="auto"/>
              <w:right w:val="outset" w:sz="6" w:space="0" w:color="auto"/>
            </w:tcBorders>
            <w:hideMark/>
          </w:tcPr>
          <w:p w:rsidR="00956BE6" w:rsidRPr="005725DE" w:rsidRDefault="000D43B0" w:rsidP="007755B7">
            <w:pPr>
              <w:jc w:val="both"/>
              <w:rPr>
                <w:sz w:val="28"/>
                <w:szCs w:val="28"/>
              </w:rPr>
            </w:pPr>
            <w:r w:rsidRPr="005725DE">
              <w:rPr>
                <w:sz w:val="28"/>
                <w:szCs w:val="28"/>
              </w:rPr>
              <w:t>Jaunas funkcijas netiek noteiktas</w:t>
            </w:r>
          </w:p>
        </w:tc>
      </w:tr>
      <w:tr w:rsidR="00956BE6" w:rsidRPr="005725DE" w:rsidTr="00EA620B">
        <w:trPr>
          <w:trHeight w:val="725"/>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3.</w:t>
            </w:r>
          </w:p>
        </w:tc>
        <w:tc>
          <w:tcPr>
            <w:tcW w:w="343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A93C08">
            <w:pPr>
              <w:rPr>
                <w:sz w:val="28"/>
                <w:szCs w:val="28"/>
              </w:rPr>
            </w:pPr>
            <w:r w:rsidRPr="005725DE">
              <w:rPr>
                <w:sz w:val="28"/>
                <w:szCs w:val="28"/>
              </w:rPr>
              <w:t> Projekta izpildes ietekme uz pārvaldes institucionālo struktūru.</w:t>
            </w:r>
          </w:p>
          <w:p w:rsidR="00956BE6" w:rsidRPr="005725DE" w:rsidRDefault="00956BE6" w:rsidP="00A93C08">
            <w:pPr>
              <w:rPr>
                <w:sz w:val="28"/>
                <w:szCs w:val="28"/>
              </w:rPr>
            </w:pPr>
            <w:r w:rsidRPr="005725DE">
              <w:rPr>
                <w:sz w:val="28"/>
                <w:szCs w:val="28"/>
              </w:rPr>
              <w:t>Jaunu institūciju izveide</w:t>
            </w:r>
          </w:p>
        </w:tc>
        <w:tc>
          <w:tcPr>
            <w:tcW w:w="4261" w:type="dxa"/>
            <w:tcBorders>
              <w:top w:val="outset" w:sz="6" w:space="0" w:color="auto"/>
              <w:left w:val="outset" w:sz="6" w:space="0" w:color="auto"/>
              <w:bottom w:val="outset" w:sz="6" w:space="0" w:color="auto"/>
              <w:right w:val="outset" w:sz="6" w:space="0" w:color="auto"/>
            </w:tcBorders>
            <w:hideMark/>
          </w:tcPr>
          <w:p w:rsidR="00956BE6" w:rsidRPr="005725DE" w:rsidRDefault="00827932" w:rsidP="000D43B0">
            <w:pPr>
              <w:jc w:val="both"/>
              <w:rPr>
                <w:sz w:val="28"/>
                <w:szCs w:val="28"/>
              </w:rPr>
            </w:pPr>
            <w:r w:rsidRPr="005725DE">
              <w:rPr>
                <w:sz w:val="28"/>
                <w:szCs w:val="28"/>
              </w:rPr>
              <w:t>Projekts neparedz funkciju paplašināšanu</w:t>
            </w:r>
          </w:p>
        </w:tc>
      </w:tr>
      <w:tr w:rsidR="00956BE6" w:rsidRPr="005725DE" w:rsidTr="00EA620B">
        <w:trPr>
          <w:trHeight w:val="780"/>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4.</w:t>
            </w:r>
          </w:p>
        </w:tc>
        <w:tc>
          <w:tcPr>
            <w:tcW w:w="343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Projekta izpildes ietekme uz pārvaldes institucionālo struktūru.</w:t>
            </w:r>
          </w:p>
          <w:p w:rsidR="00956BE6" w:rsidRPr="005725DE" w:rsidRDefault="00956BE6" w:rsidP="0091617D">
            <w:pPr>
              <w:spacing w:before="100" w:beforeAutospacing="1" w:after="100" w:afterAutospacing="1"/>
              <w:rPr>
                <w:sz w:val="28"/>
                <w:szCs w:val="28"/>
              </w:rPr>
            </w:pPr>
            <w:r w:rsidRPr="005725DE">
              <w:rPr>
                <w:sz w:val="28"/>
                <w:szCs w:val="28"/>
              </w:rPr>
              <w:t>Esošu institūciju likvidācija</w:t>
            </w:r>
          </w:p>
        </w:tc>
        <w:tc>
          <w:tcPr>
            <w:tcW w:w="4261" w:type="dxa"/>
            <w:tcBorders>
              <w:top w:val="outset" w:sz="6" w:space="0" w:color="auto"/>
              <w:left w:val="outset" w:sz="6" w:space="0" w:color="auto"/>
              <w:bottom w:val="outset" w:sz="6" w:space="0" w:color="auto"/>
              <w:right w:val="outset" w:sz="6" w:space="0" w:color="auto"/>
            </w:tcBorders>
            <w:hideMark/>
          </w:tcPr>
          <w:p w:rsidR="00956BE6" w:rsidRPr="005725DE" w:rsidRDefault="00956BE6" w:rsidP="007755B7">
            <w:pPr>
              <w:jc w:val="both"/>
              <w:rPr>
                <w:sz w:val="28"/>
                <w:szCs w:val="28"/>
              </w:rPr>
            </w:pPr>
            <w:r w:rsidRPr="005725DE">
              <w:rPr>
                <w:sz w:val="28"/>
                <w:szCs w:val="28"/>
              </w:rPr>
              <w:t>Projekts šo jomu neskar</w:t>
            </w:r>
          </w:p>
        </w:tc>
      </w:tr>
      <w:tr w:rsidR="00956BE6" w:rsidRPr="005725DE" w:rsidTr="00EA620B">
        <w:trPr>
          <w:trHeight w:val="703"/>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5.</w:t>
            </w:r>
          </w:p>
        </w:tc>
        <w:tc>
          <w:tcPr>
            <w:tcW w:w="3437" w:type="dxa"/>
            <w:tcBorders>
              <w:top w:val="outset" w:sz="6" w:space="0" w:color="auto"/>
              <w:left w:val="outset" w:sz="6" w:space="0" w:color="auto"/>
              <w:bottom w:val="outset" w:sz="6" w:space="0" w:color="auto"/>
              <w:right w:val="outset" w:sz="6" w:space="0" w:color="auto"/>
            </w:tcBorders>
            <w:hideMark/>
          </w:tcPr>
          <w:p w:rsidR="00A96730" w:rsidRDefault="00956BE6" w:rsidP="00A96730">
            <w:pPr>
              <w:spacing w:before="100" w:beforeAutospacing="1" w:after="100" w:afterAutospacing="1"/>
              <w:rPr>
                <w:sz w:val="28"/>
                <w:szCs w:val="28"/>
              </w:rPr>
            </w:pPr>
            <w:r w:rsidRPr="005725DE">
              <w:rPr>
                <w:sz w:val="28"/>
                <w:szCs w:val="28"/>
              </w:rPr>
              <w:t> Projekta izpildes ietekme uz pārvaldes institucionālo struktūru.</w:t>
            </w:r>
          </w:p>
          <w:p w:rsidR="00956BE6" w:rsidRPr="005725DE" w:rsidRDefault="00956BE6" w:rsidP="00A96730">
            <w:pPr>
              <w:spacing w:before="100" w:beforeAutospacing="1" w:after="100" w:afterAutospacing="1"/>
              <w:rPr>
                <w:sz w:val="28"/>
                <w:szCs w:val="28"/>
              </w:rPr>
            </w:pPr>
            <w:r w:rsidRPr="005725DE">
              <w:rPr>
                <w:sz w:val="28"/>
                <w:szCs w:val="28"/>
              </w:rPr>
              <w:t>Esošu institūciju reorganizācija</w:t>
            </w:r>
          </w:p>
        </w:tc>
        <w:tc>
          <w:tcPr>
            <w:tcW w:w="4261" w:type="dxa"/>
            <w:tcBorders>
              <w:top w:val="outset" w:sz="6" w:space="0" w:color="auto"/>
              <w:left w:val="outset" w:sz="6" w:space="0" w:color="auto"/>
              <w:bottom w:val="outset" w:sz="6" w:space="0" w:color="auto"/>
              <w:right w:val="outset" w:sz="6" w:space="0" w:color="auto"/>
            </w:tcBorders>
            <w:hideMark/>
          </w:tcPr>
          <w:p w:rsidR="00956BE6" w:rsidRPr="005725DE" w:rsidRDefault="00956BE6" w:rsidP="007755B7">
            <w:pPr>
              <w:jc w:val="both"/>
              <w:rPr>
                <w:sz w:val="28"/>
                <w:szCs w:val="28"/>
              </w:rPr>
            </w:pPr>
            <w:r w:rsidRPr="005725DE">
              <w:rPr>
                <w:sz w:val="28"/>
                <w:szCs w:val="28"/>
              </w:rPr>
              <w:t>Projekts šo jomu neskar</w:t>
            </w:r>
          </w:p>
        </w:tc>
      </w:tr>
      <w:tr w:rsidR="00956BE6" w:rsidRPr="005725DE" w:rsidTr="00EA620B">
        <w:trPr>
          <w:trHeight w:val="476"/>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6.</w:t>
            </w:r>
          </w:p>
        </w:tc>
        <w:tc>
          <w:tcPr>
            <w:tcW w:w="343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Cita informācija</w:t>
            </w:r>
          </w:p>
        </w:tc>
        <w:tc>
          <w:tcPr>
            <w:tcW w:w="4261" w:type="dxa"/>
            <w:tcBorders>
              <w:top w:val="outset" w:sz="6" w:space="0" w:color="auto"/>
              <w:left w:val="outset" w:sz="6" w:space="0" w:color="auto"/>
              <w:bottom w:val="outset" w:sz="6" w:space="0" w:color="auto"/>
              <w:right w:val="outset" w:sz="6" w:space="0" w:color="auto"/>
            </w:tcBorders>
            <w:hideMark/>
          </w:tcPr>
          <w:p w:rsidR="00956BE6" w:rsidRPr="005725DE" w:rsidRDefault="00956BE6" w:rsidP="007755B7">
            <w:pPr>
              <w:jc w:val="both"/>
              <w:rPr>
                <w:sz w:val="28"/>
                <w:szCs w:val="28"/>
              </w:rPr>
            </w:pPr>
            <w:r w:rsidRPr="005725DE">
              <w:rPr>
                <w:sz w:val="28"/>
                <w:szCs w:val="28"/>
              </w:rPr>
              <w:t>Nav</w:t>
            </w:r>
          </w:p>
        </w:tc>
      </w:tr>
    </w:tbl>
    <w:p w:rsidR="003E4B12" w:rsidRPr="005725DE" w:rsidRDefault="00900E0C" w:rsidP="00956BE6">
      <w:pPr>
        <w:pStyle w:val="tvhtml"/>
        <w:rPr>
          <w:rFonts w:ascii="Times New Roman" w:hAnsi="Times New Roman"/>
          <w:iCs/>
          <w:sz w:val="28"/>
          <w:szCs w:val="28"/>
        </w:rPr>
      </w:pPr>
      <w:r w:rsidRPr="005725DE">
        <w:rPr>
          <w:rFonts w:ascii="Times New Roman" w:hAnsi="Times New Roman"/>
          <w:iCs/>
          <w:sz w:val="28"/>
          <w:szCs w:val="28"/>
        </w:rPr>
        <w:t xml:space="preserve">Anotācijas III, </w:t>
      </w:r>
      <w:r w:rsidR="00956BE6" w:rsidRPr="005725DE">
        <w:rPr>
          <w:rFonts w:ascii="Times New Roman" w:hAnsi="Times New Roman"/>
          <w:iCs/>
          <w:sz w:val="28"/>
          <w:szCs w:val="28"/>
        </w:rPr>
        <w:t xml:space="preserve">IV, </w:t>
      </w:r>
      <w:r w:rsidRPr="005725DE">
        <w:rPr>
          <w:rFonts w:ascii="Times New Roman" w:hAnsi="Times New Roman"/>
          <w:iCs/>
          <w:sz w:val="28"/>
          <w:szCs w:val="28"/>
        </w:rPr>
        <w:t>V</w:t>
      </w:r>
      <w:r w:rsidR="00FD4353" w:rsidRPr="005725DE">
        <w:rPr>
          <w:rFonts w:ascii="Times New Roman" w:hAnsi="Times New Roman"/>
          <w:iCs/>
          <w:sz w:val="28"/>
          <w:szCs w:val="28"/>
        </w:rPr>
        <w:t>, VI</w:t>
      </w:r>
      <w:r w:rsidRPr="005725DE">
        <w:rPr>
          <w:rFonts w:ascii="Times New Roman" w:hAnsi="Times New Roman"/>
          <w:iCs/>
          <w:sz w:val="28"/>
          <w:szCs w:val="28"/>
        </w:rPr>
        <w:t xml:space="preserve"> sadaļa – projekts šīs jomas neskar.</w:t>
      </w:r>
    </w:p>
    <w:p w:rsidR="00D85A21" w:rsidRPr="005725DE" w:rsidRDefault="00D85A21" w:rsidP="00956BE6">
      <w:pPr>
        <w:jc w:val="both"/>
        <w:rPr>
          <w:sz w:val="28"/>
          <w:szCs w:val="28"/>
        </w:rPr>
      </w:pPr>
    </w:p>
    <w:p w:rsidR="008B2635" w:rsidRDefault="008B2635" w:rsidP="008B2635">
      <w:pPr>
        <w:autoSpaceDE w:val="0"/>
        <w:autoSpaceDN w:val="0"/>
        <w:adjustRightInd w:val="0"/>
        <w:rPr>
          <w:rFonts w:eastAsia="Calibri"/>
          <w:bCs/>
          <w:color w:val="000000"/>
          <w:sz w:val="28"/>
          <w:szCs w:val="28"/>
        </w:rPr>
      </w:pPr>
      <w:r>
        <w:rPr>
          <w:rFonts w:eastAsia="Calibri"/>
          <w:bCs/>
          <w:color w:val="000000"/>
          <w:sz w:val="28"/>
          <w:szCs w:val="28"/>
        </w:rPr>
        <w:t xml:space="preserve">Veselības ministra vietā      </w:t>
      </w:r>
    </w:p>
    <w:p w:rsidR="008B2635" w:rsidRDefault="008B2635" w:rsidP="008B2635">
      <w:pPr>
        <w:autoSpaceDE w:val="0"/>
        <w:autoSpaceDN w:val="0"/>
        <w:adjustRightInd w:val="0"/>
        <w:rPr>
          <w:rFonts w:eastAsia="Calibri"/>
          <w:bCs/>
          <w:color w:val="000000"/>
          <w:sz w:val="28"/>
          <w:szCs w:val="28"/>
        </w:rPr>
      </w:pPr>
      <w:r>
        <w:rPr>
          <w:rFonts w:eastAsia="Calibri"/>
          <w:bCs/>
          <w:color w:val="000000"/>
          <w:sz w:val="28"/>
          <w:szCs w:val="28"/>
        </w:rPr>
        <w:t>zemkopības ministre                                                                          L.Straujuma</w:t>
      </w:r>
    </w:p>
    <w:p w:rsidR="0090617A" w:rsidRDefault="003D5511" w:rsidP="00956BE6">
      <w:pPr>
        <w:jc w:val="both"/>
        <w:rPr>
          <w:sz w:val="28"/>
          <w:szCs w:val="28"/>
        </w:rPr>
      </w:pPr>
      <w:r w:rsidRPr="001C05FE">
        <w:rPr>
          <w:sz w:val="28"/>
          <w:szCs w:val="28"/>
        </w:rPr>
        <w:tab/>
      </w:r>
      <w:r w:rsidR="00884F2A">
        <w:rPr>
          <w:sz w:val="28"/>
          <w:szCs w:val="28"/>
        </w:rPr>
        <w:tab/>
      </w:r>
      <w:r w:rsidR="00884F2A">
        <w:rPr>
          <w:sz w:val="28"/>
          <w:szCs w:val="28"/>
        </w:rPr>
        <w:tab/>
      </w:r>
      <w:r w:rsidR="00884F2A">
        <w:rPr>
          <w:sz w:val="28"/>
          <w:szCs w:val="28"/>
        </w:rPr>
        <w:tab/>
      </w:r>
      <w:r w:rsidR="00884F2A">
        <w:rPr>
          <w:sz w:val="28"/>
          <w:szCs w:val="28"/>
        </w:rPr>
        <w:tab/>
      </w: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4473CB" w:rsidRDefault="004473CB" w:rsidP="001F27B8">
      <w:pPr>
        <w:pStyle w:val="PlainText"/>
        <w:jc w:val="both"/>
        <w:rPr>
          <w:rFonts w:ascii="Times New Roman" w:hAnsi="Times New Roman" w:cs="Times New Roman"/>
        </w:rPr>
      </w:pPr>
    </w:p>
    <w:p w:rsidR="00713B3D" w:rsidRPr="006C1ED6" w:rsidRDefault="00DC1C61" w:rsidP="001F27B8">
      <w:pPr>
        <w:pStyle w:val="PlainText"/>
        <w:jc w:val="both"/>
        <w:rPr>
          <w:rFonts w:ascii="Times New Roman" w:hAnsi="Times New Roman" w:cs="Times New Roman"/>
        </w:rPr>
      </w:pPr>
      <w:r>
        <w:rPr>
          <w:rFonts w:ascii="Times New Roman" w:hAnsi="Times New Roman" w:cs="Times New Roman"/>
        </w:rPr>
        <w:t>14.03</w:t>
      </w:r>
      <w:r w:rsidR="00FD4353" w:rsidRPr="006C1ED6">
        <w:rPr>
          <w:rFonts w:ascii="Times New Roman" w:hAnsi="Times New Roman" w:cs="Times New Roman"/>
        </w:rPr>
        <w:t>.2012</w:t>
      </w:r>
      <w:r w:rsidR="00D54269" w:rsidRPr="006C1ED6">
        <w:rPr>
          <w:rFonts w:ascii="Times New Roman" w:hAnsi="Times New Roman" w:cs="Times New Roman"/>
        </w:rPr>
        <w:t xml:space="preserve">. </w:t>
      </w:r>
      <w:r w:rsidR="008B2635">
        <w:rPr>
          <w:rFonts w:ascii="Times New Roman" w:hAnsi="Times New Roman" w:cs="Times New Roman"/>
        </w:rPr>
        <w:t>13</w:t>
      </w:r>
      <w:r w:rsidR="00D54269" w:rsidRPr="006C1ED6">
        <w:rPr>
          <w:rFonts w:ascii="Times New Roman" w:hAnsi="Times New Roman" w:cs="Times New Roman"/>
        </w:rPr>
        <w:t>:</w:t>
      </w:r>
      <w:r w:rsidR="008B2635">
        <w:rPr>
          <w:rFonts w:ascii="Times New Roman" w:hAnsi="Times New Roman" w:cs="Times New Roman"/>
        </w:rPr>
        <w:t>33</w:t>
      </w:r>
    </w:p>
    <w:p w:rsidR="00640774" w:rsidRPr="006C1ED6" w:rsidRDefault="008B2635" w:rsidP="001F27B8">
      <w:pPr>
        <w:pStyle w:val="PlainText"/>
        <w:jc w:val="both"/>
        <w:rPr>
          <w:rFonts w:ascii="Times New Roman" w:hAnsi="Times New Roman" w:cs="Times New Roman"/>
        </w:rPr>
      </w:pPr>
      <w:r>
        <w:rPr>
          <w:rFonts w:ascii="Times New Roman" w:hAnsi="Times New Roman" w:cs="Times New Roman"/>
        </w:rPr>
        <w:t>524</w:t>
      </w:r>
    </w:p>
    <w:p w:rsidR="006C1ED6" w:rsidRPr="006C1ED6" w:rsidRDefault="006C1ED6" w:rsidP="006C1ED6">
      <w:pPr>
        <w:rPr>
          <w:sz w:val="20"/>
          <w:szCs w:val="20"/>
        </w:rPr>
      </w:pPr>
      <w:r w:rsidRPr="006C1ED6">
        <w:rPr>
          <w:sz w:val="20"/>
          <w:szCs w:val="20"/>
        </w:rPr>
        <w:t xml:space="preserve">A.Egle </w:t>
      </w:r>
    </w:p>
    <w:p w:rsidR="006C1ED6" w:rsidRPr="006C1ED6" w:rsidRDefault="006C1ED6" w:rsidP="006C1ED6">
      <w:pPr>
        <w:rPr>
          <w:sz w:val="20"/>
          <w:szCs w:val="20"/>
        </w:rPr>
      </w:pPr>
      <w:r w:rsidRPr="006C1ED6">
        <w:rPr>
          <w:sz w:val="20"/>
          <w:szCs w:val="20"/>
        </w:rPr>
        <w:t xml:space="preserve">67876099, </w:t>
      </w:r>
      <w:hyperlink r:id="rId8" w:history="1">
        <w:r w:rsidRPr="006C1ED6">
          <w:rPr>
            <w:rStyle w:val="Hyperlink"/>
            <w:sz w:val="20"/>
            <w:szCs w:val="20"/>
          </w:rPr>
          <w:t>andris.egle@vm.gov.lv</w:t>
        </w:r>
      </w:hyperlink>
    </w:p>
    <w:p w:rsidR="00D85A21" w:rsidRDefault="00D85A21" w:rsidP="001F27B8">
      <w:pPr>
        <w:pStyle w:val="PlainText"/>
        <w:jc w:val="both"/>
        <w:rPr>
          <w:rFonts w:ascii="Times New Roman" w:hAnsi="Times New Roman" w:cs="Times New Roman"/>
        </w:rPr>
      </w:pPr>
    </w:p>
    <w:sectPr w:rsidR="00D85A21" w:rsidSect="006248F0">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6FB" w:rsidRDefault="000B26FB">
      <w:r>
        <w:separator/>
      </w:r>
    </w:p>
  </w:endnote>
  <w:endnote w:type="continuationSeparator" w:id="0">
    <w:p w:rsidR="000B26FB" w:rsidRDefault="000B2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FB" w:rsidRPr="00911FEB" w:rsidRDefault="00B4226B" w:rsidP="00437428">
    <w:pPr>
      <w:jc w:val="both"/>
      <w:rPr>
        <w:bCs/>
        <w:sz w:val="20"/>
        <w:szCs w:val="20"/>
      </w:rPr>
    </w:pPr>
    <w:r>
      <w:rPr>
        <w:sz w:val="20"/>
        <w:szCs w:val="20"/>
      </w:rPr>
      <w:t>VManot_1403</w:t>
    </w:r>
    <w:r w:rsidR="000B26FB" w:rsidRPr="00911FEB">
      <w:rPr>
        <w:sz w:val="20"/>
        <w:szCs w:val="20"/>
      </w:rPr>
      <w:t>12_</w:t>
    </w:r>
    <w:r w:rsidR="000B26FB">
      <w:rPr>
        <w:sz w:val="20"/>
        <w:szCs w:val="20"/>
      </w:rPr>
      <w:t>RefLab;</w:t>
    </w:r>
    <w:r w:rsidR="000B26FB" w:rsidRPr="00911FEB">
      <w:rPr>
        <w:sz w:val="20"/>
        <w:szCs w:val="20"/>
      </w:rPr>
      <w:t xml:space="preserve"> </w:t>
    </w:r>
    <w:r w:rsidR="000B26FB">
      <w:rPr>
        <w:sz w:val="20"/>
        <w:szCs w:val="20"/>
      </w:rPr>
      <w:t>Noteikumu projekta</w:t>
    </w:r>
    <w:r w:rsidR="000B26FB" w:rsidRPr="00720102">
      <w:rPr>
        <w:sz w:val="20"/>
        <w:szCs w:val="20"/>
      </w:rPr>
      <w:t xml:space="preserve"> </w:t>
    </w:r>
    <w:r w:rsidR="00055E6C">
      <w:rPr>
        <w:sz w:val="20"/>
        <w:szCs w:val="20"/>
      </w:rPr>
      <w:t>,,</w:t>
    </w:r>
    <w:r w:rsidR="00385C89">
      <w:rPr>
        <w:bCs/>
        <w:iCs/>
        <w:sz w:val="20"/>
        <w:szCs w:val="20"/>
      </w:rPr>
      <w:t>Grozījums</w:t>
    </w:r>
    <w:r w:rsidR="000B26FB" w:rsidRPr="00720102">
      <w:rPr>
        <w:bCs/>
        <w:iCs/>
        <w:sz w:val="20"/>
        <w:szCs w:val="20"/>
      </w:rPr>
      <w:t xml:space="preserve"> Ministru kabineta 2009. gada 4.augusta noteikumos Nr. 864 ,,</w:t>
    </w:r>
    <w:r w:rsidR="000B26FB" w:rsidRPr="00720102">
      <w:rPr>
        <w:bCs/>
        <w:sz w:val="20"/>
        <w:szCs w:val="20"/>
      </w:rPr>
      <w:t xml:space="preserve">Noteikumi par references laboratorijas statusa piešķiršanas un akreditācijas kārtību, funkcijām un pienākumiem, kā arī iekārtām un aprīkojumam noteiktajām prasībām </w:t>
    </w:r>
    <w:r w:rsidR="000B26FB">
      <w:rPr>
        <w:bCs/>
        <w:sz w:val="20"/>
        <w:szCs w:val="20"/>
      </w:rPr>
      <w:t xml:space="preserve"> </w:t>
    </w:r>
    <w:r w:rsidR="000B26FB" w:rsidRPr="00720102">
      <w:rPr>
        <w:bCs/>
        <w:sz w:val="20"/>
        <w:szCs w:val="20"/>
      </w:rPr>
      <w:t>pārtikas, dzīvnieku barības un veterinārajā jomā”</w:t>
    </w:r>
    <w:r w:rsidR="00055E6C">
      <w:rPr>
        <w:bCs/>
        <w:sz w:val="20"/>
        <w:szCs w:val="20"/>
      </w:rPr>
      <w:t>”</w:t>
    </w:r>
    <w:r w:rsidR="000B26FB">
      <w:rPr>
        <w:bCs/>
        <w:sz w:val="20"/>
        <w:szCs w:val="20"/>
      </w:rPr>
      <w:t xml:space="preserve"> </w:t>
    </w:r>
    <w:r w:rsidR="000B26FB" w:rsidRPr="00911FEB">
      <w:rPr>
        <w:bCs/>
        <w:sz w:val="20"/>
        <w:szCs w:val="20"/>
      </w:rPr>
      <w:t>sākotnējās ietekmes novērtējuma ziņojums (anotācija)</w:t>
    </w:r>
  </w:p>
  <w:p w:rsidR="000B26FB" w:rsidRPr="0023734A" w:rsidRDefault="000B26FB" w:rsidP="00406CCA">
    <w:pPr>
      <w:jc w:val="both"/>
      <w:rPr>
        <w:sz w:val="20"/>
        <w:szCs w:val="20"/>
      </w:rPr>
    </w:pPr>
  </w:p>
  <w:p w:rsidR="000B26FB" w:rsidRPr="0023734A" w:rsidRDefault="000B26FB" w:rsidP="00CF2D7A">
    <w:pP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FB" w:rsidRPr="00911FEB" w:rsidRDefault="00B4226B" w:rsidP="00F91DA9">
    <w:pPr>
      <w:jc w:val="both"/>
      <w:rPr>
        <w:bCs/>
        <w:sz w:val="20"/>
        <w:szCs w:val="20"/>
      </w:rPr>
    </w:pPr>
    <w:r>
      <w:rPr>
        <w:sz w:val="20"/>
        <w:szCs w:val="20"/>
      </w:rPr>
      <w:t>VManot_1403</w:t>
    </w:r>
    <w:r w:rsidR="000B26FB" w:rsidRPr="00911FEB">
      <w:rPr>
        <w:sz w:val="20"/>
        <w:szCs w:val="20"/>
      </w:rPr>
      <w:t>12_</w:t>
    </w:r>
    <w:r w:rsidR="000B26FB">
      <w:rPr>
        <w:sz w:val="20"/>
        <w:szCs w:val="20"/>
      </w:rPr>
      <w:t>RefLab;</w:t>
    </w:r>
    <w:r w:rsidR="000B26FB" w:rsidRPr="00911FEB">
      <w:rPr>
        <w:sz w:val="20"/>
        <w:szCs w:val="20"/>
      </w:rPr>
      <w:t xml:space="preserve"> </w:t>
    </w:r>
    <w:r w:rsidR="000B26FB">
      <w:rPr>
        <w:sz w:val="20"/>
        <w:szCs w:val="20"/>
      </w:rPr>
      <w:t>Noteikumu projekta</w:t>
    </w:r>
    <w:r w:rsidR="000B26FB" w:rsidRPr="00720102">
      <w:rPr>
        <w:sz w:val="20"/>
        <w:szCs w:val="20"/>
      </w:rPr>
      <w:t xml:space="preserve"> </w:t>
    </w:r>
    <w:r w:rsidR="00055E6C">
      <w:rPr>
        <w:sz w:val="20"/>
        <w:szCs w:val="20"/>
      </w:rPr>
      <w:t>,,</w:t>
    </w:r>
    <w:r w:rsidR="00385C89">
      <w:rPr>
        <w:bCs/>
        <w:iCs/>
        <w:sz w:val="20"/>
        <w:szCs w:val="20"/>
      </w:rPr>
      <w:t>Grozījums</w:t>
    </w:r>
    <w:r w:rsidR="000B26FB" w:rsidRPr="00720102">
      <w:rPr>
        <w:bCs/>
        <w:iCs/>
        <w:sz w:val="20"/>
        <w:szCs w:val="20"/>
      </w:rPr>
      <w:t xml:space="preserve"> Ministru kabineta 2009. gada 4.augusta noteikumos Nr. 864 ,,</w:t>
    </w:r>
    <w:r w:rsidR="000B26FB" w:rsidRPr="00720102">
      <w:rPr>
        <w:bCs/>
        <w:sz w:val="20"/>
        <w:szCs w:val="20"/>
      </w:rPr>
      <w:t xml:space="preserve">Noteikumi par references laboratorijas statusa piešķiršanas un akreditācijas kārtību, funkcijām un pienākumiem, kā arī iekārtām un aprīkojumam noteiktajām prasībām </w:t>
    </w:r>
    <w:r w:rsidR="000B26FB">
      <w:rPr>
        <w:bCs/>
        <w:sz w:val="20"/>
        <w:szCs w:val="20"/>
      </w:rPr>
      <w:t xml:space="preserve"> </w:t>
    </w:r>
    <w:r w:rsidR="000B26FB" w:rsidRPr="00720102">
      <w:rPr>
        <w:bCs/>
        <w:sz w:val="20"/>
        <w:szCs w:val="20"/>
      </w:rPr>
      <w:t>pārtikas, dzīvnieku barības un veterinārajā jomā”</w:t>
    </w:r>
    <w:r w:rsidR="00055E6C">
      <w:rPr>
        <w:bCs/>
        <w:sz w:val="20"/>
        <w:szCs w:val="20"/>
      </w:rPr>
      <w:t>”</w:t>
    </w:r>
    <w:r w:rsidR="000B26FB">
      <w:rPr>
        <w:bCs/>
        <w:sz w:val="20"/>
        <w:szCs w:val="20"/>
      </w:rPr>
      <w:t xml:space="preserve"> </w:t>
    </w:r>
    <w:r w:rsidR="000B26FB" w:rsidRPr="00911FEB">
      <w:rPr>
        <w:bCs/>
        <w:sz w:val="20"/>
        <w:szCs w:val="20"/>
      </w:rPr>
      <w:t>sākotnējās ietekmes novērtējuma ziņojums (anotācija)</w:t>
    </w:r>
  </w:p>
  <w:p w:rsidR="000B26FB" w:rsidRPr="00451330" w:rsidRDefault="000B26FB" w:rsidP="003B0A8C">
    <w:pPr>
      <w:jc w:val="both"/>
      <w:rPr>
        <w:b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6FB" w:rsidRDefault="000B26FB">
      <w:r>
        <w:separator/>
      </w:r>
    </w:p>
  </w:footnote>
  <w:footnote w:type="continuationSeparator" w:id="0">
    <w:p w:rsidR="000B26FB" w:rsidRDefault="000B2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FB" w:rsidRDefault="00A5181F" w:rsidP="002935F0">
    <w:pPr>
      <w:pStyle w:val="Header"/>
      <w:framePr w:wrap="around" w:vAnchor="text" w:hAnchor="margin" w:xAlign="center" w:y="1"/>
      <w:rPr>
        <w:rStyle w:val="PageNumber"/>
      </w:rPr>
    </w:pPr>
    <w:r>
      <w:rPr>
        <w:rStyle w:val="PageNumber"/>
      </w:rPr>
      <w:fldChar w:fldCharType="begin"/>
    </w:r>
    <w:r w:rsidR="000B26FB">
      <w:rPr>
        <w:rStyle w:val="PageNumber"/>
      </w:rPr>
      <w:instrText xml:space="preserve">PAGE  </w:instrText>
    </w:r>
    <w:r>
      <w:rPr>
        <w:rStyle w:val="PageNumber"/>
      </w:rPr>
      <w:fldChar w:fldCharType="end"/>
    </w:r>
  </w:p>
  <w:p w:rsidR="000B26FB" w:rsidRDefault="000B26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FB" w:rsidRDefault="00A5181F" w:rsidP="002935F0">
    <w:pPr>
      <w:pStyle w:val="Header"/>
      <w:framePr w:wrap="around" w:vAnchor="text" w:hAnchor="margin" w:xAlign="center" w:y="1"/>
      <w:rPr>
        <w:rStyle w:val="PageNumber"/>
      </w:rPr>
    </w:pPr>
    <w:r>
      <w:rPr>
        <w:rStyle w:val="PageNumber"/>
      </w:rPr>
      <w:fldChar w:fldCharType="begin"/>
    </w:r>
    <w:r w:rsidR="000B26FB">
      <w:rPr>
        <w:rStyle w:val="PageNumber"/>
      </w:rPr>
      <w:instrText xml:space="preserve">PAGE  </w:instrText>
    </w:r>
    <w:r>
      <w:rPr>
        <w:rStyle w:val="PageNumber"/>
      </w:rPr>
      <w:fldChar w:fldCharType="separate"/>
    </w:r>
    <w:r w:rsidR="008B2635">
      <w:rPr>
        <w:rStyle w:val="PageNumber"/>
        <w:noProof/>
      </w:rPr>
      <w:t>4</w:t>
    </w:r>
    <w:r>
      <w:rPr>
        <w:rStyle w:val="PageNumber"/>
      </w:rPr>
      <w:fldChar w:fldCharType="end"/>
    </w:r>
  </w:p>
  <w:p w:rsidR="000B26FB" w:rsidRDefault="000B26FB">
    <w:pPr>
      <w:pStyle w:val="Header"/>
    </w:pPr>
  </w:p>
  <w:p w:rsidR="00C67A7B" w:rsidRDefault="00C67A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1803"/>
    <w:rsid w:val="000029E3"/>
    <w:rsid w:val="00003293"/>
    <w:rsid w:val="00004359"/>
    <w:rsid w:val="00005DFA"/>
    <w:rsid w:val="00010C72"/>
    <w:rsid w:val="00010DDA"/>
    <w:rsid w:val="00015BE4"/>
    <w:rsid w:val="00016FEA"/>
    <w:rsid w:val="000205A7"/>
    <w:rsid w:val="00021276"/>
    <w:rsid w:val="00021D18"/>
    <w:rsid w:val="00022B87"/>
    <w:rsid w:val="00023887"/>
    <w:rsid w:val="0003154A"/>
    <w:rsid w:val="0003167E"/>
    <w:rsid w:val="00033E5E"/>
    <w:rsid w:val="0003431E"/>
    <w:rsid w:val="00035450"/>
    <w:rsid w:val="0003583F"/>
    <w:rsid w:val="000460B9"/>
    <w:rsid w:val="000473CC"/>
    <w:rsid w:val="00052C94"/>
    <w:rsid w:val="00055E6C"/>
    <w:rsid w:val="00057A45"/>
    <w:rsid w:val="00071B24"/>
    <w:rsid w:val="000745B5"/>
    <w:rsid w:val="00076EF5"/>
    <w:rsid w:val="0007735D"/>
    <w:rsid w:val="000947C0"/>
    <w:rsid w:val="00094944"/>
    <w:rsid w:val="00097499"/>
    <w:rsid w:val="000A00D8"/>
    <w:rsid w:val="000A68D7"/>
    <w:rsid w:val="000B04D8"/>
    <w:rsid w:val="000B1841"/>
    <w:rsid w:val="000B26FB"/>
    <w:rsid w:val="000B664E"/>
    <w:rsid w:val="000C0D48"/>
    <w:rsid w:val="000C682A"/>
    <w:rsid w:val="000D43B0"/>
    <w:rsid w:val="000D4FF4"/>
    <w:rsid w:val="000D5011"/>
    <w:rsid w:val="000E52AF"/>
    <w:rsid w:val="000E581B"/>
    <w:rsid w:val="000E5874"/>
    <w:rsid w:val="000E5BFF"/>
    <w:rsid w:val="000E705D"/>
    <w:rsid w:val="000F1E99"/>
    <w:rsid w:val="0010194C"/>
    <w:rsid w:val="001025FD"/>
    <w:rsid w:val="00106273"/>
    <w:rsid w:val="00107CE4"/>
    <w:rsid w:val="00110EAA"/>
    <w:rsid w:val="001116A8"/>
    <w:rsid w:val="001256C9"/>
    <w:rsid w:val="00126108"/>
    <w:rsid w:val="0012717F"/>
    <w:rsid w:val="00133483"/>
    <w:rsid w:val="00135B78"/>
    <w:rsid w:val="00142843"/>
    <w:rsid w:val="00151D4E"/>
    <w:rsid w:val="001536C6"/>
    <w:rsid w:val="001551C6"/>
    <w:rsid w:val="0016645F"/>
    <w:rsid w:val="001676C1"/>
    <w:rsid w:val="00167B6E"/>
    <w:rsid w:val="00176922"/>
    <w:rsid w:val="0018044A"/>
    <w:rsid w:val="0019600B"/>
    <w:rsid w:val="001966C0"/>
    <w:rsid w:val="00197BFC"/>
    <w:rsid w:val="001A495C"/>
    <w:rsid w:val="001A783A"/>
    <w:rsid w:val="001B25AF"/>
    <w:rsid w:val="001C05FE"/>
    <w:rsid w:val="001C384E"/>
    <w:rsid w:val="001C3946"/>
    <w:rsid w:val="001C5CEA"/>
    <w:rsid w:val="001D0D61"/>
    <w:rsid w:val="001D11D4"/>
    <w:rsid w:val="001D25AE"/>
    <w:rsid w:val="001D2C60"/>
    <w:rsid w:val="001D3BEE"/>
    <w:rsid w:val="001D6900"/>
    <w:rsid w:val="001F201E"/>
    <w:rsid w:val="001F27B8"/>
    <w:rsid w:val="001F4089"/>
    <w:rsid w:val="001F7E4A"/>
    <w:rsid w:val="00201CB9"/>
    <w:rsid w:val="00201E76"/>
    <w:rsid w:val="002030E5"/>
    <w:rsid w:val="00205EED"/>
    <w:rsid w:val="002120B6"/>
    <w:rsid w:val="00214299"/>
    <w:rsid w:val="00214C14"/>
    <w:rsid w:val="00215749"/>
    <w:rsid w:val="0022074C"/>
    <w:rsid w:val="00221ADE"/>
    <w:rsid w:val="00222594"/>
    <w:rsid w:val="00222714"/>
    <w:rsid w:val="002248A3"/>
    <w:rsid w:val="00226548"/>
    <w:rsid w:val="002265D8"/>
    <w:rsid w:val="002266C1"/>
    <w:rsid w:val="002267D6"/>
    <w:rsid w:val="00226CA4"/>
    <w:rsid w:val="00230B5C"/>
    <w:rsid w:val="0023228D"/>
    <w:rsid w:val="0023734A"/>
    <w:rsid w:val="002434D6"/>
    <w:rsid w:val="002450C1"/>
    <w:rsid w:val="00245A6F"/>
    <w:rsid w:val="00246C24"/>
    <w:rsid w:val="002508F1"/>
    <w:rsid w:val="00250A2D"/>
    <w:rsid w:val="0025167F"/>
    <w:rsid w:val="0025234D"/>
    <w:rsid w:val="00253B7F"/>
    <w:rsid w:val="002556E9"/>
    <w:rsid w:val="00263E65"/>
    <w:rsid w:val="00264888"/>
    <w:rsid w:val="00267EB5"/>
    <w:rsid w:val="0027058E"/>
    <w:rsid w:val="00272776"/>
    <w:rsid w:val="00272C1F"/>
    <w:rsid w:val="00281DD1"/>
    <w:rsid w:val="00283F02"/>
    <w:rsid w:val="00284A74"/>
    <w:rsid w:val="0028541D"/>
    <w:rsid w:val="00287B3F"/>
    <w:rsid w:val="002935F0"/>
    <w:rsid w:val="00295590"/>
    <w:rsid w:val="002967F8"/>
    <w:rsid w:val="00296B9D"/>
    <w:rsid w:val="00297635"/>
    <w:rsid w:val="00297F16"/>
    <w:rsid w:val="002A10A8"/>
    <w:rsid w:val="002A179C"/>
    <w:rsid w:val="002A1822"/>
    <w:rsid w:val="002A3CA8"/>
    <w:rsid w:val="002A6687"/>
    <w:rsid w:val="002B1874"/>
    <w:rsid w:val="002B5960"/>
    <w:rsid w:val="002B6ED5"/>
    <w:rsid w:val="002C0DBF"/>
    <w:rsid w:val="002C0FE8"/>
    <w:rsid w:val="002C2C45"/>
    <w:rsid w:val="002C400D"/>
    <w:rsid w:val="002C458D"/>
    <w:rsid w:val="002C6C0C"/>
    <w:rsid w:val="002D2047"/>
    <w:rsid w:val="002D24E7"/>
    <w:rsid w:val="002D4E97"/>
    <w:rsid w:val="002D7528"/>
    <w:rsid w:val="002D7D70"/>
    <w:rsid w:val="002E0831"/>
    <w:rsid w:val="002E1C26"/>
    <w:rsid w:val="002E2EF1"/>
    <w:rsid w:val="002E3BFA"/>
    <w:rsid w:val="002E7C61"/>
    <w:rsid w:val="002F1748"/>
    <w:rsid w:val="002F17DF"/>
    <w:rsid w:val="002F705C"/>
    <w:rsid w:val="00304C3D"/>
    <w:rsid w:val="00310936"/>
    <w:rsid w:val="003109AF"/>
    <w:rsid w:val="0031200C"/>
    <w:rsid w:val="003147B4"/>
    <w:rsid w:val="0031753A"/>
    <w:rsid w:val="00323832"/>
    <w:rsid w:val="00323BBA"/>
    <w:rsid w:val="00330054"/>
    <w:rsid w:val="0033121E"/>
    <w:rsid w:val="00333143"/>
    <w:rsid w:val="003343BC"/>
    <w:rsid w:val="00334662"/>
    <w:rsid w:val="00334D11"/>
    <w:rsid w:val="0033572B"/>
    <w:rsid w:val="003366B8"/>
    <w:rsid w:val="003368B0"/>
    <w:rsid w:val="003426DA"/>
    <w:rsid w:val="00343ECB"/>
    <w:rsid w:val="00345053"/>
    <w:rsid w:val="003472FC"/>
    <w:rsid w:val="0035176B"/>
    <w:rsid w:val="00352238"/>
    <w:rsid w:val="00352CB6"/>
    <w:rsid w:val="00355359"/>
    <w:rsid w:val="00355E3E"/>
    <w:rsid w:val="0035690D"/>
    <w:rsid w:val="00362B79"/>
    <w:rsid w:val="003630A9"/>
    <w:rsid w:val="00365349"/>
    <w:rsid w:val="00371EAD"/>
    <w:rsid w:val="0037305E"/>
    <w:rsid w:val="00373ADD"/>
    <w:rsid w:val="003747BF"/>
    <w:rsid w:val="00385C89"/>
    <w:rsid w:val="00386C81"/>
    <w:rsid w:val="00387954"/>
    <w:rsid w:val="00391A41"/>
    <w:rsid w:val="00391E1D"/>
    <w:rsid w:val="00392F7B"/>
    <w:rsid w:val="0039373A"/>
    <w:rsid w:val="00394804"/>
    <w:rsid w:val="003A0B83"/>
    <w:rsid w:val="003A25AD"/>
    <w:rsid w:val="003A3AD4"/>
    <w:rsid w:val="003A3B68"/>
    <w:rsid w:val="003A3C9F"/>
    <w:rsid w:val="003A64E5"/>
    <w:rsid w:val="003B0034"/>
    <w:rsid w:val="003B0A8C"/>
    <w:rsid w:val="003B0F26"/>
    <w:rsid w:val="003C002A"/>
    <w:rsid w:val="003C58B7"/>
    <w:rsid w:val="003D076C"/>
    <w:rsid w:val="003D0D07"/>
    <w:rsid w:val="003D2380"/>
    <w:rsid w:val="003D3D72"/>
    <w:rsid w:val="003D5511"/>
    <w:rsid w:val="003D5656"/>
    <w:rsid w:val="003E0241"/>
    <w:rsid w:val="003E1AA2"/>
    <w:rsid w:val="003E2728"/>
    <w:rsid w:val="003E4B12"/>
    <w:rsid w:val="003E657B"/>
    <w:rsid w:val="003E79DE"/>
    <w:rsid w:val="003E7A7E"/>
    <w:rsid w:val="003F3652"/>
    <w:rsid w:val="003F4BA1"/>
    <w:rsid w:val="003F52EF"/>
    <w:rsid w:val="003F7A3E"/>
    <w:rsid w:val="00400A9B"/>
    <w:rsid w:val="00405602"/>
    <w:rsid w:val="00406CCA"/>
    <w:rsid w:val="00411ECA"/>
    <w:rsid w:val="00416246"/>
    <w:rsid w:val="00417E5D"/>
    <w:rsid w:val="004238D5"/>
    <w:rsid w:val="00423CA2"/>
    <w:rsid w:val="00426858"/>
    <w:rsid w:val="00432C60"/>
    <w:rsid w:val="00434736"/>
    <w:rsid w:val="00437428"/>
    <w:rsid w:val="004406EB"/>
    <w:rsid w:val="00440FBF"/>
    <w:rsid w:val="0044431D"/>
    <w:rsid w:val="0044472C"/>
    <w:rsid w:val="0044497B"/>
    <w:rsid w:val="004473CB"/>
    <w:rsid w:val="00451330"/>
    <w:rsid w:val="004529B0"/>
    <w:rsid w:val="00454124"/>
    <w:rsid w:val="0045427B"/>
    <w:rsid w:val="00454F2F"/>
    <w:rsid w:val="00462184"/>
    <w:rsid w:val="00462DBD"/>
    <w:rsid w:val="00464A4E"/>
    <w:rsid w:val="00466AC2"/>
    <w:rsid w:val="00467807"/>
    <w:rsid w:val="00467F17"/>
    <w:rsid w:val="00472FC2"/>
    <w:rsid w:val="00473E25"/>
    <w:rsid w:val="0047649A"/>
    <w:rsid w:val="00476E56"/>
    <w:rsid w:val="00482B5D"/>
    <w:rsid w:val="004834C7"/>
    <w:rsid w:val="00485E59"/>
    <w:rsid w:val="00490199"/>
    <w:rsid w:val="00492FF8"/>
    <w:rsid w:val="00493F81"/>
    <w:rsid w:val="00496ECA"/>
    <w:rsid w:val="004A00FE"/>
    <w:rsid w:val="004A0B1A"/>
    <w:rsid w:val="004A1436"/>
    <w:rsid w:val="004A1928"/>
    <w:rsid w:val="004A2544"/>
    <w:rsid w:val="004A290E"/>
    <w:rsid w:val="004A2DE6"/>
    <w:rsid w:val="004A3DB9"/>
    <w:rsid w:val="004A3E3F"/>
    <w:rsid w:val="004B0BBE"/>
    <w:rsid w:val="004B4CAB"/>
    <w:rsid w:val="004B515D"/>
    <w:rsid w:val="004B5D4F"/>
    <w:rsid w:val="004B7A43"/>
    <w:rsid w:val="004D0540"/>
    <w:rsid w:val="004D1489"/>
    <w:rsid w:val="004F453E"/>
    <w:rsid w:val="004F4C8C"/>
    <w:rsid w:val="004F509D"/>
    <w:rsid w:val="004F5A60"/>
    <w:rsid w:val="004F6A4E"/>
    <w:rsid w:val="0050369C"/>
    <w:rsid w:val="005102C9"/>
    <w:rsid w:val="00511A64"/>
    <w:rsid w:val="00514D1B"/>
    <w:rsid w:val="00516F40"/>
    <w:rsid w:val="00517A7D"/>
    <w:rsid w:val="00521B2E"/>
    <w:rsid w:val="005236E8"/>
    <w:rsid w:val="00523EAC"/>
    <w:rsid w:val="00525143"/>
    <w:rsid w:val="005256A8"/>
    <w:rsid w:val="005275B5"/>
    <w:rsid w:val="00530BAF"/>
    <w:rsid w:val="00533277"/>
    <w:rsid w:val="005333D0"/>
    <w:rsid w:val="00534524"/>
    <w:rsid w:val="00534946"/>
    <w:rsid w:val="005349D2"/>
    <w:rsid w:val="00535FF1"/>
    <w:rsid w:val="005412BD"/>
    <w:rsid w:val="005439A1"/>
    <w:rsid w:val="00544BCB"/>
    <w:rsid w:val="005454DA"/>
    <w:rsid w:val="005506B5"/>
    <w:rsid w:val="00556296"/>
    <w:rsid w:val="00561C3C"/>
    <w:rsid w:val="005621A7"/>
    <w:rsid w:val="005658F4"/>
    <w:rsid w:val="0057222B"/>
    <w:rsid w:val="005725DE"/>
    <w:rsid w:val="00575AF7"/>
    <w:rsid w:val="00582FA1"/>
    <w:rsid w:val="0058350C"/>
    <w:rsid w:val="00586F93"/>
    <w:rsid w:val="0058755B"/>
    <w:rsid w:val="005905F8"/>
    <w:rsid w:val="005918CC"/>
    <w:rsid w:val="00594E33"/>
    <w:rsid w:val="005A0FA3"/>
    <w:rsid w:val="005A4BFA"/>
    <w:rsid w:val="005B098C"/>
    <w:rsid w:val="005B16C5"/>
    <w:rsid w:val="005B19A4"/>
    <w:rsid w:val="005B443E"/>
    <w:rsid w:val="005B6D49"/>
    <w:rsid w:val="005C0840"/>
    <w:rsid w:val="005C1B7D"/>
    <w:rsid w:val="005E1AD1"/>
    <w:rsid w:val="005E5995"/>
    <w:rsid w:val="005E60C6"/>
    <w:rsid w:val="005E6990"/>
    <w:rsid w:val="005F1171"/>
    <w:rsid w:val="005F5E9E"/>
    <w:rsid w:val="005F6124"/>
    <w:rsid w:val="005F6C4D"/>
    <w:rsid w:val="005F7F91"/>
    <w:rsid w:val="006007F8"/>
    <w:rsid w:val="00601DCD"/>
    <w:rsid w:val="00610277"/>
    <w:rsid w:val="006103B7"/>
    <w:rsid w:val="00610601"/>
    <w:rsid w:val="00610A65"/>
    <w:rsid w:val="0061287A"/>
    <w:rsid w:val="0061347B"/>
    <w:rsid w:val="00613768"/>
    <w:rsid w:val="00614C1E"/>
    <w:rsid w:val="006154F2"/>
    <w:rsid w:val="00617064"/>
    <w:rsid w:val="00617251"/>
    <w:rsid w:val="00623FFD"/>
    <w:rsid w:val="006248F0"/>
    <w:rsid w:val="00624B30"/>
    <w:rsid w:val="00626B4C"/>
    <w:rsid w:val="00626F77"/>
    <w:rsid w:val="00627523"/>
    <w:rsid w:val="00632550"/>
    <w:rsid w:val="006330A8"/>
    <w:rsid w:val="006350DC"/>
    <w:rsid w:val="00635561"/>
    <w:rsid w:val="00640774"/>
    <w:rsid w:val="00640C17"/>
    <w:rsid w:val="00643C64"/>
    <w:rsid w:val="00645D7D"/>
    <w:rsid w:val="006473DF"/>
    <w:rsid w:val="006501C0"/>
    <w:rsid w:val="00657209"/>
    <w:rsid w:val="00657BD6"/>
    <w:rsid w:val="0066046A"/>
    <w:rsid w:val="00661A63"/>
    <w:rsid w:val="00665BAB"/>
    <w:rsid w:val="00671D41"/>
    <w:rsid w:val="0067509B"/>
    <w:rsid w:val="006755D8"/>
    <w:rsid w:val="00676221"/>
    <w:rsid w:val="00677CE4"/>
    <w:rsid w:val="00680090"/>
    <w:rsid w:val="00681626"/>
    <w:rsid w:val="006836F3"/>
    <w:rsid w:val="00685D78"/>
    <w:rsid w:val="00685F7B"/>
    <w:rsid w:val="00687DB4"/>
    <w:rsid w:val="00692083"/>
    <w:rsid w:val="00693C20"/>
    <w:rsid w:val="00694455"/>
    <w:rsid w:val="0069556E"/>
    <w:rsid w:val="0069791F"/>
    <w:rsid w:val="006A20B8"/>
    <w:rsid w:val="006A36CC"/>
    <w:rsid w:val="006A4EAD"/>
    <w:rsid w:val="006A5F03"/>
    <w:rsid w:val="006A7143"/>
    <w:rsid w:val="006B2C6D"/>
    <w:rsid w:val="006B434F"/>
    <w:rsid w:val="006B475A"/>
    <w:rsid w:val="006B51D7"/>
    <w:rsid w:val="006B68CC"/>
    <w:rsid w:val="006B7219"/>
    <w:rsid w:val="006C0F84"/>
    <w:rsid w:val="006C1ED6"/>
    <w:rsid w:val="006C5847"/>
    <w:rsid w:val="006C73B3"/>
    <w:rsid w:val="006D13E6"/>
    <w:rsid w:val="006D1F52"/>
    <w:rsid w:val="006D2673"/>
    <w:rsid w:val="006D3E67"/>
    <w:rsid w:val="006D53CE"/>
    <w:rsid w:val="006E16F1"/>
    <w:rsid w:val="006E1C85"/>
    <w:rsid w:val="006E2526"/>
    <w:rsid w:val="006E33CD"/>
    <w:rsid w:val="006E3F4B"/>
    <w:rsid w:val="006F266A"/>
    <w:rsid w:val="006F2DB2"/>
    <w:rsid w:val="006F6868"/>
    <w:rsid w:val="00705FFB"/>
    <w:rsid w:val="00707C80"/>
    <w:rsid w:val="00707F3A"/>
    <w:rsid w:val="00710975"/>
    <w:rsid w:val="00710BDE"/>
    <w:rsid w:val="00713776"/>
    <w:rsid w:val="00713B3D"/>
    <w:rsid w:val="00715E63"/>
    <w:rsid w:val="00716CD8"/>
    <w:rsid w:val="0072604C"/>
    <w:rsid w:val="007303D0"/>
    <w:rsid w:val="00730F0D"/>
    <w:rsid w:val="00732F65"/>
    <w:rsid w:val="0073466D"/>
    <w:rsid w:val="007359AA"/>
    <w:rsid w:val="00735AA0"/>
    <w:rsid w:val="00735D7B"/>
    <w:rsid w:val="007376A3"/>
    <w:rsid w:val="00741FC8"/>
    <w:rsid w:val="00744AC4"/>
    <w:rsid w:val="00744D23"/>
    <w:rsid w:val="0074610C"/>
    <w:rsid w:val="00746D3D"/>
    <w:rsid w:val="00747BFD"/>
    <w:rsid w:val="00750E0B"/>
    <w:rsid w:val="0075644D"/>
    <w:rsid w:val="0075695E"/>
    <w:rsid w:val="007576E7"/>
    <w:rsid w:val="007601AB"/>
    <w:rsid w:val="00760875"/>
    <w:rsid w:val="00761F15"/>
    <w:rsid w:val="007658D5"/>
    <w:rsid w:val="007666D7"/>
    <w:rsid w:val="00766A87"/>
    <w:rsid w:val="00773E29"/>
    <w:rsid w:val="00774479"/>
    <w:rsid w:val="007755B7"/>
    <w:rsid w:val="00780C45"/>
    <w:rsid w:val="00784919"/>
    <w:rsid w:val="00785007"/>
    <w:rsid w:val="0078779A"/>
    <w:rsid w:val="007929F2"/>
    <w:rsid w:val="007941BE"/>
    <w:rsid w:val="0079601D"/>
    <w:rsid w:val="007A1164"/>
    <w:rsid w:val="007A2DEC"/>
    <w:rsid w:val="007A35D5"/>
    <w:rsid w:val="007A4768"/>
    <w:rsid w:val="007A5BDA"/>
    <w:rsid w:val="007B1778"/>
    <w:rsid w:val="007C0AAE"/>
    <w:rsid w:val="007C0DD8"/>
    <w:rsid w:val="007C26C3"/>
    <w:rsid w:val="007C5E07"/>
    <w:rsid w:val="007E0B03"/>
    <w:rsid w:val="007E4147"/>
    <w:rsid w:val="007E5394"/>
    <w:rsid w:val="007E69C2"/>
    <w:rsid w:val="007F1EFB"/>
    <w:rsid w:val="007F2ED7"/>
    <w:rsid w:val="007F7480"/>
    <w:rsid w:val="00802288"/>
    <w:rsid w:val="00804A3E"/>
    <w:rsid w:val="00805143"/>
    <w:rsid w:val="0080618A"/>
    <w:rsid w:val="008067CF"/>
    <w:rsid w:val="008075E1"/>
    <w:rsid w:val="00807808"/>
    <w:rsid w:val="008108D6"/>
    <w:rsid w:val="00813669"/>
    <w:rsid w:val="0081667F"/>
    <w:rsid w:val="00821142"/>
    <w:rsid w:val="008229F3"/>
    <w:rsid w:val="00824591"/>
    <w:rsid w:val="00824744"/>
    <w:rsid w:val="0082500A"/>
    <w:rsid w:val="00827932"/>
    <w:rsid w:val="00830160"/>
    <w:rsid w:val="008313AB"/>
    <w:rsid w:val="00831FDA"/>
    <w:rsid w:val="00836C42"/>
    <w:rsid w:val="00837339"/>
    <w:rsid w:val="00841A26"/>
    <w:rsid w:val="00843BCD"/>
    <w:rsid w:val="0085173D"/>
    <w:rsid w:val="00852762"/>
    <w:rsid w:val="00852E04"/>
    <w:rsid w:val="00853F9F"/>
    <w:rsid w:val="00856CB1"/>
    <w:rsid w:val="00857092"/>
    <w:rsid w:val="00871B3A"/>
    <w:rsid w:val="0087467A"/>
    <w:rsid w:val="008814A4"/>
    <w:rsid w:val="0088270D"/>
    <w:rsid w:val="00882F60"/>
    <w:rsid w:val="008834D1"/>
    <w:rsid w:val="00884F2A"/>
    <w:rsid w:val="0089342E"/>
    <w:rsid w:val="00894C4F"/>
    <w:rsid w:val="008974C9"/>
    <w:rsid w:val="008A0084"/>
    <w:rsid w:val="008A0F49"/>
    <w:rsid w:val="008A1059"/>
    <w:rsid w:val="008A2DC3"/>
    <w:rsid w:val="008A556A"/>
    <w:rsid w:val="008B149A"/>
    <w:rsid w:val="008B1E9C"/>
    <w:rsid w:val="008B2635"/>
    <w:rsid w:val="008B3999"/>
    <w:rsid w:val="008B4D46"/>
    <w:rsid w:val="008B6014"/>
    <w:rsid w:val="008C2480"/>
    <w:rsid w:val="008C782C"/>
    <w:rsid w:val="008D1D0C"/>
    <w:rsid w:val="008D35FC"/>
    <w:rsid w:val="008D563C"/>
    <w:rsid w:val="008D62AE"/>
    <w:rsid w:val="008D730D"/>
    <w:rsid w:val="008E11B9"/>
    <w:rsid w:val="008E3929"/>
    <w:rsid w:val="008E5441"/>
    <w:rsid w:val="008E5FAC"/>
    <w:rsid w:val="008F068B"/>
    <w:rsid w:val="008F1669"/>
    <w:rsid w:val="008F7D4D"/>
    <w:rsid w:val="00900D12"/>
    <w:rsid w:val="00900E0C"/>
    <w:rsid w:val="009032E8"/>
    <w:rsid w:val="00905530"/>
    <w:rsid w:val="0090582A"/>
    <w:rsid w:val="0090617A"/>
    <w:rsid w:val="009077DF"/>
    <w:rsid w:val="00907C60"/>
    <w:rsid w:val="00911685"/>
    <w:rsid w:val="00911FEB"/>
    <w:rsid w:val="009124E0"/>
    <w:rsid w:val="0091273E"/>
    <w:rsid w:val="0091617D"/>
    <w:rsid w:val="00916D86"/>
    <w:rsid w:val="009170B8"/>
    <w:rsid w:val="00920D0B"/>
    <w:rsid w:val="009223D0"/>
    <w:rsid w:val="009244A7"/>
    <w:rsid w:val="009276C1"/>
    <w:rsid w:val="00930EF1"/>
    <w:rsid w:val="0093437E"/>
    <w:rsid w:val="009344EF"/>
    <w:rsid w:val="0093455F"/>
    <w:rsid w:val="00942C6D"/>
    <w:rsid w:val="00942CBC"/>
    <w:rsid w:val="00943216"/>
    <w:rsid w:val="009434FB"/>
    <w:rsid w:val="00944AC5"/>
    <w:rsid w:val="009469A2"/>
    <w:rsid w:val="00947995"/>
    <w:rsid w:val="009479B9"/>
    <w:rsid w:val="00955820"/>
    <w:rsid w:val="00955CB5"/>
    <w:rsid w:val="00955CBA"/>
    <w:rsid w:val="00956A31"/>
    <w:rsid w:val="00956BE6"/>
    <w:rsid w:val="00960BDA"/>
    <w:rsid w:val="009633D8"/>
    <w:rsid w:val="00964D08"/>
    <w:rsid w:val="00966F8A"/>
    <w:rsid w:val="009678B8"/>
    <w:rsid w:val="00970C41"/>
    <w:rsid w:val="0097137F"/>
    <w:rsid w:val="00977526"/>
    <w:rsid w:val="00980754"/>
    <w:rsid w:val="0098497C"/>
    <w:rsid w:val="00985838"/>
    <w:rsid w:val="00990F21"/>
    <w:rsid w:val="00991AC9"/>
    <w:rsid w:val="0099250E"/>
    <w:rsid w:val="009958AC"/>
    <w:rsid w:val="00995D80"/>
    <w:rsid w:val="0099629F"/>
    <w:rsid w:val="009A5066"/>
    <w:rsid w:val="009A6EAC"/>
    <w:rsid w:val="009B3365"/>
    <w:rsid w:val="009B59E3"/>
    <w:rsid w:val="009B700D"/>
    <w:rsid w:val="009C1FF4"/>
    <w:rsid w:val="009C25AF"/>
    <w:rsid w:val="009C33C8"/>
    <w:rsid w:val="009C5B69"/>
    <w:rsid w:val="009D09F7"/>
    <w:rsid w:val="009E14E3"/>
    <w:rsid w:val="009E5806"/>
    <w:rsid w:val="009E66CF"/>
    <w:rsid w:val="009F284F"/>
    <w:rsid w:val="009F6E39"/>
    <w:rsid w:val="009F703C"/>
    <w:rsid w:val="009F716E"/>
    <w:rsid w:val="009F7786"/>
    <w:rsid w:val="009F7FF4"/>
    <w:rsid w:val="00A00CF8"/>
    <w:rsid w:val="00A022E6"/>
    <w:rsid w:val="00A03895"/>
    <w:rsid w:val="00A06749"/>
    <w:rsid w:val="00A07C98"/>
    <w:rsid w:val="00A103B3"/>
    <w:rsid w:val="00A1129E"/>
    <w:rsid w:val="00A11C66"/>
    <w:rsid w:val="00A14F23"/>
    <w:rsid w:val="00A150E8"/>
    <w:rsid w:val="00A20426"/>
    <w:rsid w:val="00A278F8"/>
    <w:rsid w:val="00A27954"/>
    <w:rsid w:val="00A30B5C"/>
    <w:rsid w:val="00A321D3"/>
    <w:rsid w:val="00A32B15"/>
    <w:rsid w:val="00A34456"/>
    <w:rsid w:val="00A357F5"/>
    <w:rsid w:val="00A370D1"/>
    <w:rsid w:val="00A37FF2"/>
    <w:rsid w:val="00A40C50"/>
    <w:rsid w:val="00A4239D"/>
    <w:rsid w:val="00A43A0C"/>
    <w:rsid w:val="00A44928"/>
    <w:rsid w:val="00A44A09"/>
    <w:rsid w:val="00A50281"/>
    <w:rsid w:val="00A50E47"/>
    <w:rsid w:val="00A5181F"/>
    <w:rsid w:val="00A5747C"/>
    <w:rsid w:val="00A62AFD"/>
    <w:rsid w:val="00A642C2"/>
    <w:rsid w:val="00A65245"/>
    <w:rsid w:val="00A66C4C"/>
    <w:rsid w:val="00A67E95"/>
    <w:rsid w:val="00A72845"/>
    <w:rsid w:val="00A77D34"/>
    <w:rsid w:val="00A77E71"/>
    <w:rsid w:val="00A81B3C"/>
    <w:rsid w:val="00A9133A"/>
    <w:rsid w:val="00A93C08"/>
    <w:rsid w:val="00A95F8C"/>
    <w:rsid w:val="00A963D4"/>
    <w:rsid w:val="00A96730"/>
    <w:rsid w:val="00A967AA"/>
    <w:rsid w:val="00AA0631"/>
    <w:rsid w:val="00AA0C78"/>
    <w:rsid w:val="00AA2179"/>
    <w:rsid w:val="00AA2AD2"/>
    <w:rsid w:val="00AA418C"/>
    <w:rsid w:val="00AA65A9"/>
    <w:rsid w:val="00AB00F9"/>
    <w:rsid w:val="00AB0B34"/>
    <w:rsid w:val="00AB2C02"/>
    <w:rsid w:val="00AB6399"/>
    <w:rsid w:val="00AC171D"/>
    <w:rsid w:val="00AC3E86"/>
    <w:rsid w:val="00AC6419"/>
    <w:rsid w:val="00AD15C2"/>
    <w:rsid w:val="00AD4EDB"/>
    <w:rsid w:val="00AD657F"/>
    <w:rsid w:val="00AD6700"/>
    <w:rsid w:val="00AD6FA5"/>
    <w:rsid w:val="00AE1B0C"/>
    <w:rsid w:val="00AE28F9"/>
    <w:rsid w:val="00AE363E"/>
    <w:rsid w:val="00AE3FF5"/>
    <w:rsid w:val="00AE4B1D"/>
    <w:rsid w:val="00AF0087"/>
    <w:rsid w:val="00AF35B4"/>
    <w:rsid w:val="00AF7124"/>
    <w:rsid w:val="00B0093E"/>
    <w:rsid w:val="00B123DF"/>
    <w:rsid w:val="00B141ED"/>
    <w:rsid w:val="00B154BA"/>
    <w:rsid w:val="00B202FD"/>
    <w:rsid w:val="00B2148C"/>
    <w:rsid w:val="00B224BC"/>
    <w:rsid w:val="00B2381D"/>
    <w:rsid w:val="00B264B7"/>
    <w:rsid w:val="00B31E3D"/>
    <w:rsid w:val="00B337EA"/>
    <w:rsid w:val="00B34807"/>
    <w:rsid w:val="00B34EB0"/>
    <w:rsid w:val="00B36FE5"/>
    <w:rsid w:val="00B40520"/>
    <w:rsid w:val="00B4226B"/>
    <w:rsid w:val="00B436BE"/>
    <w:rsid w:val="00B46E55"/>
    <w:rsid w:val="00B51F5C"/>
    <w:rsid w:val="00B5578A"/>
    <w:rsid w:val="00B57293"/>
    <w:rsid w:val="00B60371"/>
    <w:rsid w:val="00B60BD3"/>
    <w:rsid w:val="00B61DF1"/>
    <w:rsid w:val="00B61FFA"/>
    <w:rsid w:val="00B6303C"/>
    <w:rsid w:val="00B633EB"/>
    <w:rsid w:val="00B67AE6"/>
    <w:rsid w:val="00B70A9B"/>
    <w:rsid w:val="00B712E9"/>
    <w:rsid w:val="00B7219C"/>
    <w:rsid w:val="00B7224D"/>
    <w:rsid w:val="00B72FE7"/>
    <w:rsid w:val="00B7303E"/>
    <w:rsid w:val="00B731F6"/>
    <w:rsid w:val="00B74A37"/>
    <w:rsid w:val="00B80207"/>
    <w:rsid w:val="00B867E3"/>
    <w:rsid w:val="00B87478"/>
    <w:rsid w:val="00BA0328"/>
    <w:rsid w:val="00BA1D5B"/>
    <w:rsid w:val="00BB1EB0"/>
    <w:rsid w:val="00BB20D6"/>
    <w:rsid w:val="00BB2815"/>
    <w:rsid w:val="00BB371D"/>
    <w:rsid w:val="00BB4901"/>
    <w:rsid w:val="00BB7FAF"/>
    <w:rsid w:val="00BC1328"/>
    <w:rsid w:val="00BC43AC"/>
    <w:rsid w:val="00BC51D3"/>
    <w:rsid w:val="00BC6CDD"/>
    <w:rsid w:val="00BD074F"/>
    <w:rsid w:val="00BD0B3D"/>
    <w:rsid w:val="00BE04B4"/>
    <w:rsid w:val="00BE0AF5"/>
    <w:rsid w:val="00BE0DB0"/>
    <w:rsid w:val="00BE16A2"/>
    <w:rsid w:val="00BE39ED"/>
    <w:rsid w:val="00BE3D63"/>
    <w:rsid w:val="00BF405B"/>
    <w:rsid w:val="00BF4175"/>
    <w:rsid w:val="00BF65A1"/>
    <w:rsid w:val="00BF771B"/>
    <w:rsid w:val="00BF7728"/>
    <w:rsid w:val="00BF7AF4"/>
    <w:rsid w:val="00C00681"/>
    <w:rsid w:val="00C06CB4"/>
    <w:rsid w:val="00C100BB"/>
    <w:rsid w:val="00C1293E"/>
    <w:rsid w:val="00C25F53"/>
    <w:rsid w:val="00C26FB2"/>
    <w:rsid w:val="00C350A3"/>
    <w:rsid w:val="00C35759"/>
    <w:rsid w:val="00C40E33"/>
    <w:rsid w:val="00C420C5"/>
    <w:rsid w:val="00C42345"/>
    <w:rsid w:val="00C50C5B"/>
    <w:rsid w:val="00C54EDC"/>
    <w:rsid w:val="00C551F2"/>
    <w:rsid w:val="00C55A90"/>
    <w:rsid w:val="00C63AC6"/>
    <w:rsid w:val="00C674E8"/>
    <w:rsid w:val="00C67A7B"/>
    <w:rsid w:val="00C724A7"/>
    <w:rsid w:val="00C77717"/>
    <w:rsid w:val="00C8067C"/>
    <w:rsid w:val="00C807AC"/>
    <w:rsid w:val="00C82731"/>
    <w:rsid w:val="00C827A0"/>
    <w:rsid w:val="00C84133"/>
    <w:rsid w:val="00C8562D"/>
    <w:rsid w:val="00C908D8"/>
    <w:rsid w:val="00C90E35"/>
    <w:rsid w:val="00C9138C"/>
    <w:rsid w:val="00CA0A6B"/>
    <w:rsid w:val="00CA76AB"/>
    <w:rsid w:val="00CB27A1"/>
    <w:rsid w:val="00CB2FF0"/>
    <w:rsid w:val="00CB34F0"/>
    <w:rsid w:val="00CC1784"/>
    <w:rsid w:val="00CC31D7"/>
    <w:rsid w:val="00CC75EB"/>
    <w:rsid w:val="00CD0FA2"/>
    <w:rsid w:val="00CD38B4"/>
    <w:rsid w:val="00CD6705"/>
    <w:rsid w:val="00CE5BD2"/>
    <w:rsid w:val="00CE6B79"/>
    <w:rsid w:val="00CF1A17"/>
    <w:rsid w:val="00CF2C6B"/>
    <w:rsid w:val="00CF2D7A"/>
    <w:rsid w:val="00CF38CA"/>
    <w:rsid w:val="00CF4C10"/>
    <w:rsid w:val="00CF4E85"/>
    <w:rsid w:val="00D018DD"/>
    <w:rsid w:val="00D029C2"/>
    <w:rsid w:val="00D03AE8"/>
    <w:rsid w:val="00D07097"/>
    <w:rsid w:val="00D07EBA"/>
    <w:rsid w:val="00D10401"/>
    <w:rsid w:val="00D1073B"/>
    <w:rsid w:val="00D1402D"/>
    <w:rsid w:val="00D20A10"/>
    <w:rsid w:val="00D23B0C"/>
    <w:rsid w:val="00D2623E"/>
    <w:rsid w:val="00D2685E"/>
    <w:rsid w:val="00D338EC"/>
    <w:rsid w:val="00D43E5A"/>
    <w:rsid w:val="00D461B3"/>
    <w:rsid w:val="00D469DC"/>
    <w:rsid w:val="00D50B30"/>
    <w:rsid w:val="00D5219F"/>
    <w:rsid w:val="00D54269"/>
    <w:rsid w:val="00D5521C"/>
    <w:rsid w:val="00D559DB"/>
    <w:rsid w:val="00D55D6F"/>
    <w:rsid w:val="00D56D16"/>
    <w:rsid w:val="00D577C5"/>
    <w:rsid w:val="00D628C6"/>
    <w:rsid w:val="00D64A76"/>
    <w:rsid w:val="00D72CA3"/>
    <w:rsid w:val="00D73A62"/>
    <w:rsid w:val="00D849D3"/>
    <w:rsid w:val="00D85A21"/>
    <w:rsid w:val="00D9293A"/>
    <w:rsid w:val="00DA6606"/>
    <w:rsid w:val="00DA7F89"/>
    <w:rsid w:val="00DB21E5"/>
    <w:rsid w:val="00DB3578"/>
    <w:rsid w:val="00DB37E7"/>
    <w:rsid w:val="00DB3AA0"/>
    <w:rsid w:val="00DB6086"/>
    <w:rsid w:val="00DC1C61"/>
    <w:rsid w:val="00DC30B7"/>
    <w:rsid w:val="00DC4E3C"/>
    <w:rsid w:val="00DC50F8"/>
    <w:rsid w:val="00DD3174"/>
    <w:rsid w:val="00DD32B2"/>
    <w:rsid w:val="00DE10B3"/>
    <w:rsid w:val="00DE39CF"/>
    <w:rsid w:val="00DE3CE1"/>
    <w:rsid w:val="00DE4771"/>
    <w:rsid w:val="00DE4C47"/>
    <w:rsid w:val="00DE4C5C"/>
    <w:rsid w:val="00DF2EE1"/>
    <w:rsid w:val="00DF60D0"/>
    <w:rsid w:val="00E03F82"/>
    <w:rsid w:val="00E04F41"/>
    <w:rsid w:val="00E052BA"/>
    <w:rsid w:val="00E12CAD"/>
    <w:rsid w:val="00E14FDA"/>
    <w:rsid w:val="00E20981"/>
    <w:rsid w:val="00E27F89"/>
    <w:rsid w:val="00E31071"/>
    <w:rsid w:val="00E337D5"/>
    <w:rsid w:val="00E34F18"/>
    <w:rsid w:val="00E35773"/>
    <w:rsid w:val="00E35FFA"/>
    <w:rsid w:val="00E4065C"/>
    <w:rsid w:val="00E4144C"/>
    <w:rsid w:val="00E41BED"/>
    <w:rsid w:val="00E42D13"/>
    <w:rsid w:val="00E43488"/>
    <w:rsid w:val="00E43FAD"/>
    <w:rsid w:val="00E44CD2"/>
    <w:rsid w:val="00E47996"/>
    <w:rsid w:val="00E510E3"/>
    <w:rsid w:val="00E557E4"/>
    <w:rsid w:val="00E6640D"/>
    <w:rsid w:val="00E6763C"/>
    <w:rsid w:val="00E711A2"/>
    <w:rsid w:val="00E71FB0"/>
    <w:rsid w:val="00E73E5A"/>
    <w:rsid w:val="00E831B7"/>
    <w:rsid w:val="00E84E7C"/>
    <w:rsid w:val="00E91620"/>
    <w:rsid w:val="00E93CF9"/>
    <w:rsid w:val="00E95C3B"/>
    <w:rsid w:val="00E960D6"/>
    <w:rsid w:val="00E96954"/>
    <w:rsid w:val="00EA049E"/>
    <w:rsid w:val="00EA620B"/>
    <w:rsid w:val="00EA65FD"/>
    <w:rsid w:val="00EA6B96"/>
    <w:rsid w:val="00EA7EE7"/>
    <w:rsid w:val="00EB15FB"/>
    <w:rsid w:val="00EB2474"/>
    <w:rsid w:val="00EB5B64"/>
    <w:rsid w:val="00EB5DBA"/>
    <w:rsid w:val="00EC35E1"/>
    <w:rsid w:val="00EC3828"/>
    <w:rsid w:val="00ED2279"/>
    <w:rsid w:val="00ED47C6"/>
    <w:rsid w:val="00ED4CAF"/>
    <w:rsid w:val="00ED5A0D"/>
    <w:rsid w:val="00ED605E"/>
    <w:rsid w:val="00EE3497"/>
    <w:rsid w:val="00EE4CC9"/>
    <w:rsid w:val="00EF287C"/>
    <w:rsid w:val="00EF42D0"/>
    <w:rsid w:val="00F0081C"/>
    <w:rsid w:val="00F03278"/>
    <w:rsid w:val="00F04BC9"/>
    <w:rsid w:val="00F10541"/>
    <w:rsid w:val="00F10808"/>
    <w:rsid w:val="00F11EC8"/>
    <w:rsid w:val="00F125D3"/>
    <w:rsid w:val="00F237F5"/>
    <w:rsid w:val="00F27903"/>
    <w:rsid w:val="00F31F7E"/>
    <w:rsid w:val="00F32654"/>
    <w:rsid w:val="00F32A96"/>
    <w:rsid w:val="00F32A99"/>
    <w:rsid w:val="00F36C44"/>
    <w:rsid w:val="00F4024F"/>
    <w:rsid w:val="00F41B55"/>
    <w:rsid w:val="00F44401"/>
    <w:rsid w:val="00F45C50"/>
    <w:rsid w:val="00F461CB"/>
    <w:rsid w:val="00F470A9"/>
    <w:rsid w:val="00F500EC"/>
    <w:rsid w:val="00F55522"/>
    <w:rsid w:val="00F55F58"/>
    <w:rsid w:val="00F6212D"/>
    <w:rsid w:val="00F62EBA"/>
    <w:rsid w:val="00F72B69"/>
    <w:rsid w:val="00F73F7E"/>
    <w:rsid w:val="00F743D0"/>
    <w:rsid w:val="00F744C2"/>
    <w:rsid w:val="00F745E7"/>
    <w:rsid w:val="00F77620"/>
    <w:rsid w:val="00F8285A"/>
    <w:rsid w:val="00F834F6"/>
    <w:rsid w:val="00F876D9"/>
    <w:rsid w:val="00F91DA9"/>
    <w:rsid w:val="00F928E9"/>
    <w:rsid w:val="00F95BB3"/>
    <w:rsid w:val="00F96D3A"/>
    <w:rsid w:val="00FA2AF6"/>
    <w:rsid w:val="00FA508F"/>
    <w:rsid w:val="00FB0F08"/>
    <w:rsid w:val="00FB19CA"/>
    <w:rsid w:val="00FB42ED"/>
    <w:rsid w:val="00FB5625"/>
    <w:rsid w:val="00FB5762"/>
    <w:rsid w:val="00FB593F"/>
    <w:rsid w:val="00FB5ED3"/>
    <w:rsid w:val="00FC1F7B"/>
    <w:rsid w:val="00FC54B9"/>
    <w:rsid w:val="00FC7350"/>
    <w:rsid w:val="00FD1183"/>
    <w:rsid w:val="00FD1DB6"/>
    <w:rsid w:val="00FD3405"/>
    <w:rsid w:val="00FD4353"/>
    <w:rsid w:val="00FD62CD"/>
    <w:rsid w:val="00FE170A"/>
    <w:rsid w:val="00FE3473"/>
    <w:rsid w:val="00FE63AE"/>
    <w:rsid w:val="00FE7564"/>
    <w:rsid w:val="00FF242E"/>
    <w:rsid w:val="00FF39A0"/>
    <w:rsid w:val="00FF3B69"/>
    <w:rsid w:val="00FF52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3CD"/>
    <w:rPr>
      <w:sz w:val="24"/>
      <w:szCs w:val="24"/>
    </w:rPr>
  </w:style>
  <w:style w:type="paragraph" w:styleId="Heading1">
    <w:name w:val="heading 1"/>
    <w:basedOn w:val="Normal"/>
    <w:next w:val="Normal"/>
    <w:link w:val="Heading1Char"/>
    <w:qFormat/>
    <w:rsid w:val="00D23B0C"/>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link w:val="PlainTextChar"/>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basedOn w:val="DefaultParagraphFont"/>
    <w:semiHidden/>
    <w:rsid w:val="00A00CF8"/>
    <w:rPr>
      <w:sz w:val="16"/>
      <w:szCs w:val="16"/>
    </w:rPr>
  </w:style>
  <w:style w:type="paragraph" w:styleId="CommentText">
    <w:name w:val="annotation text"/>
    <w:basedOn w:val="Normal"/>
    <w:semiHidden/>
    <w:rsid w:val="00A00CF8"/>
    <w:rPr>
      <w:sz w:val="20"/>
      <w:szCs w:val="20"/>
    </w:rPr>
  </w:style>
  <w:style w:type="paragraph" w:styleId="CommentSubject">
    <w:name w:val="annotation subject"/>
    <w:basedOn w:val="CommentText"/>
    <w:next w:val="CommentText"/>
    <w:semiHidden/>
    <w:rsid w:val="00A00CF8"/>
    <w:rPr>
      <w:b/>
      <w:bCs/>
    </w:rPr>
  </w:style>
  <w:style w:type="paragraph" w:styleId="BodyText2">
    <w:name w:val="Body Text 2"/>
    <w:basedOn w:val="Normal"/>
    <w:link w:val="BodyText2Char"/>
    <w:uiPriority w:val="99"/>
    <w:unhideWhenUsed/>
    <w:rsid w:val="006A4EAD"/>
    <w:pPr>
      <w:spacing w:after="120" w:line="480" w:lineRule="auto"/>
    </w:pPr>
  </w:style>
  <w:style w:type="character" w:customStyle="1" w:styleId="BodyText2Char">
    <w:name w:val="Body Text 2 Char"/>
    <w:basedOn w:val="DefaultParagraphFont"/>
    <w:link w:val="BodyText2"/>
    <w:uiPriority w:val="99"/>
    <w:rsid w:val="006A4EAD"/>
    <w:rPr>
      <w:sz w:val="24"/>
      <w:szCs w:val="24"/>
    </w:rPr>
  </w:style>
  <w:style w:type="character" w:customStyle="1" w:styleId="Heading1Char">
    <w:name w:val="Heading 1 Char"/>
    <w:basedOn w:val="DefaultParagraphFont"/>
    <w:link w:val="Heading1"/>
    <w:uiPriority w:val="9"/>
    <w:rsid w:val="00D23B0C"/>
    <w:rPr>
      <w:rFonts w:ascii="Cambria" w:eastAsia="Times New Roman" w:hAnsi="Cambria" w:cs="Times New Roman"/>
      <w:b/>
      <w:bCs/>
      <w:kern w:val="32"/>
      <w:sz w:val="32"/>
      <w:szCs w:val="32"/>
    </w:rPr>
  </w:style>
  <w:style w:type="paragraph" w:styleId="BodyText">
    <w:name w:val="Body Text"/>
    <w:basedOn w:val="Normal"/>
    <w:link w:val="BodyTextChar"/>
    <w:rsid w:val="00D23B0C"/>
    <w:pPr>
      <w:spacing w:after="120"/>
    </w:pPr>
  </w:style>
  <w:style w:type="character" w:customStyle="1" w:styleId="BodyTextChar">
    <w:name w:val="Body Text Char"/>
    <w:basedOn w:val="DefaultParagraphFont"/>
    <w:link w:val="BodyText"/>
    <w:rsid w:val="00D23B0C"/>
    <w:rPr>
      <w:sz w:val="24"/>
      <w:szCs w:val="24"/>
    </w:rPr>
  </w:style>
  <w:style w:type="character" w:customStyle="1" w:styleId="PlainTextChar">
    <w:name w:val="Plain Text Char"/>
    <w:basedOn w:val="DefaultParagraphFont"/>
    <w:link w:val="PlainText"/>
    <w:rsid w:val="00D23B0C"/>
    <w:rPr>
      <w:rFonts w:ascii="Courier New" w:hAnsi="Courier New" w:cs="Courier New"/>
    </w:rPr>
  </w:style>
  <w:style w:type="paragraph" w:styleId="BodyTextIndent">
    <w:name w:val="Body Text Indent"/>
    <w:basedOn w:val="Normal"/>
    <w:link w:val="BodyTextIndentChar"/>
    <w:rsid w:val="006D3E67"/>
    <w:pPr>
      <w:spacing w:after="120"/>
      <w:ind w:left="283"/>
    </w:pPr>
  </w:style>
  <w:style w:type="character" w:customStyle="1" w:styleId="BodyTextIndentChar">
    <w:name w:val="Body Text Indent Char"/>
    <w:basedOn w:val="DefaultParagraphFont"/>
    <w:link w:val="BodyTextIndent"/>
    <w:rsid w:val="006D3E67"/>
    <w:rPr>
      <w:sz w:val="24"/>
      <w:szCs w:val="24"/>
    </w:rPr>
  </w:style>
  <w:style w:type="paragraph" w:styleId="FootnoteText">
    <w:name w:val="footnote text"/>
    <w:basedOn w:val="Normal"/>
    <w:link w:val="FootnoteTextChar"/>
    <w:rsid w:val="00BB2815"/>
    <w:rPr>
      <w:sz w:val="20"/>
      <w:szCs w:val="20"/>
    </w:rPr>
  </w:style>
  <w:style w:type="character" w:customStyle="1" w:styleId="FootnoteTextChar">
    <w:name w:val="Footnote Text Char"/>
    <w:basedOn w:val="DefaultParagraphFont"/>
    <w:link w:val="FootnoteText"/>
    <w:rsid w:val="00BB2815"/>
  </w:style>
  <w:style w:type="paragraph" w:customStyle="1" w:styleId="tvhtml">
    <w:name w:val="tv_html"/>
    <w:basedOn w:val="Normal"/>
    <w:rsid w:val="00DC4E3C"/>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761F15"/>
    <w:pPr>
      <w:ind w:left="720"/>
      <w:contextualSpacing/>
    </w:pPr>
  </w:style>
</w:styles>
</file>

<file path=word/webSettings.xml><?xml version="1.0" encoding="utf-8"?>
<w:webSettings xmlns:r="http://schemas.openxmlformats.org/officeDocument/2006/relationships" xmlns:w="http://schemas.openxmlformats.org/wordprocessingml/2006/main">
  <w:divs>
    <w:div w:id="123886210">
      <w:bodyDiv w:val="1"/>
      <w:marLeft w:val="0"/>
      <w:marRight w:val="0"/>
      <w:marTop w:val="0"/>
      <w:marBottom w:val="0"/>
      <w:divBdr>
        <w:top w:val="none" w:sz="0" w:space="0" w:color="auto"/>
        <w:left w:val="none" w:sz="0" w:space="0" w:color="auto"/>
        <w:bottom w:val="none" w:sz="0" w:space="0" w:color="auto"/>
        <w:right w:val="none" w:sz="0" w:space="0" w:color="auto"/>
      </w:divBdr>
    </w:div>
    <w:div w:id="472331389">
      <w:bodyDiv w:val="1"/>
      <w:marLeft w:val="45"/>
      <w:marRight w:val="45"/>
      <w:marTop w:val="90"/>
      <w:marBottom w:val="90"/>
      <w:divBdr>
        <w:top w:val="none" w:sz="0" w:space="0" w:color="auto"/>
        <w:left w:val="none" w:sz="0" w:space="0" w:color="auto"/>
        <w:bottom w:val="none" w:sz="0" w:space="0" w:color="auto"/>
        <w:right w:val="none" w:sz="0" w:space="0" w:color="auto"/>
      </w:divBdr>
      <w:divsChild>
        <w:div w:id="1302420283">
          <w:marLeft w:val="0"/>
          <w:marRight w:val="0"/>
          <w:marTop w:val="240"/>
          <w:marBottom w:val="0"/>
          <w:divBdr>
            <w:top w:val="none" w:sz="0" w:space="0" w:color="auto"/>
            <w:left w:val="none" w:sz="0" w:space="0" w:color="auto"/>
            <w:bottom w:val="none" w:sz="0" w:space="0" w:color="auto"/>
            <w:right w:val="none" w:sz="0" w:space="0" w:color="auto"/>
          </w:divBdr>
          <w:divsChild>
            <w:div w:id="15287176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00742423">
      <w:bodyDiv w:val="1"/>
      <w:marLeft w:val="45"/>
      <w:marRight w:val="45"/>
      <w:marTop w:val="90"/>
      <w:marBottom w:val="90"/>
      <w:divBdr>
        <w:top w:val="none" w:sz="0" w:space="0" w:color="auto"/>
        <w:left w:val="none" w:sz="0" w:space="0" w:color="auto"/>
        <w:bottom w:val="none" w:sz="0" w:space="0" w:color="auto"/>
        <w:right w:val="none" w:sz="0" w:space="0" w:color="auto"/>
      </w:divBdr>
      <w:divsChild>
        <w:div w:id="2037611063">
          <w:marLeft w:val="0"/>
          <w:marRight w:val="0"/>
          <w:marTop w:val="240"/>
          <w:marBottom w:val="0"/>
          <w:divBdr>
            <w:top w:val="none" w:sz="0" w:space="0" w:color="auto"/>
            <w:left w:val="none" w:sz="0" w:space="0" w:color="auto"/>
            <w:bottom w:val="none" w:sz="0" w:space="0" w:color="auto"/>
            <w:right w:val="none" w:sz="0" w:space="0" w:color="auto"/>
          </w:divBdr>
        </w:div>
      </w:divsChild>
    </w:div>
    <w:div w:id="1077944867">
      <w:bodyDiv w:val="1"/>
      <w:marLeft w:val="0"/>
      <w:marRight w:val="0"/>
      <w:marTop w:val="0"/>
      <w:marBottom w:val="0"/>
      <w:divBdr>
        <w:top w:val="none" w:sz="0" w:space="0" w:color="auto"/>
        <w:left w:val="none" w:sz="0" w:space="0" w:color="auto"/>
        <w:bottom w:val="none" w:sz="0" w:space="0" w:color="auto"/>
        <w:right w:val="none" w:sz="0" w:space="0" w:color="auto"/>
      </w:divBdr>
    </w:div>
    <w:div w:id="1287204035">
      <w:bodyDiv w:val="1"/>
      <w:marLeft w:val="0"/>
      <w:marRight w:val="0"/>
      <w:marTop w:val="0"/>
      <w:marBottom w:val="0"/>
      <w:divBdr>
        <w:top w:val="none" w:sz="0" w:space="0" w:color="auto"/>
        <w:left w:val="none" w:sz="0" w:space="0" w:color="auto"/>
        <w:bottom w:val="none" w:sz="0" w:space="0" w:color="auto"/>
        <w:right w:val="none" w:sz="0" w:space="0" w:color="auto"/>
      </w:divBdr>
    </w:div>
    <w:div w:id="1314990954">
      <w:bodyDiv w:val="1"/>
      <w:marLeft w:val="45"/>
      <w:marRight w:val="45"/>
      <w:marTop w:val="90"/>
      <w:marBottom w:val="90"/>
      <w:divBdr>
        <w:top w:val="none" w:sz="0" w:space="0" w:color="auto"/>
        <w:left w:val="none" w:sz="0" w:space="0" w:color="auto"/>
        <w:bottom w:val="none" w:sz="0" w:space="0" w:color="auto"/>
        <w:right w:val="none" w:sz="0" w:space="0" w:color="auto"/>
      </w:divBdr>
      <w:divsChild>
        <w:div w:id="866597577">
          <w:marLeft w:val="0"/>
          <w:marRight w:val="0"/>
          <w:marTop w:val="24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24144338">
      <w:bodyDiv w:val="1"/>
      <w:marLeft w:val="45"/>
      <w:marRight w:val="45"/>
      <w:marTop w:val="90"/>
      <w:marBottom w:val="90"/>
      <w:divBdr>
        <w:top w:val="none" w:sz="0" w:space="0" w:color="auto"/>
        <w:left w:val="none" w:sz="0" w:space="0" w:color="auto"/>
        <w:bottom w:val="none" w:sz="0" w:space="0" w:color="auto"/>
        <w:right w:val="none" w:sz="0" w:space="0" w:color="auto"/>
      </w:divBdr>
      <w:divsChild>
        <w:div w:id="452675578">
          <w:marLeft w:val="0"/>
          <w:marRight w:val="0"/>
          <w:marTop w:val="240"/>
          <w:marBottom w:val="0"/>
          <w:divBdr>
            <w:top w:val="none" w:sz="0" w:space="0" w:color="auto"/>
            <w:left w:val="none" w:sz="0" w:space="0" w:color="auto"/>
            <w:bottom w:val="none" w:sz="0" w:space="0" w:color="auto"/>
            <w:right w:val="none" w:sz="0" w:space="0" w:color="auto"/>
          </w:divBdr>
        </w:div>
      </w:divsChild>
    </w:div>
    <w:div w:id="1667902775">
      <w:bodyDiv w:val="1"/>
      <w:marLeft w:val="45"/>
      <w:marRight w:val="45"/>
      <w:marTop w:val="90"/>
      <w:marBottom w:val="90"/>
      <w:divBdr>
        <w:top w:val="none" w:sz="0" w:space="0" w:color="auto"/>
        <w:left w:val="none" w:sz="0" w:space="0" w:color="auto"/>
        <w:bottom w:val="none" w:sz="0" w:space="0" w:color="auto"/>
        <w:right w:val="none" w:sz="0" w:space="0" w:color="auto"/>
      </w:divBdr>
      <w:divsChild>
        <w:div w:id="2855492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is.egl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842CF-CF7F-449D-9298-C82FC701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VManot_240212_RefLab; Noteikumu projekta Grozījumi Ministru kabineta 2009. gada 4.augusta noteikumos Nr. 864 ,,Noteikumi par references laboratorijas statusa piešķiršanas un akreditācijas kārtību, funkcijām un pienākumiem, kā arī iekārtām un aprīkojumam n</vt:lpstr>
    </vt:vector>
  </TitlesOfParts>
  <Manager>SVD</Manager>
  <Company>Veselības ministrija</Company>
  <LinksUpToDate>false</LinksUpToDate>
  <CharactersWithSpaces>4735</CharactersWithSpaces>
  <SharedDoc>false</SharedDoc>
  <HLinks>
    <vt:vector size="6" baseType="variant">
      <vt:variant>
        <vt:i4>7733280</vt:i4>
      </vt:variant>
      <vt:variant>
        <vt:i4>0</vt:i4>
      </vt:variant>
      <vt:variant>
        <vt:i4>0</vt:i4>
      </vt:variant>
      <vt:variant>
        <vt:i4>5</vt:i4>
      </vt:variant>
      <vt:variant>
        <vt:lpwstr>http://www.lic.gov.lv/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,,Grozījums Ministru kabineta 2009. gada 4.augusta noteikumos Nr. 864 ,,Noteikumi par references laboratorijas statusa piešķiršanas un akreditācijas kārtību, funkcijām un pienākumiem, kā arī iekārtām un aprīkojumam noteiktajām prasībām pārtikas, dzīvnieku barības un veterinārajā jomā” sākotnējās ietekmes novērtējuma ziņojums (anotācija)</dc:title>
  <dc:subject>Anotācija</dc:subject>
  <dc:creator>Andris Egle</dc:creator>
  <cp:keywords>Veselības ministrija</cp:keywords>
  <dc:description>andris.egle@vm.gov.lv, tālr.67876099</dc:description>
  <cp:lastModifiedBy>aegle</cp:lastModifiedBy>
  <cp:revision>33</cp:revision>
  <cp:lastPrinted>2012-02-23T12:00:00Z</cp:lastPrinted>
  <dcterms:created xsi:type="dcterms:W3CDTF">2012-02-24T07:07:00Z</dcterms:created>
  <dcterms:modified xsi:type="dcterms:W3CDTF">2012-03-14T11:33:00Z</dcterms:modified>
</cp:coreProperties>
</file>