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0A" w:rsidRPr="00011092" w:rsidRDefault="0036100A" w:rsidP="0036100A">
      <w:pPr>
        <w:jc w:val="center"/>
        <w:rPr>
          <w:b/>
          <w:sz w:val="28"/>
          <w:szCs w:val="28"/>
        </w:rPr>
      </w:pPr>
      <w:bookmarkStart w:id="0" w:name="OLE_LINK1"/>
      <w:bookmarkStart w:id="1" w:name="OLE_LINK2"/>
      <w:r w:rsidRPr="00011092">
        <w:rPr>
          <w:b/>
          <w:bCs/>
          <w:sz w:val="28"/>
          <w:szCs w:val="28"/>
        </w:rPr>
        <w:t>Ministru kabineta rīkojuma projekta</w:t>
      </w:r>
    </w:p>
    <w:p w:rsidR="0036100A" w:rsidRPr="00011092" w:rsidRDefault="0036100A" w:rsidP="0036100A">
      <w:pPr>
        <w:jc w:val="center"/>
        <w:rPr>
          <w:b/>
          <w:sz w:val="28"/>
          <w:szCs w:val="28"/>
        </w:rPr>
      </w:pPr>
      <w:r w:rsidRPr="00011092">
        <w:rPr>
          <w:b/>
          <w:sz w:val="28"/>
          <w:szCs w:val="28"/>
        </w:rPr>
        <w:t xml:space="preserve">„Par valstij dividendēs izmaksājamo valsts sabiedrības ar ierobežotu atbildību „Nacionālais rehabilitācijas centrs „Vaivari”” peļņas daļu” sākotnējās ietekmes novērtējuma ziņojums </w:t>
      </w:r>
    </w:p>
    <w:p w:rsidR="008C5649" w:rsidRPr="00011092" w:rsidRDefault="0036100A" w:rsidP="0036100A">
      <w:pPr>
        <w:pStyle w:val="naislab"/>
        <w:spacing w:before="0" w:after="0"/>
        <w:jc w:val="center"/>
        <w:outlineLvl w:val="0"/>
        <w:rPr>
          <w:b/>
          <w:sz w:val="28"/>
          <w:szCs w:val="28"/>
        </w:rPr>
      </w:pPr>
      <w:r w:rsidRPr="00011092">
        <w:rPr>
          <w:b/>
          <w:sz w:val="28"/>
          <w:szCs w:val="28"/>
        </w:rPr>
        <w:t xml:space="preserve"> </w:t>
      </w:r>
      <w:r w:rsidR="00852042" w:rsidRPr="00011092">
        <w:rPr>
          <w:b/>
          <w:sz w:val="28"/>
          <w:szCs w:val="28"/>
        </w:rPr>
        <w:t>(anotācija)</w:t>
      </w:r>
      <w:bookmarkEnd w:id="0"/>
      <w:bookmarkEnd w:id="1"/>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2574"/>
        <w:gridCol w:w="6662"/>
      </w:tblGrid>
      <w:tr w:rsidR="00852042" w:rsidRPr="00011092" w:rsidTr="001867E0">
        <w:tc>
          <w:tcPr>
            <w:tcW w:w="9923" w:type="dxa"/>
            <w:gridSpan w:val="3"/>
            <w:vAlign w:val="center"/>
          </w:tcPr>
          <w:p w:rsidR="00852042" w:rsidRPr="00011092" w:rsidRDefault="00852042" w:rsidP="006C4607">
            <w:pPr>
              <w:pStyle w:val="naisnod"/>
              <w:spacing w:before="0" w:after="0"/>
              <w:rPr>
                <w:sz w:val="28"/>
                <w:szCs w:val="28"/>
              </w:rPr>
            </w:pPr>
            <w:r w:rsidRPr="00011092">
              <w:rPr>
                <w:sz w:val="28"/>
                <w:szCs w:val="28"/>
              </w:rPr>
              <w:t>I</w:t>
            </w:r>
            <w:r w:rsidR="000941C5" w:rsidRPr="00011092">
              <w:rPr>
                <w:sz w:val="28"/>
                <w:szCs w:val="28"/>
              </w:rPr>
              <w:t>.</w:t>
            </w:r>
            <w:r w:rsidRPr="00011092">
              <w:rPr>
                <w:sz w:val="28"/>
                <w:szCs w:val="28"/>
              </w:rPr>
              <w:t xml:space="preserve"> Tiesību akta </w:t>
            </w:r>
            <w:r w:rsidR="002E3FF4" w:rsidRPr="00011092">
              <w:rPr>
                <w:sz w:val="28"/>
                <w:szCs w:val="28"/>
              </w:rPr>
              <w:t xml:space="preserve">projekta </w:t>
            </w:r>
            <w:r w:rsidRPr="00011092">
              <w:rPr>
                <w:sz w:val="28"/>
                <w:szCs w:val="28"/>
              </w:rPr>
              <w:t>izstrādes nepieciešamība</w:t>
            </w:r>
          </w:p>
        </w:tc>
      </w:tr>
      <w:tr w:rsidR="00262E2B" w:rsidRPr="00011092" w:rsidTr="001867E0">
        <w:trPr>
          <w:trHeight w:val="630"/>
        </w:trPr>
        <w:tc>
          <w:tcPr>
            <w:tcW w:w="687" w:type="dxa"/>
          </w:tcPr>
          <w:p w:rsidR="00262E2B" w:rsidRPr="00011092" w:rsidRDefault="00262E2B" w:rsidP="006C4607">
            <w:pPr>
              <w:pStyle w:val="naiskr"/>
              <w:spacing w:before="0" w:after="0"/>
              <w:rPr>
                <w:sz w:val="28"/>
                <w:szCs w:val="28"/>
              </w:rPr>
            </w:pPr>
            <w:r w:rsidRPr="00011092">
              <w:rPr>
                <w:sz w:val="28"/>
                <w:szCs w:val="28"/>
              </w:rPr>
              <w:t>1.</w:t>
            </w:r>
          </w:p>
        </w:tc>
        <w:tc>
          <w:tcPr>
            <w:tcW w:w="2574" w:type="dxa"/>
          </w:tcPr>
          <w:p w:rsidR="00262E2B" w:rsidRPr="00011092" w:rsidRDefault="002D7F54" w:rsidP="006C4607">
            <w:pPr>
              <w:pStyle w:val="naiskr"/>
              <w:spacing w:before="0" w:after="0"/>
              <w:ind w:hanging="10"/>
              <w:rPr>
                <w:sz w:val="28"/>
                <w:szCs w:val="28"/>
              </w:rPr>
            </w:pPr>
            <w:r w:rsidRPr="00011092">
              <w:rPr>
                <w:sz w:val="28"/>
                <w:szCs w:val="28"/>
              </w:rPr>
              <w:t>Pamatojums</w:t>
            </w:r>
          </w:p>
        </w:tc>
        <w:tc>
          <w:tcPr>
            <w:tcW w:w="6662" w:type="dxa"/>
          </w:tcPr>
          <w:p w:rsidR="00262E2B" w:rsidRPr="00011092" w:rsidRDefault="00DA2CF8" w:rsidP="00B63696">
            <w:pPr>
              <w:pStyle w:val="naiskr"/>
              <w:spacing w:before="0" w:after="0"/>
              <w:ind w:left="142" w:right="142"/>
              <w:jc w:val="both"/>
              <w:rPr>
                <w:sz w:val="28"/>
                <w:szCs w:val="28"/>
              </w:rPr>
            </w:pPr>
            <w:r w:rsidRPr="00011092">
              <w:rPr>
                <w:sz w:val="28"/>
                <w:szCs w:val="28"/>
              </w:rPr>
              <w:t xml:space="preserve">Ministru kabineta rīkojuma projekts „Par valstij dividendēs izmaksājamo </w:t>
            </w:r>
            <w:r w:rsidR="00860964" w:rsidRPr="00011092">
              <w:rPr>
                <w:b/>
                <w:sz w:val="28"/>
                <w:szCs w:val="28"/>
              </w:rPr>
              <w:t xml:space="preserve"> </w:t>
            </w:r>
            <w:r w:rsidR="00860964" w:rsidRPr="00011092">
              <w:rPr>
                <w:sz w:val="28"/>
                <w:szCs w:val="28"/>
              </w:rPr>
              <w:t>valsts sabiedrības ar ierobežotu atbildību „Nacionālais rehabilitācijas centrs „Vaivari””</w:t>
            </w:r>
            <w:r w:rsidR="00860964" w:rsidRPr="00011092">
              <w:rPr>
                <w:b/>
                <w:sz w:val="28"/>
                <w:szCs w:val="28"/>
              </w:rPr>
              <w:t xml:space="preserve"> </w:t>
            </w:r>
            <w:r w:rsidRPr="00011092">
              <w:rPr>
                <w:sz w:val="28"/>
                <w:szCs w:val="28"/>
              </w:rPr>
              <w:t xml:space="preserve"> peļņas daļu” (turpmāk – Projekts) sagatavots 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(turpmāk – </w:t>
            </w:r>
            <w:r w:rsidR="0059402D" w:rsidRPr="00011092">
              <w:rPr>
                <w:sz w:val="28"/>
                <w:szCs w:val="28"/>
              </w:rPr>
              <w:t xml:space="preserve">MK </w:t>
            </w:r>
            <w:r w:rsidRPr="00011092">
              <w:rPr>
                <w:sz w:val="28"/>
                <w:szCs w:val="28"/>
              </w:rPr>
              <w:t>noteikumi Nr.1471) 5.punktu, kas paredz, ka Ministru kabinets var noteikt atšķirīgu dividendēs izmaksājamo peļņas daļu.</w:t>
            </w:r>
          </w:p>
        </w:tc>
      </w:tr>
      <w:tr w:rsidR="00262E2B" w:rsidRPr="00011092" w:rsidTr="001867E0">
        <w:trPr>
          <w:trHeight w:val="416"/>
        </w:trPr>
        <w:tc>
          <w:tcPr>
            <w:tcW w:w="687" w:type="dxa"/>
          </w:tcPr>
          <w:p w:rsidR="00262E2B" w:rsidRPr="00011092" w:rsidRDefault="00262E2B" w:rsidP="006C4607">
            <w:pPr>
              <w:pStyle w:val="naiskr"/>
              <w:spacing w:before="0" w:after="0"/>
              <w:rPr>
                <w:sz w:val="28"/>
                <w:szCs w:val="28"/>
              </w:rPr>
            </w:pPr>
            <w:r w:rsidRPr="00011092">
              <w:rPr>
                <w:sz w:val="28"/>
                <w:szCs w:val="28"/>
              </w:rPr>
              <w:t>2.</w:t>
            </w:r>
          </w:p>
        </w:tc>
        <w:tc>
          <w:tcPr>
            <w:tcW w:w="2574" w:type="dxa"/>
          </w:tcPr>
          <w:p w:rsidR="00262E2B" w:rsidRPr="00011092" w:rsidRDefault="00262E2B" w:rsidP="006C4607">
            <w:pPr>
              <w:pStyle w:val="naiskr"/>
              <w:tabs>
                <w:tab w:val="left" w:pos="170"/>
              </w:tabs>
              <w:spacing w:before="0" w:after="0"/>
              <w:rPr>
                <w:sz w:val="28"/>
                <w:szCs w:val="28"/>
              </w:rPr>
            </w:pPr>
            <w:r w:rsidRPr="00011092">
              <w:rPr>
                <w:sz w:val="28"/>
                <w:szCs w:val="28"/>
              </w:rPr>
              <w:t>Pašreizējā situācija</w:t>
            </w:r>
            <w:r w:rsidR="001F5CD6" w:rsidRPr="00011092">
              <w:rPr>
                <w:sz w:val="28"/>
                <w:szCs w:val="28"/>
              </w:rPr>
              <w:t xml:space="preserve"> un problēmas</w:t>
            </w:r>
          </w:p>
        </w:tc>
        <w:tc>
          <w:tcPr>
            <w:tcW w:w="6662" w:type="dxa"/>
          </w:tcPr>
          <w:p w:rsidR="00AC5E2E" w:rsidRPr="00820E6E" w:rsidRDefault="00E0374D" w:rsidP="00157C3D">
            <w:pPr>
              <w:pStyle w:val="BodyText"/>
              <w:spacing w:after="0"/>
              <w:ind w:left="142" w:right="142"/>
              <w:jc w:val="both"/>
              <w:rPr>
                <w:sz w:val="28"/>
                <w:szCs w:val="28"/>
                <w:lang w:val="lv-LV"/>
              </w:rPr>
            </w:pPr>
            <w:r w:rsidRPr="00820E6E">
              <w:rPr>
                <w:sz w:val="28"/>
                <w:szCs w:val="28"/>
                <w:lang w:val="lv-LV"/>
              </w:rPr>
              <w:t xml:space="preserve">Valsts sabiedrība ar ierobežotu atbildību „Nacionālais rehabilitācijas centrs „Vaivari”” (turpmāk – </w:t>
            </w:r>
            <w:r w:rsidR="00780382" w:rsidRPr="00820E6E">
              <w:rPr>
                <w:sz w:val="28"/>
                <w:szCs w:val="28"/>
                <w:lang w:val="lv-LV"/>
              </w:rPr>
              <w:t>NRC „Vaivari”</w:t>
            </w:r>
            <w:r w:rsidRPr="00820E6E">
              <w:rPr>
                <w:sz w:val="28"/>
                <w:szCs w:val="28"/>
                <w:lang w:val="lv-LV"/>
              </w:rPr>
              <w:t>)</w:t>
            </w:r>
            <w:r w:rsidR="00780382" w:rsidRPr="00820E6E">
              <w:rPr>
                <w:sz w:val="28"/>
                <w:szCs w:val="28"/>
                <w:lang w:val="lv-LV"/>
              </w:rPr>
              <w:t xml:space="preserve"> ir valsts nozīmes medicīniskās un sociālās rehabilitācijas centrs. </w:t>
            </w:r>
            <w:r w:rsidR="00AC5E2E" w:rsidRPr="00820E6E">
              <w:rPr>
                <w:sz w:val="28"/>
                <w:szCs w:val="28"/>
                <w:lang w:val="lv-LV"/>
              </w:rPr>
              <w:t xml:space="preserve"> </w:t>
            </w:r>
          </w:p>
          <w:p w:rsidR="00F52901" w:rsidRPr="00820E6E" w:rsidRDefault="00AC5E2E" w:rsidP="00AC5E2E">
            <w:pPr>
              <w:pStyle w:val="BodyText"/>
              <w:spacing w:after="0"/>
              <w:ind w:left="142" w:right="142"/>
              <w:jc w:val="both"/>
              <w:rPr>
                <w:sz w:val="28"/>
                <w:szCs w:val="28"/>
                <w:lang w:val="lv-LV"/>
              </w:rPr>
            </w:pPr>
            <w:r w:rsidRPr="00820E6E">
              <w:rPr>
                <w:sz w:val="28"/>
                <w:szCs w:val="28"/>
                <w:lang w:val="lv-LV"/>
              </w:rPr>
              <w:t xml:space="preserve">Valsts budžeta finansējums veselības aprūpes </w:t>
            </w:r>
            <w:r w:rsidR="00BC1BE1" w:rsidRPr="00820E6E">
              <w:rPr>
                <w:sz w:val="28"/>
                <w:szCs w:val="28"/>
                <w:lang w:val="lv-LV"/>
              </w:rPr>
              <w:t xml:space="preserve">pakalpojumu nodrošināšanai </w:t>
            </w:r>
            <w:r w:rsidRPr="00820E6E">
              <w:rPr>
                <w:sz w:val="28"/>
                <w:szCs w:val="28"/>
                <w:lang w:val="lv-LV"/>
              </w:rPr>
              <w:t xml:space="preserve">laika posmā no 2009.-2011. gadam samazinājās, kā rezultātā NRC „Vaivari” par iepriekšējiem periodiem ir uzkrāti zaudējumi LVL 1 037 033. </w:t>
            </w:r>
          </w:p>
          <w:p w:rsidR="00CE122D" w:rsidRPr="00820E6E" w:rsidRDefault="00CE122D" w:rsidP="00CE122D">
            <w:pPr>
              <w:pStyle w:val="BodyText"/>
              <w:spacing w:after="0"/>
              <w:ind w:left="146" w:right="142"/>
              <w:jc w:val="both"/>
              <w:rPr>
                <w:sz w:val="28"/>
                <w:szCs w:val="28"/>
              </w:rPr>
            </w:pPr>
            <w:r w:rsidRPr="00820E6E">
              <w:rPr>
                <w:sz w:val="28"/>
                <w:szCs w:val="28"/>
              </w:rPr>
              <w:t>NRC „</w:t>
            </w:r>
            <w:proofErr w:type="spellStart"/>
            <w:r w:rsidRPr="00820E6E">
              <w:rPr>
                <w:sz w:val="28"/>
                <w:szCs w:val="28"/>
              </w:rPr>
              <w:t>Vaivari</w:t>
            </w:r>
            <w:proofErr w:type="spellEnd"/>
            <w:r w:rsidRPr="00820E6E">
              <w:rPr>
                <w:sz w:val="28"/>
                <w:szCs w:val="28"/>
              </w:rPr>
              <w:t xml:space="preserve">” 2012.gada </w:t>
            </w:r>
            <w:proofErr w:type="spellStart"/>
            <w:r w:rsidRPr="00820E6E">
              <w:rPr>
                <w:sz w:val="28"/>
                <w:szCs w:val="28"/>
              </w:rPr>
              <w:t>saimnieciskās</w:t>
            </w:r>
            <w:proofErr w:type="spellEnd"/>
            <w:r w:rsidRPr="00820E6E">
              <w:rPr>
                <w:sz w:val="28"/>
                <w:szCs w:val="28"/>
              </w:rPr>
              <w:t xml:space="preserve"> </w:t>
            </w:r>
            <w:proofErr w:type="spellStart"/>
            <w:r w:rsidRPr="00820E6E">
              <w:rPr>
                <w:sz w:val="28"/>
                <w:szCs w:val="28"/>
              </w:rPr>
              <w:t>darbības</w:t>
            </w:r>
            <w:proofErr w:type="spellEnd"/>
            <w:r w:rsidRPr="00820E6E">
              <w:rPr>
                <w:sz w:val="28"/>
                <w:szCs w:val="28"/>
              </w:rPr>
              <w:t xml:space="preserve"> </w:t>
            </w:r>
            <w:proofErr w:type="spellStart"/>
            <w:r w:rsidRPr="00820E6E">
              <w:rPr>
                <w:sz w:val="28"/>
                <w:szCs w:val="28"/>
              </w:rPr>
              <w:t>rezultātus</w:t>
            </w:r>
            <w:proofErr w:type="spellEnd"/>
            <w:r w:rsidRPr="00820E6E">
              <w:rPr>
                <w:sz w:val="28"/>
                <w:szCs w:val="28"/>
              </w:rPr>
              <w:t xml:space="preserve"> </w:t>
            </w:r>
            <w:proofErr w:type="spellStart"/>
            <w:r w:rsidRPr="00820E6E">
              <w:rPr>
                <w:sz w:val="28"/>
                <w:szCs w:val="28"/>
              </w:rPr>
              <w:t>ietekmējis</w:t>
            </w:r>
            <w:proofErr w:type="spellEnd"/>
            <w:r w:rsidRPr="00820E6E">
              <w:rPr>
                <w:sz w:val="28"/>
                <w:szCs w:val="28"/>
              </w:rPr>
              <w:t xml:space="preserve"> </w:t>
            </w:r>
            <w:proofErr w:type="spellStart"/>
            <w:r w:rsidRPr="00820E6E">
              <w:rPr>
                <w:sz w:val="28"/>
                <w:szCs w:val="28"/>
              </w:rPr>
              <w:t>stacionāri</w:t>
            </w:r>
            <w:proofErr w:type="spellEnd"/>
            <w:r w:rsidRPr="00820E6E">
              <w:rPr>
                <w:sz w:val="28"/>
                <w:szCs w:val="28"/>
              </w:rPr>
              <w:t xml:space="preserve"> </w:t>
            </w:r>
            <w:proofErr w:type="spellStart"/>
            <w:r w:rsidRPr="00820E6E">
              <w:rPr>
                <w:sz w:val="28"/>
                <w:szCs w:val="28"/>
              </w:rPr>
              <w:t>ārstēto</w:t>
            </w:r>
            <w:proofErr w:type="spellEnd"/>
            <w:r w:rsidRPr="00820E6E">
              <w:rPr>
                <w:sz w:val="28"/>
                <w:szCs w:val="28"/>
              </w:rPr>
              <w:t xml:space="preserve"> </w:t>
            </w:r>
            <w:proofErr w:type="spellStart"/>
            <w:r w:rsidRPr="00820E6E">
              <w:rPr>
                <w:sz w:val="28"/>
                <w:szCs w:val="28"/>
              </w:rPr>
              <w:t>pacientu</w:t>
            </w:r>
            <w:proofErr w:type="spellEnd"/>
            <w:r w:rsidRPr="00820E6E">
              <w:rPr>
                <w:sz w:val="28"/>
                <w:szCs w:val="28"/>
              </w:rPr>
              <w:t xml:space="preserve"> </w:t>
            </w:r>
            <w:proofErr w:type="spellStart"/>
            <w:r w:rsidRPr="00820E6E">
              <w:rPr>
                <w:sz w:val="28"/>
                <w:szCs w:val="28"/>
              </w:rPr>
              <w:t>skaita</w:t>
            </w:r>
            <w:proofErr w:type="spellEnd"/>
            <w:r w:rsidRPr="00820E6E">
              <w:rPr>
                <w:sz w:val="28"/>
                <w:szCs w:val="28"/>
              </w:rPr>
              <w:t xml:space="preserve"> </w:t>
            </w:r>
            <w:proofErr w:type="spellStart"/>
            <w:r w:rsidRPr="00820E6E">
              <w:rPr>
                <w:sz w:val="28"/>
                <w:szCs w:val="28"/>
              </w:rPr>
              <w:t>palielinājums</w:t>
            </w:r>
            <w:proofErr w:type="spellEnd"/>
            <w:r w:rsidRPr="00820E6E">
              <w:rPr>
                <w:sz w:val="28"/>
                <w:szCs w:val="28"/>
              </w:rPr>
              <w:t xml:space="preserve">, </w:t>
            </w:r>
            <w:proofErr w:type="spellStart"/>
            <w:r w:rsidRPr="00820E6E">
              <w:rPr>
                <w:sz w:val="28"/>
                <w:szCs w:val="28"/>
              </w:rPr>
              <w:t>neto</w:t>
            </w:r>
            <w:proofErr w:type="spellEnd"/>
            <w:r w:rsidRPr="00820E6E">
              <w:rPr>
                <w:sz w:val="28"/>
                <w:szCs w:val="28"/>
              </w:rPr>
              <w:t xml:space="preserve"> </w:t>
            </w:r>
            <w:proofErr w:type="spellStart"/>
            <w:r w:rsidRPr="00820E6E">
              <w:rPr>
                <w:sz w:val="28"/>
                <w:szCs w:val="28"/>
              </w:rPr>
              <w:t>apgrozījuma</w:t>
            </w:r>
            <w:proofErr w:type="spellEnd"/>
            <w:r w:rsidRPr="00820E6E">
              <w:rPr>
                <w:sz w:val="28"/>
                <w:szCs w:val="28"/>
              </w:rPr>
              <w:t xml:space="preserve"> </w:t>
            </w:r>
            <w:proofErr w:type="spellStart"/>
            <w:r w:rsidRPr="00820E6E">
              <w:rPr>
                <w:sz w:val="28"/>
                <w:szCs w:val="28"/>
              </w:rPr>
              <w:t>pieaugums</w:t>
            </w:r>
            <w:proofErr w:type="spellEnd"/>
            <w:r w:rsidRPr="00820E6E">
              <w:rPr>
                <w:sz w:val="28"/>
                <w:szCs w:val="28"/>
              </w:rPr>
              <w:t xml:space="preserve">, </w:t>
            </w:r>
            <w:proofErr w:type="spellStart"/>
            <w:r w:rsidRPr="00820E6E">
              <w:rPr>
                <w:sz w:val="28"/>
                <w:szCs w:val="28"/>
              </w:rPr>
              <w:t>ieņēmumu</w:t>
            </w:r>
            <w:proofErr w:type="spellEnd"/>
            <w:r w:rsidRPr="00820E6E">
              <w:rPr>
                <w:sz w:val="28"/>
                <w:szCs w:val="28"/>
              </w:rPr>
              <w:t xml:space="preserve"> no </w:t>
            </w:r>
            <w:proofErr w:type="spellStart"/>
            <w:r w:rsidRPr="00820E6E">
              <w:rPr>
                <w:sz w:val="28"/>
                <w:szCs w:val="28"/>
              </w:rPr>
              <w:t>maksas</w:t>
            </w:r>
            <w:proofErr w:type="spellEnd"/>
            <w:r w:rsidRPr="00820E6E">
              <w:rPr>
                <w:sz w:val="28"/>
                <w:szCs w:val="28"/>
              </w:rPr>
              <w:t xml:space="preserve"> </w:t>
            </w:r>
            <w:proofErr w:type="spellStart"/>
            <w:r w:rsidRPr="00820E6E">
              <w:rPr>
                <w:sz w:val="28"/>
                <w:szCs w:val="28"/>
              </w:rPr>
              <w:t>pakalpojumiem</w:t>
            </w:r>
            <w:proofErr w:type="spellEnd"/>
            <w:r w:rsidRPr="00820E6E">
              <w:rPr>
                <w:sz w:val="28"/>
                <w:szCs w:val="28"/>
              </w:rPr>
              <w:t xml:space="preserve"> </w:t>
            </w:r>
            <w:proofErr w:type="spellStart"/>
            <w:r w:rsidRPr="00820E6E">
              <w:rPr>
                <w:sz w:val="28"/>
                <w:szCs w:val="28"/>
              </w:rPr>
              <w:t>pieaugums</w:t>
            </w:r>
            <w:proofErr w:type="spellEnd"/>
            <w:r w:rsidRPr="00820E6E">
              <w:rPr>
                <w:sz w:val="28"/>
                <w:szCs w:val="28"/>
              </w:rPr>
              <w:t xml:space="preserve">, </w:t>
            </w:r>
            <w:proofErr w:type="spellStart"/>
            <w:r w:rsidRPr="00820E6E">
              <w:rPr>
                <w:sz w:val="28"/>
                <w:szCs w:val="28"/>
              </w:rPr>
              <w:t>kā</w:t>
            </w:r>
            <w:proofErr w:type="spellEnd"/>
            <w:r w:rsidRPr="00820E6E">
              <w:rPr>
                <w:sz w:val="28"/>
                <w:szCs w:val="28"/>
              </w:rPr>
              <w:t xml:space="preserve"> </w:t>
            </w:r>
            <w:proofErr w:type="spellStart"/>
            <w:r w:rsidRPr="00820E6E">
              <w:rPr>
                <w:sz w:val="28"/>
                <w:szCs w:val="28"/>
              </w:rPr>
              <w:t>arī</w:t>
            </w:r>
            <w:proofErr w:type="spellEnd"/>
            <w:r w:rsidRPr="00820E6E">
              <w:rPr>
                <w:sz w:val="28"/>
                <w:szCs w:val="28"/>
              </w:rPr>
              <w:t xml:space="preserve"> </w:t>
            </w:r>
            <w:proofErr w:type="spellStart"/>
            <w:r w:rsidRPr="00820E6E">
              <w:rPr>
                <w:sz w:val="28"/>
                <w:szCs w:val="28"/>
              </w:rPr>
              <w:t>veiktie</w:t>
            </w:r>
            <w:proofErr w:type="spellEnd"/>
            <w:r w:rsidRPr="00820E6E">
              <w:rPr>
                <w:sz w:val="28"/>
                <w:szCs w:val="28"/>
              </w:rPr>
              <w:t xml:space="preserve"> </w:t>
            </w:r>
            <w:proofErr w:type="spellStart"/>
            <w:r w:rsidRPr="00820E6E">
              <w:rPr>
                <w:sz w:val="28"/>
                <w:szCs w:val="28"/>
              </w:rPr>
              <w:t>darbības</w:t>
            </w:r>
            <w:proofErr w:type="spellEnd"/>
            <w:r w:rsidRPr="00820E6E">
              <w:rPr>
                <w:sz w:val="28"/>
                <w:szCs w:val="28"/>
              </w:rPr>
              <w:t xml:space="preserve"> </w:t>
            </w:r>
            <w:proofErr w:type="spellStart"/>
            <w:r w:rsidRPr="00820E6E">
              <w:rPr>
                <w:sz w:val="28"/>
                <w:szCs w:val="28"/>
              </w:rPr>
              <w:t>optimizācijas</w:t>
            </w:r>
            <w:proofErr w:type="spellEnd"/>
            <w:r w:rsidRPr="00820E6E">
              <w:rPr>
                <w:sz w:val="28"/>
                <w:szCs w:val="28"/>
              </w:rPr>
              <w:t xml:space="preserve"> </w:t>
            </w:r>
            <w:proofErr w:type="spellStart"/>
            <w:r w:rsidRPr="00820E6E">
              <w:rPr>
                <w:sz w:val="28"/>
                <w:szCs w:val="28"/>
              </w:rPr>
              <w:t>pasākumi</w:t>
            </w:r>
            <w:proofErr w:type="spellEnd"/>
            <w:r w:rsidRPr="00820E6E">
              <w:rPr>
                <w:sz w:val="28"/>
                <w:szCs w:val="28"/>
              </w:rPr>
              <w:t xml:space="preserve">. </w:t>
            </w:r>
            <w:proofErr w:type="spellStart"/>
            <w:r w:rsidRPr="00820E6E">
              <w:rPr>
                <w:sz w:val="28"/>
                <w:szCs w:val="28"/>
              </w:rPr>
              <w:t>Salīdzinot</w:t>
            </w:r>
            <w:proofErr w:type="spellEnd"/>
            <w:r w:rsidRPr="00820E6E">
              <w:rPr>
                <w:sz w:val="28"/>
                <w:szCs w:val="28"/>
              </w:rPr>
              <w:t xml:space="preserve"> </w:t>
            </w:r>
            <w:proofErr w:type="spellStart"/>
            <w:r w:rsidRPr="00820E6E">
              <w:rPr>
                <w:sz w:val="28"/>
                <w:szCs w:val="28"/>
              </w:rPr>
              <w:t>ar</w:t>
            </w:r>
            <w:proofErr w:type="spellEnd"/>
            <w:r w:rsidRPr="00820E6E">
              <w:rPr>
                <w:sz w:val="28"/>
                <w:szCs w:val="28"/>
              </w:rPr>
              <w:t xml:space="preserve"> 2011.gadu, 2012.gadā </w:t>
            </w:r>
            <w:proofErr w:type="spellStart"/>
            <w:r w:rsidRPr="00820E6E">
              <w:rPr>
                <w:sz w:val="28"/>
                <w:szCs w:val="28"/>
              </w:rPr>
              <w:t>stacionāro</w:t>
            </w:r>
            <w:proofErr w:type="spellEnd"/>
            <w:r w:rsidRPr="00820E6E">
              <w:rPr>
                <w:sz w:val="28"/>
                <w:szCs w:val="28"/>
              </w:rPr>
              <w:t xml:space="preserve"> </w:t>
            </w:r>
            <w:proofErr w:type="spellStart"/>
            <w:r w:rsidRPr="00820E6E">
              <w:rPr>
                <w:sz w:val="28"/>
                <w:szCs w:val="28"/>
              </w:rPr>
              <w:t>pacientu</w:t>
            </w:r>
            <w:proofErr w:type="spellEnd"/>
            <w:r w:rsidRPr="00820E6E">
              <w:rPr>
                <w:sz w:val="28"/>
                <w:szCs w:val="28"/>
              </w:rPr>
              <w:t xml:space="preserve"> </w:t>
            </w:r>
            <w:proofErr w:type="spellStart"/>
            <w:r w:rsidRPr="00820E6E">
              <w:rPr>
                <w:sz w:val="28"/>
                <w:szCs w:val="28"/>
              </w:rPr>
              <w:t>skaits</w:t>
            </w:r>
            <w:proofErr w:type="spellEnd"/>
            <w:r w:rsidRPr="00820E6E">
              <w:rPr>
                <w:sz w:val="28"/>
                <w:szCs w:val="28"/>
              </w:rPr>
              <w:t xml:space="preserve"> </w:t>
            </w:r>
            <w:proofErr w:type="spellStart"/>
            <w:r w:rsidRPr="00820E6E">
              <w:rPr>
                <w:sz w:val="28"/>
                <w:szCs w:val="28"/>
              </w:rPr>
              <w:t>palielinājies</w:t>
            </w:r>
            <w:proofErr w:type="spellEnd"/>
            <w:r w:rsidRPr="00820E6E">
              <w:rPr>
                <w:sz w:val="28"/>
                <w:szCs w:val="28"/>
              </w:rPr>
              <w:t xml:space="preserve"> par 21%, </w:t>
            </w:r>
            <w:proofErr w:type="spellStart"/>
            <w:r w:rsidRPr="00820E6E">
              <w:rPr>
                <w:sz w:val="28"/>
                <w:szCs w:val="28"/>
              </w:rPr>
              <w:t>neto</w:t>
            </w:r>
            <w:proofErr w:type="spellEnd"/>
            <w:r w:rsidRPr="00820E6E">
              <w:rPr>
                <w:sz w:val="28"/>
                <w:szCs w:val="28"/>
              </w:rPr>
              <w:t xml:space="preserve"> </w:t>
            </w:r>
            <w:proofErr w:type="spellStart"/>
            <w:r w:rsidRPr="00820E6E">
              <w:rPr>
                <w:sz w:val="28"/>
                <w:szCs w:val="28"/>
              </w:rPr>
              <w:t>apgrozījums</w:t>
            </w:r>
            <w:proofErr w:type="spellEnd"/>
            <w:r w:rsidRPr="00820E6E">
              <w:rPr>
                <w:sz w:val="28"/>
                <w:szCs w:val="28"/>
              </w:rPr>
              <w:t xml:space="preserve"> </w:t>
            </w:r>
            <w:proofErr w:type="spellStart"/>
            <w:r w:rsidRPr="00820E6E">
              <w:rPr>
                <w:sz w:val="28"/>
                <w:szCs w:val="28"/>
              </w:rPr>
              <w:t>pieaudzis</w:t>
            </w:r>
            <w:proofErr w:type="spellEnd"/>
            <w:r w:rsidRPr="00820E6E">
              <w:rPr>
                <w:sz w:val="28"/>
                <w:szCs w:val="28"/>
              </w:rPr>
              <w:t xml:space="preserve"> par 9</w:t>
            </w:r>
            <w:proofErr w:type="gramStart"/>
            <w:r w:rsidRPr="00820E6E">
              <w:rPr>
                <w:sz w:val="28"/>
                <w:szCs w:val="28"/>
              </w:rPr>
              <w:t>,3</w:t>
            </w:r>
            <w:proofErr w:type="gramEnd"/>
            <w:r w:rsidRPr="00820E6E">
              <w:rPr>
                <w:sz w:val="28"/>
                <w:szCs w:val="28"/>
              </w:rPr>
              <w:t xml:space="preserve">%, </w:t>
            </w:r>
            <w:proofErr w:type="spellStart"/>
            <w:r w:rsidRPr="00820E6E">
              <w:rPr>
                <w:sz w:val="28"/>
                <w:szCs w:val="28"/>
              </w:rPr>
              <w:t>tajā</w:t>
            </w:r>
            <w:proofErr w:type="spellEnd"/>
            <w:r w:rsidRPr="00820E6E">
              <w:rPr>
                <w:sz w:val="28"/>
                <w:szCs w:val="28"/>
              </w:rPr>
              <w:t xml:space="preserve"> </w:t>
            </w:r>
            <w:proofErr w:type="spellStart"/>
            <w:r w:rsidRPr="00820E6E">
              <w:rPr>
                <w:sz w:val="28"/>
                <w:szCs w:val="28"/>
              </w:rPr>
              <w:t>skaitā</w:t>
            </w:r>
            <w:proofErr w:type="spellEnd"/>
            <w:r w:rsidRPr="00820E6E">
              <w:rPr>
                <w:sz w:val="28"/>
                <w:szCs w:val="28"/>
              </w:rPr>
              <w:t xml:space="preserve"> </w:t>
            </w:r>
            <w:proofErr w:type="spellStart"/>
            <w:r w:rsidRPr="00820E6E">
              <w:rPr>
                <w:sz w:val="28"/>
                <w:szCs w:val="28"/>
              </w:rPr>
              <w:t>ieņēmumi</w:t>
            </w:r>
            <w:proofErr w:type="spellEnd"/>
            <w:r w:rsidRPr="00820E6E">
              <w:rPr>
                <w:sz w:val="28"/>
                <w:szCs w:val="28"/>
              </w:rPr>
              <w:t xml:space="preserve"> no </w:t>
            </w:r>
            <w:proofErr w:type="spellStart"/>
            <w:r w:rsidRPr="00820E6E">
              <w:rPr>
                <w:sz w:val="28"/>
                <w:szCs w:val="28"/>
              </w:rPr>
              <w:t>ārstniecības</w:t>
            </w:r>
            <w:proofErr w:type="spellEnd"/>
            <w:r w:rsidRPr="00820E6E">
              <w:rPr>
                <w:sz w:val="28"/>
                <w:szCs w:val="28"/>
              </w:rPr>
              <w:t xml:space="preserve"> un </w:t>
            </w:r>
            <w:proofErr w:type="spellStart"/>
            <w:r w:rsidRPr="00820E6E">
              <w:rPr>
                <w:sz w:val="28"/>
                <w:szCs w:val="28"/>
              </w:rPr>
              <w:t>rehabilitācijas</w:t>
            </w:r>
            <w:proofErr w:type="spellEnd"/>
            <w:r w:rsidRPr="00820E6E">
              <w:rPr>
                <w:sz w:val="28"/>
                <w:szCs w:val="28"/>
              </w:rPr>
              <w:t xml:space="preserve"> </w:t>
            </w:r>
            <w:proofErr w:type="spellStart"/>
            <w:r w:rsidRPr="00820E6E">
              <w:rPr>
                <w:sz w:val="28"/>
                <w:szCs w:val="28"/>
              </w:rPr>
              <w:t>pakalpojumiem</w:t>
            </w:r>
            <w:proofErr w:type="spellEnd"/>
            <w:r w:rsidRPr="00820E6E">
              <w:rPr>
                <w:sz w:val="28"/>
                <w:szCs w:val="28"/>
              </w:rPr>
              <w:t xml:space="preserve"> </w:t>
            </w:r>
            <w:proofErr w:type="spellStart"/>
            <w:r w:rsidRPr="00820E6E">
              <w:rPr>
                <w:sz w:val="28"/>
                <w:szCs w:val="28"/>
              </w:rPr>
              <w:t>palielinājušies</w:t>
            </w:r>
            <w:proofErr w:type="spellEnd"/>
            <w:r w:rsidRPr="00820E6E">
              <w:rPr>
                <w:sz w:val="28"/>
                <w:szCs w:val="28"/>
              </w:rPr>
              <w:t xml:space="preserve"> par 12,2%. </w:t>
            </w:r>
          </w:p>
          <w:p w:rsidR="00CE122D" w:rsidRPr="00820E6E" w:rsidRDefault="00CE122D" w:rsidP="00CE122D">
            <w:pPr>
              <w:ind w:left="146"/>
              <w:jc w:val="both"/>
              <w:rPr>
                <w:rFonts w:ascii="Helvetica" w:hAnsi="Helvetica"/>
                <w:sz w:val="28"/>
                <w:szCs w:val="28"/>
              </w:rPr>
            </w:pPr>
            <w:r w:rsidRPr="00820E6E">
              <w:rPr>
                <w:sz w:val="28"/>
                <w:szCs w:val="28"/>
              </w:rPr>
              <w:t xml:space="preserve">NRC „Vaivari”, lai nodrošinātu stabilu un sekmīgu darbību, 2012.gadā veicis  izmaiņas rehabilitācijas pakalpojumu apjomā, struktūrā un kvalitātes nodrošināšanā, tajā skaitā attīstījis maksas pakalpojumu </w:t>
            </w:r>
            <w:r w:rsidRPr="00820E6E">
              <w:rPr>
                <w:sz w:val="28"/>
                <w:szCs w:val="28"/>
              </w:rPr>
              <w:lastRenderedPageBreak/>
              <w:t>piedāvājumu</w:t>
            </w:r>
            <w:r w:rsidR="00820E6E">
              <w:rPr>
                <w:sz w:val="28"/>
                <w:szCs w:val="28"/>
              </w:rPr>
              <w:t>. I</w:t>
            </w:r>
            <w:r w:rsidRPr="00820E6E">
              <w:rPr>
                <w:sz w:val="28"/>
                <w:szCs w:val="28"/>
              </w:rPr>
              <w:t xml:space="preserve">zveidota rehabilitācijas programma un nodrošinātas aprūpes gultas ilgstoši mākslīgi ventilējamiem pacientiem, apvienotas </w:t>
            </w:r>
            <w:proofErr w:type="spellStart"/>
            <w:r w:rsidRPr="00820E6E">
              <w:rPr>
                <w:sz w:val="28"/>
                <w:szCs w:val="28"/>
              </w:rPr>
              <w:t>neirorehabilitācijas</w:t>
            </w:r>
            <w:proofErr w:type="spellEnd"/>
            <w:r w:rsidRPr="00820E6E">
              <w:rPr>
                <w:sz w:val="28"/>
                <w:szCs w:val="28"/>
              </w:rPr>
              <w:t xml:space="preserve"> un muguras sāpju programmas, nodrošināta gaidīšanas rindu vadība, uzsākt</w:t>
            </w:r>
            <w:r w:rsidR="00AA57CF">
              <w:rPr>
                <w:sz w:val="28"/>
                <w:szCs w:val="28"/>
              </w:rPr>
              <w:t xml:space="preserve">a mājas rehabilitācijas pakalpojuma sniegšana, paplašināti dienas stacionārā piedāvātie pakalpojumi, tiek attīstīts medicīnas tūrisma pakalpojums. Izdevumu optimizācijai veikti darbības </w:t>
            </w:r>
            <w:r w:rsidRPr="00820E6E">
              <w:rPr>
                <w:sz w:val="28"/>
                <w:szCs w:val="28"/>
              </w:rPr>
              <w:t>procesu uzlabojum</w:t>
            </w:r>
            <w:r w:rsidR="00AA57CF">
              <w:rPr>
                <w:sz w:val="28"/>
                <w:szCs w:val="28"/>
              </w:rPr>
              <w:t>i. P</w:t>
            </w:r>
            <w:r w:rsidRPr="00820E6E">
              <w:rPr>
                <w:sz w:val="28"/>
                <w:szCs w:val="28"/>
              </w:rPr>
              <w:t xml:space="preserve">ilnveidota personāla politika, uzsākta jaunas personāla vadības un grāmatvedības uzskaites sistēmas ieviešana, </w:t>
            </w:r>
            <w:r w:rsidR="00AA57CF">
              <w:rPr>
                <w:sz w:val="28"/>
                <w:szCs w:val="28"/>
              </w:rPr>
              <w:t xml:space="preserve">izvērtētas un </w:t>
            </w:r>
            <w:r w:rsidRPr="00820E6E">
              <w:rPr>
                <w:sz w:val="28"/>
                <w:szCs w:val="28"/>
              </w:rPr>
              <w:t>optimiz</w:t>
            </w:r>
            <w:r w:rsidR="00AA57CF">
              <w:rPr>
                <w:sz w:val="28"/>
                <w:szCs w:val="28"/>
              </w:rPr>
              <w:t>ētas</w:t>
            </w:r>
            <w:r w:rsidRPr="00820E6E">
              <w:rPr>
                <w:sz w:val="28"/>
                <w:szCs w:val="28"/>
              </w:rPr>
              <w:t xml:space="preserve"> administratīvās un  saimnieciskās funkcijas, daļu funkciju nododot ārpakalpojumam. Lai uzlabotu ēku energoefektivitāti un mazinātu uzturēšanās izmaksu apjomu 2012.gadā veikts ūdens apgādes cauruļvada kapitālais remonts, Eiropas Reģionālā attīstības fonda projekta ietvaros pabeigta ēkas fasādes un jumta siltināšana, logu un radiatoru nomaiņa, rekonstruēta ventilācijas sistēma, uzstādītas evakuācijas durvis un ugunsdzēsības signalizācija. Pacientu pieejamības veicināšanai un pakalpojuma kvalitātes uzlabošanai projekta ietvaros veikta nodaļu rekonstrukcija un renovācija, kā arī pacientu aprūpes iekārtu, funkcionālās diagnostikas iekārtu, tehnisko palīglīdzekļu un rehabilitācijas trenažieru zāles aprīkojuma iegāde. </w:t>
            </w:r>
          </w:p>
          <w:p w:rsidR="00CE122D" w:rsidRPr="00820E6E" w:rsidRDefault="00CE122D" w:rsidP="00CE122D">
            <w:pPr>
              <w:ind w:left="146"/>
              <w:jc w:val="both"/>
              <w:rPr>
                <w:sz w:val="28"/>
                <w:szCs w:val="28"/>
              </w:rPr>
            </w:pPr>
            <w:r w:rsidRPr="00820E6E">
              <w:rPr>
                <w:sz w:val="28"/>
                <w:szCs w:val="28"/>
              </w:rPr>
              <w:t>2013.gadā NRC „Vaivari” plāno palielināt apgrozījumu no maksas rehabilitācijas pakalpojumu sniegšanas</w:t>
            </w:r>
            <w:r w:rsidR="00FC6288">
              <w:rPr>
                <w:sz w:val="28"/>
                <w:szCs w:val="28"/>
              </w:rPr>
              <w:t xml:space="preserve"> un </w:t>
            </w:r>
            <w:r w:rsidRPr="00820E6E">
              <w:rPr>
                <w:sz w:val="28"/>
                <w:szCs w:val="28"/>
              </w:rPr>
              <w:t xml:space="preserve">tehnisko palīglīdzekļu izgatavošanas, </w:t>
            </w:r>
            <w:r w:rsidR="00AA500E">
              <w:rPr>
                <w:sz w:val="28"/>
                <w:szCs w:val="28"/>
              </w:rPr>
              <w:t xml:space="preserve">par 10% palielināt stacionāri ārstēto pacientu skaitu, </w:t>
            </w:r>
            <w:r w:rsidRPr="00820E6E">
              <w:rPr>
                <w:sz w:val="28"/>
                <w:szCs w:val="28"/>
              </w:rPr>
              <w:t>kā arī turpināt izmaksu optimizāciju, lai pilnībā segtu īstermiņa saistības un nodrošinātu pozitīvus saimnieciskās darbības rezultātus. Operatīvie budžeta izpildes dati par 2013.gada 1.pusgadu liecina par pozitīvu virzību uz noteikto finanšu un naturālo rādītāju izpildi.</w:t>
            </w:r>
          </w:p>
          <w:p w:rsidR="00AC5E2E" w:rsidRPr="00820E6E" w:rsidRDefault="00F52901" w:rsidP="00AC5E2E">
            <w:pPr>
              <w:pStyle w:val="BodyText"/>
              <w:spacing w:after="0"/>
              <w:ind w:left="142" w:right="142"/>
              <w:jc w:val="both"/>
              <w:rPr>
                <w:sz w:val="28"/>
                <w:szCs w:val="28"/>
                <w:lang w:val="lv-LV"/>
              </w:rPr>
            </w:pPr>
            <w:r w:rsidRPr="00820E6E">
              <w:rPr>
                <w:sz w:val="28"/>
                <w:szCs w:val="28"/>
                <w:lang w:val="lv-LV"/>
              </w:rPr>
              <w:t xml:space="preserve"> </w:t>
            </w:r>
            <w:r w:rsidR="00AC5E2E" w:rsidRPr="00820E6E">
              <w:rPr>
                <w:sz w:val="28"/>
                <w:szCs w:val="28"/>
                <w:lang w:val="lv-LV"/>
              </w:rPr>
              <w:t>NRC „Vaivari” likviditātes (apgrozāmo līdzekļu) analīze liecina, ka likviditātes rādītāji ir zem normas, trūkst brīvu naudas līdzekļu un ir nopietnas grūtības ar īstermiņa saistību apmaksu. Īstermiņa saistību summa pārsniedz apgrozāmo līdzekļu summu par LVL 843 564.</w:t>
            </w:r>
            <w:r w:rsidR="00AC5E2E" w:rsidRPr="00820E6E">
              <w:rPr>
                <w:sz w:val="26"/>
                <w:szCs w:val="26"/>
                <w:lang w:val="lv-LV"/>
              </w:rPr>
              <w:t xml:space="preserve"> </w:t>
            </w:r>
            <w:r w:rsidR="00AC5E2E" w:rsidRPr="00820E6E">
              <w:rPr>
                <w:sz w:val="28"/>
                <w:szCs w:val="28"/>
                <w:lang w:val="lv-LV"/>
              </w:rPr>
              <w:t>Nepieciešamo īstermiņa saistību nomaksai NRC „Vaivari” ir spiests piesaistīt kredītlīdzekļus.</w:t>
            </w:r>
            <w:r w:rsidR="00AC5E2E" w:rsidRPr="00820E6E">
              <w:rPr>
                <w:sz w:val="26"/>
                <w:szCs w:val="26"/>
                <w:lang w:val="lv-LV"/>
              </w:rPr>
              <w:t xml:space="preserve"> </w:t>
            </w:r>
            <w:r w:rsidR="00AC5E2E" w:rsidRPr="00820E6E">
              <w:rPr>
                <w:sz w:val="28"/>
                <w:szCs w:val="28"/>
                <w:lang w:val="lv-LV"/>
              </w:rPr>
              <w:t xml:space="preserve">Īstermiņa saistības veido parādi preču piegādātājiem un </w:t>
            </w:r>
            <w:r w:rsidR="00AC5E2E" w:rsidRPr="00820E6E">
              <w:rPr>
                <w:sz w:val="28"/>
                <w:szCs w:val="28"/>
                <w:lang w:val="lv-LV"/>
              </w:rPr>
              <w:lastRenderedPageBreak/>
              <w:t>pakalpojumu sniedzējiem,</w:t>
            </w:r>
            <w:r w:rsidR="00BC1BE1" w:rsidRPr="00820E6E">
              <w:rPr>
                <w:sz w:val="28"/>
                <w:szCs w:val="28"/>
                <w:lang w:val="lv-LV"/>
              </w:rPr>
              <w:t xml:space="preserve"> kas veidojušies</w:t>
            </w:r>
            <w:r w:rsidR="00AC5E2E" w:rsidRPr="00820E6E">
              <w:rPr>
                <w:sz w:val="28"/>
                <w:szCs w:val="28"/>
                <w:lang w:val="lv-LV"/>
              </w:rPr>
              <w:t xml:space="preserve"> </w:t>
            </w:r>
            <w:r w:rsidR="00BC1BE1" w:rsidRPr="00820E6E">
              <w:rPr>
                <w:sz w:val="28"/>
                <w:szCs w:val="28"/>
                <w:lang w:val="lv-LV"/>
              </w:rPr>
              <w:t xml:space="preserve">nodrošinot </w:t>
            </w:r>
            <w:r w:rsidR="00AC5E2E" w:rsidRPr="00820E6E">
              <w:rPr>
                <w:sz w:val="28"/>
                <w:szCs w:val="28"/>
                <w:lang w:val="lv-LV"/>
              </w:rPr>
              <w:t>veselības aprūpes pakalpojumu</w:t>
            </w:r>
            <w:r w:rsidR="00BC1BE1" w:rsidRPr="00820E6E">
              <w:rPr>
                <w:sz w:val="28"/>
                <w:szCs w:val="28"/>
                <w:lang w:val="lv-LV"/>
              </w:rPr>
              <w:t>s</w:t>
            </w:r>
            <w:r w:rsidR="00AC5E2E" w:rsidRPr="00820E6E">
              <w:rPr>
                <w:sz w:val="28"/>
                <w:szCs w:val="28"/>
                <w:lang w:val="lv-LV"/>
              </w:rPr>
              <w:t>. Ja NRC „Vaivari” 2012.gada peļņa</w:t>
            </w:r>
            <w:r w:rsidR="00BC1BE1" w:rsidRPr="00820E6E">
              <w:rPr>
                <w:sz w:val="28"/>
                <w:szCs w:val="28"/>
                <w:lang w:val="lv-LV"/>
              </w:rPr>
              <w:t>s daļa</w:t>
            </w:r>
            <w:r w:rsidR="00AC5E2E" w:rsidRPr="00820E6E">
              <w:rPr>
                <w:sz w:val="28"/>
                <w:szCs w:val="28"/>
                <w:lang w:val="lv-LV"/>
              </w:rPr>
              <w:t xml:space="preserve"> tiek </w:t>
            </w:r>
            <w:r w:rsidR="00BC1BE1" w:rsidRPr="00820E6E">
              <w:rPr>
                <w:sz w:val="28"/>
                <w:szCs w:val="28"/>
                <w:lang w:val="lv-LV"/>
              </w:rPr>
              <w:t xml:space="preserve">ieskaitīta </w:t>
            </w:r>
            <w:r w:rsidR="00AC5E2E" w:rsidRPr="00820E6E">
              <w:rPr>
                <w:sz w:val="28"/>
                <w:szCs w:val="28"/>
                <w:lang w:val="lv-LV"/>
              </w:rPr>
              <w:t xml:space="preserve">valsts budžetā </w:t>
            </w:r>
            <w:r w:rsidR="00DB0F02" w:rsidRPr="00820E6E">
              <w:rPr>
                <w:sz w:val="28"/>
                <w:szCs w:val="28"/>
                <w:lang w:val="lv-LV"/>
              </w:rPr>
              <w:t>kā dividendes</w:t>
            </w:r>
            <w:r w:rsidR="00AC5E2E" w:rsidRPr="00820E6E">
              <w:rPr>
                <w:sz w:val="28"/>
                <w:szCs w:val="28"/>
                <w:lang w:val="lv-LV"/>
              </w:rPr>
              <w:t xml:space="preserve">, tiek palielināts saistību apmērs, jo ierobežotie brīvie naudas līdzekļi liek piesaistīt papildu finansējumu, izmantojot </w:t>
            </w:r>
            <w:r w:rsidR="00B32FFC" w:rsidRPr="00820E6E">
              <w:rPr>
                <w:sz w:val="28"/>
                <w:szCs w:val="28"/>
                <w:lang w:val="lv-LV"/>
              </w:rPr>
              <w:t>komercbanku pakalpojumus</w:t>
            </w:r>
            <w:r w:rsidR="00AC5E2E" w:rsidRPr="00820E6E">
              <w:rPr>
                <w:sz w:val="28"/>
                <w:szCs w:val="28"/>
                <w:lang w:val="lv-LV"/>
              </w:rPr>
              <w:t>, lai nodrošinātu saistību izpildi. Pastāv risks, ka palielinās</w:t>
            </w:r>
            <w:r w:rsidR="004B2EDC" w:rsidRPr="00820E6E">
              <w:rPr>
                <w:sz w:val="28"/>
                <w:szCs w:val="28"/>
                <w:lang w:val="lv-LV"/>
              </w:rPr>
              <w:t>ies</w:t>
            </w:r>
            <w:r w:rsidR="00AC5E2E" w:rsidRPr="00820E6E">
              <w:rPr>
                <w:sz w:val="28"/>
                <w:szCs w:val="28"/>
                <w:lang w:val="lv-LV"/>
              </w:rPr>
              <w:t xml:space="preserve"> īstermiņa parādu apjoms un var tikt kavēti maksājumi, kas var </w:t>
            </w:r>
            <w:r w:rsidR="009B5E3B" w:rsidRPr="00820E6E">
              <w:rPr>
                <w:sz w:val="28"/>
                <w:szCs w:val="28"/>
                <w:lang w:val="lv-LV"/>
              </w:rPr>
              <w:t xml:space="preserve">negatīvi </w:t>
            </w:r>
            <w:r w:rsidR="00AC5E2E" w:rsidRPr="00820E6E">
              <w:rPr>
                <w:sz w:val="28"/>
                <w:szCs w:val="28"/>
                <w:lang w:val="lv-LV"/>
              </w:rPr>
              <w:t xml:space="preserve">ietekmēt sniegto veselības aprūpes pakalpojumu nepārtrauktību. </w:t>
            </w:r>
          </w:p>
          <w:p w:rsidR="00157C3D" w:rsidRPr="00820E6E" w:rsidRDefault="00015100" w:rsidP="00157C3D">
            <w:pPr>
              <w:pStyle w:val="BodyText"/>
              <w:spacing w:after="0"/>
              <w:ind w:left="142" w:right="142"/>
              <w:jc w:val="both"/>
              <w:rPr>
                <w:sz w:val="28"/>
                <w:szCs w:val="28"/>
                <w:lang w:val="lv-LV"/>
              </w:rPr>
            </w:pPr>
            <w:r w:rsidRPr="00820E6E">
              <w:rPr>
                <w:bCs/>
                <w:sz w:val="28"/>
                <w:szCs w:val="28"/>
                <w:lang w:val="lv-LV"/>
              </w:rPr>
              <w:t xml:space="preserve">Saskaņā ar </w:t>
            </w:r>
            <w:r w:rsidRPr="00820E6E">
              <w:rPr>
                <w:sz w:val="28"/>
                <w:szCs w:val="28"/>
                <w:lang w:val="lv-LV"/>
              </w:rPr>
              <w:t xml:space="preserve">2004.gada 22.septembra (prot. Nr.54 48.§) </w:t>
            </w:r>
            <w:r w:rsidRPr="00820E6E">
              <w:rPr>
                <w:bCs/>
                <w:sz w:val="28"/>
                <w:szCs w:val="28"/>
                <w:lang w:val="lv-LV"/>
              </w:rPr>
              <w:t xml:space="preserve">Ministru kabineta rīkojumu Nr.679 tika reorganizēta bezpeļņas organizācija valsts uzņēmums NRC </w:t>
            </w:r>
            <w:r w:rsidR="0034319A" w:rsidRPr="00820E6E">
              <w:rPr>
                <w:bCs/>
                <w:sz w:val="28"/>
                <w:szCs w:val="28"/>
                <w:lang w:val="lv-LV"/>
              </w:rPr>
              <w:t>„</w:t>
            </w:r>
            <w:r w:rsidRPr="00820E6E">
              <w:rPr>
                <w:bCs/>
                <w:sz w:val="28"/>
                <w:szCs w:val="28"/>
                <w:lang w:val="lv-LV"/>
              </w:rPr>
              <w:t>Vaivari</w:t>
            </w:r>
            <w:r w:rsidR="0034319A" w:rsidRPr="00820E6E">
              <w:rPr>
                <w:bCs/>
                <w:sz w:val="28"/>
                <w:szCs w:val="28"/>
                <w:lang w:val="lv-LV"/>
              </w:rPr>
              <w:t>””</w:t>
            </w:r>
            <w:r w:rsidRPr="00820E6E">
              <w:rPr>
                <w:bCs/>
                <w:sz w:val="28"/>
                <w:szCs w:val="28"/>
                <w:lang w:val="lv-LV"/>
              </w:rPr>
              <w:t xml:space="preserve"> un izveidota valsts sabiedrības ar ierobežotu atbildību NRC </w:t>
            </w:r>
            <w:r w:rsidR="0034319A" w:rsidRPr="00820E6E">
              <w:rPr>
                <w:bCs/>
                <w:sz w:val="28"/>
                <w:szCs w:val="28"/>
                <w:lang w:val="lv-LV"/>
              </w:rPr>
              <w:t>„</w:t>
            </w:r>
            <w:r w:rsidRPr="00820E6E">
              <w:rPr>
                <w:bCs/>
                <w:sz w:val="28"/>
                <w:szCs w:val="28"/>
                <w:lang w:val="lv-LV"/>
              </w:rPr>
              <w:t>Vaivari</w:t>
            </w:r>
            <w:r w:rsidR="0034319A" w:rsidRPr="00820E6E">
              <w:rPr>
                <w:bCs/>
                <w:sz w:val="28"/>
                <w:szCs w:val="28"/>
                <w:lang w:val="lv-LV"/>
              </w:rPr>
              <w:t>”</w:t>
            </w:r>
            <w:r w:rsidRPr="00820E6E">
              <w:rPr>
                <w:sz w:val="28"/>
                <w:szCs w:val="28"/>
                <w:lang w:val="lv-LV"/>
              </w:rPr>
              <w:t>.</w:t>
            </w:r>
            <w:r w:rsidRPr="00820E6E">
              <w:rPr>
                <w:bCs/>
                <w:sz w:val="28"/>
                <w:szCs w:val="28"/>
                <w:lang w:val="lv-LV"/>
              </w:rPr>
              <w:t xml:space="preserve"> </w:t>
            </w:r>
          </w:p>
          <w:p w:rsidR="00C14FE9" w:rsidRPr="00820E6E" w:rsidRDefault="00A65A89" w:rsidP="00A009D5">
            <w:pPr>
              <w:autoSpaceDE w:val="0"/>
              <w:autoSpaceDN w:val="0"/>
              <w:adjustRightInd w:val="0"/>
              <w:ind w:left="142" w:right="142"/>
              <w:jc w:val="both"/>
              <w:rPr>
                <w:sz w:val="28"/>
                <w:szCs w:val="28"/>
              </w:rPr>
            </w:pPr>
            <w:r w:rsidRPr="00820E6E">
              <w:rPr>
                <w:sz w:val="28"/>
                <w:szCs w:val="28"/>
              </w:rPr>
              <w:t>Sakarā ar to, ka valsts nekustamie īpašumi, kas zemesgrāmatā ir ierakstīti uz valsts vārda Veselības ministrijas personā, lielākoties tiek izmantoti veselības aprūpes pakalpojumu nodrošināšanai, tad šādus valsts nekustamos īpašums, pamatojoties uz apsaimniekošanas līgumu, Veselības ministrija nodeva veselības aprūpes pakalpojumus sniedzošajām valsts kapitālsabiedrībām, paredzot nosacījumu</w:t>
            </w:r>
            <w:r w:rsidR="00A009D5" w:rsidRPr="00820E6E">
              <w:rPr>
                <w:sz w:val="28"/>
                <w:szCs w:val="28"/>
              </w:rPr>
              <w:t xml:space="preserve"> – </w:t>
            </w:r>
            <w:r w:rsidRPr="00820E6E">
              <w:rPr>
                <w:sz w:val="28"/>
                <w:szCs w:val="28"/>
              </w:rPr>
              <w:t xml:space="preserve"> uzskaitīt apsaimniekošanā esošos valsts nekustamos īpašumus kapitālsabiedrības bilancē. </w:t>
            </w:r>
            <w:r w:rsidR="00C14FE9" w:rsidRPr="00820E6E">
              <w:rPr>
                <w:sz w:val="28"/>
                <w:szCs w:val="28"/>
              </w:rPr>
              <w:t xml:space="preserve">NRC  </w:t>
            </w:r>
            <w:r w:rsidR="0034319A" w:rsidRPr="00820E6E">
              <w:rPr>
                <w:sz w:val="28"/>
                <w:szCs w:val="28"/>
              </w:rPr>
              <w:t>„</w:t>
            </w:r>
            <w:r w:rsidR="00C14FE9" w:rsidRPr="00820E6E">
              <w:rPr>
                <w:sz w:val="28"/>
                <w:szCs w:val="28"/>
              </w:rPr>
              <w:t>Vaivari</w:t>
            </w:r>
            <w:r w:rsidR="0034319A" w:rsidRPr="00820E6E">
              <w:rPr>
                <w:sz w:val="28"/>
                <w:szCs w:val="28"/>
              </w:rPr>
              <w:t>”</w:t>
            </w:r>
            <w:r w:rsidR="00C14FE9" w:rsidRPr="00820E6E">
              <w:rPr>
                <w:sz w:val="28"/>
                <w:szCs w:val="28"/>
              </w:rPr>
              <w:t xml:space="preserve"> pamatkapitāla samazināšanas rezultātā pakalpojumu sniegšanai nepieciešamais nekustamais īpašums, pamatojoties uz apsaimniekošanas līgumu, tika pārņemts kapitālsabiedrības bilancē, neparedzot to </w:t>
            </w:r>
            <w:r w:rsidR="003A2FA1" w:rsidRPr="00820E6E">
              <w:rPr>
                <w:sz w:val="28"/>
                <w:szCs w:val="28"/>
              </w:rPr>
              <w:t xml:space="preserve">pamatkapitāla </w:t>
            </w:r>
            <w:r w:rsidR="00C14FE9" w:rsidRPr="00820E6E">
              <w:rPr>
                <w:sz w:val="28"/>
                <w:szCs w:val="28"/>
              </w:rPr>
              <w:t>sastāvā, bet uzskaitot bilances postenī „Pārējās rezerves”.</w:t>
            </w:r>
          </w:p>
          <w:p w:rsidR="00C14FE9" w:rsidRPr="00820E6E" w:rsidRDefault="00A65A89" w:rsidP="00857CC1">
            <w:pPr>
              <w:autoSpaceDE w:val="0"/>
              <w:autoSpaceDN w:val="0"/>
              <w:adjustRightInd w:val="0"/>
              <w:ind w:left="142" w:right="142"/>
              <w:jc w:val="both"/>
              <w:rPr>
                <w:sz w:val="28"/>
                <w:szCs w:val="28"/>
              </w:rPr>
            </w:pPr>
            <w:r w:rsidRPr="00820E6E">
              <w:rPr>
                <w:sz w:val="28"/>
                <w:szCs w:val="28"/>
              </w:rPr>
              <w:t>Lai sakārtotu ar īpašumiem saistītos jautājumus, šobrīd tiek izvērtēta iespēja izslēgt kapitālsabiedrību apsaimniekošanā esošos valsts nekustamos īpašumus no kapitālsabiedrību bilancēm. NRC „Vaivari” gadījumā, ja no bilances tiek izslēgti šobrīd apsaimniekošanā esošie nekustamie īpašumi,</w:t>
            </w:r>
            <w:r w:rsidR="00AB2D1D" w:rsidRPr="00820E6E">
              <w:rPr>
                <w:sz w:val="28"/>
                <w:szCs w:val="28"/>
              </w:rPr>
              <w:t xml:space="preserve"> un ņemot vērā iepriekšējo gadu zaudējumus, pašu kapitāla vērtība </w:t>
            </w:r>
            <w:r w:rsidR="00AC5E2E" w:rsidRPr="00820E6E">
              <w:rPr>
                <w:sz w:val="28"/>
                <w:szCs w:val="28"/>
              </w:rPr>
              <w:t>samazinās līdz negatīvai</w:t>
            </w:r>
            <w:r w:rsidR="00AB2D1D" w:rsidRPr="00820E6E">
              <w:rPr>
                <w:sz w:val="28"/>
                <w:szCs w:val="28"/>
              </w:rPr>
              <w:t>.</w:t>
            </w:r>
            <w:r w:rsidR="00AC5E2E" w:rsidRPr="00820E6E">
              <w:rPr>
                <w:sz w:val="28"/>
                <w:szCs w:val="28"/>
              </w:rPr>
              <w:t xml:space="preserve"> </w:t>
            </w:r>
            <w:r w:rsidR="009F1C65" w:rsidRPr="00820E6E">
              <w:rPr>
                <w:sz w:val="28"/>
                <w:szCs w:val="28"/>
              </w:rPr>
              <w:t xml:space="preserve">Saskaņā ar </w:t>
            </w:r>
            <w:r w:rsidR="00AC5E2E" w:rsidRPr="00820E6E">
              <w:rPr>
                <w:sz w:val="28"/>
                <w:szCs w:val="28"/>
              </w:rPr>
              <w:t>Komerclikuma 161.panta 4.daļu, kas nosaka</w:t>
            </w:r>
            <w:r w:rsidR="00A009D5" w:rsidRPr="00820E6E">
              <w:rPr>
                <w:sz w:val="28"/>
                <w:szCs w:val="28"/>
              </w:rPr>
              <w:t>,</w:t>
            </w:r>
            <w:r w:rsidR="00AC5E2E" w:rsidRPr="00820E6E">
              <w:rPr>
                <w:sz w:val="28"/>
                <w:szCs w:val="28"/>
              </w:rPr>
              <w:t xml:space="preserve"> ka dividendes nedrīkst noteikt, aprēķināt un izmaksāt, ja Sabiedrības pašu kapitāls ir mazāks par pamatkapitālu</w:t>
            </w:r>
            <w:r w:rsidR="00857CC1" w:rsidRPr="00820E6E">
              <w:rPr>
                <w:sz w:val="28"/>
                <w:szCs w:val="28"/>
              </w:rPr>
              <w:t>,</w:t>
            </w:r>
            <w:r w:rsidR="00AC5E2E" w:rsidRPr="00820E6E">
              <w:rPr>
                <w:sz w:val="28"/>
                <w:szCs w:val="28"/>
              </w:rPr>
              <w:t xml:space="preserve"> NRC „Vaivari” dividendes 2012.gadā </w:t>
            </w:r>
            <w:r w:rsidR="00AC5E2E" w:rsidRPr="00820E6E">
              <w:rPr>
                <w:sz w:val="28"/>
                <w:szCs w:val="28"/>
              </w:rPr>
              <w:lastRenderedPageBreak/>
              <w:t xml:space="preserve">nebūtu jāmaksā. </w:t>
            </w:r>
            <w:r w:rsidR="00AB2D1D" w:rsidRPr="00820E6E">
              <w:rPr>
                <w:sz w:val="28"/>
                <w:szCs w:val="28"/>
              </w:rPr>
              <w:t xml:space="preserve"> </w:t>
            </w:r>
            <w:r w:rsidRPr="00820E6E">
              <w:rPr>
                <w:sz w:val="28"/>
                <w:szCs w:val="28"/>
              </w:rPr>
              <w:t xml:space="preserve"> </w:t>
            </w:r>
          </w:p>
          <w:p w:rsidR="00DA2CF8" w:rsidRPr="00820E6E" w:rsidRDefault="00565E12" w:rsidP="00867CFB">
            <w:pPr>
              <w:ind w:left="142" w:right="142"/>
              <w:jc w:val="both"/>
              <w:rPr>
                <w:sz w:val="28"/>
                <w:szCs w:val="28"/>
              </w:rPr>
            </w:pPr>
            <w:r w:rsidRPr="00820E6E">
              <w:rPr>
                <w:rFonts w:eastAsia="Calibri"/>
                <w:sz w:val="28"/>
                <w:szCs w:val="28"/>
                <w:lang w:eastAsia="en-US"/>
              </w:rPr>
              <w:t>Ņemot vērā augstāk minēto</w:t>
            </w:r>
            <w:r w:rsidR="0034319A" w:rsidRPr="00820E6E">
              <w:rPr>
                <w:rFonts w:eastAsia="Calibri"/>
                <w:sz w:val="28"/>
                <w:szCs w:val="28"/>
                <w:lang w:eastAsia="en-US"/>
              </w:rPr>
              <w:t>,</w:t>
            </w:r>
            <w:r w:rsidRPr="00820E6E">
              <w:rPr>
                <w:rFonts w:eastAsia="Calibri"/>
                <w:sz w:val="28"/>
                <w:szCs w:val="28"/>
                <w:lang w:eastAsia="en-US"/>
              </w:rPr>
              <w:t xml:space="preserve"> NRC „Vaivari” 2012.gada peļņa būtu novirzāma </w:t>
            </w:r>
            <w:r w:rsidR="001867E0" w:rsidRPr="00820E6E">
              <w:rPr>
                <w:sz w:val="28"/>
                <w:szCs w:val="28"/>
              </w:rPr>
              <w:t>iepriekšējos periodos uzkrāto zaudējumu segšanai</w:t>
            </w:r>
            <w:r w:rsidRPr="00820E6E">
              <w:rPr>
                <w:rFonts w:eastAsia="Calibri"/>
                <w:sz w:val="28"/>
                <w:szCs w:val="28"/>
                <w:lang w:eastAsia="en-US"/>
              </w:rPr>
              <w:t xml:space="preserve">, </w:t>
            </w:r>
            <w:r w:rsidR="00867CFB" w:rsidRPr="00820E6E">
              <w:rPr>
                <w:sz w:val="28"/>
                <w:szCs w:val="28"/>
              </w:rPr>
              <w:t xml:space="preserve">kas veidojušies saistībā ar valsts apmaksāto veselības aprūpes pakalpojumu sniegšanu pacientiem, </w:t>
            </w:r>
            <w:r w:rsidR="00857CC1" w:rsidRPr="00820E6E">
              <w:rPr>
                <w:rFonts w:eastAsia="Calibri"/>
                <w:sz w:val="28"/>
                <w:szCs w:val="28"/>
              </w:rPr>
              <w:t>lai saglabātu stabilu NRC „Vaivari” darbību un nepārtrauktu veselības aprūpes pakalpojumu sniegšanu</w:t>
            </w:r>
            <w:r w:rsidRPr="00820E6E">
              <w:rPr>
                <w:rFonts w:eastAsia="Calibri"/>
                <w:sz w:val="28"/>
                <w:szCs w:val="28"/>
                <w:lang w:eastAsia="en-US"/>
              </w:rPr>
              <w:t>.</w:t>
            </w:r>
            <w:r w:rsidR="00B63696" w:rsidRPr="00820E6E">
              <w:rPr>
                <w:sz w:val="28"/>
                <w:szCs w:val="28"/>
              </w:rPr>
              <w:t xml:space="preserve"> </w:t>
            </w:r>
          </w:p>
        </w:tc>
      </w:tr>
      <w:tr w:rsidR="00262E2B" w:rsidRPr="00011092" w:rsidTr="001867E0">
        <w:trPr>
          <w:trHeight w:val="1071"/>
        </w:trPr>
        <w:tc>
          <w:tcPr>
            <w:tcW w:w="687" w:type="dxa"/>
          </w:tcPr>
          <w:p w:rsidR="00262E2B" w:rsidRPr="00011092" w:rsidRDefault="00262E2B" w:rsidP="006C4607">
            <w:pPr>
              <w:pStyle w:val="naiskr"/>
              <w:spacing w:before="0" w:after="0"/>
              <w:rPr>
                <w:sz w:val="28"/>
                <w:szCs w:val="28"/>
              </w:rPr>
            </w:pPr>
            <w:r w:rsidRPr="00011092">
              <w:rPr>
                <w:sz w:val="28"/>
                <w:szCs w:val="28"/>
              </w:rPr>
              <w:lastRenderedPageBreak/>
              <w:t>3.</w:t>
            </w:r>
          </w:p>
        </w:tc>
        <w:tc>
          <w:tcPr>
            <w:tcW w:w="2574" w:type="dxa"/>
          </w:tcPr>
          <w:p w:rsidR="00262E2B" w:rsidRPr="00011092" w:rsidRDefault="00420870" w:rsidP="006C4607">
            <w:pPr>
              <w:pStyle w:val="naiskr"/>
              <w:spacing w:before="0" w:after="0"/>
              <w:rPr>
                <w:sz w:val="28"/>
                <w:szCs w:val="28"/>
              </w:rPr>
            </w:pPr>
            <w:r w:rsidRPr="00011092">
              <w:rPr>
                <w:sz w:val="28"/>
                <w:szCs w:val="28"/>
              </w:rPr>
              <w:t>S</w:t>
            </w:r>
            <w:r w:rsidR="000B69CF" w:rsidRPr="00011092">
              <w:rPr>
                <w:sz w:val="28"/>
                <w:szCs w:val="28"/>
              </w:rPr>
              <w:t xml:space="preserve">aistītie </w:t>
            </w:r>
            <w:r w:rsidR="001A6AE4" w:rsidRPr="00011092">
              <w:rPr>
                <w:sz w:val="28"/>
                <w:szCs w:val="28"/>
              </w:rPr>
              <w:t>politikas ietekmes novērtējumi</w:t>
            </w:r>
            <w:r w:rsidR="00CB0247" w:rsidRPr="00011092">
              <w:rPr>
                <w:sz w:val="28"/>
                <w:szCs w:val="28"/>
              </w:rPr>
              <w:t xml:space="preserve"> un</w:t>
            </w:r>
            <w:r w:rsidR="001A6AE4" w:rsidRPr="00011092">
              <w:rPr>
                <w:sz w:val="28"/>
                <w:szCs w:val="28"/>
              </w:rPr>
              <w:t xml:space="preserve"> </w:t>
            </w:r>
            <w:r w:rsidR="000B69CF" w:rsidRPr="00011092">
              <w:rPr>
                <w:sz w:val="28"/>
                <w:szCs w:val="28"/>
              </w:rPr>
              <w:t>pētījumi</w:t>
            </w:r>
          </w:p>
        </w:tc>
        <w:tc>
          <w:tcPr>
            <w:tcW w:w="6662" w:type="dxa"/>
          </w:tcPr>
          <w:p w:rsidR="00D20FF4" w:rsidRPr="00820E6E" w:rsidRDefault="00C17C0D" w:rsidP="00B63696">
            <w:pPr>
              <w:pStyle w:val="FootnoteText"/>
              <w:ind w:left="142"/>
              <w:rPr>
                <w:sz w:val="28"/>
                <w:szCs w:val="28"/>
              </w:rPr>
            </w:pPr>
            <w:r w:rsidRPr="00820E6E">
              <w:rPr>
                <w:sz w:val="28"/>
                <w:szCs w:val="28"/>
              </w:rPr>
              <w:t>Projekts šo jomu neskar.</w:t>
            </w:r>
          </w:p>
        </w:tc>
      </w:tr>
      <w:tr w:rsidR="00262E2B" w:rsidRPr="00011092" w:rsidTr="001867E0">
        <w:trPr>
          <w:trHeight w:val="384"/>
        </w:trPr>
        <w:tc>
          <w:tcPr>
            <w:tcW w:w="687" w:type="dxa"/>
          </w:tcPr>
          <w:p w:rsidR="00262E2B" w:rsidRPr="00011092" w:rsidRDefault="00262E2B" w:rsidP="006C4607">
            <w:pPr>
              <w:pStyle w:val="naiskr"/>
              <w:spacing w:before="0" w:after="0"/>
              <w:rPr>
                <w:sz w:val="28"/>
                <w:szCs w:val="28"/>
              </w:rPr>
            </w:pPr>
            <w:r w:rsidRPr="00011092">
              <w:rPr>
                <w:sz w:val="28"/>
                <w:szCs w:val="28"/>
              </w:rPr>
              <w:t>4.</w:t>
            </w:r>
          </w:p>
        </w:tc>
        <w:tc>
          <w:tcPr>
            <w:tcW w:w="2574" w:type="dxa"/>
          </w:tcPr>
          <w:p w:rsidR="00262E2B" w:rsidRPr="00011092" w:rsidRDefault="000C790C" w:rsidP="006C4607">
            <w:pPr>
              <w:pStyle w:val="naiskr"/>
              <w:spacing w:before="0" w:after="0"/>
              <w:rPr>
                <w:sz w:val="28"/>
                <w:szCs w:val="28"/>
              </w:rPr>
            </w:pPr>
            <w:r w:rsidRPr="00011092">
              <w:rPr>
                <w:sz w:val="28"/>
                <w:szCs w:val="28"/>
              </w:rPr>
              <w:t>Tiesiskā r</w:t>
            </w:r>
            <w:r w:rsidR="00400032" w:rsidRPr="00011092">
              <w:rPr>
                <w:sz w:val="28"/>
                <w:szCs w:val="28"/>
              </w:rPr>
              <w:t xml:space="preserve">egulējuma </w:t>
            </w:r>
            <w:r w:rsidR="00262E2B" w:rsidRPr="00011092">
              <w:rPr>
                <w:sz w:val="28"/>
                <w:szCs w:val="28"/>
              </w:rPr>
              <w:t>mērķis un būtība</w:t>
            </w:r>
          </w:p>
        </w:tc>
        <w:tc>
          <w:tcPr>
            <w:tcW w:w="6662" w:type="dxa"/>
          </w:tcPr>
          <w:p w:rsidR="00565E12" w:rsidRPr="00820E6E" w:rsidRDefault="00565E12" w:rsidP="00B63696">
            <w:pPr>
              <w:pStyle w:val="naiskr"/>
              <w:spacing w:before="0" w:after="0"/>
              <w:ind w:left="142" w:right="142"/>
              <w:jc w:val="both"/>
              <w:rPr>
                <w:sz w:val="28"/>
                <w:szCs w:val="28"/>
              </w:rPr>
            </w:pPr>
            <w:r w:rsidRPr="00820E6E">
              <w:rPr>
                <w:sz w:val="28"/>
                <w:szCs w:val="28"/>
              </w:rPr>
              <w:t xml:space="preserve">NRC „Vaivari” ir </w:t>
            </w:r>
            <w:r w:rsidR="0059402D" w:rsidRPr="00820E6E">
              <w:rPr>
                <w:sz w:val="28"/>
                <w:szCs w:val="28"/>
              </w:rPr>
              <w:t xml:space="preserve"> valsts kapitālsabiedrība, kurā 100% kapitāla daļu turētāja ir Veselības ministrija.</w:t>
            </w:r>
          </w:p>
          <w:p w:rsidR="0059402D" w:rsidRPr="00820E6E" w:rsidRDefault="0059402D" w:rsidP="00B63696">
            <w:pPr>
              <w:ind w:left="142" w:right="142"/>
              <w:jc w:val="both"/>
              <w:rPr>
                <w:sz w:val="28"/>
                <w:szCs w:val="28"/>
              </w:rPr>
            </w:pPr>
            <w:r w:rsidRPr="00820E6E">
              <w:rPr>
                <w:sz w:val="28"/>
                <w:szCs w:val="28"/>
              </w:rPr>
              <w:t>Saskaņā ar likuma „Par valsts un pašvaldību kapitāla daļām un kapitālsabiedrībām” 3.panta trešo daļu un MK noteikumu Nr.1471 4.</w:t>
            </w:r>
            <w:r w:rsidRPr="00820E6E">
              <w:rPr>
                <w:sz w:val="28"/>
                <w:szCs w:val="28"/>
                <w:vertAlign w:val="superscript"/>
              </w:rPr>
              <w:t>1</w:t>
            </w:r>
            <w:r w:rsidRPr="00820E6E">
              <w:rPr>
                <w:sz w:val="28"/>
                <w:szCs w:val="28"/>
              </w:rPr>
              <w:t>punktu minimālo dividendēs izmaksājamo peļņas daļu par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59402D" w:rsidRPr="00820E6E" w:rsidRDefault="0059402D" w:rsidP="00B63696">
            <w:pPr>
              <w:ind w:left="142" w:right="142"/>
              <w:jc w:val="both"/>
              <w:rPr>
                <w:sz w:val="28"/>
                <w:szCs w:val="28"/>
              </w:rPr>
            </w:pPr>
            <w:r w:rsidRPr="00820E6E">
              <w:rPr>
                <w:sz w:val="28"/>
                <w:szCs w:val="28"/>
              </w:rPr>
              <w:t xml:space="preserve">NRC „Vaivari” 2012.gadu ir noslēgusi ar LVL </w:t>
            </w:r>
            <w:r w:rsidR="000B6252" w:rsidRPr="00820E6E">
              <w:rPr>
                <w:sz w:val="28"/>
                <w:szCs w:val="28"/>
              </w:rPr>
              <w:t>124 179</w:t>
            </w:r>
            <w:r w:rsidRPr="00820E6E">
              <w:rPr>
                <w:sz w:val="28"/>
                <w:szCs w:val="28"/>
              </w:rPr>
              <w:t xml:space="preserve"> peļņu. No minētās summas</w:t>
            </w:r>
            <w:r w:rsidR="0034319A" w:rsidRPr="00820E6E">
              <w:rPr>
                <w:sz w:val="28"/>
                <w:szCs w:val="28"/>
              </w:rPr>
              <w:t>,</w:t>
            </w:r>
            <w:r w:rsidRPr="00820E6E">
              <w:rPr>
                <w:sz w:val="28"/>
                <w:szCs w:val="28"/>
              </w:rPr>
              <w:t xml:space="preserve"> atbilstoši noteikumu Nr.1471 4.</w:t>
            </w:r>
            <w:r w:rsidRPr="00820E6E">
              <w:rPr>
                <w:sz w:val="28"/>
                <w:szCs w:val="28"/>
                <w:vertAlign w:val="superscript"/>
              </w:rPr>
              <w:t>1</w:t>
            </w:r>
            <w:r w:rsidRPr="00820E6E">
              <w:rPr>
                <w:sz w:val="28"/>
                <w:szCs w:val="28"/>
              </w:rPr>
              <w:t>punktam</w:t>
            </w:r>
            <w:r w:rsidR="0034319A" w:rsidRPr="00820E6E">
              <w:rPr>
                <w:sz w:val="28"/>
                <w:szCs w:val="28"/>
              </w:rPr>
              <w:t>,</w:t>
            </w:r>
            <w:r w:rsidRPr="00820E6E">
              <w:rPr>
                <w:sz w:val="28"/>
                <w:szCs w:val="28"/>
              </w:rPr>
              <w:t xml:space="preserve"> valstij dividendēs izmaksājamā peļņas daļa (90% no peļņas) sastāda LVL </w:t>
            </w:r>
            <w:r w:rsidR="000B6252" w:rsidRPr="00820E6E">
              <w:rPr>
                <w:sz w:val="28"/>
                <w:szCs w:val="28"/>
              </w:rPr>
              <w:t>111 761,10</w:t>
            </w:r>
            <w:r w:rsidRPr="00820E6E">
              <w:rPr>
                <w:sz w:val="28"/>
                <w:szCs w:val="28"/>
              </w:rPr>
              <w:t>.</w:t>
            </w:r>
          </w:p>
          <w:p w:rsidR="00DA2CF8" w:rsidRPr="00820E6E" w:rsidRDefault="00DA2CF8" w:rsidP="00B63696">
            <w:pPr>
              <w:ind w:left="142" w:right="142"/>
              <w:jc w:val="both"/>
              <w:rPr>
                <w:sz w:val="28"/>
                <w:szCs w:val="28"/>
              </w:rPr>
            </w:pPr>
            <w:r w:rsidRPr="00820E6E">
              <w:rPr>
                <w:sz w:val="28"/>
                <w:szCs w:val="28"/>
              </w:rPr>
              <w:t>Noteikumu Nr.1471 5.1.</w:t>
            </w:r>
            <w:r w:rsidR="002D7768" w:rsidRPr="00820E6E">
              <w:rPr>
                <w:sz w:val="28"/>
                <w:szCs w:val="28"/>
              </w:rPr>
              <w:t>apakš</w:t>
            </w:r>
            <w:r w:rsidRPr="00820E6E">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DA2CF8" w:rsidRPr="00820E6E" w:rsidRDefault="00DA2CF8" w:rsidP="00B63696">
            <w:pPr>
              <w:ind w:left="142" w:right="142"/>
              <w:jc w:val="both"/>
              <w:rPr>
                <w:sz w:val="28"/>
                <w:szCs w:val="28"/>
              </w:rPr>
            </w:pPr>
            <w:r w:rsidRPr="00820E6E">
              <w:rPr>
                <w:sz w:val="28"/>
                <w:szCs w:val="28"/>
              </w:rPr>
              <w:t xml:space="preserve">2012.gada nesadalītā peļņa atbilstoši likuma „Gada pārskatu likums” 20.pantam ir ietverta attiecīgā pārskata gada bilances postenī „Pārskata gada nesadalītā peļņa”. </w:t>
            </w:r>
          </w:p>
          <w:p w:rsidR="00DA2CF8" w:rsidRPr="00820E6E" w:rsidRDefault="00DA2CF8" w:rsidP="00B63696">
            <w:pPr>
              <w:ind w:left="142" w:right="142"/>
              <w:jc w:val="both"/>
              <w:rPr>
                <w:sz w:val="28"/>
                <w:szCs w:val="28"/>
              </w:rPr>
            </w:pPr>
            <w:r w:rsidRPr="00820E6E">
              <w:rPr>
                <w:sz w:val="28"/>
                <w:szCs w:val="28"/>
              </w:rPr>
              <w:t xml:space="preserve">Ņemot vērā to, ka </w:t>
            </w:r>
            <w:r w:rsidR="000B6252" w:rsidRPr="00820E6E">
              <w:rPr>
                <w:sz w:val="28"/>
                <w:szCs w:val="28"/>
              </w:rPr>
              <w:t>NRC „Vaivari”</w:t>
            </w:r>
            <w:r w:rsidRPr="00820E6E">
              <w:rPr>
                <w:sz w:val="28"/>
                <w:szCs w:val="28"/>
              </w:rPr>
              <w:t xml:space="preserve"> </w:t>
            </w:r>
            <w:r w:rsidR="00011092" w:rsidRPr="00820E6E">
              <w:rPr>
                <w:sz w:val="28"/>
                <w:szCs w:val="28"/>
              </w:rPr>
              <w:t xml:space="preserve">apgrozāmie līdzekļi ir ierobežoti, </w:t>
            </w:r>
            <w:r w:rsidRPr="00820E6E">
              <w:rPr>
                <w:sz w:val="28"/>
                <w:szCs w:val="28"/>
              </w:rPr>
              <w:t xml:space="preserve">dividenžu izmaksa par 2012.gadu ietekmēs </w:t>
            </w:r>
            <w:r w:rsidR="00011092" w:rsidRPr="00820E6E">
              <w:rPr>
                <w:sz w:val="28"/>
                <w:szCs w:val="28"/>
              </w:rPr>
              <w:t>kārtējo īstermiņa saistību izpildi</w:t>
            </w:r>
            <w:r w:rsidR="009F1C65" w:rsidRPr="00820E6E">
              <w:rPr>
                <w:sz w:val="28"/>
                <w:szCs w:val="28"/>
              </w:rPr>
              <w:t xml:space="preserve">, kā arī paredzētās apsaimniekošanā esošo nekustamo īpašumu uzskaites maiņas rezultātā tiks pasliktināti kopējie NRC „Vaivari” </w:t>
            </w:r>
            <w:r w:rsidR="009F1C65" w:rsidRPr="00820E6E">
              <w:rPr>
                <w:sz w:val="28"/>
                <w:szCs w:val="28"/>
              </w:rPr>
              <w:lastRenderedPageBreak/>
              <w:t xml:space="preserve">finanšu rādītāji </w:t>
            </w:r>
            <w:r w:rsidR="00011092" w:rsidRPr="00820E6E">
              <w:rPr>
                <w:sz w:val="28"/>
                <w:szCs w:val="28"/>
              </w:rPr>
              <w:t xml:space="preserve">un </w:t>
            </w:r>
            <w:r w:rsidRPr="00820E6E">
              <w:rPr>
                <w:sz w:val="28"/>
                <w:szCs w:val="28"/>
              </w:rPr>
              <w:t xml:space="preserve">pamatdarbības </w:t>
            </w:r>
            <w:r w:rsidR="00011092" w:rsidRPr="00820E6E">
              <w:rPr>
                <w:sz w:val="28"/>
                <w:szCs w:val="28"/>
              </w:rPr>
              <w:t>stabilitāt</w:t>
            </w:r>
            <w:r w:rsidR="009F1C65" w:rsidRPr="00820E6E">
              <w:rPr>
                <w:sz w:val="28"/>
                <w:szCs w:val="28"/>
              </w:rPr>
              <w:t>e</w:t>
            </w:r>
            <w:r w:rsidR="00011092" w:rsidRPr="00820E6E">
              <w:rPr>
                <w:sz w:val="28"/>
                <w:szCs w:val="28"/>
              </w:rPr>
              <w:t xml:space="preserve"> ilgtermiņā.  </w:t>
            </w:r>
          </w:p>
          <w:p w:rsidR="00DA2CF8" w:rsidRPr="00820E6E" w:rsidRDefault="00DA2CF8" w:rsidP="001867E0">
            <w:pPr>
              <w:ind w:left="142" w:right="142"/>
              <w:jc w:val="both"/>
              <w:rPr>
                <w:sz w:val="28"/>
                <w:szCs w:val="28"/>
              </w:rPr>
            </w:pPr>
            <w:r w:rsidRPr="00820E6E">
              <w:rPr>
                <w:sz w:val="28"/>
                <w:szCs w:val="28"/>
              </w:rPr>
              <w:t xml:space="preserve">Lai novērstu draudus </w:t>
            </w:r>
            <w:r w:rsidR="00011092" w:rsidRPr="00820E6E">
              <w:rPr>
                <w:sz w:val="28"/>
                <w:szCs w:val="28"/>
              </w:rPr>
              <w:t xml:space="preserve">NRC „Vaivari” pamatdarbības nodrošināšanai, </w:t>
            </w:r>
            <w:r w:rsidRPr="00820E6E">
              <w:rPr>
                <w:sz w:val="28"/>
                <w:szCs w:val="28"/>
              </w:rPr>
              <w:t xml:space="preserve">efektīvi būtu maksimālu </w:t>
            </w:r>
            <w:r w:rsidR="00011092" w:rsidRPr="00820E6E">
              <w:rPr>
                <w:sz w:val="28"/>
                <w:szCs w:val="28"/>
              </w:rPr>
              <w:t>NRC „Vaivari”</w:t>
            </w:r>
            <w:r w:rsidRPr="00820E6E">
              <w:rPr>
                <w:sz w:val="28"/>
                <w:szCs w:val="28"/>
              </w:rPr>
              <w:t xml:space="preserve"> peļņas daļu </w:t>
            </w:r>
            <w:r w:rsidR="00011092" w:rsidRPr="00820E6E">
              <w:rPr>
                <w:sz w:val="28"/>
                <w:szCs w:val="28"/>
              </w:rPr>
              <w:t xml:space="preserve">novirzīt </w:t>
            </w:r>
            <w:r w:rsidR="001867E0" w:rsidRPr="00820E6E">
              <w:rPr>
                <w:sz w:val="28"/>
                <w:szCs w:val="28"/>
              </w:rPr>
              <w:t>iepriekšējos periodos uzkrāto zaudējumu segšanai</w:t>
            </w:r>
            <w:r w:rsidR="00867CFB" w:rsidRPr="00820E6E">
              <w:rPr>
                <w:sz w:val="28"/>
                <w:szCs w:val="28"/>
              </w:rPr>
              <w:t>, kas veidojušies saistībā ar valsts apmaksāto veselības aprūpes pakalpojumu sniegšanu pacientiem</w:t>
            </w:r>
            <w:r w:rsidR="00011092" w:rsidRPr="00820E6E">
              <w:rPr>
                <w:sz w:val="28"/>
                <w:szCs w:val="28"/>
              </w:rPr>
              <w:t>.</w:t>
            </w:r>
            <w:r w:rsidR="00BD58BF" w:rsidRPr="00820E6E">
              <w:t xml:space="preserve"> </w:t>
            </w:r>
            <w:r w:rsidRPr="00820E6E">
              <w:rPr>
                <w:sz w:val="28"/>
                <w:szCs w:val="28"/>
              </w:rPr>
              <w:t xml:space="preserve">Līdz ar to Ministru kabinetam ir nepieciešams pieņemt lēmumu, ka </w:t>
            </w:r>
            <w:r w:rsidR="00011092" w:rsidRPr="00820E6E">
              <w:rPr>
                <w:sz w:val="28"/>
                <w:szCs w:val="28"/>
              </w:rPr>
              <w:t>NRC „Vaivari”</w:t>
            </w:r>
            <w:r w:rsidRPr="00820E6E">
              <w:rPr>
                <w:sz w:val="28"/>
                <w:szCs w:val="28"/>
              </w:rPr>
              <w:t xml:space="preserve">  2012. pārskata gada peļņa netiek izmaksāta dividendēs, t.i., tiek noteikta atšķirīga dividendēs izmaksājamā peļņas daļa 0% apmērā. </w:t>
            </w:r>
          </w:p>
        </w:tc>
      </w:tr>
      <w:tr w:rsidR="00262E2B" w:rsidRPr="00011092" w:rsidTr="001867E0">
        <w:trPr>
          <w:trHeight w:val="476"/>
        </w:trPr>
        <w:tc>
          <w:tcPr>
            <w:tcW w:w="687" w:type="dxa"/>
          </w:tcPr>
          <w:p w:rsidR="00262E2B" w:rsidRPr="00011092" w:rsidRDefault="00262E2B" w:rsidP="006C4607">
            <w:pPr>
              <w:pStyle w:val="naiskr"/>
              <w:spacing w:before="0" w:after="0"/>
              <w:rPr>
                <w:sz w:val="28"/>
                <w:szCs w:val="28"/>
              </w:rPr>
            </w:pPr>
            <w:r w:rsidRPr="00011092">
              <w:rPr>
                <w:sz w:val="28"/>
                <w:szCs w:val="28"/>
              </w:rPr>
              <w:lastRenderedPageBreak/>
              <w:t>5.</w:t>
            </w:r>
          </w:p>
        </w:tc>
        <w:tc>
          <w:tcPr>
            <w:tcW w:w="2574" w:type="dxa"/>
          </w:tcPr>
          <w:p w:rsidR="00262E2B" w:rsidRPr="00011092" w:rsidRDefault="001A4066" w:rsidP="006C4607">
            <w:pPr>
              <w:pStyle w:val="naiskr"/>
              <w:spacing w:before="0" w:after="0"/>
              <w:rPr>
                <w:sz w:val="28"/>
                <w:szCs w:val="28"/>
              </w:rPr>
            </w:pPr>
            <w:r w:rsidRPr="00011092">
              <w:rPr>
                <w:sz w:val="28"/>
                <w:szCs w:val="28"/>
              </w:rPr>
              <w:t>Projekta i</w:t>
            </w:r>
            <w:r w:rsidR="00262E2B" w:rsidRPr="00011092">
              <w:rPr>
                <w:sz w:val="28"/>
                <w:szCs w:val="28"/>
              </w:rPr>
              <w:t>zstrād</w:t>
            </w:r>
            <w:r w:rsidR="00420870" w:rsidRPr="00011092">
              <w:rPr>
                <w:sz w:val="28"/>
                <w:szCs w:val="28"/>
              </w:rPr>
              <w:t xml:space="preserve">ē </w:t>
            </w:r>
            <w:r w:rsidR="00262E2B" w:rsidRPr="00011092">
              <w:rPr>
                <w:sz w:val="28"/>
                <w:szCs w:val="28"/>
              </w:rPr>
              <w:t>iesaistītās institūcijas</w:t>
            </w:r>
          </w:p>
        </w:tc>
        <w:tc>
          <w:tcPr>
            <w:tcW w:w="6662" w:type="dxa"/>
          </w:tcPr>
          <w:p w:rsidR="00262E2B" w:rsidRPr="00011092" w:rsidRDefault="00C17C0D" w:rsidP="00B63696">
            <w:pPr>
              <w:pStyle w:val="naiskr"/>
              <w:spacing w:before="0" w:after="0"/>
              <w:ind w:left="142"/>
              <w:rPr>
                <w:sz w:val="28"/>
                <w:szCs w:val="28"/>
              </w:rPr>
            </w:pPr>
            <w:r w:rsidRPr="00011092">
              <w:rPr>
                <w:iCs/>
                <w:sz w:val="28"/>
                <w:szCs w:val="28"/>
              </w:rPr>
              <w:t>LR Veselības ministrija</w:t>
            </w:r>
            <w:r w:rsidR="00B63696">
              <w:rPr>
                <w:iCs/>
                <w:sz w:val="28"/>
                <w:szCs w:val="28"/>
              </w:rPr>
              <w:t>, NRC „Vaivari”</w:t>
            </w:r>
            <w:r w:rsidRPr="00011092">
              <w:rPr>
                <w:iCs/>
                <w:sz w:val="28"/>
                <w:szCs w:val="28"/>
              </w:rPr>
              <w:t>.</w:t>
            </w:r>
          </w:p>
        </w:tc>
      </w:tr>
      <w:tr w:rsidR="00262E2B" w:rsidRPr="00011092" w:rsidTr="001867E0">
        <w:trPr>
          <w:trHeight w:val="1340"/>
        </w:trPr>
        <w:tc>
          <w:tcPr>
            <w:tcW w:w="687" w:type="dxa"/>
          </w:tcPr>
          <w:p w:rsidR="00262E2B" w:rsidRPr="00011092" w:rsidRDefault="00262E2B" w:rsidP="006C4607">
            <w:pPr>
              <w:pStyle w:val="naiskr"/>
              <w:spacing w:before="0" w:after="0"/>
              <w:rPr>
                <w:sz w:val="28"/>
                <w:szCs w:val="28"/>
              </w:rPr>
            </w:pPr>
            <w:r w:rsidRPr="00011092">
              <w:rPr>
                <w:sz w:val="28"/>
                <w:szCs w:val="28"/>
              </w:rPr>
              <w:t>6.</w:t>
            </w:r>
          </w:p>
        </w:tc>
        <w:tc>
          <w:tcPr>
            <w:tcW w:w="2574" w:type="dxa"/>
          </w:tcPr>
          <w:p w:rsidR="00262E2B" w:rsidRPr="00011092" w:rsidRDefault="00BB7C94" w:rsidP="006C4607">
            <w:pPr>
              <w:pStyle w:val="naiskr"/>
              <w:spacing w:before="0" w:after="0"/>
              <w:rPr>
                <w:i/>
                <w:sz w:val="28"/>
                <w:szCs w:val="28"/>
                <w:highlight w:val="yellow"/>
              </w:rPr>
            </w:pPr>
            <w:r w:rsidRPr="00011092">
              <w:rPr>
                <w:sz w:val="28"/>
                <w:szCs w:val="28"/>
              </w:rPr>
              <w:t xml:space="preserve">Iemesli, kādēļ netika nodrošināta </w:t>
            </w:r>
            <w:r w:rsidR="00262E2B" w:rsidRPr="00011092">
              <w:rPr>
                <w:sz w:val="28"/>
                <w:szCs w:val="28"/>
              </w:rPr>
              <w:t xml:space="preserve">sabiedrības </w:t>
            </w:r>
            <w:r w:rsidRPr="00011092">
              <w:rPr>
                <w:sz w:val="28"/>
                <w:szCs w:val="28"/>
              </w:rPr>
              <w:t>līdzdalība</w:t>
            </w:r>
          </w:p>
        </w:tc>
        <w:tc>
          <w:tcPr>
            <w:tcW w:w="6662" w:type="dxa"/>
          </w:tcPr>
          <w:p w:rsidR="00D20FF4" w:rsidRPr="00011092" w:rsidRDefault="00011092" w:rsidP="00B63696">
            <w:pPr>
              <w:pStyle w:val="FootnoteText"/>
              <w:ind w:left="142"/>
              <w:rPr>
                <w:sz w:val="28"/>
                <w:szCs w:val="28"/>
              </w:rPr>
            </w:pPr>
            <w:r w:rsidRPr="00011092">
              <w:rPr>
                <w:sz w:val="28"/>
                <w:szCs w:val="28"/>
              </w:rPr>
              <w:t>Projekts šo jomu neskar.</w:t>
            </w:r>
          </w:p>
        </w:tc>
      </w:tr>
      <w:tr w:rsidR="00262E2B" w:rsidRPr="00011092" w:rsidTr="001867E0">
        <w:tc>
          <w:tcPr>
            <w:tcW w:w="687" w:type="dxa"/>
          </w:tcPr>
          <w:p w:rsidR="00262E2B" w:rsidRPr="00011092" w:rsidRDefault="00262E2B" w:rsidP="006C4607">
            <w:pPr>
              <w:pStyle w:val="naiskr"/>
              <w:spacing w:before="0" w:after="0"/>
              <w:rPr>
                <w:sz w:val="28"/>
                <w:szCs w:val="28"/>
              </w:rPr>
            </w:pPr>
            <w:r w:rsidRPr="00011092">
              <w:rPr>
                <w:sz w:val="28"/>
                <w:szCs w:val="28"/>
              </w:rPr>
              <w:t>7.</w:t>
            </w:r>
          </w:p>
        </w:tc>
        <w:tc>
          <w:tcPr>
            <w:tcW w:w="2574" w:type="dxa"/>
          </w:tcPr>
          <w:p w:rsidR="00262E2B" w:rsidRPr="00011092" w:rsidRDefault="00262E2B" w:rsidP="006C4607">
            <w:pPr>
              <w:pStyle w:val="naiskr"/>
              <w:spacing w:before="0" w:after="0"/>
              <w:rPr>
                <w:sz w:val="28"/>
                <w:szCs w:val="28"/>
              </w:rPr>
            </w:pPr>
            <w:r w:rsidRPr="00011092">
              <w:rPr>
                <w:sz w:val="28"/>
                <w:szCs w:val="28"/>
              </w:rPr>
              <w:t>Cita informācija</w:t>
            </w:r>
          </w:p>
        </w:tc>
        <w:tc>
          <w:tcPr>
            <w:tcW w:w="6662" w:type="dxa"/>
          </w:tcPr>
          <w:p w:rsidR="00262E2B" w:rsidRPr="00011092" w:rsidRDefault="00262E2B" w:rsidP="00B63696">
            <w:pPr>
              <w:pStyle w:val="naiskr"/>
              <w:spacing w:before="0" w:after="0"/>
              <w:ind w:left="142"/>
              <w:rPr>
                <w:sz w:val="28"/>
                <w:szCs w:val="28"/>
              </w:rPr>
            </w:pPr>
            <w:r w:rsidRPr="00011092">
              <w:rPr>
                <w:sz w:val="28"/>
                <w:szCs w:val="28"/>
              </w:rPr>
              <w:t>Nav</w:t>
            </w:r>
          </w:p>
        </w:tc>
      </w:tr>
    </w:tbl>
    <w:p w:rsidR="00AF3707" w:rsidRPr="00011092" w:rsidRDefault="00AF3707" w:rsidP="006C4607">
      <w:pPr>
        <w:pStyle w:val="naisf"/>
        <w:spacing w:before="0" w:after="0"/>
        <w:rPr>
          <w:sz w:val="28"/>
          <w:szCs w:val="28"/>
        </w:rPr>
      </w:pPr>
    </w:p>
    <w:tbl>
      <w:tblPr>
        <w:tblW w:w="997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1240"/>
        <w:gridCol w:w="1450"/>
        <w:gridCol w:w="1415"/>
        <w:gridCol w:w="1305"/>
        <w:gridCol w:w="1365"/>
      </w:tblGrid>
      <w:tr w:rsidR="00124F12" w:rsidRPr="00011092" w:rsidTr="00B63696">
        <w:trPr>
          <w:trHeight w:val="652"/>
          <w:jc w:val="center"/>
        </w:trPr>
        <w:tc>
          <w:tcPr>
            <w:tcW w:w="9975" w:type="dxa"/>
            <w:gridSpan w:val="6"/>
          </w:tcPr>
          <w:p w:rsidR="00124F12" w:rsidRPr="00011092" w:rsidRDefault="00AF3707" w:rsidP="006C4607">
            <w:pPr>
              <w:pStyle w:val="naisnod"/>
              <w:spacing w:before="0" w:after="0"/>
              <w:rPr>
                <w:i/>
                <w:sz w:val="28"/>
                <w:szCs w:val="28"/>
              </w:rPr>
            </w:pPr>
            <w:r w:rsidRPr="00011092">
              <w:rPr>
                <w:sz w:val="28"/>
                <w:szCs w:val="28"/>
              </w:rPr>
              <w:br w:type="page"/>
            </w:r>
            <w:r w:rsidR="00124F12" w:rsidRPr="00011092">
              <w:rPr>
                <w:sz w:val="28"/>
                <w:szCs w:val="28"/>
              </w:rPr>
              <w:br w:type="page"/>
              <w:t>III</w:t>
            </w:r>
            <w:r w:rsidR="000941C5" w:rsidRPr="00011092">
              <w:rPr>
                <w:sz w:val="28"/>
                <w:szCs w:val="28"/>
              </w:rPr>
              <w:t>.</w:t>
            </w:r>
            <w:r w:rsidR="00124F12" w:rsidRPr="00011092">
              <w:rPr>
                <w:sz w:val="28"/>
                <w:szCs w:val="28"/>
              </w:rPr>
              <w:t xml:space="preserve"> Tiesību akta projekta ietekme uz valsts budžetu un pašvaldību budžetiem</w:t>
            </w:r>
          </w:p>
        </w:tc>
      </w:tr>
      <w:tr w:rsidR="00124F12" w:rsidRPr="00011092" w:rsidTr="00B63696">
        <w:trPr>
          <w:jc w:val="center"/>
        </w:trPr>
        <w:tc>
          <w:tcPr>
            <w:tcW w:w="3200" w:type="dxa"/>
            <w:vMerge w:val="restart"/>
            <w:vAlign w:val="center"/>
          </w:tcPr>
          <w:p w:rsidR="00124F12" w:rsidRPr="00011092" w:rsidRDefault="00124F12" w:rsidP="006C4607">
            <w:pPr>
              <w:pStyle w:val="naisf"/>
              <w:spacing w:before="0" w:after="0"/>
              <w:ind w:firstLine="0"/>
              <w:jc w:val="center"/>
              <w:rPr>
                <w:b/>
                <w:sz w:val="28"/>
                <w:szCs w:val="28"/>
              </w:rPr>
            </w:pPr>
            <w:r w:rsidRPr="00011092">
              <w:rPr>
                <w:b/>
                <w:sz w:val="28"/>
                <w:szCs w:val="28"/>
              </w:rPr>
              <w:t>Rādītāji</w:t>
            </w:r>
          </w:p>
        </w:tc>
        <w:tc>
          <w:tcPr>
            <w:tcW w:w="2690" w:type="dxa"/>
            <w:gridSpan w:val="2"/>
            <w:vMerge w:val="restart"/>
            <w:vAlign w:val="center"/>
          </w:tcPr>
          <w:p w:rsidR="00124F12" w:rsidRPr="00011092" w:rsidRDefault="00124F12" w:rsidP="006C4607">
            <w:pPr>
              <w:pStyle w:val="naisf"/>
              <w:spacing w:before="0" w:after="0"/>
              <w:ind w:firstLine="0"/>
              <w:jc w:val="center"/>
              <w:rPr>
                <w:b/>
                <w:sz w:val="28"/>
                <w:szCs w:val="28"/>
              </w:rPr>
            </w:pPr>
            <w:r w:rsidRPr="00011092">
              <w:rPr>
                <w:b/>
                <w:sz w:val="28"/>
                <w:szCs w:val="28"/>
              </w:rPr>
              <w:t>n-tais gads</w:t>
            </w:r>
          </w:p>
        </w:tc>
        <w:tc>
          <w:tcPr>
            <w:tcW w:w="4085" w:type="dxa"/>
            <w:gridSpan w:val="3"/>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Turpmākie trīs gadi</w:t>
            </w:r>
            <w:r w:rsidR="009E12D7" w:rsidRPr="00011092">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011092">
                <w:rPr>
                  <w:sz w:val="28"/>
                  <w:szCs w:val="28"/>
                </w:rPr>
                <w:t>. latu</w:t>
              </w:r>
            </w:smartTag>
            <w:r w:rsidR="009E12D7" w:rsidRPr="00011092">
              <w:rPr>
                <w:sz w:val="28"/>
                <w:szCs w:val="28"/>
              </w:rPr>
              <w:t>)</w:t>
            </w:r>
          </w:p>
        </w:tc>
      </w:tr>
      <w:tr w:rsidR="00124F12" w:rsidRPr="00011092" w:rsidTr="00B63696">
        <w:trPr>
          <w:jc w:val="center"/>
        </w:trPr>
        <w:tc>
          <w:tcPr>
            <w:tcW w:w="3200" w:type="dxa"/>
            <w:vMerge/>
            <w:vAlign w:val="center"/>
          </w:tcPr>
          <w:p w:rsidR="00124F12" w:rsidRPr="00011092" w:rsidRDefault="00124F12" w:rsidP="006C4607">
            <w:pPr>
              <w:pStyle w:val="naisf"/>
              <w:spacing w:before="0" w:after="0"/>
              <w:ind w:firstLine="0"/>
              <w:jc w:val="center"/>
              <w:rPr>
                <w:b/>
                <w:i/>
                <w:sz w:val="28"/>
                <w:szCs w:val="28"/>
              </w:rPr>
            </w:pPr>
          </w:p>
        </w:tc>
        <w:tc>
          <w:tcPr>
            <w:tcW w:w="2690" w:type="dxa"/>
            <w:gridSpan w:val="2"/>
            <w:vMerge/>
            <w:vAlign w:val="center"/>
          </w:tcPr>
          <w:p w:rsidR="00124F12" w:rsidRPr="00011092" w:rsidRDefault="00124F12" w:rsidP="006C4607">
            <w:pPr>
              <w:pStyle w:val="naisf"/>
              <w:spacing w:before="0" w:after="0"/>
              <w:ind w:firstLine="0"/>
              <w:jc w:val="center"/>
              <w:rPr>
                <w:b/>
                <w:i/>
                <w:sz w:val="28"/>
                <w:szCs w:val="28"/>
              </w:rPr>
            </w:pPr>
          </w:p>
        </w:tc>
        <w:tc>
          <w:tcPr>
            <w:tcW w:w="1415" w:type="dxa"/>
            <w:vAlign w:val="center"/>
          </w:tcPr>
          <w:p w:rsidR="00124F12" w:rsidRPr="00011092" w:rsidRDefault="00124F12" w:rsidP="006C4607">
            <w:pPr>
              <w:pStyle w:val="naisf"/>
              <w:spacing w:before="0" w:after="0"/>
              <w:ind w:firstLine="0"/>
              <w:jc w:val="center"/>
              <w:rPr>
                <w:b/>
                <w:i/>
                <w:sz w:val="28"/>
                <w:szCs w:val="28"/>
              </w:rPr>
            </w:pPr>
            <w:r w:rsidRPr="00011092">
              <w:rPr>
                <w:b/>
                <w:bCs/>
                <w:sz w:val="28"/>
                <w:szCs w:val="28"/>
              </w:rPr>
              <w:t>n+1</w:t>
            </w:r>
          </w:p>
        </w:tc>
        <w:tc>
          <w:tcPr>
            <w:tcW w:w="1305" w:type="dxa"/>
            <w:vAlign w:val="center"/>
          </w:tcPr>
          <w:p w:rsidR="00124F12" w:rsidRPr="00011092" w:rsidRDefault="00124F12" w:rsidP="006C4607">
            <w:pPr>
              <w:pStyle w:val="naisf"/>
              <w:spacing w:before="0" w:after="0"/>
              <w:ind w:firstLine="0"/>
              <w:jc w:val="center"/>
              <w:rPr>
                <w:b/>
                <w:i/>
                <w:sz w:val="28"/>
                <w:szCs w:val="28"/>
              </w:rPr>
            </w:pPr>
            <w:r w:rsidRPr="00011092">
              <w:rPr>
                <w:b/>
                <w:bCs/>
                <w:sz w:val="28"/>
                <w:szCs w:val="28"/>
              </w:rPr>
              <w:t>n+2</w:t>
            </w:r>
          </w:p>
        </w:tc>
        <w:tc>
          <w:tcPr>
            <w:tcW w:w="1365" w:type="dxa"/>
            <w:vAlign w:val="center"/>
          </w:tcPr>
          <w:p w:rsidR="00124F12" w:rsidRPr="00011092" w:rsidRDefault="00124F12" w:rsidP="006C4607">
            <w:pPr>
              <w:pStyle w:val="naisf"/>
              <w:spacing w:before="0" w:after="0"/>
              <w:ind w:firstLine="0"/>
              <w:jc w:val="center"/>
              <w:rPr>
                <w:b/>
                <w:i/>
                <w:sz w:val="28"/>
                <w:szCs w:val="28"/>
              </w:rPr>
            </w:pPr>
            <w:r w:rsidRPr="00011092">
              <w:rPr>
                <w:b/>
                <w:bCs/>
                <w:sz w:val="28"/>
                <w:szCs w:val="28"/>
              </w:rPr>
              <w:t>n+3</w:t>
            </w:r>
          </w:p>
        </w:tc>
      </w:tr>
      <w:tr w:rsidR="00124F12" w:rsidRPr="00011092" w:rsidTr="00B63696">
        <w:trPr>
          <w:jc w:val="center"/>
        </w:trPr>
        <w:tc>
          <w:tcPr>
            <w:tcW w:w="3200" w:type="dxa"/>
            <w:vMerge/>
            <w:vAlign w:val="center"/>
          </w:tcPr>
          <w:p w:rsidR="00124F12" w:rsidRPr="00011092" w:rsidRDefault="00124F12" w:rsidP="006C4607">
            <w:pPr>
              <w:pStyle w:val="naisf"/>
              <w:spacing w:before="0" w:after="0"/>
              <w:ind w:firstLine="0"/>
              <w:jc w:val="center"/>
              <w:rPr>
                <w:b/>
                <w:i/>
                <w:sz w:val="28"/>
                <w:szCs w:val="28"/>
              </w:rPr>
            </w:pPr>
          </w:p>
        </w:tc>
        <w:tc>
          <w:tcPr>
            <w:tcW w:w="1240" w:type="dxa"/>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Saskaņā ar valsts budžetu kārtējam gadam</w:t>
            </w:r>
          </w:p>
        </w:tc>
        <w:tc>
          <w:tcPr>
            <w:tcW w:w="1450" w:type="dxa"/>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Izmaiņas kārtējā gadā</w:t>
            </w:r>
            <w:r w:rsidR="009E12D7" w:rsidRPr="00011092">
              <w:rPr>
                <w:sz w:val="28"/>
                <w:szCs w:val="28"/>
              </w:rPr>
              <w:t>,</w:t>
            </w:r>
            <w:r w:rsidRPr="00011092">
              <w:rPr>
                <w:sz w:val="28"/>
                <w:szCs w:val="28"/>
              </w:rPr>
              <w:t xml:space="preserve"> salīdzinot ar budžetu kārtējam gadam</w:t>
            </w:r>
          </w:p>
        </w:tc>
        <w:tc>
          <w:tcPr>
            <w:tcW w:w="1415" w:type="dxa"/>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Izmaiņas</w:t>
            </w:r>
            <w:r w:rsidR="00182C18" w:rsidRPr="00011092">
              <w:rPr>
                <w:sz w:val="28"/>
                <w:szCs w:val="28"/>
              </w:rPr>
              <w:t>,</w:t>
            </w:r>
            <w:r w:rsidRPr="00011092">
              <w:rPr>
                <w:sz w:val="28"/>
                <w:szCs w:val="28"/>
              </w:rPr>
              <w:t xml:space="preserve"> salīdzinot ar kārtējo (n) gadu</w:t>
            </w:r>
          </w:p>
        </w:tc>
        <w:tc>
          <w:tcPr>
            <w:tcW w:w="1305" w:type="dxa"/>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Izmaiņas</w:t>
            </w:r>
            <w:r w:rsidR="00182C18" w:rsidRPr="00011092">
              <w:rPr>
                <w:sz w:val="28"/>
                <w:szCs w:val="28"/>
              </w:rPr>
              <w:t>,</w:t>
            </w:r>
            <w:r w:rsidRPr="00011092">
              <w:rPr>
                <w:sz w:val="28"/>
                <w:szCs w:val="28"/>
              </w:rPr>
              <w:t xml:space="preserve"> salīdzinot ar kārtējo (n) gadu</w:t>
            </w:r>
          </w:p>
        </w:tc>
        <w:tc>
          <w:tcPr>
            <w:tcW w:w="1365" w:type="dxa"/>
            <w:vAlign w:val="center"/>
          </w:tcPr>
          <w:p w:rsidR="00124F12" w:rsidRPr="00011092" w:rsidRDefault="00124F12" w:rsidP="006C4607">
            <w:pPr>
              <w:pStyle w:val="naisf"/>
              <w:spacing w:before="0" w:after="0"/>
              <w:ind w:firstLine="0"/>
              <w:jc w:val="center"/>
              <w:rPr>
                <w:b/>
                <w:i/>
                <w:sz w:val="28"/>
                <w:szCs w:val="28"/>
              </w:rPr>
            </w:pPr>
            <w:r w:rsidRPr="00011092">
              <w:rPr>
                <w:sz w:val="28"/>
                <w:szCs w:val="28"/>
              </w:rPr>
              <w:t>Izmaiņas</w:t>
            </w:r>
            <w:r w:rsidR="00182C18" w:rsidRPr="00011092">
              <w:rPr>
                <w:sz w:val="28"/>
                <w:szCs w:val="28"/>
              </w:rPr>
              <w:t>,</w:t>
            </w:r>
            <w:r w:rsidRPr="00011092">
              <w:rPr>
                <w:sz w:val="28"/>
                <w:szCs w:val="28"/>
              </w:rPr>
              <w:t xml:space="preserve"> salīdzinot ar kārtējo (n) gadu</w:t>
            </w:r>
          </w:p>
        </w:tc>
      </w:tr>
      <w:tr w:rsidR="00124F12" w:rsidRPr="00011092" w:rsidTr="00B63696">
        <w:trPr>
          <w:jc w:val="center"/>
        </w:trPr>
        <w:tc>
          <w:tcPr>
            <w:tcW w:w="3200"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1</w:t>
            </w:r>
          </w:p>
        </w:tc>
        <w:tc>
          <w:tcPr>
            <w:tcW w:w="1240"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2</w:t>
            </w:r>
          </w:p>
        </w:tc>
        <w:tc>
          <w:tcPr>
            <w:tcW w:w="1450"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3</w:t>
            </w:r>
          </w:p>
        </w:tc>
        <w:tc>
          <w:tcPr>
            <w:tcW w:w="1415"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4</w:t>
            </w:r>
          </w:p>
        </w:tc>
        <w:tc>
          <w:tcPr>
            <w:tcW w:w="1305"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5</w:t>
            </w:r>
          </w:p>
        </w:tc>
        <w:tc>
          <w:tcPr>
            <w:tcW w:w="1365" w:type="dxa"/>
            <w:vAlign w:val="center"/>
          </w:tcPr>
          <w:p w:rsidR="00124F12" w:rsidRPr="00011092" w:rsidRDefault="00124F12" w:rsidP="006C4607">
            <w:pPr>
              <w:pStyle w:val="naisf"/>
              <w:spacing w:before="0" w:after="0"/>
              <w:ind w:firstLine="0"/>
              <w:jc w:val="center"/>
              <w:rPr>
                <w:bCs/>
                <w:sz w:val="28"/>
                <w:szCs w:val="28"/>
              </w:rPr>
            </w:pPr>
            <w:r w:rsidRPr="00011092">
              <w:rPr>
                <w:bCs/>
                <w:sz w:val="28"/>
                <w:szCs w:val="28"/>
              </w:rPr>
              <w:t>6</w:t>
            </w:r>
          </w:p>
        </w:tc>
      </w:tr>
      <w:tr w:rsidR="00124F12" w:rsidRPr="00011092" w:rsidTr="00B63696">
        <w:trPr>
          <w:jc w:val="center"/>
        </w:trPr>
        <w:tc>
          <w:tcPr>
            <w:tcW w:w="3200" w:type="dxa"/>
          </w:tcPr>
          <w:p w:rsidR="00124F12" w:rsidRPr="00011092" w:rsidRDefault="00124F12" w:rsidP="006C4607">
            <w:pPr>
              <w:pStyle w:val="naisf"/>
              <w:spacing w:before="0" w:after="0"/>
              <w:ind w:firstLine="0"/>
              <w:rPr>
                <w:i/>
                <w:sz w:val="28"/>
                <w:szCs w:val="28"/>
              </w:rPr>
            </w:pPr>
            <w:r w:rsidRPr="00011092">
              <w:rPr>
                <w:sz w:val="28"/>
                <w:szCs w:val="28"/>
              </w:rPr>
              <w:t>1. Budžeta ieņēmumi:</w:t>
            </w:r>
          </w:p>
        </w:tc>
        <w:tc>
          <w:tcPr>
            <w:tcW w:w="1240" w:type="dxa"/>
          </w:tcPr>
          <w:p w:rsidR="00124F12" w:rsidRPr="00011092" w:rsidRDefault="00124F12" w:rsidP="00AF3707">
            <w:pPr>
              <w:pStyle w:val="naisf"/>
              <w:spacing w:before="0" w:after="0"/>
              <w:ind w:firstLine="0"/>
              <w:jc w:val="center"/>
              <w:rPr>
                <w:sz w:val="28"/>
                <w:szCs w:val="28"/>
              </w:rPr>
            </w:pPr>
          </w:p>
        </w:tc>
        <w:tc>
          <w:tcPr>
            <w:tcW w:w="1450" w:type="dxa"/>
          </w:tcPr>
          <w:p w:rsidR="00124F12" w:rsidRPr="00011092" w:rsidRDefault="00124F12" w:rsidP="00AF3707">
            <w:pPr>
              <w:pStyle w:val="naisf"/>
              <w:spacing w:before="0" w:after="0"/>
              <w:ind w:firstLine="0"/>
              <w:jc w:val="center"/>
              <w:rPr>
                <w:sz w:val="28"/>
                <w:szCs w:val="28"/>
              </w:rPr>
            </w:pPr>
          </w:p>
        </w:tc>
        <w:tc>
          <w:tcPr>
            <w:tcW w:w="1415" w:type="dxa"/>
          </w:tcPr>
          <w:p w:rsidR="00124F12" w:rsidRPr="00011092" w:rsidRDefault="00124F12" w:rsidP="00AF3707">
            <w:pPr>
              <w:pStyle w:val="naisf"/>
              <w:spacing w:before="0" w:after="0"/>
              <w:ind w:firstLine="0"/>
              <w:jc w:val="center"/>
              <w:rPr>
                <w:sz w:val="28"/>
                <w:szCs w:val="28"/>
              </w:rPr>
            </w:pPr>
          </w:p>
        </w:tc>
        <w:tc>
          <w:tcPr>
            <w:tcW w:w="1305" w:type="dxa"/>
          </w:tcPr>
          <w:p w:rsidR="00124F12" w:rsidRPr="00011092" w:rsidRDefault="00124F12" w:rsidP="00AF3707">
            <w:pPr>
              <w:pStyle w:val="naisf"/>
              <w:spacing w:before="0" w:after="0"/>
              <w:ind w:firstLine="0"/>
              <w:jc w:val="center"/>
              <w:rPr>
                <w:sz w:val="28"/>
                <w:szCs w:val="28"/>
              </w:rPr>
            </w:pPr>
          </w:p>
        </w:tc>
        <w:tc>
          <w:tcPr>
            <w:tcW w:w="1365" w:type="dxa"/>
          </w:tcPr>
          <w:p w:rsidR="00124F12" w:rsidRPr="00011092" w:rsidRDefault="00124F12" w:rsidP="00AF3707">
            <w:pPr>
              <w:pStyle w:val="naisf"/>
              <w:spacing w:before="0" w:after="0"/>
              <w:ind w:firstLine="0"/>
              <w:jc w:val="center"/>
              <w:rPr>
                <w:sz w:val="28"/>
                <w:szCs w:val="28"/>
              </w:rPr>
            </w:pPr>
          </w:p>
        </w:tc>
      </w:tr>
      <w:tr w:rsidR="00124F12" w:rsidRPr="00011092" w:rsidTr="00B63696">
        <w:trPr>
          <w:jc w:val="center"/>
        </w:trPr>
        <w:tc>
          <w:tcPr>
            <w:tcW w:w="3200" w:type="dxa"/>
          </w:tcPr>
          <w:p w:rsidR="00124F12" w:rsidRPr="00011092" w:rsidRDefault="00124F12" w:rsidP="00B63696">
            <w:pPr>
              <w:pStyle w:val="naisf"/>
              <w:spacing w:before="0" w:after="0"/>
              <w:ind w:firstLine="0"/>
              <w:rPr>
                <w:i/>
                <w:sz w:val="28"/>
                <w:szCs w:val="28"/>
              </w:rPr>
            </w:pPr>
            <w:r w:rsidRPr="00011092">
              <w:rPr>
                <w:sz w:val="28"/>
                <w:szCs w:val="28"/>
              </w:rPr>
              <w:t>1.1. valsts pamatbudžets, tai skaitā ieņēmumi no maksas pakalpojumiem un citi pašu ieņēmumi</w:t>
            </w:r>
          </w:p>
        </w:tc>
        <w:tc>
          <w:tcPr>
            <w:tcW w:w="1240" w:type="dxa"/>
          </w:tcPr>
          <w:p w:rsidR="00124F12" w:rsidRPr="00011092" w:rsidRDefault="00011092" w:rsidP="00AF3707">
            <w:pPr>
              <w:pStyle w:val="naisf"/>
              <w:spacing w:before="0" w:after="0"/>
              <w:ind w:firstLine="0"/>
              <w:jc w:val="center"/>
              <w:rPr>
                <w:sz w:val="28"/>
                <w:szCs w:val="28"/>
              </w:rPr>
            </w:pPr>
            <w:r w:rsidRPr="00011092">
              <w:rPr>
                <w:sz w:val="28"/>
                <w:szCs w:val="28"/>
              </w:rPr>
              <w:t>99 837,4</w:t>
            </w:r>
          </w:p>
        </w:tc>
        <w:tc>
          <w:tcPr>
            <w:tcW w:w="1450" w:type="dxa"/>
          </w:tcPr>
          <w:p w:rsidR="00124F12" w:rsidRPr="00011092" w:rsidRDefault="002764D2" w:rsidP="00AF3707">
            <w:pPr>
              <w:pStyle w:val="naisf"/>
              <w:spacing w:before="0" w:after="0"/>
              <w:ind w:firstLine="0"/>
              <w:jc w:val="center"/>
              <w:rPr>
                <w:sz w:val="28"/>
                <w:szCs w:val="28"/>
              </w:rPr>
            </w:pPr>
            <w:r w:rsidRPr="00011092">
              <w:rPr>
                <w:sz w:val="28"/>
                <w:szCs w:val="28"/>
              </w:rPr>
              <w:t>-111,8</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pStyle w:val="naisf"/>
              <w:spacing w:before="0" w:after="0"/>
              <w:ind w:firstLine="0"/>
              <w:rPr>
                <w:i/>
                <w:sz w:val="28"/>
                <w:szCs w:val="28"/>
              </w:rPr>
            </w:pPr>
            <w:r w:rsidRPr="00011092">
              <w:rPr>
                <w:sz w:val="28"/>
                <w:szCs w:val="28"/>
              </w:rPr>
              <w:t>1.2. valsts speciālais budžets</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pStyle w:val="naisf"/>
              <w:spacing w:before="0" w:after="0"/>
              <w:ind w:firstLine="0"/>
              <w:rPr>
                <w:i/>
                <w:sz w:val="28"/>
                <w:szCs w:val="28"/>
              </w:rPr>
            </w:pPr>
            <w:r w:rsidRPr="00011092">
              <w:rPr>
                <w:sz w:val="28"/>
                <w:szCs w:val="28"/>
              </w:rPr>
              <w:t>1.3. pašvaldību budžets</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2. Budžeta izdevumi:</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5060A1" w:rsidP="006C4607">
            <w:pPr>
              <w:jc w:val="both"/>
              <w:rPr>
                <w:sz w:val="28"/>
                <w:szCs w:val="28"/>
              </w:rPr>
            </w:pPr>
            <w:r w:rsidRPr="00011092">
              <w:rPr>
                <w:sz w:val="28"/>
                <w:szCs w:val="28"/>
              </w:rPr>
              <w:t>2.1. valsts pamatbudžets</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5060A1" w:rsidP="006C4607">
            <w:pPr>
              <w:jc w:val="both"/>
              <w:rPr>
                <w:sz w:val="28"/>
                <w:szCs w:val="28"/>
              </w:rPr>
            </w:pPr>
            <w:r w:rsidRPr="00011092">
              <w:rPr>
                <w:sz w:val="28"/>
                <w:szCs w:val="28"/>
              </w:rPr>
              <w:lastRenderedPageBreak/>
              <w:t>2.2.</w:t>
            </w:r>
            <w:r w:rsidR="00D00059" w:rsidRPr="00011092">
              <w:rPr>
                <w:sz w:val="28"/>
                <w:szCs w:val="28"/>
              </w:rPr>
              <w:t xml:space="preserve"> </w:t>
            </w:r>
            <w:r w:rsidRPr="00011092">
              <w:rPr>
                <w:sz w:val="28"/>
                <w:szCs w:val="28"/>
              </w:rPr>
              <w:t>valsts speciālais budžets</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 xml:space="preserve">2.3. pašvaldību budžets </w:t>
            </w:r>
          </w:p>
        </w:tc>
        <w:tc>
          <w:tcPr>
            <w:tcW w:w="124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3. Finansiālā ietekme:</w:t>
            </w:r>
          </w:p>
        </w:tc>
        <w:tc>
          <w:tcPr>
            <w:tcW w:w="1240" w:type="dxa"/>
            <w:shd w:val="clear" w:color="auto" w:fill="auto"/>
            <w:vAlign w:val="center"/>
          </w:tcPr>
          <w:p w:rsidR="00124F12" w:rsidRPr="00011092" w:rsidRDefault="00124F12" w:rsidP="00AF3707">
            <w:pPr>
              <w:pStyle w:val="naisf"/>
              <w:spacing w:before="0" w:after="0"/>
              <w:ind w:firstLine="0"/>
              <w:jc w:val="center"/>
              <w:rPr>
                <w:sz w:val="28"/>
                <w:szCs w:val="28"/>
              </w:rPr>
            </w:pPr>
          </w:p>
        </w:tc>
        <w:tc>
          <w:tcPr>
            <w:tcW w:w="1450" w:type="dxa"/>
          </w:tcPr>
          <w:p w:rsidR="00124F12" w:rsidRPr="00011092" w:rsidRDefault="00124F12" w:rsidP="00AF3707">
            <w:pPr>
              <w:pStyle w:val="naisf"/>
              <w:spacing w:before="0" w:after="0"/>
              <w:ind w:firstLine="0"/>
              <w:jc w:val="center"/>
              <w:rPr>
                <w:sz w:val="28"/>
                <w:szCs w:val="28"/>
              </w:rPr>
            </w:pPr>
          </w:p>
        </w:tc>
        <w:tc>
          <w:tcPr>
            <w:tcW w:w="1415" w:type="dxa"/>
          </w:tcPr>
          <w:p w:rsidR="00124F12" w:rsidRPr="00011092" w:rsidRDefault="00124F12" w:rsidP="00AF3707">
            <w:pPr>
              <w:pStyle w:val="naisf"/>
              <w:spacing w:before="0" w:after="0"/>
              <w:ind w:firstLine="0"/>
              <w:jc w:val="center"/>
              <w:rPr>
                <w:sz w:val="28"/>
                <w:szCs w:val="28"/>
              </w:rPr>
            </w:pPr>
          </w:p>
        </w:tc>
        <w:tc>
          <w:tcPr>
            <w:tcW w:w="1305" w:type="dxa"/>
          </w:tcPr>
          <w:p w:rsidR="00124F12" w:rsidRPr="00011092" w:rsidRDefault="00124F12" w:rsidP="00AF3707">
            <w:pPr>
              <w:pStyle w:val="naisf"/>
              <w:spacing w:before="0" w:after="0"/>
              <w:ind w:firstLine="0"/>
              <w:jc w:val="center"/>
              <w:rPr>
                <w:sz w:val="28"/>
                <w:szCs w:val="28"/>
              </w:rPr>
            </w:pPr>
          </w:p>
        </w:tc>
        <w:tc>
          <w:tcPr>
            <w:tcW w:w="1365" w:type="dxa"/>
          </w:tcPr>
          <w:p w:rsidR="00124F12" w:rsidRPr="00011092" w:rsidRDefault="00124F12" w:rsidP="00AF3707">
            <w:pPr>
              <w:pStyle w:val="naisf"/>
              <w:spacing w:before="0" w:after="0"/>
              <w:ind w:firstLine="0"/>
              <w:jc w:val="center"/>
              <w:rPr>
                <w:sz w:val="28"/>
                <w:szCs w:val="28"/>
              </w:rPr>
            </w:pP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3.1. valsts pamatbud</w:t>
            </w:r>
            <w:r w:rsidR="005060A1" w:rsidRPr="00011092">
              <w:rPr>
                <w:sz w:val="28"/>
                <w:szCs w:val="28"/>
              </w:rPr>
              <w:t>žets</w:t>
            </w:r>
          </w:p>
        </w:tc>
        <w:tc>
          <w:tcPr>
            <w:tcW w:w="1240" w:type="dxa"/>
            <w:shd w:val="clear" w:color="auto" w:fill="auto"/>
          </w:tcPr>
          <w:p w:rsidR="00124F12" w:rsidRPr="00011092" w:rsidRDefault="00011092" w:rsidP="00AF3707">
            <w:pPr>
              <w:pStyle w:val="naisf"/>
              <w:spacing w:before="0" w:after="0"/>
              <w:ind w:firstLine="0"/>
              <w:jc w:val="center"/>
              <w:rPr>
                <w:sz w:val="28"/>
                <w:szCs w:val="28"/>
              </w:rPr>
            </w:pPr>
            <w:r w:rsidRPr="00011092">
              <w:rPr>
                <w:sz w:val="28"/>
                <w:szCs w:val="28"/>
              </w:rPr>
              <w:t>99 837,4</w:t>
            </w:r>
          </w:p>
        </w:tc>
        <w:tc>
          <w:tcPr>
            <w:tcW w:w="1450" w:type="dxa"/>
          </w:tcPr>
          <w:p w:rsidR="00124F12" w:rsidRPr="00011092" w:rsidRDefault="002764D2" w:rsidP="00AF3707">
            <w:pPr>
              <w:pStyle w:val="naisf"/>
              <w:spacing w:before="0" w:after="0"/>
              <w:ind w:firstLine="0"/>
              <w:jc w:val="center"/>
              <w:rPr>
                <w:sz w:val="28"/>
                <w:szCs w:val="28"/>
              </w:rPr>
            </w:pPr>
            <w:r w:rsidRPr="00011092">
              <w:rPr>
                <w:sz w:val="28"/>
                <w:szCs w:val="28"/>
              </w:rPr>
              <w:t>-111,8</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5060A1" w:rsidP="006C4607">
            <w:pPr>
              <w:jc w:val="both"/>
              <w:rPr>
                <w:sz w:val="28"/>
                <w:szCs w:val="28"/>
              </w:rPr>
            </w:pPr>
            <w:r w:rsidRPr="00011092">
              <w:rPr>
                <w:sz w:val="28"/>
                <w:szCs w:val="28"/>
              </w:rPr>
              <w:t>3.2. speciālais budžets</w:t>
            </w:r>
          </w:p>
        </w:tc>
        <w:tc>
          <w:tcPr>
            <w:tcW w:w="1240" w:type="dxa"/>
            <w:shd w:val="clear" w:color="auto" w:fill="auto"/>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124F12" w:rsidP="00AF3707">
            <w:pPr>
              <w:pStyle w:val="naisf"/>
              <w:spacing w:before="0" w:after="0"/>
              <w:ind w:firstLine="0"/>
              <w:jc w:val="center"/>
              <w:rPr>
                <w:sz w:val="28"/>
                <w:szCs w:val="28"/>
              </w:rPr>
            </w:pP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 xml:space="preserve">3.3. pašvaldību budžets </w:t>
            </w:r>
          </w:p>
        </w:tc>
        <w:tc>
          <w:tcPr>
            <w:tcW w:w="1240" w:type="dxa"/>
            <w:shd w:val="clear" w:color="auto" w:fill="auto"/>
          </w:tcPr>
          <w:p w:rsidR="00124F12" w:rsidRPr="00011092" w:rsidRDefault="00011092" w:rsidP="00AF3707">
            <w:pPr>
              <w:pStyle w:val="naisf"/>
              <w:spacing w:before="0" w:after="0"/>
              <w:ind w:firstLine="0"/>
              <w:jc w:val="center"/>
              <w:rPr>
                <w:sz w:val="28"/>
                <w:szCs w:val="28"/>
              </w:rPr>
            </w:pPr>
            <w:r w:rsidRPr="00011092">
              <w:rPr>
                <w:sz w:val="28"/>
                <w:szCs w:val="28"/>
              </w:rPr>
              <w:t>0</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011092"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124F12" w:rsidP="00AF3707">
            <w:pPr>
              <w:pStyle w:val="naisf"/>
              <w:spacing w:before="0" w:after="0"/>
              <w:ind w:firstLine="0"/>
              <w:jc w:val="center"/>
              <w:rPr>
                <w:sz w:val="28"/>
                <w:szCs w:val="28"/>
              </w:rPr>
            </w:pPr>
          </w:p>
        </w:tc>
      </w:tr>
      <w:tr w:rsidR="008B5FDB" w:rsidRPr="00011092" w:rsidTr="00B63696">
        <w:trPr>
          <w:jc w:val="center"/>
        </w:trPr>
        <w:tc>
          <w:tcPr>
            <w:tcW w:w="3200" w:type="dxa"/>
            <w:vMerge w:val="restart"/>
          </w:tcPr>
          <w:p w:rsidR="008B5FDB" w:rsidRPr="00011092" w:rsidRDefault="008B5FDB" w:rsidP="006C4607">
            <w:pPr>
              <w:jc w:val="both"/>
              <w:rPr>
                <w:sz w:val="28"/>
                <w:szCs w:val="28"/>
              </w:rPr>
            </w:pPr>
            <w:r w:rsidRPr="00011092">
              <w:rPr>
                <w:sz w:val="28"/>
                <w:szCs w:val="28"/>
              </w:rPr>
              <w:t>4. Finanšu līdzekļi papildu izde</w:t>
            </w:r>
            <w:r w:rsidR="009E12D7" w:rsidRPr="00011092">
              <w:rPr>
                <w:sz w:val="28"/>
                <w:szCs w:val="28"/>
              </w:rPr>
              <w:softHyphen/>
            </w:r>
            <w:r w:rsidRPr="00011092">
              <w:rPr>
                <w:sz w:val="28"/>
                <w:szCs w:val="28"/>
              </w:rPr>
              <w:t>vumu finansēšanai (kompensēj</w:t>
            </w:r>
            <w:r w:rsidR="009E12D7" w:rsidRPr="00011092">
              <w:rPr>
                <w:sz w:val="28"/>
                <w:szCs w:val="28"/>
              </w:rPr>
              <w:t>o</w:t>
            </w:r>
            <w:r w:rsidRPr="00011092">
              <w:rPr>
                <w:sz w:val="28"/>
                <w:szCs w:val="28"/>
              </w:rPr>
              <w:t xml:space="preserve">šu izdevumu samazinājumu norāda ar </w:t>
            </w:r>
            <w:r w:rsidR="003C449B" w:rsidRPr="00011092">
              <w:rPr>
                <w:sz w:val="28"/>
                <w:szCs w:val="28"/>
              </w:rPr>
              <w:t>"</w:t>
            </w:r>
            <w:r w:rsidRPr="00011092">
              <w:rPr>
                <w:sz w:val="28"/>
                <w:szCs w:val="28"/>
              </w:rPr>
              <w:t>+</w:t>
            </w:r>
            <w:r w:rsidR="003C449B" w:rsidRPr="00011092">
              <w:rPr>
                <w:sz w:val="28"/>
                <w:szCs w:val="28"/>
              </w:rPr>
              <w:t>"</w:t>
            </w:r>
            <w:r w:rsidRPr="00011092">
              <w:rPr>
                <w:sz w:val="28"/>
                <w:szCs w:val="28"/>
              </w:rPr>
              <w:t xml:space="preserve"> zīmi)</w:t>
            </w:r>
          </w:p>
        </w:tc>
        <w:tc>
          <w:tcPr>
            <w:tcW w:w="1240" w:type="dxa"/>
            <w:vMerge w:val="restart"/>
          </w:tcPr>
          <w:p w:rsidR="008B5FDB" w:rsidRPr="00011092" w:rsidRDefault="008B5FDB" w:rsidP="00AF3707">
            <w:pPr>
              <w:pStyle w:val="naisf"/>
              <w:spacing w:before="0" w:after="0"/>
              <w:ind w:firstLine="0"/>
              <w:jc w:val="center"/>
              <w:rPr>
                <w:sz w:val="28"/>
                <w:szCs w:val="28"/>
              </w:rPr>
            </w:pPr>
            <w:r w:rsidRPr="00011092">
              <w:rPr>
                <w:sz w:val="28"/>
                <w:szCs w:val="28"/>
              </w:rPr>
              <w:t>X</w:t>
            </w:r>
          </w:p>
        </w:tc>
        <w:tc>
          <w:tcPr>
            <w:tcW w:w="1450"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r>
      <w:tr w:rsidR="008B5FDB" w:rsidRPr="00011092" w:rsidTr="00B63696">
        <w:trPr>
          <w:jc w:val="center"/>
        </w:trPr>
        <w:tc>
          <w:tcPr>
            <w:tcW w:w="3200" w:type="dxa"/>
            <w:vMerge/>
          </w:tcPr>
          <w:p w:rsidR="008B5FDB" w:rsidRPr="00011092" w:rsidRDefault="008B5FDB" w:rsidP="006C4607">
            <w:pPr>
              <w:jc w:val="both"/>
              <w:rPr>
                <w:sz w:val="28"/>
                <w:szCs w:val="28"/>
              </w:rPr>
            </w:pPr>
          </w:p>
        </w:tc>
        <w:tc>
          <w:tcPr>
            <w:tcW w:w="1240" w:type="dxa"/>
            <w:vMerge/>
          </w:tcPr>
          <w:p w:rsidR="008B5FDB" w:rsidRPr="00011092" w:rsidRDefault="008B5FDB" w:rsidP="00AF3707">
            <w:pPr>
              <w:pStyle w:val="naisf"/>
              <w:spacing w:before="0" w:after="0"/>
              <w:ind w:firstLine="0"/>
              <w:jc w:val="center"/>
              <w:rPr>
                <w:sz w:val="28"/>
                <w:szCs w:val="28"/>
              </w:rPr>
            </w:pPr>
          </w:p>
        </w:tc>
        <w:tc>
          <w:tcPr>
            <w:tcW w:w="1450"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r>
      <w:tr w:rsidR="008B5FDB" w:rsidRPr="00011092" w:rsidTr="00B63696">
        <w:trPr>
          <w:jc w:val="center"/>
        </w:trPr>
        <w:tc>
          <w:tcPr>
            <w:tcW w:w="3200" w:type="dxa"/>
            <w:vMerge/>
          </w:tcPr>
          <w:p w:rsidR="008B5FDB" w:rsidRPr="00011092" w:rsidRDefault="008B5FDB" w:rsidP="006C4607">
            <w:pPr>
              <w:jc w:val="both"/>
              <w:rPr>
                <w:sz w:val="28"/>
                <w:szCs w:val="28"/>
              </w:rPr>
            </w:pPr>
          </w:p>
        </w:tc>
        <w:tc>
          <w:tcPr>
            <w:tcW w:w="1240" w:type="dxa"/>
            <w:vMerge/>
          </w:tcPr>
          <w:p w:rsidR="008B5FDB" w:rsidRPr="00011092" w:rsidRDefault="008B5FDB" w:rsidP="00AF3707">
            <w:pPr>
              <w:pStyle w:val="naisf"/>
              <w:spacing w:before="0" w:after="0"/>
              <w:ind w:firstLine="0"/>
              <w:jc w:val="center"/>
              <w:rPr>
                <w:sz w:val="28"/>
                <w:szCs w:val="28"/>
              </w:rPr>
            </w:pPr>
          </w:p>
        </w:tc>
        <w:tc>
          <w:tcPr>
            <w:tcW w:w="1450"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8B5FDB"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5. Precizēta finansiālā ietekme:</w:t>
            </w:r>
          </w:p>
        </w:tc>
        <w:tc>
          <w:tcPr>
            <w:tcW w:w="1240" w:type="dxa"/>
            <w:vMerge w:val="restart"/>
          </w:tcPr>
          <w:p w:rsidR="00124F12" w:rsidRPr="00011092" w:rsidRDefault="00124F12" w:rsidP="00AF3707">
            <w:pPr>
              <w:pStyle w:val="naisf"/>
              <w:spacing w:before="0" w:after="0"/>
              <w:ind w:firstLine="0"/>
              <w:jc w:val="center"/>
              <w:rPr>
                <w:sz w:val="28"/>
                <w:szCs w:val="28"/>
              </w:rPr>
            </w:pPr>
            <w:r w:rsidRPr="00011092">
              <w:rPr>
                <w:sz w:val="28"/>
                <w:szCs w:val="28"/>
              </w:rPr>
              <w:t>X</w:t>
            </w: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5.1. valsts pa</w:t>
            </w:r>
            <w:r w:rsidR="005060A1" w:rsidRPr="00011092">
              <w:rPr>
                <w:sz w:val="28"/>
                <w:szCs w:val="28"/>
              </w:rPr>
              <w:t>matbudžets</w:t>
            </w:r>
          </w:p>
        </w:tc>
        <w:tc>
          <w:tcPr>
            <w:tcW w:w="1240" w:type="dxa"/>
            <w:vMerge/>
            <w:vAlign w:val="center"/>
          </w:tcPr>
          <w:p w:rsidR="00124F12" w:rsidRPr="00011092" w:rsidRDefault="00124F12" w:rsidP="00AF3707">
            <w:pPr>
              <w:pStyle w:val="naisf"/>
              <w:spacing w:before="0" w:after="0"/>
              <w:ind w:firstLine="0"/>
              <w:jc w:val="center"/>
              <w:rPr>
                <w:sz w:val="28"/>
                <w:szCs w:val="28"/>
              </w:rPr>
            </w:pP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5060A1" w:rsidP="006C4607">
            <w:pPr>
              <w:jc w:val="both"/>
              <w:rPr>
                <w:sz w:val="28"/>
                <w:szCs w:val="28"/>
              </w:rPr>
            </w:pPr>
            <w:r w:rsidRPr="00011092">
              <w:rPr>
                <w:sz w:val="28"/>
                <w:szCs w:val="28"/>
              </w:rPr>
              <w:t>5.2. speciālais budžets</w:t>
            </w:r>
          </w:p>
        </w:tc>
        <w:tc>
          <w:tcPr>
            <w:tcW w:w="1240" w:type="dxa"/>
            <w:vMerge/>
            <w:vAlign w:val="center"/>
          </w:tcPr>
          <w:p w:rsidR="00124F12" w:rsidRPr="00011092" w:rsidRDefault="00124F12" w:rsidP="00AF3707">
            <w:pPr>
              <w:pStyle w:val="naisf"/>
              <w:spacing w:before="0" w:after="0"/>
              <w:ind w:firstLine="0"/>
              <w:jc w:val="center"/>
              <w:rPr>
                <w:sz w:val="28"/>
                <w:szCs w:val="28"/>
              </w:rPr>
            </w:pP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 xml:space="preserve">5.3. pašvaldību budžets </w:t>
            </w:r>
          </w:p>
        </w:tc>
        <w:tc>
          <w:tcPr>
            <w:tcW w:w="1240" w:type="dxa"/>
            <w:vMerge/>
            <w:vAlign w:val="center"/>
          </w:tcPr>
          <w:p w:rsidR="00124F12" w:rsidRPr="00011092" w:rsidRDefault="00124F12" w:rsidP="00AF3707">
            <w:pPr>
              <w:pStyle w:val="naisf"/>
              <w:spacing w:before="0" w:after="0"/>
              <w:ind w:firstLine="0"/>
              <w:jc w:val="center"/>
              <w:rPr>
                <w:sz w:val="28"/>
                <w:szCs w:val="28"/>
              </w:rPr>
            </w:pPr>
          </w:p>
        </w:tc>
        <w:tc>
          <w:tcPr>
            <w:tcW w:w="1450"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41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0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c>
          <w:tcPr>
            <w:tcW w:w="1365" w:type="dxa"/>
          </w:tcPr>
          <w:p w:rsidR="00124F12" w:rsidRPr="00011092" w:rsidRDefault="00AF3707" w:rsidP="00AF3707">
            <w:pPr>
              <w:pStyle w:val="naisf"/>
              <w:spacing w:before="0" w:after="0"/>
              <w:ind w:firstLine="0"/>
              <w:jc w:val="center"/>
              <w:rPr>
                <w:sz w:val="28"/>
                <w:szCs w:val="28"/>
              </w:rPr>
            </w:pPr>
            <w:r w:rsidRPr="00011092">
              <w:rPr>
                <w:sz w:val="28"/>
                <w:szCs w:val="28"/>
              </w:rPr>
              <w:t>0</w:t>
            </w:r>
          </w:p>
        </w:tc>
      </w:tr>
      <w:tr w:rsidR="0095334F" w:rsidRPr="00011092" w:rsidTr="00B63696">
        <w:trPr>
          <w:jc w:val="center"/>
        </w:trPr>
        <w:tc>
          <w:tcPr>
            <w:tcW w:w="3200" w:type="dxa"/>
          </w:tcPr>
          <w:p w:rsidR="0095334F" w:rsidRPr="00011092" w:rsidRDefault="0095334F" w:rsidP="006C4607">
            <w:pPr>
              <w:jc w:val="both"/>
              <w:rPr>
                <w:sz w:val="28"/>
                <w:szCs w:val="28"/>
              </w:rPr>
            </w:pPr>
            <w:r w:rsidRPr="00011092">
              <w:rPr>
                <w:sz w:val="28"/>
                <w:szCs w:val="28"/>
              </w:rPr>
              <w:t>6.</w:t>
            </w:r>
            <w:r w:rsidR="00F5139D" w:rsidRPr="00011092">
              <w:rPr>
                <w:sz w:val="28"/>
                <w:szCs w:val="28"/>
              </w:rPr>
              <w:t> </w:t>
            </w:r>
            <w:r w:rsidRPr="00011092">
              <w:rPr>
                <w:sz w:val="28"/>
                <w:szCs w:val="28"/>
              </w:rPr>
              <w:t>Detalizēts ieņēmumu un izdevu</w:t>
            </w:r>
            <w:r w:rsidR="009E12D7" w:rsidRPr="00011092">
              <w:rPr>
                <w:sz w:val="28"/>
                <w:szCs w:val="28"/>
              </w:rPr>
              <w:softHyphen/>
            </w:r>
            <w:r w:rsidRPr="00011092">
              <w:rPr>
                <w:sz w:val="28"/>
                <w:szCs w:val="28"/>
              </w:rPr>
              <w:t>mu aprēķins (ja nepieciešams, detalizētu ieņēmumu un izdevumu aprēķinu var pievienot anotācijas pielikumā):</w:t>
            </w:r>
          </w:p>
        </w:tc>
        <w:tc>
          <w:tcPr>
            <w:tcW w:w="6775" w:type="dxa"/>
            <w:gridSpan w:val="5"/>
            <w:vMerge w:val="restart"/>
            <w:vAlign w:val="center"/>
          </w:tcPr>
          <w:p w:rsidR="0095334F" w:rsidRPr="00011092" w:rsidRDefault="002764D2" w:rsidP="006C4607">
            <w:pPr>
              <w:pStyle w:val="naisf"/>
              <w:spacing w:before="0" w:after="0"/>
              <w:ind w:firstLine="0"/>
              <w:rPr>
                <w:b/>
                <w:i/>
                <w:sz w:val="28"/>
                <w:szCs w:val="28"/>
              </w:rPr>
            </w:pPr>
            <w:r w:rsidRPr="00011092">
              <w:rPr>
                <w:sz w:val="28"/>
                <w:szCs w:val="28"/>
              </w:rPr>
              <w:t>Projekts šo jomu neskar.</w:t>
            </w:r>
          </w:p>
        </w:tc>
      </w:tr>
      <w:tr w:rsidR="0095334F" w:rsidRPr="00011092" w:rsidTr="00B63696">
        <w:trPr>
          <w:jc w:val="center"/>
        </w:trPr>
        <w:tc>
          <w:tcPr>
            <w:tcW w:w="3200" w:type="dxa"/>
          </w:tcPr>
          <w:p w:rsidR="0095334F" w:rsidRPr="00011092" w:rsidRDefault="0095334F" w:rsidP="006C4607">
            <w:pPr>
              <w:jc w:val="both"/>
              <w:rPr>
                <w:sz w:val="28"/>
                <w:szCs w:val="28"/>
              </w:rPr>
            </w:pPr>
            <w:r w:rsidRPr="00011092">
              <w:rPr>
                <w:sz w:val="28"/>
                <w:szCs w:val="28"/>
              </w:rPr>
              <w:t>6.1.</w:t>
            </w:r>
            <w:r w:rsidR="00F5139D" w:rsidRPr="00011092">
              <w:rPr>
                <w:sz w:val="28"/>
                <w:szCs w:val="28"/>
              </w:rPr>
              <w:t> </w:t>
            </w:r>
            <w:r w:rsidR="00D00059" w:rsidRPr="00011092">
              <w:rPr>
                <w:sz w:val="28"/>
                <w:szCs w:val="28"/>
              </w:rPr>
              <w:t>d</w:t>
            </w:r>
            <w:r w:rsidRPr="00011092">
              <w:rPr>
                <w:sz w:val="28"/>
                <w:szCs w:val="28"/>
              </w:rPr>
              <w:t>etalizēts ieņēmumu aprēķins</w:t>
            </w:r>
          </w:p>
        </w:tc>
        <w:tc>
          <w:tcPr>
            <w:tcW w:w="6775" w:type="dxa"/>
            <w:gridSpan w:val="5"/>
            <w:vMerge/>
          </w:tcPr>
          <w:p w:rsidR="0095334F" w:rsidRPr="00011092" w:rsidRDefault="0095334F" w:rsidP="006C4607">
            <w:pPr>
              <w:pStyle w:val="naisf"/>
              <w:spacing w:before="0" w:after="0"/>
              <w:ind w:firstLine="0"/>
              <w:rPr>
                <w:b/>
                <w:i/>
                <w:sz w:val="28"/>
                <w:szCs w:val="28"/>
              </w:rPr>
            </w:pPr>
          </w:p>
        </w:tc>
      </w:tr>
      <w:tr w:rsidR="0095334F" w:rsidRPr="00011092" w:rsidTr="00B63696">
        <w:trPr>
          <w:jc w:val="center"/>
        </w:trPr>
        <w:tc>
          <w:tcPr>
            <w:tcW w:w="3200" w:type="dxa"/>
          </w:tcPr>
          <w:p w:rsidR="0095334F" w:rsidRPr="00011092" w:rsidRDefault="0095334F" w:rsidP="006C4607">
            <w:pPr>
              <w:jc w:val="both"/>
              <w:rPr>
                <w:sz w:val="28"/>
                <w:szCs w:val="28"/>
              </w:rPr>
            </w:pPr>
            <w:r w:rsidRPr="00011092">
              <w:rPr>
                <w:sz w:val="28"/>
                <w:szCs w:val="28"/>
              </w:rPr>
              <w:t xml:space="preserve">6.2. </w:t>
            </w:r>
            <w:r w:rsidR="00D00059" w:rsidRPr="00011092">
              <w:rPr>
                <w:sz w:val="28"/>
                <w:szCs w:val="28"/>
              </w:rPr>
              <w:t>d</w:t>
            </w:r>
            <w:r w:rsidRPr="00011092">
              <w:rPr>
                <w:sz w:val="28"/>
                <w:szCs w:val="28"/>
              </w:rPr>
              <w:t>etalizēts izdevumu aprēķins</w:t>
            </w:r>
          </w:p>
        </w:tc>
        <w:tc>
          <w:tcPr>
            <w:tcW w:w="6775" w:type="dxa"/>
            <w:gridSpan w:val="5"/>
            <w:vMerge/>
          </w:tcPr>
          <w:p w:rsidR="0095334F" w:rsidRPr="00011092" w:rsidRDefault="0095334F" w:rsidP="006C4607">
            <w:pPr>
              <w:pStyle w:val="naisf"/>
              <w:spacing w:before="0" w:after="0"/>
              <w:ind w:firstLine="0"/>
              <w:rPr>
                <w:b/>
                <w:i/>
                <w:sz w:val="28"/>
                <w:szCs w:val="28"/>
              </w:rPr>
            </w:pPr>
          </w:p>
        </w:tc>
      </w:tr>
      <w:tr w:rsidR="00124F12" w:rsidRPr="00011092" w:rsidTr="00B63696">
        <w:trPr>
          <w:jc w:val="center"/>
        </w:trPr>
        <w:tc>
          <w:tcPr>
            <w:tcW w:w="3200" w:type="dxa"/>
          </w:tcPr>
          <w:p w:rsidR="00124F12" w:rsidRPr="00011092" w:rsidRDefault="00124F12" w:rsidP="006C4607">
            <w:pPr>
              <w:jc w:val="both"/>
              <w:rPr>
                <w:sz w:val="28"/>
                <w:szCs w:val="28"/>
              </w:rPr>
            </w:pPr>
            <w:r w:rsidRPr="00011092">
              <w:rPr>
                <w:sz w:val="28"/>
                <w:szCs w:val="28"/>
              </w:rPr>
              <w:t>7. Cita informācija</w:t>
            </w:r>
          </w:p>
        </w:tc>
        <w:tc>
          <w:tcPr>
            <w:tcW w:w="6775" w:type="dxa"/>
            <w:gridSpan w:val="5"/>
          </w:tcPr>
          <w:p w:rsidR="00124F12" w:rsidRPr="00011092" w:rsidRDefault="00124F12" w:rsidP="002764D2">
            <w:pPr>
              <w:pStyle w:val="naisf"/>
              <w:tabs>
                <w:tab w:val="left" w:pos="4644"/>
              </w:tabs>
              <w:spacing w:before="0" w:after="0"/>
              <w:ind w:firstLine="0"/>
              <w:rPr>
                <w:b/>
                <w:i/>
                <w:sz w:val="28"/>
                <w:szCs w:val="28"/>
              </w:rPr>
            </w:pPr>
            <w:r w:rsidRPr="00011092">
              <w:rPr>
                <w:sz w:val="28"/>
                <w:szCs w:val="28"/>
              </w:rPr>
              <w:t>Nav</w:t>
            </w:r>
          </w:p>
        </w:tc>
      </w:tr>
    </w:tbl>
    <w:p w:rsidR="0015060C" w:rsidRPr="00011092" w:rsidRDefault="0015060C" w:rsidP="006C4607">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3686"/>
        <w:gridCol w:w="5812"/>
      </w:tblGrid>
      <w:tr w:rsidR="0023436E" w:rsidRPr="00011092" w:rsidTr="00B63696">
        <w:tc>
          <w:tcPr>
            <w:tcW w:w="9924" w:type="dxa"/>
            <w:gridSpan w:val="3"/>
            <w:tcBorders>
              <w:top w:val="single" w:sz="4" w:space="0" w:color="auto"/>
            </w:tcBorders>
          </w:tcPr>
          <w:p w:rsidR="0023436E" w:rsidRPr="00011092" w:rsidRDefault="0023436E" w:rsidP="007D099D">
            <w:pPr>
              <w:pStyle w:val="naisnod"/>
              <w:spacing w:before="0" w:after="0"/>
              <w:ind w:left="57" w:right="57"/>
              <w:rPr>
                <w:sz w:val="28"/>
                <w:szCs w:val="28"/>
              </w:rPr>
            </w:pPr>
            <w:r w:rsidRPr="00011092">
              <w:rPr>
                <w:sz w:val="28"/>
                <w:szCs w:val="28"/>
              </w:rPr>
              <w:t>VII</w:t>
            </w:r>
            <w:r w:rsidR="000941C5" w:rsidRPr="00011092">
              <w:rPr>
                <w:sz w:val="28"/>
                <w:szCs w:val="28"/>
              </w:rPr>
              <w:t>.</w:t>
            </w:r>
            <w:r w:rsidRPr="00011092">
              <w:rPr>
                <w:sz w:val="28"/>
                <w:szCs w:val="28"/>
              </w:rPr>
              <w:t xml:space="preserve"> Tiesību akta projekta izpildes nodrošināšana un tās ietekme uz institūcijām</w:t>
            </w:r>
          </w:p>
        </w:tc>
      </w:tr>
      <w:tr w:rsidR="0023436E" w:rsidRPr="00011092" w:rsidTr="00B63696">
        <w:trPr>
          <w:trHeight w:val="427"/>
        </w:trPr>
        <w:tc>
          <w:tcPr>
            <w:tcW w:w="426" w:type="dxa"/>
          </w:tcPr>
          <w:p w:rsidR="0023436E" w:rsidRPr="00011092" w:rsidRDefault="0023436E" w:rsidP="007D099D">
            <w:pPr>
              <w:pStyle w:val="naisnod"/>
              <w:spacing w:before="0" w:after="0"/>
              <w:ind w:left="57" w:right="57"/>
              <w:jc w:val="left"/>
              <w:rPr>
                <w:b w:val="0"/>
                <w:sz w:val="28"/>
                <w:szCs w:val="28"/>
              </w:rPr>
            </w:pPr>
            <w:r w:rsidRPr="00011092">
              <w:rPr>
                <w:b w:val="0"/>
                <w:sz w:val="28"/>
                <w:szCs w:val="28"/>
              </w:rPr>
              <w:t>1.</w:t>
            </w:r>
          </w:p>
        </w:tc>
        <w:tc>
          <w:tcPr>
            <w:tcW w:w="3686" w:type="dxa"/>
          </w:tcPr>
          <w:p w:rsidR="0023436E" w:rsidRPr="00011092" w:rsidRDefault="001A4066" w:rsidP="007D099D">
            <w:pPr>
              <w:pStyle w:val="naisf"/>
              <w:spacing w:before="0" w:after="0"/>
              <w:ind w:left="57" w:right="57" w:firstLine="0"/>
              <w:jc w:val="left"/>
              <w:rPr>
                <w:sz w:val="28"/>
                <w:szCs w:val="28"/>
              </w:rPr>
            </w:pPr>
            <w:r w:rsidRPr="00011092">
              <w:rPr>
                <w:sz w:val="28"/>
                <w:szCs w:val="28"/>
              </w:rPr>
              <w:t>P</w:t>
            </w:r>
            <w:r w:rsidR="0023436E" w:rsidRPr="00011092">
              <w:rPr>
                <w:sz w:val="28"/>
                <w:szCs w:val="28"/>
              </w:rPr>
              <w:t xml:space="preserve">rojekta izpildē iesaistītās institūcijas </w:t>
            </w:r>
          </w:p>
        </w:tc>
        <w:tc>
          <w:tcPr>
            <w:tcW w:w="5812" w:type="dxa"/>
          </w:tcPr>
          <w:p w:rsidR="0023436E" w:rsidRPr="00011092" w:rsidRDefault="002764D2" w:rsidP="007D099D">
            <w:pPr>
              <w:pStyle w:val="naisnod"/>
              <w:spacing w:before="0" w:after="0"/>
              <w:ind w:left="57" w:right="57"/>
              <w:jc w:val="left"/>
              <w:rPr>
                <w:b w:val="0"/>
                <w:sz w:val="28"/>
                <w:szCs w:val="28"/>
              </w:rPr>
            </w:pPr>
            <w:r w:rsidRPr="00011092">
              <w:rPr>
                <w:b w:val="0"/>
                <w:iCs/>
                <w:sz w:val="28"/>
                <w:szCs w:val="28"/>
              </w:rPr>
              <w:t>LR Veselības ministrija, Nacionālais rehabilitācijas centrs „Vaivari”</w:t>
            </w:r>
            <w:r w:rsidR="00B63696">
              <w:rPr>
                <w:b w:val="0"/>
                <w:iCs/>
                <w:sz w:val="28"/>
                <w:szCs w:val="28"/>
              </w:rPr>
              <w:t xml:space="preserve">.                                                                                                                                                                                                                                       </w:t>
            </w:r>
          </w:p>
        </w:tc>
      </w:tr>
      <w:tr w:rsidR="0023436E" w:rsidRPr="00011092" w:rsidTr="00B63696">
        <w:trPr>
          <w:trHeight w:val="463"/>
        </w:trPr>
        <w:tc>
          <w:tcPr>
            <w:tcW w:w="426" w:type="dxa"/>
          </w:tcPr>
          <w:p w:rsidR="0023436E" w:rsidRPr="00011092" w:rsidRDefault="0023436E" w:rsidP="007D099D">
            <w:pPr>
              <w:pStyle w:val="naisnod"/>
              <w:spacing w:before="0" w:after="0"/>
              <w:ind w:left="57" w:right="57"/>
              <w:jc w:val="left"/>
              <w:rPr>
                <w:b w:val="0"/>
                <w:sz w:val="28"/>
                <w:szCs w:val="28"/>
              </w:rPr>
            </w:pPr>
            <w:r w:rsidRPr="00011092">
              <w:rPr>
                <w:b w:val="0"/>
                <w:sz w:val="28"/>
                <w:szCs w:val="28"/>
              </w:rPr>
              <w:t>2.</w:t>
            </w:r>
          </w:p>
        </w:tc>
        <w:tc>
          <w:tcPr>
            <w:tcW w:w="3686" w:type="dxa"/>
          </w:tcPr>
          <w:p w:rsidR="0023436E" w:rsidRPr="00011092" w:rsidRDefault="001A4066" w:rsidP="007D099D">
            <w:pPr>
              <w:pStyle w:val="naisf"/>
              <w:spacing w:before="0" w:after="0"/>
              <w:ind w:left="57" w:right="57" w:firstLine="0"/>
              <w:jc w:val="left"/>
              <w:rPr>
                <w:sz w:val="28"/>
                <w:szCs w:val="28"/>
              </w:rPr>
            </w:pPr>
            <w:r w:rsidRPr="00011092">
              <w:rPr>
                <w:sz w:val="28"/>
                <w:szCs w:val="28"/>
              </w:rPr>
              <w:t>Projekta i</w:t>
            </w:r>
            <w:r w:rsidR="0023436E" w:rsidRPr="00011092">
              <w:rPr>
                <w:sz w:val="28"/>
                <w:szCs w:val="28"/>
              </w:rPr>
              <w:t xml:space="preserve">zpildes ietekme uz pārvaldes funkcijām </w:t>
            </w:r>
          </w:p>
        </w:tc>
        <w:tc>
          <w:tcPr>
            <w:tcW w:w="5812" w:type="dxa"/>
          </w:tcPr>
          <w:p w:rsidR="0023436E" w:rsidRPr="00B63696" w:rsidRDefault="002764D2" w:rsidP="007D099D">
            <w:pPr>
              <w:pStyle w:val="naisnod"/>
              <w:spacing w:before="0" w:after="0"/>
              <w:ind w:left="57" w:right="57"/>
              <w:jc w:val="left"/>
              <w:rPr>
                <w:b w:val="0"/>
                <w:sz w:val="28"/>
                <w:szCs w:val="28"/>
              </w:rPr>
            </w:pPr>
            <w:r w:rsidRPr="00B63696">
              <w:rPr>
                <w:b w:val="0"/>
                <w:sz w:val="28"/>
                <w:szCs w:val="28"/>
              </w:rPr>
              <w:t>Projekts šo jomu neskar.</w:t>
            </w:r>
          </w:p>
        </w:tc>
      </w:tr>
      <w:tr w:rsidR="0023436E" w:rsidRPr="00011092" w:rsidTr="00B63696">
        <w:trPr>
          <w:trHeight w:val="725"/>
        </w:trPr>
        <w:tc>
          <w:tcPr>
            <w:tcW w:w="426" w:type="dxa"/>
          </w:tcPr>
          <w:p w:rsidR="0023436E" w:rsidRPr="00011092" w:rsidRDefault="0023436E" w:rsidP="007D099D">
            <w:pPr>
              <w:pStyle w:val="naisnod"/>
              <w:spacing w:before="0" w:after="0"/>
              <w:ind w:left="57" w:right="57"/>
              <w:jc w:val="left"/>
              <w:rPr>
                <w:b w:val="0"/>
                <w:sz w:val="28"/>
                <w:szCs w:val="28"/>
              </w:rPr>
            </w:pPr>
            <w:r w:rsidRPr="00011092">
              <w:rPr>
                <w:b w:val="0"/>
                <w:sz w:val="28"/>
                <w:szCs w:val="28"/>
              </w:rPr>
              <w:t>3.</w:t>
            </w:r>
          </w:p>
        </w:tc>
        <w:tc>
          <w:tcPr>
            <w:tcW w:w="3686" w:type="dxa"/>
          </w:tcPr>
          <w:p w:rsidR="0023436E" w:rsidRPr="00011092" w:rsidRDefault="001A4066" w:rsidP="007D099D">
            <w:pPr>
              <w:pStyle w:val="naisf"/>
              <w:spacing w:before="0" w:after="0"/>
              <w:ind w:left="57" w:right="57" w:firstLine="0"/>
              <w:jc w:val="left"/>
              <w:rPr>
                <w:sz w:val="28"/>
                <w:szCs w:val="28"/>
              </w:rPr>
            </w:pPr>
            <w:r w:rsidRPr="00011092">
              <w:rPr>
                <w:sz w:val="28"/>
                <w:szCs w:val="28"/>
              </w:rPr>
              <w:t>Projekta iz</w:t>
            </w:r>
            <w:r w:rsidR="0023436E" w:rsidRPr="00011092">
              <w:rPr>
                <w:sz w:val="28"/>
                <w:szCs w:val="28"/>
              </w:rPr>
              <w:t>pildes ietekme uz pārvaldes institucionālo struktūru.</w:t>
            </w:r>
          </w:p>
          <w:p w:rsidR="0023436E" w:rsidRPr="00011092" w:rsidRDefault="006C4607" w:rsidP="007D099D">
            <w:pPr>
              <w:pStyle w:val="naisf"/>
              <w:spacing w:before="0" w:after="0"/>
              <w:ind w:left="57" w:right="57" w:firstLine="0"/>
              <w:jc w:val="left"/>
              <w:rPr>
                <w:sz w:val="28"/>
                <w:szCs w:val="28"/>
              </w:rPr>
            </w:pPr>
            <w:r w:rsidRPr="00011092">
              <w:rPr>
                <w:sz w:val="28"/>
                <w:szCs w:val="28"/>
              </w:rPr>
              <w:t>Jaunu institūciju izveide</w:t>
            </w:r>
          </w:p>
        </w:tc>
        <w:tc>
          <w:tcPr>
            <w:tcW w:w="5812" w:type="dxa"/>
          </w:tcPr>
          <w:p w:rsidR="0023436E" w:rsidRPr="00B63696" w:rsidRDefault="00011092" w:rsidP="007D099D">
            <w:pPr>
              <w:pStyle w:val="naisnod"/>
              <w:spacing w:before="0" w:after="0"/>
              <w:ind w:left="57" w:right="57"/>
              <w:jc w:val="left"/>
              <w:rPr>
                <w:b w:val="0"/>
                <w:sz w:val="28"/>
                <w:szCs w:val="28"/>
              </w:rPr>
            </w:pPr>
            <w:r w:rsidRPr="00B63696">
              <w:rPr>
                <w:b w:val="0"/>
                <w:sz w:val="28"/>
                <w:szCs w:val="28"/>
              </w:rPr>
              <w:t>Projekts šo jomu neskar.</w:t>
            </w:r>
          </w:p>
        </w:tc>
      </w:tr>
      <w:tr w:rsidR="0023436E" w:rsidRPr="00011092" w:rsidTr="00B63696">
        <w:trPr>
          <w:trHeight w:val="780"/>
        </w:trPr>
        <w:tc>
          <w:tcPr>
            <w:tcW w:w="426" w:type="dxa"/>
          </w:tcPr>
          <w:p w:rsidR="0023436E" w:rsidRPr="00011092" w:rsidRDefault="0023436E" w:rsidP="007D099D">
            <w:pPr>
              <w:pStyle w:val="naisnod"/>
              <w:spacing w:before="0" w:after="0"/>
              <w:ind w:left="57" w:right="57"/>
              <w:jc w:val="left"/>
              <w:rPr>
                <w:b w:val="0"/>
                <w:sz w:val="28"/>
                <w:szCs w:val="28"/>
              </w:rPr>
            </w:pPr>
            <w:r w:rsidRPr="00011092">
              <w:rPr>
                <w:b w:val="0"/>
                <w:sz w:val="28"/>
                <w:szCs w:val="28"/>
              </w:rPr>
              <w:lastRenderedPageBreak/>
              <w:t>4.</w:t>
            </w:r>
          </w:p>
        </w:tc>
        <w:tc>
          <w:tcPr>
            <w:tcW w:w="3686" w:type="dxa"/>
          </w:tcPr>
          <w:p w:rsidR="0023436E" w:rsidRPr="00011092" w:rsidRDefault="001A4066" w:rsidP="007D099D">
            <w:pPr>
              <w:pStyle w:val="naisf"/>
              <w:spacing w:before="0" w:after="0"/>
              <w:ind w:left="57" w:right="57" w:firstLine="0"/>
              <w:jc w:val="left"/>
              <w:rPr>
                <w:sz w:val="28"/>
                <w:szCs w:val="28"/>
              </w:rPr>
            </w:pPr>
            <w:r w:rsidRPr="00011092">
              <w:rPr>
                <w:sz w:val="28"/>
                <w:szCs w:val="28"/>
              </w:rPr>
              <w:t>Projekta i</w:t>
            </w:r>
            <w:r w:rsidR="0023436E" w:rsidRPr="00011092">
              <w:rPr>
                <w:sz w:val="28"/>
                <w:szCs w:val="28"/>
              </w:rPr>
              <w:t>zpildes ietekme uz pārvaldes institucionālo struktūru.</w:t>
            </w:r>
          </w:p>
          <w:p w:rsidR="0023436E" w:rsidRPr="00011092" w:rsidRDefault="006C4607" w:rsidP="007D099D">
            <w:pPr>
              <w:pStyle w:val="naisf"/>
              <w:spacing w:before="0" w:after="0"/>
              <w:ind w:left="57" w:right="57" w:firstLine="0"/>
              <w:jc w:val="left"/>
              <w:rPr>
                <w:sz w:val="28"/>
                <w:szCs w:val="28"/>
              </w:rPr>
            </w:pPr>
            <w:r w:rsidRPr="00011092">
              <w:rPr>
                <w:sz w:val="28"/>
                <w:szCs w:val="28"/>
              </w:rPr>
              <w:t>Esošu institūciju likvidācija</w:t>
            </w:r>
          </w:p>
        </w:tc>
        <w:tc>
          <w:tcPr>
            <w:tcW w:w="5812" w:type="dxa"/>
          </w:tcPr>
          <w:p w:rsidR="0023436E" w:rsidRPr="00B63696" w:rsidRDefault="002764D2" w:rsidP="007D099D">
            <w:pPr>
              <w:pStyle w:val="naisnod"/>
              <w:spacing w:before="0" w:after="0"/>
              <w:ind w:left="57" w:right="57"/>
              <w:jc w:val="left"/>
              <w:rPr>
                <w:b w:val="0"/>
                <w:sz w:val="28"/>
                <w:szCs w:val="28"/>
              </w:rPr>
            </w:pPr>
            <w:r w:rsidRPr="00B63696">
              <w:rPr>
                <w:b w:val="0"/>
                <w:sz w:val="28"/>
                <w:szCs w:val="28"/>
              </w:rPr>
              <w:t>Projekts šo jomu neskar.</w:t>
            </w:r>
          </w:p>
        </w:tc>
      </w:tr>
      <w:tr w:rsidR="0023436E" w:rsidRPr="00011092" w:rsidTr="00B63696">
        <w:trPr>
          <w:trHeight w:val="703"/>
        </w:trPr>
        <w:tc>
          <w:tcPr>
            <w:tcW w:w="426" w:type="dxa"/>
          </w:tcPr>
          <w:p w:rsidR="0023436E" w:rsidRPr="00011092" w:rsidRDefault="0023436E" w:rsidP="007D099D">
            <w:pPr>
              <w:pStyle w:val="naisnod"/>
              <w:spacing w:before="0" w:after="0"/>
              <w:ind w:left="57" w:right="57"/>
              <w:jc w:val="left"/>
              <w:rPr>
                <w:b w:val="0"/>
                <w:sz w:val="28"/>
                <w:szCs w:val="28"/>
              </w:rPr>
            </w:pPr>
            <w:r w:rsidRPr="00011092">
              <w:rPr>
                <w:b w:val="0"/>
                <w:sz w:val="28"/>
                <w:szCs w:val="28"/>
              </w:rPr>
              <w:t>5.</w:t>
            </w:r>
          </w:p>
        </w:tc>
        <w:tc>
          <w:tcPr>
            <w:tcW w:w="3686" w:type="dxa"/>
          </w:tcPr>
          <w:p w:rsidR="0023436E" w:rsidRPr="00011092" w:rsidRDefault="001A4066" w:rsidP="007D099D">
            <w:pPr>
              <w:pStyle w:val="naisf"/>
              <w:spacing w:before="0" w:after="0"/>
              <w:ind w:left="57" w:right="57" w:firstLine="0"/>
              <w:jc w:val="left"/>
              <w:rPr>
                <w:sz w:val="28"/>
                <w:szCs w:val="28"/>
              </w:rPr>
            </w:pPr>
            <w:r w:rsidRPr="00011092">
              <w:rPr>
                <w:sz w:val="28"/>
                <w:szCs w:val="28"/>
              </w:rPr>
              <w:t>Projekta i</w:t>
            </w:r>
            <w:r w:rsidR="0023436E" w:rsidRPr="00011092">
              <w:rPr>
                <w:sz w:val="28"/>
                <w:szCs w:val="28"/>
              </w:rPr>
              <w:t>zpildes ietekme uz pārvaldes institucionālo struktūru.</w:t>
            </w:r>
          </w:p>
          <w:p w:rsidR="0023436E" w:rsidRPr="00011092" w:rsidRDefault="0023436E" w:rsidP="007D099D">
            <w:pPr>
              <w:pStyle w:val="naisf"/>
              <w:spacing w:before="0" w:after="0"/>
              <w:ind w:left="57" w:right="57" w:firstLine="0"/>
              <w:jc w:val="left"/>
              <w:rPr>
                <w:sz w:val="28"/>
                <w:szCs w:val="28"/>
              </w:rPr>
            </w:pPr>
            <w:r w:rsidRPr="00011092">
              <w:rPr>
                <w:sz w:val="28"/>
                <w:szCs w:val="28"/>
              </w:rPr>
              <w:t>Esošu institūciju reorganizācija</w:t>
            </w:r>
          </w:p>
        </w:tc>
        <w:tc>
          <w:tcPr>
            <w:tcW w:w="5812" w:type="dxa"/>
          </w:tcPr>
          <w:p w:rsidR="0023436E" w:rsidRPr="00B63696" w:rsidRDefault="002764D2" w:rsidP="007D099D">
            <w:pPr>
              <w:pStyle w:val="naisnod"/>
              <w:spacing w:before="0" w:after="0"/>
              <w:ind w:left="57" w:right="57"/>
              <w:jc w:val="left"/>
              <w:rPr>
                <w:b w:val="0"/>
                <w:sz w:val="28"/>
                <w:szCs w:val="28"/>
              </w:rPr>
            </w:pPr>
            <w:r w:rsidRPr="00B63696">
              <w:rPr>
                <w:b w:val="0"/>
                <w:sz w:val="28"/>
                <w:szCs w:val="28"/>
              </w:rPr>
              <w:t>Projekts šo jomu neskar.</w:t>
            </w:r>
          </w:p>
        </w:tc>
      </w:tr>
      <w:tr w:rsidR="0023436E" w:rsidRPr="00011092" w:rsidTr="00B63696">
        <w:trPr>
          <w:trHeight w:val="476"/>
        </w:trPr>
        <w:tc>
          <w:tcPr>
            <w:tcW w:w="426" w:type="dxa"/>
          </w:tcPr>
          <w:p w:rsidR="0023436E" w:rsidRPr="00011092" w:rsidRDefault="00F63DAC" w:rsidP="007D099D">
            <w:pPr>
              <w:pStyle w:val="naiskr"/>
              <w:spacing w:before="0" w:after="0"/>
              <w:ind w:left="57" w:right="57"/>
              <w:rPr>
                <w:sz w:val="28"/>
                <w:szCs w:val="28"/>
              </w:rPr>
            </w:pPr>
            <w:r w:rsidRPr="00011092">
              <w:rPr>
                <w:sz w:val="28"/>
                <w:szCs w:val="28"/>
              </w:rPr>
              <w:t>6</w:t>
            </w:r>
            <w:r w:rsidR="0023436E" w:rsidRPr="00011092">
              <w:rPr>
                <w:sz w:val="28"/>
                <w:szCs w:val="28"/>
              </w:rPr>
              <w:t>.</w:t>
            </w:r>
          </w:p>
        </w:tc>
        <w:tc>
          <w:tcPr>
            <w:tcW w:w="3686" w:type="dxa"/>
          </w:tcPr>
          <w:p w:rsidR="0023436E" w:rsidRPr="00011092" w:rsidRDefault="006C4607" w:rsidP="007D099D">
            <w:pPr>
              <w:pStyle w:val="naiskr"/>
              <w:spacing w:before="0" w:after="0"/>
              <w:ind w:left="57" w:right="57"/>
              <w:rPr>
                <w:sz w:val="28"/>
                <w:szCs w:val="28"/>
              </w:rPr>
            </w:pPr>
            <w:r w:rsidRPr="00011092">
              <w:rPr>
                <w:sz w:val="28"/>
                <w:szCs w:val="28"/>
              </w:rPr>
              <w:t>Cita informācija</w:t>
            </w:r>
          </w:p>
        </w:tc>
        <w:tc>
          <w:tcPr>
            <w:tcW w:w="5812" w:type="dxa"/>
          </w:tcPr>
          <w:p w:rsidR="0023436E" w:rsidRPr="00011092" w:rsidRDefault="0023436E" w:rsidP="002764D2">
            <w:pPr>
              <w:pStyle w:val="naiskr"/>
              <w:spacing w:before="0" w:after="0"/>
              <w:ind w:left="57" w:right="57"/>
              <w:rPr>
                <w:sz w:val="28"/>
                <w:szCs w:val="28"/>
              </w:rPr>
            </w:pPr>
            <w:r w:rsidRPr="00011092">
              <w:rPr>
                <w:sz w:val="28"/>
                <w:szCs w:val="28"/>
              </w:rPr>
              <w:t>Nav</w:t>
            </w:r>
          </w:p>
        </w:tc>
      </w:tr>
    </w:tbl>
    <w:p w:rsidR="00214094" w:rsidRPr="00011092" w:rsidRDefault="00214094" w:rsidP="006C4607">
      <w:pPr>
        <w:pStyle w:val="naisf"/>
        <w:tabs>
          <w:tab w:val="left" w:pos="5760"/>
        </w:tabs>
        <w:spacing w:before="0" w:after="0"/>
        <w:ind w:firstLine="720"/>
        <w:rPr>
          <w:sz w:val="28"/>
          <w:szCs w:val="28"/>
        </w:rPr>
      </w:pPr>
    </w:p>
    <w:p w:rsidR="00860964" w:rsidRPr="00011092" w:rsidRDefault="00860964" w:rsidP="00860964">
      <w:pPr>
        <w:jc w:val="both"/>
        <w:rPr>
          <w:sz w:val="28"/>
          <w:szCs w:val="28"/>
        </w:rPr>
      </w:pPr>
      <w:r w:rsidRPr="00011092">
        <w:rPr>
          <w:sz w:val="28"/>
          <w:szCs w:val="28"/>
        </w:rPr>
        <w:t>Anotācijas II, IV, V un IV sadaļas – projekts šīs jomas neskar.</w:t>
      </w:r>
    </w:p>
    <w:p w:rsidR="00214094" w:rsidRPr="00011092" w:rsidRDefault="00214094" w:rsidP="006C4607">
      <w:pPr>
        <w:pStyle w:val="naisf"/>
        <w:tabs>
          <w:tab w:val="left" w:pos="5760"/>
        </w:tabs>
        <w:spacing w:before="0" w:after="0"/>
        <w:ind w:firstLine="720"/>
        <w:rPr>
          <w:sz w:val="28"/>
          <w:szCs w:val="28"/>
        </w:rPr>
      </w:pPr>
    </w:p>
    <w:p w:rsidR="00BF40ED" w:rsidRDefault="00BF40ED" w:rsidP="006C4607">
      <w:pPr>
        <w:pStyle w:val="naisf"/>
        <w:tabs>
          <w:tab w:val="left" w:pos="6804"/>
        </w:tabs>
        <w:spacing w:before="0" w:after="0"/>
        <w:ind w:firstLine="720"/>
        <w:rPr>
          <w:sz w:val="28"/>
          <w:szCs w:val="28"/>
        </w:rPr>
      </w:pPr>
    </w:p>
    <w:p w:rsidR="00F1110D" w:rsidRDefault="00F1110D" w:rsidP="006C4607">
      <w:pPr>
        <w:pStyle w:val="naisf"/>
        <w:tabs>
          <w:tab w:val="left" w:pos="6804"/>
        </w:tabs>
        <w:spacing w:before="0" w:after="0"/>
        <w:ind w:firstLine="720"/>
        <w:rPr>
          <w:sz w:val="28"/>
          <w:szCs w:val="28"/>
        </w:rPr>
      </w:pPr>
    </w:p>
    <w:p w:rsidR="00F1110D" w:rsidRPr="00011092" w:rsidRDefault="00F1110D" w:rsidP="006C4607">
      <w:pPr>
        <w:pStyle w:val="naisf"/>
        <w:tabs>
          <w:tab w:val="left" w:pos="6804"/>
        </w:tabs>
        <w:spacing w:before="0" w:after="0"/>
        <w:ind w:firstLine="720"/>
        <w:rPr>
          <w:sz w:val="28"/>
          <w:szCs w:val="28"/>
        </w:rPr>
      </w:pPr>
    </w:p>
    <w:p w:rsidR="0015060C" w:rsidRPr="00011092" w:rsidRDefault="002764D2" w:rsidP="00845811">
      <w:pPr>
        <w:pStyle w:val="naisf"/>
        <w:tabs>
          <w:tab w:val="left" w:pos="6804"/>
        </w:tabs>
        <w:spacing w:before="0" w:after="0"/>
        <w:ind w:firstLine="720"/>
        <w:rPr>
          <w:sz w:val="28"/>
          <w:szCs w:val="28"/>
        </w:rPr>
      </w:pPr>
      <w:r w:rsidRPr="00011092">
        <w:rPr>
          <w:sz w:val="28"/>
          <w:szCs w:val="28"/>
        </w:rPr>
        <w:t>Veselības</w:t>
      </w:r>
      <w:r w:rsidR="0015060C" w:rsidRPr="00011092">
        <w:rPr>
          <w:sz w:val="28"/>
          <w:szCs w:val="28"/>
        </w:rPr>
        <w:t xml:space="preserve"> ministr</w:t>
      </w:r>
      <w:r w:rsidRPr="00011092">
        <w:rPr>
          <w:sz w:val="28"/>
          <w:szCs w:val="28"/>
        </w:rPr>
        <w:t>e</w:t>
      </w:r>
      <w:r w:rsidR="00214094" w:rsidRPr="00011092">
        <w:rPr>
          <w:sz w:val="28"/>
          <w:szCs w:val="28"/>
        </w:rPr>
        <w:tab/>
      </w:r>
      <w:r w:rsidRPr="00011092">
        <w:rPr>
          <w:sz w:val="28"/>
          <w:szCs w:val="28"/>
        </w:rPr>
        <w:t>I.Circene</w:t>
      </w: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2764D2" w:rsidRPr="00011092" w:rsidRDefault="002764D2" w:rsidP="00845811">
      <w:pPr>
        <w:pStyle w:val="naisf"/>
        <w:tabs>
          <w:tab w:val="left" w:pos="6804"/>
        </w:tabs>
        <w:spacing w:before="0" w:after="0"/>
        <w:ind w:firstLine="720"/>
        <w:rPr>
          <w:sz w:val="28"/>
          <w:szCs w:val="28"/>
        </w:rPr>
      </w:pPr>
    </w:p>
    <w:p w:rsidR="00B67B6D" w:rsidRDefault="006313C2" w:rsidP="002764D2">
      <w:pPr>
        <w:tabs>
          <w:tab w:val="left" w:pos="5325"/>
        </w:tabs>
        <w:jc w:val="both"/>
        <w:rPr>
          <w:sz w:val="20"/>
          <w:szCs w:val="20"/>
        </w:rPr>
      </w:pPr>
      <w:r>
        <w:rPr>
          <w:sz w:val="20"/>
          <w:szCs w:val="20"/>
        </w:rPr>
        <w:t>17</w:t>
      </w:r>
      <w:r w:rsidR="00FC6288">
        <w:rPr>
          <w:sz w:val="20"/>
          <w:szCs w:val="20"/>
        </w:rPr>
        <w:t>.10.201</w:t>
      </w:r>
      <w:r w:rsidR="00B67B6D">
        <w:rPr>
          <w:sz w:val="20"/>
          <w:szCs w:val="20"/>
        </w:rPr>
        <w:t xml:space="preserve">3 </w:t>
      </w:r>
      <w:r>
        <w:rPr>
          <w:sz w:val="20"/>
          <w:szCs w:val="20"/>
        </w:rPr>
        <w:t>11:27</w:t>
      </w:r>
    </w:p>
    <w:p w:rsidR="00F1110D" w:rsidRPr="00F1110D" w:rsidRDefault="00911B6C" w:rsidP="002764D2">
      <w:pPr>
        <w:tabs>
          <w:tab w:val="left" w:pos="5325"/>
        </w:tabs>
        <w:jc w:val="both"/>
        <w:rPr>
          <w:sz w:val="20"/>
          <w:szCs w:val="20"/>
        </w:rPr>
      </w:pPr>
      <w:r>
        <w:rPr>
          <w:sz w:val="20"/>
          <w:szCs w:val="20"/>
        </w:rPr>
        <w:t>1</w:t>
      </w:r>
      <w:r w:rsidR="00FC6288">
        <w:rPr>
          <w:sz w:val="20"/>
          <w:szCs w:val="20"/>
        </w:rPr>
        <w:t>4</w:t>
      </w:r>
      <w:r w:rsidR="00AA500E">
        <w:rPr>
          <w:sz w:val="20"/>
          <w:szCs w:val="20"/>
        </w:rPr>
        <w:t>10</w:t>
      </w:r>
    </w:p>
    <w:p w:rsidR="00F1110D" w:rsidRDefault="002764D2" w:rsidP="002764D2">
      <w:pPr>
        <w:tabs>
          <w:tab w:val="left" w:pos="5325"/>
        </w:tabs>
        <w:jc w:val="both"/>
        <w:rPr>
          <w:sz w:val="20"/>
          <w:szCs w:val="20"/>
        </w:rPr>
      </w:pPr>
      <w:bookmarkStart w:id="2" w:name="OLE_LINK3"/>
      <w:bookmarkStart w:id="3" w:name="OLE_LINK4"/>
      <w:r w:rsidRPr="00F1110D">
        <w:rPr>
          <w:sz w:val="20"/>
          <w:szCs w:val="20"/>
        </w:rPr>
        <w:t>A.Rengarte</w:t>
      </w:r>
    </w:p>
    <w:p w:rsidR="002764D2" w:rsidRPr="00F1110D" w:rsidRDefault="00AF3707" w:rsidP="002764D2">
      <w:pPr>
        <w:tabs>
          <w:tab w:val="left" w:pos="5325"/>
        </w:tabs>
        <w:jc w:val="both"/>
        <w:rPr>
          <w:sz w:val="20"/>
          <w:szCs w:val="20"/>
        </w:rPr>
      </w:pPr>
      <w:r w:rsidRPr="00F1110D">
        <w:rPr>
          <w:sz w:val="20"/>
          <w:szCs w:val="20"/>
        </w:rPr>
        <w:t>67876028</w:t>
      </w:r>
      <w:r w:rsidR="002764D2" w:rsidRPr="00F1110D">
        <w:rPr>
          <w:sz w:val="20"/>
          <w:szCs w:val="20"/>
        </w:rPr>
        <w:t>,</w:t>
      </w:r>
      <w:r w:rsidR="00F1110D">
        <w:rPr>
          <w:sz w:val="20"/>
          <w:szCs w:val="20"/>
        </w:rPr>
        <w:t xml:space="preserve"> a</w:t>
      </w:r>
      <w:r w:rsidRPr="00F1110D">
        <w:rPr>
          <w:sz w:val="20"/>
          <w:szCs w:val="20"/>
        </w:rPr>
        <w:t>gita.rengarte</w:t>
      </w:r>
      <w:r w:rsidR="002764D2" w:rsidRPr="00F1110D">
        <w:rPr>
          <w:sz w:val="20"/>
          <w:szCs w:val="20"/>
        </w:rPr>
        <w:t>@</w:t>
      </w:r>
      <w:r w:rsidRPr="00F1110D">
        <w:rPr>
          <w:sz w:val="20"/>
          <w:szCs w:val="20"/>
        </w:rPr>
        <w:t>vm</w:t>
      </w:r>
      <w:r w:rsidR="002764D2" w:rsidRPr="00F1110D">
        <w:rPr>
          <w:sz w:val="20"/>
          <w:szCs w:val="20"/>
        </w:rPr>
        <w:t>.gov.lv</w:t>
      </w:r>
      <w:bookmarkStart w:id="4" w:name="_GoBack"/>
      <w:bookmarkEnd w:id="4"/>
    </w:p>
    <w:bookmarkEnd w:id="2"/>
    <w:bookmarkEnd w:id="3"/>
    <w:p w:rsidR="002764D2" w:rsidRPr="00011092" w:rsidRDefault="002764D2" w:rsidP="00845811">
      <w:pPr>
        <w:pStyle w:val="naisf"/>
        <w:tabs>
          <w:tab w:val="left" w:pos="6804"/>
        </w:tabs>
        <w:spacing w:before="0" w:after="0"/>
        <w:ind w:firstLine="720"/>
        <w:rPr>
          <w:sz w:val="28"/>
          <w:szCs w:val="28"/>
        </w:rPr>
      </w:pPr>
    </w:p>
    <w:sectPr w:rsidR="002764D2" w:rsidRPr="00011092" w:rsidSect="00B67B6D">
      <w:headerReference w:type="even" r:id="rId8"/>
      <w:headerReference w:type="default" r:id="rId9"/>
      <w:footerReference w:type="default" r:id="rId10"/>
      <w:footerReference w:type="first" r:id="rId11"/>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CF" w:rsidRDefault="00AA57CF">
      <w:r>
        <w:separator/>
      </w:r>
    </w:p>
  </w:endnote>
  <w:endnote w:type="continuationSeparator" w:id="0">
    <w:p w:rsidR="00AA57CF" w:rsidRDefault="00AA5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CF" w:rsidRDefault="00AA57CF" w:rsidP="00DA2CF8">
    <w:pPr>
      <w:pStyle w:val="Footer"/>
      <w:jc w:val="both"/>
      <w:rPr>
        <w:sz w:val="20"/>
        <w:szCs w:val="20"/>
      </w:rPr>
    </w:pPr>
  </w:p>
  <w:p w:rsidR="00AA57CF" w:rsidRDefault="00AA57CF" w:rsidP="00DA2CF8">
    <w:pPr>
      <w:pStyle w:val="Footer"/>
      <w:jc w:val="both"/>
      <w:rPr>
        <w:sz w:val="20"/>
        <w:szCs w:val="20"/>
      </w:rPr>
    </w:pPr>
  </w:p>
  <w:p w:rsidR="00AA57CF" w:rsidRPr="00DA2CF8" w:rsidRDefault="00AA57CF" w:rsidP="00DA2CF8">
    <w:pPr>
      <w:pStyle w:val="Footer"/>
      <w:jc w:val="both"/>
      <w:rPr>
        <w:szCs w:val="16"/>
      </w:rPr>
    </w:pPr>
    <w:r w:rsidRPr="00B67B6D">
      <w:rPr>
        <w:sz w:val="20"/>
        <w:szCs w:val="20"/>
      </w:rPr>
      <w:t>VM</w:t>
    </w:r>
    <w:r>
      <w:rPr>
        <w:sz w:val="20"/>
        <w:szCs w:val="20"/>
      </w:rPr>
      <w:t>a</w:t>
    </w:r>
    <w:r w:rsidRPr="00B67B6D">
      <w:rPr>
        <w:sz w:val="20"/>
        <w:szCs w:val="20"/>
      </w:rPr>
      <w:t>not_</w:t>
    </w:r>
    <w:r w:rsidR="006313C2">
      <w:rPr>
        <w:sz w:val="20"/>
        <w:szCs w:val="20"/>
      </w:rPr>
      <w:t>17</w:t>
    </w:r>
    <w:r w:rsidR="00FC6288">
      <w:rPr>
        <w:sz w:val="20"/>
        <w:szCs w:val="20"/>
      </w:rPr>
      <w:t>1013</w:t>
    </w:r>
    <w:r w:rsidRPr="00B67B6D">
      <w:rPr>
        <w:sz w:val="20"/>
        <w:szCs w:val="20"/>
      </w:rPr>
      <w:t xml:space="preserve">_Vaivari; </w:t>
    </w:r>
    <w:r w:rsidRPr="00B67B6D">
      <w:rPr>
        <w:bCs/>
        <w:sz w:val="20"/>
        <w:szCs w:val="20"/>
      </w:rPr>
      <w:t xml:space="preserve">Ministru kabineta rīkojuma projekta </w:t>
    </w:r>
    <w:r w:rsidRPr="00B67B6D">
      <w:rPr>
        <w:sz w:val="20"/>
        <w:szCs w:val="20"/>
      </w:rPr>
      <w:t>„Par valstij dividendēs izmaksājamo valsts sabiedrības ar ierobežotu atbildību „Nacionālais rehabilitācijas centrs „Vaivari”” peļņas daļu”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CF" w:rsidRDefault="00AA57CF" w:rsidP="00B67B6D">
    <w:pPr>
      <w:jc w:val="both"/>
      <w:rPr>
        <w:sz w:val="20"/>
        <w:szCs w:val="20"/>
      </w:rPr>
    </w:pPr>
  </w:p>
  <w:p w:rsidR="00AA57CF" w:rsidRDefault="00AA57CF" w:rsidP="00B67B6D">
    <w:pPr>
      <w:jc w:val="both"/>
      <w:rPr>
        <w:sz w:val="20"/>
        <w:szCs w:val="20"/>
      </w:rPr>
    </w:pPr>
  </w:p>
  <w:p w:rsidR="00AA57CF" w:rsidRPr="00B67B6D" w:rsidRDefault="00AA57CF" w:rsidP="00B67B6D">
    <w:pPr>
      <w:jc w:val="both"/>
      <w:rPr>
        <w:sz w:val="20"/>
        <w:szCs w:val="20"/>
      </w:rPr>
    </w:pPr>
    <w:r w:rsidRPr="00B67B6D">
      <w:rPr>
        <w:sz w:val="20"/>
        <w:szCs w:val="20"/>
      </w:rPr>
      <w:t>VM</w:t>
    </w:r>
    <w:r>
      <w:rPr>
        <w:sz w:val="20"/>
        <w:szCs w:val="20"/>
      </w:rPr>
      <w:t>a</w:t>
    </w:r>
    <w:r w:rsidRPr="00B67B6D">
      <w:rPr>
        <w:sz w:val="20"/>
        <w:szCs w:val="20"/>
      </w:rPr>
      <w:t>not_</w:t>
    </w:r>
    <w:r w:rsidR="006313C2">
      <w:rPr>
        <w:sz w:val="20"/>
        <w:szCs w:val="20"/>
      </w:rPr>
      <w:t>17</w:t>
    </w:r>
    <w:r w:rsidR="00FC6288">
      <w:rPr>
        <w:sz w:val="20"/>
        <w:szCs w:val="20"/>
      </w:rPr>
      <w:t>1013</w:t>
    </w:r>
    <w:r w:rsidRPr="00B67B6D">
      <w:rPr>
        <w:sz w:val="20"/>
        <w:szCs w:val="20"/>
      </w:rPr>
      <w:t xml:space="preserve">_Vaivari; </w:t>
    </w:r>
    <w:r w:rsidRPr="00B67B6D">
      <w:rPr>
        <w:bCs/>
        <w:sz w:val="20"/>
        <w:szCs w:val="20"/>
      </w:rPr>
      <w:t xml:space="preserve">Ministru kabineta rīkojuma projekta </w:t>
    </w:r>
    <w:r w:rsidRPr="00B67B6D">
      <w:rPr>
        <w:sz w:val="20"/>
        <w:szCs w:val="20"/>
      </w:rPr>
      <w:t>„Par valstij dividendēs izmaksājamo valsts sabiedrības ar ierobežotu atbildību „Nacionālais rehabilitācijas centrs „Vaivari”” peļņas daļu” sākotnējās ietekmes novērtējuma ziņojums (anotācija).</w:t>
    </w:r>
  </w:p>
  <w:p w:rsidR="00AA57CF" w:rsidRDefault="00AA5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CF" w:rsidRDefault="00AA57CF">
      <w:r>
        <w:separator/>
      </w:r>
    </w:p>
  </w:footnote>
  <w:footnote w:type="continuationSeparator" w:id="0">
    <w:p w:rsidR="00AA57CF" w:rsidRDefault="00AA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CF" w:rsidRDefault="00165E32" w:rsidP="003C449B">
    <w:pPr>
      <w:pStyle w:val="Header"/>
      <w:framePr w:wrap="around" w:vAnchor="text" w:hAnchor="margin" w:xAlign="center" w:y="1"/>
      <w:rPr>
        <w:rStyle w:val="PageNumber"/>
      </w:rPr>
    </w:pPr>
    <w:r>
      <w:rPr>
        <w:rStyle w:val="PageNumber"/>
      </w:rPr>
      <w:fldChar w:fldCharType="begin"/>
    </w:r>
    <w:r w:rsidR="00AA57CF">
      <w:rPr>
        <w:rStyle w:val="PageNumber"/>
      </w:rPr>
      <w:instrText xml:space="preserve">PAGE  </w:instrText>
    </w:r>
    <w:r>
      <w:rPr>
        <w:rStyle w:val="PageNumber"/>
      </w:rPr>
      <w:fldChar w:fldCharType="end"/>
    </w:r>
  </w:p>
  <w:p w:rsidR="00AA57CF" w:rsidRDefault="00AA5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025"/>
      <w:docPartObj>
        <w:docPartGallery w:val="Page Numbers (Top of Page)"/>
        <w:docPartUnique/>
      </w:docPartObj>
    </w:sdtPr>
    <w:sdtContent>
      <w:p w:rsidR="00AA57CF" w:rsidRDefault="00165E32">
        <w:pPr>
          <w:pStyle w:val="Header"/>
          <w:jc w:val="center"/>
        </w:pPr>
        <w:fldSimple w:instr=" PAGE   \* MERGEFORMAT ">
          <w:r w:rsidR="006313C2">
            <w:rPr>
              <w:noProof/>
            </w:rPr>
            <w:t>7</w:t>
          </w:r>
        </w:fldSimple>
      </w:p>
    </w:sdtContent>
  </w:sdt>
  <w:p w:rsidR="00AA57CF" w:rsidRDefault="00AA5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F05392"/>
    <w:multiLevelType w:val="hybridMultilevel"/>
    <w:tmpl w:val="A6EE68A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8C5649"/>
    <w:rsid w:val="00005539"/>
    <w:rsid w:val="0000578D"/>
    <w:rsid w:val="00011092"/>
    <w:rsid w:val="00011D24"/>
    <w:rsid w:val="00013FF4"/>
    <w:rsid w:val="00015100"/>
    <w:rsid w:val="00020FE1"/>
    <w:rsid w:val="00022E13"/>
    <w:rsid w:val="00032388"/>
    <w:rsid w:val="00035CE2"/>
    <w:rsid w:val="00046A90"/>
    <w:rsid w:val="0005553B"/>
    <w:rsid w:val="000604D2"/>
    <w:rsid w:val="00082CFC"/>
    <w:rsid w:val="0009005E"/>
    <w:rsid w:val="000941C5"/>
    <w:rsid w:val="000A6451"/>
    <w:rsid w:val="000B064E"/>
    <w:rsid w:val="000B6252"/>
    <w:rsid w:val="000B69CF"/>
    <w:rsid w:val="000C790C"/>
    <w:rsid w:val="000F061D"/>
    <w:rsid w:val="000F4794"/>
    <w:rsid w:val="00124F12"/>
    <w:rsid w:val="00131C23"/>
    <w:rsid w:val="00144E3A"/>
    <w:rsid w:val="00147E9F"/>
    <w:rsid w:val="0015060C"/>
    <w:rsid w:val="00157C3D"/>
    <w:rsid w:val="0016018A"/>
    <w:rsid w:val="00161F0E"/>
    <w:rsid w:val="00165E32"/>
    <w:rsid w:val="00170E2A"/>
    <w:rsid w:val="00174B96"/>
    <w:rsid w:val="00177394"/>
    <w:rsid w:val="00182C18"/>
    <w:rsid w:val="00183CC2"/>
    <w:rsid w:val="001867E0"/>
    <w:rsid w:val="001900E4"/>
    <w:rsid w:val="00190F88"/>
    <w:rsid w:val="001A4066"/>
    <w:rsid w:val="001A6AE4"/>
    <w:rsid w:val="001B01FD"/>
    <w:rsid w:val="001B4A71"/>
    <w:rsid w:val="001D5B54"/>
    <w:rsid w:val="001E1DBF"/>
    <w:rsid w:val="001E4639"/>
    <w:rsid w:val="001E4A7D"/>
    <w:rsid w:val="001F4209"/>
    <w:rsid w:val="001F43A8"/>
    <w:rsid w:val="001F5CD6"/>
    <w:rsid w:val="00205E9F"/>
    <w:rsid w:val="0021263D"/>
    <w:rsid w:val="00213F0C"/>
    <w:rsid w:val="00214094"/>
    <w:rsid w:val="0021592D"/>
    <w:rsid w:val="00222D76"/>
    <w:rsid w:val="00223EB1"/>
    <w:rsid w:val="00231139"/>
    <w:rsid w:val="00231344"/>
    <w:rsid w:val="002325FA"/>
    <w:rsid w:val="0023436E"/>
    <w:rsid w:val="002347C0"/>
    <w:rsid w:val="00241A6C"/>
    <w:rsid w:val="00242D2B"/>
    <w:rsid w:val="00262E2B"/>
    <w:rsid w:val="0026740F"/>
    <w:rsid w:val="00270429"/>
    <w:rsid w:val="002706D6"/>
    <w:rsid w:val="002723E9"/>
    <w:rsid w:val="002764D2"/>
    <w:rsid w:val="00277002"/>
    <w:rsid w:val="00277929"/>
    <w:rsid w:val="00283B82"/>
    <w:rsid w:val="002846E9"/>
    <w:rsid w:val="00284C34"/>
    <w:rsid w:val="0029066C"/>
    <w:rsid w:val="002A4AC6"/>
    <w:rsid w:val="002B50DB"/>
    <w:rsid w:val="002C12AB"/>
    <w:rsid w:val="002C7CAC"/>
    <w:rsid w:val="002D3306"/>
    <w:rsid w:val="002D48AA"/>
    <w:rsid w:val="002D7768"/>
    <w:rsid w:val="002D7BAA"/>
    <w:rsid w:val="002D7F54"/>
    <w:rsid w:val="002E3FF4"/>
    <w:rsid w:val="002F78C8"/>
    <w:rsid w:val="00301C69"/>
    <w:rsid w:val="00301CF3"/>
    <w:rsid w:val="0032715C"/>
    <w:rsid w:val="00337CA5"/>
    <w:rsid w:val="0034319A"/>
    <w:rsid w:val="0036100A"/>
    <w:rsid w:val="00362478"/>
    <w:rsid w:val="00375B25"/>
    <w:rsid w:val="0038132C"/>
    <w:rsid w:val="00381842"/>
    <w:rsid w:val="0038480F"/>
    <w:rsid w:val="00396542"/>
    <w:rsid w:val="0039685B"/>
    <w:rsid w:val="003A2FA1"/>
    <w:rsid w:val="003A31A6"/>
    <w:rsid w:val="003A7F0C"/>
    <w:rsid w:val="003A7F79"/>
    <w:rsid w:val="003B6404"/>
    <w:rsid w:val="003C449B"/>
    <w:rsid w:val="003C740D"/>
    <w:rsid w:val="003D21FF"/>
    <w:rsid w:val="003F0112"/>
    <w:rsid w:val="003F071A"/>
    <w:rsid w:val="003F160B"/>
    <w:rsid w:val="00400032"/>
    <w:rsid w:val="00400B5B"/>
    <w:rsid w:val="004053E3"/>
    <w:rsid w:val="00405A00"/>
    <w:rsid w:val="00420870"/>
    <w:rsid w:val="00432D0C"/>
    <w:rsid w:val="0043791B"/>
    <w:rsid w:val="00441483"/>
    <w:rsid w:val="00441BCB"/>
    <w:rsid w:val="004474D8"/>
    <w:rsid w:val="0045176A"/>
    <w:rsid w:val="00456332"/>
    <w:rsid w:val="004613E4"/>
    <w:rsid w:val="00461826"/>
    <w:rsid w:val="004800F9"/>
    <w:rsid w:val="00482862"/>
    <w:rsid w:val="0049134A"/>
    <w:rsid w:val="004A58CB"/>
    <w:rsid w:val="004B1795"/>
    <w:rsid w:val="004B2EDC"/>
    <w:rsid w:val="004B56DD"/>
    <w:rsid w:val="004C020F"/>
    <w:rsid w:val="004C1AFD"/>
    <w:rsid w:val="004C558B"/>
    <w:rsid w:val="004F1F88"/>
    <w:rsid w:val="004F5F1B"/>
    <w:rsid w:val="00502374"/>
    <w:rsid w:val="005060A1"/>
    <w:rsid w:val="00516072"/>
    <w:rsid w:val="00521F8F"/>
    <w:rsid w:val="00532542"/>
    <w:rsid w:val="005332EC"/>
    <w:rsid w:val="00534418"/>
    <w:rsid w:val="00534543"/>
    <w:rsid w:val="005353AB"/>
    <w:rsid w:val="005560BC"/>
    <w:rsid w:val="005573BE"/>
    <w:rsid w:val="00565E12"/>
    <w:rsid w:val="00572700"/>
    <w:rsid w:val="00574881"/>
    <w:rsid w:val="00580468"/>
    <w:rsid w:val="00582231"/>
    <w:rsid w:val="0058603B"/>
    <w:rsid w:val="0059402D"/>
    <w:rsid w:val="0059431B"/>
    <w:rsid w:val="005A39CC"/>
    <w:rsid w:val="005B4730"/>
    <w:rsid w:val="005D396D"/>
    <w:rsid w:val="005D7B19"/>
    <w:rsid w:val="005E04BF"/>
    <w:rsid w:val="005E05D7"/>
    <w:rsid w:val="005E41E7"/>
    <w:rsid w:val="005E450F"/>
    <w:rsid w:val="005E5F0F"/>
    <w:rsid w:val="0062298A"/>
    <w:rsid w:val="00626514"/>
    <w:rsid w:val="00626589"/>
    <w:rsid w:val="006313C2"/>
    <w:rsid w:val="006339A0"/>
    <w:rsid w:val="006413A8"/>
    <w:rsid w:val="00642E56"/>
    <w:rsid w:val="00651E00"/>
    <w:rsid w:val="0066018F"/>
    <w:rsid w:val="00674572"/>
    <w:rsid w:val="00687763"/>
    <w:rsid w:val="00692B0D"/>
    <w:rsid w:val="00693E0E"/>
    <w:rsid w:val="006A1AE3"/>
    <w:rsid w:val="006C027F"/>
    <w:rsid w:val="006C23BA"/>
    <w:rsid w:val="006C30E1"/>
    <w:rsid w:val="006C4607"/>
    <w:rsid w:val="006D48F1"/>
    <w:rsid w:val="006F45BE"/>
    <w:rsid w:val="007004FC"/>
    <w:rsid w:val="00706670"/>
    <w:rsid w:val="00711F59"/>
    <w:rsid w:val="0072417C"/>
    <w:rsid w:val="00734450"/>
    <w:rsid w:val="00745F67"/>
    <w:rsid w:val="0075039E"/>
    <w:rsid w:val="00752D9D"/>
    <w:rsid w:val="00754784"/>
    <w:rsid w:val="00757C6E"/>
    <w:rsid w:val="00762176"/>
    <w:rsid w:val="00762BDA"/>
    <w:rsid w:val="0077448C"/>
    <w:rsid w:val="00780382"/>
    <w:rsid w:val="007805FD"/>
    <w:rsid w:val="00784422"/>
    <w:rsid w:val="00785FBB"/>
    <w:rsid w:val="007B3B54"/>
    <w:rsid w:val="007B3FA0"/>
    <w:rsid w:val="007C0F2C"/>
    <w:rsid w:val="007C2BCC"/>
    <w:rsid w:val="007C4EF0"/>
    <w:rsid w:val="007D099D"/>
    <w:rsid w:val="007E2664"/>
    <w:rsid w:val="007E3ABF"/>
    <w:rsid w:val="007E5BFA"/>
    <w:rsid w:val="007E6689"/>
    <w:rsid w:val="007E6693"/>
    <w:rsid w:val="007E731C"/>
    <w:rsid w:val="007F0A03"/>
    <w:rsid w:val="00810040"/>
    <w:rsid w:val="00811D0D"/>
    <w:rsid w:val="0082023A"/>
    <w:rsid w:val="00820E6E"/>
    <w:rsid w:val="00821A7A"/>
    <w:rsid w:val="008253F8"/>
    <w:rsid w:val="008325E4"/>
    <w:rsid w:val="00832A2B"/>
    <w:rsid w:val="00844BCC"/>
    <w:rsid w:val="00845811"/>
    <w:rsid w:val="00846994"/>
    <w:rsid w:val="00850451"/>
    <w:rsid w:val="00852042"/>
    <w:rsid w:val="008534C9"/>
    <w:rsid w:val="0085599D"/>
    <w:rsid w:val="00857CC1"/>
    <w:rsid w:val="00860964"/>
    <w:rsid w:val="00867CFB"/>
    <w:rsid w:val="0087510C"/>
    <w:rsid w:val="008968D2"/>
    <w:rsid w:val="0089738E"/>
    <w:rsid w:val="008B5FDB"/>
    <w:rsid w:val="008C50F4"/>
    <w:rsid w:val="008C5649"/>
    <w:rsid w:val="008E44A2"/>
    <w:rsid w:val="008E4A58"/>
    <w:rsid w:val="008E697D"/>
    <w:rsid w:val="00903263"/>
    <w:rsid w:val="00906A21"/>
    <w:rsid w:val="009079C3"/>
    <w:rsid w:val="00907B68"/>
    <w:rsid w:val="00910462"/>
    <w:rsid w:val="009109CD"/>
    <w:rsid w:val="00911B6C"/>
    <w:rsid w:val="009124A2"/>
    <w:rsid w:val="00915AB1"/>
    <w:rsid w:val="00917532"/>
    <w:rsid w:val="009235BA"/>
    <w:rsid w:val="00924023"/>
    <w:rsid w:val="00924CE2"/>
    <w:rsid w:val="00925B9F"/>
    <w:rsid w:val="00931AED"/>
    <w:rsid w:val="00944469"/>
    <w:rsid w:val="009476A3"/>
    <w:rsid w:val="0095334F"/>
    <w:rsid w:val="00965897"/>
    <w:rsid w:val="0096765C"/>
    <w:rsid w:val="009727E4"/>
    <w:rsid w:val="00980799"/>
    <w:rsid w:val="009934C5"/>
    <w:rsid w:val="00994C0F"/>
    <w:rsid w:val="009B22D7"/>
    <w:rsid w:val="009B5E3B"/>
    <w:rsid w:val="009B72ED"/>
    <w:rsid w:val="009C6DEB"/>
    <w:rsid w:val="009D6504"/>
    <w:rsid w:val="009E12D7"/>
    <w:rsid w:val="009E661A"/>
    <w:rsid w:val="009F1C65"/>
    <w:rsid w:val="00A009D5"/>
    <w:rsid w:val="00A06781"/>
    <w:rsid w:val="00A074C3"/>
    <w:rsid w:val="00A1509C"/>
    <w:rsid w:val="00A249B9"/>
    <w:rsid w:val="00A34260"/>
    <w:rsid w:val="00A65A89"/>
    <w:rsid w:val="00A70CFD"/>
    <w:rsid w:val="00A72A0B"/>
    <w:rsid w:val="00A77468"/>
    <w:rsid w:val="00A81E42"/>
    <w:rsid w:val="00A864FE"/>
    <w:rsid w:val="00A86F41"/>
    <w:rsid w:val="00A87AA9"/>
    <w:rsid w:val="00A87D04"/>
    <w:rsid w:val="00A950C5"/>
    <w:rsid w:val="00AA1D25"/>
    <w:rsid w:val="00AA500E"/>
    <w:rsid w:val="00AA57CF"/>
    <w:rsid w:val="00AB2B1A"/>
    <w:rsid w:val="00AB2D1D"/>
    <w:rsid w:val="00AB397F"/>
    <w:rsid w:val="00AB5832"/>
    <w:rsid w:val="00AC51F2"/>
    <w:rsid w:val="00AC5E2E"/>
    <w:rsid w:val="00AD3269"/>
    <w:rsid w:val="00AD36B4"/>
    <w:rsid w:val="00AE5066"/>
    <w:rsid w:val="00AE5E24"/>
    <w:rsid w:val="00AE61B7"/>
    <w:rsid w:val="00AE6CBA"/>
    <w:rsid w:val="00AE79AD"/>
    <w:rsid w:val="00AF35E4"/>
    <w:rsid w:val="00AF3707"/>
    <w:rsid w:val="00AF5CDE"/>
    <w:rsid w:val="00B11A57"/>
    <w:rsid w:val="00B211C3"/>
    <w:rsid w:val="00B25597"/>
    <w:rsid w:val="00B267B9"/>
    <w:rsid w:val="00B32FFC"/>
    <w:rsid w:val="00B33E09"/>
    <w:rsid w:val="00B50708"/>
    <w:rsid w:val="00B50C68"/>
    <w:rsid w:val="00B51293"/>
    <w:rsid w:val="00B52B1E"/>
    <w:rsid w:val="00B53BCA"/>
    <w:rsid w:val="00B55481"/>
    <w:rsid w:val="00B56C32"/>
    <w:rsid w:val="00B57ACF"/>
    <w:rsid w:val="00B63696"/>
    <w:rsid w:val="00B64BB1"/>
    <w:rsid w:val="00B67B6D"/>
    <w:rsid w:val="00B70726"/>
    <w:rsid w:val="00B73166"/>
    <w:rsid w:val="00B8426C"/>
    <w:rsid w:val="00B91B8D"/>
    <w:rsid w:val="00B94E90"/>
    <w:rsid w:val="00BB0A82"/>
    <w:rsid w:val="00BB7C94"/>
    <w:rsid w:val="00BC0A9D"/>
    <w:rsid w:val="00BC1BE1"/>
    <w:rsid w:val="00BD58BF"/>
    <w:rsid w:val="00BE10C5"/>
    <w:rsid w:val="00BF40ED"/>
    <w:rsid w:val="00BF5BC2"/>
    <w:rsid w:val="00C1133D"/>
    <w:rsid w:val="00C114B2"/>
    <w:rsid w:val="00C14FE9"/>
    <w:rsid w:val="00C17C0D"/>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71BB9"/>
    <w:rsid w:val="00C94C28"/>
    <w:rsid w:val="00CB0247"/>
    <w:rsid w:val="00CB3440"/>
    <w:rsid w:val="00CC1692"/>
    <w:rsid w:val="00CD138B"/>
    <w:rsid w:val="00CD3E31"/>
    <w:rsid w:val="00CD74A3"/>
    <w:rsid w:val="00CE0527"/>
    <w:rsid w:val="00CE122D"/>
    <w:rsid w:val="00CE5B23"/>
    <w:rsid w:val="00CF70AD"/>
    <w:rsid w:val="00CF7729"/>
    <w:rsid w:val="00D00059"/>
    <w:rsid w:val="00D107FA"/>
    <w:rsid w:val="00D12275"/>
    <w:rsid w:val="00D12766"/>
    <w:rsid w:val="00D20FF4"/>
    <w:rsid w:val="00D24D2C"/>
    <w:rsid w:val="00D31A6C"/>
    <w:rsid w:val="00D35881"/>
    <w:rsid w:val="00D50F1A"/>
    <w:rsid w:val="00DA2CF8"/>
    <w:rsid w:val="00DA7DA5"/>
    <w:rsid w:val="00DB073B"/>
    <w:rsid w:val="00DB0F02"/>
    <w:rsid w:val="00DB78F0"/>
    <w:rsid w:val="00DC0CEA"/>
    <w:rsid w:val="00DC2E43"/>
    <w:rsid w:val="00DD095C"/>
    <w:rsid w:val="00DD1020"/>
    <w:rsid w:val="00DD1330"/>
    <w:rsid w:val="00DE0B83"/>
    <w:rsid w:val="00DE1A81"/>
    <w:rsid w:val="00DE1C13"/>
    <w:rsid w:val="00DE4E10"/>
    <w:rsid w:val="00E02ABF"/>
    <w:rsid w:val="00E0374D"/>
    <w:rsid w:val="00E14995"/>
    <w:rsid w:val="00E179CD"/>
    <w:rsid w:val="00E23822"/>
    <w:rsid w:val="00E23E8D"/>
    <w:rsid w:val="00E37F98"/>
    <w:rsid w:val="00E40E7D"/>
    <w:rsid w:val="00E46559"/>
    <w:rsid w:val="00E6670C"/>
    <w:rsid w:val="00E776E8"/>
    <w:rsid w:val="00E92C1F"/>
    <w:rsid w:val="00E95D4B"/>
    <w:rsid w:val="00E97599"/>
    <w:rsid w:val="00EB199F"/>
    <w:rsid w:val="00EC23F7"/>
    <w:rsid w:val="00EC4BD8"/>
    <w:rsid w:val="00EC63EB"/>
    <w:rsid w:val="00ED412F"/>
    <w:rsid w:val="00EF36B2"/>
    <w:rsid w:val="00F1110D"/>
    <w:rsid w:val="00F1246B"/>
    <w:rsid w:val="00F201EC"/>
    <w:rsid w:val="00F208A9"/>
    <w:rsid w:val="00F41D75"/>
    <w:rsid w:val="00F5139D"/>
    <w:rsid w:val="00F52901"/>
    <w:rsid w:val="00F63DAC"/>
    <w:rsid w:val="00F707A3"/>
    <w:rsid w:val="00F7454F"/>
    <w:rsid w:val="00F77988"/>
    <w:rsid w:val="00F77F48"/>
    <w:rsid w:val="00F8021C"/>
    <w:rsid w:val="00F82697"/>
    <w:rsid w:val="00F8288D"/>
    <w:rsid w:val="00FB30F1"/>
    <w:rsid w:val="00FB53E7"/>
    <w:rsid w:val="00FC0361"/>
    <w:rsid w:val="00FC6288"/>
    <w:rsid w:val="00FD123B"/>
    <w:rsid w:val="00FD2A8A"/>
    <w:rsid w:val="00FD3872"/>
    <w:rsid w:val="00FF4C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36100A"/>
    <w:rPr>
      <w:sz w:val="24"/>
      <w:szCs w:val="24"/>
    </w:rPr>
  </w:style>
  <w:style w:type="paragraph" w:styleId="BodyText">
    <w:name w:val="Body Text"/>
    <w:basedOn w:val="Normal"/>
    <w:link w:val="BodyTextChar"/>
    <w:uiPriority w:val="99"/>
    <w:rsid w:val="008E4A58"/>
    <w:pPr>
      <w:spacing w:after="120"/>
    </w:pPr>
    <w:rPr>
      <w:lang w:val="en-GB" w:eastAsia="en-US"/>
    </w:rPr>
  </w:style>
  <w:style w:type="character" w:customStyle="1" w:styleId="BodyTextChar">
    <w:name w:val="Body Text Char"/>
    <w:basedOn w:val="DefaultParagraphFont"/>
    <w:link w:val="BodyText"/>
    <w:uiPriority w:val="99"/>
    <w:rsid w:val="008E4A58"/>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227-2363-4449-A89B-53FEDAA5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1410</Words>
  <Characters>10139</Characters>
  <Application>Microsoft Office Word</Application>
  <DocSecurity>0</DocSecurity>
  <Lines>362</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valstij dividendēs izmaksājamo valsts sabiedrības ar ierobežotu atbildību „Nacionālais rehabilitācijas centrs „Vaivari”” peļņas daļu” sākotnējās ietekmes novērtējuma ziņojums  (anotācija)</vt:lpstr>
      <vt:lpstr>Ministru kabineta instrukcijas projekts “Tiesību akta projekta sākotnējās ietekmes izvērtēšanas kārtība”</vt:lpstr>
    </vt:vector>
  </TitlesOfParts>
  <Company>Veselības ministrija</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valstij dividendēs izmaksājamo valsts sabiedrības ar ierobežotu atbildību „Nacionālais rehabilitācijas centrs „Vaivari”” peļņas daļu” sākotnējās ietekmes novērtējuma ziņojums  (anotācija)</dc:title>
  <dc:subject>MK rīkojuma projekta anotācija</dc:subject>
  <dc:creator>arengarte</dc:creator>
  <dc:description>A.Rengarte
67876028, agita.rengarte@vm.gov.lv</dc:description>
  <cp:lastModifiedBy>arengarte</cp:lastModifiedBy>
  <cp:revision>29</cp:revision>
  <cp:lastPrinted>2013-09-04T14:48:00Z</cp:lastPrinted>
  <dcterms:created xsi:type="dcterms:W3CDTF">2013-09-02T13:17:00Z</dcterms:created>
  <dcterms:modified xsi:type="dcterms:W3CDTF">2013-10-17T08:27:00Z</dcterms:modified>
</cp:coreProperties>
</file>