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C41" w:rsidRDefault="00BE09F3" w:rsidP="001E7771">
      <w:pPr>
        <w:spacing w:after="120"/>
        <w:jc w:val="center"/>
        <w:rPr>
          <w:b/>
          <w:sz w:val="28"/>
          <w:szCs w:val="28"/>
        </w:rPr>
      </w:pPr>
      <w:bookmarkStart w:id="0" w:name="OLE_LINK1"/>
      <w:bookmarkStart w:id="1" w:name="OLE_LINK2"/>
      <w:bookmarkStart w:id="2" w:name="OLE_LINK9"/>
      <w:r w:rsidRPr="000F0B0D">
        <w:rPr>
          <w:b/>
          <w:bCs/>
          <w:sz w:val="28"/>
          <w:szCs w:val="28"/>
        </w:rPr>
        <w:t>Ministru kabineta noteikumu projekta „</w:t>
      </w:r>
      <w:r w:rsidR="00B937BE">
        <w:rPr>
          <w:b/>
          <w:bCs/>
          <w:sz w:val="28"/>
          <w:szCs w:val="28"/>
        </w:rPr>
        <w:t>Grozījum</w:t>
      </w:r>
      <w:r w:rsidR="00D156E5">
        <w:rPr>
          <w:b/>
          <w:bCs/>
          <w:sz w:val="28"/>
          <w:szCs w:val="28"/>
        </w:rPr>
        <w:t>i</w:t>
      </w:r>
      <w:r w:rsidR="00B937BE" w:rsidRPr="00B937BE">
        <w:rPr>
          <w:b/>
          <w:bCs/>
          <w:sz w:val="28"/>
          <w:szCs w:val="28"/>
        </w:rPr>
        <w:t xml:space="preserve"> </w:t>
      </w:r>
      <w:r w:rsidR="00B937BE" w:rsidRPr="00F35660">
        <w:rPr>
          <w:b/>
          <w:bCs/>
          <w:sz w:val="28"/>
          <w:szCs w:val="28"/>
        </w:rPr>
        <w:t xml:space="preserve">Ministru kabineta 2010.gada </w:t>
      </w:r>
      <w:r w:rsidR="00304CAD">
        <w:rPr>
          <w:b/>
          <w:bCs/>
          <w:sz w:val="28"/>
          <w:szCs w:val="28"/>
        </w:rPr>
        <w:t>3</w:t>
      </w:r>
      <w:r w:rsidR="00B937BE">
        <w:rPr>
          <w:b/>
          <w:bCs/>
          <w:sz w:val="28"/>
          <w:szCs w:val="28"/>
        </w:rPr>
        <w:t>.augusta</w:t>
      </w:r>
      <w:r w:rsidR="00B937BE" w:rsidRPr="00F35660">
        <w:rPr>
          <w:b/>
          <w:bCs/>
          <w:sz w:val="28"/>
          <w:szCs w:val="28"/>
        </w:rPr>
        <w:t xml:space="preserve"> noteikumos Nr.</w:t>
      </w:r>
      <w:r w:rsidR="00B937BE">
        <w:rPr>
          <w:b/>
          <w:bCs/>
          <w:sz w:val="28"/>
          <w:szCs w:val="28"/>
        </w:rPr>
        <w:t>726</w:t>
      </w:r>
      <w:r w:rsidR="00B937BE" w:rsidRPr="00F35660">
        <w:rPr>
          <w:b/>
          <w:bCs/>
          <w:sz w:val="28"/>
          <w:szCs w:val="28"/>
        </w:rPr>
        <w:t xml:space="preserve"> </w:t>
      </w:r>
      <w:r w:rsidR="00B937BE">
        <w:rPr>
          <w:b/>
          <w:bCs/>
          <w:sz w:val="28"/>
          <w:szCs w:val="28"/>
        </w:rPr>
        <w:t>„</w:t>
      </w:r>
      <w:r w:rsidRPr="000F0B0D">
        <w:rPr>
          <w:b/>
          <w:bCs/>
          <w:sz w:val="28"/>
          <w:szCs w:val="28"/>
        </w:rPr>
        <w:t>Noteikumi par darbības programmas „Infrastruktūra un pakalpojumi” papildinājuma 3.1.5.1.1.apakšaktivitāti „Ģimenes ārstu tīkla attīstība””</w:t>
      </w:r>
      <w:r w:rsidR="00B937BE">
        <w:rPr>
          <w:b/>
          <w:bCs/>
          <w:sz w:val="28"/>
          <w:szCs w:val="28"/>
        </w:rPr>
        <w:t>”</w:t>
      </w:r>
      <w:r w:rsidRPr="000F0B0D">
        <w:rPr>
          <w:b/>
          <w:sz w:val="28"/>
          <w:szCs w:val="28"/>
        </w:rPr>
        <w:t xml:space="preserve"> </w:t>
      </w:r>
      <w:r w:rsidR="000746DD">
        <w:rPr>
          <w:b/>
          <w:sz w:val="28"/>
          <w:szCs w:val="28"/>
        </w:rPr>
        <w:t>sākotnējās ietekmes novērtējuma ziņojums (anotācija)</w:t>
      </w:r>
      <w:bookmarkEnd w:id="0"/>
      <w:bookmarkEnd w:id="1"/>
      <w:bookmarkEnd w:id="2"/>
    </w:p>
    <w:p w:rsidR="00C967E5" w:rsidRPr="000F0B0D" w:rsidRDefault="00C967E5" w:rsidP="001E7771">
      <w:pPr>
        <w:spacing w:after="120"/>
        <w:jc w:val="center"/>
        <w:rPr>
          <w:b/>
          <w:bCs/>
          <w:sz w:val="28"/>
          <w:szCs w:val="28"/>
          <w:lang w:eastAsia="lv-LV" w:bidi="lo-LA"/>
        </w:rPr>
      </w:pPr>
    </w:p>
    <w:p w:rsidR="00623AE2" w:rsidRPr="000F0B0D" w:rsidRDefault="00623AE2" w:rsidP="00B9292C">
      <w:pPr>
        <w:rPr>
          <w:i/>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2"/>
        <w:gridCol w:w="2717"/>
        <w:gridCol w:w="5811"/>
      </w:tblGrid>
      <w:tr w:rsidR="00BE09F3" w:rsidRPr="001E3003" w:rsidTr="008B477D">
        <w:trPr>
          <w:trHeight w:val="559"/>
        </w:trPr>
        <w:tc>
          <w:tcPr>
            <w:tcW w:w="9180" w:type="dxa"/>
            <w:gridSpan w:val="3"/>
            <w:vAlign w:val="center"/>
          </w:tcPr>
          <w:p w:rsidR="00BE09F3" w:rsidRPr="001E3003" w:rsidRDefault="00BE09F3" w:rsidP="001E3003">
            <w:pPr>
              <w:autoSpaceDE w:val="0"/>
              <w:autoSpaceDN w:val="0"/>
              <w:adjustRightInd w:val="0"/>
              <w:rPr>
                <w:noProof/>
                <w:sz w:val="28"/>
                <w:szCs w:val="28"/>
              </w:rPr>
            </w:pPr>
            <w:r w:rsidRPr="001E3003">
              <w:rPr>
                <w:b/>
                <w:bCs/>
                <w:lang w:eastAsia="lv-LV" w:bidi="lo-LA"/>
              </w:rPr>
              <w:t>I. Tiesību akta projekta izstrādes nepieciešamība</w:t>
            </w:r>
          </w:p>
        </w:tc>
      </w:tr>
      <w:tr w:rsidR="00BE09F3" w:rsidRPr="001E3003" w:rsidTr="008B477D">
        <w:tc>
          <w:tcPr>
            <w:tcW w:w="652" w:type="dxa"/>
          </w:tcPr>
          <w:p w:rsidR="00BE09F3" w:rsidRPr="000F0B0D" w:rsidRDefault="00BE09F3" w:rsidP="00FB6D84">
            <w:pPr>
              <w:spacing w:before="120" w:after="120"/>
              <w:rPr>
                <w:lang w:eastAsia="lv-LV" w:bidi="lo-LA"/>
              </w:rPr>
            </w:pPr>
            <w:r w:rsidRPr="000F0B0D">
              <w:rPr>
                <w:lang w:eastAsia="lv-LV" w:bidi="lo-LA"/>
              </w:rPr>
              <w:t> 1.</w:t>
            </w:r>
          </w:p>
        </w:tc>
        <w:tc>
          <w:tcPr>
            <w:tcW w:w="2717" w:type="dxa"/>
          </w:tcPr>
          <w:p w:rsidR="00BE09F3" w:rsidRPr="000F0B0D" w:rsidRDefault="00BE09F3" w:rsidP="00FB6D84">
            <w:pPr>
              <w:spacing w:before="120" w:after="120"/>
              <w:rPr>
                <w:lang w:eastAsia="lv-LV" w:bidi="lo-LA"/>
              </w:rPr>
            </w:pPr>
            <w:r w:rsidRPr="000F0B0D">
              <w:rPr>
                <w:lang w:eastAsia="lv-LV" w:bidi="lo-LA"/>
              </w:rPr>
              <w:t>Pamatojums</w:t>
            </w:r>
          </w:p>
        </w:tc>
        <w:tc>
          <w:tcPr>
            <w:tcW w:w="5811" w:type="dxa"/>
            <w:vAlign w:val="center"/>
          </w:tcPr>
          <w:p w:rsidR="00BE09F3" w:rsidRPr="00CA207A" w:rsidRDefault="00B937BE" w:rsidP="0097712B">
            <w:pPr>
              <w:spacing w:before="120" w:after="120"/>
              <w:jc w:val="both"/>
              <w:rPr>
                <w:lang w:eastAsia="lv-LV" w:bidi="lo-LA"/>
              </w:rPr>
            </w:pPr>
            <w:r w:rsidRPr="00CA207A">
              <w:t>Ministru kabineta noteikumu „Grozījum</w:t>
            </w:r>
            <w:r w:rsidR="0097712B">
              <w:t>i</w:t>
            </w:r>
            <w:r w:rsidRPr="00CA207A">
              <w:t xml:space="preserve"> Ministru kabineta 2010.gada 3.augusta noteikumos Nr.726 „Noteikumi par darbības programmas „Infrastruktūra un pakalpojumi” papildinājuma 3.1.5.1.1.apakšaktivitāti „Ģimenes ārstu tīkla attīstība””” projekts (turpmāk – MK noteikumu grozījum</w:t>
            </w:r>
            <w:r w:rsidR="00D43EFB">
              <w:t>u</w:t>
            </w:r>
            <w:r w:rsidRPr="00CA207A">
              <w:t xml:space="preserve"> projekts) sagatavots pamatojoties uz Eiropas Savienības struktūrfondu un Kohēzijas fonda vadības likuma 18.panta 10.punktu</w:t>
            </w:r>
            <w:r w:rsidR="00BF6E9C">
              <w:t>.</w:t>
            </w:r>
          </w:p>
        </w:tc>
      </w:tr>
      <w:tr w:rsidR="00BE09F3" w:rsidRPr="001E3003" w:rsidTr="008B477D">
        <w:tc>
          <w:tcPr>
            <w:tcW w:w="652" w:type="dxa"/>
          </w:tcPr>
          <w:p w:rsidR="00BE09F3" w:rsidRPr="000F0B0D" w:rsidRDefault="00BE09F3" w:rsidP="00FB6D84">
            <w:pPr>
              <w:spacing w:before="120" w:after="120"/>
              <w:rPr>
                <w:lang w:eastAsia="lv-LV" w:bidi="lo-LA"/>
              </w:rPr>
            </w:pPr>
            <w:r w:rsidRPr="000F0B0D">
              <w:rPr>
                <w:lang w:eastAsia="lv-LV" w:bidi="lo-LA"/>
              </w:rPr>
              <w:t> 2.</w:t>
            </w:r>
          </w:p>
        </w:tc>
        <w:tc>
          <w:tcPr>
            <w:tcW w:w="2717" w:type="dxa"/>
          </w:tcPr>
          <w:p w:rsidR="00BE09F3" w:rsidRPr="000F0B0D" w:rsidRDefault="00BE09F3" w:rsidP="00FB6D84">
            <w:pPr>
              <w:spacing w:before="120" w:after="120"/>
              <w:rPr>
                <w:lang w:eastAsia="lv-LV" w:bidi="lo-LA"/>
              </w:rPr>
            </w:pPr>
            <w:r w:rsidRPr="000F0B0D">
              <w:rPr>
                <w:lang w:eastAsia="lv-LV" w:bidi="lo-LA"/>
              </w:rPr>
              <w:t>Pašreizējā situācija un problēmas</w:t>
            </w:r>
          </w:p>
        </w:tc>
        <w:tc>
          <w:tcPr>
            <w:tcW w:w="5811" w:type="dxa"/>
            <w:vAlign w:val="center"/>
          </w:tcPr>
          <w:p w:rsidR="00B440B2" w:rsidRDefault="008B5597" w:rsidP="005234E4">
            <w:pPr>
              <w:jc w:val="both"/>
              <w:rPr>
                <w:color w:val="2A2A2A"/>
              </w:rPr>
            </w:pPr>
            <w:r w:rsidRPr="00132D78">
              <w:rPr>
                <w:color w:val="2A2A2A"/>
              </w:rPr>
              <w:t>Ministru kabinetā 20</w:t>
            </w:r>
            <w:r w:rsidR="00132D78">
              <w:rPr>
                <w:color w:val="2A2A2A"/>
              </w:rPr>
              <w:t>11.gada 7</w:t>
            </w:r>
            <w:r w:rsidRPr="00132D78">
              <w:rPr>
                <w:color w:val="2A2A2A"/>
              </w:rPr>
              <w:t>.</w:t>
            </w:r>
            <w:r w:rsidR="00132D78">
              <w:rPr>
                <w:color w:val="2A2A2A"/>
              </w:rPr>
              <w:t xml:space="preserve">septembrī </w:t>
            </w:r>
            <w:r w:rsidRPr="00132D78">
              <w:rPr>
                <w:color w:val="2A2A2A"/>
              </w:rPr>
              <w:t>tika apstiprināts rīkojums Nr.</w:t>
            </w:r>
            <w:r w:rsidR="00132D78">
              <w:rPr>
                <w:color w:val="2A2A2A"/>
              </w:rPr>
              <w:t>436 „</w:t>
            </w:r>
            <w:r w:rsidR="00132D78" w:rsidRPr="00D477B5">
              <w:rPr>
                <w:color w:val="2A2A2A"/>
              </w:rPr>
              <w:t>Par Veselības norēķinu centra un Veselības ekonomikas centra reorganizāciju</w:t>
            </w:r>
            <w:r w:rsidR="00132D78">
              <w:rPr>
                <w:color w:val="2A2A2A"/>
              </w:rPr>
              <w:t>”. Rīkojum</w:t>
            </w:r>
            <w:r w:rsidR="00B440B2">
              <w:rPr>
                <w:color w:val="2A2A2A"/>
              </w:rPr>
              <w:t>s nosaka</w:t>
            </w:r>
            <w:r w:rsidR="00D43EFB">
              <w:rPr>
                <w:color w:val="2A2A2A"/>
              </w:rPr>
              <w:t xml:space="preserve"> ka</w:t>
            </w:r>
            <w:r w:rsidR="00B440B2">
              <w:rPr>
                <w:color w:val="2A2A2A"/>
              </w:rPr>
              <w:t>:</w:t>
            </w:r>
          </w:p>
          <w:p w:rsidR="00B440B2" w:rsidRPr="00D477B5" w:rsidRDefault="00B440B2" w:rsidP="00B440B2">
            <w:pPr>
              <w:numPr>
                <w:ilvl w:val="0"/>
                <w:numId w:val="15"/>
              </w:numPr>
              <w:autoSpaceDE w:val="0"/>
              <w:autoSpaceDN w:val="0"/>
              <w:adjustRightInd w:val="0"/>
              <w:jc w:val="both"/>
              <w:rPr>
                <w:color w:val="2A2A2A"/>
              </w:rPr>
            </w:pPr>
            <w:r w:rsidRPr="00132D78">
              <w:rPr>
                <w:color w:val="2A2A2A"/>
              </w:rPr>
              <w:t>ar 2011.gada 1.novembri</w:t>
            </w:r>
            <w:r>
              <w:rPr>
                <w:color w:val="2A2A2A"/>
              </w:rPr>
              <w:t xml:space="preserve"> Veselības norēķinu centra funkcijas pilda Nacionālais veselības dienests;</w:t>
            </w:r>
          </w:p>
          <w:p w:rsidR="00B440B2" w:rsidRDefault="00132D78" w:rsidP="00B440B2">
            <w:pPr>
              <w:numPr>
                <w:ilvl w:val="0"/>
                <w:numId w:val="15"/>
              </w:numPr>
              <w:autoSpaceDE w:val="0"/>
              <w:autoSpaceDN w:val="0"/>
              <w:adjustRightInd w:val="0"/>
              <w:jc w:val="both"/>
              <w:rPr>
                <w:color w:val="2A2A2A"/>
              </w:rPr>
            </w:pPr>
            <w:r w:rsidRPr="00132D78">
              <w:rPr>
                <w:color w:val="2A2A2A"/>
              </w:rPr>
              <w:t>ar 2011.gada 1.novembri</w:t>
            </w:r>
            <w:r>
              <w:rPr>
                <w:color w:val="2A2A2A"/>
              </w:rPr>
              <w:t xml:space="preserve"> Veselības </w:t>
            </w:r>
            <w:r w:rsidRPr="00132D78">
              <w:rPr>
                <w:color w:val="2A2A2A"/>
              </w:rPr>
              <w:t>ekonomikas centra veiktās Eiropas Savien</w:t>
            </w:r>
            <w:r>
              <w:rPr>
                <w:color w:val="2A2A2A"/>
              </w:rPr>
              <w:t>ības fondu sadarbības iestādes</w:t>
            </w:r>
            <w:r w:rsidRPr="00132D78">
              <w:rPr>
                <w:color w:val="2A2A2A"/>
              </w:rPr>
              <w:t xml:space="preserve"> funkcijas </w:t>
            </w:r>
            <w:r>
              <w:rPr>
                <w:color w:val="2A2A2A"/>
              </w:rPr>
              <w:t xml:space="preserve">pilda valsts aģentūra </w:t>
            </w:r>
            <w:r w:rsidR="00FA6A73">
              <w:rPr>
                <w:color w:val="2A2A2A"/>
              </w:rPr>
              <w:t>„</w:t>
            </w:r>
            <w:r w:rsidR="00FA6A73" w:rsidRPr="00132D78">
              <w:rPr>
                <w:color w:val="2A2A2A"/>
              </w:rPr>
              <w:t>Centr</w:t>
            </w:r>
            <w:r w:rsidR="00FA6A73">
              <w:rPr>
                <w:color w:val="2A2A2A"/>
              </w:rPr>
              <w:t>ālā finanšu un līgumu aģentūra”</w:t>
            </w:r>
            <w:r>
              <w:rPr>
                <w:color w:val="2A2A2A"/>
              </w:rPr>
              <w:t>.</w:t>
            </w:r>
            <w:r w:rsidR="00E32A46">
              <w:rPr>
                <w:color w:val="2A2A2A"/>
              </w:rPr>
              <w:t xml:space="preserve"> </w:t>
            </w:r>
          </w:p>
          <w:p w:rsidR="00581162" w:rsidRDefault="00E32A46" w:rsidP="00B440B2">
            <w:pPr>
              <w:autoSpaceDE w:val="0"/>
              <w:autoSpaceDN w:val="0"/>
              <w:adjustRightInd w:val="0"/>
              <w:ind w:left="60"/>
              <w:jc w:val="both"/>
              <w:rPr>
                <w:color w:val="2A2A2A"/>
              </w:rPr>
            </w:pPr>
            <w:r>
              <w:rPr>
                <w:color w:val="2A2A2A"/>
              </w:rPr>
              <w:t>Nepieciešams veikt tehniskus labojumus</w:t>
            </w:r>
            <w:r w:rsidR="00424362">
              <w:rPr>
                <w:color w:val="2A2A2A"/>
              </w:rPr>
              <w:t>,</w:t>
            </w:r>
            <w:r>
              <w:rPr>
                <w:color w:val="2A2A2A"/>
              </w:rPr>
              <w:t xml:space="preserve"> norādot informāciju par jauno sadarbības iestādi</w:t>
            </w:r>
            <w:r w:rsidR="00B440B2">
              <w:rPr>
                <w:color w:val="2A2A2A"/>
              </w:rPr>
              <w:t xml:space="preserve"> un centralizēto iepirkumu veicēju</w:t>
            </w:r>
            <w:r>
              <w:rPr>
                <w:color w:val="2A2A2A"/>
              </w:rPr>
              <w:t>.</w:t>
            </w:r>
          </w:p>
          <w:p w:rsidR="00D14666" w:rsidRDefault="00D14666" w:rsidP="005234E4">
            <w:pPr>
              <w:jc w:val="both"/>
              <w:rPr>
                <w:color w:val="2A2A2A"/>
              </w:rPr>
            </w:pPr>
          </w:p>
          <w:p w:rsidR="00097667" w:rsidRDefault="00097667" w:rsidP="005234E4">
            <w:pPr>
              <w:jc w:val="both"/>
              <w:rPr>
                <w:color w:val="2A2A2A"/>
              </w:rPr>
            </w:pPr>
            <w:r w:rsidRPr="00D477B5">
              <w:rPr>
                <w:color w:val="2A2A2A"/>
              </w:rPr>
              <w:t>Atbilstoši Komisijas 2011.gada 20.decembra lēmuma</w:t>
            </w:r>
            <w:r w:rsidR="0045425B">
              <w:rPr>
                <w:color w:val="2A2A2A"/>
              </w:rPr>
              <w:t xml:space="preserve"> 2012/21/ES</w:t>
            </w:r>
            <w:r w:rsidRPr="00D477B5">
              <w:rPr>
                <w:color w:val="2A2A2A"/>
              </w:rPr>
              <w:t xml:space="preserve"> par Līguma par Eiropas Savienības darbību 106. panta 2.punkta piemērošanu valsts atbalstam attiecībā uz kompensāciju par sabiedriskajiem pakalpojumiem dažiem uzņēmumiem, kuriem uzticēts sniegt pakalpojumus ar vispārēju tautsaimniecisku nozīmi, (turpmāk – Komisijas Lēmums) 4.pantam dokumentā, ar kuru uzdod veikt pakalpojumu ar tautsaimniecisko nozīmi ir jābūt noteiktam sabiedriskā pakalpojuma saturam un kompensācijas apjomam par sabiedriskā pakalpo</w:t>
            </w:r>
            <w:r w:rsidR="002668EC" w:rsidRPr="00D477B5">
              <w:rPr>
                <w:color w:val="2A2A2A"/>
              </w:rPr>
              <w:t xml:space="preserve">juma sniegšanu jābūt aprēķinātam </w:t>
            </w:r>
            <w:r w:rsidRPr="00D477B5">
              <w:rPr>
                <w:color w:val="2A2A2A"/>
              </w:rPr>
              <w:t xml:space="preserve">atbilstoši Komisijas Lēmuma 5.pantam. Ņemot vērā, ka ģimenes ārstu pakalpojumu koncentrēšana vienā pakalpojumu sniegšanas adresē ir viens no veselības nozares politikas virzieniem, līdz ar to arī telpu </w:t>
            </w:r>
            <w:r w:rsidRPr="00D477B5">
              <w:rPr>
                <w:color w:val="2A2A2A"/>
              </w:rPr>
              <w:lastRenderedPageBreak/>
              <w:t>nodrošināšana citām fiziskām vai juridiskām personām valsts apmaksāto ģimenes ārstu pakalpojumu sniegšanai uzskatāma par sabiedrisko pakalpojumu. Lai iepriekšminēto telpu izīrēšanu citām fiziskām vai juridiskām personām valsts apmaksāto ģimenes ārstu pakalpojumu nodrošināšanai uzskatītu par sabiedrisko pakalpojumu atbilstoši Komisijas Lēmumam, līgumu par veselības aprūpes pakalpojumiem plānots papildināt ar punktu, kas noteiks ārstniecības iestādei par pienākumu, nodrošināt, ka ārstniecības iestādes telpās veselības aprūpes pakalpojumus sniedz noteikts ģimenes ārstu prakšu skaits.</w:t>
            </w:r>
          </w:p>
          <w:p w:rsidR="00EE5E9C" w:rsidRPr="00D477B5" w:rsidRDefault="00EE5E9C" w:rsidP="00EE5E9C">
            <w:pPr>
              <w:jc w:val="both"/>
              <w:rPr>
                <w:color w:val="2A2A2A"/>
              </w:rPr>
            </w:pPr>
            <w:r w:rsidRPr="00D477B5">
              <w:rPr>
                <w:color w:val="2A2A2A"/>
              </w:rPr>
              <w:t xml:space="preserve">Papildus atbilstoši </w:t>
            </w:r>
            <w:r w:rsidR="004556DF" w:rsidRPr="00D477B5">
              <w:rPr>
                <w:color w:val="2A2A2A"/>
              </w:rPr>
              <w:t>K</w:t>
            </w:r>
            <w:r w:rsidRPr="00D477B5">
              <w:rPr>
                <w:color w:val="2A2A2A"/>
              </w:rPr>
              <w:t xml:space="preserve">omisijas </w:t>
            </w:r>
            <w:r w:rsidR="004556DF" w:rsidRPr="00D477B5">
              <w:rPr>
                <w:color w:val="2A2A2A"/>
              </w:rPr>
              <w:t>L</w:t>
            </w:r>
            <w:r w:rsidRPr="00D477B5">
              <w:rPr>
                <w:color w:val="2A2A2A"/>
              </w:rPr>
              <w:t>ēmumam jāveic precizējumi, nos</w:t>
            </w:r>
            <w:r w:rsidR="00BA657E" w:rsidRPr="00D477B5">
              <w:rPr>
                <w:color w:val="2A2A2A"/>
              </w:rPr>
              <w:t>a</w:t>
            </w:r>
            <w:r w:rsidRPr="00D477B5">
              <w:rPr>
                <w:color w:val="2A2A2A"/>
              </w:rPr>
              <w:t>kot:</w:t>
            </w:r>
          </w:p>
          <w:p w:rsidR="00EE5E9C" w:rsidRPr="00D477B5" w:rsidRDefault="00EE5E9C" w:rsidP="00EE5E9C">
            <w:pPr>
              <w:numPr>
                <w:ilvl w:val="0"/>
                <w:numId w:val="15"/>
              </w:numPr>
              <w:autoSpaceDE w:val="0"/>
              <w:autoSpaceDN w:val="0"/>
              <w:adjustRightInd w:val="0"/>
              <w:jc w:val="both"/>
              <w:rPr>
                <w:color w:val="2A2A2A"/>
              </w:rPr>
            </w:pPr>
            <w:r w:rsidRPr="00D477B5">
              <w:rPr>
                <w:color w:val="2A2A2A"/>
              </w:rPr>
              <w:t>sapr</w:t>
            </w:r>
            <w:r w:rsidR="002668EC" w:rsidRPr="00D477B5">
              <w:rPr>
                <w:color w:val="2A2A2A"/>
              </w:rPr>
              <w:t>ā</w:t>
            </w:r>
            <w:r w:rsidRPr="00D477B5">
              <w:rPr>
                <w:color w:val="2A2A2A"/>
              </w:rPr>
              <w:t>tīg</w:t>
            </w:r>
            <w:r w:rsidR="00D664F3">
              <w:rPr>
                <w:color w:val="2A2A2A"/>
              </w:rPr>
              <w:t>a</w:t>
            </w:r>
            <w:r w:rsidRPr="00D477B5">
              <w:rPr>
                <w:color w:val="2A2A2A"/>
              </w:rPr>
              <w:t>s peļņas normas aprēķināšanas nosacīju</w:t>
            </w:r>
            <w:r w:rsidR="00BA657E" w:rsidRPr="00D477B5">
              <w:rPr>
                <w:color w:val="2A2A2A"/>
              </w:rPr>
              <w:t>m</w:t>
            </w:r>
            <w:r w:rsidR="00D664F3">
              <w:rPr>
                <w:color w:val="2A2A2A"/>
              </w:rPr>
              <w:t>u</w:t>
            </w:r>
            <w:r w:rsidRPr="00D477B5">
              <w:rPr>
                <w:color w:val="2A2A2A"/>
              </w:rPr>
              <w:t>s;</w:t>
            </w:r>
          </w:p>
          <w:p w:rsidR="00EE5E9C" w:rsidRPr="00D477B5" w:rsidRDefault="00EE5E9C" w:rsidP="00EE5E9C">
            <w:pPr>
              <w:numPr>
                <w:ilvl w:val="0"/>
                <w:numId w:val="15"/>
              </w:numPr>
              <w:autoSpaceDE w:val="0"/>
              <w:autoSpaceDN w:val="0"/>
              <w:adjustRightInd w:val="0"/>
              <w:jc w:val="both"/>
              <w:rPr>
                <w:color w:val="2A2A2A"/>
              </w:rPr>
            </w:pPr>
            <w:r w:rsidRPr="00D477B5">
              <w:rPr>
                <w:color w:val="2A2A2A"/>
              </w:rPr>
              <w:t>ka līgumos par veselības aprūpes pakalpojumiem jābūt atsaucei uz Komisijas Lēmumu, ja līgums noslēgts pēc 2012.gada 31.janvāra;</w:t>
            </w:r>
          </w:p>
          <w:p w:rsidR="00EE5E9C" w:rsidRPr="00D477B5" w:rsidRDefault="00EE5E9C" w:rsidP="00EE5E9C">
            <w:pPr>
              <w:numPr>
                <w:ilvl w:val="0"/>
                <w:numId w:val="15"/>
              </w:numPr>
              <w:autoSpaceDE w:val="0"/>
              <w:autoSpaceDN w:val="0"/>
              <w:adjustRightInd w:val="0"/>
              <w:jc w:val="both"/>
              <w:rPr>
                <w:color w:val="2A2A2A"/>
              </w:rPr>
            </w:pPr>
            <w:r w:rsidRPr="00D477B5">
              <w:rPr>
                <w:color w:val="2A2A2A"/>
              </w:rPr>
              <w:t>finansējuma saņēmējiem par pienākumu nodrošināt sadarbības iestādei dokumentus, kas pierāda valsts apmaksāto un maksas veselības aprūpes pakalpoju</w:t>
            </w:r>
            <w:r w:rsidR="00BA657E" w:rsidRPr="00D477B5">
              <w:rPr>
                <w:color w:val="2A2A2A"/>
              </w:rPr>
              <w:t>mu un ar to saistīto finanšu plū</w:t>
            </w:r>
            <w:r w:rsidRPr="00D477B5">
              <w:rPr>
                <w:color w:val="2A2A2A"/>
              </w:rPr>
              <w:t>smu nodali</w:t>
            </w:r>
            <w:r w:rsidR="00F4712B" w:rsidRPr="00D477B5">
              <w:rPr>
                <w:color w:val="2A2A2A"/>
              </w:rPr>
              <w:t>.</w:t>
            </w:r>
          </w:p>
          <w:p w:rsidR="00097667" w:rsidRPr="00D477B5" w:rsidRDefault="00097667" w:rsidP="005234E4">
            <w:pPr>
              <w:jc w:val="both"/>
              <w:rPr>
                <w:color w:val="2A2A2A"/>
              </w:rPr>
            </w:pPr>
          </w:p>
          <w:p w:rsidR="00EE5E9C" w:rsidRDefault="00EE5E9C" w:rsidP="005234E4">
            <w:pPr>
              <w:jc w:val="both"/>
              <w:rPr>
                <w:color w:val="2A2A2A"/>
              </w:rPr>
            </w:pPr>
            <w:r w:rsidRPr="00AA328F">
              <w:rPr>
                <w:color w:val="2A2A2A"/>
              </w:rPr>
              <w:t xml:space="preserve">Saskaņā ar grozījumiem Ministru kabineta 2007.gada 26.jūnija noteikumos Nr.419 „Kārtība kādā Eiropas Savienības struktūrfondu un Kohēzijas fonda vadībā iesaistītās institūcijas nodrošina plānošanas dokumentu sagatavošanu un šo fondu ieviešanu” turpmāk iepirkumu </w:t>
            </w:r>
            <w:proofErr w:type="spellStart"/>
            <w:r w:rsidRPr="00AA328F">
              <w:rPr>
                <w:color w:val="2A2A2A"/>
              </w:rPr>
              <w:t>pirmspārbaudes</w:t>
            </w:r>
            <w:proofErr w:type="spellEnd"/>
            <w:r w:rsidRPr="00AA328F">
              <w:rPr>
                <w:color w:val="2A2A2A"/>
              </w:rPr>
              <w:t xml:space="preserve"> veiks sadarbības iestāde. MK noteikumu grozījuma projektā nepieciešams izslēgt nosacījumu, ka Nacionālais veselības dienests, organizējot centralizētus iepirkumus</w:t>
            </w:r>
            <w:r w:rsidR="00A107FA">
              <w:rPr>
                <w:color w:val="2A2A2A"/>
              </w:rPr>
              <w:t xml:space="preserve"> 3.1.5.1.1.apakš</w:t>
            </w:r>
            <w:r w:rsidRPr="00AA328F">
              <w:rPr>
                <w:color w:val="2A2A2A"/>
              </w:rPr>
              <w:t>aktivitātes „Ģimenes ārstu tīkla attīstība”</w:t>
            </w:r>
            <w:r w:rsidR="00A107FA">
              <w:rPr>
                <w:color w:val="2A2A2A"/>
              </w:rPr>
              <w:t xml:space="preserve"> </w:t>
            </w:r>
            <w:r w:rsidR="00A107FA" w:rsidRPr="000B2ED3">
              <w:rPr>
                <w:color w:val="2A2A2A"/>
              </w:rPr>
              <w:t>(turpmāk – 3.1.5.1.1.apakšaktivitāte)</w:t>
            </w:r>
            <w:r w:rsidRPr="00AA328F">
              <w:rPr>
                <w:color w:val="2A2A2A"/>
              </w:rPr>
              <w:t xml:space="preserve"> ietvaros, no sadarbības iestādes pieaicina pārstāvi.</w:t>
            </w:r>
          </w:p>
          <w:p w:rsidR="004825C6" w:rsidRDefault="00F720AE" w:rsidP="00F720AE">
            <w:pPr>
              <w:spacing w:before="100" w:beforeAutospacing="1" w:after="100" w:afterAutospacing="1"/>
              <w:jc w:val="both"/>
            </w:pPr>
            <w:r w:rsidRPr="00051C99">
              <w:t>Ieviešot 3.1.5.</w:t>
            </w:r>
            <w:r>
              <w:t>1.1</w:t>
            </w:r>
            <w:r w:rsidRPr="00051C99">
              <w:t>.</w:t>
            </w:r>
            <w:r>
              <w:t>apakš</w:t>
            </w:r>
            <w:r w:rsidRPr="00051C99">
              <w:t xml:space="preserve">aktivitāti, </w:t>
            </w:r>
            <w:bookmarkStart w:id="3" w:name="OLE_LINK15"/>
            <w:r w:rsidRPr="00051C99">
              <w:t>tika konstatēts, ka pēdējo maksājumu veikšanai projektu ietvaros ir nepieciešams papildu laiks dokumentu sakārtošanai</w:t>
            </w:r>
            <w:r>
              <w:t>, ņ</w:t>
            </w:r>
            <w:r w:rsidRPr="003D7E98">
              <w:t>emot vērā normatīvo aktu grozījumus par pievienotās vērtības nodokļa nomaksu, kā arī vairākus līdz šim konstatētos objektīvos gadījumus projektu ietvaros veikto maksājumu kavējumiem (piemēram, saistībā ar būvdarbu nodošanu ekspluatācijā, konstatēto nepilnību novēršanu u.c.)</w:t>
            </w:r>
            <w:r>
              <w:t>. L</w:t>
            </w:r>
            <w:r w:rsidRPr="00051C99">
              <w:t xml:space="preserve">īdz ar to atsevišķos gadījumos iespējama maksājumu veikšana pēc projekta īstenošanas termiņa beigām, jo projekta īstenošanas termiņa beigu nosaka atbilstoši piegādes, pakalpojumu un </w:t>
            </w:r>
            <w:r>
              <w:t>preču</w:t>
            </w:r>
            <w:r w:rsidRPr="00051C99">
              <w:t xml:space="preserve"> līgumu izpildes termiņiem, nevis atbilstoši maksājumu veikšanas </w:t>
            </w:r>
            <w:r w:rsidRPr="00051C99">
              <w:lastRenderedPageBreak/>
              <w:t xml:space="preserve">termiņiem. </w:t>
            </w:r>
          </w:p>
          <w:p w:rsidR="00F720AE" w:rsidRDefault="00F720AE" w:rsidP="000E7F58">
            <w:pPr>
              <w:spacing w:before="100" w:beforeAutospacing="1" w:after="100" w:afterAutospacing="1"/>
              <w:jc w:val="both"/>
              <w:rPr>
                <w:color w:val="2A2A2A"/>
              </w:rPr>
            </w:pPr>
            <w:r>
              <w:t xml:space="preserve">Šobrīd esošais MK noteikumu Nr.726 11.3.apakšpunkta regulējums </w:t>
            </w:r>
            <w:r w:rsidRPr="003D7E98">
              <w:t>nosaka</w:t>
            </w:r>
            <w:r>
              <w:t xml:space="preserve"> maksājumu veikšanas kārtību, kas ierobežo maksājumu veikšanu</w:t>
            </w:r>
            <w:r w:rsidRPr="003D7E98">
              <w:t xml:space="preserve"> </w:t>
            </w:r>
            <w:r w:rsidRPr="00636FCA">
              <w:rPr>
                <w:u w:val="single"/>
              </w:rPr>
              <w:t>par projekta ietvaros radušām izmaksām</w:t>
            </w:r>
            <w:r w:rsidRPr="003D7E98">
              <w:t xml:space="preserve"> ietverta līguma par </w:t>
            </w:r>
            <w:r>
              <w:t>ERAF</w:t>
            </w:r>
            <w:r w:rsidRPr="003D7E98">
              <w:t xml:space="preserve"> līdzfinansētā projekta īstenošanu ar finansējuma saņēmēju</w:t>
            </w:r>
            <w:r>
              <w:t>.</w:t>
            </w:r>
            <w:r w:rsidR="000E7F58">
              <w:t xml:space="preserve"> </w:t>
            </w:r>
            <w:r>
              <w:t xml:space="preserve">Ņemot vērā augstākminēto, nepieciešams precizēt MK noteikumu Nr.726 11.3.apakšpunktu, paredzot </w:t>
            </w:r>
            <w:r w:rsidRPr="008C6194">
              <w:rPr>
                <w:u w:val="single"/>
              </w:rPr>
              <w:t>nevis maksājuma veikšanas kārtību</w:t>
            </w:r>
            <w:r w:rsidRPr="008C6194">
              <w:t xml:space="preserve"> (kas atbilstoši normatīvajiem aktiem ir </w:t>
            </w:r>
            <w:r>
              <w:t>noteikta</w:t>
            </w:r>
            <w:r w:rsidRPr="008C6194">
              <w:t xml:space="preserve"> </w:t>
            </w:r>
            <w:r>
              <w:t>līgumā</w:t>
            </w:r>
            <w:r w:rsidRPr="003D7E98">
              <w:t xml:space="preserve"> par </w:t>
            </w:r>
            <w:r>
              <w:t>ERAF</w:t>
            </w:r>
            <w:r w:rsidRPr="003D7E98">
              <w:t xml:space="preserve"> līdzfinansētā projekta īstenošanu</w:t>
            </w:r>
            <w:r w:rsidRPr="008C6194">
              <w:t>),</w:t>
            </w:r>
            <w:r>
              <w:t xml:space="preserve"> bet nosacījumu, ka </w:t>
            </w:r>
            <w:r w:rsidRPr="008C6194">
              <w:t xml:space="preserve">finansēšanai no </w:t>
            </w:r>
            <w:r>
              <w:t>ERAF</w:t>
            </w:r>
            <w:r w:rsidRPr="008C6194">
              <w:t xml:space="preserve"> un valsts budžeta līdzekļiem nav attiecināmas izmaksas, kuras radušās pēc projekta īstenošanas termiņa beigām.</w:t>
            </w:r>
            <w:bookmarkEnd w:id="3"/>
          </w:p>
          <w:p w:rsidR="0011391E" w:rsidRDefault="00653845" w:rsidP="000B2ED3">
            <w:pPr>
              <w:autoSpaceDE w:val="0"/>
              <w:autoSpaceDN w:val="0"/>
              <w:adjustRightInd w:val="0"/>
              <w:jc w:val="both"/>
            </w:pPr>
            <w:r>
              <w:t>Saskaņā ar MK noteikumu Nr.726 33.punktu visus iepirkumus 3.1.5.1.1.apakšaktivitātes ietvaros veic Nacionālais veselības dienests centralizēti. Nacionālā veselības dienesta organizētā centralizētā iepirkuma par datortehnikas un biroja tehnikas iegādi 3.1.5.1.1.apakšaktivitātes pirmās un otrās projektu iesniegumu atlases kārtas finansējuma saņēmēju vajadzībām tehniskajā specifikācijā jau sākotnēji tika iekļauta iespēja visiem 3.1.5.1.1.apakšaktivitātes pirmās un otrās projektu iesniegumu atlases kārtas projektu iesniedzējiem izvēlēties nepieciešamo datortehniku (divu veidu galda datori, divu veidu portatīvie datori, kā arī planšetdators) un biroja tehniku (printeris, skeneris, daudzfunkcionālā iekārta, fakss, telefons, specializētā programmatūra), nodrošinot projektu iesniedzējiem vienādus nosacījumus datortehnikas un biroja tehnikas iegādei 3.1.5.1.1.apakšaktivitātes ietvaros. Ņemot vērā iepriekš minēto, nepieciešams veikt tehniskus precizējumus MK noteikumu Nr.726 1.pielikuma A daļas 2.7.apakšpunktā aktivitātes Nr.1 „Ārstniecības procesa nodrošināšanai nepieciešamo ierīču un aprīkojuma piegāde” aprakstā „Datortehnika”, nodrošinot iespēju projekta iesniedzējam  projekta iesniegumā precīzāk atzīmēt nepieciešamo datortehniku un biroja tehniku. Lai nodrošinātu precīzāku datortehnikas un biroja tehnikas atspoguļošanu projektu iesniegumiem, kas tiek īstenoti pirmās un otrās projektu iesniegumu atlases kārtas ietvaros, savstarpēji vienojoties līgumslēdzēju pusēm iespējams veikt grozījumus līgumā par projekta īstenošanu, kas pēc būtības ir tehniski precizējumi</w:t>
            </w:r>
            <w:r w:rsidR="001A5B17">
              <w:t>.</w:t>
            </w:r>
          </w:p>
          <w:p w:rsidR="00653845" w:rsidRDefault="00653845" w:rsidP="000B2ED3">
            <w:pPr>
              <w:autoSpaceDE w:val="0"/>
              <w:autoSpaceDN w:val="0"/>
              <w:adjustRightInd w:val="0"/>
              <w:jc w:val="both"/>
              <w:rPr>
                <w:color w:val="2A2A2A"/>
              </w:rPr>
            </w:pPr>
          </w:p>
          <w:p w:rsidR="00EE5E9C" w:rsidRPr="00D477B5" w:rsidRDefault="00EE5E9C" w:rsidP="005234E4">
            <w:pPr>
              <w:autoSpaceDE w:val="0"/>
              <w:autoSpaceDN w:val="0"/>
              <w:adjustRightInd w:val="0"/>
              <w:jc w:val="both"/>
              <w:rPr>
                <w:color w:val="2A2A2A"/>
              </w:rPr>
            </w:pPr>
            <w:r w:rsidRPr="00D477B5">
              <w:rPr>
                <w:color w:val="2A2A2A"/>
              </w:rPr>
              <w:t xml:space="preserve">Ņemot vērā, ka iesniedzot projekta iesniegumu nav paredzēts iesniegt projekta iesnieguma kopiju, no projekta </w:t>
            </w:r>
            <w:r w:rsidRPr="00D477B5">
              <w:rPr>
                <w:color w:val="2A2A2A"/>
              </w:rPr>
              <w:lastRenderedPageBreak/>
              <w:t>iesnieguma apliecinājuma jāsvītro atsauci uz projekta iesnieguma kopijām.</w:t>
            </w:r>
          </w:p>
          <w:p w:rsidR="00EE5E9C" w:rsidRDefault="00EE5E9C" w:rsidP="005234E4">
            <w:pPr>
              <w:autoSpaceDE w:val="0"/>
              <w:autoSpaceDN w:val="0"/>
              <w:adjustRightInd w:val="0"/>
              <w:jc w:val="both"/>
              <w:rPr>
                <w:color w:val="2A2A2A"/>
              </w:rPr>
            </w:pPr>
          </w:p>
          <w:p w:rsidR="00AA328F" w:rsidRDefault="00D14666" w:rsidP="00EE5E9C">
            <w:pPr>
              <w:autoSpaceDE w:val="0"/>
              <w:autoSpaceDN w:val="0"/>
              <w:adjustRightInd w:val="0"/>
              <w:jc w:val="both"/>
              <w:rPr>
                <w:color w:val="2A2A2A"/>
              </w:rPr>
            </w:pPr>
            <w:r>
              <w:rPr>
                <w:color w:val="2A2A2A"/>
              </w:rPr>
              <w:t>Projektu iesniegumu atkārtota atlase notikusi vēlāk</w:t>
            </w:r>
            <w:r w:rsidR="00D43EFB">
              <w:rPr>
                <w:color w:val="2A2A2A"/>
              </w:rPr>
              <w:t xml:space="preserve"> nekā tika sākotnēji plānots, kā</w:t>
            </w:r>
            <w:r>
              <w:rPr>
                <w:color w:val="2A2A2A"/>
              </w:rPr>
              <w:t xml:space="preserve"> arī centralizēto iepirkumu realizācija kavējas, līdz ar to projektu iesnieguma veidlapā (MK noteikumu 1.pielikuma B un C daļa) paredzētais projekta ieviešanas termiņš no 2011.gada līdz 2012.gada beigām ir nepietiekams un to nepieciešams pagarināt.</w:t>
            </w:r>
          </w:p>
          <w:p w:rsidR="003536A6" w:rsidRDefault="003536A6" w:rsidP="00EE5E9C">
            <w:pPr>
              <w:autoSpaceDE w:val="0"/>
              <w:autoSpaceDN w:val="0"/>
              <w:adjustRightInd w:val="0"/>
              <w:jc w:val="both"/>
              <w:rPr>
                <w:color w:val="2A2A2A"/>
              </w:rPr>
            </w:pPr>
          </w:p>
          <w:p w:rsidR="003536A6" w:rsidRDefault="00DD4980" w:rsidP="00EE5E9C">
            <w:pPr>
              <w:autoSpaceDE w:val="0"/>
              <w:autoSpaceDN w:val="0"/>
              <w:adjustRightInd w:val="0"/>
              <w:jc w:val="both"/>
              <w:rPr>
                <w:color w:val="2A2A2A"/>
              </w:rPr>
            </w:pPr>
            <w:r>
              <w:rPr>
                <w:color w:val="2A2A2A"/>
              </w:rPr>
              <w:t>Pamatojoties uz iepriekšējās</w:t>
            </w:r>
            <w:r w:rsidR="003536A6">
              <w:rPr>
                <w:color w:val="2A2A2A"/>
              </w:rPr>
              <w:t xml:space="preserve"> projektu iesniegumu atlases kārtā</w:t>
            </w:r>
            <w:r>
              <w:rPr>
                <w:color w:val="2A2A2A"/>
              </w:rPr>
              <w:t>s gūto pieredzi</w:t>
            </w:r>
            <w:r w:rsidR="00D61040">
              <w:rPr>
                <w:color w:val="2A2A2A"/>
              </w:rPr>
              <w:t>, ka ilgāks projektu iesniegumu sagatavošanas laiks neuzlabo projektu iesniegumu kvalitāti</w:t>
            </w:r>
            <w:r>
              <w:rPr>
                <w:color w:val="2A2A2A"/>
              </w:rPr>
              <w:t>,</w:t>
            </w:r>
            <w:r w:rsidR="003536A6">
              <w:rPr>
                <w:color w:val="2A2A2A"/>
              </w:rPr>
              <w:t xml:space="preserve"> kā arī</w:t>
            </w:r>
            <w:r>
              <w:rPr>
                <w:color w:val="2A2A2A"/>
              </w:rPr>
              <w:t>,</w:t>
            </w:r>
            <w:r w:rsidR="003536A6">
              <w:rPr>
                <w:color w:val="2A2A2A"/>
              </w:rPr>
              <w:t xml:space="preserve"> lai neaizkavētu </w:t>
            </w:r>
            <w:r w:rsidR="00D61040">
              <w:rPr>
                <w:color w:val="2A2A2A"/>
              </w:rPr>
              <w:t xml:space="preserve">ES </w:t>
            </w:r>
            <w:r w:rsidR="003536A6">
              <w:rPr>
                <w:color w:val="2A2A2A"/>
              </w:rPr>
              <w:t>fondu finansējuma apguvi</w:t>
            </w:r>
            <w:r>
              <w:rPr>
                <w:color w:val="2A2A2A"/>
              </w:rPr>
              <w:t>,</w:t>
            </w:r>
            <w:r w:rsidR="003536A6">
              <w:rPr>
                <w:color w:val="2A2A2A"/>
              </w:rPr>
              <w:t xml:space="preserve"> plānots saīsināt projektu iesniegumu iesniegšanas termiņu sadarbības iestādē pēc atklātas projektu iesniegumu atlases izsludināšanas no 60 dienām uz 30 dienām</w:t>
            </w:r>
            <w:r>
              <w:rPr>
                <w:color w:val="2A2A2A"/>
              </w:rPr>
              <w:t>.</w:t>
            </w:r>
          </w:p>
          <w:p w:rsidR="003536A6" w:rsidRPr="00EE5E9C" w:rsidRDefault="003536A6" w:rsidP="003536A6">
            <w:pPr>
              <w:autoSpaceDE w:val="0"/>
              <w:autoSpaceDN w:val="0"/>
              <w:adjustRightInd w:val="0"/>
              <w:jc w:val="both"/>
              <w:rPr>
                <w:color w:val="2A2A2A"/>
              </w:rPr>
            </w:pPr>
          </w:p>
        </w:tc>
      </w:tr>
      <w:tr w:rsidR="00BE09F3" w:rsidRPr="001E3003" w:rsidTr="008B477D">
        <w:trPr>
          <w:trHeight w:val="478"/>
        </w:trPr>
        <w:tc>
          <w:tcPr>
            <w:tcW w:w="652" w:type="dxa"/>
          </w:tcPr>
          <w:p w:rsidR="00BE09F3" w:rsidRPr="000F0B0D" w:rsidRDefault="00BE09F3" w:rsidP="00FB6D84">
            <w:pPr>
              <w:spacing w:before="120" w:after="120"/>
              <w:rPr>
                <w:lang w:eastAsia="lv-LV" w:bidi="lo-LA"/>
              </w:rPr>
            </w:pPr>
            <w:r w:rsidRPr="000F0B0D">
              <w:rPr>
                <w:lang w:eastAsia="lv-LV" w:bidi="lo-LA"/>
              </w:rPr>
              <w:lastRenderedPageBreak/>
              <w:t> 3.</w:t>
            </w:r>
          </w:p>
        </w:tc>
        <w:tc>
          <w:tcPr>
            <w:tcW w:w="2717" w:type="dxa"/>
          </w:tcPr>
          <w:p w:rsidR="00BE09F3" w:rsidRPr="000F0B0D" w:rsidRDefault="00BE09F3" w:rsidP="00FB6D84">
            <w:pPr>
              <w:spacing w:before="120" w:after="120"/>
              <w:rPr>
                <w:lang w:eastAsia="lv-LV" w:bidi="lo-LA"/>
              </w:rPr>
            </w:pPr>
            <w:r w:rsidRPr="000F0B0D">
              <w:rPr>
                <w:lang w:eastAsia="lv-LV" w:bidi="lo-LA"/>
              </w:rPr>
              <w:t>Saistītie politikas ietekmes novērtējumi un pētījumi</w:t>
            </w:r>
          </w:p>
        </w:tc>
        <w:tc>
          <w:tcPr>
            <w:tcW w:w="5811" w:type="dxa"/>
            <w:vAlign w:val="center"/>
          </w:tcPr>
          <w:p w:rsidR="00BE09F3" w:rsidRPr="001E3003" w:rsidRDefault="00C949E1" w:rsidP="00FB6D84">
            <w:pPr>
              <w:spacing w:before="120" w:after="120"/>
              <w:jc w:val="both"/>
              <w:rPr>
                <w:color w:val="2A2A2A"/>
              </w:rPr>
            </w:pPr>
            <w:r>
              <w:rPr>
                <w:color w:val="2A2A2A"/>
              </w:rPr>
              <w:t>Projekts šo jomu neskar</w:t>
            </w:r>
            <w:r w:rsidR="003B35F5">
              <w:rPr>
                <w:color w:val="2A2A2A"/>
              </w:rPr>
              <w:t>.</w:t>
            </w:r>
          </w:p>
        </w:tc>
      </w:tr>
      <w:tr w:rsidR="00BE09F3" w:rsidRPr="001E3003" w:rsidTr="008B477D">
        <w:tc>
          <w:tcPr>
            <w:tcW w:w="652" w:type="dxa"/>
          </w:tcPr>
          <w:p w:rsidR="00BE09F3" w:rsidRPr="000F0B0D" w:rsidRDefault="00BE09F3" w:rsidP="00FB6D84">
            <w:pPr>
              <w:spacing w:before="120" w:after="120"/>
              <w:rPr>
                <w:lang w:eastAsia="lv-LV" w:bidi="lo-LA"/>
              </w:rPr>
            </w:pPr>
            <w:r w:rsidRPr="000F0B0D">
              <w:rPr>
                <w:lang w:eastAsia="lv-LV" w:bidi="lo-LA"/>
              </w:rPr>
              <w:t> 4.</w:t>
            </w:r>
          </w:p>
        </w:tc>
        <w:tc>
          <w:tcPr>
            <w:tcW w:w="2717" w:type="dxa"/>
          </w:tcPr>
          <w:p w:rsidR="00BE09F3" w:rsidRPr="000F0B0D" w:rsidRDefault="00BE09F3" w:rsidP="00FB6D84">
            <w:pPr>
              <w:spacing w:before="120" w:after="120"/>
              <w:rPr>
                <w:lang w:eastAsia="lv-LV" w:bidi="lo-LA"/>
              </w:rPr>
            </w:pPr>
            <w:r w:rsidRPr="000F0B0D">
              <w:rPr>
                <w:lang w:eastAsia="lv-LV" w:bidi="lo-LA"/>
              </w:rPr>
              <w:t>Tiesiskā regulējuma mērķis un būtība</w:t>
            </w:r>
          </w:p>
        </w:tc>
        <w:tc>
          <w:tcPr>
            <w:tcW w:w="5811" w:type="dxa"/>
            <w:vAlign w:val="center"/>
          </w:tcPr>
          <w:p w:rsidR="00F4712B" w:rsidRPr="00D477B5" w:rsidRDefault="00C83E55" w:rsidP="00F22C61">
            <w:pPr>
              <w:pStyle w:val="naisc"/>
              <w:spacing w:before="120" w:beforeAutospacing="0" w:after="120" w:afterAutospacing="0"/>
              <w:jc w:val="both"/>
              <w:rPr>
                <w:color w:val="2A2A2A"/>
                <w:lang w:val="lv-LV"/>
              </w:rPr>
            </w:pPr>
            <w:r w:rsidRPr="00D477B5">
              <w:rPr>
                <w:color w:val="2A2A2A"/>
                <w:lang w:val="lv-LV"/>
              </w:rPr>
              <w:t>MK noteikumu grozījum</w:t>
            </w:r>
            <w:r w:rsidR="00BD3728" w:rsidRPr="00D477B5">
              <w:rPr>
                <w:color w:val="2A2A2A"/>
                <w:lang w:val="lv-LV"/>
              </w:rPr>
              <w:t>a</w:t>
            </w:r>
            <w:r w:rsidRPr="00D477B5">
              <w:rPr>
                <w:color w:val="2A2A2A"/>
                <w:lang w:val="lv-LV"/>
              </w:rPr>
              <w:t xml:space="preserve"> projekta mērķis ir nodrošināt</w:t>
            </w:r>
            <w:r w:rsidR="00132D78" w:rsidRPr="00D477B5">
              <w:rPr>
                <w:color w:val="2A2A2A"/>
                <w:lang w:val="lv-LV"/>
              </w:rPr>
              <w:t xml:space="preserve"> </w:t>
            </w:r>
            <w:r w:rsidR="0097712B" w:rsidRPr="00D477B5">
              <w:rPr>
                <w:color w:val="2A2A2A"/>
                <w:lang w:val="lv-LV"/>
              </w:rPr>
              <w:t xml:space="preserve"> </w:t>
            </w:r>
            <w:r w:rsidR="00132D78">
              <w:rPr>
                <w:color w:val="2A2A2A"/>
                <w:lang w:val="lv-LV"/>
              </w:rPr>
              <w:t>Ministru kabineta</w:t>
            </w:r>
            <w:r w:rsidR="00132D78" w:rsidRPr="00132D78">
              <w:rPr>
                <w:color w:val="2A2A2A"/>
                <w:lang w:val="lv-LV"/>
              </w:rPr>
              <w:t xml:space="preserve"> 2011.gada 7.</w:t>
            </w:r>
            <w:r w:rsidR="00132D78">
              <w:rPr>
                <w:color w:val="2A2A2A"/>
                <w:lang w:val="lv-LV"/>
              </w:rPr>
              <w:t>septembra rīkojuma</w:t>
            </w:r>
            <w:r w:rsidR="00132D78" w:rsidRPr="00132D78">
              <w:rPr>
                <w:color w:val="2A2A2A"/>
                <w:lang w:val="lv-LV"/>
              </w:rPr>
              <w:t xml:space="preserve"> Nr.436</w:t>
            </w:r>
            <w:r w:rsidR="00132D78">
              <w:rPr>
                <w:color w:val="2A2A2A"/>
                <w:lang w:val="lv-LV"/>
              </w:rPr>
              <w:t xml:space="preserve"> </w:t>
            </w:r>
            <w:r w:rsidR="00D14666">
              <w:rPr>
                <w:color w:val="2A2A2A"/>
                <w:lang w:val="lv-LV"/>
              </w:rPr>
              <w:t>„</w:t>
            </w:r>
            <w:r w:rsidR="00D14666" w:rsidRPr="00D477B5">
              <w:rPr>
                <w:color w:val="2A2A2A"/>
                <w:lang w:val="lv-LV"/>
              </w:rPr>
              <w:t>Par Veselības norēķinu centra un Veselības ekonomikas centra reorganizāciju</w:t>
            </w:r>
            <w:r w:rsidR="00D14666">
              <w:rPr>
                <w:color w:val="2A2A2A"/>
                <w:lang w:val="lv-LV"/>
              </w:rPr>
              <w:t xml:space="preserve">” </w:t>
            </w:r>
            <w:r w:rsidR="00132D78">
              <w:rPr>
                <w:color w:val="2A2A2A"/>
                <w:lang w:val="lv-LV"/>
              </w:rPr>
              <w:t>izpildi</w:t>
            </w:r>
            <w:r w:rsidR="00F4712B" w:rsidRPr="00D477B5">
              <w:rPr>
                <w:color w:val="2A2A2A"/>
                <w:lang w:val="lv-LV"/>
              </w:rPr>
              <w:t xml:space="preserve"> un</w:t>
            </w:r>
            <w:r w:rsidR="00D14666" w:rsidRPr="00D477B5">
              <w:rPr>
                <w:color w:val="2A2A2A"/>
                <w:lang w:val="lv-LV"/>
              </w:rPr>
              <w:t xml:space="preserve"> </w:t>
            </w:r>
            <w:r w:rsidR="00F4712B" w:rsidRPr="00D477B5">
              <w:rPr>
                <w:color w:val="2A2A2A"/>
                <w:lang w:val="lv-LV"/>
              </w:rPr>
              <w:t>precizēt 3.1.5.1.1.aktivitātes regulējumu atbilsto</w:t>
            </w:r>
            <w:r w:rsidR="00013B7C" w:rsidRPr="00D477B5">
              <w:rPr>
                <w:color w:val="2A2A2A"/>
                <w:lang w:val="lv-LV"/>
              </w:rPr>
              <w:t xml:space="preserve">ši Komisijas Lēmumam, kā arī </w:t>
            </w:r>
            <w:proofErr w:type="spellStart"/>
            <w:r w:rsidR="00013B7C" w:rsidRPr="00D477B5">
              <w:rPr>
                <w:color w:val="2A2A2A"/>
                <w:lang w:val="lv-LV"/>
              </w:rPr>
              <w:t>efe</w:t>
            </w:r>
            <w:r w:rsidR="00F4712B" w:rsidRPr="00D477B5">
              <w:rPr>
                <w:color w:val="2A2A2A"/>
                <w:lang w:val="lv-LV"/>
              </w:rPr>
              <w:t>ktivizēt</w:t>
            </w:r>
            <w:proofErr w:type="spellEnd"/>
            <w:r w:rsidR="00F4712B" w:rsidRPr="00D477B5">
              <w:rPr>
                <w:color w:val="2A2A2A"/>
                <w:lang w:val="lv-LV"/>
              </w:rPr>
              <w:t xml:space="preserve"> 3.1.5.1.1.apakšaktivitātes regulējumu.</w:t>
            </w:r>
          </w:p>
          <w:p w:rsidR="00D14666" w:rsidRPr="00D477B5" w:rsidRDefault="00F4712B" w:rsidP="00F22C61">
            <w:pPr>
              <w:pStyle w:val="naisc"/>
              <w:spacing w:before="120" w:beforeAutospacing="0" w:after="120" w:afterAutospacing="0"/>
              <w:jc w:val="both"/>
              <w:rPr>
                <w:color w:val="2A2A2A"/>
                <w:lang w:val="lv-LV"/>
              </w:rPr>
            </w:pPr>
            <w:r w:rsidRPr="00D477B5">
              <w:rPr>
                <w:color w:val="2A2A2A"/>
                <w:lang w:val="lv-LV"/>
              </w:rPr>
              <w:t>Nodrošinot  Ministru kabineta 2011.gada 7.septembra rīkojuma Nr.436 „Par Veselības norēķinu centra un Veselības ekonomikas centra reorganizāciju” izpildi,</w:t>
            </w:r>
            <w:r>
              <w:rPr>
                <w:color w:val="2A2A2A"/>
                <w:lang w:val="lv-LV"/>
              </w:rPr>
              <w:t xml:space="preserve"> paredzēts noteikt, ka sadarbības iestādes funkcijas veic valsts aģentūra „Centrālā finanšu un līgumu aģentūra”, savukārt centralizētos iepirkumus organizē Nacionālais veselības dienests.</w:t>
            </w:r>
          </w:p>
          <w:p w:rsidR="00F4712B" w:rsidRPr="00D477B5" w:rsidRDefault="00F4712B" w:rsidP="00F22C61">
            <w:pPr>
              <w:pStyle w:val="naisc"/>
              <w:spacing w:before="120" w:beforeAutospacing="0" w:after="120" w:afterAutospacing="0"/>
              <w:jc w:val="both"/>
              <w:rPr>
                <w:color w:val="2A2A2A"/>
                <w:lang w:val="lv-LV"/>
              </w:rPr>
            </w:pPr>
            <w:r w:rsidRPr="00D477B5">
              <w:rPr>
                <w:color w:val="2A2A2A"/>
                <w:lang w:val="lv-LV"/>
              </w:rPr>
              <w:t>Nodrošinot 3.1.5.1.1.aktivitātes regulējuma precizēšanu atbilstoši Komisijas Lēmumam paredzēts noteikt:</w:t>
            </w:r>
          </w:p>
          <w:p w:rsidR="00F4712B" w:rsidRPr="00D477B5" w:rsidRDefault="00F4712B" w:rsidP="00F4712B">
            <w:pPr>
              <w:numPr>
                <w:ilvl w:val="0"/>
                <w:numId w:val="15"/>
              </w:numPr>
              <w:autoSpaceDE w:val="0"/>
              <w:autoSpaceDN w:val="0"/>
              <w:adjustRightInd w:val="0"/>
              <w:jc w:val="both"/>
              <w:rPr>
                <w:color w:val="2A2A2A"/>
              </w:rPr>
            </w:pPr>
            <w:r w:rsidRPr="00D477B5">
              <w:rPr>
                <w:color w:val="2A2A2A"/>
              </w:rPr>
              <w:t>ka attīstības izmaksas telpās, kuras ārstniecības iestāde nodrošina ģimenes ārsta pakalpojumu sniegšanai,</w:t>
            </w:r>
            <w:r w:rsidR="00D664F3">
              <w:rPr>
                <w:color w:val="2A2A2A"/>
              </w:rPr>
              <w:t xml:space="preserve"> ir</w:t>
            </w:r>
            <w:r w:rsidRPr="00D477B5">
              <w:rPr>
                <w:color w:val="2A2A2A"/>
              </w:rPr>
              <w:t xml:space="preserve"> attiecinām</w:t>
            </w:r>
            <w:r w:rsidR="00D664F3">
              <w:rPr>
                <w:color w:val="2A2A2A"/>
              </w:rPr>
              <w:t>as, ja attiecīgu</w:t>
            </w:r>
            <w:r w:rsidRPr="00D477B5">
              <w:rPr>
                <w:color w:val="2A2A2A"/>
              </w:rPr>
              <w:t xml:space="preserve"> telpu nodrošināšana ir noteikta par pienākumu ārstniecības iestādei un telpas nomas maksa noteikta atbilstoši Komisijas Lēmumam;</w:t>
            </w:r>
          </w:p>
          <w:p w:rsidR="00F4712B" w:rsidRPr="00D477B5" w:rsidRDefault="00ED2CD1" w:rsidP="00F4712B">
            <w:pPr>
              <w:numPr>
                <w:ilvl w:val="0"/>
                <w:numId w:val="15"/>
              </w:numPr>
              <w:autoSpaceDE w:val="0"/>
              <w:autoSpaceDN w:val="0"/>
              <w:adjustRightInd w:val="0"/>
              <w:jc w:val="both"/>
              <w:rPr>
                <w:color w:val="2A2A2A"/>
              </w:rPr>
            </w:pPr>
            <w:r w:rsidRPr="00D477B5">
              <w:rPr>
                <w:color w:val="2A2A2A"/>
              </w:rPr>
              <w:t>saprā</w:t>
            </w:r>
            <w:r w:rsidR="00F4712B" w:rsidRPr="00D477B5">
              <w:rPr>
                <w:color w:val="2A2A2A"/>
              </w:rPr>
              <w:t>tīg</w:t>
            </w:r>
            <w:r w:rsidR="00D664F3">
              <w:rPr>
                <w:color w:val="2A2A2A"/>
              </w:rPr>
              <w:t>a</w:t>
            </w:r>
            <w:r w:rsidR="00F4712B" w:rsidRPr="00D477B5">
              <w:rPr>
                <w:color w:val="2A2A2A"/>
              </w:rPr>
              <w:t>s peļņas normas aprēķināšanas nosacījumus</w:t>
            </w:r>
            <w:r w:rsidRPr="00D477B5">
              <w:rPr>
                <w:color w:val="2A2A2A"/>
              </w:rPr>
              <w:t>;</w:t>
            </w:r>
          </w:p>
          <w:p w:rsidR="00F4712B" w:rsidRPr="00D477B5" w:rsidRDefault="00F4712B" w:rsidP="00F4712B">
            <w:pPr>
              <w:numPr>
                <w:ilvl w:val="0"/>
                <w:numId w:val="15"/>
              </w:numPr>
              <w:autoSpaceDE w:val="0"/>
              <w:autoSpaceDN w:val="0"/>
              <w:adjustRightInd w:val="0"/>
              <w:jc w:val="both"/>
              <w:rPr>
                <w:color w:val="2A2A2A"/>
              </w:rPr>
            </w:pPr>
            <w:r w:rsidRPr="00D477B5">
              <w:rPr>
                <w:color w:val="2A2A2A"/>
              </w:rPr>
              <w:lastRenderedPageBreak/>
              <w:t>ka līgumos par veselības aprūpes pakalpojumiem jābūt atsaucei uz Komisijas Lēmumu, ja līgums noslēgts pēc 2012.gada 31.janvāra;</w:t>
            </w:r>
          </w:p>
          <w:p w:rsidR="00F4712B" w:rsidRPr="00D477B5" w:rsidRDefault="00F4712B" w:rsidP="00F4712B">
            <w:pPr>
              <w:numPr>
                <w:ilvl w:val="0"/>
                <w:numId w:val="15"/>
              </w:numPr>
              <w:autoSpaceDE w:val="0"/>
              <w:autoSpaceDN w:val="0"/>
              <w:adjustRightInd w:val="0"/>
              <w:jc w:val="both"/>
              <w:rPr>
                <w:color w:val="2A2A2A"/>
              </w:rPr>
            </w:pPr>
            <w:r w:rsidRPr="00D477B5">
              <w:rPr>
                <w:color w:val="2A2A2A"/>
              </w:rPr>
              <w:t>finansējuma saņēmējiem par pienākumu nodrošināt sadarbības iestādei dokumentus, kas pierāda valsts apmaksāto un maksas veselības aprūpes pakalpoju</w:t>
            </w:r>
            <w:r w:rsidR="00ED2CD1" w:rsidRPr="00D477B5">
              <w:rPr>
                <w:color w:val="2A2A2A"/>
              </w:rPr>
              <w:t>mu un ar to saistīto finanšu plū</w:t>
            </w:r>
            <w:r w:rsidRPr="00D477B5">
              <w:rPr>
                <w:color w:val="2A2A2A"/>
              </w:rPr>
              <w:t>smu nodali</w:t>
            </w:r>
            <w:r w:rsidR="006B1E1F" w:rsidRPr="00D477B5">
              <w:rPr>
                <w:color w:val="2A2A2A"/>
              </w:rPr>
              <w:t>.</w:t>
            </w:r>
          </w:p>
          <w:p w:rsidR="00F4712B" w:rsidRPr="00D477B5" w:rsidRDefault="006B1E1F" w:rsidP="00F22C61">
            <w:pPr>
              <w:pStyle w:val="naisc"/>
              <w:spacing w:before="120" w:beforeAutospacing="0" w:after="120" w:afterAutospacing="0"/>
              <w:jc w:val="both"/>
              <w:rPr>
                <w:color w:val="2A2A2A"/>
                <w:lang w:val="lv-LV"/>
              </w:rPr>
            </w:pPr>
            <w:r w:rsidRPr="00D477B5">
              <w:rPr>
                <w:color w:val="2A2A2A"/>
                <w:lang w:val="lv-LV"/>
              </w:rPr>
              <w:t>Savukārt nodrošinot 3.1.5.1.1.apakšaktivitātes regulējuma uzlabojumu, paredzēts noteikt:</w:t>
            </w:r>
          </w:p>
          <w:p w:rsidR="006B1E1F" w:rsidRPr="00D477B5" w:rsidRDefault="006B1E1F" w:rsidP="006B1E1F">
            <w:pPr>
              <w:numPr>
                <w:ilvl w:val="0"/>
                <w:numId w:val="15"/>
              </w:numPr>
              <w:autoSpaceDE w:val="0"/>
              <w:autoSpaceDN w:val="0"/>
              <w:adjustRightInd w:val="0"/>
              <w:jc w:val="both"/>
              <w:rPr>
                <w:color w:val="2A2A2A"/>
              </w:rPr>
            </w:pPr>
            <w:r w:rsidRPr="00D477B5">
              <w:rPr>
                <w:color w:val="2A2A2A"/>
              </w:rPr>
              <w:t xml:space="preserve">ka Nacionālais veselības dienests, organizējot iepirkumus aktivitātes „Ģimenes ārstu tīkla attīstība” ietvaros, no sadarbības iestādes nepieaicina pārstāvi, jo sadarbības iestāde savu viedokli par iepirkumu var sniegt iepirkumu dokumentācijas </w:t>
            </w:r>
            <w:proofErr w:type="spellStart"/>
            <w:r w:rsidRPr="00D477B5">
              <w:rPr>
                <w:color w:val="2A2A2A"/>
              </w:rPr>
              <w:t>pirmspārbaudes</w:t>
            </w:r>
            <w:proofErr w:type="spellEnd"/>
            <w:r w:rsidRPr="00D477B5">
              <w:rPr>
                <w:color w:val="2A2A2A"/>
              </w:rPr>
              <w:t xml:space="preserve"> ietvaros;</w:t>
            </w:r>
          </w:p>
          <w:p w:rsidR="006B1E1F" w:rsidRPr="00D477B5" w:rsidRDefault="006B1E1F" w:rsidP="006B1E1F">
            <w:pPr>
              <w:numPr>
                <w:ilvl w:val="0"/>
                <w:numId w:val="15"/>
              </w:numPr>
              <w:autoSpaceDE w:val="0"/>
              <w:autoSpaceDN w:val="0"/>
              <w:adjustRightInd w:val="0"/>
              <w:jc w:val="both"/>
              <w:rPr>
                <w:color w:val="2A2A2A"/>
              </w:rPr>
            </w:pPr>
            <w:r w:rsidRPr="00D477B5">
              <w:rPr>
                <w:color w:val="2A2A2A"/>
              </w:rPr>
              <w:t>ka maksājumus finansējuma saņēmēji var veikt m</w:t>
            </w:r>
            <w:r w:rsidR="00D664F3">
              <w:rPr>
                <w:color w:val="2A2A2A"/>
              </w:rPr>
              <w:t>ē</w:t>
            </w:r>
            <w:r w:rsidRPr="00D477B5">
              <w:rPr>
                <w:color w:val="2A2A2A"/>
              </w:rPr>
              <w:t>n</w:t>
            </w:r>
            <w:r w:rsidR="0082323A">
              <w:rPr>
                <w:color w:val="2A2A2A"/>
              </w:rPr>
              <w:t>e</w:t>
            </w:r>
            <w:r w:rsidRPr="00D477B5">
              <w:rPr>
                <w:color w:val="2A2A2A"/>
              </w:rPr>
              <w:t>ša laikā pēc projekta beigu termiņa, tādējādi nodrošinot regulējuma atbilstību maksājumu veikšanas kārtībai;</w:t>
            </w:r>
          </w:p>
          <w:p w:rsidR="006B1E1F" w:rsidRPr="00D477B5" w:rsidRDefault="00D664F3" w:rsidP="006B1E1F">
            <w:pPr>
              <w:numPr>
                <w:ilvl w:val="0"/>
                <w:numId w:val="15"/>
              </w:numPr>
              <w:autoSpaceDE w:val="0"/>
              <w:autoSpaceDN w:val="0"/>
              <w:adjustRightInd w:val="0"/>
              <w:jc w:val="both"/>
              <w:rPr>
                <w:color w:val="2A2A2A"/>
              </w:rPr>
            </w:pPr>
            <w:r>
              <w:rPr>
                <w:color w:val="2A2A2A"/>
              </w:rPr>
              <w:t>detalizētāku</w:t>
            </w:r>
            <w:r w:rsidR="006B1E1F" w:rsidRPr="00D477B5">
              <w:rPr>
                <w:color w:val="2A2A2A"/>
              </w:rPr>
              <w:t xml:space="preserve"> datortehnikas sadalījumu pa </w:t>
            </w:r>
            <w:proofErr w:type="spellStart"/>
            <w:r w:rsidR="006B1E1F" w:rsidRPr="00D477B5">
              <w:rPr>
                <w:color w:val="2A2A2A"/>
              </w:rPr>
              <w:t>poz</w:t>
            </w:r>
            <w:r w:rsidR="00D85DCE" w:rsidRPr="00D477B5">
              <w:rPr>
                <w:color w:val="2A2A2A"/>
              </w:rPr>
              <w:t>ī</w:t>
            </w:r>
            <w:r w:rsidR="006B1E1F" w:rsidRPr="00D477B5">
              <w:rPr>
                <w:color w:val="2A2A2A"/>
              </w:rPr>
              <w:t>cījām</w:t>
            </w:r>
            <w:proofErr w:type="spellEnd"/>
            <w:r w:rsidR="006B1E1F" w:rsidRPr="00D477B5">
              <w:rPr>
                <w:color w:val="2A2A2A"/>
              </w:rPr>
              <w:t xml:space="preserve">, nodrošinot informāciju </w:t>
            </w:r>
            <w:r w:rsidR="00BF2977" w:rsidRPr="00D477B5">
              <w:rPr>
                <w:color w:val="2A2A2A"/>
              </w:rPr>
              <w:t>iepirkuma apjoma noteikšanai;</w:t>
            </w:r>
          </w:p>
          <w:p w:rsidR="00F720AE" w:rsidRDefault="00BF2977" w:rsidP="00BF2977">
            <w:pPr>
              <w:numPr>
                <w:ilvl w:val="0"/>
                <w:numId w:val="15"/>
              </w:numPr>
              <w:autoSpaceDE w:val="0"/>
              <w:autoSpaceDN w:val="0"/>
              <w:adjustRightInd w:val="0"/>
              <w:jc w:val="both"/>
              <w:rPr>
                <w:color w:val="2A2A2A"/>
              </w:rPr>
            </w:pPr>
            <w:r w:rsidRPr="00D477B5">
              <w:rPr>
                <w:color w:val="2A2A2A"/>
              </w:rPr>
              <w:t>ilgāku projektu ieviešanas termiņu, minimizējot aizkavēto centralizēto iepirkumu ietekmi uz finansējuma saņēmējiem</w:t>
            </w:r>
            <w:r w:rsidR="00F720AE">
              <w:rPr>
                <w:color w:val="2A2A2A"/>
              </w:rPr>
              <w:t>;</w:t>
            </w:r>
          </w:p>
          <w:p w:rsidR="001D55DA" w:rsidRPr="00F720AE" w:rsidRDefault="00F720AE" w:rsidP="00BF2977">
            <w:pPr>
              <w:numPr>
                <w:ilvl w:val="0"/>
                <w:numId w:val="15"/>
              </w:numPr>
              <w:autoSpaceDE w:val="0"/>
              <w:autoSpaceDN w:val="0"/>
              <w:adjustRightInd w:val="0"/>
              <w:jc w:val="both"/>
              <w:rPr>
                <w:color w:val="2A2A2A"/>
              </w:rPr>
            </w:pPr>
            <w:r w:rsidRPr="00F720AE">
              <w:t>izteikt MK noteikumu Nr.</w:t>
            </w:r>
            <w:r>
              <w:t>726</w:t>
            </w:r>
            <w:r w:rsidRPr="00F720AE">
              <w:t xml:space="preserve"> </w:t>
            </w:r>
            <w:r>
              <w:t>11.3</w:t>
            </w:r>
            <w:r w:rsidRPr="00F720AE">
              <w:t>.apakšpunktu jaunā redakcijā, paredzot, ka finansēšanai no E</w:t>
            </w:r>
            <w:r>
              <w:t>RAF</w:t>
            </w:r>
            <w:r w:rsidRPr="00F720AE">
              <w:t xml:space="preserve"> līdzekļiem un valsts budžeta </w:t>
            </w:r>
            <w:r w:rsidRPr="00F720AE">
              <w:rPr>
                <w:u w:val="single"/>
              </w:rPr>
              <w:t>nav attiecināmas izmaksas kuras radušās pēc projekta īstenošanas termiņa beigām</w:t>
            </w:r>
            <w:r w:rsidRPr="00F720AE">
              <w:rPr>
                <w:color w:val="2A2A2A"/>
              </w:rPr>
              <w:t>.</w:t>
            </w:r>
          </w:p>
          <w:p w:rsidR="001D55DA" w:rsidRDefault="001D55DA" w:rsidP="001D55DA">
            <w:pPr>
              <w:autoSpaceDE w:val="0"/>
              <w:autoSpaceDN w:val="0"/>
              <w:adjustRightInd w:val="0"/>
              <w:ind w:left="60"/>
              <w:jc w:val="both"/>
              <w:rPr>
                <w:color w:val="2A2A2A"/>
              </w:rPr>
            </w:pPr>
          </w:p>
          <w:p w:rsidR="00AA328F" w:rsidRDefault="00D61040" w:rsidP="001D55DA">
            <w:pPr>
              <w:autoSpaceDE w:val="0"/>
              <w:autoSpaceDN w:val="0"/>
              <w:adjustRightInd w:val="0"/>
              <w:jc w:val="both"/>
              <w:rPr>
                <w:color w:val="2A2A2A"/>
              </w:rPr>
            </w:pPr>
            <w:r>
              <w:rPr>
                <w:color w:val="2A2A2A"/>
              </w:rPr>
              <w:t>Paredzēts</w:t>
            </w:r>
            <w:r w:rsidR="001D55DA">
              <w:rPr>
                <w:color w:val="2A2A2A"/>
              </w:rPr>
              <w:t xml:space="preserve"> saīsināt projektu iesniegumu iesniegšanas termiņu sadarbības iestādē pēc atklātas projektu iesniegumu atlases izsludināšanas no 60 dienām uz 30 dienām.</w:t>
            </w:r>
          </w:p>
          <w:p w:rsidR="00F720AE" w:rsidRPr="00D477B5" w:rsidRDefault="00F720AE" w:rsidP="001D55DA">
            <w:pPr>
              <w:autoSpaceDE w:val="0"/>
              <w:autoSpaceDN w:val="0"/>
              <w:adjustRightInd w:val="0"/>
              <w:jc w:val="both"/>
              <w:rPr>
                <w:color w:val="2A2A2A"/>
              </w:rPr>
            </w:pPr>
          </w:p>
        </w:tc>
      </w:tr>
      <w:tr w:rsidR="009A7369" w:rsidRPr="001E3003" w:rsidTr="008B477D">
        <w:tc>
          <w:tcPr>
            <w:tcW w:w="652" w:type="dxa"/>
          </w:tcPr>
          <w:p w:rsidR="009A7369" w:rsidRPr="000F0B0D" w:rsidRDefault="009A7369" w:rsidP="00FB6D84">
            <w:pPr>
              <w:spacing w:before="120" w:after="120"/>
              <w:rPr>
                <w:lang w:eastAsia="lv-LV" w:bidi="lo-LA"/>
              </w:rPr>
            </w:pPr>
            <w:r w:rsidRPr="000F0B0D">
              <w:rPr>
                <w:lang w:eastAsia="lv-LV" w:bidi="lo-LA"/>
              </w:rPr>
              <w:lastRenderedPageBreak/>
              <w:t> 5.</w:t>
            </w:r>
          </w:p>
        </w:tc>
        <w:tc>
          <w:tcPr>
            <w:tcW w:w="2717" w:type="dxa"/>
          </w:tcPr>
          <w:p w:rsidR="009A7369" w:rsidRPr="000F0B0D" w:rsidRDefault="009A7369" w:rsidP="00FB6D84">
            <w:pPr>
              <w:spacing w:before="120" w:after="120"/>
              <w:rPr>
                <w:lang w:eastAsia="lv-LV" w:bidi="lo-LA"/>
              </w:rPr>
            </w:pPr>
            <w:r w:rsidRPr="000F0B0D">
              <w:rPr>
                <w:lang w:eastAsia="lv-LV" w:bidi="lo-LA"/>
              </w:rPr>
              <w:t>Projekta izstrādē iesaistītās institūcijas</w:t>
            </w:r>
          </w:p>
        </w:tc>
        <w:tc>
          <w:tcPr>
            <w:tcW w:w="5811" w:type="dxa"/>
            <w:vAlign w:val="center"/>
          </w:tcPr>
          <w:p w:rsidR="009A7369" w:rsidRPr="001E3003" w:rsidRDefault="00233D20" w:rsidP="00FB6D84">
            <w:pPr>
              <w:spacing w:before="120" w:after="120"/>
              <w:ind w:right="244"/>
              <w:jc w:val="both"/>
              <w:rPr>
                <w:iCs/>
                <w:sz w:val="22"/>
                <w:szCs w:val="22"/>
              </w:rPr>
            </w:pPr>
            <w:r>
              <w:t>Projekts šo jomu neskar</w:t>
            </w:r>
            <w:r w:rsidR="00E32A46">
              <w:t>.</w:t>
            </w:r>
            <w:r>
              <w:t xml:space="preserve"> </w:t>
            </w:r>
          </w:p>
        </w:tc>
      </w:tr>
      <w:tr w:rsidR="009A7369" w:rsidRPr="001E3003" w:rsidTr="008B477D">
        <w:tc>
          <w:tcPr>
            <w:tcW w:w="652" w:type="dxa"/>
          </w:tcPr>
          <w:p w:rsidR="009A7369" w:rsidRPr="000F0B0D" w:rsidRDefault="009A7369" w:rsidP="00FB6D84">
            <w:pPr>
              <w:spacing w:before="120" w:after="120"/>
              <w:rPr>
                <w:lang w:eastAsia="lv-LV" w:bidi="lo-LA"/>
              </w:rPr>
            </w:pPr>
            <w:r w:rsidRPr="000F0B0D">
              <w:rPr>
                <w:lang w:eastAsia="lv-LV" w:bidi="lo-LA"/>
              </w:rPr>
              <w:t> 6.</w:t>
            </w:r>
          </w:p>
        </w:tc>
        <w:tc>
          <w:tcPr>
            <w:tcW w:w="2717" w:type="dxa"/>
          </w:tcPr>
          <w:p w:rsidR="009A7369" w:rsidRPr="000F0B0D" w:rsidRDefault="009A7369" w:rsidP="00FB6D84">
            <w:pPr>
              <w:spacing w:before="120" w:after="120"/>
              <w:rPr>
                <w:lang w:eastAsia="lv-LV" w:bidi="lo-LA"/>
              </w:rPr>
            </w:pPr>
            <w:r w:rsidRPr="000F0B0D">
              <w:rPr>
                <w:lang w:eastAsia="lv-LV" w:bidi="lo-LA"/>
              </w:rPr>
              <w:t>Iemesli, kādēļ netika nodrošināta sabiedrības līdzdalība</w:t>
            </w:r>
          </w:p>
        </w:tc>
        <w:tc>
          <w:tcPr>
            <w:tcW w:w="5811" w:type="dxa"/>
            <w:vAlign w:val="center"/>
          </w:tcPr>
          <w:p w:rsidR="009A7369" w:rsidRPr="00F05A22" w:rsidRDefault="00631007" w:rsidP="00F22C61">
            <w:pPr>
              <w:spacing w:before="120" w:after="120"/>
              <w:jc w:val="both"/>
            </w:pPr>
            <w:r w:rsidRPr="00F22C61">
              <w:t>MK noteikumu grozījum</w:t>
            </w:r>
            <w:r w:rsidR="00BD3728" w:rsidRPr="00F22C61">
              <w:t>a</w:t>
            </w:r>
            <w:r w:rsidRPr="00F22C61">
              <w:t xml:space="preserve"> projekts paredz </w:t>
            </w:r>
            <w:r w:rsidR="00F22C61" w:rsidRPr="00F22C61">
              <w:t>tehniskus precizējumus</w:t>
            </w:r>
            <w:r w:rsidRPr="00F22C61">
              <w:t>, līdz ar to sabiedrības līdzdalība nav nepieciešama.</w:t>
            </w:r>
          </w:p>
        </w:tc>
      </w:tr>
      <w:tr w:rsidR="00BE09F3" w:rsidRPr="001E3003" w:rsidTr="008B477D">
        <w:trPr>
          <w:trHeight w:val="70"/>
        </w:trPr>
        <w:tc>
          <w:tcPr>
            <w:tcW w:w="652" w:type="dxa"/>
          </w:tcPr>
          <w:p w:rsidR="00BE09F3" w:rsidRPr="000F0B0D" w:rsidRDefault="00BE09F3" w:rsidP="00FB6D84">
            <w:pPr>
              <w:spacing w:before="120" w:after="120"/>
              <w:rPr>
                <w:lang w:eastAsia="lv-LV" w:bidi="lo-LA"/>
              </w:rPr>
            </w:pPr>
            <w:r w:rsidRPr="000F0B0D">
              <w:rPr>
                <w:lang w:eastAsia="lv-LV" w:bidi="lo-LA"/>
              </w:rPr>
              <w:t> 7.</w:t>
            </w:r>
          </w:p>
        </w:tc>
        <w:tc>
          <w:tcPr>
            <w:tcW w:w="2717" w:type="dxa"/>
          </w:tcPr>
          <w:p w:rsidR="00BE09F3" w:rsidRPr="000F0B0D" w:rsidRDefault="00BE09F3" w:rsidP="00FB6D84">
            <w:pPr>
              <w:spacing w:before="120" w:after="120"/>
              <w:rPr>
                <w:lang w:eastAsia="lv-LV" w:bidi="lo-LA"/>
              </w:rPr>
            </w:pPr>
            <w:r w:rsidRPr="000F0B0D">
              <w:rPr>
                <w:lang w:eastAsia="lv-LV" w:bidi="lo-LA"/>
              </w:rPr>
              <w:t>Cita informācija</w:t>
            </w:r>
          </w:p>
        </w:tc>
        <w:tc>
          <w:tcPr>
            <w:tcW w:w="5811" w:type="dxa"/>
            <w:vAlign w:val="center"/>
          </w:tcPr>
          <w:p w:rsidR="009402B1" w:rsidRPr="000F0B0D" w:rsidRDefault="001D0679" w:rsidP="001D0679">
            <w:pPr>
              <w:ind w:left="33"/>
              <w:jc w:val="both"/>
            </w:pPr>
            <w:r>
              <w:t>Nav</w:t>
            </w:r>
            <w:r w:rsidR="00E32A46">
              <w:t>.</w:t>
            </w:r>
          </w:p>
        </w:tc>
      </w:tr>
    </w:tbl>
    <w:p w:rsidR="00B9292C" w:rsidRDefault="00B9292C" w:rsidP="00B9292C">
      <w:pPr>
        <w:autoSpaceDE w:val="0"/>
        <w:autoSpaceDN w:val="0"/>
        <w:adjustRightInd w:val="0"/>
        <w:rPr>
          <w:noProof/>
          <w:sz w:val="28"/>
          <w:szCs w:val="28"/>
        </w:rPr>
      </w:pPr>
    </w:p>
    <w:p w:rsidR="008B477D" w:rsidRDefault="008B477D" w:rsidP="00B9292C">
      <w:pPr>
        <w:autoSpaceDE w:val="0"/>
        <w:autoSpaceDN w:val="0"/>
        <w:adjustRightInd w:val="0"/>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4"/>
        <w:gridCol w:w="2715"/>
        <w:gridCol w:w="5811"/>
      </w:tblGrid>
      <w:tr w:rsidR="00F0258D" w:rsidRPr="00F35660" w:rsidTr="008B477D">
        <w:trPr>
          <w:trHeight w:val="503"/>
        </w:trPr>
        <w:tc>
          <w:tcPr>
            <w:tcW w:w="9180" w:type="dxa"/>
            <w:gridSpan w:val="3"/>
            <w:vAlign w:val="center"/>
          </w:tcPr>
          <w:p w:rsidR="00F0258D" w:rsidRPr="00F35660" w:rsidRDefault="00F0258D" w:rsidP="009E58C7">
            <w:pPr>
              <w:autoSpaceDE w:val="0"/>
              <w:autoSpaceDN w:val="0"/>
              <w:adjustRightInd w:val="0"/>
              <w:rPr>
                <w:b/>
                <w:noProof/>
                <w:sz w:val="28"/>
                <w:szCs w:val="28"/>
              </w:rPr>
            </w:pPr>
            <w:r w:rsidRPr="00F35660">
              <w:rPr>
                <w:b/>
                <w:lang w:eastAsia="lv-LV" w:bidi="lo-LA"/>
              </w:rPr>
              <w:lastRenderedPageBreak/>
              <w:t>II. Tiesību akta projekta ietekme uz sabiedrību</w:t>
            </w:r>
          </w:p>
        </w:tc>
      </w:tr>
      <w:tr w:rsidR="00F0258D" w:rsidRPr="00F35660" w:rsidTr="008B477D">
        <w:tc>
          <w:tcPr>
            <w:tcW w:w="654" w:type="dxa"/>
          </w:tcPr>
          <w:p w:rsidR="00F0258D" w:rsidRPr="00F35660" w:rsidRDefault="00F0258D" w:rsidP="009E58C7">
            <w:pPr>
              <w:spacing w:before="100" w:beforeAutospacing="1" w:after="100" w:afterAutospacing="1"/>
              <w:rPr>
                <w:lang w:eastAsia="lv-LV" w:bidi="lo-LA"/>
              </w:rPr>
            </w:pPr>
            <w:r w:rsidRPr="00F35660">
              <w:rPr>
                <w:lang w:eastAsia="lv-LV" w:bidi="lo-LA"/>
              </w:rPr>
              <w:t> 1.</w:t>
            </w:r>
          </w:p>
        </w:tc>
        <w:tc>
          <w:tcPr>
            <w:tcW w:w="2715" w:type="dxa"/>
          </w:tcPr>
          <w:p w:rsidR="00F0258D" w:rsidRPr="00F35660" w:rsidRDefault="00F0258D" w:rsidP="009E58C7">
            <w:pPr>
              <w:spacing w:before="100" w:beforeAutospacing="1" w:after="100" w:afterAutospacing="1"/>
              <w:rPr>
                <w:lang w:eastAsia="lv-LV" w:bidi="lo-LA"/>
              </w:rPr>
            </w:pPr>
            <w:r w:rsidRPr="00F35660">
              <w:rPr>
                <w:lang w:eastAsia="lv-LV" w:bidi="lo-LA"/>
              </w:rPr>
              <w:t>Sabiedrības mērķgrupa</w:t>
            </w:r>
          </w:p>
        </w:tc>
        <w:tc>
          <w:tcPr>
            <w:tcW w:w="5811" w:type="dxa"/>
            <w:vAlign w:val="center"/>
          </w:tcPr>
          <w:p w:rsidR="00F0258D" w:rsidRPr="00F35660" w:rsidRDefault="00F0258D" w:rsidP="00FB6D84">
            <w:pPr>
              <w:jc w:val="both"/>
            </w:pPr>
            <w:r w:rsidRPr="000F0B0D">
              <w:t xml:space="preserve">Valsts apmaksāto ģimenes ārsta pakalpojumu sniegšanā iesaistītas iestādes un valsts apmaksāto ģimenes ārsta pakalpojumu saņēmēji. </w:t>
            </w:r>
          </w:p>
        </w:tc>
      </w:tr>
      <w:tr w:rsidR="00F0258D" w:rsidRPr="00F35660" w:rsidTr="008B477D">
        <w:tc>
          <w:tcPr>
            <w:tcW w:w="654" w:type="dxa"/>
          </w:tcPr>
          <w:p w:rsidR="00F0258D" w:rsidRPr="00F35660" w:rsidRDefault="00F0258D" w:rsidP="009E58C7">
            <w:pPr>
              <w:spacing w:before="100" w:beforeAutospacing="1" w:after="100" w:afterAutospacing="1"/>
              <w:rPr>
                <w:lang w:eastAsia="lv-LV" w:bidi="lo-LA"/>
              </w:rPr>
            </w:pPr>
            <w:r w:rsidRPr="00F35660">
              <w:rPr>
                <w:lang w:eastAsia="lv-LV" w:bidi="lo-LA"/>
              </w:rPr>
              <w:t> 2.</w:t>
            </w:r>
          </w:p>
        </w:tc>
        <w:tc>
          <w:tcPr>
            <w:tcW w:w="2715" w:type="dxa"/>
          </w:tcPr>
          <w:p w:rsidR="00F0258D" w:rsidRPr="00F35660" w:rsidRDefault="00F0258D" w:rsidP="009E58C7">
            <w:pPr>
              <w:spacing w:before="100" w:beforeAutospacing="1" w:after="100" w:afterAutospacing="1"/>
              <w:rPr>
                <w:lang w:eastAsia="lv-LV" w:bidi="lo-LA"/>
              </w:rPr>
            </w:pPr>
            <w:r w:rsidRPr="00F35660">
              <w:rPr>
                <w:lang w:eastAsia="lv-LV" w:bidi="lo-LA"/>
              </w:rPr>
              <w:t>Citas sabiedrības grupas (bez mērķgrupas), kuras tiesiskais regulējums arī ietekmē vai varētu ietekmēt</w:t>
            </w:r>
          </w:p>
        </w:tc>
        <w:tc>
          <w:tcPr>
            <w:tcW w:w="5811" w:type="dxa"/>
            <w:vAlign w:val="center"/>
          </w:tcPr>
          <w:p w:rsidR="00F0258D" w:rsidRPr="00F35660" w:rsidRDefault="00C949E1" w:rsidP="00FB6D84">
            <w:pPr>
              <w:pStyle w:val="naiskr"/>
            </w:pPr>
            <w:r>
              <w:rPr>
                <w:color w:val="2A2A2A"/>
              </w:rPr>
              <w:t>Projekts šo jomu neskar</w:t>
            </w:r>
            <w:r w:rsidR="00E32A46">
              <w:rPr>
                <w:color w:val="2A2A2A"/>
              </w:rPr>
              <w:t>.</w:t>
            </w:r>
          </w:p>
        </w:tc>
      </w:tr>
      <w:tr w:rsidR="00F0258D" w:rsidRPr="00F35660" w:rsidTr="008B477D">
        <w:tc>
          <w:tcPr>
            <w:tcW w:w="654" w:type="dxa"/>
          </w:tcPr>
          <w:p w:rsidR="00F0258D" w:rsidRPr="00F35660" w:rsidRDefault="00F0258D" w:rsidP="009E58C7">
            <w:pPr>
              <w:spacing w:before="100" w:beforeAutospacing="1" w:after="100" w:afterAutospacing="1"/>
              <w:rPr>
                <w:lang w:eastAsia="lv-LV" w:bidi="lo-LA"/>
              </w:rPr>
            </w:pPr>
            <w:r w:rsidRPr="00F35660">
              <w:rPr>
                <w:lang w:eastAsia="lv-LV" w:bidi="lo-LA"/>
              </w:rPr>
              <w:t> 3.</w:t>
            </w:r>
          </w:p>
        </w:tc>
        <w:tc>
          <w:tcPr>
            <w:tcW w:w="2715" w:type="dxa"/>
          </w:tcPr>
          <w:p w:rsidR="00F0258D" w:rsidRPr="00F35660" w:rsidRDefault="00F0258D" w:rsidP="009E58C7">
            <w:pPr>
              <w:spacing w:before="100" w:beforeAutospacing="1" w:after="100" w:afterAutospacing="1"/>
              <w:rPr>
                <w:lang w:eastAsia="lv-LV" w:bidi="lo-LA"/>
              </w:rPr>
            </w:pPr>
            <w:r w:rsidRPr="00F35660">
              <w:rPr>
                <w:lang w:eastAsia="lv-LV" w:bidi="lo-LA"/>
              </w:rPr>
              <w:t>Tiesiskā regulējuma finansiālā ietekme</w:t>
            </w:r>
          </w:p>
        </w:tc>
        <w:tc>
          <w:tcPr>
            <w:tcW w:w="5811" w:type="dxa"/>
            <w:vAlign w:val="center"/>
          </w:tcPr>
          <w:p w:rsidR="00F0258D" w:rsidRPr="00F35660" w:rsidRDefault="00E32A46" w:rsidP="009402B1">
            <w:pPr>
              <w:pStyle w:val="naiskr"/>
              <w:spacing w:before="0" w:beforeAutospacing="0" w:after="0" w:afterAutospacing="0"/>
              <w:ind w:left="34"/>
              <w:jc w:val="both"/>
            </w:pPr>
            <w:r>
              <w:rPr>
                <w:color w:val="2A2A2A"/>
              </w:rPr>
              <w:t>Projekts šo jomu neskar.</w:t>
            </w:r>
          </w:p>
        </w:tc>
      </w:tr>
      <w:tr w:rsidR="00C949E1" w:rsidRPr="00F35660" w:rsidTr="008B477D">
        <w:tc>
          <w:tcPr>
            <w:tcW w:w="654" w:type="dxa"/>
          </w:tcPr>
          <w:p w:rsidR="00C949E1" w:rsidRPr="00F35660" w:rsidRDefault="00C949E1" w:rsidP="009E58C7">
            <w:pPr>
              <w:spacing w:before="100" w:beforeAutospacing="1" w:after="100" w:afterAutospacing="1"/>
              <w:rPr>
                <w:lang w:eastAsia="lv-LV" w:bidi="lo-LA"/>
              </w:rPr>
            </w:pPr>
            <w:r w:rsidRPr="00F35660">
              <w:rPr>
                <w:lang w:eastAsia="lv-LV" w:bidi="lo-LA"/>
              </w:rPr>
              <w:t> 4.</w:t>
            </w:r>
          </w:p>
        </w:tc>
        <w:tc>
          <w:tcPr>
            <w:tcW w:w="2715" w:type="dxa"/>
          </w:tcPr>
          <w:p w:rsidR="00C949E1" w:rsidRPr="00F35660" w:rsidRDefault="00C949E1" w:rsidP="009E58C7">
            <w:pPr>
              <w:spacing w:before="100" w:beforeAutospacing="1" w:after="100" w:afterAutospacing="1"/>
              <w:rPr>
                <w:lang w:eastAsia="lv-LV" w:bidi="lo-LA"/>
              </w:rPr>
            </w:pPr>
            <w:r w:rsidRPr="00F35660">
              <w:rPr>
                <w:lang w:eastAsia="lv-LV" w:bidi="lo-LA"/>
              </w:rPr>
              <w:t>Tiesiskā regulējuma nefinansiālā ietekme</w:t>
            </w:r>
          </w:p>
        </w:tc>
        <w:tc>
          <w:tcPr>
            <w:tcW w:w="5811" w:type="dxa"/>
          </w:tcPr>
          <w:p w:rsidR="00C949E1" w:rsidRDefault="00A677FC" w:rsidP="00BD3728">
            <w:pPr>
              <w:jc w:val="both"/>
            </w:pPr>
            <w:r w:rsidRPr="00A467DF">
              <w:t>Atbalstot ģimenes ārstu prakses, kas nodrošina valsts apmaksāto veselības aprūpes pakalpojumu sniegšanu lauku teritorijās, tiks nodrošinātas vienlīdzīgas iespējas ģimenes ārstu pakalpojumu saņēmējiem saņemt kvalitatīvus pakalpojumus.</w:t>
            </w:r>
          </w:p>
        </w:tc>
      </w:tr>
      <w:tr w:rsidR="00C949E1" w:rsidRPr="00F35660" w:rsidTr="008B477D">
        <w:tc>
          <w:tcPr>
            <w:tcW w:w="654" w:type="dxa"/>
          </w:tcPr>
          <w:p w:rsidR="00C949E1" w:rsidRPr="00F35660" w:rsidRDefault="00C949E1" w:rsidP="009E58C7">
            <w:pPr>
              <w:spacing w:before="100" w:beforeAutospacing="1" w:after="100" w:afterAutospacing="1"/>
              <w:rPr>
                <w:lang w:eastAsia="lv-LV" w:bidi="lo-LA"/>
              </w:rPr>
            </w:pPr>
            <w:r w:rsidRPr="00F35660">
              <w:rPr>
                <w:lang w:eastAsia="lv-LV" w:bidi="lo-LA"/>
              </w:rPr>
              <w:t> 5.</w:t>
            </w:r>
          </w:p>
        </w:tc>
        <w:tc>
          <w:tcPr>
            <w:tcW w:w="2715" w:type="dxa"/>
          </w:tcPr>
          <w:p w:rsidR="00C949E1" w:rsidRPr="00F35660" w:rsidRDefault="00C949E1" w:rsidP="009E58C7">
            <w:pPr>
              <w:spacing w:before="100" w:beforeAutospacing="1" w:after="100" w:afterAutospacing="1"/>
              <w:rPr>
                <w:lang w:eastAsia="lv-LV" w:bidi="lo-LA"/>
              </w:rPr>
            </w:pPr>
            <w:r w:rsidRPr="00F35660">
              <w:rPr>
                <w:lang w:eastAsia="lv-LV" w:bidi="lo-LA"/>
              </w:rPr>
              <w:t>Administratīvās procedūras raksturojums</w:t>
            </w:r>
          </w:p>
        </w:tc>
        <w:tc>
          <w:tcPr>
            <w:tcW w:w="5811" w:type="dxa"/>
          </w:tcPr>
          <w:p w:rsidR="00C949E1" w:rsidRDefault="00C949E1">
            <w:r w:rsidRPr="00F103F6">
              <w:rPr>
                <w:color w:val="2A2A2A"/>
              </w:rPr>
              <w:t>Projekts šo jomu neskar</w:t>
            </w:r>
            <w:r w:rsidR="00E32A46">
              <w:rPr>
                <w:color w:val="2A2A2A"/>
              </w:rPr>
              <w:t>.</w:t>
            </w:r>
          </w:p>
        </w:tc>
      </w:tr>
      <w:tr w:rsidR="00C949E1" w:rsidRPr="00F35660" w:rsidTr="008B477D">
        <w:tc>
          <w:tcPr>
            <w:tcW w:w="654" w:type="dxa"/>
          </w:tcPr>
          <w:p w:rsidR="00C949E1" w:rsidRPr="00F35660" w:rsidRDefault="00C949E1" w:rsidP="009E58C7">
            <w:pPr>
              <w:spacing w:before="100" w:beforeAutospacing="1" w:after="100" w:afterAutospacing="1"/>
              <w:rPr>
                <w:lang w:eastAsia="lv-LV" w:bidi="lo-LA"/>
              </w:rPr>
            </w:pPr>
            <w:r w:rsidRPr="00F35660">
              <w:rPr>
                <w:lang w:eastAsia="lv-LV" w:bidi="lo-LA"/>
              </w:rPr>
              <w:t> 6.</w:t>
            </w:r>
          </w:p>
        </w:tc>
        <w:tc>
          <w:tcPr>
            <w:tcW w:w="2715" w:type="dxa"/>
          </w:tcPr>
          <w:p w:rsidR="00C949E1" w:rsidRPr="00F35660" w:rsidRDefault="00C949E1" w:rsidP="009E58C7">
            <w:pPr>
              <w:spacing w:before="100" w:beforeAutospacing="1" w:after="100" w:afterAutospacing="1"/>
              <w:rPr>
                <w:lang w:eastAsia="lv-LV" w:bidi="lo-LA"/>
              </w:rPr>
            </w:pPr>
            <w:r w:rsidRPr="00F35660">
              <w:rPr>
                <w:lang w:eastAsia="lv-LV" w:bidi="lo-LA"/>
              </w:rPr>
              <w:t>Administratīvo izmaksu monetārs novērtējums</w:t>
            </w:r>
          </w:p>
        </w:tc>
        <w:tc>
          <w:tcPr>
            <w:tcW w:w="5811" w:type="dxa"/>
          </w:tcPr>
          <w:p w:rsidR="00C949E1" w:rsidRDefault="00C949E1">
            <w:r w:rsidRPr="00F103F6">
              <w:rPr>
                <w:color w:val="2A2A2A"/>
              </w:rPr>
              <w:t>Projekts šo jomu neskar</w:t>
            </w:r>
            <w:r w:rsidR="00E32A46">
              <w:rPr>
                <w:color w:val="2A2A2A"/>
              </w:rPr>
              <w:t>.</w:t>
            </w:r>
          </w:p>
        </w:tc>
      </w:tr>
      <w:tr w:rsidR="00F0258D" w:rsidRPr="00F35660" w:rsidTr="008B477D">
        <w:trPr>
          <w:trHeight w:val="174"/>
        </w:trPr>
        <w:tc>
          <w:tcPr>
            <w:tcW w:w="654" w:type="dxa"/>
            <w:vAlign w:val="center"/>
          </w:tcPr>
          <w:p w:rsidR="00F0258D" w:rsidRPr="00F35660" w:rsidRDefault="00F0258D" w:rsidP="009E58C7">
            <w:pPr>
              <w:spacing w:before="100" w:beforeAutospacing="1" w:after="100" w:afterAutospacing="1"/>
              <w:rPr>
                <w:lang w:eastAsia="lv-LV" w:bidi="lo-LA"/>
              </w:rPr>
            </w:pPr>
            <w:r w:rsidRPr="00F35660">
              <w:rPr>
                <w:lang w:eastAsia="lv-LV" w:bidi="lo-LA"/>
              </w:rPr>
              <w:t> 7.</w:t>
            </w:r>
          </w:p>
        </w:tc>
        <w:tc>
          <w:tcPr>
            <w:tcW w:w="2715" w:type="dxa"/>
            <w:vAlign w:val="center"/>
          </w:tcPr>
          <w:p w:rsidR="00F0258D" w:rsidRPr="00F35660" w:rsidRDefault="00F0258D" w:rsidP="009E58C7">
            <w:pPr>
              <w:spacing w:before="100" w:beforeAutospacing="1" w:after="100" w:afterAutospacing="1"/>
              <w:rPr>
                <w:lang w:eastAsia="lv-LV" w:bidi="lo-LA"/>
              </w:rPr>
            </w:pPr>
            <w:r w:rsidRPr="00F35660">
              <w:rPr>
                <w:lang w:eastAsia="lv-LV" w:bidi="lo-LA"/>
              </w:rPr>
              <w:t>Cita informācija</w:t>
            </w:r>
          </w:p>
        </w:tc>
        <w:tc>
          <w:tcPr>
            <w:tcW w:w="5811" w:type="dxa"/>
            <w:vAlign w:val="center"/>
          </w:tcPr>
          <w:p w:rsidR="00F0258D" w:rsidRPr="00F35660" w:rsidRDefault="00F0258D" w:rsidP="00D43EFB">
            <w:pPr>
              <w:pStyle w:val="naiskr"/>
              <w:ind w:left="33"/>
            </w:pPr>
            <w:r w:rsidRPr="00F35660">
              <w:t>Nav</w:t>
            </w:r>
            <w:r w:rsidR="00E32A46">
              <w:t>.</w:t>
            </w:r>
          </w:p>
        </w:tc>
      </w:tr>
    </w:tbl>
    <w:p w:rsidR="00F0258D" w:rsidRDefault="00F0258D" w:rsidP="00F0258D">
      <w:pPr>
        <w:autoSpaceDE w:val="0"/>
        <w:autoSpaceDN w:val="0"/>
        <w:adjustRightInd w:val="0"/>
        <w:rPr>
          <w:noProof/>
          <w:sz w:val="28"/>
          <w:szCs w:val="28"/>
        </w:rPr>
      </w:pPr>
    </w:p>
    <w:p w:rsidR="00221ABB" w:rsidRDefault="00221ABB" w:rsidP="00F0258D">
      <w:pPr>
        <w:autoSpaceDE w:val="0"/>
        <w:autoSpaceDN w:val="0"/>
        <w:adjustRightInd w:val="0"/>
        <w:rPr>
          <w:noProof/>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1134"/>
        <w:gridCol w:w="1276"/>
        <w:gridCol w:w="1276"/>
        <w:gridCol w:w="1275"/>
        <w:gridCol w:w="1276"/>
      </w:tblGrid>
      <w:tr w:rsidR="00B5520A" w:rsidRPr="00F35660" w:rsidTr="008B477D">
        <w:trPr>
          <w:trHeight w:val="551"/>
        </w:trPr>
        <w:tc>
          <w:tcPr>
            <w:tcW w:w="9322" w:type="dxa"/>
            <w:gridSpan w:val="6"/>
            <w:vAlign w:val="center"/>
          </w:tcPr>
          <w:p w:rsidR="00B5520A" w:rsidRPr="00F35660" w:rsidRDefault="00B5520A" w:rsidP="00B5520A">
            <w:pPr>
              <w:autoSpaceDE w:val="0"/>
              <w:autoSpaceDN w:val="0"/>
              <w:adjustRightInd w:val="0"/>
              <w:rPr>
                <w:b/>
                <w:noProof/>
                <w:sz w:val="28"/>
                <w:szCs w:val="28"/>
              </w:rPr>
            </w:pPr>
            <w:r w:rsidRPr="00F35660">
              <w:rPr>
                <w:b/>
                <w:lang w:eastAsia="lv-LV" w:bidi="lo-LA"/>
              </w:rPr>
              <w:t>III. Tiesību akta projekta ietekme uz valsts budžetu un pašvaldību budžetiem</w:t>
            </w:r>
          </w:p>
        </w:tc>
      </w:tr>
      <w:tr w:rsidR="00B5520A" w:rsidRPr="00F35660" w:rsidTr="00F30BA4">
        <w:tc>
          <w:tcPr>
            <w:tcW w:w="3085" w:type="dxa"/>
            <w:vMerge w:val="restart"/>
            <w:vAlign w:val="center"/>
          </w:tcPr>
          <w:p w:rsidR="00B5520A" w:rsidRPr="00F35660" w:rsidRDefault="00B5520A" w:rsidP="00B5520A">
            <w:pPr>
              <w:autoSpaceDE w:val="0"/>
              <w:autoSpaceDN w:val="0"/>
              <w:adjustRightInd w:val="0"/>
              <w:jc w:val="center"/>
              <w:rPr>
                <w:noProof/>
                <w:sz w:val="28"/>
                <w:szCs w:val="28"/>
              </w:rPr>
            </w:pPr>
            <w:r w:rsidRPr="00F35660">
              <w:rPr>
                <w:bCs/>
                <w:lang w:eastAsia="lv-LV" w:bidi="lo-LA"/>
              </w:rPr>
              <w:t>Rādītāji</w:t>
            </w:r>
          </w:p>
        </w:tc>
        <w:tc>
          <w:tcPr>
            <w:tcW w:w="2410" w:type="dxa"/>
            <w:gridSpan w:val="2"/>
            <w:vMerge w:val="restart"/>
            <w:vAlign w:val="center"/>
          </w:tcPr>
          <w:p w:rsidR="00B5520A" w:rsidRPr="00F35660" w:rsidRDefault="00B5520A" w:rsidP="00A14F28">
            <w:pPr>
              <w:autoSpaceDE w:val="0"/>
              <w:autoSpaceDN w:val="0"/>
              <w:adjustRightInd w:val="0"/>
              <w:jc w:val="center"/>
              <w:rPr>
                <w:noProof/>
                <w:sz w:val="28"/>
                <w:szCs w:val="28"/>
              </w:rPr>
            </w:pPr>
            <w:r w:rsidRPr="00F35660">
              <w:rPr>
                <w:bCs/>
                <w:lang w:eastAsia="lv-LV" w:bidi="lo-LA"/>
              </w:rPr>
              <w:t>201</w:t>
            </w:r>
            <w:r w:rsidR="00A14F28">
              <w:rPr>
                <w:bCs/>
                <w:lang w:eastAsia="lv-LV" w:bidi="lo-LA"/>
              </w:rPr>
              <w:t>2</w:t>
            </w:r>
            <w:r w:rsidRPr="00F35660">
              <w:rPr>
                <w:bCs/>
                <w:lang w:eastAsia="lv-LV" w:bidi="lo-LA"/>
              </w:rPr>
              <w:t>.</w:t>
            </w:r>
          </w:p>
        </w:tc>
        <w:tc>
          <w:tcPr>
            <w:tcW w:w="3827" w:type="dxa"/>
            <w:gridSpan w:val="3"/>
            <w:vAlign w:val="center"/>
          </w:tcPr>
          <w:p w:rsidR="00B5520A" w:rsidRPr="00F35660" w:rsidRDefault="00B5520A" w:rsidP="00B5520A">
            <w:pPr>
              <w:autoSpaceDE w:val="0"/>
              <w:autoSpaceDN w:val="0"/>
              <w:adjustRightInd w:val="0"/>
              <w:jc w:val="center"/>
              <w:rPr>
                <w:noProof/>
                <w:sz w:val="28"/>
                <w:szCs w:val="28"/>
              </w:rPr>
            </w:pPr>
            <w:r w:rsidRPr="00F35660">
              <w:rPr>
                <w:lang w:eastAsia="lv-LV" w:bidi="lo-LA"/>
              </w:rPr>
              <w:t>Turpmākie trīs gadi (tūkst. latu)</w:t>
            </w:r>
          </w:p>
        </w:tc>
      </w:tr>
      <w:tr w:rsidR="00B5520A" w:rsidRPr="00F35660" w:rsidTr="00F30BA4">
        <w:tc>
          <w:tcPr>
            <w:tcW w:w="3085" w:type="dxa"/>
            <w:vMerge/>
          </w:tcPr>
          <w:p w:rsidR="00B5520A" w:rsidRPr="00F35660" w:rsidRDefault="00B5520A" w:rsidP="00B5520A">
            <w:pPr>
              <w:autoSpaceDE w:val="0"/>
              <w:autoSpaceDN w:val="0"/>
              <w:adjustRightInd w:val="0"/>
              <w:jc w:val="center"/>
              <w:rPr>
                <w:noProof/>
                <w:sz w:val="28"/>
                <w:szCs w:val="28"/>
              </w:rPr>
            </w:pPr>
          </w:p>
        </w:tc>
        <w:tc>
          <w:tcPr>
            <w:tcW w:w="2410" w:type="dxa"/>
            <w:gridSpan w:val="2"/>
            <w:vMerge/>
            <w:vAlign w:val="center"/>
          </w:tcPr>
          <w:p w:rsidR="00B5520A" w:rsidRPr="00F35660" w:rsidRDefault="00B5520A" w:rsidP="00B5520A">
            <w:pPr>
              <w:autoSpaceDE w:val="0"/>
              <w:autoSpaceDN w:val="0"/>
              <w:adjustRightInd w:val="0"/>
              <w:jc w:val="center"/>
              <w:rPr>
                <w:noProof/>
                <w:sz w:val="28"/>
                <w:szCs w:val="28"/>
              </w:rPr>
            </w:pPr>
          </w:p>
        </w:tc>
        <w:tc>
          <w:tcPr>
            <w:tcW w:w="1276" w:type="dxa"/>
            <w:vAlign w:val="center"/>
          </w:tcPr>
          <w:p w:rsidR="00B5520A" w:rsidRPr="00F35660" w:rsidRDefault="00B5520A" w:rsidP="00A14F28">
            <w:pPr>
              <w:spacing w:before="100" w:beforeAutospacing="1" w:after="100" w:afterAutospacing="1"/>
              <w:jc w:val="center"/>
              <w:rPr>
                <w:lang w:eastAsia="lv-LV" w:bidi="lo-LA"/>
              </w:rPr>
            </w:pPr>
            <w:r w:rsidRPr="00F35660">
              <w:rPr>
                <w:lang w:eastAsia="lv-LV" w:bidi="lo-LA"/>
              </w:rPr>
              <w:t>201</w:t>
            </w:r>
            <w:r w:rsidR="00A14F28">
              <w:rPr>
                <w:lang w:eastAsia="lv-LV" w:bidi="lo-LA"/>
              </w:rPr>
              <w:t>3</w:t>
            </w:r>
            <w:r w:rsidRPr="00F35660">
              <w:rPr>
                <w:lang w:eastAsia="lv-LV" w:bidi="lo-LA"/>
              </w:rPr>
              <w:t>.</w:t>
            </w:r>
          </w:p>
        </w:tc>
        <w:tc>
          <w:tcPr>
            <w:tcW w:w="1275" w:type="dxa"/>
            <w:vAlign w:val="center"/>
          </w:tcPr>
          <w:p w:rsidR="00B5520A" w:rsidRPr="00F35660" w:rsidRDefault="00B5520A" w:rsidP="00A14F28">
            <w:pPr>
              <w:spacing w:before="100" w:beforeAutospacing="1" w:after="100" w:afterAutospacing="1"/>
              <w:jc w:val="center"/>
              <w:rPr>
                <w:lang w:eastAsia="lv-LV" w:bidi="lo-LA"/>
              </w:rPr>
            </w:pPr>
            <w:r w:rsidRPr="00F35660">
              <w:rPr>
                <w:lang w:eastAsia="lv-LV" w:bidi="lo-LA"/>
              </w:rPr>
              <w:t>201</w:t>
            </w:r>
            <w:r w:rsidR="00A14F28">
              <w:rPr>
                <w:lang w:eastAsia="lv-LV" w:bidi="lo-LA"/>
              </w:rPr>
              <w:t>4</w:t>
            </w:r>
            <w:r w:rsidRPr="00F35660">
              <w:rPr>
                <w:lang w:eastAsia="lv-LV" w:bidi="lo-LA"/>
              </w:rPr>
              <w:t>.</w:t>
            </w:r>
          </w:p>
        </w:tc>
        <w:tc>
          <w:tcPr>
            <w:tcW w:w="1276" w:type="dxa"/>
            <w:vAlign w:val="center"/>
          </w:tcPr>
          <w:p w:rsidR="00B5520A" w:rsidRPr="00F35660" w:rsidRDefault="00B5520A" w:rsidP="00B5520A">
            <w:pPr>
              <w:spacing w:before="100" w:beforeAutospacing="1" w:after="100" w:afterAutospacing="1"/>
              <w:jc w:val="center"/>
              <w:rPr>
                <w:lang w:eastAsia="lv-LV" w:bidi="lo-LA"/>
              </w:rPr>
            </w:pPr>
            <w:r w:rsidRPr="00F35660">
              <w:rPr>
                <w:lang w:eastAsia="lv-LV" w:bidi="lo-LA"/>
              </w:rPr>
              <w:t>201</w:t>
            </w:r>
            <w:r w:rsidR="00A14F28">
              <w:rPr>
                <w:lang w:eastAsia="lv-LV" w:bidi="lo-LA"/>
              </w:rPr>
              <w:t>5</w:t>
            </w:r>
            <w:r w:rsidRPr="00F35660">
              <w:rPr>
                <w:lang w:eastAsia="lv-LV" w:bidi="lo-LA"/>
              </w:rPr>
              <w:t>.</w:t>
            </w:r>
          </w:p>
        </w:tc>
      </w:tr>
      <w:tr w:rsidR="00B5520A" w:rsidRPr="00F35660" w:rsidTr="00F30BA4">
        <w:tc>
          <w:tcPr>
            <w:tcW w:w="3085" w:type="dxa"/>
            <w:vMerge/>
          </w:tcPr>
          <w:p w:rsidR="00B5520A" w:rsidRPr="00F35660" w:rsidRDefault="00B5520A" w:rsidP="00B5520A">
            <w:pPr>
              <w:autoSpaceDE w:val="0"/>
              <w:autoSpaceDN w:val="0"/>
              <w:adjustRightInd w:val="0"/>
              <w:jc w:val="center"/>
              <w:rPr>
                <w:noProof/>
                <w:sz w:val="28"/>
                <w:szCs w:val="28"/>
              </w:rPr>
            </w:pPr>
          </w:p>
        </w:tc>
        <w:tc>
          <w:tcPr>
            <w:tcW w:w="1134" w:type="dxa"/>
            <w:vAlign w:val="center"/>
          </w:tcPr>
          <w:p w:rsidR="00B5520A" w:rsidRPr="00F35660" w:rsidRDefault="00B5520A" w:rsidP="00B5520A">
            <w:pPr>
              <w:spacing w:before="100" w:beforeAutospacing="1" w:after="100" w:afterAutospacing="1"/>
              <w:jc w:val="center"/>
              <w:rPr>
                <w:lang w:eastAsia="lv-LV" w:bidi="lo-LA"/>
              </w:rPr>
            </w:pPr>
            <w:r w:rsidRPr="00F35660">
              <w:rPr>
                <w:lang w:eastAsia="lv-LV" w:bidi="lo-LA"/>
              </w:rPr>
              <w:t>Saskaņā ar valsts budžetu kārtējam gadam</w:t>
            </w:r>
          </w:p>
        </w:tc>
        <w:tc>
          <w:tcPr>
            <w:tcW w:w="1276" w:type="dxa"/>
            <w:vAlign w:val="center"/>
          </w:tcPr>
          <w:p w:rsidR="00B5520A" w:rsidRPr="00F35660" w:rsidRDefault="00B5520A" w:rsidP="004251A9">
            <w:pPr>
              <w:spacing w:before="100" w:beforeAutospacing="1" w:after="100" w:afterAutospacing="1"/>
              <w:ind w:left="-108"/>
              <w:jc w:val="center"/>
              <w:rPr>
                <w:lang w:eastAsia="lv-LV" w:bidi="lo-LA"/>
              </w:rPr>
            </w:pPr>
            <w:r w:rsidRPr="00F35660">
              <w:rPr>
                <w:lang w:eastAsia="lv-LV" w:bidi="lo-LA"/>
              </w:rPr>
              <w:t>Izmaiņas kārtējā gadā, salīdzinot ar budžetu kārtējam gadam</w:t>
            </w:r>
          </w:p>
        </w:tc>
        <w:tc>
          <w:tcPr>
            <w:tcW w:w="1276" w:type="dxa"/>
            <w:vAlign w:val="center"/>
          </w:tcPr>
          <w:p w:rsidR="00B5520A" w:rsidRPr="00F35660" w:rsidRDefault="00B5520A" w:rsidP="00F30BA4">
            <w:pPr>
              <w:spacing w:before="100" w:beforeAutospacing="1" w:after="100" w:afterAutospacing="1"/>
              <w:jc w:val="center"/>
              <w:rPr>
                <w:lang w:eastAsia="lv-LV" w:bidi="lo-LA"/>
              </w:rPr>
            </w:pPr>
            <w:r w:rsidRPr="00F35660">
              <w:rPr>
                <w:lang w:eastAsia="lv-LV" w:bidi="lo-LA"/>
              </w:rPr>
              <w:t xml:space="preserve">Izmaiņas, salīdzinot ar </w:t>
            </w:r>
            <w:r w:rsidR="00F30BA4">
              <w:rPr>
                <w:lang w:eastAsia="lv-LV" w:bidi="lo-LA"/>
              </w:rPr>
              <w:t xml:space="preserve">kārtējo </w:t>
            </w:r>
            <w:r w:rsidR="00043510">
              <w:rPr>
                <w:lang w:eastAsia="lv-LV" w:bidi="lo-LA"/>
              </w:rPr>
              <w:t xml:space="preserve">(n) </w:t>
            </w:r>
            <w:r w:rsidRPr="00F35660">
              <w:rPr>
                <w:lang w:eastAsia="lv-LV" w:bidi="lo-LA"/>
              </w:rPr>
              <w:t>gadu</w:t>
            </w:r>
          </w:p>
        </w:tc>
        <w:tc>
          <w:tcPr>
            <w:tcW w:w="1275" w:type="dxa"/>
            <w:vAlign w:val="center"/>
          </w:tcPr>
          <w:p w:rsidR="00B5520A" w:rsidRPr="00F35660" w:rsidRDefault="00B5520A" w:rsidP="00F30BA4">
            <w:pPr>
              <w:spacing w:before="100" w:beforeAutospacing="1" w:after="100" w:afterAutospacing="1"/>
              <w:jc w:val="center"/>
              <w:rPr>
                <w:lang w:eastAsia="lv-LV" w:bidi="lo-LA"/>
              </w:rPr>
            </w:pPr>
            <w:r w:rsidRPr="00F35660">
              <w:rPr>
                <w:lang w:eastAsia="lv-LV" w:bidi="lo-LA"/>
              </w:rPr>
              <w:t xml:space="preserve">Izmaiņas, salīdzinot ar </w:t>
            </w:r>
            <w:r w:rsidR="00F30BA4">
              <w:rPr>
                <w:lang w:eastAsia="lv-LV" w:bidi="lo-LA"/>
              </w:rPr>
              <w:t>kārtējo</w:t>
            </w:r>
            <w:r w:rsidRPr="00F35660">
              <w:rPr>
                <w:lang w:eastAsia="lv-LV" w:bidi="lo-LA"/>
              </w:rPr>
              <w:t xml:space="preserve"> </w:t>
            </w:r>
            <w:r w:rsidR="00043510">
              <w:rPr>
                <w:lang w:eastAsia="lv-LV" w:bidi="lo-LA"/>
              </w:rPr>
              <w:t xml:space="preserve">(n) </w:t>
            </w:r>
            <w:r w:rsidRPr="00F35660">
              <w:rPr>
                <w:lang w:eastAsia="lv-LV" w:bidi="lo-LA"/>
              </w:rPr>
              <w:t>gadu</w:t>
            </w:r>
          </w:p>
        </w:tc>
        <w:tc>
          <w:tcPr>
            <w:tcW w:w="1276" w:type="dxa"/>
            <w:vAlign w:val="center"/>
          </w:tcPr>
          <w:p w:rsidR="00B5520A" w:rsidRPr="00F35660" w:rsidRDefault="00B5520A" w:rsidP="00F30BA4">
            <w:pPr>
              <w:spacing w:before="100" w:beforeAutospacing="1" w:after="100" w:afterAutospacing="1"/>
              <w:ind w:left="-108"/>
              <w:jc w:val="center"/>
              <w:rPr>
                <w:lang w:eastAsia="lv-LV" w:bidi="lo-LA"/>
              </w:rPr>
            </w:pPr>
            <w:r w:rsidRPr="00F35660">
              <w:rPr>
                <w:lang w:eastAsia="lv-LV" w:bidi="lo-LA"/>
              </w:rPr>
              <w:t xml:space="preserve">Izmaiņas, salīdzinot ar </w:t>
            </w:r>
            <w:r w:rsidR="00F30BA4">
              <w:rPr>
                <w:lang w:eastAsia="lv-LV" w:bidi="lo-LA"/>
              </w:rPr>
              <w:t>kārtējo</w:t>
            </w:r>
            <w:r w:rsidRPr="00F35660">
              <w:rPr>
                <w:lang w:eastAsia="lv-LV" w:bidi="lo-LA"/>
              </w:rPr>
              <w:t xml:space="preserve"> </w:t>
            </w:r>
            <w:r w:rsidR="00043510">
              <w:rPr>
                <w:lang w:eastAsia="lv-LV" w:bidi="lo-LA"/>
              </w:rPr>
              <w:t xml:space="preserve">(n) </w:t>
            </w:r>
            <w:r w:rsidRPr="00F35660">
              <w:rPr>
                <w:lang w:eastAsia="lv-LV" w:bidi="lo-LA"/>
              </w:rPr>
              <w:t>gadu</w:t>
            </w:r>
          </w:p>
        </w:tc>
      </w:tr>
      <w:tr w:rsidR="00043510" w:rsidRPr="00F35660" w:rsidTr="00D000F0">
        <w:tc>
          <w:tcPr>
            <w:tcW w:w="3085" w:type="dxa"/>
          </w:tcPr>
          <w:p w:rsidR="00043510" w:rsidRPr="00F35660" w:rsidRDefault="00043510" w:rsidP="00B5520A">
            <w:pPr>
              <w:spacing w:before="100" w:beforeAutospacing="1" w:after="100" w:afterAutospacing="1"/>
              <w:rPr>
                <w:b/>
                <w:lang w:eastAsia="lv-LV" w:bidi="lo-LA"/>
              </w:rPr>
            </w:pPr>
            <w:r w:rsidRPr="00F35660">
              <w:rPr>
                <w:b/>
                <w:lang w:eastAsia="lv-LV" w:bidi="lo-LA"/>
              </w:rPr>
              <w:t> 1. Budžeta ieņēmumi:</w:t>
            </w:r>
          </w:p>
        </w:tc>
        <w:tc>
          <w:tcPr>
            <w:tcW w:w="1134" w:type="dxa"/>
          </w:tcPr>
          <w:p w:rsidR="00043510" w:rsidRPr="00F105B7" w:rsidRDefault="00043510" w:rsidP="00B5520A">
            <w:pPr>
              <w:jc w:val="right"/>
              <w:rPr>
                <w:b/>
                <w:bCs/>
              </w:rPr>
            </w:pPr>
            <w:r>
              <w:rPr>
                <w:b/>
                <w:bCs/>
              </w:rPr>
              <w:t>1 112,3</w:t>
            </w:r>
          </w:p>
        </w:tc>
        <w:tc>
          <w:tcPr>
            <w:tcW w:w="1276" w:type="dxa"/>
          </w:tcPr>
          <w:p w:rsidR="00043510" w:rsidRPr="00F105B7" w:rsidRDefault="00043510" w:rsidP="00F30BA4">
            <w:pPr>
              <w:jc w:val="right"/>
              <w:rPr>
                <w:b/>
                <w:bCs/>
              </w:rPr>
            </w:pPr>
            <w:r w:rsidRPr="00F105B7">
              <w:rPr>
                <w:b/>
                <w:bCs/>
              </w:rPr>
              <w:t>0,00</w:t>
            </w:r>
          </w:p>
        </w:tc>
        <w:tc>
          <w:tcPr>
            <w:tcW w:w="1276" w:type="dxa"/>
            <w:vAlign w:val="center"/>
          </w:tcPr>
          <w:p w:rsidR="00043510" w:rsidRPr="00F105B7" w:rsidRDefault="00043510" w:rsidP="00B5520A">
            <w:pPr>
              <w:jc w:val="right"/>
              <w:rPr>
                <w:b/>
                <w:bCs/>
              </w:rPr>
            </w:pPr>
            <w:r>
              <w:rPr>
                <w:b/>
                <w:bCs/>
              </w:rPr>
              <w:t>305,4</w:t>
            </w:r>
          </w:p>
        </w:tc>
        <w:tc>
          <w:tcPr>
            <w:tcW w:w="1275" w:type="dxa"/>
            <w:vAlign w:val="center"/>
          </w:tcPr>
          <w:p w:rsidR="00043510" w:rsidRPr="00F105B7" w:rsidRDefault="00043510" w:rsidP="00B5520A">
            <w:pPr>
              <w:jc w:val="right"/>
              <w:rPr>
                <w:b/>
                <w:bCs/>
              </w:rPr>
            </w:pPr>
            <w:r>
              <w:rPr>
                <w:b/>
                <w:bCs/>
              </w:rPr>
              <w:t>-1 112,3</w:t>
            </w:r>
          </w:p>
        </w:tc>
        <w:tc>
          <w:tcPr>
            <w:tcW w:w="1276" w:type="dxa"/>
            <w:vAlign w:val="center"/>
          </w:tcPr>
          <w:p w:rsidR="00043510" w:rsidRPr="00F105B7" w:rsidRDefault="00043510" w:rsidP="00D000F0">
            <w:pPr>
              <w:jc w:val="right"/>
              <w:rPr>
                <w:b/>
                <w:bCs/>
              </w:rPr>
            </w:pPr>
            <w:r>
              <w:rPr>
                <w:b/>
                <w:bCs/>
              </w:rPr>
              <w:t>-1 112,3</w:t>
            </w:r>
          </w:p>
        </w:tc>
      </w:tr>
      <w:tr w:rsidR="00043510" w:rsidRPr="00F35660" w:rsidTr="00F30BA4">
        <w:tc>
          <w:tcPr>
            <w:tcW w:w="3085" w:type="dxa"/>
          </w:tcPr>
          <w:p w:rsidR="00043510" w:rsidRPr="00F35660" w:rsidRDefault="00043510" w:rsidP="00B5520A">
            <w:pPr>
              <w:spacing w:before="100" w:beforeAutospacing="1" w:after="100" w:afterAutospacing="1"/>
              <w:ind w:left="284"/>
              <w:rPr>
                <w:lang w:eastAsia="lv-LV" w:bidi="lo-LA"/>
              </w:rPr>
            </w:pPr>
            <w:r w:rsidRPr="00F35660">
              <w:rPr>
                <w:lang w:eastAsia="lv-LV" w:bidi="lo-LA"/>
              </w:rPr>
              <w:t> 1.1. valsts pamatbudžets, tai skaitā ieņēmumi no maksas pakalpojumiem un citi pašu ieņēmumi</w:t>
            </w:r>
          </w:p>
        </w:tc>
        <w:tc>
          <w:tcPr>
            <w:tcW w:w="1134" w:type="dxa"/>
          </w:tcPr>
          <w:p w:rsidR="00043510" w:rsidRDefault="00043510" w:rsidP="00B5520A">
            <w:pPr>
              <w:jc w:val="right"/>
            </w:pPr>
            <w:r>
              <w:t>1 112,3</w:t>
            </w:r>
          </w:p>
        </w:tc>
        <w:tc>
          <w:tcPr>
            <w:tcW w:w="1276" w:type="dxa"/>
          </w:tcPr>
          <w:p w:rsidR="00043510" w:rsidRDefault="00043510" w:rsidP="00F30BA4">
            <w:pPr>
              <w:jc w:val="right"/>
            </w:pPr>
            <w:r w:rsidRPr="00DD20D3">
              <w:t>0,00</w:t>
            </w:r>
          </w:p>
        </w:tc>
        <w:tc>
          <w:tcPr>
            <w:tcW w:w="1276" w:type="dxa"/>
          </w:tcPr>
          <w:p w:rsidR="00043510" w:rsidRPr="00F105B7" w:rsidRDefault="00043510" w:rsidP="00B5520A">
            <w:pPr>
              <w:jc w:val="right"/>
            </w:pPr>
            <w:r>
              <w:t>305,4</w:t>
            </w:r>
          </w:p>
        </w:tc>
        <w:tc>
          <w:tcPr>
            <w:tcW w:w="1275" w:type="dxa"/>
          </w:tcPr>
          <w:p w:rsidR="00043510" w:rsidRPr="00F105B7" w:rsidRDefault="00043510" w:rsidP="00B5520A">
            <w:pPr>
              <w:jc w:val="right"/>
            </w:pPr>
            <w:r>
              <w:t>-1 112,3</w:t>
            </w:r>
          </w:p>
        </w:tc>
        <w:tc>
          <w:tcPr>
            <w:tcW w:w="1276" w:type="dxa"/>
          </w:tcPr>
          <w:p w:rsidR="00043510" w:rsidRPr="00F105B7" w:rsidRDefault="00043510" w:rsidP="00D000F0">
            <w:pPr>
              <w:jc w:val="right"/>
            </w:pPr>
            <w:r>
              <w:t>-1 112,3</w:t>
            </w:r>
          </w:p>
        </w:tc>
      </w:tr>
      <w:tr w:rsidR="00B5520A" w:rsidRPr="00F35660" w:rsidTr="00F30BA4">
        <w:tc>
          <w:tcPr>
            <w:tcW w:w="3085" w:type="dxa"/>
          </w:tcPr>
          <w:p w:rsidR="00B5520A" w:rsidRPr="00F35660" w:rsidRDefault="00B5520A" w:rsidP="00B5520A">
            <w:pPr>
              <w:spacing w:before="100" w:beforeAutospacing="1" w:after="100" w:afterAutospacing="1"/>
              <w:ind w:left="284"/>
              <w:rPr>
                <w:lang w:eastAsia="lv-LV" w:bidi="lo-LA"/>
              </w:rPr>
            </w:pPr>
            <w:r w:rsidRPr="00F35660">
              <w:rPr>
                <w:lang w:eastAsia="lv-LV" w:bidi="lo-LA"/>
              </w:rPr>
              <w:t> 1.2. valsts speciālais budžets</w:t>
            </w:r>
          </w:p>
        </w:tc>
        <w:tc>
          <w:tcPr>
            <w:tcW w:w="1134" w:type="dxa"/>
          </w:tcPr>
          <w:p w:rsidR="00B5520A" w:rsidRPr="00F35660" w:rsidRDefault="00B5520A" w:rsidP="00B5520A">
            <w:pPr>
              <w:jc w:val="right"/>
            </w:pPr>
            <w:r w:rsidRPr="00F35660">
              <w:t>0,00</w:t>
            </w:r>
          </w:p>
        </w:tc>
        <w:tc>
          <w:tcPr>
            <w:tcW w:w="1276" w:type="dxa"/>
          </w:tcPr>
          <w:p w:rsidR="00B5520A" w:rsidRPr="00F35660" w:rsidRDefault="00B5520A" w:rsidP="00B5520A">
            <w:pPr>
              <w:jc w:val="right"/>
            </w:pPr>
            <w:r w:rsidRPr="00F35660">
              <w:t>0,00</w:t>
            </w:r>
          </w:p>
        </w:tc>
        <w:tc>
          <w:tcPr>
            <w:tcW w:w="1276" w:type="dxa"/>
          </w:tcPr>
          <w:p w:rsidR="00B5520A" w:rsidRPr="00F35660" w:rsidRDefault="00B5520A" w:rsidP="00B5520A">
            <w:pPr>
              <w:jc w:val="right"/>
            </w:pPr>
            <w:r w:rsidRPr="00F35660">
              <w:t>0,00</w:t>
            </w:r>
          </w:p>
        </w:tc>
        <w:tc>
          <w:tcPr>
            <w:tcW w:w="1275" w:type="dxa"/>
          </w:tcPr>
          <w:p w:rsidR="00B5520A" w:rsidRPr="00F35660" w:rsidRDefault="00B5520A" w:rsidP="00B5520A">
            <w:pPr>
              <w:jc w:val="right"/>
            </w:pPr>
            <w:r w:rsidRPr="00F35660">
              <w:t>0,00</w:t>
            </w:r>
          </w:p>
        </w:tc>
        <w:tc>
          <w:tcPr>
            <w:tcW w:w="1276" w:type="dxa"/>
          </w:tcPr>
          <w:p w:rsidR="00B5520A" w:rsidRPr="00F35660" w:rsidRDefault="00B5520A" w:rsidP="00B5520A">
            <w:pPr>
              <w:jc w:val="right"/>
            </w:pPr>
            <w:r w:rsidRPr="00F35660">
              <w:t>0,00</w:t>
            </w:r>
          </w:p>
        </w:tc>
      </w:tr>
      <w:tr w:rsidR="00B5520A" w:rsidRPr="00F35660" w:rsidTr="00F30BA4">
        <w:tc>
          <w:tcPr>
            <w:tcW w:w="3085" w:type="dxa"/>
          </w:tcPr>
          <w:p w:rsidR="00B5520A" w:rsidRPr="00F35660" w:rsidRDefault="00B5520A" w:rsidP="00B5520A">
            <w:pPr>
              <w:spacing w:before="100" w:beforeAutospacing="1" w:after="100" w:afterAutospacing="1"/>
              <w:ind w:left="284"/>
              <w:rPr>
                <w:lang w:eastAsia="lv-LV" w:bidi="lo-LA"/>
              </w:rPr>
            </w:pPr>
            <w:r w:rsidRPr="00F35660">
              <w:rPr>
                <w:lang w:eastAsia="lv-LV" w:bidi="lo-LA"/>
              </w:rPr>
              <w:t> 1.3. pašvaldību budžets</w:t>
            </w:r>
          </w:p>
        </w:tc>
        <w:tc>
          <w:tcPr>
            <w:tcW w:w="1134" w:type="dxa"/>
          </w:tcPr>
          <w:p w:rsidR="00B5520A" w:rsidRPr="00F35660" w:rsidRDefault="00B5520A" w:rsidP="00B5520A">
            <w:pPr>
              <w:jc w:val="right"/>
            </w:pPr>
            <w:r w:rsidRPr="00F35660">
              <w:t>0,00</w:t>
            </w:r>
          </w:p>
        </w:tc>
        <w:tc>
          <w:tcPr>
            <w:tcW w:w="1276" w:type="dxa"/>
          </w:tcPr>
          <w:p w:rsidR="00B5520A" w:rsidRPr="00F35660" w:rsidRDefault="00B5520A" w:rsidP="00B5520A">
            <w:pPr>
              <w:jc w:val="right"/>
            </w:pPr>
            <w:r w:rsidRPr="00F35660">
              <w:t>0,00</w:t>
            </w:r>
          </w:p>
        </w:tc>
        <w:tc>
          <w:tcPr>
            <w:tcW w:w="1276" w:type="dxa"/>
          </w:tcPr>
          <w:p w:rsidR="00B5520A" w:rsidRPr="00F35660" w:rsidRDefault="00B5520A" w:rsidP="00B5520A">
            <w:pPr>
              <w:jc w:val="right"/>
            </w:pPr>
            <w:r w:rsidRPr="00F35660">
              <w:t>0,00</w:t>
            </w:r>
          </w:p>
        </w:tc>
        <w:tc>
          <w:tcPr>
            <w:tcW w:w="1275" w:type="dxa"/>
          </w:tcPr>
          <w:p w:rsidR="00B5520A" w:rsidRPr="00F35660" w:rsidRDefault="00B5520A" w:rsidP="00B5520A">
            <w:pPr>
              <w:jc w:val="right"/>
            </w:pPr>
            <w:r w:rsidRPr="00F35660">
              <w:t>0,00</w:t>
            </w:r>
          </w:p>
        </w:tc>
        <w:tc>
          <w:tcPr>
            <w:tcW w:w="1276" w:type="dxa"/>
          </w:tcPr>
          <w:p w:rsidR="00B5520A" w:rsidRPr="00F35660" w:rsidRDefault="00B5520A" w:rsidP="00B5520A">
            <w:pPr>
              <w:jc w:val="right"/>
            </w:pPr>
            <w:r w:rsidRPr="00F35660">
              <w:t>0,00</w:t>
            </w:r>
          </w:p>
        </w:tc>
      </w:tr>
      <w:tr w:rsidR="00043510" w:rsidRPr="00F35660" w:rsidTr="00D000F0">
        <w:tc>
          <w:tcPr>
            <w:tcW w:w="3085" w:type="dxa"/>
          </w:tcPr>
          <w:p w:rsidR="00043510" w:rsidRPr="00F35660" w:rsidRDefault="00043510" w:rsidP="00B5520A">
            <w:pPr>
              <w:spacing w:before="100" w:beforeAutospacing="1" w:after="100" w:afterAutospacing="1"/>
              <w:rPr>
                <w:b/>
                <w:lang w:eastAsia="lv-LV" w:bidi="lo-LA"/>
              </w:rPr>
            </w:pPr>
            <w:r w:rsidRPr="00F35660">
              <w:rPr>
                <w:b/>
                <w:lang w:eastAsia="lv-LV" w:bidi="lo-LA"/>
              </w:rPr>
              <w:t> 2. Budžeta izdevumi:</w:t>
            </w:r>
          </w:p>
        </w:tc>
        <w:tc>
          <w:tcPr>
            <w:tcW w:w="1134" w:type="dxa"/>
          </w:tcPr>
          <w:p w:rsidR="00043510" w:rsidRPr="00F105B7" w:rsidRDefault="00043510" w:rsidP="00F30BA4">
            <w:pPr>
              <w:jc w:val="right"/>
              <w:rPr>
                <w:b/>
                <w:bCs/>
              </w:rPr>
            </w:pPr>
            <w:r>
              <w:rPr>
                <w:b/>
                <w:bCs/>
              </w:rPr>
              <w:t>1 112,3</w:t>
            </w:r>
          </w:p>
        </w:tc>
        <w:tc>
          <w:tcPr>
            <w:tcW w:w="1276" w:type="dxa"/>
          </w:tcPr>
          <w:p w:rsidR="00043510" w:rsidRPr="00F105B7" w:rsidRDefault="00043510" w:rsidP="00F30BA4">
            <w:pPr>
              <w:jc w:val="right"/>
              <w:rPr>
                <w:b/>
                <w:bCs/>
              </w:rPr>
            </w:pPr>
            <w:r w:rsidRPr="00F105B7">
              <w:rPr>
                <w:b/>
                <w:bCs/>
              </w:rPr>
              <w:t>0,00</w:t>
            </w:r>
          </w:p>
        </w:tc>
        <w:tc>
          <w:tcPr>
            <w:tcW w:w="1276" w:type="dxa"/>
            <w:vAlign w:val="center"/>
          </w:tcPr>
          <w:p w:rsidR="00043510" w:rsidRPr="00F105B7" w:rsidRDefault="00043510" w:rsidP="00D000F0">
            <w:pPr>
              <w:jc w:val="right"/>
              <w:rPr>
                <w:b/>
                <w:bCs/>
              </w:rPr>
            </w:pPr>
            <w:r>
              <w:rPr>
                <w:b/>
                <w:bCs/>
              </w:rPr>
              <w:t>305,4</w:t>
            </w:r>
          </w:p>
        </w:tc>
        <w:tc>
          <w:tcPr>
            <w:tcW w:w="1275" w:type="dxa"/>
            <w:vAlign w:val="center"/>
          </w:tcPr>
          <w:p w:rsidR="00043510" w:rsidRPr="00F105B7" w:rsidRDefault="00043510" w:rsidP="00D000F0">
            <w:pPr>
              <w:jc w:val="right"/>
              <w:rPr>
                <w:b/>
                <w:bCs/>
              </w:rPr>
            </w:pPr>
            <w:r>
              <w:rPr>
                <w:b/>
                <w:bCs/>
              </w:rPr>
              <w:t>-1 112,3</w:t>
            </w:r>
          </w:p>
        </w:tc>
        <w:tc>
          <w:tcPr>
            <w:tcW w:w="1276" w:type="dxa"/>
            <w:vAlign w:val="center"/>
          </w:tcPr>
          <w:p w:rsidR="00043510" w:rsidRPr="00F105B7" w:rsidRDefault="00043510" w:rsidP="00D000F0">
            <w:pPr>
              <w:jc w:val="right"/>
              <w:rPr>
                <w:b/>
                <w:bCs/>
              </w:rPr>
            </w:pPr>
            <w:r>
              <w:rPr>
                <w:b/>
                <w:bCs/>
              </w:rPr>
              <w:t>-1 112,3</w:t>
            </w:r>
          </w:p>
        </w:tc>
      </w:tr>
      <w:tr w:rsidR="00043510" w:rsidRPr="00F35660" w:rsidTr="00F30BA4">
        <w:tc>
          <w:tcPr>
            <w:tcW w:w="3085" w:type="dxa"/>
          </w:tcPr>
          <w:p w:rsidR="00043510" w:rsidRPr="00F35660" w:rsidRDefault="00043510" w:rsidP="00B5520A">
            <w:pPr>
              <w:spacing w:before="100" w:beforeAutospacing="1" w:after="100" w:afterAutospacing="1"/>
              <w:ind w:left="284"/>
              <w:rPr>
                <w:lang w:eastAsia="lv-LV" w:bidi="lo-LA"/>
              </w:rPr>
            </w:pPr>
            <w:r w:rsidRPr="00F35660">
              <w:rPr>
                <w:lang w:eastAsia="lv-LV" w:bidi="lo-LA"/>
              </w:rPr>
              <w:t> 2.1. valsts pamatbudžets</w:t>
            </w:r>
          </w:p>
        </w:tc>
        <w:tc>
          <w:tcPr>
            <w:tcW w:w="1134" w:type="dxa"/>
          </w:tcPr>
          <w:p w:rsidR="00043510" w:rsidRDefault="00043510" w:rsidP="00F30BA4">
            <w:pPr>
              <w:jc w:val="right"/>
            </w:pPr>
            <w:r>
              <w:t>1 112,3</w:t>
            </w:r>
          </w:p>
        </w:tc>
        <w:tc>
          <w:tcPr>
            <w:tcW w:w="1276" w:type="dxa"/>
          </w:tcPr>
          <w:p w:rsidR="00043510" w:rsidRDefault="00043510" w:rsidP="00F30BA4">
            <w:pPr>
              <w:jc w:val="right"/>
            </w:pPr>
            <w:r w:rsidRPr="00DD20D3">
              <w:t>0,00</w:t>
            </w:r>
          </w:p>
        </w:tc>
        <w:tc>
          <w:tcPr>
            <w:tcW w:w="1276" w:type="dxa"/>
          </w:tcPr>
          <w:p w:rsidR="00043510" w:rsidRPr="00F105B7" w:rsidRDefault="00043510" w:rsidP="00D000F0">
            <w:pPr>
              <w:jc w:val="right"/>
            </w:pPr>
            <w:r>
              <w:t>305,4</w:t>
            </w:r>
          </w:p>
        </w:tc>
        <w:tc>
          <w:tcPr>
            <w:tcW w:w="1275" w:type="dxa"/>
          </w:tcPr>
          <w:p w:rsidR="00043510" w:rsidRPr="00F105B7" w:rsidRDefault="00043510" w:rsidP="00D000F0">
            <w:pPr>
              <w:jc w:val="right"/>
            </w:pPr>
            <w:r>
              <w:t>-1 112,3</w:t>
            </w:r>
          </w:p>
        </w:tc>
        <w:tc>
          <w:tcPr>
            <w:tcW w:w="1276" w:type="dxa"/>
          </w:tcPr>
          <w:p w:rsidR="00043510" w:rsidRPr="00F105B7" w:rsidRDefault="00043510" w:rsidP="00D000F0">
            <w:pPr>
              <w:jc w:val="right"/>
            </w:pPr>
            <w:r>
              <w:t>-1 112,3</w:t>
            </w:r>
          </w:p>
        </w:tc>
      </w:tr>
      <w:tr w:rsidR="00043510" w:rsidRPr="00F35660" w:rsidTr="00F30BA4">
        <w:tc>
          <w:tcPr>
            <w:tcW w:w="3085" w:type="dxa"/>
          </w:tcPr>
          <w:p w:rsidR="00043510" w:rsidRPr="00F35660" w:rsidRDefault="00043510" w:rsidP="00B5520A">
            <w:pPr>
              <w:spacing w:before="100" w:beforeAutospacing="1" w:after="100" w:afterAutospacing="1"/>
              <w:ind w:left="284"/>
              <w:rPr>
                <w:lang w:eastAsia="lv-LV" w:bidi="lo-LA"/>
              </w:rPr>
            </w:pPr>
            <w:r w:rsidRPr="00F35660">
              <w:rPr>
                <w:lang w:eastAsia="lv-LV" w:bidi="lo-LA"/>
              </w:rPr>
              <w:t> 2.2. valsts speciālais budžets</w:t>
            </w:r>
          </w:p>
        </w:tc>
        <w:tc>
          <w:tcPr>
            <w:tcW w:w="1134"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5"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r>
      <w:tr w:rsidR="00043510" w:rsidRPr="00F35660" w:rsidTr="00F30BA4">
        <w:tc>
          <w:tcPr>
            <w:tcW w:w="3085" w:type="dxa"/>
          </w:tcPr>
          <w:p w:rsidR="00043510" w:rsidRPr="00F35660" w:rsidRDefault="00043510" w:rsidP="00B5520A">
            <w:pPr>
              <w:spacing w:before="100" w:beforeAutospacing="1" w:after="100" w:afterAutospacing="1"/>
              <w:ind w:left="284"/>
              <w:rPr>
                <w:lang w:eastAsia="lv-LV" w:bidi="lo-LA"/>
              </w:rPr>
            </w:pPr>
            <w:r w:rsidRPr="00F35660">
              <w:rPr>
                <w:lang w:eastAsia="lv-LV" w:bidi="lo-LA"/>
              </w:rPr>
              <w:t> 2.3. pašvaldību budžets</w:t>
            </w:r>
          </w:p>
        </w:tc>
        <w:tc>
          <w:tcPr>
            <w:tcW w:w="1134"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5"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r>
      <w:tr w:rsidR="00043510" w:rsidRPr="00F35660" w:rsidTr="00F30BA4">
        <w:tc>
          <w:tcPr>
            <w:tcW w:w="3085" w:type="dxa"/>
          </w:tcPr>
          <w:p w:rsidR="00043510" w:rsidRPr="00F35660" w:rsidRDefault="00043510" w:rsidP="00B5520A">
            <w:pPr>
              <w:spacing w:before="100" w:beforeAutospacing="1" w:after="100" w:afterAutospacing="1"/>
              <w:rPr>
                <w:b/>
                <w:lang w:eastAsia="lv-LV" w:bidi="lo-LA"/>
              </w:rPr>
            </w:pPr>
            <w:r w:rsidRPr="00F35660">
              <w:rPr>
                <w:b/>
                <w:lang w:eastAsia="lv-LV" w:bidi="lo-LA"/>
              </w:rPr>
              <w:lastRenderedPageBreak/>
              <w:t> 3. Finansiālā ietekme:</w:t>
            </w:r>
          </w:p>
        </w:tc>
        <w:tc>
          <w:tcPr>
            <w:tcW w:w="1134" w:type="dxa"/>
          </w:tcPr>
          <w:p w:rsidR="00043510" w:rsidRPr="00F35660" w:rsidRDefault="00043510" w:rsidP="00B5520A">
            <w:pPr>
              <w:jc w:val="right"/>
              <w:rPr>
                <w:b/>
                <w:bCs/>
              </w:rPr>
            </w:pPr>
            <w:r w:rsidRPr="00F35660">
              <w:rPr>
                <w:b/>
                <w:bCs/>
              </w:rPr>
              <w:t>0,00</w:t>
            </w:r>
          </w:p>
        </w:tc>
        <w:tc>
          <w:tcPr>
            <w:tcW w:w="1276" w:type="dxa"/>
          </w:tcPr>
          <w:p w:rsidR="00043510" w:rsidRPr="00F35660" w:rsidRDefault="00043510" w:rsidP="00B5520A">
            <w:pPr>
              <w:jc w:val="right"/>
              <w:rPr>
                <w:b/>
                <w:bCs/>
              </w:rPr>
            </w:pPr>
            <w:r w:rsidRPr="00F35660">
              <w:rPr>
                <w:b/>
                <w:bCs/>
              </w:rPr>
              <w:t>0,00</w:t>
            </w:r>
          </w:p>
        </w:tc>
        <w:tc>
          <w:tcPr>
            <w:tcW w:w="1276" w:type="dxa"/>
          </w:tcPr>
          <w:p w:rsidR="00043510" w:rsidRPr="00F35660" w:rsidRDefault="00043510" w:rsidP="00B5520A">
            <w:pPr>
              <w:jc w:val="right"/>
              <w:rPr>
                <w:b/>
                <w:bCs/>
              </w:rPr>
            </w:pPr>
            <w:r w:rsidRPr="00F35660">
              <w:rPr>
                <w:b/>
                <w:bCs/>
              </w:rPr>
              <w:t>0,00</w:t>
            </w:r>
          </w:p>
        </w:tc>
        <w:tc>
          <w:tcPr>
            <w:tcW w:w="1275" w:type="dxa"/>
          </w:tcPr>
          <w:p w:rsidR="00043510" w:rsidRPr="00F35660" w:rsidRDefault="00043510" w:rsidP="00B5520A">
            <w:pPr>
              <w:jc w:val="right"/>
              <w:rPr>
                <w:b/>
                <w:bCs/>
              </w:rPr>
            </w:pPr>
            <w:r w:rsidRPr="00F35660">
              <w:rPr>
                <w:b/>
                <w:bCs/>
              </w:rPr>
              <w:t>0,00</w:t>
            </w:r>
          </w:p>
        </w:tc>
        <w:tc>
          <w:tcPr>
            <w:tcW w:w="1276" w:type="dxa"/>
          </w:tcPr>
          <w:p w:rsidR="00043510" w:rsidRPr="00F35660" w:rsidRDefault="00043510" w:rsidP="00B5520A">
            <w:pPr>
              <w:jc w:val="right"/>
              <w:rPr>
                <w:b/>
                <w:bCs/>
              </w:rPr>
            </w:pPr>
            <w:r w:rsidRPr="00F35660">
              <w:rPr>
                <w:b/>
                <w:bCs/>
              </w:rPr>
              <w:t>0,00</w:t>
            </w:r>
          </w:p>
        </w:tc>
      </w:tr>
      <w:tr w:rsidR="00043510" w:rsidRPr="00F35660" w:rsidTr="00F30BA4">
        <w:tc>
          <w:tcPr>
            <w:tcW w:w="3085" w:type="dxa"/>
          </w:tcPr>
          <w:p w:rsidR="00043510" w:rsidRPr="00F35660" w:rsidRDefault="00043510" w:rsidP="00B5520A">
            <w:pPr>
              <w:spacing w:before="100" w:beforeAutospacing="1" w:after="100" w:afterAutospacing="1"/>
              <w:ind w:left="284"/>
              <w:rPr>
                <w:lang w:eastAsia="lv-LV" w:bidi="lo-LA"/>
              </w:rPr>
            </w:pPr>
            <w:r w:rsidRPr="00F35660">
              <w:rPr>
                <w:lang w:eastAsia="lv-LV" w:bidi="lo-LA"/>
              </w:rPr>
              <w:t> 3.1. valsts pamatbudžets</w:t>
            </w:r>
          </w:p>
        </w:tc>
        <w:tc>
          <w:tcPr>
            <w:tcW w:w="1134"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5"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r>
      <w:tr w:rsidR="00043510" w:rsidRPr="00F35660" w:rsidTr="00F30BA4">
        <w:tc>
          <w:tcPr>
            <w:tcW w:w="3085" w:type="dxa"/>
          </w:tcPr>
          <w:p w:rsidR="00043510" w:rsidRPr="00F35660" w:rsidRDefault="00043510" w:rsidP="00B5520A">
            <w:pPr>
              <w:spacing w:before="100" w:beforeAutospacing="1" w:after="100" w:afterAutospacing="1"/>
              <w:ind w:left="284"/>
              <w:rPr>
                <w:lang w:eastAsia="lv-LV" w:bidi="lo-LA"/>
              </w:rPr>
            </w:pPr>
            <w:r w:rsidRPr="00F35660">
              <w:rPr>
                <w:lang w:eastAsia="lv-LV" w:bidi="lo-LA"/>
              </w:rPr>
              <w:t> 3.2. speciālais budžets</w:t>
            </w:r>
          </w:p>
        </w:tc>
        <w:tc>
          <w:tcPr>
            <w:tcW w:w="1134"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5"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r>
      <w:tr w:rsidR="00043510" w:rsidRPr="00F35660" w:rsidTr="00F30BA4">
        <w:tc>
          <w:tcPr>
            <w:tcW w:w="3085" w:type="dxa"/>
          </w:tcPr>
          <w:p w:rsidR="00043510" w:rsidRPr="00F35660" w:rsidRDefault="00043510" w:rsidP="00B5520A">
            <w:pPr>
              <w:spacing w:before="100" w:beforeAutospacing="1" w:after="100" w:afterAutospacing="1"/>
              <w:ind w:left="284"/>
              <w:rPr>
                <w:lang w:eastAsia="lv-LV" w:bidi="lo-LA"/>
              </w:rPr>
            </w:pPr>
            <w:r w:rsidRPr="00F35660">
              <w:rPr>
                <w:lang w:eastAsia="lv-LV" w:bidi="lo-LA"/>
              </w:rPr>
              <w:t> 3.3. pašvaldību budžets</w:t>
            </w:r>
          </w:p>
        </w:tc>
        <w:tc>
          <w:tcPr>
            <w:tcW w:w="1134"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5"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r>
      <w:tr w:rsidR="00043510" w:rsidRPr="00F35660" w:rsidTr="00F30BA4">
        <w:trPr>
          <w:trHeight w:val="125"/>
        </w:trPr>
        <w:tc>
          <w:tcPr>
            <w:tcW w:w="3085" w:type="dxa"/>
            <w:vMerge w:val="restart"/>
          </w:tcPr>
          <w:p w:rsidR="00043510" w:rsidRPr="00F35660" w:rsidRDefault="00043510" w:rsidP="00B5520A">
            <w:pPr>
              <w:spacing w:before="100" w:beforeAutospacing="1" w:after="100" w:afterAutospacing="1"/>
              <w:rPr>
                <w:lang w:eastAsia="lv-LV" w:bidi="lo-LA"/>
              </w:rPr>
            </w:pPr>
            <w:r w:rsidRPr="00F35660">
              <w:rPr>
                <w:lang w:eastAsia="lv-LV" w:bidi="lo-LA"/>
              </w:rPr>
              <w:t> 4. Finanšu līdzekļi papildu izde</w:t>
            </w:r>
            <w:r w:rsidRPr="00F35660">
              <w:rPr>
                <w:lang w:eastAsia="lv-LV" w:bidi="lo-LA"/>
              </w:rPr>
              <w:softHyphen/>
              <w:t>vumu finansēšanai (kompensējošu izdevumu samazinājumu norāda ar "+" zīmi)</w:t>
            </w:r>
          </w:p>
        </w:tc>
        <w:tc>
          <w:tcPr>
            <w:tcW w:w="1134" w:type="dxa"/>
            <w:vMerge w:val="restart"/>
            <w:vAlign w:val="center"/>
          </w:tcPr>
          <w:p w:rsidR="00043510" w:rsidRPr="00F35660" w:rsidRDefault="00043510" w:rsidP="00B5520A">
            <w:pPr>
              <w:autoSpaceDE w:val="0"/>
              <w:autoSpaceDN w:val="0"/>
              <w:adjustRightInd w:val="0"/>
              <w:jc w:val="center"/>
              <w:rPr>
                <w:noProof/>
                <w:sz w:val="28"/>
                <w:szCs w:val="28"/>
              </w:rPr>
            </w:pPr>
            <w:r w:rsidRPr="00F35660">
              <w:rPr>
                <w:noProof/>
                <w:sz w:val="28"/>
                <w:szCs w:val="28"/>
              </w:rPr>
              <w:t>X</w:t>
            </w:r>
          </w:p>
        </w:tc>
        <w:tc>
          <w:tcPr>
            <w:tcW w:w="1276"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5"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r>
      <w:tr w:rsidR="00043510" w:rsidRPr="00F35660" w:rsidTr="00F30BA4">
        <w:trPr>
          <w:trHeight w:val="293"/>
        </w:trPr>
        <w:tc>
          <w:tcPr>
            <w:tcW w:w="3085" w:type="dxa"/>
            <w:vMerge/>
            <w:vAlign w:val="center"/>
          </w:tcPr>
          <w:p w:rsidR="00043510" w:rsidRPr="00F35660" w:rsidRDefault="00043510" w:rsidP="00B5520A">
            <w:pPr>
              <w:rPr>
                <w:lang w:eastAsia="lv-LV" w:bidi="lo-LA"/>
              </w:rPr>
            </w:pPr>
          </w:p>
        </w:tc>
        <w:tc>
          <w:tcPr>
            <w:tcW w:w="1134" w:type="dxa"/>
            <w:vMerge/>
            <w:vAlign w:val="center"/>
          </w:tcPr>
          <w:p w:rsidR="00043510" w:rsidRPr="00F35660" w:rsidRDefault="00043510" w:rsidP="00B5520A">
            <w:pPr>
              <w:autoSpaceDE w:val="0"/>
              <w:autoSpaceDN w:val="0"/>
              <w:adjustRightInd w:val="0"/>
              <w:jc w:val="center"/>
              <w:rPr>
                <w:noProof/>
                <w:sz w:val="28"/>
                <w:szCs w:val="28"/>
              </w:rPr>
            </w:pPr>
          </w:p>
        </w:tc>
        <w:tc>
          <w:tcPr>
            <w:tcW w:w="1276"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5"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r>
      <w:tr w:rsidR="00043510" w:rsidRPr="00F35660" w:rsidTr="00F30BA4">
        <w:trPr>
          <w:trHeight w:val="70"/>
        </w:trPr>
        <w:tc>
          <w:tcPr>
            <w:tcW w:w="3085" w:type="dxa"/>
            <w:vMerge/>
            <w:vAlign w:val="center"/>
          </w:tcPr>
          <w:p w:rsidR="00043510" w:rsidRPr="00F35660" w:rsidRDefault="00043510" w:rsidP="00B5520A">
            <w:pPr>
              <w:rPr>
                <w:lang w:eastAsia="lv-LV" w:bidi="lo-LA"/>
              </w:rPr>
            </w:pPr>
          </w:p>
        </w:tc>
        <w:tc>
          <w:tcPr>
            <w:tcW w:w="1134" w:type="dxa"/>
            <w:vMerge/>
            <w:vAlign w:val="center"/>
          </w:tcPr>
          <w:p w:rsidR="00043510" w:rsidRPr="00F35660" w:rsidRDefault="00043510" w:rsidP="00B5520A">
            <w:pPr>
              <w:autoSpaceDE w:val="0"/>
              <w:autoSpaceDN w:val="0"/>
              <w:adjustRightInd w:val="0"/>
              <w:jc w:val="center"/>
              <w:rPr>
                <w:noProof/>
                <w:sz w:val="28"/>
                <w:szCs w:val="28"/>
              </w:rPr>
            </w:pPr>
          </w:p>
        </w:tc>
        <w:tc>
          <w:tcPr>
            <w:tcW w:w="1276"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5"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r>
      <w:tr w:rsidR="00043510" w:rsidRPr="00F35660" w:rsidTr="00F30BA4">
        <w:tc>
          <w:tcPr>
            <w:tcW w:w="3085" w:type="dxa"/>
          </w:tcPr>
          <w:p w:rsidR="00043510" w:rsidRPr="00F35660" w:rsidRDefault="00043510" w:rsidP="00B5520A">
            <w:pPr>
              <w:spacing w:before="100" w:beforeAutospacing="1" w:after="100" w:afterAutospacing="1"/>
              <w:rPr>
                <w:lang w:eastAsia="lv-LV" w:bidi="lo-LA"/>
              </w:rPr>
            </w:pPr>
            <w:r w:rsidRPr="00F35660">
              <w:rPr>
                <w:lang w:eastAsia="lv-LV" w:bidi="lo-LA"/>
              </w:rPr>
              <w:t> 5. Precizēta finansiālā ietekme:</w:t>
            </w:r>
          </w:p>
        </w:tc>
        <w:tc>
          <w:tcPr>
            <w:tcW w:w="1134" w:type="dxa"/>
            <w:vMerge w:val="restart"/>
            <w:vAlign w:val="center"/>
          </w:tcPr>
          <w:p w:rsidR="00043510" w:rsidRPr="00F35660" w:rsidRDefault="00043510" w:rsidP="00B5520A">
            <w:pPr>
              <w:autoSpaceDE w:val="0"/>
              <w:autoSpaceDN w:val="0"/>
              <w:adjustRightInd w:val="0"/>
              <w:jc w:val="center"/>
              <w:rPr>
                <w:noProof/>
                <w:sz w:val="28"/>
                <w:szCs w:val="28"/>
              </w:rPr>
            </w:pPr>
            <w:r w:rsidRPr="00F35660">
              <w:rPr>
                <w:noProof/>
                <w:sz w:val="28"/>
                <w:szCs w:val="28"/>
              </w:rPr>
              <w:t>X</w:t>
            </w:r>
          </w:p>
        </w:tc>
        <w:tc>
          <w:tcPr>
            <w:tcW w:w="1276"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5"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r>
      <w:tr w:rsidR="00043510" w:rsidRPr="00F35660" w:rsidTr="00F30BA4">
        <w:tc>
          <w:tcPr>
            <w:tcW w:w="3085" w:type="dxa"/>
          </w:tcPr>
          <w:p w:rsidR="00043510" w:rsidRPr="00F35660" w:rsidRDefault="00043510" w:rsidP="00B5520A">
            <w:pPr>
              <w:spacing w:before="100" w:beforeAutospacing="1" w:after="100" w:afterAutospacing="1"/>
              <w:ind w:left="284"/>
              <w:rPr>
                <w:lang w:eastAsia="lv-LV" w:bidi="lo-LA"/>
              </w:rPr>
            </w:pPr>
            <w:r w:rsidRPr="00F35660">
              <w:rPr>
                <w:lang w:eastAsia="lv-LV" w:bidi="lo-LA"/>
              </w:rPr>
              <w:t> 5.1. valsts pamatbudžets</w:t>
            </w:r>
          </w:p>
        </w:tc>
        <w:tc>
          <w:tcPr>
            <w:tcW w:w="1134" w:type="dxa"/>
            <w:vMerge/>
          </w:tcPr>
          <w:p w:rsidR="00043510" w:rsidRPr="00F35660" w:rsidRDefault="00043510" w:rsidP="00B5520A">
            <w:pPr>
              <w:autoSpaceDE w:val="0"/>
              <w:autoSpaceDN w:val="0"/>
              <w:adjustRightInd w:val="0"/>
              <w:rPr>
                <w:noProof/>
                <w:sz w:val="28"/>
                <w:szCs w:val="28"/>
              </w:rPr>
            </w:pPr>
          </w:p>
        </w:tc>
        <w:tc>
          <w:tcPr>
            <w:tcW w:w="1276"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5"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r>
      <w:tr w:rsidR="00043510" w:rsidRPr="00F35660" w:rsidTr="00F30BA4">
        <w:tc>
          <w:tcPr>
            <w:tcW w:w="3085" w:type="dxa"/>
          </w:tcPr>
          <w:p w:rsidR="00043510" w:rsidRPr="00F35660" w:rsidRDefault="00043510" w:rsidP="00B5520A">
            <w:pPr>
              <w:spacing w:before="100" w:beforeAutospacing="1" w:after="100" w:afterAutospacing="1"/>
              <w:ind w:left="284"/>
              <w:rPr>
                <w:lang w:eastAsia="lv-LV" w:bidi="lo-LA"/>
              </w:rPr>
            </w:pPr>
            <w:r w:rsidRPr="00F35660">
              <w:rPr>
                <w:lang w:eastAsia="lv-LV" w:bidi="lo-LA"/>
              </w:rPr>
              <w:t> 5.2. speciālais budžets</w:t>
            </w:r>
          </w:p>
        </w:tc>
        <w:tc>
          <w:tcPr>
            <w:tcW w:w="1134" w:type="dxa"/>
            <w:vMerge/>
          </w:tcPr>
          <w:p w:rsidR="00043510" w:rsidRPr="00F35660" w:rsidRDefault="00043510" w:rsidP="00B5520A">
            <w:pPr>
              <w:autoSpaceDE w:val="0"/>
              <w:autoSpaceDN w:val="0"/>
              <w:adjustRightInd w:val="0"/>
              <w:rPr>
                <w:noProof/>
                <w:sz w:val="28"/>
                <w:szCs w:val="28"/>
              </w:rPr>
            </w:pPr>
          </w:p>
        </w:tc>
        <w:tc>
          <w:tcPr>
            <w:tcW w:w="1276"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5"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r>
      <w:tr w:rsidR="00043510" w:rsidRPr="00F35660" w:rsidTr="00F30BA4">
        <w:tc>
          <w:tcPr>
            <w:tcW w:w="3085" w:type="dxa"/>
          </w:tcPr>
          <w:p w:rsidR="00043510" w:rsidRPr="00F35660" w:rsidRDefault="00043510" w:rsidP="00B5520A">
            <w:pPr>
              <w:spacing w:before="100" w:beforeAutospacing="1" w:after="100" w:afterAutospacing="1"/>
              <w:ind w:left="284"/>
              <w:rPr>
                <w:lang w:eastAsia="lv-LV" w:bidi="lo-LA"/>
              </w:rPr>
            </w:pPr>
            <w:r w:rsidRPr="00F35660">
              <w:rPr>
                <w:lang w:eastAsia="lv-LV" w:bidi="lo-LA"/>
              </w:rPr>
              <w:t> 5.3. pašvaldību budžets</w:t>
            </w:r>
          </w:p>
        </w:tc>
        <w:tc>
          <w:tcPr>
            <w:tcW w:w="1134" w:type="dxa"/>
            <w:vMerge/>
          </w:tcPr>
          <w:p w:rsidR="00043510" w:rsidRPr="00F35660" w:rsidRDefault="00043510" w:rsidP="00B5520A">
            <w:pPr>
              <w:autoSpaceDE w:val="0"/>
              <w:autoSpaceDN w:val="0"/>
              <w:adjustRightInd w:val="0"/>
              <w:rPr>
                <w:noProof/>
                <w:sz w:val="28"/>
                <w:szCs w:val="28"/>
              </w:rPr>
            </w:pPr>
          </w:p>
        </w:tc>
        <w:tc>
          <w:tcPr>
            <w:tcW w:w="1276"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c>
          <w:tcPr>
            <w:tcW w:w="1275" w:type="dxa"/>
          </w:tcPr>
          <w:p w:rsidR="00043510" w:rsidRPr="00F35660" w:rsidRDefault="00043510" w:rsidP="00B5520A">
            <w:pPr>
              <w:jc w:val="right"/>
            </w:pPr>
            <w:r w:rsidRPr="00F35660">
              <w:t>0,00</w:t>
            </w:r>
          </w:p>
        </w:tc>
        <w:tc>
          <w:tcPr>
            <w:tcW w:w="1276" w:type="dxa"/>
          </w:tcPr>
          <w:p w:rsidR="00043510" w:rsidRPr="00F35660" w:rsidRDefault="00043510" w:rsidP="00B5520A">
            <w:pPr>
              <w:jc w:val="right"/>
            </w:pPr>
            <w:r w:rsidRPr="00F35660">
              <w:t>0,00</w:t>
            </w:r>
          </w:p>
        </w:tc>
      </w:tr>
      <w:tr w:rsidR="00043510" w:rsidRPr="00F35660" w:rsidTr="004251A9">
        <w:tc>
          <w:tcPr>
            <w:tcW w:w="3085" w:type="dxa"/>
          </w:tcPr>
          <w:p w:rsidR="00043510" w:rsidRPr="00F35660" w:rsidRDefault="00043510" w:rsidP="00B5520A">
            <w:pPr>
              <w:spacing w:before="100" w:beforeAutospacing="1" w:after="100" w:afterAutospacing="1"/>
              <w:rPr>
                <w:lang w:eastAsia="lv-LV" w:bidi="lo-LA"/>
              </w:rPr>
            </w:pPr>
            <w:r w:rsidRPr="00F35660">
              <w:rPr>
                <w:lang w:eastAsia="lv-LV" w:bidi="lo-LA"/>
              </w:rPr>
              <w:t> 6. Detalizēts ieņēmumu un izdevu</w:t>
            </w:r>
            <w:r w:rsidRPr="00F35660">
              <w:rPr>
                <w:lang w:eastAsia="lv-LV" w:bidi="lo-LA"/>
              </w:rPr>
              <w:softHyphen/>
              <w:t>mu aprēķins (ja nepieciešams, detalizētu ieņēmumu un izdevumu aprēķinu var pievienot anotācijas pielikumā):</w:t>
            </w:r>
          </w:p>
        </w:tc>
        <w:tc>
          <w:tcPr>
            <w:tcW w:w="6237" w:type="dxa"/>
            <w:gridSpan w:val="5"/>
            <w:vMerge w:val="restart"/>
            <w:vAlign w:val="center"/>
          </w:tcPr>
          <w:p w:rsidR="00043510" w:rsidRDefault="00043510" w:rsidP="00F30BA4">
            <w:pPr>
              <w:autoSpaceDE w:val="0"/>
              <w:autoSpaceDN w:val="0"/>
              <w:adjustRightInd w:val="0"/>
              <w:ind w:left="34"/>
              <w:jc w:val="both"/>
            </w:pPr>
            <w:r w:rsidRPr="00FE3104">
              <w:rPr>
                <w:color w:val="000000"/>
                <w:u w:val="single"/>
                <w:lang w:eastAsia="lv-LV"/>
              </w:rPr>
              <w:t>Atbilstoši likumam „Par valsts budžetu 2012.gadam”</w:t>
            </w:r>
            <w:r w:rsidRPr="00936D47">
              <w:rPr>
                <w:color w:val="000000"/>
                <w:lang w:eastAsia="lv-LV"/>
              </w:rPr>
              <w:t>, lai nodrošinātu darbības prog</w:t>
            </w:r>
            <w:r>
              <w:rPr>
                <w:color w:val="000000"/>
                <w:lang w:eastAsia="lv-LV"/>
              </w:rPr>
              <w:t>rammas “Infrastruktūra un pakal</w:t>
            </w:r>
            <w:r w:rsidRPr="00936D47">
              <w:rPr>
                <w:color w:val="000000"/>
                <w:lang w:eastAsia="lv-LV"/>
              </w:rPr>
              <w:t>pojumi” papildinājuma 3.1.prioritātes “Infrastruktūra cilvēku kapitāla nostipri</w:t>
            </w:r>
            <w:r w:rsidRPr="00936D47">
              <w:rPr>
                <w:color w:val="000000"/>
                <w:lang w:eastAsia="lv-LV"/>
              </w:rPr>
              <w:softHyphen/>
              <w:t xml:space="preserve">nāšanai” 3.1.5.pasākuma “Veselības aprūpes infrastruktūra” 3.1.5.1.1.apakšaktivitātē „Ģimenes ārstu tīkla attīstība” </w:t>
            </w:r>
            <w:r>
              <w:t xml:space="preserve">paredzēto pasākumu īstenošanu Finanšu ministrijas </w:t>
            </w:r>
            <w:r w:rsidRPr="006235E8">
              <w:rPr>
                <w:bCs/>
              </w:rPr>
              <w:t>budžeta programmas 62.00.00 „</w:t>
            </w:r>
            <w:r w:rsidRPr="006235E8">
              <w:t>Eiropas Reģionālās attīstības fonda (ERAF) p</w:t>
            </w:r>
            <w:r>
              <w:t>rojektu un pasākumu īstenošana</w:t>
            </w:r>
            <w:r w:rsidRPr="006235E8">
              <w:rPr>
                <w:bCs/>
              </w:rPr>
              <w:t>”</w:t>
            </w:r>
            <w:r>
              <w:rPr>
                <w:bCs/>
              </w:rPr>
              <w:t xml:space="preserve"> </w:t>
            </w:r>
            <w:r>
              <w:t>apakšprogrammā</w:t>
            </w:r>
            <w:r w:rsidRPr="006235E8">
              <w:t xml:space="preserve"> 62.06.00</w:t>
            </w:r>
            <w:r>
              <w:t xml:space="preserve"> </w:t>
            </w:r>
            <w:r w:rsidRPr="00917893">
              <w:t>„Eiropas Reģionālās attīstības fonda (ERAF) avansa maksājumi un atmaksas finansējuma saņēmējiem (2007-2013)”</w:t>
            </w:r>
            <w:r>
              <w:t xml:space="preserve"> ir paredzēts finansējums </w:t>
            </w:r>
            <w:r>
              <w:rPr>
                <w:color w:val="000000"/>
                <w:lang w:eastAsia="lv-LV"/>
              </w:rPr>
              <w:t>1 112 347 LVL</w:t>
            </w:r>
            <w:r>
              <w:t xml:space="preserve"> apmērā.</w:t>
            </w:r>
          </w:p>
          <w:p w:rsidR="00043510" w:rsidRPr="00936D47" w:rsidRDefault="00043510" w:rsidP="00F30BA4">
            <w:pPr>
              <w:autoSpaceDE w:val="0"/>
              <w:autoSpaceDN w:val="0"/>
              <w:adjustRightInd w:val="0"/>
              <w:ind w:left="34"/>
              <w:jc w:val="both"/>
              <w:rPr>
                <w:color w:val="000000"/>
                <w:lang w:eastAsia="lv-LV"/>
              </w:rPr>
            </w:pPr>
            <w:r w:rsidRPr="00F64D57">
              <w:rPr>
                <w:u w:val="single"/>
              </w:rPr>
              <w:t>Atbilstoši maksimāli pieļaujamam valsts budžetu izdevumu kopapjomam 2013.-2014.gadam</w:t>
            </w:r>
            <w:r>
              <w:t xml:space="preserve"> minētajā aktivitātē paredzēto pasākumu īstenošanai Finanšu ministrijas </w:t>
            </w:r>
            <w:r w:rsidRPr="006235E8">
              <w:rPr>
                <w:bCs/>
              </w:rPr>
              <w:t>budžeta programmas 62.00.00 „</w:t>
            </w:r>
            <w:r w:rsidRPr="006235E8">
              <w:t>Eiropas Reģionālās attīstības fonda (ERAF) p</w:t>
            </w:r>
            <w:r>
              <w:t>rojektu un pasākumu īstenošana</w:t>
            </w:r>
            <w:r w:rsidRPr="006235E8">
              <w:rPr>
                <w:bCs/>
              </w:rPr>
              <w:t>”</w:t>
            </w:r>
            <w:r>
              <w:rPr>
                <w:bCs/>
              </w:rPr>
              <w:t xml:space="preserve"> </w:t>
            </w:r>
            <w:r>
              <w:t>apakšprogrammā</w:t>
            </w:r>
            <w:r w:rsidRPr="006235E8">
              <w:t xml:space="preserve"> 62.06.00</w:t>
            </w:r>
            <w:r>
              <w:t xml:space="preserve"> </w:t>
            </w:r>
            <w:r w:rsidRPr="00917893">
              <w:t>„</w:t>
            </w:r>
            <w:r w:rsidRPr="00F64D57">
              <w:t>Eiropas Reģionālās attīstības fonda (ERAF) avansa maksājumi un atmaksas finansējuma saņēmējiem (2007-2013)”</w:t>
            </w:r>
            <w:r>
              <w:t xml:space="preserve"> 2013.gadā ir plānots finansējums </w:t>
            </w:r>
            <w:r>
              <w:rPr>
                <w:color w:val="000000"/>
                <w:lang w:eastAsia="lv-LV"/>
              </w:rPr>
              <w:t>1 417 708 LVL apmērā.</w:t>
            </w:r>
          </w:p>
          <w:p w:rsidR="00043510" w:rsidRPr="00711521" w:rsidRDefault="00043510" w:rsidP="005E2FA8">
            <w:pPr>
              <w:jc w:val="both"/>
              <w:rPr>
                <w:color w:val="000000"/>
                <w:lang w:eastAsia="lv-LV"/>
              </w:rPr>
            </w:pPr>
            <w:r>
              <w:rPr>
                <w:color w:val="000000"/>
                <w:lang w:eastAsia="lv-LV"/>
              </w:rPr>
              <w:t>Noteikumu projekta īstenošana tiks nodrošināta esošo</w:t>
            </w:r>
            <w:r w:rsidR="000E24E4">
              <w:rPr>
                <w:color w:val="000000"/>
                <w:lang w:eastAsia="lv-LV"/>
              </w:rPr>
              <w:t xml:space="preserve"> finanšu</w:t>
            </w:r>
            <w:r>
              <w:rPr>
                <w:color w:val="000000"/>
                <w:lang w:eastAsia="lv-LV"/>
              </w:rPr>
              <w:t xml:space="preserve"> līdzekļu ietvaros atbilstoši likumam par valsts budžetu k</w:t>
            </w:r>
            <w:r w:rsidR="005E2FA8">
              <w:rPr>
                <w:color w:val="000000"/>
                <w:lang w:eastAsia="lv-LV"/>
              </w:rPr>
              <w:t>ā</w:t>
            </w:r>
            <w:r>
              <w:rPr>
                <w:color w:val="000000"/>
                <w:lang w:eastAsia="lv-LV"/>
              </w:rPr>
              <w:t>rtējam gadam, līdz ar to noteikumu projekta finansiālā ietekme uz valsts budžetu 2012.gadā un turpmākajos gados ir 0.</w:t>
            </w:r>
          </w:p>
        </w:tc>
      </w:tr>
      <w:tr w:rsidR="00043510" w:rsidRPr="00F35660" w:rsidTr="004251A9">
        <w:tc>
          <w:tcPr>
            <w:tcW w:w="3085" w:type="dxa"/>
          </w:tcPr>
          <w:p w:rsidR="00043510" w:rsidRPr="00F35660" w:rsidRDefault="00043510" w:rsidP="00B5520A">
            <w:pPr>
              <w:spacing w:before="100" w:beforeAutospacing="1" w:after="100" w:afterAutospacing="1"/>
              <w:ind w:left="284"/>
              <w:rPr>
                <w:lang w:eastAsia="lv-LV" w:bidi="lo-LA"/>
              </w:rPr>
            </w:pPr>
            <w:r w:rsidRPr="00F35660">
              <w:rPr>
                <w:lang w:eastAsia="lv-LV" w:bidi="lo-LA"/>
              </w:rPr>
              <w:t> 6.1. detalizēts ieņēmumu aprēķins</w:t>
            </w:r>
          </w:p>
        </w:tc>
        <w:tc>
          <w:tcPr>
            <w:tcW w:w="6237" w:type="dxa"/>
            <w:gridSpan w:val="5"/>
            <w:vMerge/>
          </w:tcPr>
          <w:p w:rsidR="00043510" w:rsidRPr="00F35660" w:rsidRDefault="00043510" w:rsidP="00B5520A">
            <w:pPr>
              <w:autoSpaceDE w:val="0"/>
              <w:autoSpaceDN w:val="0"/>
              <w:adjustRightInd w:val="0"/>
              <w:rPr>
                <w:noProof/>
                <w:sz w:val="28"/>
                <w:szCs w:val="28"/>
              </w:rPr>
            </w:pPr>
          </w:p>
        </w:tc>
      </w:tr>
      <w:tr w:rsidR="00043510" w:rsidRPr="00F35660" w:rsidTr="004251A9">
        <w:tc>
          <w:tcPr>
            <w:tcW w:w="3085" w:type="dxa"/>
          </w:tcPr>
          <w:p w:rsidR="00043510" w:rsidRPr="00F35660" w:rsidRDefault="00043510" w:rsidP="00B5520A">
            <w:pPr>
              <w:spacing w:before="100" w:beforeAutospacing="1" w:after="100" w:afterAutospacing="1"/>
              <w:ind w:left="284"/>
              <w:rPr>
                <w:lang w:eastAsia="lv-LV" w:bidi="lo-LA"/>
              </w:rPr>
            </w:pPr>
            <w:r w:rsidRPr="00F35660">
              <w:rPr>
                <w:lang w:eastAsia="lv-LV" w:bidi="lo-LA"/>
              </w:rPr>
              <w:t> 6.2. detalizēts izdevumu aprēķins</w:t>
            </w:r>
          </w:p>
        </w:tc>
        <w:tc>
          <w:tcPr>
            <w:tcW w:w="6237" w:type="dxa"/>
            <w:gridSpan w:val="5"/>
            <w:vMerge/>
          </w:tcPr>
          <w:p w:rsidR="00043510" w:rsidRPr="00F35660" w:rsidRDefault="00043510" w:rsidP="00B5520A">
            <w:pPr>
              <w:autoSpaceDE w:val="0"/>
              <w:autoSpaceDN w:val="0"/>
              <w:adjustRightInd w:val="0"/>
              <w:rPr>
                <w:noProof/>
                <w:sz w:val="28"/>
                <w:szCs w:val="28"/>
              </w:rPr>
            </w:pPr>
          </w:p>
        </w:tc>
      </w:tr>
      <w:tr w:rsidR="00043510" w:rsidRPr="00F35660" w:rsidTr="004251A9">
        <w:tc>
          <w:tcPr>
            <w:tcW w:w="3085" w:type="dxa"/>
          </w:tcPr>
          <w:p w:rsidR="00043510" w:rsidRPr="00F35660" w:rsidRDefault="00043510" w:rsidP="00B5520A">
            <w:pPr>
              <w:spacing w:before="100" w:beforeAutospacing="1" w:after="100" w:afterAutospacing="1"/>
              <w:rPr>
                <w:lang w:eastAsia="lv-LV" w:bidi="lo-LA"/>
              </w:rPr>
            </w:pPr>
            <w:r w:rsidRPr="00F35660">
              <w:rPr>
                <w:lang w:eastAsia="lv-LV" w:bidi="lo-LA"/>
              </w:rPr>
              <w:t> 7. Cita informācija</w:t>
            </w:r>
          </w:p>
        </w:tc>
        <w:tc>
          <w:tcPr>
            <w:tcW w:w="6237" w:type="dxa"/>
            <w:gridSpan w:val="5"/>
          </w:tcPr>
          <w:p w:rsidR="00043510" w:rsidRPr="00F35660" w:rsidRDefault="00043510" w:rsidP="00711521">
            <w:pPr>
              <w:autoSpaceDE w:val="0"/>
              <w:autoSpaceDN w:val="0"/>
              <w:adjustRightInd w:val="0"/>
              <w:jc w:val="both"/>
            </w:pPr>
            <w:r w:rsidRPr="00A83905">
              <w:t xml:space="preserve">Noteikumu projekta īstenošana tiks nodrošināta </w:t>
            </w:r>
            <w:r>
              <w:t xml:space="preserve">Finanšu ministrijai </w:t>
            </w:r>
            <w:r w:rsidRPr="00A83905">
              <w:t>piešķirto valsts budžeta līdzekļu ietvaros atbilstoši likumam par valsts budžetu kārtējam gadam.</w:t>
            </w:r>
          </w:p>
        </w:tc>
      </w:tr>
    </w:tbl>
    <w:p w:rsidR="002106BC" w:rsidRDefault="002106BC" w:rsidP="002106BC">
      <w:pPr>
        <w:autoSpaceDE w:val="0"/>
        <w:autoSpaceDN w:val="0"/>
        <w:adjustRightInd w:val="0"/>
        <w:jc w:val="both"/>
        <w:rPr>
          <w:bCs/>
          <w:i/>
          <w:lang w:eastAsia="lv-LV" w:bidi="lo-LA"/>
        </w:rPr>
      </w:pPr>
      <w:r w:rsidRPr="00B46B4C">
        <w:rPr>
          <w:i/>
          <w:lang w:eastAsia="lv-LV" w:bidi="lo-LA"/>
        </w:rPr>
        <w:t>Anotācijas IV</w:t>
      </w:r>
      <w:r w:rsidR="00F22C61">
        <w:rPr>
          <w:i/>
          <w:lang w:eastAsia="lv-LV" w:bidi="lo-LA"/>
        </w:rPr>
        <w:t xml:space="preserve"> sadaļa </w:t>
      </w:r>
      <w:r w:rsidRPr="00B46B4C">
        <w:rPr>
          <w:bCs/>
          <w:i/>
          <w:lang w:eastAsia="lv-LV" w:bidi="lo-LA"/>
        </w:rPr>
        <w:t xml:space="preserve">-  </w:t>
      </w:r>
      <w:r w:rsidRPr="00B46B4C">
        <w:rPr>
          <w:i/>
          <w:color w:val="2A2A2A"/>
        </w:rPr>
        <w:t>projekts šīs jomas neskar</w:t>
      </w:r>
      <w:r w:rsidRPr="00B46B4C">
        <w:rPr>
          <w:bCs/>
          <w:i/>
          <w:lang w:eastAsia="lv-LV" w:bidi="lo-LA"/>
        </w:rPr>
        <w:t>.</w:t>
      </w:r>
    </w:p>
    <w:p w:rsidR="00C62EE0" w:rsidRDefault="00C62EE0" w:rsidP="002106BC">
      <w:pPr>
        <w:autoSpaceDE w:val="0"/>
        <w:autoSpaceDN w:val="0"/>
        <w:adjustRightInd w:val="0"/>
        <w:jc w:val="both"/>
        <w:rPr>
          <w:bCs/>
          <w:i/>
          <w:lang w:eastAsia="lv-LV" w:bidi="lo-LA"/>
        </w:rPr>
      </w:pPr>
    </w:p>
    <w:tbl>
      <w:tblPr>
        <w:tblW w:w="9214" w:type="dxa"/>
        <w:tblInd w:w="-114"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568"/>
        <w:gridCol w:w="2693"/>
        <w:gridCol w:w="5953"/>
      </w:tblGrid>
      <w:tr w:rsidR="00C62EE0" w:rsidRPr="00BA3C4F" w:rsidTr="00401EDF">
        <w:tc>
          <w:tcPr>
            <w:tcW w:w="9214" w:type="dxa"/>
            <w:gridSpan w:val="3"/>
            <w:tcBorders>
              <w:top w:val="outset" w:sz="6" w:space="0" w:color="auto"/>
              <w:left w:val="outset" w:sz="6" w:space="0" w:color="auto"/>
              <w:bottom w:val="outset" w:sz="6" w:space="0" w:color="auto"/>
              <w:right w:val="outset" w:sz="6" w:space="0" w:color="auto"/>
            </w:tcBorders>
            <w:vAlign w:val="center"/>
          </w:tcPr>
          <w:p w:rsidR="00C62EE0" w:rsidRPr="00BA3C4F" w:rsidRDefault="00C62EE0" w:rsidP="00401EDF">
            <w:pPr>
              <w:jc w:val="center"/>
              <w:rPr>
                <w:b/>
              </w:rPr>
            </w:pPr>
            <w:r w:rsidRPr="00BA3C4F">
              <w:rPr>
                <w:b/>
              </w:rPr>
              <w:t>V. Tiesību akta projekta atbilstība Latvijas Republikas starptautiskajām saistībām</w:t>
            </w:r>
          </w:p>
        </w:tc>
      </w:tr>
      <w:tr w:rsidR="00C62EE0" w:rsidRPr="00BA3C4F" w:rsidTr="00401EDF">
        <w:tc>
          <w:tcPr>
            <w:tcW w:w="568" w:type="dxa"/>
            <w:tcBorders>
              <w:top w:val="outset" w:sz="6" w:space="0" w:color="auto"/>
              <w:left w:val="outset" w:sz="6" w:space="0" w:color="auto"/>
              <w:bottom w:val="outset" w:sz="6" w:space="0" w:color="auto"/>
              <w:right w:val="outset" w:sz="6" w:space="0" w:color="auto"/>
            </w:tcBorders>
          </w:tcPr>
          <w:p w:rsidR="00C62EE0" w:rsidRPr="00BA3C4F" w:rsidRDefault="00C62EE0" w:rsidP="00401EDF">
            <w:pPr>
              <w:ind w:left="57"/>
            </w:pPr>
            <w:r w:rsidRPr="00BA3C4F">
              <w:t>1.</w:t>
            </w:r>
          </w:p>
        </w:tc>
        <w:tc>
          <w:tcPr>
            <w:tcW w:w="2693" w:type="dxa"/>
            <w:tcBorders>
              <w:top w:val="outset" w:sz="6" w:space="0" w:color="auto"/>
              <w:left w:val="outset" w:sz="6" w:space="0" w:color="auto"/>
              <w:bottom w:val="outset" w:sz="6" w:space="0" w:color="auto"/>
              <w:right w:val="outset" w:sz="6" w:space="0" w:color="auto"/>
            </w:tcBorders>
          </w:tcPr>
          <w:p w:rsidR="00C62EE0" w:rsidRPr="00BA3C4F" w:rsidRDefault="00C62EE0" w:rsidP="00401EDF">
            <w:pPr>
              <w:ind w:left="57"/>
            </w:pPr>
            <w:r w:rsidRPr="00BA3C4F">
              <w:t>Saistības pret Eiropas Savienību</w:t>
            </w:r>
          </w:p>
        </w:tc>
        <w:tc>
          <w:tcPr>
            <w:tcW w:w="5953" w:type="dxa"/>
            <w:tcBorders>
              <w:top w:val="outset" w:sz="6" w:space="0" w:color="auto"/>
              <w:left w:val="outset" w:sz="6" w:space="0" w:color="auto"/>
              <w:bottom w:val="outset" w:sz="6" w:space="0" w:color="auto"/>
              <w:right w:val="outset" w:sz="6" w:space="0" w:color="auto"/>
            </w:tcBorders>
          </w:tcPr>
          <w:p w:rsidR="00C62EE0" w:rsidRPr="00EC2AEC" w:rsidRDefault="00C62EE0" w:rsidP="00190113">
            <w:pPr>
              <w:ind w:left="57"/>
              <w:jc w:val="both"/>
            </w:pPr>
            <w:r w:rsidRPr="00EC2AEC">
              <w:rPr>
                <w:bCs/>
              </w:rPr>
              <w:t xml:space="preserve">Ar tiesību akta projektu tiks </w:t>
            </w:r>
            <w:r w:rsidR="00EC2AEC" w:rsidRPr="00EC2AEC">
              <w:rPr>
                <w:bCs/>
              </w:rPr>
              <w:t>pārņemti</w:t>
            </w:r>
            <w:r w:rsidRPr="00EC2AEC">
              <w:rPr>
                <w:bCs/>
              </w:rPr>
              <w:t xml:space="preserve"> </w:t>
            </w:r>
            <w:r w:rsidR="00EC2AEC" w:rsidRPr="00EC2AEC">
              <w:t>Komisijas</w:t>
            </w:r>
            <w:r w:rsidR="00190113">
              <w:t xml:space="preserve"> Lēmumā</w:t>
            </w:r>
            <w:r w:rsidR="00EC2AEC" w:rsidRPr="00EC2AEC">
              <w:t xml:space="preserve">  noteiktie kompensācijas aprēķināšanas nosacījumi</w:t>
            </w:r>
          </w:p>
        </w:tc>
      </w:tr>
      <w:tr w:rsidR="00C62EE0" w:rsidRPr="00BA3C4F" w:rsidTr="00401EDF">
        <w:tc>
          <w:tcPr>
            <w:tcW w:w="568" w:type="dxa"/>
            <w:tcBorders>
              <w:top w:val="outset" w:sz="6" w:space="0" w:color="auto"/>
              <w:left w:val="outset" w:sz="6" w:space="0" w:color="auto"/>
              <w:bottom w:val="outset" w:sz="6" w:space="0" w:color="auto"/>
              <w:right w:val="outset" w:sz="6" w:space="0" w:color="auto"/>
            </w:tcBorders>
          </w:tcPr>
          <w:p w:rsidR="00C62EE0" w:rsidRPr="00BA3C4F" w:rsidRDefault="00C62EE0" w:rsidP="00401EDF">
            <w:pPr>
              <w:ind w:left="57"/>
            </w:pPr>
            <w:r w:rsidRPr="00BA3C4F">
              <w:lastRenderedPageBreak/>
              <w:t>2.</w:t>
            </w:r>
          </w:p>
        </w:tc>
        <w:tc>
          <w:tcPr>
            <w:tcW w:w="2693" w:type="dxa"/>
            <w:tcBorders>
              <w:top w:val="outset" w:sz="6" w:space="0" w:color="auto"/>
              <w:left w:val="outset" w:sz="6" w:space="0" w:color="auto"/>
              <w:bottom w:val="outset" w:sz="6" w:space="0" w:color="auto"/>
              <w:right w:val="outset" w:sz="6" w:space="0" w:color="auto"/>
            </w:tcBorders>
          </w:tcPr>
          <w:p w:rsidR="00C62EE0" w:rsidRPr="00BA3C4F" w:rsidRDefault="00C62EE0" w:rsidP="00401EDF">
            <w:pPr>
              <w:ind w:left="57"/>
            </w:pPr>
            <w:r w:rsidRPr="00BA3C4F">
              <w:t>Citas starptautiskās saistības</w:t>
            </w:r>
          </w:p>
        </w:tc>
        <w:tc>
          <w:tcPr>
            <w:tcW w:w="5953" w:type="dxa"/>
            <w:tcBorders>
              <w:top w:val="outset" w:sz="6" w:space="0" w:color="auto"/>
              <w:left w:val="outset" w:sz="6" w:space="0" w:color="auto"/>
              <w:bottom w:val="outset" w:sz="6" w:space="0" w:color="auto"/>
              <w:right w:val="outset" w:sz="6" w:space="0" w:color="auto"/>
            </w:tcBorders>
          </w:tcPr>
          <w:p w:rsidR="00C62EE0" w:rsidRPr="00BA3C4F" w:rsidRDefault="00C62EE0" w:rsidP="00401EDF">
            <w:pPr>
              <w:ind w:left="57"/>
            </w:pPr>
            <w:r>
              <w:rPr>
                <w:color w:val="2A2A2A"/>
              </w:rPr>
              <w:t>Projekts šo jomu neskar.</w:t>
            </w:r>
          </w:p>
        </w:tc>
      </w:tr>
      <w:tr w:rsidR="00C62EE0" w:rsidRPr="00BA3C4F" w:rsidTr="00401EDF">
        <w:tc>
          <w:tcPr>
            <w:tcW w:w="568" w:type="dxa"/>
            <w:tcBorders>
              <w:top w:val="outset" w:sz="6" w:space="0" w:color="auto"/>
              <w:left w:val="outset" w:sz="6" w:space="0" w:color="auto"/>
              <w:bottom w:val="outset" w:sz="6" w:space="0" w:color="auto"/>
              <w:right w:val="outset" w:sz="6" w:space="0" w:color="auto"/>
            </w:tcBorders>
          </w:tcPr>
          <w:p w:rsidR="00C62EE0" w:rsidRPr="00BA3C4F" w:rsidRDefault="00C62EE0" w:rsidP="00401EDF">
            <w:pPr>
              <w:ind w:left="57"/>
            </w:pPr>
            <w:r w:rsidRPr="00BA3C4F">
              <w:t>3.</w:t>
            </w:r>
          </w:p>
        </w:tc>
        <w:tc>
          <w:tcPr>
            <w:tcW w:w="2693" w:type="dxa"/>
            <w:tcBorders>
              <w:top w:val="outset" w:sz="6" w:space="0" w:color="auto"/>
              <w:left w:val="outset" w:sz="6" w:space="0" w:color="auto"/>
              <w:bottom w:val="outset" w:sz="6" w:space="0" w:color="auto"/>
              <w:right w:val="outset" w:sz="6" w:space="0" w:color="auto"/>
            </w:tcBorders>
          </w:tcPr>
          <w:p w:rsidR="00C62EE0" w:rsidRPr="00BA3C4F" w:rsidRDefault="00C62EE0" w:rsidP="00401EDF">
            <w:pPr>
              <w:ind w:left="57"/>
            </w:pPr>
            <w:r w:rsidRPr="00BA3C4F">
              <w:t>Cita informācija</w:t>
            </w:r>
          </w:p>
        </w:tc>
        <w:tc>
          <w:tcPr>
            <w:tcW w:w="5953" w:type="dxa"/>
            <w:tcBorders>
              <w:top w:val="outset" w:sz="6" w:space="0" w:color="auto"/>
              <w:left w:val="outset" w:sz="6" w:space="0" w:color="auto"/>
              <w:bottom w:val="outset" w:sz="6" w:space="0" w:color="auto"/>
              <w:right w:val="outset" w:sz="6" w:space="0" w:color="auto"/>
            </w:tcBorders>
          </w:tcPr>
          <w:p w:rsidR="00C62EE0" w:rsidRPr="00BA3C4F" w:rsidRDefault="00EC2AEC" w:rsidP="00401EDF">
            <w:pPr>
              <w:ind w:left="57"/>
            </w:pPr>
            <w:r>
              <w:t>Nav attiecināms</w:t>
            </w:r>
          </w:p>
        </w:tc>
      </w:tr>
    </w:tbl>
    <w:p w:rsidR="00C62EE0" w:rsidRDefault="00C62EE0" w:rsidP="002106BC">
      <w:pPr>
        <w:autoSpaceDE w:val="0"/>
        <w:autoSpaceDN w:val="0"/>
        <w:adjustRightInd w:val="0"/>
        <w:jc w:val="both"/>
        <w:rPr>
          <w:i/>
          <w:noProof/>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1984"/>
        <w:gridCol w:w="1985"/>
        <w:gridCol w:w="2517"/>
      </w:tblGrid>
      <w:tr w:rsidR="008C5493" w:rsidRPr="003672FF" w:rsidTr="00401EDF">
        <w:tc>
          <w:tcPr>
            <w:tcW w:w="9288" w:type="dxa"/>
            <w:gridSpan w:val="4"/>
            <w:vAlign w:val="center"/>
          </w:tcPr>
          <w:p w:rsidR="008C5493" w:rsidRPr="003672FF" w:rsidRDefault="008C5493" w:rsidP="00401EDF">
            <w:pPr>
              <w:pStyle w:val="naisnod"/>
              <w:spacing w:before="0" w:beforeAutospacing="0" w:after="0" w:afterAutospacing="0"/>
              <w:jc w:val="center"/>
              <w:rPr>
                <w:b/>
              </w:rPr>
            </w:pPr>
            <w:r w:rsidRPr="003672FF">
              <w:rPr>
                <w:b/>
              </w:rPr>
              <w:t>1.tabula</w:t>
            </w:r>
          </w:p>
          <w:p w:rsidR="008C5493" w:rsidRPr="003672FF" w:rsidRDefault="008C5493" w:rsidP="00401EDF">
            <w:pPr>
              <w:autoSpaceDE w:val="0"/>
              <w:autoSpaceDN w:val="0"/>
              <w:adjustRightInd w:val="0"/>
              <w:jc w:val="center"/>
              <w:rPr>
                <w:b/>
                <w:i/>
              </w:rPr>
            </w:pPr>
            <w:r w:rsidRPr="003672FF">
              <w:rPr>
                <w:b/>
              </w:rPr>
              <w:t>Tiesību akta projekta atbilstība ES tiesību aktiem</w:t>
            </w:r>
          </w:p>
        </w:tc>
      </w:tr>
      <w:tr w:rsidR="008C5493" w:rsidRPr="003672FF" w:rsidTr="00401EDF">
        <w:trPr>
          <w:trHeight w:val="1801"/>
        </w:trPr>
        <w:tc>
          <w:tcPr>
            <w:tcW w:w="2802" w:type="dxa"/>
            <w:vAlign w:val="center"/>
          </w:tcPr>
          <w:p w:rsidR="008C5493" w:rsidRPr="00A21204" w:rsidRDefault="008C5493" w:rsidP="00401EDF">
            <w:pPr>
              <w:pStyle w:val="naiskr"/>
              <w:spacing w:before="0" w:beforeAutospacing="0" w:after="0" w:afterAutospacing="0"/>
            </w:pPr>
            <w:r w:rsidRPr="00A21204">
              <w:t>Attiecīgā ES tiesību akta datums, numurs un nosaukums</w:t>
            </w:r>
          </w:p>
        </w:tc>
        <w:tc>
          <w:tcPr>
            <w:tcW w:w="6486" w:type="dxa"/>
            <w:gridSpan w:val="3"/>
          </w:tcPr>
          <w:p w:rsidR="008C5493" w:rsidRPr="00A21204" w:rsidRDefault="008C5493" w:rsidP="00190113">
            <w:pPr>
              <w:ind w:left="57"/>
              <w:jc w:val="both"/>
            </w:pPr>
            <w:r w:rsidRPr="00A21204">
              <w:rPr>
                <w:bCs/>
              </w:rPr>
              <w:t xml:space="preserve">Ar </w:t>
            </w:r>
            <w:r w:rsidRPr="00A21204">
              <w:t xml:space="preserve">MK noteikumu grozījumu projektu </w:t>
            </w:r>
            <w:r w:rsidRPr="00A21204">
              <w:rPr>
                <w:bCs/>
              </w:rPr>
              <w:t>tiks pārņemt</w:t>
            </w:r>
            <w:r>
              <w:rPr>
                <w:bCs/>
              </w:rPr>
              <w:t>i</w:t>
            </w:r>
            <w:r w:rsidRPr="00A21204">
              <w:rPr>
                <w:bCs/>
              </w:rPr>
              <w:t xml:space="preserve"> </w:t>
            </w:r>
            <w:r w:rsidRPr="00EC2AEC">
              <w:t xml:space="preserve">Komisijas </w:t>
            </w:r>
            <w:r w:rsidR="00190113">
              <w:t xml:space="preserve">Lēmumā </w:t>
            </w:r>
            <w:r w:rsidRPr="00EC2AEC">
              <w:t>noteiktie kompensācijas aprēķināšanas nosacījumi</w:t>
            </w:r>
          </w:p>
        </w:tc>
      </w:tr>
      <w:tr w:rsidR="008C5493" w:rsidRPr="003672FF" w:rsidTr="00401EDF">
        <w:tc>
          <w:tcPr>
            <w:tcW w:w="2802" w:type="dxa"/>
            <w:vAlign w:val="center"/>
          </w:tcPr>
          <w:p w:rsidR="008C5493" w:rsidRPr="00A21204" w:rsidRDefault="008C5493" w:rsidP="00401EDF">
            <w:pPr>
              <w:pStyle w:val="naiskr"/>
              <w:spacing w:before="0" w:beforeAutospacing="0" w:after="0" w:afterAutospacing="0"/>
              <w:jc w:val="center"/>
            </w:pPr>
            <w:r w:rsidRPr="00A21204">
              <w:t>A</w:t>
            </w:r>
          </w:p>
        </w:tc>
        <w:tc>
          <w:tcPr>
            <w:tcW w:w="1984" w:type="dxa"/>
            <w:vAlign w:val="center"/>
          </w:tcPr>
          <w:p w:rsidR="008C5493" w:rsidRPr="00A21204" w:rsidRDefault="008C5493" w:rsidP="00401EDF">
            <w:pPr>
              <w:pStyle w:val="naiskr"/>
              <w:spacing w:before="0" w:beforeAutospacing="0" w:after="0" w:afterAutospacing="0"/>
              <w:jc w:val="center"/>
            </w:pPr>
            <w:r w:rsidRPr="00A21204">
              <w:t>B</w:t>
            </w:r>
          </w:p>
        </w:tc>
        <w:tc>
          <w:tcPr>
            <w:tcW w:w="1985" w:type="dxa"/>
            <w:vAlign w:val="center"/>
          </w:tcPr>
          <w:p w:rsidR="008C5493" w:rsidRPr="00A21204" w:rsidRDefault="008C5493" w:rsidP="00401EDF">
            <w:pPr>
              <w:pStyle w:val="naiskr"/>
              <w:spacing w:before="0" w:beforeAutospacing="0" w:after="0" w:afterAutospacing="0"/>
              <w:jc w:val="center"/>
            </w:pPr>
            <w:r w:rsidRPr="00A21204">
              <w:t>C</w:t>
            </w:r>
          </w:p>
        </w:tc>
        <w:tc>
          <w:tcPr>
            <w:tcW w:w="2517" w:type="dxa"/>
            <w:vAlign w:val="center"/>
          </w:tcPr>
          <w:p w:rsidR="008C5493" w:rsidRPr="00A21204" w:rsidRDefault="008C5493" w:rsidP="00401EDF">
            <w:pPr>
              <w:pStyle w:val="naiskr"/>
              <w:spacing w:before="0" w:beforeAutospacing="0" w:after="0" w:afterAutospacing="0"/>
              <w:jc w:val="center"/>
            </w:pPr>
            <w:r w:rsidRPr="00A21204">
              <w:t>D</w:t>
            </w:r>
          </w:p>
        </w:tc>
      </w:tr>
      <w:tr w:rsidR="008C5493" w:rsidRPr="003672FF" w:rsidTr="00401EDF">
        <w:tc>
          <w:tcPr>
            <w:tcW w:w="2802" w:type="dxa"/>
          </w:tcPr>
          <w:p w:rsidR="008C5493" w:rsidRPr="00A21204" w:rsidRDefault="008C5493" w:rsidP="00401EDF">
            <w:pPr>
              <w:pStyle w:val="naiskr"/>
              <w:spacing w:before="0" w:beforeAutospacing="0" w:after="0" w:afterAutospacing="0"/>
            </w:pPr>
            <w:r w:rsidRPr="00A21204">
              <w:t xml:space="preserve">Attiecīgā ES tiesību akta panta numurs (uzskaitot katru tiesību akta </w:t>
            </w:r>
            <w:r w:rsidRPr="00A21204">
              <w:br/>
              <w:t>vienību – pantu, daļu, punktu, apakšpunktu)</w:t>
            </w:r>
          </w:p>
        </w:tc>
        <w:tc>
          <w:tcPr>
            <w:tcW w:w="1984" w:type="dxa"/>
          </w:tcPr>
          <w:p w:rsidR="008C5493" w:rsidRPr="00A21204" w:rsidRDefault="008C5493" w:rsidP="00401EDF">
            <w:pPr>
              <w:pStyle w:val="naiskr"/>
              <w:spacing w:before="0" w:beforeAutospacing="0" w:after="0" w:afterAutospacing="0"/>
            </w:pPr>
            <w:r w:rsidRPr="00A21204">
              <w:t>Projekta vienība, kas pārņem vai ievieš katru šīs tabulas A ailē minēto ES tiesību akta vienību</w:t>
            </w:r>
          </w:p>
        </w:tc>
        <w:tc>
          <w:tcPr>
            <w:tcW w:w="1985" w:type="dxa"/>
          </w:tcPr>
          <w:p w:rsidR="008C5493" w:rsidRPr="00A21204" w:rsidRDefault="008C5493" w:rsidP="00401EDF">
            <w:pPr>
              <w:pStyle w:val="naiskr"/>
              <w:spacing w:before="0" w:beforeAutospacing="0" w:after="0" w:afterAutospacing="0"/>
            </w:pPr>
            <w:r w:rsidRPr="00A21204">
              <w:t>Informācija par to, vai šīs tabulas A ailē minētās ES tiesību akta vienības tiek pārņemtas vai ieviestas pilnībā vai daļēji.</w:t>
            </w:r>
          </w:p>
        </w:tc>
        <w:tc>
          <w:tcPr>
            <w:tcW w:w="2517" w:type="dxa"/>
          </w:tcPr>
          <w:p w:rsidR="008C5493" w:rsidRPr="00A21204" w:rsidRDefault="008C5493" w:rsidP="00401EDF">
            <w:pPr>
              <w:pStyle w:val="naiskr"/>
              <w:spacing w:before="0" w:beforeAutospacing="0" w:after="0" w:afterAutospacing="0"/>
            </w:pPr>
            <w:r w:rsidRPr="00A21204">
              <w:t>Informācija par to, vai šīs tabulas B ailē minētās projekta vienības paredz stingrākas prasības nekā šīs tabulas A ailē minētās ES tiesību akta vienības.</w:t>
            </w:r>
          </w:p>
        </w:tc>
      </w:tr>
      <w:tr w:rsidR="008C5493" w:rsidRPr="003672FF" w:rsidTr="00401EDF">
        <w:tc>
          <w:tcPr>
            <w:tcW w:w="2802" w:type="dxa"/>
          </w:tcPr>
          <w:p w:rsidR="008C5493" w:rsidRPr="00A21204" w:rsidRDefault="00401EDF" w:rsidP="00401EDF">
            <w:pPr>
              <w:rPr>
                <w:lang w:eastAsia="en-GB"/>
              </w:rPr>
            </w:pPr>
            <w:r>
              <w:rPr>
                <w:bCs/>
              </w:rPr>
              <w:t>Komisijas Lēmuma 4.pants un 5.pants</w:t>
            </w:r>
            <w:r w:rsidR="008C5493" w:rsidRPr="00A21204">
              <w:t>.</w:t>
            </w:r>
          </w:p>
        </w:tc>
        <w:tc>
          <w:tcPr>
            <w:tcW w:w="1984" w:type="dxa"/>
          </w:tcPr>
          <w:p w:rsidR="008C5493" w:rsidRPr="00A21204" w:rsidRDefault="008C5493" w:rsidP="00190113">
            <w:pPr>
              <w:rPr>
                <w:lang w:eastAsia="en-GB"/>
              </w:rPr>
            </w:pPr>
            <w:r w:rsidRPr="00A21204">
              <w:rPr>
                <w:lang w:eastAsia="en-GB"/>
              </w:rPr>
              <w:t>M</w:t>
            </w:r>
            <w:r w:rsidR="00190113">
              <w:rPr>
                <w:lang w:eastAsia="en-GB"/>
              </w:rPr>
              <w:t>K noteikumu grozījumu projekta 10</w:t>
            </w:r>
            <w:r w:rsidRPr="00A21204">
              <w:rPr>
                <w:lang w:eastAsia="en-GB"/>
              </w:rPr>
              <w:t xml:space="preserve">. un </w:t>
            </w:r>
            <w:r w:rsidR="00190113">
              <w:rPr>
                <w:lang w:eastAsia="en-GB"/>
              </w:rPr>
              <w:t>12</w:t>
            </w:r>
            <w:r w:rsidRPr="00A21204">
              <w:rPr>
                <w:lang w:eastAsia="en-GB"/>
              </w:rPr>
              <w:t>.punkts.</w:t>
            </w:r>
          </w:p>
        </w:tc>
        <w:tc>
          <w:tcPr>
            <w:tcW w:w="1985" w:type="dxa"/>
          </w:tcPr>
          <w:p w:rsidR="008C5493" w:rsidRPr="00A21204" w:rsidRDefault="008C5493" w:rsidP="00401EDF">
            <w:pPr>
              <w:pStyle w:val="naiskr"/>
              <w:spacing w:before="0" w:beforeAutospacing="0" w:after="0" w:afterAutospacing="0"/>
            </w:pPr>
            <w:r w:rsidRPr="00A21204">
              <w:t>Pārņemta  pilnībā attiecībā uz 3.1.5.1.1. apakšaktivitātes atbalstu.</w:t>
            </w:r>
          </w:p>
        </w:tc>
        <w:tc>
          <w:tcPr>
            <w:tcW w:w="2517" w:type="dxa"/>
          </w:tcPr>
          <w:p w:rsidR="008C5493" w:rsidRPr="00A21204" w:rsidRDefault="008C5493" w:rsidP="00401EDF">
            <w:pPr>
              <w:pStyle w:val="naiskr"/>
              <w:spacing w:before="0" w:beforeAutospacing="0" w:after="0" w:afterAutospacing="0"/>
              <w:jc w:val="both"/>
            </w:pPr>
            <w:r w:rsidRPr="00A21204">
              <w:t>Neparedz stingrākas prasības.</w:t>
            </w:r>
          </w:p>
        </w:tc>
      </w:tr>
      <w:tr w:rsidR="008C5493" w:rsidRPr="003672FF" w:rsidTr="00401EDF">
        <w:tc>
          <w:tcPr>
            <w:tcW w:w="2802" w:type="dxa"/>
            <w:vAlign w:val="center"/>
          </w:tcPr>
          <w:p w:rsidR="008C5493" w:rsidRPr="00A21204" w:rsidRDefault="008C5493" w:rsidP="00401EDF">
            <w:pPr>
              <w:rPr>
                <w:i/>
              </w:rPr>
            </w:pPr>
            <w:r w:rsidRPr="00A21204">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486" w:type="dxa"/>
            <w:gridSpan w:val="3"/>
          </w:tcPr>
          <w:p w:rsidR="008C5493" w:rsidRPr="00A21204" w:rsidRDefault="008C5493" w:rsidP="00401EDF">
            <w:pPr>
              <w:autoSpaceDE w:val="0"/>
              <w:autoSpaceDN w:val="0"/>
              <w:adjustRightInd w:val="0"/>
              <w:rPr>
                <w:i/>
              </w:rPr>
            </w:pPr>
            <w:r w:rsidRPr="00A21204">
              <w:rPr>
                <w:color w:val="2A2A2A"/>
              </w:rPr>
              <w:t>Projekts šo jomu neskar.</w:t>
            </w:r>
            <w:r w:rsidRPr="00A21204">
              <w:rPr>
                <w:i/>
              </w:rPr>
              <w:t xml:space="preserve"> </w:t>
            </w:r>
          </w:p>
        </w:tc>
      </w:tr>
      <w:tr w:rsidR="008C5493" w:rsidRPr="003672FF" w:rsidTr="00401EDF">
        <w:tc>
          <w:tcPr>
            <w:tcW w:w="2802" w:type="dxa"/>
          </w:tcPr>
          <w:p w:rsidR="008C5493" w:rsidRPr="00A21204" w:rsidRDefault="008C5493" w:rsidP="00401EDF">
            <w:pPr>
              <w:pStyle w:val="naiskr"/>
              <w:spacing w:before="0" w:beforeAutospacing="0" w:after="0" w:afterAutospacing="0"/>
              <w:rPr>
                <w:i/>
              </w:rPr>
            </w:pPr>
            <w:r w:rsidRPr="00A21204">
              <w:t>Cita informācija</w:t>
            </w:r>
          </w:p>
        </w:tc>
        <w:tc>
          <w:tcPr>
            <w:tcW w:w="6486" w:type="dxa"/>
            <w:gridSpan w:val="3"/>
          </w:tcPr>
          <w:p w:rsidR="008C5493" w:rsidRPr="00A21204" w:rsidRDefault="008C5493" w:rsidP="00401EDF">
            <w:pPr>
              <w:autoSpaceDE w:val="0"/>
              <w:autoSpaceDN w:val="0"/>
              <w:adjustRightInd w:val="0"/>
              <w:rPr>
                <w:i/>
              </w:rPr>
            </w:pPr>
            <w:r w:rsidRPr="00A21204">
              <w:t>Nav.</w:t>
            </w:r>
          </w:p>
        </w:tc>
      </w:tr>
    </w:tbl>
    <w:p w:rsidR="00F117EA" w:rsidRDefault="00F117EA" w:rsidP="00F117EA">
      <w:pPr>
        <w:autoSpaceDE w:val="0"/>
        <w:autoSpaceDN w:val="0"/>
        <w:adjustRightInd w:val="0"/>
        <w:jc w:val="both"/>
        <w:rPr>
          <w:i/>
          <w:lang w:eastAsia="lv-LV" w:bidi="lo-LA"/>
        </w:rPr>
      </w:pPr>
    </w:p>
    <w:p w:rsidR="00F117EA" w:rsidRPr="002106BC" w:rsidRDefault="00F117EA" w:rsidP="00F117EA">
      <w:pPr>
        <w:autoSpaceDE w:val="0"/>
        <w:autoSpaceDN w:val="0"/>
        <w:adjustRightInd w:val="0"/>
        <w:jc w:val="both"/>
        <w:rPr>
          <w:i/>
          <w:noProof/>
          <w:sz w:val="28"/>
          <w:szCs w:val="28"/>
        </w:rPr>
      </w:pPr>
      <w:r w:rsidRPr="00B46B4C">
        <w:rPr>
          <w:i/>
          <w:lang w:eastAsia="lv-LV" w:bidi="lo-LA"/>
        </w:rPr>
        <w:t xml:space="preserve">Anotācijas </w:t>
      </w:r>
      <w:r w:rsidRPr="00B46B4C">
        <w:rPr>
          <w:bCs/>
          <w:i/>
          <w:lang w:eastAsia="lv-LV" w:bidi="lo-LA"/>
        </w:rPr>
        <w:t xml:space="preserve">VI.sadaļa -  </w:t>
      </w:r>
      <w:r w:rsidRPr="00B46B4C">
        <w:rPr>
          <w:i/>
          <w:color w:val="2A2A2A"/>
        </w:rPr>
        <w:t>projekts šīs jomas neskar</w:t>
      </w:r>
      <w:r w:rsidRPr="00B46B4C">
        <w:rPr>
          <w:bCs/>
          <w:i/>
          <w:lang w:eastAsia="lv-LV" w:bidi="lo-LA"/>
        </w:rPr>
        <w:t>.</w:t>
      </w:r>
    </w:p>
    <w:p w:rsidR="008C5493" w:rsidRPr="008C5493" w:rsidRDefault="008C5493" w:rsidP="002106BC">
      <w:pPr>
        <w:autoSpaceDE w:val="0"/>
        <w:autoSpaceDN w:val="0"/>
        <w:adjustRightInd w:val="0"/>
        <w:jc w:val="both"/>
        <w:rPr>
          <w:noProof/>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3113"/>
        <w:gridCol w:w="5411"/>
      </w:tblGrid>
      <w:tr w:rsidR="00F0258D" w:rsidRPr="00F35660" w:rsidTr="008B477D">
        <w:trPr>
          <w:trHeight w:val="527"/>
        </w:trPr>
        <w:tc>
          <w:tcPr>
            <w:tcW w:w="9180" w:type="dxa"/>
            <w:gridSpan w:val="3"/>
            <w:vAlign w:val="center"/>
          </w:tcPr>
          <w:p w:rsidR="00F0258D" w:rsidRPr="00F35660" w:rsidRDefault="00F0258D" w:rsidP="009E58C7">
            <w:pPr>
              <w:rPr>
                <w:lang w:eastAsia="lv-LV" w:bidi="lo-LA"/>
              </w:rPr>
            </w:pPr>
            <w:r w:rsidRPr="00F35660">
              <w:rPr>
                <w:b/>
                <w:bCs/>
                <w:lang w:eastAsia="lv-LV" w:bidi="lo-LA"/>
              </w:rPr>
              <w:t>VII. Tiesību akta projekta izpildes nodrošināšana un tās ietekme uz institūcijām</w:t>
            </w:r>
          </w:p>
        </w:tc>
      </w:tr>
      <w:tr w:rsidR="00F0258D" w:rsidRPr="00F35660" w:rsidTr="008B477D">
        <w:tc>
          <w:tcPr>
            <w:tcW w:w="656" w:type="dxa"/>
          </w:tcPr>
          <w:p w:rsidR="00F0258D" w:rsidRPr="00F35660" w:rsidRDefault="00F0258D" w:rsidP="009E58C7">
            <w:pPr>
              <w:spacing w:before="100" w:beforeAutospacing="1" w:after="100" w:afterAutospacing="1"/>
              <w:rPr>
                <w:lang w:eastAsia="lv-LV" w:bidi="lo-LA"/>
              </w:rPr>
            </w:pPr>
            <w:r w:rsidRPr="00F35660">
              <w:rPr>
                <w:lang w:eastAsia="lv-LV" w:bidi="lo-LA"/>
              </w:rPr>
              <w:t> 1.</w:t>
            </w:r>
          </w:p>
        </w:tc>
        <w:tc>
          <w:tcPr>
            <w:tcW w:w="3113" w:type="dxa"/>
          </w:tcPr>
          <w:p w:rsidR="00F0258D" w:rsidRPr="00F35660" w:rsidRDefault="00F0258D" w:rsidP="009E58C7">
            <w:pPr>
              <w:rPr>
                <w:lang w:eastAsia="lv-LV" w:bidi="lo-LA"/>
              </w:rPr>
            </w:pPr>
            <w:r w:rsidRPr="00F35660">
              <w:rPr>
                <w:lang w:eastAsia="lv-LV" w:bidi="lo-LA"/>
              </w:rPr>
              <w:t>Projekta izpildē iesaistītās institūcijas</w:t>
            </w:r>
          </w:p>
        </w:tc>
        <w:tc>
          <w:tcPr>
            <w:tcW w:w="5411" w:type="dxa"/>
          </w:tcPr>
          <w:p w:rsidR="00F0258D" w:rsidRDefault="00A14F28" w:rsidP="00FB6D84">
            <w:pPr>
              <w:rPr>
                <w:lang w:eastAsia="lv-LV" w:bidi="lo-LA"/>
              </w:rPr>
            </w:pPr>
            <w:r>
              <w:rPr>
                <w:lang w:eastAsia="lv-LV" w:bidi="lo-LA"/>
              </w:rPr>
              <w:t>Veselības ministrija.</w:t>
            </w:r>
          </w:p>
          <w:p w:rsidR="00D14666" w:rsidRPr="00F35660" w:rsidRDefault="00D14666" w:rsidP="00FB6D84">
            <w:pPr>
              <w:rPr>
                <w:lang w:eastAsia="lv-LV" w:bidi="lo-LA"/>
              </w:rPr>
            </w:pPr>
            <w:r>
              <w:rPr>
                <w:lang w:eastAsia="lv-LV" w:bidi="lo-LA"/>
              </w:rPr>
              <w:t>Nacionālais veselības dienests</w:t>
            </w:r>
            <w:r w:rsidR="00D43EFB">
              <w:rPr>
                <w:lang w:eastAsia="lv-LV" w:bidi="lo-LA"/>
              </w:rPr>
              <w:t>.</w:t>
            </w:r>
          </w:p>
          <w:p w:rsidR="00F0258D" w:rsidRPr="00F35660" w:rsidRDefault="000E24E4" w:rsidP="000E24E4">
            <w:pPr>
              <w:rPr>
                <w:lang w:eastAsia="lv-LV" w:bidi="lo-LA"/>
              </w:rPr>
            </w:pPr>
            <w:r>
              <w:rPr>
                <w:lang w:eastAsia="lv-LV" w:bidi="lo-LA"/>
              </w:rPr>
              <w:t xml:space="preserve">Valsts aģentūra „Centrālā finanšu un līgumu </w:t>
            </w:r>
            <w:r>
              <w:rPr>
                <w:lang w:eastAsia="lv-LV" w:bidi="lo-LA"/>
              </w:rPr>
              <w:lastRenderedPageBreak/>
              <w:t>aģentūra”</w:t>
            </w:r>
            <w:r w:rsidR="00F22C61">
              <w:rPr>
                <w:lang w:eastAsia="lv-LV" w:bidi="lo-LA"/>
              </w:rPr>
              <w:t>.</w:t>
            </w:r>
          </w:p>
        </w:tc>
      </w:tr>
      <w:tr w:rsidR="00C949E1" w:rsidRPr="00F35660" w:rsidTr="008B477D">
        <w:tc>
          <w:tcPr>
            <w:tcW w:w="656" w:type="dxa"/>
          </w:tcPr>
          <w:p w:rsidR="00C949E1" w:rsidRPr="00F35660" w:rsidRDefault="00C949E1" w:rsidP="009E58C7">
            <w:pPr>
              <w:spacing w:before="100" w:beforeAutospacing="1" w:after="100" w:afterAutospacing="1"/>
              <w:rPr>
                <w:lang w:eastAsia="lv-LV" w:bidi="lo-LA"/>
              </w:rPr>
            </w:pPr>
            <w:r w:rsidRPr="00F35660">
              <w:rPr>
                <w:lang w:eastAsia="lv-LV" w:bidi="lo-LA"/>
              </w:rPr>
              <w:lastRenderedPageBreak/>
              <w:t> 2.</w:t>
            </w:r>
          </w:p>
        </w:tc>
        <w:tc>
          <w:tcPr>
            <w:tcW w:w="3113" w:type="dxa"/>
          </w:tcPr>
          <w:p w:rsidR="00C949E1" w:rsidRPr="00F35660" w:rsidRDefault="00C949E1" w:rsidP="009E58C7">
            <w:pPr>
              <w:rPr>
                <w:lang w:eastAsia="lv-LV" w:bidi="lo-LA"/>
              </w:rPr>
            </w:pPr>
            <w:r w:rsidRPr="00F35660">
              <w:rPr>
                <w:lang w:eastAsia="lv-LV" w:bidi="lo-LA"/>
              </w:rPr>
              <w:t>Projekta izpildes ietekme uz pārvaldes funkcijām</w:t>
            </w:r>
          </w:p>
        </w:tc>
        <w:tc>
          <w:tcPr>
            <w:tcW w:w="5411" w:type="dxa"/>
          </w:tcPr>
          <w:p w:rsidR="00C949E1" w:rsidRDefault="00C949E1">
            <w:r w:rsidRPr="00483B5E">
              <w:rPr>
                <w:color w:val="2A2A2A"/>
              </w:rPr>
              <w:t>Projekts šo jomu neskar</w:t>
            </w:r>
            <w:r w:rsidR="00A14F28">
              <w:rPr>
                <w:color w:val="2A2A2A"/>
              </w:rPr>
              <w:t>.</w:t>
            </w:r>
          </w:p>
        </w:tc>
      </w:tr>
      <w:tr w:rsidR="00C949E1" w:rsidRPr="00F35660" w:rsidTr="008B477D">
        <w:tc>
          <w:tcPr>
            <w:tcW w:w="656" w:type="dxa"/>
          </w:tcPr>
          <w:p w:rsidR="00C949E1" w:rsidRPr="00F35660" w:rsidRDefault="00C949E1" w:rsidP="009E58C7">
            <w:pPr>
              <w:spacing w:before="100" w:beforeAutospacing="1" w:after="100" w:afterAutospacing="1"/>
              <w:rPr>
                <w:lang w:eastAsia="lv-LV" w:bidi="lo-LA"/>
              </w:rPr>
            </w:pPr>
            <w:r w:rsidRPr="00F35660">
              <w:rPr>
                <w:lang w:eastAsia="lv-LV" w:bidi="lo-LA"/>
              </w:rPr>
              <w:t> 3.</w:t>
            </w:r>
          </w:p>
        </w:tc>
        <w:tc>
          <w:tcPr>
            <w:tcW w:w="3113" w:type="dxa"/>
          </w:tcPr>
          <w:p w:rsidR="00C949E1" w:rsidRPr="00F35660" w:rsidRDefault="00C949E1" w:rsidP="009E58C7">
            <w:pPr>
              <w:rPr>
                <w:lang w:eastAsia="lv-LV" w:bidi="lo-LA"/>
              </w:rPr>
            </w:pPr>
            <w:r w:rsidRPr="00F35660">
              <w:rPr>
                <w:lang w:eastAsia="lv-LV" w:bidi="lo-LA"/>
              </w:rPr>
              <w:t>Projekta izpildes ietekme uz pārvaldes institucionālo struktūru.</w:t>
            </w:r>
          </w:p>
          <w:p w:rsidR="00C949E1" w:rsidRPr="00F35660" w:rsidRDefault="00C949E1" w:rsidP="009E58C7">
            <w:pPr>
              <w:rPr>
                <w:lang w:eastAsia="lv-LV" w:bidi="lo-LA"/>
              </w:rPr>
            </w:pPr>
            <w:r w:rsidRPr="00F35660">
              <w:rPr>
                <w:lang w:eastAsia="lv-LV" w:bidi="lo-LA"/>
              </w:rPr>
              <w:t>Jaunu institūciju izveide</w:t>
            </w:r>
          </w:p>
        </w:tc>
        <w:tc>
          <w:tcPr>
            <w:tcW w:w="5411" w:type="dxa"/>
          </w:tcPr>
          <w:p w:rsidR="00C949E1" w:rsidRDefault="00C949E1">
            <w:r w:rsidRPr="00483B5E">
              <w:rPr>
                <w:color w:val="2A2A2A"/>
              </w:rPr>
              <w:t>Projekts šo jomu neskar</w:t>
            </w:r>
            <w:r w:rsidR="00A14F28">
              <w:rPr>
                <w:color w:val="2A2A2A"/>
              </w:rPr>
              <w:t>.</w:t>
            </w:r>
          </w:p>
        </w:tc>
      </w:tr>
      <w:tr w:rsidR="00C949E1" w:rsidRPr="00F35660" w:rsidTr="008B477D">
        <w:tc>
          <w:tcPr>
            <w:tcW w:w="656" w:type="dxa"/>
          </w:tcPr>
          <w:p w:rsidR="00C949E1" w:rsidRPr="00F35660" w:rsidRDefault="00C949E1" w:rsidP="009E58C7">
            <w:pPr>
              <w:spacing w:before="100" w:beforeAutospacing="1" w:after="100" w:afterAutospacing="1"/>
              <w:rPr>
                <w:lang w:eastAsia="lv-LV" w:bidi="lo-LA"/>
              </w:rPr>
            </w:pPr>
            <w:r w:rsidRPr="00F35660">
              <w:rPr>
                <w:lang w:eastAsia="lv-LV" w:bidi="lo-LA"/>
              </w:rPr>
              <w:t> 4.</w:t>
            </w:r>
          </w:p>
        </w:tc>
        <w:tc>
          <w:tcPr>
            <w:tcW w:w="3113" w:type="dxa"/>
          </w:tcPr>
          <w:p w:rsidR="00C949E1" w:rsidRPr="00F35660" w:rsidRDefault="00C949E1" w:rsidP="009E58C7">
            <w:pPr>
              <w:rPr>
                <w:lang w:eastAsia="lv-LV" w:bidi="lo-LA"/>
              </w:rPr>
            </w:pPr>
            <w:r w:rsidRPr="00F35660">
              <w:rPr>
                <w:lang w:eastAsia="lv-LV" w:bidi="lo-LA"/>
              </w:rPr>
              <w:t>Projekta izpildes ietekme uz pārvaldes institucionālo struktūru.</w:t>
            </w:r>
          </w:p>
          <w:p w:rsidR="00C949E1" w:rsidRPr="00F35660" w:rsidRDefault="00C949E1" w:rsidP="009E58C7">
            <w:pPr>
              <w:rPr>
                <w:lang w:eastAsia="lv-LV" w:bidi="lo-LA"/>
              </w:rPr>
            </w:pPr>
            <w:r w:rsidRPr="00F35660">
              <w:rPr>
                <w:lang w:eastAsia="lv-LV" w:bidi="lo-LA"/>
              </w:rPr>
              <w:t>Esošu institūciju likvidācija</w:t>
            </w:r>
          </w:p>
        </w:tc>
        <w:tc>
          <w:tcPr>
            <w:tcW w:w="5411" w:type="dxa"/>
          </w:tcPr>
          <w:p w:rsidR="00C949E1" w:rsidRDefault="00C949E1">
            <w:r w:rsidRPr="00483B5E">
              <w:rPr>
                <w:color w:val="2A2A2A"/>
              </w:rPr>
              <w:t>Projekts šo jomu neskar</w:t>
            </w:r>
            <w:r w:rsidR="00A14F28">
              <w:rPr>
                <w:color w:val="2A2A2A"/>
              </w:rPr>
              <w:t>.</w:t>
            </w:r>
          </w:p>
        </w:tc>
      </w:tr>
      <w:tr w:rsidR="00C949E1" w:rsidRPr="00F35660" w:rsidTr="008B477D">
        <w:tc>
          <w:tcPr>
            <w:tcW w:w="656" w:type="dxa"/>
          </w:tcPr>
          <w:p w:rsidR="00C949E1" w:rsidRPr="00F35660" w:rsidRDefault="00C949E1" w:rsidP="009E58C7">
            <w:pPr>
              <w:spacing w:before="100" w:beforeAutospacing="1" w:after="100" w:afterAutospacing="1"/>
              <w:rPr>
                <w:lang w:eastAsia="lv-LV" w:bidi="lo-LA"/>
              </w:rPr>
            </w:pPr>
            <w:r w:rsidRPr="00F35660">
              <w:rPr>
                <w:lang w:eastAsia="lv-LV" w:bidi="lo-LA"/>
              </w:rPr>
              <w:t> 5.</w:t>
            </w:r>
          </w:p>
        </w:tc>
        <w:tc>
          <w:tcPr>
            <w:tcW w:w="3113" w:type="dxa"/>
          </w:tcPr>
          <w:p w:rsidR="00C949E1" w:rsidRPr="00F35660" w:rsidRDefault="00C949E1" w:rsidP="009E58C7">
            <w:pPr>
              <w:rPr>
                <w:lang w:eastAsia="lv-LV" w:bidi="lo-LA"/>
              </w:rPr>
            </w:pPr>
            <w:r w:rsidRPr="00F35660">
              <w:rPr>
                <w:lang w:eastAsia="lv-LV" w:bidi="lo-LA"/>
              </w:rPr>
              <w:t>Projekta izpildes ietekme uz pārvaldes institucionālo struktūru.</w:t>
            </w:r>
          </w:p>
          <w:p w:rsidR="00C949E1" w:rsidRPr="00F35660" w:rsidRDefault="00C949E1" w:rsidP="009E58C7">
            <w:pPr>
              <w:rPr>
                <w:lang w:eastAsia="lv-LV" w:bidi="lo-LA"/>
              </w:rPr>
            </w:pPr>
            <w:r w:rsidRPr="00F35660">
              <w:rPr>
                <w:lang w:eastAsia="lv-LV" w:bidi="lo-LA"/>
              </w:rPr>
              <w:t>Esošu institūciju reorganizācija</w:t>
            </w:r>
          </w:p>
        </w:tc>
        <w:tc>
          <w:tcPr>
            <w:tcW w:w="5411" w:type="dxa"/>
          </w:tcPr>
          <w:p w:rsidR="00C949E1" w:rsidRDefault="00C949E1">
            <w:r w:rsidRPr="00483B5E">
              <w:rPr>
                <w:color w:val="2A2A2A"/>
              </w:rPr>
              <w:t>Projekts šo jomu neskar</w:t>
            </w:r>
            <w:r w:rsidR="00A14F28">
              <w:rPr>
                <w:color w:val="2A2A2A"/>
              </w:rPr>
              <w:t>.</w:t>
            </w:r>
          </w:p>
        </w:tc>
      </w:tr>
      <w:tr w:rsidR="00F0258D" w:rsidRPr="00F35660" w:rsidTr="008B477D">
        <w:tc>
          <w:tcPr>
            <w:tcW w:w="656" w:type="dxa"/>
          </w:tcPr>
          <w:p w:rsidR="00F0258D" w:rsidRPr="00F35660" w:rsidRDefault="00F0258D" w:rsidP="009E58C7">
            <w:pPr>
              <w:spacing w:before="100" w:beforeAutospacing="1" w:after="100" w:afterAutospacing="1"/>
              <w:rPr>
                <w:lang w:eastAsia="lv-LV" w:bidi="lo-LA"/>
              </w:rPr>
            </w:pPr>
            <w:r w:rsidRPr="00F35660">
              <w:rPr>
                <w:lang w:eastAsia="lv-LV" w:bidi="lo-LA"/>
              </w:rPr>
              <w:t> 6.</w:t>
            </w:r>
          </w:p>
        </w:tc>
        <w:tc>
          <w:tcPr>
            <w:tcW w:w="3113" w:type="dxa"/>
          </w:tcPr>
          <w:p w:rsidR="00F0258D" w:rsidRPr="00F35660" w:rsidRDefault="00F0258D" w:rsidP="009E58C7">
            <w:pPr>
              <w:rPr>
                <w:lang w:eastAsia="lv-LV" w:bidi="lo-LA"/>
              </w:rPr>
            </w:pPr>
            <w:r w:rsidRPr="00F35660">
              <w:rPr>
                <w:lang w:eastAsia="lv-LV" w:bidi="lo-LA"/>
              </w:rPr>
              <w:t>Cita informācija</w:t>
            </w:r>
          </w:p>
        </w:tc>
        <w:tc>
          <w:tcPr>
            <w:tcW w:w="5411" w:type="dxa"/>
          </w:tcPr>
          <w:p w:rsidR="00F0258D" w:rsidRPr="00F35660" w:rsidRDefault="00F0258D" w:rsidP="009E58C7">
            <w:pPr>
              <w:rPr>
                <w:lang w:eastAsia="lv-LV" w:bidi="lo-LA"/>
              </w:rPr>
            </w:pPr>
            <w:r w:rsidRPr="00F35660">
              <w:rPr>
                <w:lang w:eastAsia="lv-LV" w:bidi="lo-LA"/>
              </w:rPr>
              <w:t>Nav</w:t>
            </w:r>
            <w:r w:rsidR="00A14F28">
              <w:rPr>
                <w:lang w:eastAsia="lv-LV" w:bidi="lo-LA"/>
              </w:rPr>
              <w:t>.</w:t>
            </w:r>
          </w:p>
        </w:tc>
      </w:tr>
    </w:tbl>
    <w:p w:rsidR="008B477D" w:rsidRDefault="008B477D" w:rsidP="008B477D">
      <w:pPr>
        <w:autoSpaceDE w:val="0"/>
        <w:autoSpaceDN w:val="0"/>
        <w:adjustRightInd w:val="0"/>
        <w:jc w:val="both"/>
        <w:rPr>
          <w:i/>
          <w:lang w:eastAsia="lv-LV" w:bidi="lo-LA"/>
        </w:rPr>
      </w:pPr>
    </w:p>
    <w:p w:rsidR="00221ABB" w:rsidRDefault="00221ABB" w:rsidP="00F0258D">
      <w:pPr>
        <w:rPr>
          <w:lang w:eastAsia="lv-LV" w:bidi="lo-LA"/>
        </w:rPr>
      </w:pPr>
    </w:p>
    <w:p w:rsidR="002211D7" w:rsidRDefault="002211D7" w:rsidP="00F0258D">
      <w:pPr>
        <w:rPr>
          <w:lang w:eastAsia="lv-LV" w:bidi="lo-LA"/>
        </w:rPr>
      </w:pPr>
    </w:p>
    <w:p w:rsidR="002211D7" w:rsidRPr="00F35660" w:rsidRDefault="002211D7" w:rsidP="00F0258D">
      <w:pPr>
        <w:rPr>
          <w:lang w:eastAsia="lv-LV" w:bidi="lo-LA"/>
        </w:rPr>
      </w:pPr>
    </w:p>
    <w:p w:rsidR="007B2C3C" w:rsidRPr="00205C97" w:rsidRDefault="00743D5B" w:rsidP="002106BC">
      <w:pPr>
        <w:tabs>
          <w:tab w:val="left" w:pos="7655"/>
        </w:tabs>
        <w:rPr>
          <w:sz w:val="28"/>
          <w:szCs w:val="28"/>
        </w:rPr>
      </w:pPr>
      <w:r>
        <w:rPr>
          <w:sz w:val="28"/>
          <w:szCs w:val="28"/>
        </w:rPr>
        <w:t>Veselības ministre</w:t>
      </w:r>
      <w:r w:rsidR="007B2C3C">
        <w:rPr>
          <w:sz w:val="28"/>
          <w:szCs w:val="28"/>
        </w:rPr>
        <w:tab/>
      </w:r>
      <w:r>
        <w:rPr>
          <w:sz w:val="28"/>
          <w:szCs w:val="28"/>
        </w:rPr>
        <w:t>I.Circene</w:t>
      </w:r>
    </w:p>
    <w:p w:rsidR="007B2C3C" w:rsidRDefault="007B2C3C" w:rsidP="007B2C3C">
      <w:pPr>
        <w:tabs>
          <w:tab w:val="left" w:pos="6834"/>
        </w:tabs>
        <w:ind w:firstLine="720"/>
        <w:rPr>
          <w:rStyle w:val="Izteiksmgs"/>
          <w:b w:val="0"/>
          <w:bCs w:val="0"/>
          <w:sz w:val="28"/>
          <w:szCs w:val="28"/>
        </w:rPr>
      </w:pPr>
    </w:p>
    <w:p w:rsidR="002211D7" w:rsidRDefault="002211D7" w:rsidP="007B2C3C">
      <w:pPr>
        <w:tabs>
          <w:tab w:val="left" w:pos="6834"/>
        </w:tabs>
        <w:ind w:firstLine="720"/>
        <w:rPr>
          <w:rStyle w:val="Izteiksmgs"/>
          <w:b w:val="0"/>
          <w:bCs w:val="0"/>
          <w:sz w:val="28"/>
          <w:szCs w:val="28"/>
        </w:rPr>
      </w:pPr>
    </w:p>
    <w:p w:rsidR="002211D7" w:rsidRDefault="002211D7" w:rsidP="007B2C3C">
      <w:pPr>
        <w:tabs>
          <w:tab w:val="left" w:pos="6834"/>
        </w:tabs>
        <w:ind w:firstLine="720"/>
        <w:rPr>
          <w:rStyle w:val="Izteiksmgs"/>
          <w:b w:val="0"/>
          <w:bCs w:val="0"/>
          <w:sz w:val="28"/>
          <w:szCs w:val="28"/>
        </w:rPr>
      </w:pPr>
    </w:p>
    <w:p w:rsidR="002211D7" w:rsidRDefault="002211D7" w:rsidP="007B2C3C">
      <w:pPr>
        <w:tabs>
          <w:tab w:val="left" w:pos="6834"/>
        </w:tabs>
        <w:ind w:firstLine="720"/>
        <w:rPr>
          <w:rStyle w:val="Izteiksmgs"/>
          <w:b w:val="0"/>
          <w:bCs w:val="0"/>
          <w:sz w:val="28"/>
          <w:szCs w:val="28"/>
        </w:rPr>
      </w:pPr>
    </w:p>
    <w:p w:rsidR="002211D7" w:rsidRDefault="002211D7" w:rsidP="007B2C3C">
      <w:pPr>
        <w:tabs>
          <w:tab w:val="left" w:pos="6834"/>
        </w:tabs>
        <w:ind w:firstLine="720"/>
        <w:rPr>
          <w:rStyle w:val="Izteiksmgs"/>
          <w:b w:val="0"/>
          <w:bCs w:val="0"/>
          <w:sz w:val="28"/>
          <w:szCs w:val="28"/>
        </w:rPr>
      </w:pPr>
    </w:p>
    <w:p w:rsidR="002211D7" w:rsidRDefault="002211D7" w:rsidP="007B2C3C">
      <w:pPr>
        <w:tabs>
          <w:tab w:val="left" w:pos="6834"/>
        </w:tabs>
        <w:ind w:firstLine="720"/>
        <w:rPr>
          <w:rStyle w:val="Izteiksmgs"/>
          <w:b w:val="0"/>
          <w:bCs w:val="0"/>
          <w:sz w:val="28"/>
          <w:szCs w:val="28"/>
        </w:rPr>
      </w:pPr>
    </w:p>
    <w:p w:rsidR="00A467DF" w:rsidRPr="00F35660" w:rsidRDefault="00A467DF" w:rsidP="00F0258D">
      <w:pPr>
        <w:ind w:right="4818"/>
        <w:rPr>
          <w:sz w:val="20"/>
          <w:szCs w:val="20"/>
        </w:rPr>
      </w:pPr>
    </w:p>
    <w:p w:rsidR="00F0258D" w:rsidRPr="00F35660" w:rsidRDefault="00C967E5" w:rsidP="00F0258D">
      <w:pPr>
        <w:ind w:right="4818"/>
        <w:rPr>
          <w:sz w:val="20"/>
          <w:szCs w:val="20"/>
        </w:rPr>
      </w:pPr>
      <w:r>
        <w:rPr>
          <w:sz w:val="20"/>
          <w:szCs w:val="20"/>
        </w:rPr>
        <w:t>1</w:t>
      </w:r>
      <w:r w:rsidR="0082323A">
        <w:rPr>
          <w:sz w:val="20"/>
          <w:szCs w:val="20"/>
        </w:rPr>
        <w:t>9</w:t>
      </w:r>
      <w:r w:rsidR="00A14F28">
        <w:rPr>
          <w:sz w:val="20"/>
          <w:szCs w:val="20"/>
        </w:rPr>
        <w:t>.0</w:t>
      </w:r>
      <w:r w:rsidR="00F117EA">
        <w:rPr>
          <w:sz w:val="20"/>
          <w:szCs w:val="20"/>
        </w:rPr>
        <w:t>7</w:t>
      </w:r>
      <w:r w:rsidR="00BE517A">
        <w:rPr>
          <w:sz w:val="20"/>
          <w:szCs w:val="20"/>
        </w:rPr>
        <w:t>.201</w:t>
      </w:r>
      <w:r w:rsidR="00A14F28">
        <w:rPr>
          <w:sz w:val="20"/>
          <w:szCs w:val="20"/>
        </w:rPr>
        <w:t>2</w:t>
      </w:r>
      <w:r w:rsidR="00F0258D" w:rsidRPr="00F35660">
        <w:rPr>
          <w:sz w:val="20"/>
          <w:szCs w:val="20"/>
        </w:rPr>
        <w:t xml:space="preserve"> </w:t>
      </w:r>
      <w:r w:rsidR="00664844">
        <w:rPr>
          <w:sz w:val="20"/>
          <w:szCs w:val="20"/>
        </w:rPr>
        <w:t>1</w:t>
      </w:r>
      <w:r>
        <w:rPr>
          <w:sz w:val="20"/>
          <w:szCs w:val="20"/>
        </w:rPr>
        <w:t>3</w:t>
      </w:r>
      <w:r w:rsidR="00B23F8F">
        <w:rPr>
          <w:sz w:val="20"/>
          <w:szCs w:val="20"/>
        </w:rPr>
        <w:t>:</w:t>
      </w:r>
      <w:r>
        <w:rPr>
          <w:sz w:val="20"/>
          <w:szCs w:val="20"/>
        </w:rPr>
        <w:t>26</w:t>
      </w:r>
    </w:p>
    <w:p w:rsidR="00F0258D" w:rsidRDefault="00F810C5" w:rsidP="00F0258D">
      <w:pPr>
        <w:ind w:right="4818"/>
        <w:rPr>
          <w:sz w:val="20"/>
          <w:szCs w:val="20"/>
        </w:rPr>
      </w:pPr>
      <w:r w:rsidRPr="00F35660">
        <w:rPr>
          <w:sz w:val="20"/>
          <w:szCs w:val="20"/>
        </w:rPr>
        <w:fldChar w:fldCharType="begin"/>
      </w:r>
      <w:r w:rsidR="00F0258D" w:rsidRPr="00F35660">
        <w:rPr>
          <w:sz w:val="20"/>
          <w:szCs w:val="20"/>
        </w:rPr>
        <w:instrText xml:space="preserve"> NUMWORDS  \# "# ##0"  \* MERGEFORMAT </w:instrText>
      </w:r>
      <w:r w:rsidRPr="00F35660">
        <w:rPr>
          <w:sz w:val="20"/>
          <w:szCs w:val="20"/>
        </w:rPr>
        <w:fldChar w:fldCharType="separate"/>
      </w:r>
      <w:r w:rsidR="00C967E5">
        <w:rPr>
          <w:noProof/>
          <w:sz w:val="20"/>
          <w:szCs w:val="20"/>
        </w:rPr>
        <w:t>2 058</w:t>
      </w:r>
      <w:r w:rsidRPr="00F35660">
        <w:rPr>
          <w:sz w:val="20"/>
          <w:szCs w:val="20"/>
        </w:rPr>
        <w:fldChar w:fldCharType="end"/>
      </w:r>
    </w:p>
    <w:p w:rsidR="00FE27B3" w:rsidRDefault="00FE27B3" w:rsidP="00FE27B3">
      <w:pPr>
        <w:ind w:right="4818"/>
        <w:rPr>
          <w:sz w:val="20"/>
          <w:szCs w:val="20"/>
        </w:rPr>
      </w:pPr>
      <w:r>
        <w:rPr>
          <w:sz w:val="20"/>
          <w:szCs w:val="20"/>
        </w:rPr>
        <w:t>D.Ozoliņa</w:t>
      </w:r>
      <w:r w:rsidRPr="00DF5FAA">
        <w:rPr>
          <w:sz w:val="20"/>
          <w:szCs w:val="20"/>
        </w:rPr>
        <w:t>, 67 876</w:t>
      </w:r>
      <w:r>
        <w:rPr>
          <w:sz w:val="20"/>
          <w:szCs w:val="20"/>
        </w:rPr>
        <w:t> 085</w:t>
      </w:r>
    </w:p>
    <w:p w:rsidR="00FE27B3" w:rsidRPr="00775DB2" w:rsidRDefault="00FE27B3" w:rsidP="00FE27B3">
      <w:pPr>
        <w:ind w:right="4818"/>
        <w:rPr>
          <w:rStyle w:val="Izteiksmgs"/>
          <w:b w:val="0"/>
          <w:bCs w:val="0"/>
          <w:sz w:val="20"/>
          <w:szCs w:val="20"/>
        </w:rPr>
      </w:pPr>
      <w:r>
        <w:rPr>
          <w:sz w:val="20"/>
          <w:szCs w:val="20"/>
        </w:rPr>
        <w:t>Dace.Ozolina</w:t>
      </w:r>
      <w:r w:rsidRPr="00DF5FAA">
        <w:rPr>
          <w:sz w:val="20"/>
          <w:szCs w:val="20"/>
        </w:rPr>
        <w:t>@vm.gov.lv</w:t>
      </w:r>
    </w:p>
    <w:p w:rsidR="00F0258D" w:rsidRDefault="00F0258D" w:rsidP="00FE27B3">
      <w:pPr>
        <w:ind w:right="4818"/>
        <w:rPr>
          <w:noProof/>
          <w:sz w:val="28"/>
          <w:szCs w:val="28"/>
        </w:rPr>
      </w:pPr>
    </w:p>
    <w:sectPr w:rsidR="00F0258D" w:rsidSect="00C967E5">
      <w:headerReference w:type="even" r:id="rId8"/>
      <w:headerReference w:type="default" r:id="rId9"/>
      <w:footerReference w:type="default" r:id="rId10"/>
      <w:footerReference w:type="first" r:id="rId11"/>
      <w:pgSz w:w="11906" w:h="16838" w:code="9"/>
      <w:pgMar w:top="1701" w:right="1133" w:bottom="1418" w:left="1701" w:header="720" w:footer="4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7FA" w:rsidRDefault="00A107FA">
      <w:r>
        <w:separator/>
      </w:r>
    </w:p>
  </w:endnote>
  <w:endnote w:type="continuationSeparator" w:id="0">
    <w:p w:rsidR="00A107FA" w:rsidRDefault="00A107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FA" w:rsidRPr="00B937BE" w:rsidRDefault="00A107FA" w:rsidP="00B937BE">
    <w:pPr>
      <w:spacing w:after="120"/>
      <w:jc w:val="both"/>
      <w:rPr>
        <w:sz w:val="20"/>
      </w:rPr>
    </w:pPr>
    <w:r w:rsidRPr="007C2E6A">
      <w:rPr>
        <w:sz w:val="20"/>
      </w:rPr>
      <w:t>VM</w:t>
    </w:r>
    <w:r>
      <w:rPr>
        <w:sz w:val="20"/>
      </w:rPr>
      <w:t>anot</w:t>
    </w:r>
    <w:r w:rsidRPr="007C2E6A">
      <w:rPr>
        <w:sz w:val="20"/>
      </w:rPr>
      <w:t>_</w:t>
    </w:r>
    <w:r w:rsidR="00C20ACF">
      <w:rPr>
        <w:sz w:val="20"/>
      </w:rPr>
      <w:t>1</w:t>
    </w:r>
    <w:r>
      <w:rPr>
        <w:sz w:val="20"/>
      </w:rPr>
      <w:t>90712</w:t>
    </w:r>
    <w:r w:rsidRPr="007C2E6A">
      <w:rPr>
        <w:sz w:val="20"/>
      </w:rPr>
      <w:t>_</w:t>
    </w:r>
    <w:r>
      <w:rPr>
        <w:sz w:val="20"/>
      </w:rPr>
      <w:t>MK726_groz</w:t>
    </w:r>
    <w:r w:rsidRPr="00D473C0">
      <w:rPr>
        <w:noProof/>
        <w:sz w:val="20"/>
        <w:szCs w:val="20"/>
      </w:rPr>
      <w:t xml:space="preserve">; </w:t>
    </w:r>
    <w:r w:rsidRPr="00B937BE">
      <w:rPr>
        <w:sz w:val="20"/>
      </w:rPr>
      <w:t>Ministru kabineta noteikumu projekta „Grozījum</w:t>
    </w:r>
    <w:r>
      <w:rPr>
        <w:sz w:val="20"/>
      </w:rPr>
      <w:t>i</w:t>
    </w:r>
    <w:r w:rsidRPr="00B937BE">
      <w:rPr>
        <w:sz w:val="20"/>
      </w:rPr>
      <w:t xml:space="preserve"> Ministru kabineta 2010.gada 4.augusta noteikumos Nr.726 „Noteikumi par darbības programmas „Infrastruktūra un pakalpojumi” papildinājuma 3.1.5.1.1.apakšaktivitāti „Ģimenes ārstu tīkla attīstība”””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FA" w:rsidRPr="00B937BE" w:rsidRDefault="00A107FA" w:rsidP="00B937BE">
    <w:pPr>
      <w:spacing w:after="120"/>
      <w:jc w:val="both"/>
      <w:rPr>
        <w:sz w:val="20"/>
      </w:rPr>
    </w:pPr>
    <w:r w:rsidRPr="007C2E6A">
      <w:rPr>
        <w:sz w:val="20"/>
      </w:rPr>
      <w:t>VM</w:t>
    </w:r>
    <w:r>
      <w:rPr>
        <w:sz w:val="20"/>
      </w:rPr>
      <w:t>anot</w:t>
    </w:r>
    <w:r w:rsidRPr="007C2E6A">
      <w:rPr>
        <w:sz w:val="20"/>
      </w:rPr>
      <w:t>_</w:t>
    </w:r>
    <w:r w:rsidR="00C20ACF">
      <w:rPr>
        <w:sz w:val="20"/>
      </w:rPr>
      <w:t>1</w:t>
    </w:r>
    <w:r>
      <w:rPr>
        <w:sz w:val="20"/>
      </w:rPr>
      <w:t>90712</w:t>
    </w:r>
    <w:r w:rsidRPr="007C2E6A">
      <w:rPr>
        <w:sz w:val="20"/>
      </w:rPr>
      <w:t>_</w:t>
    </w:r>
    <w:r>
      <w:rPr>
        <w:sz w:val="20"/>
      </w:rPr>
      <w:t>MK726_groz</w:t>
    </w:r>
    <w:r w:rsidRPr="00D473C0">
      <w:rPr>
        <w:noProof/>
        <w:sz w:val="20"/>
        <w:szCs w:val="20"/>
      </w:rPr>
      <w:t xml:space="preserve">; </w:t>
    </w:r>
    <w:bookmarkStart w:id="4" w:name="OLE_LINK5"/>
    <w:bookmarkStart w:id="5" w:name="OLE_LINK6"/>
    <w:bookmarkStart w:id="6" w:name="_Hlk288744963"/>
    <w:r w:rsidRPr="00B937BE">
      <w:rPr>
        <w:sz w:val="20"/>
      </w:rPr>
      <w:t>Ministru kabineta noteikumu projekta „Grozījum</w:t>
    </w:r>
    <w:r>
      <w:rPr>
        <w:sz w:val="20"/>
      </w:rPr>
      <w:t xml:space="preserve">i </w:t>
    </w:r>
    <w:r w:rsidRPr="00B937BE">
      <w:rPr>
        <w:sz w:val="20"/>
      </w:rPr>
      <w:t>Ministru kabineta 2010.gada 4.augusta noteikumos Nr.726 „Noteikumi par darbības programmas „Infrastruktūra un pakalpojumi” papildinājuma 3.1.5.1.1.apakšaktivitāti „Ģimenes ārstu tīkla attīstība””” sākotnējās ietekmes novērtējuma ziņojums (anotācija)</w:t>
    </w:r>
    <w:bookmarkEnd w:id="4"/>
    <w:bookmarkEnd w:id="5"/>
    <w:bookmarkEnd w:id="6"/>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7FA" w:rsidRDefault="00A107FA">
      <w:r>
        <w:separator/>
      </w:r>
    </w:p>
  </w:footnote>
  <w:footnote w:type="continuationSeparator" w:id="0">
    <w:p w:rsidR="00A107FA" w:rsidRDefault="00A107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FA" w:rsidRDefault="00F810C5">
    <w:pPr>
      <w:pStyle w:val="Galvene"/>
      <w:framePr w:wrap="around" w:vAnchor="text" w:hAnchor="margin" w:xAlign="center" w:y="1"/>
      <w:rPr>
        <w:rStyle w:val="Lappusesnumurs"/>
      </w:rPr>
    </w:pPr>
    <w:r>
      <w:rPr>
        <w:rStyle w:val="Lappusesnumurs"/>
      </w:rPr>
      <w:fldChar w:fldCharType="begin"/>
    </w:r>
    <w:r w:rsidR="00A107FA">
      <w:rPr>
        <w:rStyle w:val="Lappusesnumurs"/>
      </w:rPr>
      <w:instrText xml:space="preserve">PAGE  </w:instrText>
    </w:r>
    <w:r>
      <w:rPr>
        <w:rStyle w:val="Lappusesnumurs"/>
      </w:rPr>
      <w:fldChar w:fldCharType="end"/>
    </w:r>
  </w:p>
  <w:p w:rsidR="00A107FA" w:rsidRDefault="00A107FA">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7FA" w:rsidRDefault="00F810C5">
    <w:pPr>
      <w:pStyle w:val="Galvene"/>
      <w:framePr w:wrap="around" w:vAnchor="text" w:hAnchor="margin" w:xAlign="center" w:y="1"/>
      <w:rPr>
        <w:rStyle w:val="Lappusesnumurs"/>
      </w:rPr>
    </w:pPr>
    <w:r>
      <w:rPr>
        <w:rStyle w:val="Lappusesnumurs"/>
      </w:rPr>
      <w:fldChar w:fldCharType="begin"/>
    </w:r>
    <w:r w:rsidR="00A107FA">
      <w:rPr>
        <w:rStyle w:val="Lappusesnumurs"/>
      </w:rPr>
      <w:instrText xml:space="preserve">PAGE  </w:instrText>
    </w:r>
    <w:r>
      <w:rPr>
        <w:rStyle w:val="Lappusesnumurs"/>
      </w:rPr>
      <w:fldChar w:fldCharType="separate"/>
    </w:r>
    <w:r w:rsidR="00C967E5">
      <w:rPr>
        <w:rStyle w:val="Lappusesnumurs"/>
        <w:noProof/>
      </w:rPr>
      <w:t>9</w:t>
    </w:r>
    <w:r>
      <w:rPr>
        <w:rStyle w:val="Lappusesnumurs"/>
      </w:rPr>
      <w:fldChar w:fldCharType="end"/>
    </w:r>
  </w:p>
  <w:p w:rsidR="00A107FA" w:rsidRDefault="00A107FA">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753EC36"/>
    <w:multiLevelType w:val="hybridMultilevel"/>
    <w:tmpl w:val="BE8F31DC"/>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D06E3C5"/>
    <w:multiLevelType w:val="hybridMultilevel"/>
    <w:tmpl w:val="05B74DE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C068E4"/>
    <w:multiLevelType w:val="hybridMultilevel"/>
    <w:tmpl w:val="1B281138"/>
    <w:lvl w:ilvl="0" w:tplc="0A442D8A">
      <w:start w:val="1"/>
      <w:numFmt w:val="bullet"/>
      <w:lvlText w:val=""/>
      <w:lvlJc w:val="left"/>
      <w:pPr>
        <w:tabs>
          <w:tab w:val="num" w:pos="1080"/>
        </w:tabs>
        <w:ind w:left="1080" w:hanging="360"/>
      </w:pPr>
      <w:rPr>
        <w:rFonts w:ascii="Wingdings" w:hAnsi="Wingdings" w:hint="default"/>
        <w:color w:val="333399"/>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3">
    <w:nsid w:val="0A97AAB9"/>
    <w:multiLevelType w:val="hybridMultilevel"/>
    <w:tmpl w:val="CE04E488"/>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B46273"/>
    <w:multiLevelType w:val="hybridMultilevel"/>
    <w:tmpl w:val="44CA83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2F25C6E"/>
    <w:multiLevelType w:val="hybridMultilevel"/>
    <w:tmpl w:val="502C2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E4A066E"/>
    <w:multiLevelType w:val="hybridMultilevel"/>
    <w:tmpl w:val="F4A60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A85A11"/>
    <w:multiLevelType w:val="hybridMultilevel"/>
    <w:tmpl w:val="5DB446D4"/>
    <w:lvl w:ilvl="0" w:tplc="04090005">
      <w:start w:val="1"/>
      <w:numFmt w:val="bullet"/>
      <w:lvlText w:val=""/>
      <w:lvlJc w:val="left"/>
      <w:pPr>
        <w:ind w:left="751" w:hanging="360"/>
      </w:pPr>
      <w:rPr>
        <w:rFonts w:ascii="Wingdings" w:hAnsi="Wingdings" w:hint="default"/>
      </w:rPr>
    </w:lvl>
    <w:lvl w:ilvl="1" w:tplc="04090003" w:tentative="1">
      <w:start w:val="1"/>
      <w:numFmt w:val="bullet"/>
      <w:lvlText w:val="o"/>
      <w:lvlJc w:val="left"/>
      <w:pPr>
        <w:ind w:left="1471" w:hanging="360"/>
      </w:pPr>
      <w:rPr>
        <w:rFonts w:ascii="Courier New" w:hAnsi="Courier New" w:cs="Courier New" w:hint="default"/>
      </w:rPr>
    </w:lvl>
    <w:lvl w:ilvl="2" w:tplc="04090005" w:tentative="1">
      <w:start w:val="1"/>
      <w:numFmt w:val="bullet"/>
      <w:lvlText w:val=""/>
      <w:lvlJc w:val="left"/>
      <w:pPr>
        <w:ind w:left="2191" w:hanging="360"/>
      </w:pPr>
      <w:rPr>
        <w:rFonts w:ascii="Wingdings" w:hAnsi="Wingdings" w:hint="default"/>
      </w:rPr>
    </w:lvl>
    <w:lvl w:ilvl="3" w:tplc="04090001" w:tentative="1">
      <w:start w:val="1"/>
      <w:numFmt w:val="bullet"/>
      <w:lvlText w:val=""/>
      <w:lvlJc w:val="left"/>
      <w:pPr>
        <w:ind w:left="2911" w:hanging="360"/>
      </w:pPr>
      <w:rPr>
        <w:rFonts w:ascii="Symbol" w:hAnsi="Symbol" w:hint="default"/>
      </w:rPr>
    </w:lvl>
    <w:lvl w:ilvl="4" w:tplc="04090003" w:tentative="1">
      <w:start w:val="1"/>
      <w:numFmt w:val="bullet"/>
      <w:lvlText w:val="o"/>
      <w:lvlJc w:val="left"/>
      <w:pPr>
        <w:ind w:left="3631" w:hanging="360"/>
      </w:pPr>
      <w:rPr>
        <w:rFonts w:ascii="Courier New" w:hAnsi="Courier New" w:cs="Courier New" w:hint="default"/>
      </w:rPr>
    </w:lvl>
    <w:lvl w:ilvl="5" w:tplc="04090005" w:tentative="1">
      <w:start w:val="1"/>
      <w:numFmt w:val="bullet"/>
      <w:lvlText w:val=""/>
      <w:lvlJc w:val="left"/>
      <w:pPr>
        <w:ind w:left="4351" w:hanging="360"/>
      </w:pPr>
      <w:rPr>
        <w:rFonts w:ascii="Wingdings" w:hAnsi="Wingdings" w:hint="default"/>
      </w:rPr>
    </w:lvl>
    <w:lvl w:ilvl="6" w:tplc="04090001" w:tentative="1">
      <w:start w:val="1"/>
      <w:numFmt w:val="bullet"/>
      <w:lvlText w:val=""/>
      <w:lvlJc w:val="left"/>
      <w:pPr>
        <w:ind w:left="5071" w:hanging="360"/>
      </w:pPr>
      <w:rPr>
        <w:rFonts w:ascii="Symbol" w:hAnsi="Symbol" w:hint="default"/>
      </w:rPr>
    </w:lvl>
    <w:lvl w:ilvl="7" w:tplc="04090003" w:tentative="1">
      <w:start w:val="1"/>
      <w:numFmt w:val="bullet"/>
      <w:lvlText w:val="o"/>
      <w:lvlJc w:val="left"/>
      <w:pPr>
        <w:ind w:left="5791" w:hanging="360"/>
      </w:pPr>
      <w:rPr>
        <w:rFonts w:ascii="Courier New" w:hAnsi="Courier New" w:cs="Courier New" w:hint="default"/>
      </w:rPr>
    </w:lvl>
    <w:lvl w:ilvl="8" w:tplc="04090005" w:tentative="1">
      <w:start w:val="1"/>
      <w:numFmt w:val="bullet"/>
      <w:lvlText w:val=""/>
      <w:lvlJc w:val="left"/>
      <w:pPr>
        <w:ind w:left="6511" w:hanging="360"/>
      </w:pPr>
      <w:rPr>
        <w:rFonts w:ascii="Wingdings" w:hAnsi="Wingdings" w:hint="default"/>
      </w:rPr>
    </w:lvl>
  </w:abstractNum>
  <w:abstractNum w:abstractNumId="8">
    <w:nsid w:val="3E8113A9"/>
    <w:multiLevelType w:val="hybridMultilevel"/>
    <w:tmpl w:val="A364C1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CD67C2"/>
    <w:multiLevelType w:val="multilevel"/>
    <w:tmpl w:val="B2D06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490508"/>
    <w:multiLevelType w:val="hybridMultilevel"/>
    <w:tmpl w:val="34867860"/>
    <w:lvl w:ilvl="0" w:tplc="99782DD2">
      <w:start w:val="6"/>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nsid w:val="60C93904"/>
    <w:multiLevelType w:val="hybridMultilevel"/>
    <w:tmpl w:val="3104BC70"/>
    <w:lvl w:ilvl="0" w:tplc="DDF8F6D6">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2">
    <w:nsid w:val="60CA6653"/>
    <w:multiLevelType w:val="hybridMultilevel"/>
    <w:tmpl w:val="75CEC788"/>
    <w:lvl w:ilvl="0" w:tplc="921E26C0">
      <w:start w:val="19"/>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658D2364"/>
    <w:multiLevelType w:val="multilevel"/>
    <w:tmpl w:val="D8582576"/>
    <w:lvl w:ilvl="0">
      <w:start w:val="1"/>
      <w:numFmt w:val="decimal"/>
      <w:lvlText w:val="%1."/>
      <w:lvlJc w:val="left"/>
      <w:pPr>
        <w:ind w:left="1603" w:hanging="1035"/>
      </w:pPr>
      <w:rPr>
        <w:rFonts w:cs="Times New Roman" w:hint="default"/>
      </w:rPr>
    </w:lvl>
    <w:lvl w:ilvl="1">
      <w:start w:val="1"/>
      <w:numFmt w:val="decimal"/>
      <w:isLgl/>
      <w:lvlText w:val="%1.%2."/>
      <w:lvlJc w:val="left"/>
      <w:pPr>
        <w:ind w:left="2171" w:hanging="1320"/>
      </w:pPr>
      <w:rPr>
        <w:rFonts w:cs="Times New Roman" w:hint="default"/>
      </w:rPr>
    </w:lvl>
    <w:lvl w:ilvl="2">
      <w:start w:val="1"/>
      <w:numFmt w:val="decimal"/>
      <w:isLgl/>
      <w:lvlText w:val="%1.%2.%3."/>
      <w:lvlJc w:val="left"/>
      <w:pPr>
        <w:ind w:left="1888" w:hanging="1320"/>
      </w:pPr>
      <w:rPr>
        <w:rFonts w:cs="Times New Roman" w:hint="default"/>
      </w:rPr>
    </w:lvl>
    <w:lvl w:ilvl="3">
      <w:start w:val="1"/>
      <w:numFmt w:val="decimal"/>
      <w:isLgl/>
      <w:lvlText w:val="%1.%2.%3.%4."/>
      <w:lvlJc w:val="left"/>
      <w:pPr>
        <w:ind w:left="2760" w:hanging="1320"/>
      </w:pPr>
      <w:rPr>
        <w:rFonts w:cs="Times New Roman" w:hint="default"/>
      </w:rPr>
    </w:lvl>
    <w:lvl w:ilvl="4">
      <w:start w:val="1"/>
      <w:numFmt w:val="decimal"/>
      <w:isLgl/>
      <w:lvlText w:val="%1.%2.%3.%4.%5."/>
      <w:lvlJc w:val="left"/>
      <w:pPr>
        <w:ind w:left="2760" w:hanging="1320"/>
      </w:pPr>
      <w:rPr>
        <w:rFonts w:cs="Times New Roman" w:hint="default"/>
      </w:rPr>
    </w:lvl>
    <w:lvl w:ilvl="5">
      <w:start w:val="1"/>
      <w:numFmt w:val="decimal"/>
      <w:isLgl/>
      <w:lvlText w:val="%1.%2.%3.%4.%5.%6."/>
      <w:lvlJc w:val="left"/>
      <w:pPr>
        <w:ind w:left="288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240" w:hanging="1800"/>
      </w:pPr>
      <w:rPr>
        <w:rFonts w:cs="Times New Roman" w:hint="default"/>
      </w:rPr>
    </w:lvl>
    <w:lvl w:ilvl="8">
      <w:start w:val="1"/>
      <w:numFmt w:val="decimal"/>
      <w:isLgl/>
      <w:lvlText w:val="%1.%2.%3.%4.%5.%6.%7.%8.%9."/>
      <w:lvlJc w:val="left"/>
      <w:pPr>
        <w:ind w:left="3600" w:hanging="2160"/>
      </w:pPr>
      <w:rPr>
        <w:rFonts w:cs="Times New Roman" w:hint="default"/>
      </w:rPr>
    </w:lvl>
  </w:abstractNum>
  <w:abstractNum w:abstractNumId="14">
    <w:nsid w:val="694D0D6B"/>
    <w:multiLevelType w:val="hybridMultilevel"/>
    <w:tmpl w:val="397E187C"/>
    <w:lvl w:ilvl="0" w:tplc="04090005">
      <w:start w:val="1"/>
      <w:numFmt w:val="bullet"/>
      <w:lvlText w:val=""/>
      <w:lvlJc w:val="left"/>
      <w:pPr>
        <w:ind w:left="360" w:hanging="360"/>
      </w:pPr>
      <w:rPr>
        <w:rFonts w:ascii="Wingdings" w:hAnsi="Wingdings" w:hint="default"/>
      </w:rPr>
    </w:lvl>
    <w:lvl w:ilvl="1" w:tplc="921E26C0">
      <w:start w:val="19"/>
      <w:numFmt w:val="bullet"/>
      <w:lvlText w:val="-"/>
      <w:lvlJc w:val="left"/>
      <w:pPr>
        <w:ind w:left="752" w:hanging="360"/>
      </w:pPr>
      <w:rPr>
        <w:rFonts w:ascii="Times New Roman" w:eastAsia="Times New Roman" w:hAnsi="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9"/>
  </w:num>
  <w:num w:numId="4">
    <w:abstractNumId w:val="1"/>
  </w:num>
  <w:num w:numId="5">
    <w:abstractNumId w:val="0"/>
  </w:num>
  <w:num w:numId="6">
    <w:abstractNumId w:val="3"/>
  </w:num>
  <w:num w:numId="7">
    <w:abstractNumId w:val="13"/>
  </w:num>
  <w:num w:numId="8">
    <w:abstractNumId w:val="8"/>
  </w:num>
  <w:num w:numId="9">
    <w:abstractNumId w:val="6"/>
  </w:num>
  <w:num w:numId="10">
    <w:abstractNumId w:val="7"/>
  </w:num>
  <w:num w:numId="11">
    <w:abstractNumId w:val="14"/>
  </w:num>
  <w:num w:numId="12">
    <w:abstractNumId w:val="4"/>
  </w:num>
  <w:num w:numId="13">
    <w:abstractNumId w:val="5"/>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2"/>
  <w:noPunctuationKerning/>
  <w:characterSpacingControl w:val="doNotCompress"/>
  <w:hdrShapeDefaults>
    <o:shapedefaults v:ext="edit" spidmax="79873"/>
  </w:hdrShapeDefaults>
  <w:footnotePr>
    <w:footnote w:id="-1"/>
    <w:footnote w:id="0"/>
  </w:footnotePr>
  <w:endnotePr>
    <w:endnote w:id="-1"/>
    <w:endnote w:id="0"/>
  </w:endnotePr>
  <w:compat/>
  <w:rsids>
    <w:rsidRoot w:val="00051A1C"/>
    <w:rsid w:val="000006CF"/>
    <w:rsid w:val="00010573"/>
    <w:rsid w:val="00013B7C"/>
    <w:rsid w:val="0001496E"/>
    <w:rsid w:val="00016BD9"/>
    <w:rsid w:val="00017DF7"/>
    <w:rsid w:val="00022523"/>
    <w:rsid w:val="000229B1"/>
    <w:rsid w:val="00023A89"/>
    <w:rsid w:val="00023BA6"/>
    <w:rsid w:val="00023EAD"/>
    <w:rsid w:val="0002480A"/>
    <w:rsid w:val="00031B47"/>
    <w:rsid w:val="00032A9F"/>
    <w:rsid w:val="000331F5"/>
    <w:rsid w:val="000350F7"/>
    <w:rsid w:val="000379CD"/>
    <w:rsid w:val="000401EE"/>
    <w:rsid w:val="00040261"/>
    <w:rsid w:val="00040280"/>
    <w:rsid w:val="0004188B"/>
    <w:rsid w:val="000419AE"/>
    <w:rsid w:val="0004341C"/>
    <w:rsid w:val="00043510"/>
    <w:rsid w:val="00044751"/>
    <w:rsid w:val="00044811"/>
    <w:rsid w:val="000461A6"/>
    <w:rsid w:val="00046C46"/>
    <w:rsid w:val="00047FB2"/>
    <w:rsid w:val="000518C5"/>
    <w:rsid w:val="00051A1C"/>
    <w:rsid w:val="0005514A"/>
    <w:rsid w:val="0005631C"/>
    <w:rsid w:val="0005680A"/>
    <w:rsid w:val="00060FDE"/>
    <w:rsid w:val="00062879"/>
    <w:rsid w:val="00062E81"/>
    <w:rsid w:val="000648AB"/>
    <w:rsid w:val="000700EC"/>
    <w:rsid w:val="000703FA"/>
    <w:rsid w:val="000746DD"/>
    <w:rsid w:val="00074C50"/>
    <w:rsid w:val="00075C90"/>
    <w:rsid w:val="00075FE6"/>
    <w:rsid w:val="0007617E"/>
    <w:rsid w:val="0008105E"/>
    <w:rsid w:val="0008118C"/>
    <w:rsid w:val="00081E56"/>
    <w:rsid w:val="00082220"/>
    <w:rsid w:val="0008397F"/>
    <w:rsid w:val="000876AA"/>
    <w:rsid w:val="00087787"/>
    <w:rsid w:val="00087912"/>
    <w:rsid w:val="000879A1"/>
    <w:rsid w:val="00092C08"/>
    <w:rsid w:val="00092C69"/>
    <w:rsid w:val="00093955"/>
    <w:rsid w:val="00093E32"/>
    <w:rsid w:val="00094A86"/>
    <w:rsid w:val="00094D29"/>
    <w:rsid w:val="00094F8F"/>
    <w:rsid w:val="0009711C"/>
    <w:rsid w:val="0009765C"/>
    <w:rsid w:val="00097667"/>
    <w:rsid w:val="000A0B0B"/>
    <w:rsid w:val="000A0B51"/>
    <w:rsid w:val="000A1230"/>
    <w:rsid w:val="000A2285"/>
    <w:rsid w:val="000A249F"/>
    <w:rsid w:val="000A3D7C"/>
    <w:rsid w:val="000A632A"/>
    <w:rsid w:val="000A6455"/>
    <w:rsid w:val="000A6B35"/>
    <w:rsid w:val="000A7B2A"/>
    <w:rsid w:val="000B0A3D"/>
    <w:rsid w:val="000B2ED3"/>
    <w:rsid w:val="000C0654"/>
    <w:rsid w:val="000C0894"/>
    <w:rsid w:val="000C11F7"/>
    <w:rsid w:val="000C1806"/>
    <w:rsid w:val="000C326C"/>
    <w:rsid w:val="000C328B"/>
    <w:rsid w:val="000C3992"/>
    <w:rsid w:val="000C62B6"/>
    <w:rsid w:val="000C69A8"/>
    <w:rsid w:val="000C7F03"/>
    <w:rsid w:val="000D10A0"/>
    <w:rsid w:val="000D3507"/>
    <w:rsid w:val="000D40AC"/>
    <w:rsid w:val="000D5A1E"/>
    <w:rsid w:val="000E2002"/>
    <w:rsid w:val="000E24E4"/>
    <w:rsid w:val="000E5F1E"/>
    <w:rsid w:val="000E6D22"/>
    <w:rsid w:val="000E7F58"/>
    <w:rsid w:val="000F079B"/>
    <w:rsid w:val="000F099A"/>
    <w:rsid w:val="000F0B0D"/>
    <w:rsid w:val="000F42B4"/>
    <w:rsid w:val="001022F4"/>
    <w:rsid w:val="00102B64"/>
    <w:rsid w:val="001039EE"/>
    <w:rsid w:val="00104722"/>
    <w:rsid w:val="00106FF3"/>
    <w:rsid w:val="001108E9"/>
    <w:rsid w:val="001109DA"/>
    <w:rsid w:val="00111190"/>
    <w:rsid w:val="0011122E"/>
    <w:rsid w:val="0011132A"/>
    <w:rsid w:val="00111D17"/>
    <w:rsid w:val="0011391E"/>
    <w:rsid w:val="00113E50"/>
    <w:rsid w:val="00115C48"/>
    <w:rsid w:val="00117BB9"/>
    <w:rsid w:val="0012089E"/>
    <w:rsid w:val="00121708"/>
    <w:rsid w:val="00124003"/>
    <w:rsid w:val="001268E7"/>
    <w:rsid w:val="00130286"/>
    <w:rsid w:val="0013083A"/>
    <w:rsid w:val="00130B15"/>
    <w:rsid w:val="00132010"/>
    <w:rsid w:val="00132477"/>
    <w:rsid w:val="00132673"/>
    <w:rsid w:val="00132D78"/>
    <w:rsid w:val="001342F6"/>
    <w:rsid w:val="001343E2"/>
    <w:rsid w:val="0013473F"/>
    <w:rsid w:val="001420EE"/>
    <w:rsid w:val="0014373C"/>
    <w:rsid w:val="001437C1"/>
    <w:rsid w:val="001445AA"/>
    <w:rsid w:val="0015195C"/>
    <w:rsid w:val="00151E3F"/>
    <w:rsid w:val="001526CD"/>
    <w:rsid w:val="00152866"/>
    <w:rsid w:val="0016187F"/>
    <w:rsid w:val="0016188D"/>
    <w:rsid w:val="00162A40"/>
    <w:rsid w:val="00164651"/>
    <w:rsid w:val="0016725E"/>
    <w:rsid w:val="00172E1B"/>
    <w:rsid w:val="00173657"/>
    <w:rsid w:val="00173DB7"/>
    <w:rsid w:val="00174F93"/>
    <w:rsid w:val="00175FE2"/>
    <w:rsid w:val="00176498"/>
    <w:rsid w:val="001777FC"/>
    <w:rsid w:val="0018006E"/>
    <w:rsid w:val="00180ACF"/>
    <w:rsid w:val="00180D14"/>
    <w:rsid w:val="00182AA3"/>
    <w:rsid w:val="00183B82"/>
    <w:rsid w:val="00184C32"/>
    <w:rsid w:val="00185B8D"/>
    <w:rsid w:val="00187BCA"/>
    <w:rsid w:val="00190113"/>
    <w:rsid w:val="00190E51"/>
    <w:rsid w:val="00191D21"/>
    <w:rsid w:val="00193692"/>
    <w:rsid w:val="001942EB"/>
    <w:rsid w:val="001950BA"/>
    <w:rsid w:val="00195AE2"/>
    <w:rsid w:val="00195FE5"/>
    <w:rsid w:val="00197678"/>
    <w:rsid w:val="001A033A"/>
    <w:rsid w:val="001A22CB"/>
    <w:rsid w:val="001A28C3"/>
    <w:rsid w:val="001A297F"/>
    <w:rsid w:val="001A3B62"/>
    <w:rsid w:val="001A4EE7"/>
    <w:rsid w:val="001A5B17"/>
    <w:rsid w:val="001A5F95"/>
    <w:rsid w:val="001A614E"/>
    <w:rsid w:val="001A788A"/>
    <w:rsid w:val="001B02E4"/>
    <w:rsid w:val="001B0FB3"/>
    <w:rsid w:val="001B1DEC"/>
    <w:rsid w:val="001B7153"/>
    <w:rsid w:val="001B7BBF"/>
    <w:rsid w:val="001C02F2"/>
    <w:rsid w:val="001C07E0"/>
    <w:rsid w:val="001C11EA"/>
    <w:rsid w:val="001C457A"/>
    <w:rsid w:val="001C493F"/>
    <w:rsid w:val="001C5F71"/>
    <w:rsid w:val="001C68E9"/>
    <w:rsid w:val="001D0025"/>
    <w:rsid w:val="001D0679"/>
    <w:rsid w:val="001D2D91"/>
    <w:rsid w:val="001D2F3C"/>
    <w:rsid w:val="001D3051"/>
    <w:rsid w:val="001D3987"/>
    <w:rsid w:val="001D49E8"/>
    <w:rsid w:val="001D55DA"/>
    <w:rsid w:val="001D6102"/>
    <w:rsid w:val="001D6DB1"/>
    <w:rsid w:val="001E155F"/>
    <w:rsid w:val="001E20B3"/>
    <w:rsid w:val="001E3003"/>
    <w:rsid w:val="001E32B2"/>
    <w:rsid w:val="001E4130"/>
    <w:rsid w:val="001E4513"/>
    <w:rsid w:val="001E6859"/>
    <w:rsid w:val="001E6CEC"/>
    <w:rsid w:val="001E7771"/>
    <w:rsid w:val="001F1DDC"/>
    <w:rsid w:val="001F1DDE"/>
    <w:rsid w:val="001F2F1B"/>
    <w:rsid w:val="001F31EB"/>
    <w:rsid w:val="001F39B6"/>
    <w:rsid w:val="001F6BC5"/>
    <w:rsid w:val="001F76D3"/>
    <w:rsid w:val="0020206A"/>
    <w:rsid w:val="00202099"/>
    <w:rsid w:val="0020355C"/>
    <w:rsid w:val="00205006"/>
    <w:rsid w:val="002070E9"/>
    <w:rsid w:val="00207ED4"/>
    <w:rsid w:val="002105B1"/>
    <w:rsid w:val="002106BC"/>
    <w:rsid w:val="00210B37"/>
    <w:rsid w:val="0021148A"/>
    <w:rsid w:val="00216724"/>
    <w:rsid w:val="00217705"/>
    <w:rsid w:val="002209CB"/>
    <w:rsid w:val="002211D7"/>
    <w:rsid w:val="00221576"/>
    <w:rsid w:val="0022195A"/>
    <w:rsid w:val="00221ABB"/>
    <w:rsid w:val="00226A38"/>
    <w:rsid w:val="00226A91"/>
    <w:rsid w:val="00231B6A"/>
    <w:rsid w:val="00231F4B"/>
    <w:rsid w:val="00232CEC"/>
    <w:rsid w:val="00233132"/>
    <w:rsid w:val="00233516"/>
    <w:rsid w:val="00233D20"/>
    <w:rsid w:val="00234B35"/>
    <w:rsid w:val="002352C7"/>
    <w:rsid w:val="00235360"/>
    <w:rsid w:val="0023643A"/>
    <w:rsid w:val="00236630"/>
    <w:rsid w:val="00236F7C"/>
    <w:rsid w:val="00240BB9"/>
    <w:rsid w:val="00241EAF"/>
    <w:rsid w:val="00243493"/>
    <w:rsid w:val="0024551A"/>
    <w:rsid w:val="00245E4D"/>
    <w:rsid w:val="0024688C"/>
    <w:rsid w:val="002501CD"/>
    <w:rsid w:val="00250C15"/>
    <w:rsid w:val="00250E14"/>
    <w:rsid w:val="00251191"/>
    <w:rsid w:val="00252F83"/>
    <w:rsid w:val="002536B9"/>
    <w:rsid w:val="00253E28"/>
    <w:rsid w:val="00260F8B"/>
    <w:rsid w:val="002629D3"/>
    <w:rsid w:val="00262B6A"/>
    <w:rsid w:val="0026440F"/>
    <w:rsid w:val="002668EC"/>
    <w:rsid w:val="00266AD1"/>
    <w:rsid w:val="00272DE6"/>
    <w:rsid w:val="00273157"/>
    <w:rsid w:val="002742A1"/>
    <w:rsid w:val="00275599"/>
    <w:rsid w:val="002775DA"/>
    <w:rsid w:val="00282642"/>
    <w:rsid w:val="002845C6"/>
    <w:rsid w:val="0028551C"/>
    <w:rsid w:val="0028615F"/>
    <w:rsid w:val="00290C29"/>
    <w:rsid w:val="0029194F"/>
    <w:rsid w:val="00291DAD"/>
    <w:rsid w:val="00291E72"/>
    <w:rsid w:val="0029403B"/>
    <w:rsid w:val="00297DDD"/>
    <w:rsid w:val="002A0184"/>
    <w:rsid w:val="002A1432"/>
    <w:rsid w:val="002A150E"/>
    <w:rsid w:val="002A46CA"/>
    <w:rsid w:val="002A49D0"/>
    <w:rsid w:val="002A725C"/>
    <w:rsid w:val="002B0032"/>
    <w:rsid w:val="002B2135"/>
    <w:rsid w:val="002B2650"/>
    <w:rsid w:val="002B29C1"/>
    <w:rsid w:val="002B3DFA"/>
    <w:rsid w:val="002B5A80"/>
    <w:rsid w:val="002B5D9A"/>
    <w:rsid w:val="002B6C72"/>
    <w:rsid w:val="002C13CF"/>
    <w:rsid w:val="002C3857"/>
    <w:rsid w:val="002C3F14"/>
    <w:rsid w:val="002C58CF"/>
    <w:rsid w:val="002C5D12"/>
    <w:rsid w:val="002C605B"/>
    <w:rsid w:val="002C6AD5"/>
    <w:rsid w:val="002C6CFF"/>
    <w:rsid w:val="002D0DEF"/>
    <w:rsid w:val="002D2859"/>
    <w:rsid w:val="002D33E0"/>
    <w:rsid w:val="002D3F36"/>
    <w:rsid w:val="002D48B0"/>
    <w:rsid w:val="002D599A"/>
    <w:rsid w:val="002E1C0E"/>
    <w:rsid w:val="002E4977"/>
    <w:rsid w:val="002E64EC"/>
    <w:rsid w:val="002E6680"/>
    <w:rsid w:val="002E70B4"/>
    <w:rsid w:val="002F1089"/>
    <w:rsid w:val="002F1C53"/>
    <w:rsid w:val="002F25D5"/>
    <w:rsid w:val="002F2C30"/>
    <w:rsid w:val="002F35E2"/>
    <w:rsid w:val="002F3C9C"/>
    <w:rsid w:val="002F3DAD"/>
    <w:rsid w:val="002F4AA1"/>
    <w:rsid w:val="002F55B9"/>
    <w:rsid w:val="002F5C8A"/>
    <w:rsid w:val="002F6C5D"/>
    <w:rsid w:val="002F6DDC"/>
    <w:rsid w:val="00303ECC"/>
    <w:rsid w:val="00304CAD"/>
    <w:rsid w:val="00304FB3"/>
    <w:rsid w:val="003053E2"/>
    <w:rsid w:val="00312F4F"/>
    <w:rsid w:val="00315984"/>
    <w:rsid w:val="003171D8"/>
    <w:rsid w:val="0032178A"/>
    <w:rsid w:val="003225AA"/>
    <w:rsid w:val="003233AF"/>
    <w:rsid w:val="00323DD9"/>
    <w:rsid w:val="00323E40"/>
    <w:rsid w:val="00323F11"/>
    <w:rsid w:val="00325C93"/>
    <w:rsid w:val="00327F2F"/>
    <w:rsid w:val="003312B4"/>
    <w:rsid w:val="00332010"/>
    <w:rsid w:val="00332500"/>
    <w:rsid w:val="0033566F"/>
    <w:rsid w:val="00340B9C"/>
    <w:rsid w:val="0034346D"/>
    <w:rsid w:val="0034660F"/>
    <w:rsid w:val="00346B0B"/>
    <w:rsid w:val="00350BD6"/>
    <w:rsid w:val="00351794"/>
    <w:rsid w:val="003536A6"/>
    <w:rsid w:val="003536D5"/>
    <w:rsid w:val="0036029D"/>
    <w:rsid w:val="003615C2"/>
    <w:rsid w:val="0036166B"/>
    <w:rsid w:val="0036313C"/>
    <w:rsid w:val="00363DC2"/>
    <w:rsid w:val="00365A5C"/>
    <w:rsid w:val="00367A86"/>
    <w:rsid w:val="00371CAB"/>
    <w:rsid w:val="003720ED"/>
    <w:rsid w:val="00372200"/>
    <w:rsid w:val="00374E68"/>
    <w:rsid w:val="00375726"/>
    <w:rsid w:val="00376CD4"/>
    <w:rsid w:val="00377438"/>
    <w:rsid w:val="0038256D"/>
    <w:rsid w:val="00384797"/>
    <w:rsid w:val="00384D18"/>
    <w:rsid w:val="00386E5C"/>
    <w:rsid w:val="00387602"/>
    <w:rsid w:val="00391A0D"/>
    <w:rsid w:val="00392AD8"/>
    <w:rsid w:val="00394632"/>
    <w:rsid w:val="00394AC9"/>
    <w:rsid w:val="00395167"/>
    <w:rsid w:val="00397A86"/>
    <w:rsid w:val="00397E92"/>
    <w:rsid w:val="003A0D9D"/>
    <w:rsid w:val="003A33E3"/>
    <w:rsid w:val="003A4FD6"/>
    <w:rsid w:val="003A5810"/>
    <w:rsid w:val="003A58AA"/>
    <w:rsid w:val="003A71D9"/>
    <w:rsid w:val="003A743D"/>
    <w:rsid w:val="003B27A7"/>
    <w:rsid w:val="003B35F5"/>
    <w:rsid w:val="003B440E"/>
    <w:rsid w:val="003B5988"/>
    <w:rsid w:val="003C1A61"/>
    <w:rsid w:val="003C1A7F"/>
    <w:rsid w:val="003C71C8"/>
    <w:rsid w:val="003D19D5"/>
    <w:rsid w:val="003D2D26"/>
    <w:rsid w:val="003D55EC"/>
    <w:rsid w:val="003D6FF6"/>
    <w:rsid w:val="003D7E84"/>
    <w:rsid w:val="003E093F"/>
    <w:rsid w:val="003E1C44"/>
    <w:rsid w:val="003E5FE9"/>
    <w:rsid w:val="003E65C9"/>
    <w:rsid w:val="003E6BA0"/>
    <w:rsid w:val="003E7680"/>
    <w:rsid w:val="003F02B2"/>
    <w:rsid w:val="003F1D51"/>
    <w:rsid w:val="003F2C9C"/>
    <w:rsid w:val="003F4890"/>
    <w:rsid w:val="003F64ED"/>
    <w:rsid w:val="003F6E3D"/>
    <w:rsid w:val="003F7881"/>
    <w:rsid w:val="003F7B8E"/>
    <w:rsid w:val="0040092E"/>
    <w:rsid w:val="00401EDF"/>
    <w:rsid w:val="00402AEB"/>
    <w:rsid w:val="00403525"/>
    <w:rsid w:val="004039F0"/>
    <w:rsid w:val="00404336"/>
    <w:rsid w:val="00404EB6"/>
    <w:rsid w:val="00406460"/>
    <w:rsid w:val="00406A38"/>
    <w:rsid w:val="00407067"/>
    <w:rsid w:val="00407AD9"/>
    <w:rsid w:val="004106D1"/>
    <w:rsid w:val="00412639"/>
    <w:rsid w:val="00413FE9"/>
    <w:rsid w:val="00415285"/>
    <w:rsid w:val="00422021"/>
    <w:rsid w:val="00424362"/>
    <w:rsid w:val="00424AD4"/>
    <w:rsid w:val="004251A9"/>
    <w:rsid w:val="00425F1A"/>
    <w:rsid w:val="00425FA9"/>
    <w:rsid w:val="00427E7B"/>
    <w:rsid w:val="00435509"/>
    <w:rsid w:val="00436025"/>
    <w:rsid w:val="00437540"/>
    <w:rsid w:val="0043756A"/>
    <w:rsid w:val="00437975"/>
    <w:rsid w:val="0044099E"/>
    <w:rsid w:val="00443CA4"/>
    <w:rsid w:val="00444DC2"/>
    <w:rsid w:val="00445515"/>
    <w:rsid w:val="00445E18"/>
    <w:rsid w:val="00451DF3"/>
    <w:rsid w:val="00452170"/>
    <w:rsid w:val="00452DC4"/>
    <w:rsid w:val="0045306C"/>
    <w:rsid w:val="0045425B"/>
    <w:rsid w:val="004543CC"/>
    <w:rsid w:val="0045495E"/>
    <w:rsid w:val="004556DF"/>
    <w:rsid w:val="0045670D"/>
    <w:rsid w:val="004612BD"/>
    <w:rsid w:val="004614BE"/>
    <w:rsid w:val="00461752"/>
    <w:rsid w:val="0046222A"/>
    <w:rsid w:val="004632E6"/>
    <w:rsid w:val="00463E49"/>
    <w:rsid w:val="0047035C"/>
    <w:rsid w:val="0047129B"/>
    <w:rsid w:val="0047285A"/>
    <w:rsid w:val="00472AC0"/>
    <w:rsid w:val="004733BB"/>
    <w:rsid w:val="00476A6E"/>
    <w:rsid w:val="004777AE"/>
    <w:rsid w:val="004779B5"/>
    <w:rsid w:val="00480AFD"/>
    <w:rsid w:val="004825C6"/>
    <w:rsid w:val="004832CE"/>
    <w:rsid w:val="004837AB"/>
    <w:rsid w:val="0048532F"/>
    <w:rsid w:val="004855AC"/>
    <w:rsid w:val="00487725"/>
    <w:rsid w:val="00487AEB"/>
    <w:rsid w:val="00497CBE"/>
    <w:rsid w:val="004A289F"/>
    <w:rsid w:val="004A303C"/>
    <w:rsid w:val="004A3942"/>
    <w:rsid w:val="004A41D5"/>
    <w:rsid w:val="004A455D"/>
    <w:rsid w:val="004A60A4"/>
    <w:rsid w:val="004A60DF"/>
    <w:rsid w:val="004B0DBD"/>
    <w:rsid w:val="004B232E"/>
    <w:rsid w:val="004B2405"/>
    <w:rsid w:val="004B3557"/>
    <w:rsid w:val="004B4C51"/>
    <w:rsid w:val="004B5FCF"/>
    <w:rsid w:val="004B6222"/>
    <w:rsid w:val="004B6226"/>
    <w:rsid w:val="004C0B9C"/>
    <w:rsid w:val="004C242C"/>
    <w:rsid w:val="004C3F69"/>
    <w:rsid w:val="004C4A5A"/>
    <w:rsid w:val="004C6D39"/>
    <w:rsid w:val="004D014F"/>
    <w:rsid w:val="004D5B1B"/>
    <w:rsid w:val="004D6813"/>
    <w:rsid w:val="004D7897"/>
    <w:rsid w:val="004E1B75"/>
    <w:rsid w:val="004E3019"/>
    <w:rsid w:val="004E37E9"/>
    <w:rsid w:val="004F3397"/>
    <w:rsid w:val="004F3D53"/>
    <w:rsid w:val="004F3F9F"/>
    <w:rsid w:val="004F68A9"/>
    <w:rsid w:val="00502C2B"/>
    <w:rsid w:val="00503B34"/>
    <w:rsid w:val="00504667"/>
    <w:rsid w:val="00505E68"/>
    <w:rsid w:val="00506220"/>
    <w:rsid w:val="00507B6B"/>
    <w:rsid w:val="00511CEB"/>
    <w:rsid w:val="0051270C"/>
    <w:rsid w:val="00515706"/>
    <w:rsid w:val="0052055D"/>
    <w:rsid w:val="005212B1"/>
    <w:rsid w:val="00521331"/>
    <w:rsid w:val="005234E4"/>
    <w:rsid w:val="00523695"/>
    <w:rsid w:val="00524751"/>
    <w:rsid w:val="00525855"/>
    <w:rsid w:val="00527A13"/>
    <w:rsid w:val="00530D0A"/>
    <w:rsid w:val="00531C98"/>
    <w:rsid w:val="00533845"/>
    <w:rsid w:val="00534EF5"/>
    <w:rsid w:val="00536F46"/>
    <w:rsid w:val="0054229B"/>
    <w:rsid w:val="0054254F"/>
    <w:rsid w:val="0054383D"/>
    <w:rsid w:val="005456A4"/>
    <w:rsid w:val="00545862"/>
    <w:rsid w:val="005473E7"/>
    <w:rsid w:val="00550437"/>
    <w:rsid w:val="00553314"/>
    <w:rsid w:val="005540B9"/>
    <w:rsid w:val="005548BD"/>
    <w:rsid w:val="005557A1"/>
    <w:rsid w:val="00556A19"/>
    <w:rsid w:val="00557784"/>
    <w:rsid w:val="00560744"/>
    <w:rsid w:val="0056168A"/>
    <w:rsid w:val="00562116"/>
    <w:rsid w:val="0056303D"/>
    <w:rsid w:val="00564B00"/>
    <w:rsid w:val="00565F33"/>
    <w:rsid w:val="00570845"/>
    <w:rsid w:val="00570F82"/>
    <w:rsid w:val="005715E6"/>
    <w:rsid w:val="00572022"/>
    <w:rsid w:val="005727D4"/>
    <w:rsid w:val="00572B38"/>
    <w:rsid w:val="005746A0"/>
    <w:rsid w:val="005749A7"/>
    <w:rsid w:val="00574FA8"/>
    <w:rsid w:val="0057502B"/>
    <w:rsid w:val="005759D8"/>
    <w:rsid w:val="00580558"/>
    <w:rsid w:val="00581162"/>
    <w:rsid w:val="00581270"/>
    <w:rsid w:val="00582808"/>
    <w:rsid w:val="00584D91"/>
    <w:rsid w:val="00585F96"/>
    <w:rsid w:val="00586566"/>
    <w:rsid w:val="00592472"/>
    <w:rsid w:val="0059541B"/>
    <w:rsid w:val="00595890"/>
    <w:rsid w:val="00595DFB"/>
    <w:rsid w:val="005968B7"/>
    <w:rsid w:val="005A0203"/>
    <w:rsid w:val="005A0358"/>
    <w:rsid w:val="005A5899"/>
    <w:rsid w:val="005A5968"/>
    <w:rsid w:val="005A64CD"/>
    <w:rsid w:val="005A6E26"/>
    <w:rsid w:val="005A7100"/>
    <w:rsid w:val="005B073D"/>
    <w:rsid w:val="005B143B"/>
    <w:rsid w:val="005B2CE0"/>
    <w:rsid w:val="005B4AA4"/>
    <w:rsid w:val="005C0F88"/>
    <w:rsid w:val="005C5317"/>
    <w:rsid w:val="005D106F"/>
    <w:rsid w:val="005D2CAC"/>
    <w:rsid w:val="005D3DEE"/>
    <w:rsid w:val="005D4D8A"/>
    <w:rsid w:val="005D7578"/>
    <w:rsid w:val="005E0FE9"/>
    <w:rsid w:val="005E1132"/>
    <w:rsid w:val="005E173B"/>
    <w:rsid w:val="005E2FA8"/>
    <w:rsid w:val="005E627E"/>
    <w:rsid w:val="005E6A79"/>
    <w:rsid w:val="005F5711"/>
    <w:rsid w:val="006007D6"/>
    <w:rsid w:val="006017BB"/>
    <w:rsid w:val="00603A61"/>
    <w:rsid w:val="00603B17"/>
    <w:rsid w:val="00611B0E"/>
    <w:rsid w:val="00612FE3"/>
    <w:rsid w:val="00617EAE"/>
    <w:rsid w:val="00621CE5"/>
    <w:rsid w:val="00623154"/>
    <w:rsid w:val="00623AE2"/>
    <w:rsid w:val="00624CE3"/>
    <w:rsid w:val="00626EFE"/>
    <w:rsid w:val="006303F8"/>
    <w:rsid w:val="00631007"/>
    <w:rsid w:val="0063122B"/>
    <w:rsid w:val="00633A90"/>
    <w:rsid w:val="00634A76"/>
    <w:rsid w:val="00635F13"/>
    <w:rsid w:val="00636F5B"/>
    <w:rsid w:val="00640263"/>
    <w:rsid w:val="00641585"/>
    <w:rsid w:val="006419FF"/>
    <w:rsid w:val="0064310B"/>
    <w:rsid w:val="00643D50"/>
    <w:rsid w:val="00643EA4"/>
    <w:rsid w:val="006446A6"/>
    <w:rsid w:val="006450C2"/>
    <w:rsid w:val="00645213"/>
    <w:rsid w:val="00645C03"/>
    <w:rsid w:val="00646424"/>
    <w:rsid w:val="006526A1"/>
    <w:rsid w:val="00653354"/>
    <w:rsid w:val="00653419"/>
    <w:rsid w:val="00653845"/>
    <w:rsid w:val="006559AC"/>
    <w:rsid w:val="00656B85"/>
    <w:rsid w:val="00656CBC"/>
    <w:rsid w:val="00656EA7"/>
    <w:rsid w:val="0065733C"/>
    <w:rsid w:val="00657610"/>
    <w:rsid w:val="006605C7"/>
    <w:rsid w:val="0066117F"/>
    <w:rsid w:val="00662DF2"/>
    <w:rsid w:val="00664844"/>
    <w:rsid w:val="00666E06"/>
    <w:rsid w:val="00670776"/>
    <w:rsid w:val="00670D7F"/>
    <w:rsid w:val="00672058"/>
    <w:rsid w:val="006721D7"/>
    <w:rsid w:val="006726FB"/>
    <w:rsid w:val="00673220"/>
    <w:rsid w:val="00674E83"/>
    <w:rsid w:val="00675F2D"/>
    <w:rsid w:val="0067660E"/>
    <w:rsid w:val="006771FC"/>
    <w:rsid w:val="0067773F"/>
    <w:rsid w:val="00681332"/>
    <w:rsid w:val="0068626A"/>
    <w:rsid w:val="00686D7C"/>
    <w:rsid w:val="0068746E"/>
    <w:rsid w:val="00687949"/>
    <w:rsid w:val="00687FC1"/>
    <w:rsid w:val="00692632"/>
    <w:rsid w:val="00694C8F"/>
    <w:rsid w:val="00695DB2"/>
    <w:rsid w:val="0069680F"/>
    <w:rsid w:val="00696EFF"/>
    <w:rsid w:val="006A35B8"/>
    <w:rsid w:val="006A5088"/>
    <w:rsid w:val="006A5E10"/>
    <w:rsid w:val="006A60F3"/>
    <w:rsid w:val="006A64E5"/>
    <w:rsid w:val="006B1174"/>
    <w:rsid w:val="006B1587"/>
    <w:rsid w:val="006B1E1F"/>
    <w:rsid w:val="006B2120"/>
    <w:rsid w:val="006B2CDB"/>
    <w:rsid w:val="006B2FB5"/>
    <w:rsid w:val="006B3FEE"/>
    <w:rsid w:val="006B669A"/>
    <w:rsid w:val="006B7013"/>
    <w:rsid w:val="006C21D2"/>
    <w:rsid w:val="006C2585"/>
    <w:rsid w:val="006C45DA"/>
    <w:rsid w:val="006C7DDE"/>
    <w:rsid w:val="006D0547"/>
    <w:rsid w:val="006D1A86"/>
    <w:rsid w:val="006D3EC5"/>
    <w:rsid w:val="006D45E1"/>
    <w:rsid w:val="006D4755"/>
    <w:rsid w:val="006D7A15"/>
    <w:rsid w:val="006E0234"/>
    <w:rsid w:val="006E6F24"/>
    <w:rsid w:val="006E719B"/>
    <w:rsid w:val="006E7387"/>
    <w:rsid w:val="006F13BE"/>
    <w:rsid w:val="006F291D"/>
    <w:rsid w:val="006F45D6"/>
    <w:rsid w:val="006F507E"/>
    <w:rsid w:val="006F55BB"/>
    <w:rsid w:val="007044DA"/>
    <w:rsid w:val="00704D5E"/>
    <w:rsid w:val="00705713"/>
    <w:rsid w:val="00707BDE"/>
    <w:rsid w:val="00707DCB"/>
    <w:rsid w:val="00710816"/>
    <w:rsid w:val="00711521"/>
    <w:rsid w:val="00713DE8"/>
    <w:rsid w:val="00713FE4"/>
    <w:rsid w:val="00715B84"/>
    <w:rsid w:val="00715FAC"/>
    <w:rsid w:val="00717D11"/>
    <w:rsid w:val="00722800"/>
    <w:rsid w:val="00723AD0"/>
    <w:rsid w:val="00727B39"/>
    <w:rsid w:val="007319AA"/>
    <w:rsid w:val="00735911"/>
    <w:rsid w:val="00735F67"/>
    <w:rsid w:val="00740F76"/>
    <w:rsid w:val="00743D5B"/>
    <w:rsid w:val="00744650"/>
    <w:rsid w:val="00752565"/>
    <w:rsid w:val="00752662"/>
    <w:rsid w:val="007545DD"/>
    <w:rsid w:val="007560F0"/>
    <w:rsid w:val="007565E0"/>
    <w:rsid w:val="00756F4D"/>
    <w:rsid w:val="00757C4D"/>
    <w:rsid w:val="00760F9F"/>
    <w:rsid w:val="00763141"/>
    <w:rsid w:val="007652CA"/>
    <w:rsid w:val="007656DE"/>
    <w:rsid w:val="007667EC"/>
    <w:rsid w:val="00770756"/>
    <w:rsid w:val="00771460"/>
    <w:rsid w:val="00771DF1"/>
    <w:rsid w:val="007812D1"/>
    <w:rsid w:val="00781671"/>
    <w:rsid w:val="0078572B"/>
    <w:rsid w:val="00787D01"/>
    <w:rsid w:val="0079058D"/>
    <w:rsid w:val="00790A31"/>
    <w:rsid w:val="0079215A"/>
    <w:rsid w:val="00792C43"/>
    <w:rsid w:val="007952DD"/>
    <w:rsid w:val="00797404"/>
    <w:rsid w:val="007A0784"/>
    <w:rsid w:val="007A122F"/>
    <w:rsid w:val="007A1919"/>
    <w:rsid w:val="007A5FB2"/>
    <w:rsid w:val="007A6598"/>
    <w:rsid w:val="007A7C8B"/>
    <w:rsid w:val="007B2107"/>
    <w:rsid w:val="007B2C3C"/>
    <w:rsid w:val="007B5209"/>
    <w:rsid w:val="007B5C03"/>
    <w:rsid w:val="007C0858"/>
    <w:rsid w:val="007C4095"/>
    <w:rsid w:val="007C4099"/>
    <w:rsid w:val="007C4A52"/>
    <w:rsid w:val="007C57CD"/>
    <w:rsid w:val="007C782F"/>
    <w:rsid w:val="007D021B"/>
    <w:rsid w:val="007D132E"/>
    <w:rsid w:val="007D28CF"/>
    <w:rsid w:val="007D3BCC"/>
    <w:rsid w:val="007D4B95"/>
    <w:rsid w:val="007D4C79"/>
    <w:rsid w:val="007D5722"/>
    <w:rsid w:val="007D703B"/>
    <w:rsid w:val="007D7B79"/>
    <w:rsid w:val="007E0B71"/>
    <w:rsid w:val="007E21EC"/>
    <w:rsid w:val="007E2BDE"/>
    <w:rsid w:val="007E5047"/>
    <w:rsid w:val="007E63FA"/>
    <w:rsid w:val="007F1156"/>
    <w:rsid w:val="007F2A84"/>
    <w:rsid w:val="007F2B5D"/>
    <w:rsid w:val="007F3581"/>
    <w:rsid w:val="007F6644"/>
    <w:rsid w:val="007F72A8"/>
    <w:rsid w:val="007F7C4B"/>
    <w:rsid w:val="00801DF0"/>
    <w:rsid w:val="00804E4E"/>
    <w:rsid w:val="00805AF2"/>
    <w:rsid w:val="008061A5"/>
    <w:rsid w:val="0081067C"/>
    <w:rsid w:val="00810E47"/>
    <w:rsid w:val="008134E4"/>
    <w:rsid w:val="0081374A"/>
    <w:rsid w:val="008164E0"/>
    <w:rsid w:val="00817F1B"/>
    <w:rsid w:val="00820CDF"/>
    <w:rsid w:val="0082170C"/>
    <w:rsid w:val="00822D82"/>
    <w:rsid w:val="0082323A"/>
    <w:rsid w:val="00823656"/>
    <w:rsid w:val="00825EF0"/>
    <w:rsid w:val="00826192"/>
    <w:rsid w:val="00831928"/>
    <w:rsid w:val="00832F8E"/>
    <w:rsid w:val="00833D31"/>
    <w:rsid w:val="008361C3"/>
    <w:rsid w:val="00837E60"/>
    <w:rsid w:val="00841D0C"/>
    <w:rsid w:val="00841E0F"/>
    <w:rsid w:val="00842F1F"/>
    <w:rsid w:val="00844751"/>
    <w:rsid w:val="008447F2"/>
    <w:rsid w:val="0084592A"/>
    <w:rsid w:val="00847124"/>
    <w:rsid w:val="00850D9A"/>
    <w:rsid w:val="00851089"/>
    <w:rsid w:val="008530B9"/>
    <w:rsid w:val="00854D50"/>
    <w:rsid w:val="00860888"/>
    <w:rsid w:val="0086170A"/>
    <w:rsid w:val="00861B14"/>
    <w:rsid w:val="00864C89"/>
    <w:rsid w:val="0087453A"/>
    <w:rsid w:val="00874B9F"/>
    <w:rsid w:val="00874EED"/>
    <w:rsid w:val="008751D7"/>
    <w:rsid w:val="00875DE7"/>
    <w:rsid w:val="0088309F"/>
    <w:rsid w:val="008832C4"/>
    <w:rsid w:val="00883458"/>
    <w:rsid w:val="00884187"/>
    <w:rsid w:val="00885691"/>
    <w:rsid w:val="00890451"/>
    <w:rsid w:val="00890A41"/>
    <w:rsid w:val="00895AAA"/>
    <w:rsid w:val="00896E66"/>
    <w:rsid w:val="008974D5"/>
    <w:rsid w:val="00897FD3"/>
    <w:rsid w:val="008A1044"/>
    <w:rsid w:val="008A2394"/>
    <w:rsid w:val="008A3670"/>
    <w:rsid w:val="008A4E49"/>
    <w:rsid w:val="008A4E9F"/>
    <w:rsid w:val="008A5924"/>
    <w:rsid w:val="008A652A"/>
    <w:rsid w:val="008A6BF2"/>
    <w:rsid w:val="008A7545"/>
    <w:rsid w:val="008B1DDD"/>
    <w:rsid w:val="008B2B87"/>
    <w:rsid w:val="008B2F47"/>
    <w:rsid w:val="008B3998"/>
    <w:rsid w:val="008B477D"/>
    <w:rsid w:val="008B5597"/>
    <w:rsid w:val="008B7445"/>
    <w:rsid w:val="008B75DB"/>
    <w:rsid w:val="008C0C96"/>
    <w:rsid w:val="008C10FA"/>
    <w:rsid w:val="008C2C5E"/>
    <w:rsid w:val="008C3050"/>
    <w:rsid w:val="008C432F"/>
    <w:rsid w:val="008C5493"/>
    <w:rsid w:val="008C5A12"/>
    <w:rsid w:val="008C5DA9"/>
    <w:rsid w:val="008C79D1"/>
    <w:rsid w:val="008D228A"/>
    <w:rsid w:val="008D35AB"/>
    <w:rsid w:val="008D69E8"/>
    <w:rsid w:val="008E007A"/>
    <w:rsid w:val="008E2128"/>
    <w:rsid w:val="008E2D79"/>
    <w:rsid w:val="008E4E6D"/>
    <w:rsid w:val="008E4ED4"/>
    <w:rsid w:val="008E593B"/>
    <w:rsid w:val="008E5A3F"/>
    <w:rsid w:val="008E60A1"/>
    <w:rsid w:val="008E6C07"/>
    <w:rsid w:val="008F1146"/>
    <w:rsid w:val="008F32EF"/>
    <w:rsid w:val="008F3F39"/>
    <w:rsid w:val="008F4E95"/>
    <w:rsid w:val="008F738A"/>
    <w:rsid w:val="008F7EE4"/>
    <w:rsid w:val="00903AF4"/>
    <w:rsid w:val="009048CA"/>
    <w:rsid w:val="00906472"/>
    <w:rsid w:val="009072E8"/>
    <w:rsid w:val="00907682"/>
    <w:rsid w:val="00907FDA"/>
    <w:rsid w:val="0091213A"/>
    <w:rsid w:val="009125C8"/>
    <w:rsid w:val="00912CDC"/>
    <w:rsid w:val="00914B80"/>
    <w:rsid w:val="00916CCF"/>
    <w:rsid w:val="00916CEF"/>
    <w:rsid w:val="00921A8D"/>
    <w:rsid w:val="009239C5"/>
    <w:rsid w:val="009257DB"/>
    <w:rsid w:val="0092787E"/>
    <w:rsid w:val="00927B54"/>
    <w:rsid w:val="00934387"/>
    <w:rsid w:val="00934CE1"/>
    <w:rsid w:val="00937B91"/>
    <w:rsid w:val="009402B1"/>
    <w:rsid w:val="00942202"/>
    <w:rsid w:val="0094229E"/>
    <w:rsid w:val="009422B9"/>
    <w:rsid w:val="0094336C"/>
    <w:rsid w:val="00947C31"/>
    <w:rsid w:val="00952C19"/>
    <w:rsid w:val="0095449B"/>
    <w:rsid w:val="00954E9D"/>
    <w:rsid w:val="00955292"/>
    <w:rsid w:val="009561E1"/>
    <w:rsid w:val="009566DF"/>
    <w:rsid w:val="00956BE0"/>
    <w:rsid w:val="00963C1F"/>
    <w:rsid w:val="009669AC"/>
    <w:rsid w:val="0096765E"/>
    <w:rsid w:val="00971CF8"/>
    <w:rsid w:val="0097712B"/>
    <w:rsid w:val="00977BED"/>
    <w:rsid w:val="00977C9D"/>
    <w:rsid w:val="00982293"/>
    <w:rsid w:val="009848F8"/>
    <w:rsid w:val="0098570E"/>
    <w:rsid w:val="00987B37"/>
    <w:rsid w:val="00991D8E"/>
    <w:rsid w:val="009A1AD8"/>
    <w:rsid w:val="009A1E74"/>
    <w:rsid w:val="009A3B53"/>
    <w:rsid w:val="009A4137"/>
    <w:rsid w:val="009A5B6B"/>
    <w:rsid w:val="009A690C"/>
    <w:rsid w:val="009A7369"/>
    <w:rsid w:val="009B0A7B"/>
    <w:rsid w:val="009B2734"/>
    <w:rsid w:val="009B3E22"/>
    <w:rsid w:val="009B42AA"/>
    <w:rsid w:val="009B4456"/>
    <w:rsid w:val="009B4D86"/>
    <w:rsid w:val="009B5142"/>
    <w:rsid w:val="009B5305"/>
    <w:rsid w:val="009B7177"/>
    <w:rsid w:val="009B7188"/>
    <w:rsid w:val="009B78CA"/>
    <w:rsid w:val="009C3139"/>
    <w:rsid w:val="009C449D"/>
    <w:rsid w:val="009C4F84"/>
    <w:rsid w:val="009C70D7"/>
    <w:rsid w:val="009C7705"/>
    <w:rsid w:val="009C7DED"/>
    <w:rsid w:val="009C7F06"/>
    <w:rsid w:val="009D02B6"/>
    <w:rsid w:val="009D0F62"/>
    <w:rsid w:val="009D4640"/>
    <w:rsid w:val="009D6D8F"/>
    <w:rsid w:val="009E0463"/>
    <w:rsid w:val="009E053A"/>
    <w:rsid w:val="009E2F70"/>
    <w:rsid w:val="009E3028"/>
    <w:rsid w:val="009E3A47"/>
    <w:rsid w:val="009E4020"/>
    <w:rsid w:val="009E58C7"/>
    <w:rsid w:val="009F1B0A"/>
    <w:rsid w:val="009F1D45"/>
    <w:rsid w:val="009F2063"/>
    <w:rsid w:val="009F2230"/>
    <w:rsid w:val="009F297E"/>
    <w:rsid w:val="009F2D95"/>
    <w:rsid w:val="009F3DDB"/>
    <w:rsid w:val="009F411E"/>
    <w:rsid w:val="009F52EB"/>
    <w:rsid w:val="009F5349"/>
    <w:rsid w:val="009F681B"/>
    <w:rsid w:val="009F68D4"/>
    <w:rsid w:val="009F6950"/>
    <w:rsid w:val="009F6FFC"/>
    <w:rsid w:val="009F7206"/>
    <w:rsid w:val="00A00C4F"/>
    <w:rsid w:val="00A03770"/>
    <w:rsid w:val="00A05C48"/>
    <w:rsid w:val="00A05CFE"/>
    <w:rsid w:val="00A06121"/>
    <w:rsid w:val="00A0723C"/>
    <w:rsid w:val="00A0772D"/>
    <w:rsid w:val="00A07B3B"/>
    <w:rsid w:val="00A107FA"/>
    <w:rsid w:val="00A11B1F"/>
    <w:rsid w:val="00A11DF0"/>
    <w:rsid w:val="00A12CFF"/>
    <w:rsid w:val="00A1405D"/>
    <w:rsid w:val="00A14F28"/>
    <w:rsid w:val="00A15840"/>
    <w:rsid w:val="00A2076A"/>
    <w:rsid w:val="00A20B68"/>
    <w:rsid w:val="00A24190"/>
    <w:rsid w:val="00A25691"/>
    <w:rsid w:val="00A259C5"/>
    <w:rsid w:val="00A31701"/>
    <w:rsid w:val="00A3480D"/>
    <w:rsid w:val="00A35D22"/>
    <w:rsid w:val="00A374FB"/>
    <w:rsid w:val="00A4000E"/>
    <w:rsid w:val="00A41BF1"/>
    <w:rsid w:val="00A45172"/>
    <w:rsid w:val="00A456AA"/>
    <w:rsid w:val="00A461F4"/>
    <w:rsid w:val="00A463C0"/>
    <w:rsid w:val="00A467DF"/>
    <w:rsid w:val="00A478CF"/>
    <w:rsid w:val="00A47ABD"/>
    <w:rsid w:val="00A47FC5"/>
    <w:rsid w:val="00A52F6A"/>
    <w:rsid w:val="00A53705"/>
    <w:rsid w:val="00A53E1A"/>
    <w:rsid w:val="00A56161"/>
    <w:rsid w:val="00A573C2"/>
    <w:rsid w:val="00A5789D"/>
    <w:rsid w:val="00A61668"/>
    <w:rsid w:val="00A666EA"/>
    <w:rsid w:val="00A677FC"/>
    <w:rsid w:val="00A678BC"/>
    <w:rsid w:val="00A67BC9"/>
    <w:rsid w:val="00A723F7"/>
    <w:rsid w:val="00A745BF"/>
    <w:rsid w:val="00A7474F"/>
    <w:rsid w:val="00A74F92"/>
    <w:rsid w:val="00A7585E"/>
    <w:rsid w:val="00A75DBC"/>
    <w:rsid w:val="00A75FE0"/>
    <w:rsid w:val="00A76668"/>
    <w:rsid w:val="00A82B3C"/>
    <w:rsid w:val="00A86DA7"/>
    <w:rsid w:val="00A86F66"/>
    <w:rsid w:val="00A90BCD"/>
    <w:rsid w:val="00A95059"/>
    <w:rsid w:val="00A95CF7"/>
    <w:rsid w:val="00A9791B"/>
    <w:rsid w:val="00AA07E2"/>
    <w:rsid w:val="00AA135F"/>
    <w:rsid w:val="00AA328F"/>
    <w:rsid w:val="00AA35B4"/>
    <w:rsid w:val="00AA7901"/>
    <w:rsid w:val="00AA7A23"/>
    <w:rsid w:val="00AB0C3D"/>
    <w:rsid w:val="00AB2A1F"/>
    <w:rsid w:val="00AB380B"/>
    <w:rsid w:val="00AB433B"/>
    <w:rsid w:val="00AB4BCB"/>
    <w:rsid w:val="00AB551F"/>
    <w:rsid w:val="00AB7CE1"/>
    <w:rsid w:val="00AC0B8D"/>
    <w:rsid w:val="00AC51C4"/>
    <w:rsid w:val="00AD07E9"/>
    <w:rsid w:val="00AD4A55"/>
    <w:rsid w:val="00AD4AEA"/>
    <w:rsid w:val="00AD528C"/>
    <w:rsid w:val="00AD63DB"/>
    <w:rsid w:val="00AE0DCA"/>
    <w:rsid w:val="00AE2E33"/>
    <w:rsid w:val="00AE7341"/>
    <w:rsid w:val="00AF1DE6"/>
    <w:rsid w:val="00AF3EC1"/>
    <w:rsid w:val="00AF44AF"/>
    <w:rsid w:val="00AF53F0"/>
    <w:rsid w:val="00AF5621"/>
    <w:rsid w:val="00B021EF"/>
    <w:rsid w:val="00B04B2A"/>
    <w:rsid w:val="00B06149"/>
    <w:rsid w:val="00B115B5"/>
    <w:rsid w:val="00B115D0"/>
    <w:rsid w:val="00B13C3A"/>
    <w:rsid w:val="00B15208"/>
    <w:rsid w:val="00B15B83"/>
    <w:rsid w:val="00B16A64"/>
    <w:rsid w:val="00B223EB"/>
    <w:rsid w:val="00B23B86"/>
    <w:rsid w:val="00B23F8F"/>
    <w:rsid w:val="00B25A49"/>
    <w:rsid w:val="00B27BFD"/>
    <w:rsid w:val="00B31260"/>
    <w:rsid w:val="00B3195A"/>
    <w:rsid w:val="00B31994"/>
    <w:rsid w:val="00B319F8"/>
    <w:rsid w:val="00B33C07"/>
    <w:rsid w:val="00B3546D"/>
    <w:rsid w:val="00B3622E"/>
    <w:rsid w:val="00B40722"/>
    <w:rsid w:val="00B40890"/>
    <w:rsid w:val="00B41CC9"/>
    <w:rsid w:val="00B43465"/>
    <w:rsid w:val="00B43976"/>
    <w:rsid w:val="00B43D3B"/>
    <w:rsid w:val="00B440B2"/>
    <w:rsid w:val="00B46B4C"/>
    <w:rsid w:val="00B509FB"/>
    <w:rsid w:val="00B50FF5"/>
    <w:rsid w:val="00B516DB"/>
    <w:rsid w:val="00B52A17"/>
    <w:rsid w:val="00B52F1B"/>
    <w:rsid w:val="00B5458B"/>
    <w:rsid w:val="00B5520A"/>
    <w:rsid w:val="00B55987"/>
    <w:rsid w:val="00B56FBC"/>
    <w:rsid w:val="00B57EE4"/>
    <w:rsid w:val="00B62302"/>
    <w:rsid w:val="00B632A3"/>
    <w:rsid w:val="00B64CA7"/>
    <w:rsid w:val="00B6722B"/>
    <w:rsid w:val="00B70FC8"/>
    <w:rsid w:val="00B712D0"/>
    <w:rsid w:val="00B71713"/>
    <w:rsid w:val="00B722C7"/>
    <w:rsid w:val="00B756A9"/>
    <w:rsid w:val="00B75FAB"/>
    <w:rsid w:val="00B76575"/>
    <w:rsid w:val="00B76F4B"/>
    <w:rsid w:val="00B81520"/>
    <w:rsid w:val="00B8184B"/>
    <w:rsid w:val="00B818EB"/>
    <w:rsid w:val="00B84473"/>
    <w:rsid w:val="00B8465B"/>
    <w:rsid w:val="00B84FF5"/>
    <w:rsid w:val="00B8503D"/>
    <w:rsid w:val="00B87D57"/>
    <w:rsid w:val="00B923BE"/>
    <w:rsid w:val="00B9292C"/>
    <w:rsid w:val="00B937BE"/>
    <w:rsid w:val="00B93D57"/>
    <w:rsid w:val="00B95B41"/>
    <w:rsid w:val="00B96CE1"/>
    <w:rsid w:val="00BA0CE5"/>
    <w:rsid w:val="00BA2CD0"/>
    <w:rsid w:val="00BA3412"/>
    <w:rsid w:val="00BA525D"/>
    <w:rsid w:val="00BA657E"/>
    <w:rsid w:val="00BA6835"/>
    <w:rsid w:val="00BB0B79"/>
    <w:rsid w:val="00BB3A3A"/>
    <w:rsid w:val="00BB61CF"/>
    <w:rsid w:val="00BB68CD"/>
    <w:rsid w:val="00BB7397"/>
    <w:rsid w:val="00BB788F"/>
    <w:rsid w:val="00BC0222"/>
    <w:rsid w:val="00BC3F5B"/>
    <w:rsid w:val="00BC4231"/>
    <w:rsid w:val="00BC528F"/>
    <w:rsid w:val="00BC55EF"/>
    <w:rsid w:val="00BC5649"/>
    <w:rsid w:val="00BC7204"/>
    <w:rsid w:val="00BC7B08"/>
    <w:rsid w:val="00BD3728"/>
    <w:rsid w:val="00BD3F80"/>
    <w:rsid w:val="00BD6EEE"/>
    <w:rsid w:val="00BE05D8"/>
    <w:rsid w:val="00BE09F3"/>
    <w:rsid w:val="00BE0C68"/>
    <w:rsid w:val="00BE320E"/>
    <w:rsid w:val="00BE3636"/>
    <w:rsid w:val="00BE4343"/>
    <w:rsid w:val="00BE44FA"/>
    <w:rsid w:val="00BE4BE4"/>
    <w:rsid w:val="00BE517A"/>
    <w:rsid w:val="00BF1C44"/>
    <w:rsid w:val="00BF2977"/>
    <w:rsid w:val="00BF309E"/>
    <w:rsid w:val="00BF3978"/>
    <w:rsid w:val="00BF3BC6"/>
    <w:rsid w:val="00BF41FA"/>
    <w:rsid w:val="00BF5CC3"/>
    <w:rsid w:val="00BF6E9C"/>
    <w:rsid w:val="00BF74B8"/>
    <w:rsid w:val="00C01058"/>
    <w:rsid w:val="00C01D30"/>
    <w:rsid w:val="00C02558"/>
    <w:rsid w:val="00C04C2C"/>
    <w:rsid w:val="00C05976"/>
    <w:rsid w:val="00C06827"/>
    <w:rsid w:val="00C11782"/>
    <w:rsid w:val="00C14961"/>
    <w:rsid w:val="00C1604E"/>
    <w:rsid w:val="00C17B13"/>
    <w:rsid w:val="00C20ACF"/>
    <w:rsid w:val="00C21D87"/>
    <w:rsid w:val="00C23677"/>
    <w:rsid w:val="00C24972"/>
    <w:rsid w:val="00C24B96"/>
    <w:rsid w:val="00C26649"/>
    <w:rsid w:val="00C267DD"/>
    <w:rsid w:val="00C3055C"/>
    <w:rsid w:val="00C3125C"/>
    <w:rsid w:val="00C31A86"/>
    <w:rsid w:val="00C3226E"/>
    <w:rsid w:val="00C33018"/>
    <w:rsid w:val="00C3434D"/>
    <w:rsid w:val="00C36450"/>
    <w:rsid w:val="00C37452"/>
    <w:rsid w:val="00C37760"/>
    <w:rsid w:val="00C40835"/>
    <w:rsid w:val="00C40D44"/>
    <w:rsid w:val="00C41B42"/>
    <w:rsid w:val="00C439BF"/>
    <w:rsid w:val="00C4486F"/>
    <w:rsid w:val="00C45455"/>
    <w:rsid w:val="00C45CF2"/>
    <w:rsid w:val="00C461E6"/>
    <w:rsid w:val="00C5021D"/>
    <w:rsid w:val="00C52487"/>
    <w:rsid w:val="00C53E8C"/>
    <w:rsid w:val="00C541AC"/>
    <w:rsid w:val="00C553BE"/>
    <w:rsid w:val="00C5750D"/>
    <w:rsid w:val="00C5785D"/>
    <w:rsid w:val="00C62EE0"/>
    <w:rsid w:val="00C63A40"/>
    <w:rsid w:val="00C65542"/>
    <w:rsid w:val="00C6663F"/>
    <w:rsid w:val="00C66996"/>
    <w:rsid w:val="00C67598"/>
    <w:rsid w:val="00C71E4B"/>
    <w:rsid w:val="00C722E4"/>
    <w:rsid w:val="00C74370"/>
    <w:rsid w:val="00C772C8"/>
    <w:rsid w:val="00C77E43"/>
    <w:rsid w:val="00C826AF"/>
    <w:rsid w:val="00C82D8E"/>
    <w:rsid w:val="00C83002"/>
    <w:rsid w:val="00C83E55"/>
    <w:rsid w:val="00C85131"/>
    <w:rsid w:val="00C861C1"/>
    <w:rsid w:val="00C91DF4"/>
    <w:rsid w:val="00C922F6"/>
    <w:rsid w:val="00C949E1"/>
    <w:rsid w:val="00C94C21"/>
    <w:rsid w:val="00C95269"/>
    <w:rsid w:val="00C967E5"/>
    <w:rsid w:val="00C97483"/>
    <w:rsid w:val="00CA0795"/>
    <w:rsid w:val="00CA13C3"/>
    <w:rsid w:val="00CA19D7"/>
    <w:rsid w:val="00CA207A"/>
    <w:rsid w:val="00CA2C99"/>
    <w:rsid w:val="00CA2CE9"/>
    <w:rsid w:val="00CA3654"/>
    <w:rsid w:val="00CA3B03"/>
    <w:rsid w:val="00CA44AB"/>
    <w:rsid w:val="00CA6069"/>
    <w:rsid w:val="00CB0270"/>
    <w:rsid w:val="00CB4A5A"/>
    <w:rsid w:val="00CB6196"/>
    <w:rsid w:val="00CB6BCB"/>
    <w:rsid w:val="00CB7251"/>
    <w:rsid w:val="00CC14E4"/>
    <w:rsid w:val="00CC16AA"/>
    <w:rsid w:val="00CC353E"/>
    <w:rsid w:val="00CC3C46"/>
    <w:rsid w:val="00CC4507"/>
    <w:rsid w:val="00CC6303"/>
    <w:rsid w:val="00CC74E5"/>
    <w:rsid w:val="00CD1B39"/>
    <w:rsid w:val="00CD1E1F"/>
    <w:rsid w:val="00CD31C3"/>
    <w:rsid w:val="00CD424F"/>
    <w:rsid w:val="00CD48F4"/>
    <w:rsid w:val="00CD6D5A"/>
    <w:rsid w:val="00CD7164"/>
    <w:rsid w:val="00CD740C"/>
    <w:rsid w:val="00CE00A3"/>
    <w:rsid w:val="00CE0325"/>
    <w:rsid w:val="00CE0D9D"/>
    <w:rsid w:val="00CE14D4"/>
    <w:rsid w:val="00CE2B42"/>
    <w:rsid w:val="00CE3CF6"/>
    <w:rsid w:val="00CE7987"/>
    <w:rsid w:val="00CF2E90"/>
    <w:rsid w:val="00CF3A7A"/>
    <w:rsid w:val="00CF40A7"/>
    <w:rsid w:val="00CF47F3"/>
    <w:rsid w:val="00CF7299"/>
    <w:rsid w:val="00CF7434"/>
    <w:rsid w:val="00D000F0"/>
    <w:rsid w:val="00D01272"/>
    <w:rsid w:val="00D0263B"/>
    <w:rsid w:val="00D0309B"/>
    <w:rsid w:val="00D0369B"/>
    <w:rsid w:val="00D03D10"/>
    <w:rsid w:val="00D041AD"/>
    <w:rsid w:val="00D042B6"/>
    <w:rsid w:val="00D050DD"/>
    <w:rsid w:val="00D05230"/>
    <w:rsid w:val="00D057C9"/>
    <w:rsid w:val="00D05E51"/>
    <w:rsid w:val="00D0659C"/>
    <w:rsid w:val="00D078A1"/>
    <w:rsid w:val="00D121E5"/>
    <w:rsid w:val="00D1273D"/>
    <w:rsid w:val="00D1442D"/>
    <w:rsid w:val="00D14666"/>
    <w:rsid w:val="00D147EB"/>
    <w:rsid w:val="00D156E5"/>
    <w:rsid w:val="00D15DDC"/>
    <w:rsid w:val="00D16D57"/>
    <w:rsid w:val="00D177BC"/>
    <w:rsid w:val="00D17B99"/>
    <w:rsid w:val="00D2060A"/>
    <w:rsid w:val="00D20CD7"/>
    <w:rsid w:val="00D23A77"/>
    <w:rsid w:val="00D24255"/>
    <w:rsid w:val="00D2440C"/>
    <w:rsid w:val="00D2651F"/>
    <w:rsid w:val="00D27A64"/>
    <w:rsid w:val="00D306F3"/>
    <w:rsid w:val="00D32B01"/>
    <w:rsid w:val="00D33BEB"/>
    <w:rsid w:val="00D35632"/>
    <w:rsid w:val="00D359FC"/>
    <w:rsid w:val="00D41AA3"/>
    <w:rsid w:val="00D4246D"/>
    <w:rsid w:val="00D4399A"/>
    <w:rsid w:val="00D43EFB"/>
    <w:rsid w:val="00D45193"/>
    <w:rsid w:val="00D46BBB"/>
    <w:rsid w:val="00D473C0"/>
    <w:rsid w:val="00D477B5"/>
    <w:rsid w:val="00D50E4C"/>
    <w:rsid w:val="00D50E74"/>
    <w:rsid w:val="00D55B8D"/>
    <w:rsid w:val="00D606F0"/>
    <w:rsid w:val="00D60B19"/>
    <w:rsid w:val="00D61040"/>
    <w:rsid w:val="00D62C18"/>
    <w:rsid w:val="00D632B5"/>
    <w:rsid w:val="00D65492"/>
    <w:rsid w:val="00D664F3"/>
    <w:rsid w:val="00D704F7"/>
    <w:rsid w:val="00D70E1B"/>
    <w:rsid w:val="00D75260"/>
    <w:rsid w:val="00D75358"/>
    <w:rsid w:val="00D7651B"/>
    <w:rsid w:val="00D80C2E"/>
    <w:rsid w:val="00D8102D"/>
    <w:rsid w:val="00D81390"/>
    <w:rsid w:val="00D82E71"/>
    <w:rsid w:val="00D83E2F"/>
    <w:rsid w:val="00D85DCE"/>
    <w:rsid w:val="00D8764F"/>
    <w:rsid w:val="00D87BBB"/>
    <w:rsid w:val="00D912B1"/>
    <w:rsid w:val="00D944A4"/>
    <w:rsid w:val="00DA2F3A"/>
    <w:rsid w:val="00DA5DF8"/>
    <w:rsid w:val="00DA62C6"/>
    <w:rsid w:val="00DB01CE"/>
    <w:rsid w:val="00DB1AAD"/>
    <w:rsid w:val="00DB2ABA"/>
    <w:rsid w:val="00DB44B0"/>
    <w:rsid w:val="00DB4848"/>
    <w:rsid w:val="00DB4E32"/>
    <w:rsid w:val="00DB574B"/>
    <w:rsid w:val="00DB63B9"/>
    <w:rsid w:val="00DB7BC2"/>
    <w:rsid w:val="00DC0011"/>
    <w:rsid w:val="00DC14D7"/>
    <w:rsid w:val="00DD02AB"/>
    <w:rsid w:val="00DD2256"/>
    <w:rsid w:val="00DD2393"/>
    <w:rsid w:val="00DD4980"/>
    <w:rsid w:val="00DD60E5"/>
    <w:rsid w:val="00DD7CDF"/>
    <w:rsid w:val="00DE0E77"/>
    <w:rsid w:val="00DE27B2"/>
    <w:rsid w:val="00DE3623"/>
    <w:rsid w:val="00DE42A2"/>
    <w:rsid w:val="00DE4791"/>
    <w:rsid w:val="00DE587C"/>
    <w:rsid w:val="00DE6093"/>
    <w:rsid w:val="00DF0395"/>
    <w:rsid w:val="00DF2479"/>
    <w:rsid w:val="00DF4002"/>
    <w:rsid w:val="00DF5418"/>
    <w:rsid w:val="00DF5B54"/>
    <w:rsid w:val="00DF6C15"/>
    <w:rsid w:val="00E034A7"/>
    <w:rsid w:val="00E04AF5"/>
    <w:rsid w:val="00E05863"/>
    <w:rsid w:val="00E0672A"/>
    <w:rsid w:val="00E1053D"/>
    <w:rsid w:val="00E10794"/>
    <w:rsid w:val="00E12271"/>
    <w:rsid w:val="00E129A6"/>
    <w:rsid w:val="00E12FC6"/>
    <w:rsid w:val="00E13AE0"/>
    <w:rsid w:val="00E13BBE"/>
    <w:rsid w:val="00E15B9B"/>
    <w:rsid w:val="00E16425"/>
    <w:rsid w:val="00E165C9"/>
    <w:rsid w:val="00E177DE"/>
    <w:rsid w:val="00E207AF"/>
    <w:rsid w:val="00E2337A"/>
    <w:rsid w:val="00E2422B"/>
    <w:rsid w:val="00E24823"/>
    <w:rsid w:val="00E24C80"/>
    <w:rsid w:val="00E27A85"/>
    <w:rsid w:val="00E32A46"/>
    <w:rsid w:val="00E32DB2"/>
    <w:rsid w:val="00E3474A"/>
    <w:rsid w:val="00E461F1"/>
    <w:rsid w:val="00E46C46"/>
    <w:rsid w:val="00E472C5"/>
    <w:rsid w:val="00E5049F"/>
    <w:rsid w:val="00E532A2"/>
    <w:rsid w:val="00E535EE"/>
    <w:rsid w:val="00E553AD"/>
    <w:rsid w:val="00E564A1"/>
    <w:rsid w:val="00E57F0C"/>
    <w:rsid w:val="00E60C9D"/>
    <w:rsid w:val="00E60DB9"/>
    <w:rsid w:val="00E63CC0"/>
    <w:rsid w:val="00E66A0C"/>
    <w:rsid w:val="00E675BE"/>
    <w:rsid w:val="00E7042B"/>
    <w:rsid w:val="00E71719"/>
    <w:rsid w:val="00E72F02"/>
    <w:rsid w:val="00E738C0"/>
    <w:rsid w:val="00E76692"/>
    <w:rsid w:val="00E77306"/>
    <w:rsid w:val="00E80B62"/>
    <w:rsid w:val="00E80E9B"/>
    <w:rsid w:val="00E81442"/>
    <w:rsid w:val="00E829A3"/>
    <w:rsid w:val="00E84508"/>
    <w:rsid w:val="00E86CDC"/>
    <w:rsid w:val="00E87D80"/>
    <w:rsid w:val="00E931DC"/>
    <w:rsid w:val="00EA0248"/>
    <w:rsid w:val="00EA12B1"/>
    <w:rsid w:val="00EA2165"/>
    <w:rsid w:val="00EA34CE"/>
    <w:rsid w:val="00EA4808"/>
    <w:rsid w:val="00EB1AC1"/>
    <w:rsid w:val="00EB4803"/>
    <w:rsid w:val="00EB5D54"/>
    <w:rsid w:val="00EC19AA"/>
    <w:rsid w:val="00EC21C0"/>
    <w:rsid w:val="00EC2AEC"/>
    <w:rsid w:val="00EC3C23"/>
    <w:rsid w:val="00EC3D25"/>
    <w:rsid w:val="00EC3F34"/>
    <w:rsid w:val="00EC466F"/>
    <w:rsid w:val="00EC5193"/>
    <w:rsid w:val="00EC6394"/>
    <w:rsid w:val="00EC6D23"/>
    <w:rsid w:val="00EC7219"/>
    <w:rsid w:val="00ED1F3B"/>
    <w:rsid w:val="00ED2CD1"/>
    <w:rsid w:val="00ED5237"/>
    <w:rsid w:val="00ED6914"/>
    <w:rsid w:val="00ED7219"/>
    <w:rsid w:val="00EE4281"/>
    <w:rsid w:val="00EE43E2"/>
    <w:rsid w:val="00EE4DD8"/>
    <w:rsid w:val="00EE4E95"/>
    <w:rsid w:val="00EE5E9C"/>
    <w:rsid w:val="00EE662E"/>
    <w:rsid w:val="00EF2BB1"/>
    <w:rsid w:val="00EF3E07"/>
    <w:rsid w:val="00F000FB"/>
    <w:rsid w:val="00F0258D"/>
    <w:rsid w:val="00F05A22"/>
    <w:rsid w:val="00F05C68"/>
    <w:rsid w:val="00F0696F"/>
    <w:rsid w:val="00F105B7"/>
    <w:rsid w:val="00F11797"/>
    <w:rsid w:val="00F117EA"/>
    <w:rsid w:val="00F120F0"/>
    <w:rsid w:val="00F12899"/>
    <w:rsid w:val="00F13E3B"/>
    <w:rsid w:val="00F16864"/>
    <w:rsid w:val="00F17C34"/>
    <w:rsid w:val="00F21799"/>
    <w:rsid w:val="00F21EB4"/>
    <w:rsid w:val="00F22C61"/>
    <w:rsid w:val="00F25F18"/>
    <w:rsid w:val="00F26FA6"/>
    <w:rsid w:val="00F30BA4"/>
    <w:rsid w:val="00F31326"/>
    <w:rsid w:val="00F33D25"/>
    <w:rsid w:val="00F362C5"/>
    <w:rsid w:val="00F36C7D"/>
    <w:rsid w:val="00F40558"/>
    <w:rsid w:val="00F446AC"/>
    <w:rsid w:val="00F459FA"/>
    <w:rsid w:val="00F45C55"/>
    <w:rsid w:val="00F46706"/>
    <w:rsid w:val="00F4712B"/>
    <w:rsid w:val="00F50B42"/>
    <w:rsid w:val="00F563E0"/>
    <w:rsid w:val="00F57002"/>
    <w:rsid w:val="00F62B10"/>
    <w:rsid w:val="00F62D9F"/>
    <w:rsid w:val="00F6306B"/>
    <w:rsid w:val="00F639C8"/>
    <w:rsid w:val="00F65AD8"/>
    <w:rsid w:val="00F66A05"/>
    <w:rsid w:val="00F70B7F"/>
    <w:rsid w:val="00F720AE"/>
    <w:rsid w:val="00F72C4D"/>
    <w:rsid w:val="00F738E9"/>
    <w:rsid w:val="00F73E6B"/>
    <w:rsid w:val="00F7428B"/>
    <w:rsid w:val="00F74E49"/>
    <w:rsid w:val="00F758FB"/>
    <w:rsid w:val="00F76564"/>
    <w:rsid w:val="00F766CD"/>
    <w:rsid w:val="00F76BB3"/>
    <w:rsid w:val="00F77604"/>
    <w:rsid w:val="00F810C5"/>
    <w:rsid w:val="00F821A9"/>
    <w:rsid w:val="00F82EF7"/>
    <w:rsid w:val="00F83C8A"/>
    <w:rsid w:val="00F8579C"/>
    <w:rsid w:val="00F85C3A"/>
    <w:rsid w:val="00F85EFE"/>
    <w:rsid w:val="00F87A21"/>
    <w:rsid w:val="00F87BFB"/>
    <w:rsid w:val="00F9044E"/>
    <w:rsid w:val="00F90A99"/>
    <w:rsid w:val="00F924F5"/>
    <w:rsid w:val="00F92599"/>
    <w:rsid w:val="00F92D1C"/>
    <w:rsid w:val="00F93ADD"/>
    <w:rsid w:val="00F96301"/>
    <w:rsid w:val="00F96978"/>
    <w:rsid w:val="00F9787F"/>
    <w:rsid w:val="00FA07D5"/>
    <w:rsid w:val="00FA15E0"/>
    <w:rsid w:val="00FA23E0"/>
    <w:rsid w:val="00FA3EB8"/>
    <w:rsid w:val="00FA52EA"/>
    <w:rsid w:val="00FA6A73"/>
    <w:rsid w:val="00FA6EF1"/>
    <w:rsid w:val="00FA7414"/>
    <w:rsid w:val="00FB0C41"/>
    <w:rsid w:val="00FB14D0"/>
    <w:rsid w:val="00FB2263"/>
    <w:rsid w:val="00FB5271"/>
    <w:rsid w:val="00FB61D2"/>
    <w:rsid w:val="00FB6BE5"/>
    <w:rsid w:val="00FB6D84"/>
    <w:rsid w:val="00FC23EB"/>
    <w:rsid w:val="00FC430C"/>
    <w:rsid w:val="00FD036F"/>
    <w:rsid w:val="00FD056E"/>
    <w:rsid w:val="00FD080B"/>
    <w:rsid w:val="00FD208F"/>
    <w:rsid w:val="00FD243E"/>
    <w:rsid w:val="00FD40D7"/>
    <w:rsid w:val="00FD495A"/>
    <w:rsid w:val="00FD5F2B"/>
    <w:rsid w:val="00FE0FCD"/>
    <w:rsid w:val="00FE27B3"/>
    <w:rsid w:val="00FE3954"/>
    <w:rsid w:val="00FF29AD"/>
    <w:rsid w:val="00FF3B3C"/>
    <w:rsid w:val="00FF3E8A"/>
    <w:rsid w:val="00FF471C"/>
    <w:rsid w:val="00FF6C9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D1273D"/>
    <w:rPr>
      <w:sz w:val="24"/>
      <w:szCs w:val="24"/>
      <w:lang w:eastAsia="en-US"/>
    </w:rPr>
  </w:style>
  <w:style w:type="paragraph" w:styleId="Virsraksts1">
    <w:name w:val="heading 1"/>
    <w:basedOn w:val="Parastais"/>
    <w:next w:val="Parastais"/>
    <w:link w:val="Virsraksts1Rakstz"/>
    <w:uiPriority w:val="99"/>
    <w:qFormat/>
    <w:rsid w:val="00D1273D"/>
    <w:pPr>
      <w:keepNext/>
      <w:jc w:val="center"/>
      <w:outlineLvl w:val="0"/>
    </w:pPr>
    <w:rPr>
      <w:b/>
      <w:sz w:val="28"/>
      <w:szCs w:val="20"/>
    </w:rPr>
  </w:style>
  <w:style w:type="paragraph" w:styleId="Virsraksts2">
    <w:name w:val="heading 2"/>
    <w:basedOn w:val="Parastais"/>
    <w:next w:val="Parastais"/>
    <w:link w:val="Virsraksts2Rakstz"/>
    <w:uiPriority w:val="99"/>
    <w:qFormat/>
    <w:rsid w:val="00D1273D"/>
    <w:pPr>
      <w:keepNext/>
      <w:jc w:val="center"/>
      <w:outlineLvl w:val="1"/>
    </w:pPr>
    <w:rPr>
      <w:sz w:val="28"/>
      <w:szCs w:val="20"/>
    </w:rPr>
  </w:style>
  <w:style w:type="paragraph" w:styleId="Virsraksts4">
    <w:name w:val="heading 4"/>
    <w:basedOn w:val="Parastais"/>
    <w:next w:val="Parastais"/>
    <w:link w:val="Virsraksts4Rakstz"/>
    <w:uiPriority w:val="99"/>
    <w:qFormat/>
    <w:rsid w:val="002B2650"/>
    <w:pPr>
      <w:keepNext/>
      <w:jc w:val="right"/>
      <w:outlineLvl w:val="3"/>
    </w:pPr>
    <w:rPr>
      <w:i/>
      <w:iCs/>
      <w:szCs w:val="20"/>
    </w:rPr>
  </w:style>
  <w:style w:type="paragraph" w:styleId="Virsraksts5">
    <w:name w:val="heading 5"/>
    <w:basedOn w:val="Parastais"/>
    <w:next w:val="Parastais"/>
    <w:link w:val="Virsraksts5Rakstz"/>
    <w:uiPriority w:val="99"/>
    <w:qFormat/>
    <w:rsid w:val="00D1273D"/>
    <w:pPr>
      <w:keepNext/>
      <w:jc w:val="center"/>
      <w:outlineLvl w:val="4"/>
    </w:pPr>
    <w:rPr>
      <w:szCs w:val="20"/>
    </w:rPr>
  </w:style>
  <w:style w:type="paragraph" w:styleId="Virsraksts7">
    <w:name w:val="heading 7"/>
    <w:basedOn w:val="Parastais"/>
    <w:next w:val="Parastais"/>
    <w:link w:val="Virsraksts7Rakstz"/>
    <w:uiPriority w:val="99"/>
    <w:qFormat/>
    <w:rsid w:val="00D1273D"/>
    <w:pPr>
      <w:keepNext/>
      <w:ind w:left="360"/>
      <w:outlineLvl w:val="6"/>
    </w:pPr>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1273D"/>
    <w:rPr>
      <w:rFonts w:ascii="Cambria" w:eastAsia="Times New Roman" w:hAnsi="Cambria" w:cs="Times New Roman"/>
      <w:b/>
      <w:bCs/>
      <w:kern w:val="32"/>
      <w:sz w:val="32"/>
      <w:szCs w:val="32"/>
      <w:lang w:val="lv-LV"/>
    </w:rPr>
  </w:style>
  <w:style w:type="character" w:customStyle="1" w:styleId="Virsraksts2Rakstz">
    <w:name w:val="Virsraksts 2 Rakstz."/>
    <w:basedOn w:val="Noklusjumarindkopasfonts"/>
    <w:link w:val="Virsraksts2"/>
    <w:uiPriority w:val="9"/>
    <w:semiHidden/>
    <w:rsid w:val="00D1273D"/>
    <w:rPr>
      <w:rFonts w:ascii="Cambria" w:eastAsia="Times New Roman" w:hAnsi="Cambria" w:cs="Times New Roman"/>
      <w:b/>
      <w:bCs/>
      <w:i/>
      <w:iCs/>
      <w:sz w:val="28"/>
      <w:szCs w:val="28"/>
      <w:lang w:val="lv-LV"/>
    </w:rPr>
  </w:style>
  <w:style w:type="character" w:customStyle="1" w:styleId="Virsraksts4Rakstz">
    <w:name w:val="Virsraksts 4 Rakstz."/>
    <w:basedOn w:val="Noklusjumarindkopasfonts"/>
    <w:link w:val="Virsraksts4"/>
    <w:uiPriority w:val="9"/>
    <w:semiHidden/>
    <w:rsid w:val="00D1273D"/>
    <w:rPr>
      <w:rFonts w:ascii="Calibri" w:eastAsia="Times New Roman" w:hAnsi="Calibri" w:cs="Times New Roman"/>
      <w:b/>
      <w:bCs/>
      <w:sz w:val="28"/>
      <w:szCs w:val="28"/>
      <w:lang w:val="lv-LV"/>
    </w:rPr>
  </w:style>
  <w:style w:type="character" w:customStyle="1" w:styleId="Virsraksts5Rakstz">
    <w:name w:val="Virsraksts 5 Rakstz."/>
    <w:basedOn w:val="Noklusjumarindkopasfonts"/>
    <w:link w:val="Virsraksts5"/>
    <w:uiPriority w:val="9"/>
    <w:semiHidden/>
    <w:rsid w:val="00D1273D"/>
    <w:rPr>
      <w:rFonts w:ascii="Calibri" w:eastAsia="Times New Roman" w:hAnsi="Calibri" w:cs="Times New Roman"/>
      <w:b/>
      <w:bCs/>
      <w:i/>
      <w:iCs/>
      <w:sz w:val="26"/>
      <w:szCs w:val="26"/>
      <w:lang w:val="lv-LV"/>
    </w:rPr>
  </w:style>
  <w:style w:type="character" w:customStyle="1" w:styleId="Virsraksts7Rakstz">
    <w:name w:val="Virsraksts 7 Rakstz."/>
    <w:basedOn w:val="Noklusjumarindkopasfonts"/>
    <w:link w:val="Virsraksts7"/>
    <w:uiPriority w:val="9"/>
    <w:semiHidden/>
    <w:rsid w:val="00D1273D"/>
    <w:rPr>
      <w:rFonts w:ascii="Calibri" w:eastAsia="Times New Roman" w:hAnsi="Calibri" w:cs="Times New Roman"/>
      <w:sz w:val="24"/>
      <w:szCs w:val="24"/>
      <w:lang w:val="lv-LV"/>
    </w:rPr>
  </w:style>
  <w:style w:type="paragraph" w:styleId="Balonteksts">
    <w:name w:val="Balloon Text"/>
    <w:basedOn w:val="Parastais"/>
    <w:link w:val="BalontekstsRakstz"/>
    <w:uiPriority w:val="99"/>
    <w:semiHidden/>
    <w:rsid w:val="005548BD"/>
    <w:rPr>
      <w:rFonts w:ascii="Tahoma" w:hAnsi="Tahoma" w:cs="Tahoma"/>
      <w:sz w:val="16"/>
      <w:szCs w:val="16"/>
    </w:rPr>
  </w:style>
  <w:style w:type="character" w:customStyle="1" w:styleId="VrestekstsRakstz">
    <w:name w:val="Vēres teksts Rakstz."/>
    <w:basedOn w:val="Noklusjumarindkopasfonts"/>
    <w:link w:val="Vresteksts"/>
    <w:uiPriority w:val="99"/>
    <w:semiHidden/>
    <w:locked/>
    <w:rsid w:val="007A7C8B"/>
    <w:rPr>
      <w:rFonts w:cs="Times New Roman"/>
      <w:lang w:val="lv-LV" w:eastAsia="lv-LV" w:bidi="ar-SA"/>
    </w:rPr>
  </w:style>
  <w:style w:type="paragraph" w:styleId="Adreseuzaploksnes">
    <w:name w:val="envelope address"/>
    <w:basedOn w:val="Parastais"/>
    <w:uiPriority w:val="99"/>
    <w:rsid w:val="00D1273D"/>
    <w:pPr>
      <w:framePr w:w="7920" w:h="1980" w:hRule="exact" w:hSpace="180" w:wrap="auto" w:hAnchor="page" w:xAlign="center" w:yAlign="bottom"/>
      <w:ind w:left="2880"/>
    </w:pPr>
    <w:rPr>
      <w:rFonts w:ascii="Garamond" w:hAnsi="Garamond" w:cs="Arial"/>
      <w:b/>
      <w:sz w:val="36"/>
      <w:szCs w:val="36"/>
    </w:rPr>
  </w:style>
  <w:style w:type="paragraph" w:styleId="Atpakaadreseuzaploksnes">
    <w:name w:val="envelope return"/>
    <w:basedOn w:val="Parastais"/>
    <w:uiPriority w:val="99"/>
    <w:rsid w:val="00D1273D"/>
    <w:rPr>
      <w:rFonts w:ascii="Garamond" w:hAnsi="Garamond" w:cs="Arial"/>
      <w:b/>
    </w:rPr>
  </w:style>
  <w:style w:type="paragraph" w:styleId="Pamatteksts2">
    <w:name w:val="Body Text 2"/>
    <w:basedOn w:val="Parastais"/>
    <w:link w:val="Pamatteksts2Rakstz"/>
    <w:uiPriority w:val="99"/>
    <w:rsid w:val="00D1273D"/>
    <w:pPr>
      <w:jc w:val="both"/>
    </w:pPr>
    <w:rPr>
      <w:sz w:val="28"/>
      <w:szCs w:val="20"/>
    </w:rPr>
  </w:style>
  <w:style w:type="character" w:customStyle="1" w:styleId="Pamatteksts2Rakstz">
    <w:name w:val="Pamatteksts 2 Rakstz."/>
    <w:basedOn w:val="Noklusjumarindkopasfonts"/>
    <w:link w:val="Pamatteksts2"/>
    <w:uiPriority w:val="99"/>
    <w:semiHidden/>
    <w:rsid w:val="00D1273D"/>
    <w:rPr>
      <w:sz w:val="24"/>
      <w:szCs w:val="24"/>
      <w:lang w:val="lv-LV"/>
    </w:rPr>
  </w:style>
  <w:style w:type="paragraph" w:styleId="ParastaisWeb">
    <w:name w:val="Normal (Web)"/>
    <w:basedOn w:val="Parastais"/>
    <w:uiPriority w:val="99"/>
    <w:rsid w:val="00D1273D"/>
    <w:pPr>
      <w:spacing w:before="100" w:beforeAutospacing="1" w:after="100" w:afterAutospacing="1"/>
    </w:pPr>
    <w:rPr>
      <w:lang w:val="en-GB"/>
    </w:rPr>
  </w:style>
  <w:style w:type="paragraph" w:customStyle="1" w:styleId="naisc">
    <w:name w:val="naisc"/>
    <w:basedOn w:val="Parastais"/>
    <w:rsid w:val="00D1273D"/>
    <w:pPr>
      <w:spacing w:before="100" w:beforeAutospacing="1" w:after="100" w:afterAutospacing="1"/>
      <w:jc w:val="center"/>
    </w:pPr>
    <w:rPr>
      <w:lang w:val="en-GB"/>
    </w:rPr>
  </w:style>
  <w:style w:type="paragraph" w:styleId="Galvene">
    <w:name w:val="header"/>
    <w:basedOn w:val="Parastais"/>
    <w:link w:val="GalveneRakstz"/>
    <w:uiPriority w:val="99"/>
    <w:rsid w:val="00D1273D"/>
    <w:pPr>
      <w:tabs>
        <w:tab w:val="center" w:pos="4153"/>
        <w:tab w:val="right" w:pos="8306"/>
      </w:tabs>
    </w:pPr>
  </w:style>
  <w:style w:type="character" w:customStyle="1" w:styleId="GalveneRakstz">
    <w:name w:val="Galvene Rakstz."/>
    <w:basedOn w:val="Noklusjumarindkopasfonts"/>
    <w:link w:val="Galvene"/>
    <w:uiPriority w:val="99"/>
    <w:semiHidden/>
    <w:rsid w:val="00D1273D"/>
    <w:rPr>
      <w:sz w:val="24"/>
      <w:szCs w:val="24"/>
      <w:lang w:val="lv-LV"/>
    </w:rPr>
  </w:style>
  <w:style w:type="paragraph" w:styleId="Kjene">
    <w:name w:val="footer"/>
    <w:basedOn w:val="Parastais"/>
    <w:link w:val="KjeneRakstz"/>
    <w:uiPriority w:val="99"/>
    <w:rsid w:val="00D1273D"/>
    <w:pPr>
      <w:tabs>
        <w:tab w:val="center" w:pos="4153"/>
        <w:tab w:val="right" w:pos="8306"/>
      </w:tabs>
    </w:pPr>
  </w:style>
  <w:style w:type="character" w:customStyle="1" w:styleId="KjeneRakstz">
    <w:name w:val="Kājene Rakstz."/>
    <w:basedOn w:val="Noklusjumarindkopasfonts"/>
    <w:link w:val="Kjene"/>
    <w:uiPriority w:val="99"/>
    <w:semiHidden/>
    <w:rsid w:val="00D1273D"/>
    <w:rPr>
      <w:sz w:val="24"/>
      <w:szCs w:val="24"/>
      <w:lang w:val="lv-LV"/>
    </w:rPr>
  </w:style>
  <w:style w:type="character" w:styleId="Lappusesnumurs">
    <w:name w:val="page number"/>
    <w:basedOn w:val="Noklusjumarindkopasfonts"/>
    <w:uiPriority w:val="99"/>
    <w:rsid w:val="00D1273D"/>
    <w:rPr>
      <w:rFonts w:cs="Times New Roman"/>
    </w:rPr>
  </w:style>
  <w:style w:type="paragraph" w:styleId="Pamatteksts">
    <w:name w:val="Body Text"/>
    <w:basedOn w:val="Parastais"/>
    <w:link w:val="PamattekstsRakstz"/>
    <w:uiPriority w:val="99"/>
    <w:rsid w:val="00D1273D"/>
    <w:pPr>
      <w:jc w:val="both"/>
    </w:pPr>
  </w:style>
  <w:style w:type="character" w:customStyle="1" w:styleId="PamattekstsRakstz">
    <w:name w:val="Pamatteksts Rakstz."/>
    <w:basedOn w:val="Noklusjumarindkopasfonts"/>
    <w:link w:val="Pamatteksts"/>
    <w:uiPriority w:val="99"/>
    <w:semiHidden/>
    <w:rsid w:val="00D1273D"/>
    <w:rPr>
      <w:sz w:val="24"/>
      <w:szCs w:val="24"/>
      <w:lang w:val="lv-LV"/>
    </w:rPr>
  </w:style>
  <w:style w:type="character" w:styleId="Hipersaite">
    <w:name w:val="Hyperlink"/>
    <w:basedOn w:val="Noklusjumarindkopasfonts"/>
    <w:uiPriority w:val="99"/>
    <w:rsid w:val="00D1273D"/>
    <w:rPr>
      <w:rFonts w:cs="Times New Roman"/>
      <w:color w:val="0000FF"/>
      <w:u w:val="single"/>
    </w:rPr>
  </w:style>
  <w:style w:type="paragraph" w:customStyle="1" w:styleId="naisf">
    <w:name w:val="naisf"/>
    <w:basedOn w:val="Parastais"/>
    <w:uiPriority w:val="99"/>
    <w:rsid w:val="00FC430C"/>
    <w:pPr>
      <w:spacing w:before="100" w:beforeAutospacing="1" w:after="100" w:afterAutospacing="1"/>
      <w:jc w:val="both"/>
    </w:pPr>
    <w:rPr>
      <w:rFonts w:eastAsia="Arial Unicode MS"/>
      <w:lang w:val="en-GB"/>
    </w:rPr>
  </w:style>
  <w:style w:type="paragraph" w:customStyle="1" w:styleId="G4">
    <w:name w:val="G4"/>
    <w:basedOn w:val="Parastais"/>
    <w:autoRedefine/>
    <w:uiPriority w:val="99"/>
    <w:rsid w:val="001D3987"/>
    <w:pPr>
      <w:jc w:val="both"/>
    </w:pPr>
  </w:style>
  <w:style w:type="paragraph" w:customStyle="1" w:styleId="xl24">
    <w:name w:val="xl24"/>
    <w:basedOn w:val="Parastais"/>
    <w:uiPriority w:val="99"/>
    <w:rsid w:val="002B2650"/>
    <w:pPr>
      <w:pBdr>
        <w:bottom w:val="single" w:sz="4" w:space="0" w:color="auto"/>
        <w:right w:val="single" w:sz="4" w:space="0" w:color="auto"/>
      </w:pBdr>
      <w:spacing w:before="100" w:beforeAutospacing="1" w:after="100" w:afterAutospacing="1"/>
      <w:jc w:val="center"/>
      <w:textAlignment w:val="top"/>
    </w:pPr>
    <w:rPr>
      <w:rFonts w:eastAsia="Arial Unicode MS"/>
      <w:sz w:val="28"/>
      <w:szCs w:val="28"/>
      <w:lang w:val="en-GB"/>
    </w:rPr>
  </w:style>
  <w:style w:type="character" w:styleId="Izmantotahipersaite">
    <w:name w:val="FollowedHyperlink"/>
    <w:basedOn w:val="Noklusjumarindkopasfonts"/>
    <w:uiPriority w:val="99"/>
    <w:rsid w:val="00184C32"/>
    <w:rPr>
      <w:rFonts w:cs="Times New Roman"/>
      <w:color w:val="800080"/>
      <w:u w:val="single"/>
    </w:rPr>
  </w:style>
  <w:style w:type="character" w:styleId="Izteiksmgs">
    <w:name w:val="Strong"/>
    <w:basedOn w:val="Noklusjumarindkopasfonts"/>
    <w:uiPriority w:val="22"/>
    <w:qFormat/>
    <w:rsid w:val="00EC21C0"/>
    <w:rPr>
      <w:rFonts w:cs="Times New Roman"/>
      <w:b/>
      <w:bCs/>
    </w:rPr>
  </w:style>
  <w:style w:type="paragraph" w:styleId="Pamattekstsaratkpi">
    <w:name w:val="Body Text Indent"/>
    <w:basedOn w:val="Parastais"/>
    <w:link w:val="PamattekstsaratkpiRakstz"/>
    <w:uiPriority w:val="99"/>
    <w:rsid w:val="001F6BC5"/>
    <w:pPr>
      <w:spacing w:after="120"/>
      <w:ind w:left="283"/>
    </w:pPr>
  </w:style>
  <w:style w:type="character" w:customStyle="1" w:styleId="PamattekstsaratkpiRakstz">
    <w:name w:val="Pamatteksts ar atkāpi Rakstz."/>
    <w:basedOn w:val="Noklusjumarindkopasfonts"/>
    <w:link w:val="Pamattekstsaratkpi"/>
    <w:uiPriority w:val="99"/>
    <w:semiHidden/>
    <w:rsid w:val="00D1273D"/>
    <w:rPr>
      <w:sz w:val="24"/>
      <w:szCs w:val="24"/>
      <w:lang w:val="lv-LV"/>
    </w:rPr>
  </w:style>
  <w:style w:type="paragraph" w:styleId="Vresteksts">
    <w:name w:val="footnote text"/>
    <w:basedOn w:val="Parastais"/>
    <w:link w:val="VrestekstsRakstz"/>
    <w:uiPriority w:val="99"/>
    <w:semiHidden/>
    <w:rsid w:val="0059541B"/>
    <w:rPr>
      <w:sz w:val="20"/>
      <w:szCs w:val="20"/>
      <w:lang w:eastAsia="lv-LV"/>
    </w:rPr>
  </w:style>
  <w:style w:type="paragraph" w:customStyle="1" w:styleId="CharChar4Char1">
    <w:name w:val="Char Char4 Char1"/>
    <w:basedOn w:val="Parastais"/>
    <w:next w:val="Tekstabloks"/>
    <w:uiPriority w:val="99"/>
    <w:rsid w:val="00640263"/>
    <w:pPr>
      <w:spacing w:before="120" w:after="160" w:line="240" w:lineRule="exact"/>
      <w:ind w:firstLine="720"/>
      <w:jc w:val="both"/>
    </w:pPr>
    <w:rPr>
      <w:rFonts w:ascii="Verdana" w:hAnsi="Verdana"/>
      <w:sz w:val="20"/>
      <w:szCs w:val="20"/>
      <w:lang w:val="en-US"/>
    </w:rPr>
  </w:style>
  <w:style w:type="character" w:styleId="Vresatsauce">
    <w:name w:val="footnote reference"/>
    <w:basedOn w:val="Noklusjumarindkopasfonts"/>
    <w:uiPriority w:val="99"/>
    <w:semiHidden/>
    <w:rsid w:val="0059541B"/>
    <w:rPr>
      <w:rFonts w:cs="Times New Roman"/>
      <w:vertAlign w:val="superscript"/>
    </w:rPr>
  </w:style>
  <w:style w:type="character" w:styleId="Komentraatsauce">
    <w:name w:val="annotation reference"/>
    <w:basedOn w:val="Noklusjumarindkopasfonts"/>
    <w:uiPriority w:val="99"/>
    <w:semiHidden/>
    <w:rsid w:val="00162A40"/>
    <w:rPr>
      <w:rFonts w:cs="Times New Roman"/>
      <w:sz w:val="16"/>
      <w:szCs w:val="16"/>
    </w:rPr>
  </w:style>
  <w:style w:type="paragraph" w:styleId="Komentrateksts">
    <w:name w:val="annotation text"/>
    <w:basedOn w:val="Parastais"/>
    <w:link w:val="KomentratekstsRakstz"/>
    <w:uiPriority w:val="99"/>
    <w:semiHidden/>
    <w:rsid w:val="00162A40"/>
    <w:rPr>
      <w:sz w:val="20"/>
      <w:szCs w:val="20"/>
    </w:rPr>
  </w:style>
  <w:style w:type="character" w:customStyle="1" w:styleId="KomentratekstsRakstz">
    <w:name w:val="Komentāra teksts Rakstz."/>
    <w:basedOn w:val="Noklusjumarindkopasfonts"/>
    <w:link w:val="Komentrateksts"/>
    <w:uiPriority w:val="99"/>
    <w:semiHidden/>
    <w:rsid w:val="00D1273D"/>
    <w:rPr>
      <w:sz w:val="20"/>
      <w:szCs w:val="20"/>
      <w:lang w:val="lv-LV"/>
    </w:rPr>
  </w:style>
  <w:style w:type="paragraph" w:styleId="Komentratma">
    <w:name w:val="annotation subject"/>
    <w:basedOn w:val="Komentrateksts"/>
    <w:next w:val="Komentrateksts"/>
    <w:link w:val="KomentratmaRakstz"/>
    <w:uiPriority w:val="99"/>
    <w:semiHidden/>
    <w:rsid w:val="00162A40"/>
    <w:rPr>
      <w:b/>
      <w:bCs/>
    </w:rPr>
  </w:style>
  <w:style w:type="character" w:customStyle="1" w:styleId="KomentratmaRakstz">
    <w:name w:val="Komentāra tēma Rakstz."/>
    <w:basedOn w:val="KomentratekstsRakstz"/>
    <w:link w:val="Komentratma"/>
    <w:uiPriority w:val="99"/>
    <w:semiHidden/>
    <w:rsid w:val="00D1273D"/>
    <w:rPr>
      <w:b/>
      <w:bCs/>
    </w:rPr>
  </w:style>
  <w:style w:type="paragraph" w:customStyle="1" w:styleId="CharChar4Char">
    <w:name w:val="Char Char4 Char"/>
    <w:basedOn w:val="Parastais"/>
    <w:next w:val="Tekstabloks"/>
    <w:uiPriority w:val="99"/>
    <w:rsid w:val="0032178A"/>
    <w:pPr>
      <w:spacing w:before="120" w:after="160" w:line="240" w:lineRule="exact"/>
      <w:ind w:firstLine="720"/>
      <w:jc w:val="both"/>
    </w:pPr>
    <w:rPr>
      <w:rFonts w:ascii="Verdana" w:hAnsi="Verdana"/>
      <w:sz w:val="20"/>
      <w:szCs w:val="20"/>
      <w:lang w:val="en-US"/>
    </w:rPr>
  </w:style>
  <w:style w:type="paragraph" w:styleId="Tekstabloks">
    <w:name w:val="Block Text"/>
    <w:basedOn w:val="Parastais"/>
    <w:uiPriority w:val="99"/>
    <w:rsid w:val="0032178A"/>
    <w:pPr>
      <w:spacing w:after="120"/>
      <w:ind w:left="1440" w:right="1440"/>
    </w:pPr>
  </w:style>
  <w:style w:type="paragraph" w:customStyle="1" w:styleId="EE-H3">
    <w:name w:val="EE-H3"/>
    <w:basedOn w:val="Parastais"/>
    <w:autoRedefine/>
    <w:uiPriority w:val="99"/>
    <w:rsid w:val="00D0369B"/>
    <w:pPr>
      <w:ind w:right="6"/>
      <w:jc w:val="both"/>
    </w:pPr>
    <w:rPr>
      <w:lang w:eastAsia="lv-LV"/>
    </w:rPr>
  </w:style>
  <w:style w:type="character" w:customStyle="1" w:styleId="BalontekstsRakstz">
    <w:name w:val="Balonteksts Rakstz."/>
    <w:basedOn w:val="Noklusjumarindkopasfonts"/>
    <w:link w:val="Balonteksts"/>
    <w:uiPriority w:val="99"/>
    <w:semiHidden/>
    <w:locked/>
    <w:rsid w:val="007C4095"/>
    <w:rPr>
      <w:rFonts w:ascii="Tahoma" w:hAnsi="Tahoma" w:cs="Tahoma"/>
      <w:sz w:val="16"/>
      <w:szCs w:val="16"/>
      <w:lang w:val="lv-LV" w:eastAsia="en-US" w:bidi="ar-SA"/>
    </w:rPr>
  </w:style>
  <w:style w:type="paragraph" w:customStyle="1" w:styleId="CharChar4CharCharCharChar">
    <w:name w:val="Char Char4 Char Char Char Char"/>
    <w:basedOn w:val="Parastais"/>
    <w:next w:val="Tekstabloks"/>
    <w:rsid w:val="007E21EC"/>
    <w:pPr>
      <w:spacing w:before="120" w:after="160" w:line="240" w:lineRule="exact"/>
      <w:ind w:firstLine="720"/>
      <w:jc w:val="both"/>
    </w:pPr>
    <w:rPr>
      <w:rFonts w:ascii="Verdana" w:hAnsi="Verdana"/>
      <w:sz w:val="20"/>
      <w:szCs w:val="20"/>
      <w:lang w:val="en-US"/>
    </w:rPr>
  </w:style>
  <w:style w:type="paragraph" w:customStyle="1" w:styleId="1">
    <w:name w:val="1"/>
    <w:basedOn w:val="Parastais"/>
    <w:rsid w:val="00FD495A"/>
    <w:pPr>
      <w:spacing w:after="160" w:line="240" w:lineRule="exact"/>
    </w:pPr>
    <w:rPr>
      <w:rFonts w:ascii="Tahoma" w:hAnsi="Tahoma"/>
      <w:sz w:val="20"/>
      <w:szCs w:val="20"/>
      <w:lang w:val="en-US"/>
    </w:rPr>
  </w:style>
  <w:style w:type="paragraph" w:customStyle="1" w:styleId="Default">
    <w:name w:val="Default"/>
    <w:rsid w:val="000518C5"/>
    <w:pPr>
      <w:autoSpaceDE w:val="0"/>
      <w:autoSpaceDN w:val="0"/>
      <w:adjustRightInd w:val="0"/>
    </w:pPr>
    <w:rPr>
      <w:color w:val="000000"/>
      <w:sz w:val="24"/>
      <w:szCs w:val="24"/>
    </w:rPr>
  </w:style>
  <w:style w:type="paragraph" w:customStyle="1" w:styleId="RakstzCharCharRakstzCharCharRakstz">
    <w:name w:val="Rakstz. Char Char Rakstz. Char Char Rakstz."/>
    <w:basedOn w:val="Parastais"/>
    <w:rsid w:val="00906472"/>
    <w:pPr>
      <w:spacing w:after="160" w:line="240" w:lineRule="exact"/>
    </w:pPr>
    <w:rPr>
      <w:rFonts w:ascii="Tahoma" w:hAnsi="Tahoma"/>
      <w:sz w:val="20"/>
      <w:szCs w:val="20"/>
      <w:lang w:val="en-US"/>
    </w:rPr>
  </w:style>
  <w:style w:type="paragraph" w:customStyle="1" w:styleId="naisnod">
    <w:name w:val="naisnod"/>
    <w:basedOn w:val="Parastais"/>
    <w:rsid w:val="00FB0C41"/>
    <w:pPr>
      <w:spacing w:before="100" w:beforeAutospacing="1" w:after="100" w:afterAutospacing="1"/>
    </w:pPr>
    <w:rPr>
      <w:lang w:eastAsia="lv-LV" w:bidi="lo-LA"/>
    </w:rPr>
  </w:style>
  <w:style w:type="paragraph" w:customStyle="1" w:styleId="naiskr">
    <w:name w:val="naiskr"/>
    <w:basedOn w:val="Parastais"/>
    <w:uiPriority w:val="99"/>
    <w:rsid w:val="00FB0C41"/>
    <w:pPr>
      <w:spacing w:before="100" w:beforeAutospacing="1" w:after="100" w:afterAutospacing="1"/>
    </w:pPr>
    <w:rPr>
      <w:lang w:eastAsia="lv-LV" w:bidi="lo-LA"/>
    </w:rPr>
  </w:style>
  <w:style w:type="paragraph" w:customStyle="1" w:styleId="naislab">
    <w:name w:val="naislab"/>
    <w:basedOn w:val="Parastais"/>
    <w:rsid w:val="00FB0C41"/>
    <w:pPr>
      <w:spacing w:before="100" w:beforeAutospacing="1" w:after="100" w:afterAutospacing="1"/>
    </w:pPr>
    <w:rPr>
      <w:lang w:eastAsia="lv-LV" w:bidi="lo-LA"/>
    </w:rPr>
  </w:style>
  <w:style w:type="character" w:customStyle="1" w:styleId="spelle">
    <w:name w:val="spelle"/>
    <w:basedOn w:val="Noklusjumarindkopasfonts"/>
    <w:rsid w:val="002F4AA1"/>
  </w:style>
  <w:style w:type="table" w:styleId="Reatabula">
    <w:name w:val="Table Grid"/>
    <w:basedOn w:val="Parastatabula"/>
    <w:uiPriority w:val="59"/>
    <w:rsid w:val="00BE09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vhtml">
    <w:name w:val="tv_html"/>
    <w:basedOn w:val="Parastais"/>
    <w:rsid w:val="00861B14"/>
    <w:pPr>
      <w:spacing w:before="100" w:beforeAutospacing="1" w:after="100" w:afterAutospacing="1"/>
    </w:pPr>
    <w:rPr>
      <w:rFonts w:ascii="Verdana" w:hAnsi="Verdana"/>
      <w:sz w:val="18"/>
      <w:szCs w:val="18"/>
      <w:lang w:val="en-US"/>
    </w:rPr>
  </w:style>
  <w:style w:type="character" w:customStyle="1" w:styleId="apple-converted-space">
    <w:name w:val="apple-converted-space"/>
    <w:basedOn w:val="Noklusjumarindkopasfonts"/>
    <w:rsid w:val="003536A6"/>
  </w:style>
</w:styles>
</file>

<file path=word/webSettings.xml><?xml version="1.0" encoding="utf-8"?>
<w:webSettings xmlns:r="http://schemas.openxmlformats.org/officeDocument/2006/relationships" xmlns:w="http://schemas.openxmlformats.org/wordprocessingml/2006/main">
  <w:divs>
    <w:div w:id="2170460">
      <w:bodyDiv w:val="1"/>
      <w:marLeft w:val="0"/>
      <w:marRight w:val="0"/>
      <w:marTop w:val="0"/>
      <w:marBottom w:val="0"/>
      <w:divBdr>
        <w:top w:val="none" w:sz="0" w:space="0" w:color="auto"/>
        <w:left w:val="none" w:sz="0" w:space="0" w:color="auto"/>
        <w:bottom w:val="none" w:sz="0" w:space="0" w:color="auto"/>
        <w:right w:val="none" w:sz="0" w:space="0" w:color="auto"/>
      </w:divBdr>
    </w:div>
    <w:div w:id="126515532">
      <w:bodyDiv w:val="1"/>
      <w:marLeft w:val="0"/>
      <w:marRight w:val="0"/>
      <w:marTop w:val="0"/>
      <w:marBottom w:val="0"/>
      <w:divBdr>
        <w:top w:val="none" w:sz="0" w:space="0" w:color="auto"/>
        <w:left w:val="none" w:sz="0" w:space="0" w:color="auto"/>
        <w:bottom w:val="none" w:sz="0" w:space="0" w:color="auto"/>
        <w:right w:val="none" w:sz="0" w:space="0" w:color="auto"/>
      </w:divBdr>
    </w:div>
    <w:div w:id="682902460">
      <w:bodyDiv w:val="1"/>
      <w:marLeft w:val="45"/>
      <w:marRight w:val="45"/>
      <w:marTop w:val="90"/>
      <w:marBottom w:val="90"/>
      <w:divBdr>
        <w:top w:val="none" w:sz="0" w:space="0" w:color="auto"/>
        <w:left w:val="none" w:sz="0" w:space="0" w:color="auto"/>
        <w:bottom w:val="none" w:sz="0" w:space="0" w:color="auto"/>
        <w:right w:val="none" w:sz="0" w:space="0" w:color="auto"/>
      </w:divBdr>
      <w:divsChild>
        <w:div w:id="1737974805">
          <w:marLeft w:val="0"/>
          <w:marRight w:val="0"/>
          <w:marTop w:val="0"/>
          <w:marBottom w:val="567"/>
          <w:divBdr>
            <w:top w:val="none" w:sz="0" w:space="0" w:color="auto"/>
            <w:left w:val="none" w:sz="0" w:space="0" w:color="auto"/>
            <w:bottom w:val="none" w:sz="0" w:space="0" w:color="auto"/>
            <w:right w:val="none" w:sz="0" w:space="0" w:color="auto"/>
          </w:divBdr>
        </w:div>
      </w:divsChild>
    </w:div>
    <w:div w:id="741290964">
      <w:bodyDiv w:val="1"/>
      <w:marLeft w:val="0"/>
      <w:marRight w:val="0"/>
      <w:marTop w:val="0"/>
      <w:marBottom w:val="0"/>
      <w:divBdr>
        <w:top w:val="none" w:sz="0" w:space="0" w:color="auto"/>
        <w:left w:val="none" w:sz="0" w:space="0" w:color="auto"/>
        <w:bottom w:val="none" w:sz="0" w:space="0" w:color="auto"/>
        <w:right w:val="none" w:sz="0" w:space="0" w:color="auto"/>
      </w:divBdr>
    </w:div>
    <w:div w:id="828518551">
      <w:bodyDiv w:val="1"/>
      <w:marLeft w:val="0"/>
      <w:marRight w:val="0"/>
      <w:marTop w:val="0"/>
      <w:marBottom w:val="0"/>
      <w:divBdr>
        <w:top w:val="none" w:sz="0" w:space="0" w:color="auto"/>
        <w:left w:val="none" w:sz="0" w:space="0" w:color="auto"/>
        <w:bottom w:val="none" w:sz="0" w:space="0" w:color="auto"/>
        <w:right w:val="none" w:sz="0" w:space="0" w:color="auto"/>
      </w:divBdr>
    </w:div>
    <w:div w:id="1010372884">
      <w:marLeft w:val="0"/>
      <w:marRight w:val="0"/>
      <w:marTop w:val="0"/>
      <w:marBottom w:val="0"/>
      <w:divBdr>
        <w:top w:val="none" w:sz="0" w:space="0" w:color="auto"/>
        <w:left w:val="none" w:sz="0" w:space="0" w:color="auto"/>
        <w:bottom w:val="none" w:sz="0" w:space="0" w:color="auto"/>
        <w:right w:val="none" w:sz="0" w:space="0" w:color="auto"/>
      </w:divBdr>
      <w:divsChild>
        <w:div w:id="1010372878">
          <w:marLeft w:val="0"/>
          <w:marRight w:val="0"/>
          <w:marTop w:val="0"/>
          <w:marBottom w:val="0"/>
          <w:divBdr>
            <w:top w:val="none" w:sz="0" w:space="0" w:color="auto"/>
            <w:left w:val="none" w:sz="0" w:space="0" w:color="auto"/>
            <w:bottom w:val="none" w:sz="0" w:space="0" w:color="auto"/>
            <w:right w:val="none" w:sz="0" w:space="0" w:color="auto"/>
          </w:divBdr>
        </w:div>
        <w:div w:id="1010372881">
          <w:marLeft w:val="0"/>
          <w:marRight w:val="0"/>
          <w:marTop w:val="0"/>
          <w:marBottom w:val="0"/>
          <w:divBdr>
            <w:top w:val="none" w:sz="0" w:space="0" w:color="auto"/>
            <w:left w:val="none" w:sz="0" w:space="0" w:color="auto"/>
            <w:bottom w:val="none" w:sz="0" w:space="0" w:color="auto"/>
            <w:right w:val="none" w:sz="0" w:space="0" w:color="auto"/>
          </w:divBdr>
        </w:div>
        <w:div w:id="1010372883">
          <w:marLeft w:val="0"/>
          <w:marRight w:val="0"/>
          <w:marTop w:val="0"/>
          <w:marBottom w:val="0"/>
          <w:divBdr>
            <w:top w:val="none" w:sz="0" w:space="0" w:color="auto"/>
            <w:left w:val="none" w:sz="0" w:space="0" w:color="auto"/>
            <w:bottom w:val="none" w:sz="0" w:space="0" w:color="auto"/>
            <w:right w:val="none" w:sz="0" w:space="0" w:color="auto"/>
          </w:divBdr>
        </w:div>
        <w:div w:id="1010372887">
          <w:marLeft w:val="0"/>
          <w:marRight w:val="0"/>
          <w:marTop w:val="0"/>
          <w:marBottom w:val="0"/>
          <w:divBdr>
            <w:top w:val="none" w:sz="0" w:space="0" w:color="auto"/>
            <w:left w:val="none" w:sz="0" w:space="0" w:color="auto"/>
            <w:bottom w:val="none" w:sz="0" w:space="0" w:color="auto"/>
            <w:right w:val="none" w:sz="0" w:space="0" w:color="auto"/>
          </w:divBdr>
        </w:div>
        <w:div w:id="1010372888">
          <w:marLeft w:val="0"/>
          <w:marRight w:val="0"/>
          <w:marTop w:val="0"/>
          <w:marBottom w:val="0"/>
          <w:divBdr>
            <w:top w:val="none" w:sz="0" w:space="0" w:color="auto"/>
            <w:left w:val="none" w:sz="0" w:space="0" w:color="auto"/>
            <w:bottom w:val="none" w:sz="0" w:space="0" w:color="auto"/>
            <w:right w:val="none" w:sz="0" w:space="0" w:color="auto"/>
          </w:divBdr>
        </w:div>
        <w:div w:id="1010372890">
          <w:marLeft w:val="0"/>
          <w:marRight w:val="0"/>
          <w:marTop w:val="0"/>
          <w:marBottom w:val="0"/>
          <w:divBdr>
            <w:top w:val="none" w:sz="0" w:space="0" w:color="auto"/>
            <w:left w:val="none" w:sz="0" w:space="0" w:color="auto"/>
            <w:bottom w:val="none" w:sz="0" w:space="0" w:color="auto"/>
            <w:right w:val="none" w:sz="0" w:space="0" w:color="auto"/>
          </w:divBdr>
        </w:div>
        <w:div w:id="1010372892">
          <w:marLeft w:val="0"/>
          <w:marRight w:val="0"/>
          <w:marTop w:val="0"/>
          <w:marBottom w:val="0"/>
          <w:divBdr>
            <w:top w:val="none" w:sz="0" w:space="0" w:color="auto"/>
            <w:left w:val="none" w:sz="0" w:space="0" w:color="auto"/>
            <w:bottom w:val="none" w:sz="0" w:space="0" w:color="auto"/>
            <w:right w:val="none" w:sz="0" w:space="0" w:color="auto"/>
          </w:divBdr>
        </w:div>
        <w:div w:id="1010372897">
          <w:marLeft w:val="0"/>
          <w:marRight w:val="0"/>
          <w:marTop w:val="0"/>
          <w:marBottom w:val="0"/>
          <w:divBdr>
            <w:top w:val="none" w:sz="0" w:space="0" w:color="auto"/>
            <w:left w:val="none" w:sz="0" w:space="0" w:color="auto"/>
            <w:bottom w:val="none" w:sz="0" w:space="0" w:color="auto"/>
            <w:right w:val="none" w:sz="0" w:space="0" w:color="auto"/>
          </w:divBdr>
        </w:div>
        <w:div w:id="1010372899">
          <w:marLeft w:val="0"/>
          <w:marRight w:val="0"/>
          <w:marTop w:val="0"/>
          <w:marBottom w:val="0"/>
          <w:divBdr>
            <w:top w:val="none" w:sz="0" w:space="0" w:color="auto"/>
            <w:left w:val="none" w:sz="0" w:space="0" w:color="auto"/>
            <w:bottom w:val="none" w:sz="0" w:space="0" w:color="auto"/>
            <w:right w:val="none" w:sz="0" w:space="0" w:color="auto"/>
          </w:divBdr>
        </w:div>
        <w:div w:id="1010372901">
          <w:marLeft w:val="0"/>
          <w:marRight w:val="0"/>
          <w:marTop w:val="0"/>
          <w:marBottom w:val="0"/>
          <w:divBdr>
            <w:top w:val="none" w:sz="0" w:space="0" w:color="auto"/>
            <w:left w:val="none" w:sz="0" w:space="0" w:color="auto"/>
            <w:bottom w:val="none" w:sz="0" w:space="0" w:color="auto"/>
            <w:right w:val="none" w:sz="0" w:space="0" w:color="auto"/>
          </w:divBdr>
        </w:div>
        <w:div w:id="1010372903">
          <w:marLeft w:val="0"/>
          <w:marRight w:val="0"/>
          <w:marTop w:val="0"/>
          <w:marBottom w:val="0"/>
          <w:divBdr>
            <w:top w:val="none" w:sz="0" w:space="0" w:color="auto"/>
            <w:left w:val="none" w:sz="0" w:space="0" w:color="auto"/>
            <w:bottom w:val="none" w:sz="0" w:space="0" w:color="auto"/>
            <w:right w:val="none" w:sz="0" w:space="0" w:color="auto"/>
          </w:divBdr>
        </w:div>
        <w:div w:id="1010372904">
          <w:marLeft w:val="0"/>
          <w:marRight w:val="0"/>
          <w:marTop w:val="0"/>
          <w:marBottom w:val="0"/>
          <w:divBdr>
            <w:top w:val="none" w:sz="0" w:space="0" w:color="auto"/>
            <w:left w:val="none" w:sz="0" w:space="0" w:color="auto"/>
            <w:bottom w:val="none" w:sz="0" w:space="0" w:color="auto"/>
            <w:right w:val="none" w:sz="0" w:space="0" w:color="auto"/>
          </w:divBdr>
        </w:div>
      </w:divsChild>
    </w:div>
    <w:div w:id="1010372889">
      <w:marLeft w:val="0"/>
      <w:marRight w:val="0"/>
      <w:marTop w:val="0"/>
      <w:marBottom w:val="0"/>
      <w:divBdr>
        <w:top w:val="none" w:sz="0" w:space="0" w:color="auto"/>
        <w:left w:val="none" w:sz="0" w:space="0" w:color="auto"/>
        <w:bottom w:val="none" w:sz="0" w:space="0" w:color="auto"/>
        <w:right w:val="none" w:sz="0" w:space="0" w:color="auto"/>
      </w:divBdr>
    </w:div>
    <w:div w:id="1010372896">
      <w:marLeft w:val="0"/>
      <w:marRight w:val="0"/>
      <w:marTop w:val="0"/>
      <w:marBottom w:val="0"/>
      <w:divBdr>
        <w:top w:val="none" w:sz="0" w:space="0" w:color="auto"/>
        <w:left w:val="none" w:sz="0" w:space="0" w:color="auto"/>
        <w:bottom w:val="none" w:sz="0" w:space="0" w:color="auto"/>
        <w:right w:val="none" w:sz="0" w:space="0" w:color="auto"/>
      </w:divBdr>
      <w:divsChild>
        <w:div w:id="1010372879">
          <w:marLeft w:val="0"/>
          <w:marRight w:val="0"/>
          <w:marTop w:val="0"/>
          <w:marBottom w:val="0"/>
          <w:divBdr>
            <w:top w:val="none" w:sz="0" w:space="0" w:color="auto"/>
            <w:left w:val="none" w:sz="0" w:space="0" w:color="auto"/>
            <w:bottom w:val="none" w:sz="0" w:space="0" w:color="auto"/>
            <w:right w:val="none" w:sz="0" w:space="0" w:color="auto"/>
          </w:divBdr>
        </w:div>
        <w:div w:id="1010372880">
          <w:marLeft w:val="0"/>
          <w:marRight w:val="0"/>
          <w:marTop w:val="0"/>
          <w:marBottom w:val="0"/>
          <w:divBdr>
            <w:top w:val="none" w:sz="0" w:space="0" w:color="auto"/>
            <w:left w:val="none" w:sz="0" w:space="0" w:color="auto"/>
            <w:bottom w:val="none" w:sz="0" w:space="0" w:color="auto"/>
            <w:right w:val="none" w:sz="0" w:space="0" w:color="auto"/>
          </w:divBdr>
        </w:div>
        <w:div w:id="1010372882">
          <w:marLeft w:val="0"/>
          <w:marRight w:val="0"/>
          <w:marTop w:val="0"/>
          <w:marBottom w:val="0"/>
          <w:divBdr>
            <w:top w:val="none" w:sz="0" w:space="0" w:color="auto"/>
            <w:left w:val="none" w:sz="0" w:space="0" w:color="auto"/>
            <w:bottom w:val="none" w:sz="0" w:space="0" w:color="auto"/>
            <w:right w:val="none" w:sz="0" w:space="0" w:color="auto"/>
          </w:divBdr>
        </w:div>
        <w:div w:id="1010372885">
          <w:marLeft w:val="0"/>
          <w:marRight w:val="0"/>
          <w:marTop w:val="0"/>
          <w:marBottom w:val="0"/>
          <w:divBdr>
            <w:top w:val="none" w:sz="0" w:space="0" w:color="auto"/>
            <w:left w:val="none" w:sz="0" w:space="0" w:color="auto"/>
            <w:bottom w:val="none" w:sz="0" w:space="0" w:color="auto"/>
            <w:right w:val="none" w:sz="0" w:space="0" w:color="auto"/>
          </w:divBdr>
        </w:div>
        <w:div w:id="1010372886">
          <w:marLeft w:val="0"/>
          <w:marRight w:val="0"/>
          <w:marTop w:val="0"/>
          <w:marBottom w:val="0"/>
          <w:divBdr>
            <w:top w:val="none" w:sz="0" w:space="0" w:color="auto"/>
            <w:left w:val="none" w:sz="0" w:space="0" w:color="auto"/>
            <w:bottom w:val="none" w:sz="0" w:space="0" w:color="auto"/>
            <w:right w:val="none" w:sz="0" w:space="0" w:color="auto"/>
          </w:divBdr>
        </w:div>
        <w:div w:id="1010372891">
          <w:marLeft w:val="0"/>
          <w:marRight w:val="0"/>
          <w:marTop w:val="0"/>
          <w:marBottom w:val="0"/>
          <w:divBdr>
            <w:top w:val="none" w:sz="0" w:space="0" w:color="auto"/>
            <w:left w:val="none" w:sz="0" w:space="0" w:color="auto"/>
            <w:bottom w:val="none" w:sz="0" w:space="0" w:color="auto"/>
            <w:right w:val="none" w:sz="0" w:space="0" w:color="auto"/>
          </w:divBdr>
        </w:div>
        <w:div w:id="1010372893">
          <w:marLeft w:val="0"/>
          <w:marRight w:val="0"/>
          <w:marTop w:val="0"/>
          <w:marBottom w:val="0"/>
          <w:divBdr>
            <w:top w:val="none" w:sz="0" w:space="0" w:color="auto"/>
            <w:left w:val="none" w:sz="0" w:space="0" w:color="auto"/>
            <w:bottom w:val="none" w:sz="0" w:space="0" w:color="auto"/>
            <w:right w:val="none" w:sz="0" w:space="0" w:color="auto"/>
          </w:divBdr>
        </w:div>
        <w:div w:id="1010372894">
          <w:marLeft w:val="0"/>
          <w:marRight w:val="0"/>
          <w:marTop w:val="0"/>
          <w:marBottom w:val="0"/>
          <w:divBdr>
            <w:top w:val="none" w:sz="0" w:space="0" w:color="auto"/>
            <w:left w:val="none" w:sz="0" w:space="0" w:color="auto"/>
            <w:bottom w:val="none" w:sz="0" w:space="0" w:color="auto"/>
            <w:right w:val="none" w:sz="0" w:space="0" w:color="auto"/>
          </w:divBdr>
        </w:div>
        <w:div w:id="1010372895">
          <w:marLeft w:val="0"/>
          <w:marRight w:val="0"/>
          <w:marTop w:val="0"/>
          <w:marBottom w:val="0"/>
          <w:divBdr>
            <w:top w:val="none" w:sz="0" w:space="0" w:color="auto"/>
            <w:left w:val="none" w:sz="0" w:space="0" w:color="auto"/>
            <w:bottom w:val="none" w:sz="0" w:space="0" w:color="auto"/>
            <w:right w:val="none" w:sz="0" w:space="0" w:color="auto"/>
          </w:divBdr>
        </w:div>
        <w:div w:id="1010372898">
          <w:marLeft w:val="0"/>
          <w:marRight w:val="0"/>
          <w:marTop w:val="0"/>
          <w:marBottom w:val="0"/>
          <w:divBdr>
            <w:top w:val="none" w:sz="0" w:space="0" w:color="auto"/>
            <w:left w:val="none" w:sz="0" w:space="0" w:color="auto"/>
            <w:bottom w:val="none" w:sz="0" w:space="0" w:color="auto"/>
            <w:right w:val="none" w:sz="0" w:space="0" w:color="auto"/>
          </w:divBdr>
        </w:div>
        <w:div w:id="1010372900">
          <w:marLeft w:val="0"/>
          <w:marRight w:val="0"/>
          <w:marTop w:val="0"/>
          <w:marBottom w:val="0"/>
          <w:divBdr>
            <w:top w:val="none" w:sz="0" w:space="0" w:color="auto"/>
            <w:left w:val="none" w:sz="0" w:space="0" w:color="auto"/>
            <w:bottom w:val="none" w:sz="0" w:space="0" w:color="auto"/>
            <w:right w:val="none" w:sz="0" w:space="0" w:color="auto"/>
          </w:divBdr>
        </w:div>
        <w:div w:id="1010372902">
          <w:marLeft w:val="0"/>
          <w:marRight w:val="0"/>
          <w:marTop w:val="0"/>
          <w:marBottom w:val="0"/>
          <w:divBdr>
            <w:top w:val="none" w:sz="0" w:space="0" w:color="auto"/>
            <w:left w:val="none" w:sz="0" w:space="0" w:color="auto"/>
            <w:bottom w:val="none" w:sz="0" w:space="0" w:color="auto"/>
            <w:right w:val="none" w:sz="0" w:space="0" w:color="auto"/>
          </w:divBdr>
        </w:div>
      </w:divsChild>
    </w:div>
    <w:div w:id="1169520746">
      <w:bodyDiv w:val="1"/>
      <w:marLeft w:val="0"/>
      <w:marRight w:val="0"/>
      <w:marTop w:val="0"/>
      <w:marBottom w:val="0"/>
      <w:divBdr>
        <w:top w:val="none" w:sz="0" w:space="0" w:color="auto"/>
        <w:left w:val="none" w:sz="0" w:space="0" w:color="auto"/>
        <w:bottom w:val="none" w:sz="0" w:space="0" w:color="auto"/>
        <w:right w:val="none" w:sz="0" w:space="0" w:color="auto"/>
      </w:divBdr>
    </w:div>
    <w:div w:id="1257980789">
      <w:bodyDiv w:val="1"/>
      <w:marLeft w:val="0"/>
      <w:marRight w:val="0"/>
      <w:marTop w:val="0"/>
      <w:marBottom w:val="0"/>
      <w:divBdr>
        <w:top w:val="none" w:sz="0" w:space="0" w:color="auto"/>
        <w:left w:val="none" w:sz="0" w:space="0" w:color="auto"/>
        <w:bottom w:val="none" w:sz="0" w:space="0" w:color="auto"/>
        <w:right w:val="none" w:sz="0" w:space="0" w:color="auto"/>
      </w:divBdr>
    </w:div>
    <w:div w:id="1260599639">
      <w:bodyDiv w:val="1"/>
      <w:marLeft w:val="0"/>
      <w:marRight w:val="0"/>
      <w:marTop w:val="0"/>
      <w:marBottom w:val="0"/>
      <w:divBdr>
        <w:top w:val="none" w:sz="0" w:space="0" w:color="auto"/>
        <w:left w:val="none" w:sz="0" w:space="0" w:color="auto"/>
        <w:bottom w:val="none" w:sz="0" w:space="0" w:color="auto"/>
        <w:right w:val="none" w:sz="0" w:space="0" w:color="auto"/>
      </w:divBdr>
      <w:divsChild>
        <w:div w:id="744953139">
          <w:marLeft w:val="0"/>
          <w:marRight w:val="0"/>
          <w:marTop w:val="0"/>
          <w:marBottom w:val="0"/>
          <w:divBdr>
            <w:top w:val="none" w:sz="0" w:space="0" w:color="auto"/>
            <w:left w:val="none" w:sz="0" w:space="0" w:color="auto"/>
            <w:bottom w:val="none" w:sz="0" w:space="0" w:color="auto"/>
            <w:right w:val="none" w:sz="0" w:space="0" w:color="auto"/>
          </w:divBdr>
        </w:div>
      </w:divsChild>
    </w:div>
    <w:div w:id="1443721418">
      <w:bodyDiv w:val="1"/>
      <w:marLeft w:val="0"/>
      <w:marRight w:val="0"/>
      <w:marTop w:val="0"/>
      <w:marBottom w:val="0"/>
      <w:divBdr>
        <w:top w:val="none" w:sz="0" w:space="0" w:color="auto"/>
        <w:left w:val="none" w:sz="0" w:space="0" w:color="auto"/>
        <w:bottom w:val="none" w:sz="0" w:space="0" w:color="auto"/>
        <w:right w:val="none" w:sz="0" w:space="0" w:color="auto"/>
      </w:divBdr>
    </w:div>
    <w:div w:id="1471287488">
      <w:bodyDiv w:val="1"/>
      <w:marLeft w:val="0"/>
      <w:marRight w:val="0"/>
      <w:marTop w:val="0"/>
      <w:marBottom w:val="0"/>
      <w:divBdr>
        <w:top w:val="none" w:sz="0" w:space="0" w:color="auto"/>
        <w:left w:val="none" w:sz="0" w:space="0" w:color="auto"/>
        <w:bottom w:val="none" w:sz="0" w:space="0" w:color="auto"/>
        <w:right w:val="none" w:sz="0" w:space="0" w:color="auto"/>
      </w:divBdr>
    </w:div>
    <w:div w:id="19626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47BAB-A944-4781-AA15-63A538A05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2058</Words>
  <Characters>15018</Characters>
  <Application>Microsoft Office Word</Application>
  <DocSecurity>0</DocSecurity>
  <Lines>652</Lines>
  <Paragraphs>299</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Ministru kabineta noteikumu projekta „Grozījumi Ministru kabineta 2010.gada 4.augusta noteikumos Nr.726 „Noteikumi par darbības programmas „Infrastruktūra un pakalpojumi” papildinājuma 3.1.5.1.1.apakšaktivitāti „Ģimenes ārstu tīkla attīstība””” sākotnējās</vt:lpstr>
      <vt:lpstr>Noteikumi par darbības programmas „Cilvēkresursi un nodarbinātība” papildinājuma 1.3.2.3. aktivitāti “Veselības aprūpes un veicināšanas procesā iesaistīto institūciju personāla kompetences, prasmju un iemaņu līmeņa paaugstināšana”</vt:lpstr>
    </vt:vector>
  </TitlesOfParts>
  <Company>Veselības minsitrija</Company>
  <LinksUpToDate>false</LinksUpToDate>
  <CharactersWithSpaces>16777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4.augusta noteikumos Nr.726 „Noteikumi par darbības programmas „Infrastruktūra un pakalpojumi” papildinājuma 3.1.5.1.1.apakšaktivitāti „Ģimenes ārstu tīkla attīstība””” sākotnējās</dc:title>
  <dc:subject>Anotācija</dc:subject>
  <dc:creator>Dace Ozoliņa</dc:creator>
  <dc:description>ES fondu departamenta ES fondu nodaļas vecākā referente
Dace Ozoliņa, Dace.Ozolina@vm.gov.lv
tālr.27876085</dc:description>
  <cp:lastModifiedBy>VM</cp:lastModifiedBy>
  <cp:revision>5</cp:revision>
  <cp:lastPrinted>2012-02-27T08:38:00Z</cp:lastPrinted>
  <dcterms:created xsi:type="dcterms:W3CDTF">2012-07-13T06:42:00Z</dcterms:created>
  <dcterms:modified xsi:type="dcterms:W3CDTF">2012-07-19T10:26:00Z</dcterms:modified>
</cp:coreProperties>
</file>