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F" w:rsidRPr="002D7C67" w:rsidRDefault="000B76E3" w:rsidP="008C11A9">
      <w:pPr>
        <w:jc w:val="center"/>
        <w:rPr>
          <w:b/>
          <w:color w:val="000000"/>
          <w:sz w:val="28"/>
          <w:szCs w:val="28"/>
        </w:rPr>
      </w:pPr>
      <w:bookmarkStart w:id="0" w:name="OLE_LINK19"/>
      <w:bookmarkStart w:id="1" w:name="OLE_LINK20"/>
      <w:bookmarkStart w:id="2" w:name="OLE_LINK1"/>
      <w:bookmarkStart w:id="3" w:name="OLE_LINK2"/>
      <w:r w:rsidRPr="002D7C67">
        <w:rPr>
          <w:color w:val="000000"/>
          <w:sz w:val="28"/>
          <w:szCs w:val="28"/>
        </w:rPr>
        <w:t xml:space="preserve">Ministru kabineta </w:t>
      </w:r>
      <w:r w:rsidR="009817AF" w:rsidRPr="002D7C67">
        <w:rPr>
          <w:color w:val="000000"/>
          <w:sz w:val="28"/>
          <w:szCs w:val="28"/>
        </w:rPr>
        <w:t>noteikumu</w:t>
      </w:r>
      <w:r w:rsidRPr="002D7C67">
        <w:rPr>
          <w:color w:val="000000"/>
          <w:sz w:val="28"/>
          <w:szCs w:val="28"/>
        </w:rPr>
        <w:t xml:space="preserve"> projekta</w:t>
      </w:r>
      <w:bookmarkStart w:id="4" w:name="OLE_LINK13"/>
      <w:bookmarkStart w:id="5" w:name="OLE_LINK14"/>
      <w:r w:rsidRPr="002D7C67">
        <w:rPr>
          <w:b/>
          <w:color w:val="000000"/>
          <w:sz w:val="28"/>
          <w:szCs w:val="28"/>
        </w:rPr>
        <w:t xml:space="preserve"> </w:t>
      </w:r>
    </w:p>
    <w:p w:rsidR="000B76E3" w:rsidRPr="003433B2" w:rsidRDefault="000B76E3" w:rsidP="008C11A9">
      <w:pPr>
        <w:jc w:val="center"/>
        <w:rPr>
          <w:color w:val="000000"/>
          <w:sz w:val="28"/>
          <w:szCs w:val="28"/>
        </w:rPr>
      </w:pPr>
      <w:r w:rsidRPr="003433B2">
        <w:rPr>
          <w:color w:val="000000"/>
          <w:sz w:val="28"/>
          <w:szCs w:val="28"/>
        </w:rPr>
        <w:t>„</w:t>
      </w:r>
      <w:bookmarkEnd w:id="4"/>
      <w:bookmarkEnd w:id="5"/>
      <w:r w:rsidR="00C96629" w:rsidRPr="003433B2">
        <w:rPr>
          <w:color w:val="000000"/>
          <w:sz w:val="28"/>
          <w:szCs w:val="28"/>
        </w:rPr>
        <w:t>Grozījumi Ministru</w:t>
      </w:r>
      <w:r w:rsidR="00C96629" w:rsidRPr="002D7C67">
        <w:rPr>
          <w:color w:val="000000"/>
          <w:sz w:val="28"/>
          <w:szCs w:val="28"/>
        </w:rPr>
        <w:t xml:space="preserve"> kabineta 2006. gada 4.aprīļa noteikumos Nr.265 „Medicīnisko dokumentu lietvedības kārtība</w:t>
      </w:r>
      <w:r w:rsidRPr="003433B2">
        <w:rPr>
          <w:color w:val="000000"/>
          <w:sz w:val="28"/>
          <w:szCs w:val="28"/>
        </w:rPr>
        <w:t>”</w:t>
      </w:r>
      <w:r w:rsidR="00CD0BB0">
        <w:rPr>
          <w:color w:val="000000"/>
          <w:sz w:val="28"/>
          <w:szCs w:val="28"/>
        </w:rPr>
        <w:t>”</w:t>
      </w:r>
    </w:p>
    <w:p w:rsidR="000B76E3" w:rsidRPr="002D7C67" w:rsidRDefault="000B76E3" w:rsidP="000B76E3">
      <w:pPr>
        <w:jc w:val="center"/>
        <w:rPr>
          <w:b/>
          <w:bCs/>
          <w:color w:val="000000"/>
          <w:sz w:val="28"/>
          <w:szCs w:val="28"/>
        </w:rPr>
      </w:pPr>
      <w:r w:rsidRPr="002D7C67">
        <w:rPr>
          <w:bCs/>
          <w:color w:val="000000"/>
          <w:sz w:val="28"/>
          <w:szCs w:val="28"/>
        </w:rPr>
        <w:t>sākotnējās ietekmes novērtējuma ziņojums</w:t>
      </w:r>
    </w:p>
    <w:p w:rsidR="000B76E3" w:rsidRPr="002D7C67" w:rsidRDefault="000B76E3" w:rsidP="000B76E3">
      <w:pPr>
        <w:jc w:val="center"/>
        <w:rPr>
          <w:b/>
          <w:bCs/>
          <w:color w:val="000000"/>
          <w:sz w:val="28"/>
          <w:szCs w:val="28"/>
        </w:rPr>
      </w:pPr>
      <w:r w:rsidRPr="002D7C67">
        <w:rPr>
          <w:b/>
          <w:bCs/>
          <w:color w:val="000000"/>
          <w:sz w:val="28"/>
          <w:szCs w:val="28"/>
        </w:rPr>
        <w:t>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0"/>
        <w:gridCol w:w="2739"/>
        <w:gridCol w:w="6095"/>
      </w:tblGrid>
      <w:tr w:rsidR="000B76E3" w:rsidRPr="002D7C67" w:rsidTr="007062CF">
        <w:tc>
          <w:tcPr>
            <w:tcW w:w="9384" w:type="dxa"/>
            <w:gridSpan w:val="3"/>
            <w:vAlign w:val="center"/>
          </w:tcPr>
          <w:bookmarkEnd w:id="2"/>
          <w:bookmarkEnd w:id="3"/>
          <w:p w:rsidR="000B76E3" w:rsidRPr="002D7C67" w:rsidRDefault="000B76E3" w:rsidP="005A03EE">
            <w:pPr>
              <w:pStyle w:val="naisnod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I. Tiesību akta projekta izstrādes nepieciešamība</w:t>
            </w:r>
          </w:p>
        </w:tc>
      </w:tr>
      <w:tr w:rsidR="000B76E3" w:rsidRPr="002D7C67" w:rsidTr="007062CF">
        <w:trPr>
          <w:trHeight w:val="630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ind w:hanging="1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Pamatojums</w:t>
            </w:r>
          </w:p>
          <w:p w:rsidR="000B76E3" w:rsidRPr="002D7C67" w:rsidRDefault="000B76E3" w:rsidP="005A03EE">
            <w:pPr>
              <w:pStyle w:val="naiskr"/>
              <w:spacing w:before="0" w:after="0"/>
              <w:ind w:hanging="10"/>
              <w:rPr>
                <w:color w:val="000000"/>
                <w:sz w:val="28"/>
                <w:szCs w:val="28"/>
              </w:rPr>
            </w:pPr>
          </w:p>
          <w:p w:rsidR="000B76E3" w:rsidRPr="002D7C67" w:rsidRDefault="000B76E3" w:rsidP="005A03EE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A30D1D" w:rsidRPr="002D7C67" w:rsidRDefault="00EB6594" w:rsidP="009817AF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Ministru kabineta noteikumu „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Grozījumi </w:t>
            </w:r>
            <w:r w:rsidR="001C1E40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M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inistru</w:t>
            </w:r>
            <w:r w:rsidR="00F75D39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kabineta 20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06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.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gada 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4.aprīļa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noteikumos</w:t>
            </w:r>
            <w:r w:rsidR="001E115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Nr.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265</w:t>
            </w:r>
            <w:r w:rsidR="00834AC1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„Medicīnisko dokumentu lietvedības kārtība</w:t>
            </w:r>
            <w:r w:rsidR="00CD0BB0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”</w:t>
            </w:r>
            <w:r w:rsidR="00B57524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”</w:t>
            </w:r>
            <w:r w:rsidR="000B76E3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projekts </w:t>
            </w:r>
            <w:r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(turpmāk –</w:t>
            </w:r>
            <w:r w:rsidR="002D7C67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MK </w:t>
            </w:r>
            <w:r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noteikumu projekts) </w:t>
            </w:r>
            <w:r w:rsidR="000B76E3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izstrādāts atbilstoši</w:t>
            </w:r>
            <w:r w:rsidR="00A30D1D" w:rsidRPr="002D7C6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:</w:t>
            </w:r>
          </w:p>
          <w:p w:rsidR="002A4CD7" w:rsidRPr="002D7C67" w:rsidRDefault="002A4CD7" w:rsidP="00BA1497">
            <w:pPr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 xml:space="preserve">1. </w:t>
            </w:r>
            <w:r w:rsidR="00B57524" w:rsidRPr="002D7C67">
              <w:rPr>
                <w:color w:val="000000"/>
                <w:sz w:val="28"/>
                <w:szCs w:val="28"/>
              </w:rPr>
              <w:t xml:space="preserve">Ārstniecības </w:t>
            </w:r>
            <w:r w:rsidR="00C96629" w:rsidRPr="002D7C67">
              <w:rPr>
                <w:color w:val="000000"/>
                <w:sz w:val="28"/>
                <w:szCs w:val="28"/>
              </w:rPr>
              <w:t>likuma</w:t>
            </w:r>
            <w:r w:rsidR="00B57524" w:rsidRPr="002D7C67">
              <w:rPr>
                <w:color w:val="000000"/>
                <w:sz w:val="28"/>
                <w:szCs w:val="28"/>
              </w:rPr>
              <w:t xml:space="preserve"> 59.pantam</w:t>
            </w:r>
            <w:r w:rsidR="0082088C" w:rsidRPr="002D7C67">
              <w:rPr>
                <w:color w:val="000000"/>
                <w:sz w:val="28"/>
                <w:szCs w:val="28"/>
              </w:rPr>
              <w:t>;</w:t>
            </w:r>
          </w:p>
          <w:p w:rsidR="00834AC1" w:rsidRPr="002D7C67" w:rsidRDefault="002A4CD7" w:rsidP="00F17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2</w:t>
            </w:r>
            <w:r w:rsidR="00834AC1" w:rsidRPr="002D7C67">
              <w:rPr>
                <w:color w:val="000000"/>
                <w:sz w:val="28"/>
                <w:szCs w:val="28"/>
              </w:rPr>
              <w:t xml:space="preserve">.Ministru kabineta 2012.gada 21.februāra rīkojumam Nr. </w:t>
            </w:r>
            <w:r w:rsidR="00F171DF">
              <w:rPr>
                <w:color w:val="000000"/>
                <w:sz w:val="28"/>
                <w:szCs w:val="28"/>
              </w:rPr>
              <w:t>101</w:t>
            </w:r>
            <w:r w:rsidR="00834AC1" w:rsidRPr="002D7C67">
              <w:rPr>
                <w:color w:val="000000"/>
                <w:sz w:val="28"/>
                <w:szCs w:val="28"/>
              </w:rPr>
              <w:t xml:space="preserve"> „</w:t>
            </w:r>
            <w:r w:rsidR="00BA1497" w:rsidRPr="002D7C67">
              <w:rPr>
                <w:color w:val="000000"/>
                <w:sz w:val="28"/>
                <w:szCs w:val="28"/>
              </w:rPr>
              <w:t>Par Slimību profilakses un kontroles centra izveidošanu un Veselības ministrijas</w:t>
            </w:r>
            <w:r w:rsidR="00187F21">
              <w:rPr>
                <w:color w:val="000000"/>
                <w:sz w:val="28"/>
                <w:szCs w:val="28"/>
              </w:rPr>
              <w:t xml:space="preserve"> un Zemkopības ministrijas</w:t>
            </w:r>
            <w:r w:rsidR="00BA1497" w:rsidRPr="002D7C67">
              <w:rPr>
                <w:color w:val="000000"/>
                <w:sz w:val="28"/>
                <w:szCs w:val="28"/>
              </w:rPr>
              <w:t xml:space="preserve"> padotībā esošo valsts pārvaldes iestāžu reorganizāciju</w:t>
            </w:r>
            <w:r w:rsidR="001C1E40" w:rsidRPr="002D7C67">
              <w:rPr>
                <w:color w:val="000000"/>
                <w:sz w:val="28"/>
                <w:szCs w:val="28"/>
              </w:rPr>
              <w:t xml:space="preserve">” (turpmāk – MK rīkojums Nr. </w:t>
            </w:r>
            <w:r w:rsidR="00F171DF">
              <w:rPr>
                <w:color w:val="000000"/>
                <w:sz w:val="28"/>
                <w:szCs w:val="28"/>
              </w:rPr>
              <w:t>101</w:t>
            </w:r>
            <w:r w:rsidR="001C1E40" w:rsidRPr="002D7C67">
              <w:rPr>
                <w:color w:val="000000"/>
                <w:sz w:val="28"/>
                <w:szCs w:val="28"/>
              </w:rPr>
              <w:t>)</w:t>
            </w:r>
          </w:p>
        </w:tc>
      </w:tr>
      <w:tr w:rsidR="000B76E3" w:rsidRPr="002D7C67" w:rsidTr="007062CF">
        <w:trPr>
          <w:trHeight w:val="472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Pašreizējā situācija un problēmas</w:t>
            </w:r>
          </w:p>
        </w:tc>
        <w:tc>
          <w:tcPr>
            <w:tcW w:w="6095" w:type="dxa"/>
            <w:shd w:val="clear" w:color="auto" w:fill="auto"/>
          </w:tcPr>
          <w:p w:rsidR="00BC6603" w:rsidRDefault="001C1E40" w:rsidP="005B655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Sask</w:t>
            </w:r>
            <w:r w:rsidR="00F441C7" w:rsidRPr="002D7C67">
              <w:rPr>
                <w:color w:val="000000"/>
                <w:sz w:val="28"/>
                <w:szCs w:val="28"/>
              </w:rPr>
              <w:t>aņā ar MK rīkojuma Nr.</w:t>
            </w:r>
            <w:r w:rsidR="00F171DF">
              <w:rPr>
                <w:color w:val="000000"/>
                <w:sz w:val="28"/>
                <w:szCs w:val="28"/>
              </w:rPr>
              <w:t>101</w:t>
            </w:r>
            <w:r w:rsidR="00F441C7" w:rsidRPr="002D7C67">
              <w:rPr>
                <w:color w:val="000000"/>
                <w:sz w:val="28"/>
                <w:szCs w:val="28"/>
              </w:rPr>
              <w:t xml:space="preserve"> 1.</w:t>
            </w:r>
            <w:r w:rsidR="00C96629" w:rsidRPr="002D7C67">
              <w:rPr>
                <w:color w:val="000000"/>
                <w:sz w:val="28"/>
                <w:szCs w:val="28"/>
              </w:rPr>
              <w:t xml:space="preserve"> un 2.</w:t>
            </w:r>
            <w:r w:rsidR="00F441C7" w:rsidRPr="002D7C67">
              <w:rPr>
                <w:color w:val="000000"/>
                <w:sz w:val="28"/>
                <w:szCs w:val="28"/>
              </w:rPr>
              <w:t>punktu ar 2012.gada 1.aprīli tiek izveidota veselības ministra pakļautībā esoša tiešās pārvaldes iestāde „Slimību profilakses un kontroles centrs” (turpmāk – Slimību profilakses un kontroles centrs)</w:t>
            </w:r>
            <w:r w:rsidR="00C96629" w:rsidRPr="002D7C67">
              <w:rPr>
                <w:color w:val="000000"/>
                <w:sz w:val="28"/>
                <w:szCs w:val="28"/>
              </w:rPr>
              <w:t xml:space="preserve"> un </w:t>
            </w:r>
            <w:r w:rsidR="00C96629" w:rsidRPr="002D7C6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likvidēta valsts aģentūra „Latvijas Infektoloģijas centrs”</w:t>
            </w:r>
            <w:r w:rsidR="002D7C67" w:rsidRPr="002D7C6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(turpmāk – LIC)</w:t>
            </w:r>
            <w:r w:rsidR="00C96629" w:rsidRPr="002D7C6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, nododot visas tā</w:t>
            </w:r>
            <w:r w:rsidR="00F87248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s</w:t>
            </w:r>
            <w:r w:rsidR="00C96629" w:rsidRPr="002D7C6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funkcijas un pārvaldes uzdevumus Slimību profilakses un kontroles centram un </w:t>
            </w:r>
            <w:r w:rsidR="00C96629" w:rsidRPr="002D7C67">
              <w:rPr>
                <w:color w:val="000000"/>
                <w:sz w:val="28"/>
                <w:szCs w:val="28"/>
              </w:rPr>
              <w:t>sabiedrībai ar ierobežotu atbildību „Rīgas Austrumu klīniskā universitātes slimnīca” (turpmāk – RAKUS).</w:t>
            </w:r>
            <w:r w:rsidR="005B6552">
              <w:rPr>
                <w:color w:val="000000"/>
                <w:sz w:val="28"/>
                <w:szCs w:val="28"/>
              </w:rPr>
              <w:t xml:space="preserve">  </w:t>
            </w:r>
          </w:p>
          <w:p w:rsidR="00C96629" w:rsidRPr="002D7C67" w:rsidRDefault="00C96629" w:rsidP="00C966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D7C67" w:rsidRPr="002D7C67" w:rsidRDefault="00F171DF" w:rsidP="002D7C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</w:t>
            </w:r>
            <w:r w:rsidR="002D7C67" w:rsidRPr="002D7C67">
              <w:rPr>
                <w:sz w:val="28"/>
                <w:szCs w:val="28"/>
              </w:rPr>
              <w:t xml:space="preserve"> ir minēts šādos Ministru kabineta </w:t>
            </w:r>
            <w:r w:rsidR="002D7C67" w:rsidRPr="002D7C67">
              <w:rPr>
                <w:color w:val="000000"/>
                <w:sz w:val="28"/>
                <w:szCs w:val="28"/>
              </w:rPr>
              <w:t>2006. gada 4.aprīļa noteikumu Nr.265 „Medicīnisko dokumentu lietvedības kārtība”</w:t>
            </w:r>
            <w:r>
              <w:rPr>
                <w:color w:val="000000"/>
                <w:sz w:val="28"/>
                <w:szCs w:val="28"/>
              </w:rPr>
              <w:t xml:space="preserve"> (turpmāk – MK noteikumi Nr.265)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 </w:t>
            </w:r>
            <w:r w:rsidR="002D7C67" w:rsidRPr="002D7C67">
              <w:rPr>
                <w:sz w:val="28"/>
                <w:szCs w:val="28"/>
              </w:rPr>
              <w:t xml:space="preserve"> pielikumos: 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pielikums Nr. 24 “Steidzamais paziņojums par infekcijas slimību, infekcijas slimības izraisītāja konstatēšanu, rezistentu mikroorganismu izdalīšanu un vakcinācijas izraisītu komplikāciju (blakusparādību (veidlapa Nr.058/u)</w:t>
            </w:r>
            <w:r w:rsidR="003433B2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;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pielikums Nr. 66 “Paziņojums par apstiprinātu HIV infekcijas gadījumu (veidlapa Nr. HIV-6)”;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pielikums Nr. 68 “Paziņojums par personu, kurai pirmo reizi diagnosticēts AIDS (veidlapa Nr. HIV-7)”,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pielikums Nr.80 “Paziņojums par HIV inficētas personas vai AIDS pacienta nāvi (veidlapa – HIV-8)</w:t>
            </w:r>
            <w:r w:rsidR="003433B2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, 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pielikums Nr.81 “Pārskats par veiktajiem HIV testiem (veidlapa Nr. HIV-11)</w:t>
            </w:r>
            <w:r w:rsidR="003433B2">
              <w:rPr>
                <w:rFonts w:ascii="Times New Roman" w:hAnsi="Times New Roman"/>
                <w:sz w:val="28"/>
                <w:szCs w:val="28"/>
                <w:lang w:val="lv-LV"/>
              </w:rPr>
              <w:t>”</w:t>
            </w: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</w:p>
          <w:p w:rsidR="002D7C67" w:rsidRPr="002D7C67" w:rsidRDefault="002D7C67" w:rsidP="002D7C67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pielikums Nr.82 “Sertifikāts Nr.</w:t>
            </w:r>
            <w:r w:rsidRPr="002D7C67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 xml:space="preserve">     </w:t>
            </w:r>
            <w:r w:rsidRPr="002D7C67">
              <w:rPr>
                <w:rFonts w:ascii="Times New Roman" w:hAnsi="Times New Roman"/>
                <w:sz w:val="28"/>
                <w:szCs w:val="28"/>
                <w:lang w:val="lv-LV"/>
              </w:rPr>
              <w:t>Par HIV infekcijas izmeklēšanas rezultātu”.</w:t>
            </w:r>
          </w:p>
          <w:p w:rsidR="002D7C67" w:rsidRPr="002D7C67" w:rsidRDefault="002D7C67" w:rsidP="002D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6552" w:rsidRDefault="005B6552" w:rsidP="002D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6552" w:rsidRDefault="002D7C67" w:rsidP="002D7C6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 xml:space="preserve">Sakarā ar </w:t>
            </w:r>
            <w:r w:rsidR="003433B2">
              <w:rPr>
                <w:color w:val="000000"/>
                <w:sz w:val="28"/>
                <w:szCs w:val="28"/>
              </w:rPr>
              <w:t xml:space="preserve">MK </w:t>
            </w:r>
            <w:r w:rsidRPr="002D7C67">
              <w:rPr>
                <w:color w:val="000000"/>
                <w:sz w:val="28"/>
                <w:szCs w:val="28"/>
              </w:rPr>
              <w:t xml:space="preserve">rīkojumā Nr. </w:t>
            </w:r>
            <w:r w:rsidR="00F171DF">
              <w:rPr>
                <w:color w:val="000000"/>
                <w:sz w:val="28"/>
                <w:szCs w:val="28"/>
              </w:rPr>
              <w:t>101</w:t>
            </w:r>
            <w:r w:rsidRPr="002D7C67">
              <w:rPr>
                <w:color w:val="000000"/>
                <w:sz w:val="28"/>
                <w:szCs w:val="28"/>
              </w:rPr>
              <w:t xml:space="preserve"> noteikto </w:t>
            </w:r>
            <w:r w:rsidR="007C4298">
              <w:rPr>
                <w:color w:val="000000"/>
                <w:sz w:val="28"/>
                <w:szCs w:val="28"/>
              </w:rPr>
              <w:t xml:space="preserve">LIC </w:t>
            </w:r>
            <w:r w:rsidR="005B6552">
              <w:rPr>
                <w:color w:val="000000"/>
                <w:sz w:val="28"/>
                <w:szCs w:val="28"/>
              </w:rPr>
              <w:t xml:space="preserve">kompetences nodošanu, </w:t>
            </w:r>
            <w:r w:rsidR="00190506">
              <w:rPr>
                <w:color w:val="000000"/>
                <w:sz w:val="28"/>
                <w:szCs w:val="28"/>
              </w:rPr>
              <w:t xml:space="preserve">LIC </w:t>
            </w:r>
            <w:r w:rsidR="00F171DF">
              <w:rPr>
                <w:color w:val="000000"/>
                <w:sz w:val="28"/>
                <w:szCs w:val="28"/>
              </w:rPr>
              <w:t>MK</w:t>
            </w:r>
            <w:r w:rsidRPr="002D7C67">
              <w:rPr>
                <w:color w:val="000000"/>
                <w:sz w:val="28"/>
                <w:szCs w:val="28"/>
              </w:rPr>
              <w:t xml:space="preserve"> noteikumos Nr.265 nepieciešams aizstāt vai nu ar Slimību</w:t>
            </w:r>
            <w:r w:rsidR="003433B2">
              <w:rPr>
                <w:color w:val="000000"/>
                <w:sz w:val="28"/>
                <w:szCs w:val="28"/>
              </w:rPr>
              <w:t xml:space="preserve"> </w:t>
            </w:r>
            <w:r w:rsidR="00190506">
              <w:rPr>
                <w:color w:val="000000"/>
                <w:sz w:val="28"/>
                <w:szCs w:val="28"/>
              </w:rPr>
              <w:t>profilakses un kontroles centru</w:t>
            </w:r>
            <w:r w:rsidR="003433B2">
              <w:rPr>
                <w:color w:val="000000"/>
                <w:sz w:val="28"/>
                <w:szCs w:val="28"/>
              </w:rPr>
              <w:t>,</w:t>
            </w:r>
            <w:r w:rsidRPr="002D7C67">
              <w:rPr>
                <w:color w:val="000000"/>
                <w:sz w:val="28"/>
                <w:szCs w:val="28"/>
              </w:rPr>
              <w:t xml:space="preserve"> vai </w:t>
            </w:r>
            <w:r w:rsidR="00190506">
              <w:rPr>
                <w:color w:val="000000"/>
                <w:sz w:val="28"/>
                <w:szCs w:val="28"/>
              </w:rPr>
              <w:t>RAKUS.</w:t>
            </w:r>
            <w:r w:rsidR="00D9323B">
              <w:rPr>
                <w:color w:val="000000"/>
                <w:sz w:val="28"/>
                <w:szCs w:val="28"/>
              </w:rPr>
              <w:t xml:space="preserve"> </w:t>
            </w:r>
          </w:p>
          <w:p w:rsidR="00D9323B" w:rsidRDefault="00D9323B" w:rsidP="002D7C67">
            <w:pPr>
              <w:pStyle w:val="FootnoteText"/>
              <w:jc w:val="both"/>
              <w:rPr>
                <w:sz w:val="28"/>
                <w:szCs w:val="28"/>
              </w:rPr>
            </w:pPr>
          </w:p>
          <w:p w:rsidR="002D7C67" w:rsidRPr="002D7C67" w:rsidRDefault="002D7C67" w:rsidP="002D7C67">
            <w:pPr>
              <w:pStyle w:val="FootnoteText"/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Apstiprinošā HIV laboratoriskā diagnostika tiek veikta tikai primāri pozitīvajiem asins paraugiem un tikai</w:t>
            </w:r>
            <w:r w:rsidR="007A4647">
              <w:rPr>
                <w:sz w:val="28"/>
                <w:szCs w:val="28"/>
              </w:rPr>
              <w:t xml:space="preserve"> laboratorijā, kura ir nozīmēta</w:t>
            </w:r>
            <w:r w:rsidRPr="002D7C67">
              <w:rPr>
                <w:sz w:val="28"/>
                <w:szCs w:val="28"/>
              </w:rPr>
              <w:t xml:space="preserve"> kā  nacionālā references jeb apstiprinošās diagnostikas laboratorija. </w:t>
            </w:r>
            <w:r w:rsidR="00F618F8">
              <w:rPr>
                <w:color w:val="000000"/>
                <w:sz w:val="28"/>
                <w:szCs w:val="28"/>
              </w:rPr>
              <w:t>A</w:t>
            </w:r>
            <w:r w:rsidRPr="002D7C67">
              <w:rPr>
                <w:color w:val="000000"/>
                <w:sz w:val="28"/>
                <w:szCs w:val="28"/>
              </w:rPr>
              <w:t xml:space="preserve">tbilstoši </w:t>
            </w:r>
            <w:r w:rsidR="003433B2">
              <w:rPr>
                <w:color w:val="000000"/>
                <w:sz w:val="28"/>
                <w:szCs w:val="28"/>
              </w:rPr>
              <w:t>MK</w:t>
            </w:r>
            <w:r w:rsidRPr="002D7C67">
              <w:rPr>
                <w:color w:val="000000"/>
                <w:sz w:val="28"/>
                <w:szCs w:val="28"/>
              </w:rPr>
              <w:t xml:space="preserve"> rīkojuma Nr.</w:t>
            </w:r>
            <w:r w:rsidR="00F171DF">
              <w:rPr>
                <w:color w:val="000000"/>
                <w:sz w:val="28"/>
                <w:szCs w:val="28"/>
              </w:rPr>
              <w:t>101</w:t>
            </w:r>
            <w:r w:rsidRPr="002D7C67">
              <w:rPr>
                <w:color w:val="000000"/>
                <w:sz w:val="28"/>
                <w:szCs w:val="28"/>
              </w:rPr>
              <w:t xml:space="preserve"> Nr.3.2.4. </w:t>
            </w:r>
            <w:r w:rsidR="00F87248">
              <w:rPr>
                <w:color w:val="000000"/>
                <w:sz w:val="28"/>
                <w:szCs w:val="28"/>
              </w:rPr>
              <w:t>apakš</w:t>
            </w:r>
            <w:r w:rsidRPr="002D7C67">
              <w:rPr>
                <w:color w:val="000000"/>
                <w:sz w:val="28"/>
                <w:szCs w:val="28"/>
              </w:rPr>
              <w:t>punktam  LIC nacionālā references centra uzdevumi mikrobioloģijas un viruso</w:t>
            </w:r>
            <w:r w:rsidR="00190506">
              <w:rPr>
                <w:color w:val="000000"/>
                <w:sz w:val="28"/>
                <w:szCs w:val="28"/>
              </w:rPr>
              <w:t>loģijas jomā tiek nodoti RAKUS,</w:t>
            </w:r>
            <w:r w:rsidR="00F618F8">
              <w:rPr>
                <w:color w:val="000000"/>
                <w:sz w:val="28"/>
                <w:szCs w:val="28"/>
              </w:rPr>
              <w:t xml:space="preserve"> </w:t>
            </w:r>
            <w:r w:rsidR="00190506">
              <w:rPr>
                <w:color w:val="000000"/>
                <w:sz w:val="28"/>
                <w:szCs w:val="28"/>
              </w:rPr>
              <w:t>līdz ar  to  LIC MK</w:t>
            </w:r>
            <w:r w:rsidR="00190506" w:rsidRPr="002D7C67">
              <w:rPr>
                <w:color w:val="000000"/>
                <w:sz w:val="28"/>
                <w:szCs w:val="28"/>
              </w:rPr>
              <w:t xml:space="preserve"> notei</w:t>
            </w:r>
            <w:r w:rsidR="00190506">
              <w:rPr>
                <w:color w:val="000000"/>
                <w:sz w:val="28"/>
                <w:szCs w:val="28"/>
              </w:rPr>
              <w:t>kumu Nr.265 66. un 68.pielikumā</w:t>
            </w:r>
            <w:r w:rsidR="00190506" w:rsidRPr="002D7C67">
              <w:rPr>
                <w:color w:val="000000"/>
                <w:sz w:val="28"/>
                <w:szCs w:val="28"/>
              </w:rPr>
              <w:t xml:space="preserve"> tajās uzskaites veidlapu ailēs, kur prasīts norādīt asins </w:t>
            </w:r>
            <w:r w:rsidR="00190506">
              <w:rPr>
                <w:color w:val="000000"/>
                <w:sz w:val="28"/>
                <w:szCs w:val="28"/>
              </w:rPr>
              <w:t>parauga reģistrācijas numuru vai</w:t>
            </w:r>
            <w:r w:rsidR="00190506" w:rsidRPr="002D7C67">
              <w:rPr>
                <w:color w:val="000000"/>
                <w:sz w:val="28"/>
                <w:szCs w:val="28"/>
              </w:rPr>
              <w:t xml:space="preserve"> HIV infekcijas apstiprināšanas datumu</w:t>
            </w:r>
            <w:r w:rsidR="00190506">
              <w:rPr>
                <w:color w:val="000000"/>
                <w:sz w:val="28"/>
                <w:szCs w:val="28"/>
              </w:rPr>
              <w:t xml:space="preserve">, </w:t>
            </w:r>
            <w:r w:rsidRPr="00190506">
              <w:rPr>
                <w:color w:val="000000"/>
                <w:sz w:val="28"/>
                <w:szCs w:val="28"/>
              </w:rPr>
              <w:t xml:space="preserve">jāaizstāj </w:t>
            </w:r>
            <w:r w:rsidR="00190506" w:rsidRPr="00190506">
              <w:rPr>
                <w:sz w:val="28"/>
                <w:szCs w:val="28"/>
              </w:rPr>
              <w:t xml:space="preserve">ar tā uzdevumu, tiesību un saistību pārņēmēju attiecīgajā jomā – </w:t>
            </w:r>
            <w:r w:rsidR="00190506" w:rsidRPr="00190506">
              <w:rPr>
                <w:color w:val="000000"/>
                <w:sz w:val="28"/>
                <w:szCs w:val="28"/>
              </w:rPr>
              <w:t>RAKUS</w:t>
            </w:r>
            <w:r w:rsidR="00190506">
              <w:rPr>
                <w:color w:val="000000"/>
                <w:sz w:val="28"/>
                <w:szCs w:val="28"/>
              </w:rPr>
              <w:t xml:space="preserve">. </w:t>
            </w:r>
            <w:r w:rsidRPr="002D7C67">
              <w:rPr>
                <w:sz w:val="28"/>
                <w:szCs w:val="28"/>
              </w:rPr>
              <w:t xml:space="preserve"> </w:t>
            </w:r>
          </w:p>
          <w:p w:rsidR="002D7C67" w:rsidRPr="002D7C67" w:rsidRDefault="002D7C67" w:rsidP="002D7C6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0717F" w:rsidRPr="002D7C67" w:rsidRDefault="004A4620" w:rsidP="00190506">
            <w:pPr>
              <w:jc w:val="both"/>
              <w:rPr>
                <w:color w:val="000000"/>
                <w:sz w:val="28"/>
                <w:szCs w:val="28"/>
              </w:rPr>
            </w:pPr>
            <w:r w:rsidRPr="004A4620">
              <w:rPr>
                <w:color w:val="000000"/>
                <w:sz w:val="28"/>
                <w:szCs w:val="28"/>
              </w:rPr>
              <w:t>Tā kā a</w:t>
            </w:r>
            <w:r w:rsidR="002D7C67" w:rsidRPr="004A4620">
              <w:rPr>
                <w:color w:val="000000"/>
                <w:sz w:val="28"/>
                <w:szCs w:val="28"/>
              </w:rPr>
              <w:t>tbilstoši MK rīkojuma Nr.</w:t>
            </w:r>
            <w:r w:rsidR="00F171DF" w:rsidRPr="004A4620">
              <w:rPr>
                <w:color w:val="000000"/>
                <w:sz w:val="28"/>
                <w:szCs w:val="28"/>
              </w:rPr>
              <w:t>101</w:t>
            </w:r>
            <w:r w:rsidRPr="004A4620">
              <w:rPr>
                <w:color w:val="000000"/>
                <w:sz w:val="28"/>
                <w:szCs w:val="28"/>
              </w:rPr>
              <w:t xml:space="preserve"> 3.1.1., 3.1.2., 14.1.1. </w:t>
            </w:r>
            <w:r w:rsidR="000925C9" w:rsidRPr="004A4620">
              <w:rPr>
                <w:color w:val="000000"/>
                <w:sz w:val="28"/>
                <w:szCs w:val="28"/>
              </w:rPr>
              <w:t>apakš</w:t>
            </w:r>
            <w:r>
              <w:rPr>
                <w:color w:val="000000"/>
                <w:sz w:val="28"/>
                <w:szCs w:val="28"/>
              </w:rPr>
              <w:t xml:space="preserve">punktam </w:t>
            </w:r>
            <w:r w:rsidR="002D7C67" w:rsidRPr="004A4620">
              <w:rPr>
                <w:color w:val="000000"/>
                <w:sz w:val="28"/>
                <w:szCs w:val="28"/>
              </w:rPr>
              <w:t>Slimību profilakses un kontroles centram tiek nodoti LIC pārvaldes uzdevumi infekciju slimību epidemioloģiskās uzraudzības</w:t>
            </w:r>
            <w:r w:rsidRPr="004A4620">
              <w:rPr>
                <w:color w:val="000000"/>
                <w:sz w:val="28"/>
                <w:szCs w:val="28"/>
              </w:rPr>
              <w:t>,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 monitoringa, reģistrācijas, izmeklēšanas</w:t>
            </w:r>
            <w:r>
              <w:rPr>
                <w:color w:val="000000"/>
                <w:sz w:val="28"/>
                <w:szCs w:val="28"/>
              </w:rPr>
              <w:t xml:space="preserve">, vakcinācijas komplikāciju gadījumu epidemioloģiskās izmeklēšanas jomā, 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kā arī </w:t>
            </w:r>
            <w:r>
              <w:rPr>
                <w:color w:val="000000"/>
                <w:sz w:val="28"/>
                <w:szCs w:val="28"/>
              </w:rPr>
              <w:t>valsts informācija sistēmas „HIV/AIDS gadījumu valsts reģistrs” pārziņa funkcijas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, </w:t>
            </w:r>
            <w:r w:rsidR="007C4298" w:rsidRPr="002D7C67">
              <w:rPr>
                <w:color w:val="000000"/>
                <w:sz w:val="28"/>
                <w:szCs w:val="28"/>
              </w:rPr>
              <w:t xml:space="preserve">visos pārējos gadījumos </w:t>
            </w:r>
            <w:r w:rsidR="00190506">
              <w:rPr>
                <w:color w:val="000000"/>
                <w:sz w:val="28"/>
                <w:szCs w:val="28"/>
              </w:rPr>
              <w:t>LIC</w:t>
            </w:r>
            <w:r w:rsidR="00327FF6">
              <w:rPr>
                <w:color w:val="000000"/>
                <w:sz w:val="28"/>
                <w:szCs w:val="28"/>
              </w:rPr>
              <w:t xml:space="preserve"> </w:t>
            </w:r>
            <w:r w:rsidR="00F171DF">
              <w:rPr>
                <w:color w:val="000000"/>
                <w:sz w:val="28"/>
                <w:szCs w:val="28"/>
              </w:rPr>
              <w:t>MK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 noteikumu Nr.265 24.pielikumā, 66.pielikumā,  68. pielikumā, 80.pielikumā, 81.pielik</w:t>
            </w:r>
            <w:r>
              <w:rPr>
                <w:color w:val="000000"/>
                <w:sz w:val="28"/>
                <w:szCs w:val="28"/>
              </w:rPr>
              <w:t xml:space="preserve">umā, 82.pielikumā jāaizstāj ar </w:t>
            </w:r>
            <w:r w:rsidR="002D7C67" w:rsidRPr="002D7C67">
              <w:rPr>
                <w:color w:val="000000"/>
                <w:sz w:val="28"/>
                <w:szCs w:val="28"/>
              </w:rPr>
              <w:t xml:space="preserve">Slimību </w:t>
            </w:r>
            <w:r w:rsidR="00190506">
              <w:rPr>
                <w:color w:val="000000"/>
                <w:sz w:val="28"/>
                <w:szCs w:val="28"/>
              </w:rPr>
              <w:lastRenderedPageBreak/>
              <w:t>profilakses un kontroles centru</w:t>
            </w:r>
            <w:r w:rsidR="002D7C67" w:rsidRPr="002D7C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76E3" w:rsidRPr="002D7C67" w:rsidTr="007062CF">
        <w:trPr>
          <w:trHeight w:val="648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6095" w:type="dxa"/>
            <w:vAlign w:val="center"/>
          </w:tcPr>
          <w:p w:rsidR="000B76E3" w:rsidRPr="002D7C67" w:rsidRDefault="004C2675" w:rsidP="003B2FD5">
            <w:pPr>
              <w:pStyle w:val="FootnoteText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MK noteikumu</w:t>
            </w:r>
            <w:r w:rsidR="000B76E3" w:rsidRPr="002D7C67">
              <w:rPr>
                <w:color w:val="000000"/>
                <w:sz w:val="28"/>
                <w:szCs w:val="28"/>
              </w:rPr>
              <w:t xml:space="preserve"> projekts šo jomu neskar</w:t>
            </w:r>
          </w:p>
        </w:tc>
      </w:tr>
      <w:tr w:rsidR="000B76E3" w:rsidRPr="002D7C67" w:rsidTr="007062CF">
        <w:trPr>
          <w:trHeight w:val="384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Tiesiskā regulējuma mērķis un būtība</w:t>
            </w:r>
          </w:p>
        </w:tc>
        <w:tc>
          <w:tcPr>
            <w:tcW w:w="6095" w:type="dxa"/>
          </w:tcPr>
          <w:p w:rsidR="00DE5627" w:rsidRPr="002D7C67" w:rsidRDefault="00DE5627" w:rsidP="00DE5627">
            <w:pPr>
              <w:pStyle w:val="NoSpacing"/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MK noteikumu projekta mērķis ir veikt tehniskus grozījumus, lai </w:t>
            </w:r>
            <w:r w:rsidR="00190506">
              <w:rPr>
                <w:sz w:val="28"/>
                <w:szCs w:val="28"/>
              </w:rPr>
              <w:t>LIC</w:t>
            </w:r>
            <w:r w:rsidR="00C93350">
              <w:rPr>
                <w:sz w:val="28"/>
                <w:szCs w:val="28"/>
              </w:rPr>
              <w:t xml:space="preserve"> </w:t>
            </w:r>
            <w:r w:rsidR="00F171DF">
              <w:rPr>
                <w:sz w:val="28"/>
                <w:szCs w:val="28"/>
              </w:rPr>
              <w:t>MK</w:t>
            </w:r>
            <w:r w:rsidR="0037170C" w:rsidRPr="002D7C67">
              <w:rPr>
                <w:sz w:val="28"/>
                <w:szCs w:val="28"/>
              </w:rPr>
              <w:t xml:space="preserve"> noteikumu Nr.265 pielikumos Nr.24, 66, 68, 80, 81 un 82 aizstātu</w:t>
            </w:r>
            <w:r w:rsidRPr="002D7C67">
              <w:rPr>
                <w:sz w:val="28"/>
                <w:szCs w:val="28"/>
              </w:rPr>
              <w:t xml:space="preserve"> vai nu ar Slimību</w:t>
            </w:r>
            <w:r w:rsidR="00C93350">
              <w:rPr>
                <w:sz w:val="28"/>
                <w:szCs w:val="28"/>
              </w:rPr>
              <w:t xml:space="preserve"> </w:t>
            </w:r>
            <w:r w:rsidR="00190506">
              <w:rPr>
                <w:sz w:val="28"/>
                <w:szCs w:val="28"/>
              </w:rPr>
              <w:t>profilakses un kontroles centrs</w:t>
            </w:r>
            <w:r w:rsidR="00C93350">
              <w:rPr>
                <w:sz w:val="28"/>
                <w:szCs w:val="28"/>
              </w:rPr>
              <w:t xml:space="preserve">, </w:t>
            </w:r>
            <w:r w:rsidRPr="002D7C67">
              <w:rPr>
                <w:sz w:val="28"/>
                <w:szCs w:val="28"/>
              </w:rPr>
              <w:t xml:space="preserve"> vai </w:t>
            </w:r>
            <w:r w:rsidR="00C93350" w:rsidRPr="002D7C67">
              <w:rPr>
                <w:color w:val="000000"/>
                <w:sz w:val="28"/>
                <w:szCs w:val="28"/>
              </w:rPr>
              <w:t xml:space="preserve">ar </w:t>
            </w:r>
            <w:r w:rsidR="00190506">
              <w:rPr>
                <w:color w:val="000000"/>
                <w:sz w:val="28"/>
                <w:szCs w:val="28"/>
              </w:rPr>
              <w:t>RAKUS.</w:t>
            </w:r>
          </w:p>
          <w:p w:rsidR="002D7C67" w:rsidRPr="002D7C67" w:rsidRDefault="002D7C67" w:rsidP="00DE5627">
            <w:pPr>
              <w:pStyle w:val="NoSpacing"/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Projektā tiek ietverti šādi tehniskie grozījumi:</w:t>
            </w:r>
          </w:p>
          <w:p w:rsidR="002D7C67" w:rsidRPr="002D7C67" w:rsidRDefault="002D7C67" w:rsidP="00DE5627">
            <w:pPr>
              <w:pStyle w:val="NoSpacing"/>
              <w:jc w:val="both"/>
              <w:rPr>
                <w:sz w:val="28"/>
                <w:szCs w:val="28"/>
              </w:rPr>
            </w:pPr>
          </w:p>
          <w:p w:rsidR="002D7C67" w:rsidRPr="002D7C67" w:rsidRDefault="002D7C67" w:rsidP="00DE5627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1.Vārdi „valsts aģentūra „Latvijas Infektoloģijas centrs”</w:t>
            </w:r>
            <w:r w:rsidR="00C93350">
              <w:rPr>
                <w:color w:val="000000"/>
                <w:sz w:val="28"/>
                <w:szCs w:val="28"/>
              </w:rPr>
              <w:t>”</w:t>
            </w:r>
            <w:r w:rsidRPr="002D7C67">
              <w:rPr>
                <w:color w:val="000000"/>
                <w:sz w:val="28"/>
                <w:szCs w:val="28"/>
              </w:rPr>
              <w:t xml:space="preserve"> (attiecīgā locījumā) tiek aizstāti ar vārdiem „Slimību profilakses un kontroles centrs” (attiecīgā locījumā) MK noteikumu Nr.265 24.pielikumā, 66.pielikuma </w:t>
            </w:r>
            <w:r w:rsidR="006A4BE5">
              <w:rPr>
                <w:color w:val="000000"/>
                <w:sz w:val="28"/>
                <w:szCs w:val="28"/>
              </w:rPr>
              <w:t xml:space="preserve"> III sadaļā</w:t>
            </w:r>
            <w:r w:rsidR="007C4298">
              <w:rPr>
                <w:color w:val="000000"/>
                <w:sz w:val="28"/>
                <w:szCs w:val="28"/>
              </w:rPr>
              <w:t>, 68. pielikumā</w:t>
            </w:r>
            <w:r w:rsidR="004A4620">
              <w:rPr>
                <w:color w:val="000000"/>
                <w:sz w:val="28"/>
                <w:szCs w:val="28"/>
              </w:rPr>
              <w:t xml:space="preserve"> pirms sadaļas „Piezīmes” un </w:t>
            </w:r>
            <w:r w:rsidRPr="002D7C67">
              <w:rPr>
                <w:color w:val="000000"/>
                <w:sz w:val="28"/>
                <w:szCs w:val="28"/>
              </w:rPr>
              <w:t>80., 81., 82.pielikumā.</w:t>
            </w:r>
          </w:p>
          <w:p w:rsidR="002D7C67" w:rsidRPr="002D7C67" w:rsidRDefault="002D7C67" w:rsidP="00DE5627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</w:p>
          <w:p w:rsidR="002D7C67" w:rsidRPr="002D7C67" w:rsidRDefault="002D7C67" w:rsidP="00190506">
            <w:pPr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2. Vārdi „valsts aģentūra</w:t>
            </w:r>
            <w:r w:rsidR="00FF3DD3">
              <w:rPr>
                <w:color w:val="000000"/>
                <w:sz w:val="28"/>
                <w:szCs w:val="28"/>
              </w:rPr>
              <w:t>s</w:t>
            </w:r>
            <w:r w:rsidRPr="002D7C67">
              <w:rPr>
                <w:color w:val="000000"/>
                <w:sz w:val="28"/>
                <w:szCs w:val="28"/>
              </w:rPr>
              <w:t xml:space="preserve"> „Latvijas Infektoloģijas centrs”</w:t>
            </w:r>
            <w:r w:rsidR="000925C9">
              <w:rPr>
                <w:color w:val="000000"/>
                <w:sz w:val="28"/>
                <w:szCs w:val="28"/>
              </w:rPr>
              <w:t>”</w:t>
            </w:r>
            <w:r w:rsidRPr="002D7C67">
              <w:rPr>
                <w:color w:val="000000"/>
                <w:sz w:val="28"/>
                <w:szCs w:val="28"/>
              </w:rPr>
              <w:t xml:space="preserve"> tiek aizstāti ar vārdiem „sabiedrība</w:t>
            </w:r>
            <w:r w:rsidR="00FF3DD3">
              <w:rPr>
                <w:color w:val="000000"/>
                <w:sz w:val="28"/>
                <w:szCs w:val="28"/>
              </w:rPr>
              <w:t>s</w:t>
            </w:r>
            <w:r w:rsidRPr="002D7C67">
              <w:rPr>
                <w:color w:val="000000"/>
                <w:sz w:val="28"/>
                <w:szCs w:val="28"/>
              </w:rPr>
              <w:t xml:space="preserve"> ar ierobežotu atbildību „Rīgas Austrumu klīniskā universitātes slimnīca”</w:t>
            </w:r>
            <w:r w:rsidR="000925C9">
              <w:rPr>
                <w:color w:val="000000"/>
                <w:sz w:val="28"/>
                <w:szCs w:val="28"/>
              </w:rPr>
              <w:t>”</w:t>
            </w:r>
            <w:r w:rsidRPr="002D7C67">
              <w:rPr>
                <w:color w:val="000000"/>
                <w:sz w:val="28"/>
                <w:szCs w:val="28"/>
              </w:rPr>
              <w:t xml:space="preserve"> MK noteikumu Nr.265 66.pielikuma I sadaļā „Vispārējās ziņas” un 68.pielikuma ailē „Valsts aģentūras „Latvijas Infektoloģijas centrs” laboratorijas parauga reģistrācijas numurs”.</w:t>
            </w:r>
          </w:p>
          <w:p w:rsidR="002D7C67" w:rsidRPr="002D7C67" w:rsidRDefault="002D7C67" w:rsidP="00DE562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  <w:p w:rsidR="00DE5627" w:rsidRPr="002D7C67" w:rsidRDefault="00F87248" w:rsidP="00DE5627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</w:t>
            </w:r>
            <w:r w:rsidR="00DE5627" w:rsidRPr="002D7C67">
              <w:rPr>
                <w:sz w:val="28"/>
                <w:szCs w:val="28"/>
              </w:rPr>
              <w:t xml:space="preserve">oteikumu projekts pilnībā atrisinās </w:t>
            </w:r>
            <w:r w:rsidR="002D7C67" w:rsidRPr="002D7C67">
              <w:rPr>
                <w:sz w:val="28"/>
                <w:szCs w:val="28"/>
              </w:rPr>
              <w:t xml:space="preserve">visas 2.punktā </w:t>
            </w:r>
            <w:r w:rsidR="00DE5627" w:rsidRPr="002D7C67">
              <w:rPr>
                <w:sz w:val="28"/>
                <w:szCs w:val="28"/>
              </w:rPr>
              <w:t>minētās problēmas.</w:t>
            </w:r>
          </w:p>
          <w:p w:rsidR="00DE5627" w:rsidRPr="002D7C67" w:rsidRDefault="00DE5627" w:rsidP="00495D19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</w:p>
          <w:p w:rsidR="00D41270" w:rsidRPr="002D7C67" w:rsidRDefault="00D41270" w:rsidP="002D7C6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76E3" w:rsidRPr="002D7C67" w:rsidTr="007062CF">
        <w:trPr>
          <w:trHeight w:val="476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095" w:type="dxa"/>
          </w:tcPr>
          <w:p w:rsidR="004B1310" w:rsidRPr="002D7C67" w:rsidRDefault="00BB698F" w:rsidP="006B456D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 xml:space="preserve">MK noteikumu projekta izstrādei </w:t>
            </w:r>
            <w:r w:rsidR="004B1310" w:rsidRPr="002D7C67">
              <w:rPr>
                <w:color w:val="000000"/>
                <w:sz w:val="28"/>
                <w:szCs w:val="28"/>
              </w:rPr>
              <w:t>darba grupa netika veidota.</w:t>
            </w:r>
          </w:p>
          <w:p w:rsidR="000B76E3" w:rsidRPr="002D7C67" w:rsidRDefault="000B76E3" w:rsidP="006B456D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B76E3" w:rsidRPr="002D7C67" w:rsidTr="007062CF">
        <w:trPr>
          <w:trHeight w:val="719"/>
        </w:trPr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i/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6095" w:type="dxa"/>
          </w:tcPr>
          <w:p w:rsidR="000B76E3" w:rsidRPr="002D7C67" w:rsidRDefault="004B1310" w:rsidP="00DD61F6">
            <w:pPr>
              <w:pStyle w:val="FootnoteText"/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S</w:t>
            </w:r>
            <w:r w:rsidR="0085389D" w:rsidRPr="002D7C67">
              <w:rPr>
                <w:sz w:val="28"/>
                <w:szCs w:val="28"/>
              </w:rPr>
              <w:t xml:space="preserve">abiedrības iesaistīšana nebija lietderīga, jo MK noteikumu projekts paredz </w:t>
            </w:r>
            <w:r w:rsidRPr="002D7C67">
              <w:rPr>
                <w:sz w:val="28"/>
                <w:szCs w:val="28"/>
              </w:rPr>
              <w:t>veikt tehniskus grozījumus, lai aizstātu</w:t>
            </w:r>
            <w:r w:rsidR="002D7C67" w:rsidRPr="002D7C67">
              <w:rPr>
                <w:sz w:val="28"/>
                <w:szCs w:val="28"/>
              </w:rPr>
              <w:t xml:space="preserve"> </w:t>
            </w:r>
            <w:r w:rsidR="00DD61F6">
              <w:rPr>
                <w:sz w:val="28"/>
                <w:szCs w:val="28"/>
              </w:rPr>
              <w:t>LIC</w:t>
            </w:r>
            <w:r w:rsidR="002D7C67" w:rsidRPr="002D7C67">
              <w:rPr>
                <w:sz w:val="28"/>
                <w:szCs w:val="28"/>
              </w:rPr>
              <w:t xml:space="preserve"> ar Slimību </w:t>
            </w:r>
            <w:r w:rsidR="00DD61F6">
              <w:rPr>
                <w:sz w:val="28"/>
                <w:szCs w:val="28"/>
              </w:rPr>
              <w:t>profilakses un kontroles centru</w:t>
            </w:r>
            <w:r w:rsidR="002D7C67" w:rsidRPr="002D7C67">
              <w:rPr>
                <w:sz w:val="28"/>
                <w:szCs w:val="28"/>
              </w:rPr>
              <w:t xml:space="preserve"> vai </w:t>
            </w:r>
            <w:r w:rsidR="00DD61F6">
              <w:rPr>
                <w:color w:val="000000"/>
                <w:sz w:val="28"/>
                <w:szCs w:val="28"/>
              </w:rPr>
              <w:t>RAKUS</w:t>
            </w:r>
            <w:r w:rsidR="002D7C67" w:rsidRPr="002D7C67">
              <w:rPr>
                <w:color w:val="000000"/>
                <w:sz w:val="28"/>
                <w:szCs w:val="28"/>
              </w:rPr>
              <w:t>.</w:t>
            </w:r>
          </w:p>
        </w:tc>
      </w:tr>
      <w:tr w:rsidR="000B76E3" w:rsidRPr="002D7C67" w:rsidTr="007062CF">
        <w:tc>
          <w:tcPr>
            <w:tcW w:w="550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739" w:type="dxa"/>
          </w:tcPr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  <w:r w:rsidRPr="002D7C67">
              <w:rPr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6095" w:type="dxa"/>
          </w:tcPr>
          <w:p w:rsidR="001E1154" w:rsidRPr="002D7C67" w:rsidRDefault="001E1154" w:rsidP="001E1154">
            <w:pPr>
              <w:jc w:val="both"/>
              <w:rPr>
                <w:color w:val="000000"/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Paredzēts, ka </w:t>
            </w:r>
            <w:r w:rsidR="00F171DF">
              <w:rPr>
                <w:sz w:val="28"/>
                <w:szCs w:val="28"/>
              </w:rPr>
              <w:t xml:space="preserve">MK </w:t>
            </w:r>
            <w:r w:rsidRPr="002D7C67">
              <w:rPr>
                <w:sz w:val="28"/>
                <w:szCs w:val="28"/>
              </w:rPr>
              <w:t>n</w:t>
            </w:r>
            <w:r w:rsidR="00DD61F6">
              <w:rPr>
                <w:sz w:val="28"/>
                <w:szCs w:val="28"/>
              </w:rPr>
              <w:t>oteikumu projekta grozījumi stās</w:t>
            </w:r>
            <w:r w:rsidRPr="002D7C67">
              <w:rPr>
                <w:sz w:val="28"/>
                <w:szCs w:val="28"/>
              </w:rPr>
              <w:t xml:space="preserve">ies spēkā </w:t>
            </w:r>
            <w:r w:rsidR="000925C9">
              <w:rPr>
                <w:sz w:val="28"/>
                <w:szCs w:val="28"/>
              </w:rPr>
              <w:t>2012.gada 1.aprīlī</w:t>
            </w:r>
            <w:r w:rsidRPr="002D7C67">
              <w:rPr>
                <w:sz w:val="28"/>
                <w:szCs w:val="28"/>
              </w:rPr>
              <w:t>.</w:t>
            </w:r>
          </w:p>
          <w:p w:rsidR="000B76E3" w:rsidRPr="002D7C67" w:rsidRDefault="000B76E3" w:rsidP="005A03EE">
            <w:pPr>
              <w:pStyle w:val="naiskr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</w:tbl>
    <w:p w:rsidR="007F05D8" w:rsidRPr="002D7C67" w:rsidRDefault="007F05D8" w:rsidP="000B76E3">
      <w:pPr>
        <w:rPr>
          <w:color w:val="000000"/>
          <w:sz w:val="28"/>
          <w:szCs w:val="28"/>
        </w:rPr>
      </w:pPr>
    </w:p>
    <w:p w:rsidR="002543DC" w:rsidRPr="002D7C67" w:rsidRDefault="002543DC" w:rsidP="002543DC">
      <w:pPr>
        <w:jc w:val="both"/>
        <w:rPr>
          <w:sz w:val="28"/>
          <w:szCs w:val="28"/>
        </w:rPr>
      </w:pPr>
    </w:p>
    <w:tbl>
      <w:tblPr>
        <w:tblW w:w="5088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2"/>
        <w:gridCol w:w="2960"/>
        <w:gridCol w:w="5860"/>
      </w:tblGrid>
      <w:tr w:rsidR="002543DC" w:rsidRPr="002D7C67" w:rsidTr="002543DC">
        <w:tc>
          <w:tcPr>
            <w:tcW w:w="9292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2543DC" w:rsidRPr="002D7C67" w:rsidRDefault="002543DC" w:rsidP="002543DC">
            <w:pPr>
              <w:jc w:val="center"/>
              <w:rPr>
                <w:b/>
                <w:bCs/>
                <w:sz w:val="28"/>
                <w:szCs w:val="28"/>
              </w:rPr>
            </w:pPr>
            <w:r w:rsidRPr="002D7C67">
              <w:rPr>
                <w:b/>
                <w:bCs/>
                <w:sz w:val="28"/>
                <w:szCs w:val="28"/>
              </w:rPr>
              <w:t>II. Tiesību akta projekta ietekme uz sabiedrību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1.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Sabiedrības </w:t>
            </w:r>
            <w:proofErr w:type="spellStart"/>
            <w:r w:rsidRPr="002D7C67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7C4298" w:rsidP="00495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Slimību profilakses un kontroles centrs, RAKUS</w:t>
            </w:r>
            <w:r w:rsidR="00495BD3">
              <w:rPr>
                <w:sz w:val="28"/>
                <w:szCs w:val="28"/>
              </w:rPr>
              <w:t xml:space="preserve">. </w:t>
            </w:r>
            <w:r w:rsidR="00C93350">
              <w:rPr>
                <w:sz w:val="28"/>
                <w:szCs w:val="28"/>
              </w:rPr>
              <w:t>MK n</w:t>
            </w:r>
            <w:r w:rsidR="00495BD3">
              <w:rPr>
                <w:sz w:val="28"/>
                <w:szCs w:val="28"/>
              </w:rPr>
              <w:t>oteikumu projekta tiesiskais regulējums attiecas uz visām Latvijas Republikas ārstniecības iestādēm.</w:t>
            </w:r>
            <w:r w:rsidR="002D7C67" w:rsidRPr="002D7C67">
              <w:rPr>
                <w:sz w:val="28"/>
                <w:szCs w:val="28"/>
              </w:rPr>
              <w:t xml:space="preserve"> 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2.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Citas sabiedrības grupas (bez </w:t>
            </w:r>
            <w:proofErr w:type="spellStart"/>
            <w:r w:rsidRPr="002D7C67">
              <w:rPr>
                <w:sz w:val="28"/>
                <w:szCs w:val="28"/>
              </w:rPr>
              <w:t>mērķgrupas</w:t>
            </w:r>
            <w:proofErr w:type="spellEnd"/>
            <w:r w:rsidRPr="002D7C67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C93350" w:rsidP="00154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noteikumu p</w:t>
            </w:r>
            <w:r w:rsidR="001E1154" w:rsidRPr="002D7C67">
              <w:rPr>
                <w:sz w:val="28"/>
                <w:szCs w:val="28"/>
              </w:rPr>
              <w:t xml:space="preserve">rojekts šo jautājumu neskar 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3.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C93350" w:rsidP="00254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noteikumu p</w:t>
            </w:r>
            <w:r w:rsidR="001E1154" w:rsidRPr="002D7C67">
              <w:rPr>
                <w:sz w:val="28"/>
                <w:szCs w:val="28"/>
              </w:rPr>
              <w:t>rojekts šo jautājumu neskar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4.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154" w:rsidRPr="002D7C67" w:rsidRDefault="001E1154" w:rsidP="002D7C67">
            <w:pPr>
              <w:rPr>
                <w:color w:val="000000"/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Groza norādi uz kompetento institūciju  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5.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C93350" w:rsidP="002D7C67">
            <w:pPr>
              <w:pStyle w:val="BodyText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noteikumu p</w:t>
            </w:r>
            <w:r w:rsidR="001E1154" w:rsidRPr="002D7C67">
              <w:rPr>
                <w:sz w:val="28"/>
                <w:szCs w:val="28"/>
              </w:rPr>
              <w:t xml:space="preserve">rojekts šo jautājumu neskar 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6.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C93350" w:rsidP="002D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noteikumu p</w:t>
            </w:r>
            <w:r w:rsidR="001E1154" w:rsidRPr="002D7C67">
              <w:rPr>
                <w:sz w:val="28"/>
                <w:szCs w:val="28"/>
              </w:rPr>
              <w:t xml:space="preserve">rojekts šo jautājumu neskar </w:t>
            </w:r>
          </w:p>
        </w:tc>
      </w:tr>
      <w:tr w:rsidR="002543DC" w:rsidRPr="002D7C67" w:rsidTr="007C4298"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jc w:val="both"/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7.</w:t>
            </w:r>
          </w:p>
        </w:tc>
        <w:tc>
          <w:tcPr>
            <w:tcW w:w="2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543DC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Cita informācija</w:t>
            </w:r>
          </w:p>
        </w:tc>
        <w:tc>
          <w:tcPr>
            <w:tcW w:w="5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3DC" w:rsidRPr="002D7C67" w:rsidRDefault="002D7C67" w:rsidP="002543DC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Nav</w:t>
            </w:r>
          </w:p>
        </w:tc>
      </w:tr>
    </w:tbl>
    <w:p w:rsidR="002543DC" w:rsidRPr="002D7C67" w:rsidRDefault="002543DC" w:rsidP="002543DC">
      <w:pPr>
        <w:jc w:val="both"/>
        <w:rPr>
          <w:sz w:val="28"/>
          <w:szCs w:val="28"/>
        </w:rPr>
      </w:pPr>
    </w:p>
    <w:tbl>
      <w:tblPr>
        <w:tblW w:w="9447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030"/>
        <w:gridCol w:w="5991"/>
      </w:tblGrid>
      <w:tr w:rsidR="004F7830" w:rsidRPr="00784DF0" w:rsidTr="004F7830">
        <w:trPr>
          <w:jc w:val="center"/>
        </w:trPr>
        <w:tc>
          <w:tcPr>
            <w:tcW w:w="9447" w:type="dxa"/>
            <w:gridSpan w:val="3"/>
          </w:tcPr>
          <w:p w:rsidR="004F7830" w:rsidRPr="00784DF0" w:rsidRDefault="004F7830" w:rsidP="004F7830">
            <w:pPr>
              <w:pStyle w:val="naisnod"/>
              <w:spacing w:before="0" w:after="0"/>
              <w:rPr>
                <w:color w:val="000000"/>
                <w:sz w:val="28"/>
                <w:szCs w:val="28"/>
              </w:rPr>
            </w:pPr>
            <w:r w:rsidRPr="00784DF0">
              <w:rPr>
                <w:color w:val="000000"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4F7830" w:rsidRPr="00784DF0" w:rsidTr="004F7830">
        <w:trPr>
          <w:jc w:val="center"/>
        </w:trPr>
        <w:tc>
          <w:tcPr>
            <w:tcW w:w="396" w:type="dxa"/>
          </w:tcPr>
          <w:p w:rsidR="004F7830" w:rsidRPr="00784DF0" w:rsidRDefault="004F7830" w:rsidP="004F78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784DF0">
              <w:rPr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37" w:type="dxa"/>
          </w:tcPr>
          <w:p w:rsidR="004F7830" w:rsidRPr="00784DF0" w:rsidRDefault="004F7830" w:rsidP="004F78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784DF0">
              <w:rPr>
                <w:color w:val="000000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6014" w:type="dxa"/>
          </w:tcPr>
          <w:p w:rsidR="00E0353E" w:rsidRPr="00784DF0" w:rsidRDefault="00FE10F5" w:rsidP="00E0353E">
            <w:pPr>
              <w:jc w:val="both"/>
              <w:rPr>
                <w:sz w:val="28"/>
                <w:szCs w:val="28"/>
              </w:rPr>
            </w:pPr>
            <w:r w:rsidRPr="00784DF0">
              <w:rPr>
                <w:color w:val="000000"/>
                <w:sz w:val="28"/>
                <w:szCs w:val="28"/>
              </w:rPr>
              <w:t>MK rīkojums Nr.101 paredz izveidot jaunu valsts pārvaldes iestādi – Slimību profilakses un kontroles centru. Lai nodrošinātu šīs iestādes darbības tiesisko pamatu,  nepieciešams izstrādāt un iesniegt Ministru kabinetā Slimību profilakses un kontroles centra nolikumu.</w:t>
            </w:r>
            <w:r w:rsidR="005C21CC" w:rsidRPr="00784DF0">
              <w:rPr>
                <w:color w:val="000000"/>
              </w:rPr>
              <w:t xml:space="preserve"> </w:t>
            </w:r>
            <w:r w:rsidR="00E0353E" w:rsidRPr="00784DF0">
              <w:rPr>
                <w:sz w:val="28"/>
                <w:szCs w:val="28"/>
              </w:rPr>
              <w:t>Ņemot vērā, ka atbilstoši MK rīkojuma</w:t>
            </w:r>
            <w:r w:rsidR="00F50961" w:rsidRPr="00784DF0">
              <w:rPr>
                <w:sz w:val="28"/>
                <w:szCs w:val="28"/>
              </w:rPr>
              <w:t xml:space="preserve"> Nr.101</w:t>
            </w:r>
            <w:r w:rsidR="00E0353E" w:rsidRPr="00784DF0">
              <w:rPr>
                <w:sz w:val="28"/>
                <w:szCs w:val="28"/>
              </w:rPr>
              <w:t xml:space="preserve"> 14.1.1. apakšpunktam</w:t>
            </w:r>
            <w:r w:rsidR="00F50961" w:rsidRPr="00784DF0">
              <w:rPr>
                <w:sz w:val="28"/>
                <w:szCs w:val="28"/>
              </w:rPr>
              <w:t xml:space="preserve"> Slimību profilakses un kontroles centra</w:t>
            </w:r>
            <w:r w:rsidR="00E0353E" w:rsidRPr="00784DF0">
              <w:rPr>
                <w:sz w:val="28"/>
                <w:szCs w:val="28"/>
              </w:rPr>
              <w:t xml:space="preserve">m uzdots pārņemt valsts informācijas sistēmas „HIV/AIDS gadījumu valsts reģistrs” pārziņa funkcijas, Slimību profilakses un kontroles centra nolikumā jāiekļauj norma, ka Slimību profilakses un kontroles centrs veido, uztur un papildina </w:t>
            </w:r>
            <w:r w:rsidR="008806BA" w:rsidRPr="00784DF0">
              <w:rPr>
                <w:sz w:val="28"/>
                <w:szCs w:val="28"/>
              </w:rPr>
              <w:t>valsts informācijas sistēmu</w:t>
            </w:r>
            <w:r w:rsidR="00E0353E" w:rsidRPr="00784DF0">
              <w:rPr>
                <w:sz w:val="28"/>
                <w:szCs w:val="28"/>
              </w:rPr>
              <w:t xml:space="preserve"> „HIV/AIDS gadījumu valsts r</w:t>
            </w:r>
            <w:r w:rsidR="008806BA" w:rsidRPr="00784DF0">
              <w:rPr>
                <w:sz w:val="28"/>
                <w:szCs w:val="28"/>
              </w:rPr>
              <w:t xml:space="preserve">eģistrs” un ir tās </w:t>
            </w:r>
            <w:r w:rsidR="00E0353E" w:rsidRPr="00784DF0">
              <w:rPr>
                <w:sz w:val="28"/>
                <w:szCs w:val="28"/>
              </w:rPr>
              <w:t>pārzinis.</w:t>
            </w:r>
            <w:r w:rsidR="008806BA" w:rsidRPr="00784DF0">
              <w:rPr>
                <w:sz w:val="28"/>
                <w:szCs w:val="28"/>
              </w:rPr>
              <w:t xml:space="preserve"> </w:t>
            </w:r>
            <w:r w:rsidR="00E0353E" w:rsidRPr="00784DF0">
              <w:rPr>
                <w:sz w:val="28"/>
                <w:szCs w:val="28"/>
              </w:rPr>
              <w:t xml:space="preserve">Slimību profilakses un kontroles centra nolikuma projekts </w:t>
            </w:r>
            <w:r w:rsidR="00F50961" w:rsidRPr="00784DF0">
              <w:rPr>
                <w:sz w:val="28"/>
                <w:szCs w:val="28"/>
              </w:rPr>
              <w:t xml:space="preserve"> </w:t>
            </w:r>
            <w:r w:rsidR="00E0353E" w:rsidRPr="00784DF0">
              <w:rPr>
                <w:sz w:val="28"/>
                <w:szCs w:val="28"/>
              </w:rPr>
              <w:t xml:space="preserve">ir izstrādāts un izsludināts Valsts sekretāru 2012. gada </w:t>
            </w:r>
            <w:r w:rsidR="008806BA" w:rsidRPr="00784DF0">
              <w:rPr>
                <w:sz w:val="28"/>
                <w:szCs w:val="28"/>
              </w:rPr>
              <w:t>23</w:t>
            </w:r>
            <w:r w:rsidR="00E0353E" w:rsidRPr="00784DF0">
              <w:rPr>
                <w:sz w:val="28"/>
                <w:szCs w:val="28"/>
              </w:rPr>
              <w:t>. februāra</w:t>
            </w:r>
            <w:r w:rsidR="008806BA" w:rsidRPr="00784DF0">
              <w:rPr>
                <w:sz w:val="28"/>
                <w:szCs w:val="28"/>
              </w:rPr>
              <w:t xml:space="preserve"> sanāksmē (prot.Nr.8</w:t>
            </w:r>
            <w:r w:rsidR="00E0353E" w:rsidRPr="00784DF0">
              <w:rPr>
                <w:sz w:val="28"/>
                <w:szCs w:val="28"/>
              </w:rPr>
              <w:t xml:space="preserve">, </w:t>
            </w:r>
            <w:r w:rsidR="008806BA" w:rsidRPr="00784DF0">
              <w:rPr>
                <w:sz w:val="28"/>
                <w:szCs w:val="28"/>
              </w:rPr>
              <w:t>24</w:t>
            </w:r>
            <w:r w:rsidR="00E0353E" w:rsidRPr="00784DF0">
              <w:rPr>
                <w:sz w:val="28"/>
                <w:szCs w:val="28"/>
              </w:rPr>
              <w:t xml:space="preserve">.§).    </w:t>
            </w:r>
          </w:p>
          <w:p w:rsidR="00DC5FB9" w:rsidRPr="00784DF0" w:rsidRDefault="000B3099" w:rsidP="00F32A40">
            <w:pPr>
              <w:jc w:val="both"/>
              <w:rPr>
                <w:sz w:val="28"/>
                <w:szCs w:val="28"/>
              </w:rPr>
            </w:pPr>
            <w:r w:rsidRPr="00784DF0">
              <w:rPr>
                <w:sz w:val="28"/>
                <w:szCs w:val="28"/>
              </w:rPr>
              <w:lastRenderedPageBreak/>
              <w:t>MK noteikumu Nr.265 24.</w:t>
            </w:r>
            <w:r w:rsidR="005E4052" w:rsidRPr="00784DF0">
              <w:rPr>
                <w:sz w:val="28"/>
                <w:szCs w:val="28"/>
              </w:rPr>
              <w:t>, 66., 68., 80., 81.</w:t>
            </w:r>
            <w:r w:rsidRPr="00784DF0">
              <w:rPr>
                <w:sz w:val="28"/>
                <w:szCs w:val="28"/>
              </w:rPr>
              <w:t>pielikuma aizpildīšanas kārtību nosaka Ministru kabineta 1999.gada 5.janvāra noteikumi Nr.7 „Infekcijas slimību reģistrācijas kārtība” (turpmāk MK noteikumi Nr.7</w:t>
            </w:r>
            <w:r w:rsidR="005E4052" w:rsidRPr="00784DF0">
              <w:rPr>
                <w:sz w:val="28"/>
                <w:szCs w:val="28"/>
              </w:rPr>
              <w:t>). Līdz ar</w:t>
            </w:r>
            <w:r w:rsidR="00F32A40" w:rsidRPr="00784DF0">
              <w:rPr>
                <w:sz w:val="28"/>
                <w:szCs w:val="28"/>
              </w:rPr>
              <w:t xml:space="preserve"> to </w:t>
            </w:r>
            <w:r w:rsidR="005E4052" w:rsidRPr="00784DF0">
              <w:rPr>
                <w:sz w:val="28"/>
                <w:szCs w:val="28"/>
              </w:rPr>
              <w:t xml:space="preserve">MK noteikumos Nr.7 </w:t>
            </w:r>
            <w:r w:rsidR="00F32A40" w:rsidRPr="00784DF0">
              <w:rPr>
                <w:sz w:val="28"/>
                <w:szCs w:val="28"/>
              </w:rPr>
              <w:t xml:space="preserve">nepieciešams </w:t>
            </w:r>
            <w:r w:rsidR="005E4052" w:rsidRPr="00784DF0">
              <w:rPr>
                <w:sz w:val="28"/>
                <w:szCs w:val="28"/>
              </w:rPr>
              <w:t>grozīt</w:t>
            </w:r>
            <w:r w:rsidR="00F32A40" w:rsidRPr="00784DF0">
              <w:rPr>
                <w:sz w:val="28"/>
                <w:szCs w:val="28"/>
              </w:rPr>
              <w:t xml:space="preserve"> </w:t>
            </w:r>
            <w:r w:rsidR="004A4620" w:rsidRPr="00784DF0">
              <w:rPr>
                <w:sz w:val="28"/>
                <w:szCs w:val="28"/>
              </w:rPr>
              <w:t xml:space="preserve">attiecīgās </w:t>
            </w:r>
            <w:r w:rsidR="00F32A40" w:rsidRPr="00784DF0">
              <w:rPr>
                <w:sz w:val="28"/>
                <w:szCs w:val="28"/>
              </w:rPr>
              <w:t>normas</w:t>
            </w:r>
            <w:r w:rsidR="00DC5FB9" w:rsidRPr="00784DF0">
              <w:rPr>
                <w:sz w:val="28"/>
                <w:szCs w:val="28"/>
              </w:rPr>
              <w:t xml:space="preserve"> </w:t>
            </w:r>
            <w:r w:rsidR="004A4620" w:rsidRPr="00784DF0">
              <w:rPr>
                <w:sz w:val="28"/>
                <w:szCs w:val="28"/>
              </w:rPr>
              <w:t>(</w:t>
            </w:r>
            <w:r w:rsidR="000F1EC6" w:rsidRPr="00784DF0">
              <w:rPr>
                <w:sz w:val="28"/>
                <w:szCs w:val="28"/>
              </w:rPr>
              <w:t xml:space="preserve">normas, </w:t>
            </w:r>
            <w:r w:rsidR="005E4052" w:rsidRPr="00784DF0">
              <w:rPr>
                <w:sz w:val="28"/>
                <w:szCs w:val="28"/>
              </w:rPr>
              <w:t>kas nosaka kārtību, kādā reģistrējamas infekcijas slimības, kas uzskaitītas šo</w:t>
            </w:r>
            <w:r w:rsidR="004A4620" w:rsidRPr="00784DF0">
              <w:rPr>
                <w:sz w:val="28"/>
                <w:szCs w:val="28"/>
              </w:rPr>
              <w:t xml:space="preserve"> noteikumu 2.pielikumā, un normu</w:t>
            </w:r>
            <w:r w:rsidR="005E4052" w:rsidRPr="00784DF0">
              <w:rPr>
                <w:sz w:val="28"/>
                <w:szCs w:val="28"/>
              </w:rPr>
              <w:t>, kas nosaka mikrobioloģijas laboratorijas vadītāja</w:t>
            </w:r>
            <w:r w:rsidR="004A4620" w:rsidRPr="00784DF0">
              <w:rPr>
                <w:sz w:val="28"/>
                <w:szCs w:val="28"/>
              </w:rPr>
              <w:t xml:space="preserve"> vai viņa pilnvarotas personas </w:t>
            </w:r>
            <w:r w:rsidR="005E4052" w:rsidRPr="00784DF0">
              <w:rPr>
                <w:sz w:val="28"/>
                <w:szCs w:val="28"/>
              </w:rPr>
              <w:t>pienākumu sniegt pārskatu par veiktajiem HIV testiem</w:t>
            </w:r>
            <w:r w:rsidR="000F1EC6" w:rsidRPr="00784DF0">
              <w:rPr>
                <w:sz w:val="28"/>
                <w:szCs w:val="28"/>
              </w:rPr>
              <w:t>)</w:t>
            </w:r>
            <w:r w:rsidR="00D6182F" w:rsidRPr="00784DF0">
              <w:rPr>
                <w:sz w:val="28"/>
                <w:szCs w:val="28"/>
              </w:rPr>
              <w:t>,</w:t>
            </w:r>
            <w:r w:rsidR="005E4052" w:rsidRPr="00784DF0">
              <w:rPr>
                <w:sz w:val="28"/>
                <w:szCs w:val="28"/>
              </w:rPr>
              <w:t xml:space="preserve"> aizstājot </w:t>
            </w:r>
            <w:r w:rsidR="00DC5FB9" w:rsidRPr="00784DF0">
              <w:rPr>
                <w:sz w:val="28"/>
                <w:szCs w:val="28"/>
              </w:rPr>
              <w:t xml:space="preserve">LIC ar Slimību </w:t>
            </w:r>
            <w:r w:rsidR="005E4052" w:rsidRPr="00784DF0">
              <w:rPr>
                <w:sz w:val="28"/>
                <w:szCs w:val="28"/>
              </w:rPr>
              <w:t>profilakses un kontroles centru</w:t>
            </w:r>
            <w:r w:rsidR="000F1EC6" w:rsidRPr="00784DF0">
              <w:rPr>
                <w:sz w:val="28"/>
                <w:szCs w:val="28"/>
              </w:rPr>
              <w:t xml:space="preserve"> un LIC attiecīgā reģiona struktūrvienību aizstājot ar Slimību profilakses un kontroles centra attiecīgo reģionālo nodaļu. </w:t>
            </w:r>
            <w:r w:rsidR="008A7259" w:rsidRPr="00784DF0">
              <w:rPr>
                <w:sz w:val="28"/>
                <w:szCs w:val="28"/>
              </w:rPr>
              <w:t xml:space="preserve">Grozījumi MK noteikumos Nr. 7 ir izstrādāti un izsludināti Valsts sekretāru 2012. gada 1. marta sanāksmē (prot.Nr.9, 40.§).    </w:t>
            </w:r>
          </w:p>
          <w:p w:rsidR="008A7259" w:rsidRPr="00784DF0" w:rsidRDefault="008A7259" w:rsidP="00AA23D6">
            <w:pPr>
              <w:jc w:val="both"/>
              <w:rPr>
                <w:sz w:val="28"/>
                <w:szCs w:val="28"/>
              </w:rPr>
            </w:pPr>
          </w:p>
          <w:p w:rsidR="008A7259" w:rsidRPr="00784DF0" w:rsidRDefault="008A7259" w:rsidP="008A7259">
            <w:pPr>
              <w:jc w:val="both"/>
              <w:rPr>
                <w:sz w:val="28"/>
                <w:szCs w:val="28"/>
              </w:rPr>
            </w:pPr>
            <w:r w:rsidRPr="00784DF0">
              <w:rPr>
                <w:sz w:val="28"/>
                <w:szCs w:val="28"/>
              </w:rPr>
              <w:t xml:space="preserve">Atbilstoši MK rīkojuma Nr.101 14.1.1. apakšpunktam Slimību profilakses un kontroles centrs ar 2012. gada 1. aprīli no LIC pārņem </w:t>
            </w:r>
            <w:r w:rsidR="004F7830" w:rsidRPr="00784DF0">
              <w:rPr>
                <w:sz w:val="28"/>
                <w:szCs w:val="28"/>
              </w:rPr>
              <w:t xml:space="preserve">valsts informācijas sistēmas „HIV/AIDS gadījumu valsts reģistrs” pārziņa funkcijas. Pamatojoties uz to, nepieciešams veikt </w:t>
            </w:r>
            <w:r w:rsidR="00031272" w:rsidRPr="00784DF0">
              <w:rPr>
                <w:sz w:val="28"/>
                <w:szCs w:val="28"/>
              </w:rPr>
              <w:t xml:space="preserve">tehniskus </w:t>
            </w:r>
            <w:r w:rsidR="004F7830" w:rsidRPr="00784DF0">
              <w:rPr>
                <w:sz w:val="28"/>
                <w:szCs w:val="28"/>
              </w:rPr>
              <w:t>grozījumus Ministru kabineta 2</w:t>
            </w:r>
            <w:r w:rsidR="008937B8" w:rsidRPr="00784DF0">
              <w:rPr>
                <w:sz w:val="28"/>
                <w:szCs w:val="28"/>
              </w:rPr>
              <w:t>003</w:t>
            </w:r>
            <w:r w:rsidR="004F7830" w:rsidRPr="00784DF0">
              <w:rPr>
                <w:sz w:val="28"/>
                <w:szCs w:val="28"/>
              </w:rPr>
              <w:t xml:space="preserve">. gada </w:t>
            </w:r>
            <w:r w:rsidR="008937B8" w:rsidRPr="00784DF0">
              <w:rPr>
                <w:sz w:val="28"/>
                <w:szCs w:val="28"/>
              </w:rPr>
              <w:t>4</w:t>
            </w:r>
            <w:r w:rsidR="004F7830" w:rsidRPr="00784DF0">
              <w:rPr>
                <w:sz w:val="28"/>
                <w:szCs w:val="28"/>
              </w:rPr>
              <w:t>. novembra noteikumos Nr. </w:t>
            </w:r>
            <w:r w:rsidR="008937B8" w:rsidRPr="00784DF0">
              <w:rPr>
                <w:sz w:val="28"/>
                <w:szCs w:val="28"/>
              </w:rPr>
              <w:t>628</w:t>
            </w:r>
            <w:r w:rsidR="004F7830" w:rsidRPr="00784DF0">
              <w:rPr>
                <w:sz w:val="28"/>
                <w:szCs w:val="28"/>
              </w:rPr>
              <w:t xml:space="preserve"> „</w:t>
            </w:r>
            <w:r w:rsidR="008937B8" w:rsidRPr="00784DF0">
              <w:rPr>
                <w:bCs/>
                <w:sz w:val="28"/>
                <w:szCs w:val="28"/>
                <w:lang w:eastAsia="en-US"/>
              </w:rPr>
              <w:t>Cilvēka imūndeficīta vīrusa infekcijas (HIV) un AIDS izplatības ierobežošanas un ar HIV inficētu personu un AIDS slimnieku ārstēšanas organizatoriskā kārtība</w:t>
            </w:r>
            <w:r w:rsidR="004F7830" w:rsidRPr="00784DF0">
              <w:rPr>
                <w:sz w:val="28"/>
                <w:szCs w:val="28"/>
              </w:rPr>
              <w:t>” (turpmāk – MK noteikumi Nr. </w:t>
            </w:r>
            <w:r w:rsidR="008937B8" w:rsidRPr="00784DF0">
              <w:rPr>
                <w:sz w:val="28"/>
                <w:szCs w:val="28"/>
              </w:rPr>
              <w:t>628</w:t>
            </w:r>
            <w:r w:rsidR="004F7830" w:rsidRPr="00784DF0">
              <w:rPr>
                <w:sz w:val="28"/>
                <w:szCs w:val="28"/>
              </w:rPr>
              <w:t xml:space="preserve">), lai </w:t>
            </w:r>
            <w:r w:rsidR="008937B8" w:rsidRPr="00784DF0">
              <w:rPr>
                <w:sz w:val="28"/>
                <w:szCs w:val="28"/>
              </w:rPr>
              <w:t>grozītu</w:t>
            </w:r>
            <w:r w:rsidR="004F7830" w:rsidRPr="00784DF0">
              <w:rPr>
                <w:sz w:val="28"/>
                <w:szCs w:val="28"/>
              </w:rPr>
              <w:t xml:space="preserve"> normas, </w:t>
            </w:r>
            <w:r w:rsidR="008937B8" w:rsidRPr="00784DF0">
              <w:rPr>
                <w:sz w:val="28"/>
                <w:szCs w:val="28"/>
              </w:rPr>
              <w:t xml:space="preserve">kas nosaka </w:t>
            </w:r>
            <w:bookmarkStart w:id="6" w:name="127326"/>
            <w:r w:rsidR="008937B8" w:rsidRPr="00784DF0">
              <w:rPr>
                <w:bCs/>
                <w:sz w:val="28"/>
                <w:szCs w:val="28"/>
              </w:rPr>
              <w:t>HIV infekcijas un AIDS izplatības valsts epidemioloģiskās uzraudzība</w:t>
            </w:r>
            <w:bookmarkEnd w:id="6"/>
            <w:r w:rsidR="008937B8" w:rsidRPr="00784DF0">
              <w:rPr>
                <w:bCs/>
                <w:sz w:val="28"/>
                <w:szCs w:val="28"/>
              </w:rPr>
              <w:t>s kārtību</w:t>
            </w:r>
            <w:r w:rsidR="00F01D3B" w:rsidRPr="00784DF0">
              <w:rPr>
                <w:bCs/>
                <w:sz w:val="28"/>
                <w:szCs w:val="28"/>
              </w:rPr>
              <w:t xml:space="preserve"> (LIC nepieciešams aizstāt ar Slimību profilakses un kontroles centru)</w:t>
            </w:r>
            <w:r w:rsidR="008937B8" w:rsidRPr="00784DF0">
              <w:rPr>
                <w:bCs/>
                <w:sz w:val="28"/>
                <w:szCs w:val="28"/>
              </w:rPr>
              <w:t xml:space="preserve">. </w:t>
            </w:r>
            <w:r w:rsidR="008937B8" w:rsidRPr="00784DF0">
              <w:rPr>
                <w:sz w:val="28"/>
                <w:szCs w:val="28"/>
              </w:rPr>
              <w:t>Grozījumi MK noteikumos Nr. 628 ir izstrādāti un izsludināti Valsts sekretāru 2012. gada 1. marta sanāksmē (prot.Nr.9, 44.§).</w:t>
            </w:r>
          </w:p>
          <w:p w:rsidR="009009C8" w:rsidRPr="00784DF0" w:rsidRDefault="009009C8" w:rsidP="008A7259">
            <w:pPr>
              <w:jc w:val="both"/>
              <w:rPr>
                <w:sz w:val="28"/>
                <w:szCs w:val="28"/>
              </w:rPr>
            </w:pPr>
          </w:p>
          <w:p w:rsidR="00031272" w:rsidRPr="00784DF0" w:rsidRDefault="00031272" w:rsidP="00031272">
            <w:pPr>
              <w:jc w:val="both"/>
              <w:rPr>
                <w:sz w:val="28"/>
                <w:szCs w:val="28"/>
              </w:rPr>
            </w:pPr>
            <w:r w:rsidRPr="00784DF0">
              <w:rPr>
                <w:sz w:val="28"/>
                <w:szCs w:val="28"/>
              </w:rPr>
              <w:t xml:space="preserve">MK noteikumu Nr.265 24.pielikuma aizpildīšanas kārtību </w:t>
            </w:r>
            <w:r w:rsidR="00D6182F" w:rsidRPr="00784DF0">
              <w:rPr>
                <w:sz w:val="28"/>
                <w:szCs w:val="28"/>
              </w:rPr>
              <w:t>attiecībā uz</w:t>
            </w:r>
            <w:r w:rsidRPr="00784DF0">
              <w:rPr>
                <w:sz w:val="28"/>
                <w:szCs w:val="28"/>
              </w:rPr>
              <w:t xml:space="preserve"> vakcinācijas izraisītām komplikācijām nosaka Ministru kabineta </w:t>
            </w:r>
            <w:r w:rsidR="009009C8" w:rsidRPr="00784DF0">
              <w:rPr>
                <w:sz w:val="28"/>
                <w:szCs w:val="28"/>
              </w:rPr>
              <w:t>2005.gada 27.decembra noteikumi Nr.1040 „</w:t>
            </w:r>
            <w:r w:rsidR="009009C8" w:rsidRPr="00784DF0">
              <w:rPr>
                <w:bCs/>
                <w:sz w:val="28"/>
                <w:szCs w:val="28"/>
                <w:lang w:eastAsia="en-US"/>
              </w:rPr>
              <w:t xml:space="preserve">Kārtība, kādā ārstniecības persona ziņo par </w:t>
            </w:r>
            <w:r w:rsidR="009009C8" w:rsidRPr="00784DF0">
              <w:rPr>
                <w:bCs/>
                <w:sz w:val="28"/>
                <w:szCs w:val="28"/>
                <w:lang w:eastAsia="en-US"/>
              </w:rPr>
              <w:lastRenderedPageBreak/>
              <w:t>vakcinācijas izraisītajām komplikācijām” (turpmāk – MK noteikumi Nr.1040)</w:t>
            </w:r>
            <w:r w:rsidRPr="00784DF0">
              <w:rPr>
                <w:bCs/>
                <w:sz w:val="28"/>
                <w:szCs w:val="28"/>
                <w:lang w:eastAsia="en-US"/>
              </w:rPr>
              <w:t>.</w:t>
            </w:r>
            <w:r w:rsidR="009009C8" w:rsidRPr="00784DF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784DF0">
              <w:rPr>
                <w:sz w:val="28"/>
                <w:szCs w:val="28"/>
              </w:rPr>
              <w:t xml:space="preserve">Pamatojoties uz to nepieciešams veikt tehniskus grozījumus MK noteikumos Nr.1040 noteikumu tekstā </w:t>
            </w:r>
            <w:r w:rsidR="00256CCC" w:rsidRPr="00784DF0">
              <w:rPr>
                <w:sz w:val="28"/>
                <w:szCs w:val="28"/>
              </w:rPr>
              <w:t>LIC</w:t>
            </w:r>
            <w:r w:rsidRPr="00784DF0">
              <w:rPr>
                <w:sz w:val="28"/>
                <w:szCs w:val="28"/>
              </w:rPr>
              <w:t xml:space="preserve"> attiecīgā reģiona struktūrvienību aizstājot ar tās uzdevumu, tiesību un saistību pārņēmēju - Slimību profilakses un kontroles centra attiecīgo reģionālo nodaļu. Grozījumi MK noteikumos Nr. 1040 ir izstrādāti un izsludināti Valsts sekretāru 2012. gada 1. marta sanāksmē (prot.Nr.9, 45.§).</w:t>
            </w:r>
          </w:p>
          <w:p w:rsidR="004F7830" w:rsidRPr="00784DF0" w:rsidRDefault="004F7830" w:rsidP="0003127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F7830" w:rsidRPr="00D265BD" w:rsidTr="004F7830">
        <w:trPr>
          <w:jc w:val="center"/>
        </w:trPr>
        <w:tc>
          <w:tcPr>
            <w:tcW w:w="396" w:type="dxa"/>
          </w:tcPr>
          <w:p w:rsidR="004F7830" w:rsidRPr="00784DF0" w:rsidRDefault="004F7830" w:rsidP="004F78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784DF0">
              <w:rPr>
                <w:i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37" w:type="dxa"/>
          </w:tcPr>
          <w:p w:rsidR="004F7830" w:rsidRPr="00784DF0" w:rsidRDefault="004F7830" w:rsidP="004F78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784DF0">
              <w:rPr>
                <w:color w:val="000000"/>
                <w:sz w:val="28"/>
                <w:szCs w:val="28"/>
              </w:rPr>
              <w:t>Cita informācija</w:t>
            </w:r>
          </w:p>
        </w:tc>
        <w:tc>
          <w:tcPr>
            <w:tcW w:w="6014" w:type="dxa"/>
          </w:tcPr>
          <w:p w:rsidR="004F7830" w:rsidRPr="00D265BD" w:rsidRDefault="004F7830" w:rsidP="004F783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  <w:sz w:val="28"/>
                <w:szCs w:val="28"/>
              </w:rPr>
            </w:pPr>
            <w:r w:rsidRPr="00784DF0">
              <w:rPr>
                <w:iCs/>
                <w:color w:val="000000"/>
                <w:sz w:val="28"/>
                <w:szCs w:val="28"/>
              </w:rPr>
              <w:t>Nav</w:t>
            </w:r>
          </w:p>
        </w:tc>
      </w:tr>
    </w:tbl>
    <w:p w:rsidR="004F7830" w:rsidRPr="002D7C67" w:rsidRDefault="004F7830" w:rsidP="0077615D">
      <w:pPr>
        <w:jc w:val="both"/>
        <w:rPr>
          <w:sz w:val="28"/>
          <w:szCs w:val="28"/>
        </w:rPr>
      </w:pPr>
    </w:p>
    <w:tbl>
      <w:tblPr>
        <w:tblW w:w="92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0"/>
        <w:gridCol w:w="3900"/>
        <w:gridCol w:w="5074"/>
      </w:tblGrid>
      <w:tr w:rsidR="0077615D" w:rsidRPr="002D7C67" w:rsidTr="00B57524">
        <w:tc>
          <w:tcPr>
            <w:tcW w:w="924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jc w:val="center"/>
              <w:rPr>
                <w:b/>
                <w:bCs/>
                <w:sz w:val="28"/>
                <w:szCs w:val="28"/>
              </w:rPr>
            </w:pPr>
            <w:r w:rsidRPr="002D7C67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C93350" w:rsidP="001544BF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 noteikumu p</w:t>
            </w:r>
            <w:r w:rsidR="0077615D" w:rsidRPr="002D7C67">
              <w:rPr>
                <w:sz w:val="28"/>
                <w:szCs w:val="28"/>
              </w:rPr>
              <w:t xml:space="preserve">rojekta izpildi nodrošinās – </w:t>
            </w:r>
            <w:r w:rsidR="001544BF">
              <w:rPr>
                <w:sz w:val="28"/>
                <w:szCs w:val="28"/>
              </w:rPr>
              <w:t>Slimību profilakses un kontroles centrs</w:t>
            </w:r>
            <w:r w:rsidR="002D7C67" w:rsidRPr="002D7C67">
              <w:rPr>
                <w:sz w:val="28"/>
                <w:szCs w:val="28"/>
              </w:rPr>
              <w:t>, RAKUS</w:t>
            </w:r>
            <w:r w:rsidR="00495BD3">
              <w:rPr>
                <w:sz w:val="28"/>
                <w:szCs w:val="28"/>
              </w:rPr>
              <w:t>.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Projekta izpildes ietekme uz pārvaldes funkcijām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25439B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Saistībā ar </w:t>
            </w:r>
            <w:r w:rsidR="00C93350">
              <w:rPr>
                <w:sz w:val="28"/>
                <w:szCs w:val="28"/>
              </w:rPr>
              <w:t xml:space="preserve">MK noteikumu </w:t>
            </w:r>
            <w:r w:rsidRPr="002D7C67">
              <w:rPr>
                <w:sz w:val="28"/>
                <w:szCs w:val="28"/>
              </w:rPr>
              <w:t>projekta izpildi iesaistīto institūciju funkcijas netiek paplašinātas vai sašaurinātas</w:t>
            </w:r>
            <w:r w:rsidR="0025439B" w:rsidRPr="002D7C67">
              <w:rPr>
                <w:sz w:val="28"/>
                <w:szCs w:val="28"/>
              </w:rPr>
              <w:t>, bet tiek precizēta iestāde, kas to veic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Projekta izpildes ietekme uz pārvaldes institucionālo struktūru.</w:t>
            </w:r>
          </w:p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Jaunu institūciju izveide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Saistībā ar </w:t>
            </w:r>
            <w:r w:rsidR="00C93350">
              <w:rPr>
                <w:sz w:val="28"/>
                <w:szCs w:val="28"/>
              </w:rPr>
              <w:t xml:space="preserve">MK noteikumu </w:t>
            </w:r>
            <w:r w:rsidRPr="002D7C67">
              <w:rPr>
                <w:sz w:val="28"/>
                <w:szCs w:val="28"/>
              </w:rPr>
              <w:t>projekta izpildi nav nepieciešams veidot jaunas institūcijas.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Projekta izpildes ietekme uz pārvaldes institucionālo struktūru.</w:t>
            </w:r>
          </w:p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Esošu institūciju likvidācija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Saistībā ar </w:t>
            </w:r>
            <w:r w:rsidR="00C93350">
              <w:rPr>
                <w:sz w:val="28"/>
                <w:szCs w:val="28"/>
              </w:rPr>
              <w:t xml:space="preserve">MK noteikumu </w:t>
            </w:r>
            <w:r w:rsidRPr="002D7C67">
              <w:rPr>
                <w:sz w:val="28"/>
                <w:szCs w:val="28"/>
              </w:rPr>
              <w:t>projekta izpildi nav plānots likvidēt esošu institūciju.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Projekta izpildes ietekme uz pārvaldes institucionālo struktūru.</w:t>
            </w:r>
          </w:p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 xml:space="preserve">Saistībā ar </w:t>
            </w:r>
            <w:r w:rsidR="00C93350">
              <w:rPr>
                <w:sz w:val="28"/>
                <w:szCs w:val="28"/>
              </w:rPr>
              <w:t xml:space="preserve">MK noteikumu </w:t>
            </w:r>
            <w:r w:rsidRPr="002D7C67">
              <w:rPr>
                <w:sz w:val="28"/>
                <w:szCs w:val="28"/>
              </w:rPr>
              <w:t>projekta izpildi nav plānots reorganizēt esošu institūciju.</w:t>
            </w:r>
          </w:p>
        </w:tc>
      </w:tr>
      <w:tr w:rsidR="0077615D" w:rsidRPr="002D7C67" w:rsidTr="00B57524"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Cita informācija</w:t>
            </w:r>
          </w:p>
        </w:tc>
        <w:tc>
          <w:tcPr>
            <w:tcW w:w="5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615D" w:rsidRPr="002D7C67" w:rsidRDefault="0077615D" w:rsidP="00B57524">
            <w:pPr>
              <w:rPr>
                <w:sz w:val="28"/>
                <w:szCs w:val="28"/>
              </w:rPr>
            </w:pPr>
            <w:r w:rsidRPr="002D7C67">
              <w:rPr>
                <w:sz w:val="28"/>
                <w:szCs w:val="28"/>
              </w:rPr>
              <w:t>Nav</w:t>
            </w:r>
          </w:p>
        </w:tc>
      </w:tr>
    </w:tbl>
    <w:p w:rsidR="0077615D" w:rsidRPr="002D7C67" w:rsidRDefault="0077615D" w:rsidP="0077615D">
      <w:pPr>
        <w:ind w:firstLine="720"/>
        <w:jc w:val="both"/>
        <w:rPr>
          <w:sz w:val="28"/>
          <w:szCs w:val="28"/>
        </w:rPr>
      </w:pPr>
    </w:p>
    <w:p w:rsidR="004F7830" w:rsidRPr="002D7C67" w:rsidRDefault="004F7830" w:rsidP="004F7830">
      <w:pPr>
        <w:rPr>
          <w:color w:val="000000"/>
          <w:sz w:val="28"/>
          <w:szCs w:val="28"/>
        </w:rPr>
      </w:pPr>
      <w:r w:rsidRPr="002D7C67">
        <w:rPr>
          <w:color w:val="000000"/>
          <w:sz w:val="28"/>
          <w:szCs w:val="28"/>
        </w:rPr>
        <w:t xml:space="preserve">Anotācijas </w:t>
      </w:r>
      <w:r w:rsidR="00936BBA">
        <w:rPr>
          <w:color w:val="000000"/>
          <w:sz w:val="28"/>
          <w:szCs w:val="28"/>
        </w:rPr>
        <w:t>III, V</w:t>
      </w:r>
      <w:r w:rsidR="00E46728">
        <w:rPr>
          <w:color w:val="000000"/>
          <w:sz w:val="28"/>
          <w:szCs w:val="28"/>
        </w:rPr>
        <w:t xml:space="preserve">, </w:t>
      </w:r>
      <w:r w:rsidR="00936BBA">
        <w:rPr>
          <w:color w:val="000000"/>
          <w:sz w:val="28"/>
          <w:szCs w:val="28"/>
        </w:rPr>
        <w:t>un VI</w:t>
      </w:r>
      <w:r w:rsidRPr="002D7C67">
        <w:rPr>
          <w:color w:val="000000"/>
          <w:sz w:val="28"/>
          <w:szCs w:val="28"/>
        </w:rPr>
        <w:t xml:space="preserve"> sadaļa – </w:t>
      </w:r>
      <w:r w:rsidRPr="002D7C67">
        <w:rPr>
          <w:i/>
          <w:iCs/>
          <w:color w:val="000000"/>
          <w:sz w:val="28"/>
          <w:szCs w:val="28"/>
        </w:rPr>
        <w:t>p</w:t>
      </w:r>
      <w:r w:rsidRPr="002D7C67">
        <w:rPr>
          <w:i/>
          <w:color w:val="000000"/>
          <w:sz w:val="28"/>
          <w:szCs w:val="28"/>
        </w:rPr>
        <w:t>rojekts šīs jomas neskar</w:t>
      </w:r>
    </w:p>
    <w:p w:rsidR="00E92573" w:rsidRPr="002D7C67" w:rsidRDefault="00E92573" w:rsidP="00C127B5">
      <w:pPr>
        <w:pStyle w:val="naisf"/>
        <w:spacing w:before="0" w:after="0"/>
        <w:ind w:firstLine="0"/>
        <w:jc w:val="center"/>
        <w:rPr>
          <w:color w:val="000000"/>
          <w:sz w:val="28"/>
          <w:szCs w:val="28"/>
        </w:rPr>
      </w:pPr>
    </w:p>
    <w:p w:rsidR="0093592D" w:rsidRDefault="0093592D" w:rsidP="00935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ministra vietā – </w:t>
      </w:r>
    </w:p>
    <w:p w:rsidR="0093592D" w:rsidRDefault="0093592D" w:rsidP="0093592D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R.Ķīlis</w:t>
      </w:r>
    </w:p>
    <w:p w:rsidR="0093592D" w:rsidRDefault="0093592D" w:rsidP="002D7C67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0"/>
          <w:szCs w:val="20"/>
        </w:rPr>
      </w:pPr>
    </w:p>
    <w:p w:rsidR="002D7C67" w:rsidRPr="00CA6706" w:rsidRDefault="0093592D" w:rsidP="002D7C67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256CCC">
        <w:rPr>
          <w:color w:val="000000"/>
          <w:sz w:val="20"/>
          <w:szCs w:val="20"/>
        </w:rPr>
        <w:t>.03</w:t>
      </w:r>
      <w:r w:rsidR="00F171DF">
        <w:rPr>
          <w:color w:val="000000"/>
          <w:sz w:val="20"/>
          <w:szCs w:val="20"/>
        </w:rPr>
        <w:t xml:space="preserve">.2012 </w:t>
      </w:r>
      <w:r>
        <w:rPr>
          <w:color w:val="000000"/>
          <w:sz w:val="20"/>
          <w:szCs w:val="20"/>
        </w:rPr>
        <w:t>16</w:t>
      </w:r>
      <w:r w:rsidR="002D7C67" w:rsidRPr="00CA6706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42</w:t>
      </w:r>
    </w:p>
    <w:p w:rsidR="002D7C67" w:rsidRPr="00CA6706" w:rsidRDefault="00256CCC" w:rsidP="002D7C67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93592D">
        <w:rPr>
          <w:color w:val="000000"/>
          <w:sz w:val="20"/>
          <w:szCs w:val="20"/>
        </w:rPr>
        <w:t>298</w:t>
      </w:r>
    </w:p>
    <w:p w:rsidR="002D7C67" w:rsidRPr="00CA6706" w:rsidRDefault="002D7C67" w:rsidP="002D7C67">
      <w:pPr>
        <w:jc w:val="both"/>
        <w:rPr>
          <w:color w:val="000000"/>
          <w:sz w:val="20"/>
          <w:szCs w:val="20"/>
        </w:rPr>
      </w:pPr>
      <w:proofErr w:type="spellStart"/>
      <w:r w:rsidRPr="00CA6706">
        <w:rPr>
          <w:color w:val="000000"/>
          <w:sz w:val="20"/>
          <w:szCs w:val="20"/>
        </w:rPr>
        <w:t>L.Seļakova</w:t>
      </w:r>
      <w:proofErr w:type="spellEnd"/>
    </w:p>
    <w:p w:rsidR="002D7C67" w:rsidRPr="00CA6706" w:rsidRDefault="000361E9" w:rsidP="002D7C67">
      <w:pPr>
        <w:jc w:val="both"/>
        <w:rPr>
          <w:color w:val="000000"/>
          <w:sz w:val="20"/>
          <w:szCs w:val="20"/>
        </w:rPr>
      </w:pPr>
      <w:hyperlink r:id="rId8" w:history="1">
        <w:r w:rsidR="002D7C67" w:rsidRPr="00CA6706">
          <w:rPr>
            <w:rStyle w:val="Hyperlink"/>
            <w:color w:val="000000"/>
            <w:sz w:val="20"/>
            <w:szCs w:val="20"/>
          </w:rPr>
          <w:t>laura.selakova@vm.gov.lv</w:t>
        </w:r>
      </w:hyperlink>
      <w:r w:rsidR="002D7C67" w:rsidRPr="00CA6706">
        <w:rPr>
          <w:color w:val="000000"/>
          <w:sz w:val="20"/>
          <w:szCs w:val="20"/>
        </w:rPr>
        <w:t>, 67876154</w:t>
      </w:r>
    </w:p>
    <w:p w:rsidR="006C6AFA" w:rsidRPr="002D7C67" w:rsidRDefault="006C6AFA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8"/>
          <w:szCs w:val="28"/>
        </w:rPr>
      </w:pPr>
    </w:p>
    <w:sectPr w:rsidR="006C6AFA" w:rsidRPr="002D7C67" w:rsidSect="00295EE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F5" w:rsidRDefault="00FE10F5" w:rsidP="000B76E3">
      <w:r>
        <w:separator/>
      </w:r>
    </w:p>
  </w:endnote>
  <w:endnote w:type="continuationSeparator" w:id="0">
    <w:p w:rsidR="00FE10F5" w:rsidRDefault="00FE10F5" w:rsidP="000B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F5" w:rsidRPr="002D7C67" w:rsidRDefault="0034123D" w:rsidP="002D7C67">
    <w:pPr>
      <w:jc w:val="both"/>
      <w:rPr>
        <w:b/>
        <w:color w:val="000000"/>
        <w:sz w:val="20"/>
        <w:szCs w:val="20"/>
      </w:rPr>
    </w:pPr>
    <w:r>
      <w:rPr>
        <w:sz w:val="20"/>
        <w:szCs w:val="20"/>
      </w:rPr>
      <w:t>VManot_</w:t>
    </w:r>
    <w:r w:rsidR="0093592D">
      <w:rPr>
        <w:sz w:val="20"/>
        <w:szCs w:val="20"/>
      </w:rPr>
      <w:t>20</w:t>
    </w:r>
    <w:r w:rsidR="00FE10F5">
      <w:rPr>
        <w:sz w:val="20"/>
        <w:szCs w:val="20"/>
      </w:rPr>
      <w:t>03</w:t>
    </w:r>
    <w:r w:rsidR="00FE10F5" w:rsidRPr="002D7C67">
      <w:rPr>
        <w:sz w:val="20"/>
        <w:szCs w:val="20"/>
      </w:rPr>
      <w:t>12</w:t>
    </w:r>
    <w:r>
      <w:rPr>
        <w:sz w:val="20"/>
        <w:szCs w:val="20"/>
      </w:rPr>
      <w:t>_265</w:t>
    </w:r>
    <w:r w:rsidR="00FE10F5" w:rsidRPr="002D7C67">
      <w:rPr>
        <w:sz w:val="20"/>
        <w:szCs w:val="20"/>
      </w:rPr>
      <w:t xml:space="preserve">; </w:t>
    </w:r>
    <w:r w:rsidR="00FE10F5" w:rsidRPr="002D7C67">
      <w:rPr>
        <w:color w:val="000000"/>
        <w:sz w:val="20"/>
        <w:szCs w:val="20"/>
      </w:rPr>
      <w:t>Ministru kabineta noteikumu projekta</w:t>
    </w:r>
    <w:r w:rsidR="00FE10F5" w:rsidRPr="002D7C67">
      <w:rPr>
        <w:b/>
        <w:color w:val="000000"/>
        <w:sz w:val="20"/>
        <w:szCs w:val="20"/>
      </w:rPr>
      <w:t xml:space="preserve"> „</w:t>
    </w:r>
    <w:r w:rsidR="00FE10F5" w:rsidRPr="002D7C67">
      <w:rPr>
        <w:color w:val="000000"/>
        <w:sz w:val="20"/>
        <w:szCs w:val="20"/>
      </w:rPr>
      <w:t>Grozījumi Ministru kabineta 2006. gada 4.aprīļa noteikumos Nr.265 „Medicīnisko dokumentu lietvedības kārtība</w:t>
    </w:r>
    <w:r w:rsidR="00FE10F5">
      <w:rPr>
        <w:b/>
        <w:color w:val="000000"/>
        <w:sz w:val="20"/>
        <w:szCs w:val="20"/>
      </w:rPr>
      <w:t xml:space="preserve">” </w:t>
    </w:r>
    <w:r w:rsidR="00FE10F5" w:rsidRPr="002D7C67">
      <w:rPr>
        <w:bCs/>
        <w:color w:val="000000"/>
        <w:sz w:val="20"/>
        <w:szCs w:val="20"/>
      </w:rPr>
      <w:t>sākotnējās ietekmes novērtējuma ziņojums</w:t>
    </w:r>
    <w:r w:rsidR="00FE10F5">
      <w:rPr>
        <w:b/>
        <w:color w:val="000000"/>
        <w:sz w:val="20"/>
        <w:szCs w:val="20"/>
      </w:rPr>
      <w:t xml:space="preserve"> </w:t>
    </w:r>
    <w:r w:rsidR="00FE10F5" w:rsidRPr="002D7C67">
      <w:rPr>
        <w:bCs/>
        <w:color w:val="000000"/>
        <w:sz w:val="20"/>
        <w:szCs w:val="20"/>
      </w:rPr>
      <w:t>(anotācija)</w:t>
    </w:r>
  </w:p>
  <w:p w:rsidR="00FE10F5" w:rsidRPr="002D7C67" w:rsidRDefault="00FE10F5" w:rsidP="002D7C67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F5" w:rsidRPr="002D7C67" w:rsidRDefault="0034123D" w:rsidP="002D7C67">
    <w:pPr>
      <w:jc w:val="both"/>
      <w:rPr>
        <w:b/>
        <w:color w:val="000000"/>
        <w:sz w:val="20"/>
        <w:szCs w:val="20"/>
      </w:rPr>
    </w:pPr>
    <w:r>
      <w:rPr>
        <w:sz w:val="20"/>
        <w:szCs w:val="20"/>
      </w:rPr>
      <w:t>VManot_</w:t>
    </w:r>
    <w:r w:rsidR="0093592D">
      <w:rPr>
        <w:sz w:val="20"/>
        <w:szCs w:val="20"/>
      </w:rPr>
      <w:t>20</w:t>
    </w:r>
    <w:r w:rsidR="00FE10F5">
      <w:rPr>
        <w:sz w:val="20"/>
        <w:szCs w:val="20"/>
      </w:rPr>
      <w:t>03</w:t>
    </w:r>
    <w:r w:rsidR="00FE10F5" w:rsidRPr="002D7C67">
      <w:rPr>
        <w:sz w:val="20"/>
        <w:szCs w:val="20"/>
      </w:rPr>
      <w:t>12</w:t>
    </w:r>
    <w:r>
      <w:rPr>
        <w:sz w:val="20"/>
        <w:szCs w:val="20"/>
      </w:rPr>
      <w:t>_265</w:t>
    </w:r>
    <w:r w:rsidR="00FE10F5" w:rsidRPr="002D7C67">
      <w:rPr>
        <w:sz w:val="20"/>
        <w:szCs w:val="20"/>
      </w:rPr>
      <w:t xml:space="preserve">; </w:t>
    </w:r>
    <w:r w:rsidR="00FE10F5" w:rsidRPr="002D7C67">
      <w:rPr>
        <w:color w:val="000000"/>
        <w:sz w:val="20"/>
        <w:szCs w:val="20"/>
      </w:rPr>
      <w:t>Ministru kabineta noteikumu projekta</w:t>
    </w:r>
    <w:r w:rsidR="00FE10F5" w:rsidRPr="002D7C67">
      <w:rPr>
        <w:b/>
        <w:color w:val="000000"/>
        <w:sz w:val="20"/>
        <w:szCs w:val="20"/>
      </w:rPr>
      <w:t xml:space="preserve"> „</w:t>
    </w:r>
    <w:r w:rsidR="00FE10F5" w:rsidRPr="002D7C67">
      <w:rPr>
        <w:color w:val="000000"/>
        <w:sz w:val="20"/>
        <w:szCs w:val="20"/>
      </w:rPr>
      <w:t>Grozījumi Ministru kabineta 2006. gada 4.aprīļa noteikumos Nr.265 „Medicīnisko dokumentu lietvedības kārtība</w:t>
    </w:r>
    <w:r w:rsidR="00FE10F5">
      <w:rPr>
        <w:b/>
        <w:color w:val="000000"/>
        <w:sz w:val="20"/>
        <w:szCs w:val="20"/>
      </w:rPr>
      <w:t xml:space="preserve">” </w:t>
    </w:r>
    <w:r w:rsidR="00FE10F5" w:rsidRPr="002D7C67">
      <w:rPr>
        <w:bCs/>
        <w:color w:val="000000"/>
        <w:sz w:val="20"/>
        <w:szCs w:val="20"/>
      </w:rPr>
      <w:t>sākotnējās ietekmes novērtējuma ziņojums</w:t>
    </w:r>
    <w:r w:rsidR="00FE10F5">
      <w:rPr>
        <w:b/>
        <w:color w:val="000000"/>
        <w:sz w:val="20"/>
        <w:szCs w:val="20"/>
      </w:rPr>
      <w:t xml:space="preserve"> </w:t>
    </w:r>
    <w:r w:rsidR="00FE10F5" w:rsidRPr="002D7C67">
      <w:rPr>
        <w:bCs/>
        <w:color w:val="000000"/>
        <w:sz w:val="20"/>
        <w:szCs w:val="20"/>
      </w:rPr>
      <w:t>(anotācija)</w:t>
    </w:r>
  </w:p>
  <w:p w:rsidR="00FE10F5" w:rsidRPr="00D42719" w:rsidRDefault="00FE10F5" w:rsidP="005A03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F5" w:rsidRDefault="00FE10F5" w:rsidP="000B76E3">
      <w:r>
        <w:separator/>
      </w:r>
    </w:p>
  </w:footnote>
  <w:footnote w:type="continuationSeparator" w:id="0">
    <w:p w:rsidR="00FE10F5" w:rsidRDefault="00FE10F5" w:rsidP="000B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F5" w:rsidRDefault="000361E9">
    <w:pPr>
      <w:pStyle w:val="Header"/>
      <w:jc w:val="center"/>
    </w:pPr>
    <w:fldSimple w:instr=" PAGE   \* MERGEFORMAT ">
      <w:r w:rsidR="0093592D">
        <w:rPr>
          <w:noProof/>
        </w:rPr>
        <w:t>6</w:t>
      </w:r>
    </w:fldSimple>
  </w:p>
  <w:p w:rsidR="00FE10F5" w:rsidRDefault="00FE10F5" w:rsidP="005A03E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CB"/>
    <w:multiLevelType w:val="hybridMultilevel"/>
    <w:tmpl w:val="09AEB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4A51"/>
    <w:multiLevelType w:val="hybridMultilevel"/>
    <w:tmpl w:val="7E42488C"/>
    <w:lvl w:ilvl="0" w:tplc="AD72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1A8"/>
    <w:multiLevelType w:val="hybridMultilevel"/>
    <w:tmpl w:val="3D10E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6DEE"/>
    <w:multiLevelType w:val="hybridMultilevel"/>
    <w:tmpl w:val="198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2700"/>
    <w:multiLevelType w:val="hybridMultilevel"/>
    <w:tmpl w:val="80EA0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40DA"/>
    <w:multiLevelType w:val="hybridMultilevel"/>
    <w:tmpl w:val="C5ACE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08BD"/>
    <w:multiLevelType w:val="hybridMultilevel"/>
    <w:tmpl w:val="76204570"/>
    <w:lvl w:ilvl="0" w:tplc="4E9AD9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2CB1"/>
    <w:multiLevelType w:val="hybridMultilevel"/>
    <w:tmpl w:val="78B08A86"/>
    <w:lvl w:ilvl="0" w:tplc="0409000F">
      <w:start w:val="1"/>
      <w:numFmt w:val="decimal"/>
      <w:lvlText w:val="%1.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8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90828"/>
    <w:multiLevelType w:val="hybridMultilevel"/>
    <w:tmpl w:val="B016C6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41293"/>
    <w:multiLevelType w:val="hybridMultilevel"/>
    <w:tmpl w:val="637AD080"/>
    <w:lvl w:ilvl="0" w:tplc="45D2E6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B4962"/>
    <w:multiLevelType w:val="hybridMultilevel"/>
    <w:tmpl w:val="2204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24246"/>
    <w:multiLevelType w:val="hybridMultilevel"/>
    <w:tmpl w:val="61E4E13C"/>
    <w:lvl w:ilvl="0" w:tplc="423A0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68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D02CDF"/>
    <w:multiLevelType w:val="hybridMultilevel"/>
    <w:tmpl w:val="9ABA55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43093"/>
    <w:multiLevelType w:val="hybridMultilevel"/>
    <w:tmpl w:val="7952A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B32B2"/>
    <w:multiLevelType w:val="hybridMultilevel"/>
    <w:tmpl w:val="86DC0F2A"/>
    <w:lvl w:ilvl="0" w:tplc="FEE67E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209E4"/>
    <w:multiLevelType w:val="hybridMultilevel"/>
    <w:tmpl w:val="5BBCC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E5B08"/>
    <w:multiLevelType w:val="hybridMultilevel"/>
    <w:tmpl w:val="AA0E5FBC"/>
    <w:lvl w:ilvl="0" w:tplc="21647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951EE"/>
    <w:multiLevelType w:val="hybridMultilevel"/>
    <w:tmpl w:val="ABFC58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666C"/>
    <w:multiLevelType w:val="hybridMultilevel"/>
    <w:tmpl w:val="D7E4D7CA"/>
    <w:lvl w:ilvl="0" w:tplc="89C6006E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2">
    <w:nsid w:val="56EE38CA"/>
    <w:multiLevelType w:val="hybridMultilevel"/>
    <w:tmpl w:val="FA26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5A00"/>
    <w:multiLevelType w:val="multilevel"/>
    <w:tmpl w:val="BA52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B90C48"/>
    <w:multiLevelType w:val="multilevel"/>
    <w:tmpl w:val="F25075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1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3A4990"/>
    <w:multiLevelType w:val="hybridMultilevel"/>
    <w:tmpl w:val="A5C4F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A3305"/>
    <w:multiLevelType w:val="hybridMultilevel"/>
    <w:tmpl w:val="640458B8"/>
    <w:lvl w:ilvl="0" w:tplc="BE9A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2756A"/>
    <w:multiLevelType w:val="hybridMultilevel"/>
    <w:tmpl w:val="58CA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8"/>
  </w:num>
  <w:num w:numId="4">
    <w:abstractNumId w:val="24"/>
  </w:num>
  <w:num w:numId="5">
    <w:abstractNumId w:val="2"/>
  </w:num>
  <w:num w:numId="6">
    <w:abstractNumId w:val="16"/>
  </w:num>
  <w:num w:numId="7">
    <w:abstractNumId w:val="22"/>
  </w:num>
  <w:num w:numId="8">
    <w:abstractNumId w:val="7"/>
  </w:num>
  <w:num w:numId="9">
    <w:abstractNumId w:val="9"/>
  </w:num>
  <w:num w:numId="10">
    <w:abstractNumId w:val="5"/>
  </w:num>
  <w:num w:numId="11">
    <w:abstractNumId w:val="23"/>
  </w:num>
  <w:num w:numId="12">
    <w:abstractNumId w:val="17"/>
  </w:num>
  <w:num w:numId="13">
    <w:abstractNumId w:val="25"/>
  </w:num>
  <w:num w:numId="14">
    <w:abstractNumId w:val="20"/>
  </w:num>
  <w:num w:numId="15">
    <w:abstractNumId w:val="4"/>
  </w:num>
  <w:num w:numId="16">
    <w:abstractNumId w:val="14"/>
  </w:num>
  <w:num w:numId="17">
    <w:abstractNumId w:val="27"/>
  </w:num>
  <w:num w:numId="18">
    <w:abstractNumId w:val="3"/>
  </w:num>
  <w:num w:numId="19">
    <w:abstractNumId w:val="13"/>
  </w:num>
  <w:num w:numId="20">
    <w:abstractNumId w:val="19"/>
  </w:num>
  <w:num w:numId="21">
    <w:abstractNumId w:val="26"/>
  </w:num>
  <w:num w:numId="22">
    <w:abstractNumId w:val="12"/>
  </w:num>
  <w:num w:numId="23">
    <w:abstractNumId w:val="6"/>
  </w:num>
  <w:num w:numId="24">
    <w:abstractNumId w:val="11"/>
  </w:num>
  <w:num w:numId="25">
    <w:abstractNumId w:val="10"/>
  </w:num>
  <w:num w:numId="26">
    <w:abstractNumId w:val="0"/>
  </w:num>
  <w:num w:numId="27">
    <w:abstractNumId w:val="21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B76E3"/>
    <w:rsid w:val="00001721"/>
    <w:rsid w:val="000020FE"/>
    <w:rsid w:val="000066F8"/>
    <w:rsid w:val="00011B21"/>
    <w:rsid w:val="000165C2"/>
    <w:rsid w:val="000176B3"/>
    <w:rsid w:val="00023880"/>
    <w:rsid w:val="00031272"/>
    <w:rsid w:val="00035F91"/>
    <w:rsid w:val="000361E9"/>
    <w:rsid w:val="00041356"/>
    <w:rsid w:val="00053A12"/>
    <w:rsid w:val="0006054B"/>
    <w:rsid w:val="00060668"/>
    <w:rsid w:val="000609A8"/>
    <w:rsid w:val="00074D83"/>
    <w:rsid w:val="00090363"/>
    <w:rsid w:val="000925C9"/>
    <w:rsid w:val="00095F36"/>
    <w:rsid w:val="000A0B0A"/>
    <w:rsid w:val="000A2F77"/>
    <w:rsid w:val="000B3099"/>
    <w:rsid w:val="000B5E43"/>
    <w:rsid w:val="000B76E3"/>
    <w:rsid w:val="000B7F78"/>
    <w:rsid w:val="000C1F91"/>
    <w:rsid w:val="000C31C5"/>
    <w:rsid w:val="000D353F"/>
    <w:rsid w:val="000D3C2C"/>
    <w:rsid w:val="000D4D87"/>
    <w:rsid w:val="000D6AF2"/>
    <w:rsid w:val="000F1EC6"/>
    <w:rsid w:val="000F4943"/>
    <w:rsid w:val="00122C08"/>
    <w:rsid w:val="0012419B"/>
    <w:rsid w:val="001257D1"/>
    <w:rsid w:val="00135F97"/>
    <w:rsid w:val="001440A4"/>
    <w:rsid w:val="0014497A"/>
    <w:rsid w:val="00152EEF"/>
    <w:rsid w:val="001544BF"/>
    <w:rsid w:val="00156F2A"/>
    <w:rsid w:val="00162C8E"/>
    <w:rsid w:val="0016548C"/>
    <w:rsid w:val="00167F19"/>
    <w:rsid w:val="00176477"/>
    <w:rsid w:val="001858B2"/>
    <w:rsid w:val="00185FDF"/>
    <w:rsid w:val="00186DA0"/>
    <w:rsid w:val="00187F21"/>
    <w:rsid w:val="00190506"/>
    <w:rsid w:val="001A1824"/>
    <w:rsid w:val="001A2258"/>
    <w:rsid w:val="001A24F0"/>
    <w:rsid w:val="001A24F8"/>
    <w:rsid w:val="001A50F6"/>
    <w:rsid w:val="001B12E5"/>
    <w:rsid w:val="001B1720"/>
    <w:rsid w:val="001C1E40"/>
    <w:rsid w:val="001C2327"/>
    <w:rsid w:val="001C500B"/>
    <w:rsid w:val="001C524F"/>
    <w:rsid w:val="001D5587"/>
    <w:rsid w:val="001E1154"/>
    <w:rsid w:val="001E378B"/>
    <w:rsid w:val="001F14A7"/>
    <w:rsid w:val="001F5A34"/>
    <w:rsid w:val="002018AC"/>
    <w:rsid w:val="002028ED"/>
    <w:rsid w:val="002121D4"/>
    <w:rsid w:val="00227A67"/>
    <w:rsid w:val="00230503"/>
    <w:rsid w:val="0023079D"/>
    <w:rsid w:val="00231C9C"/>
    <w:rsid w:val="00236211"/>
    <w:rsid w:val="002428BD"/>
    <w:rsid w:val="00243F04"/>
    <w:rsid w:val="00250CCD"/>
    <w:rsid w:val="00253602"/>
    <w:rsid w:val="0025439B"/>
    <w:rsid w:val="002543DC"/>
    <w:rsid w:val="002546D4"/>
    <w:rsid w:val="00256CCC"/>
    <w:rsid w:val="00286EEE"/>
    <w:rsid w:val="00295DE3"/>
    <w:rsid w:val="00295EE9"/>
    <w:rsid w:val="002A13CC"/>
    <w:rsid w:val="002A4CD7"/>
    <w:rsid w:val="002A4E72"/>
    <w:rsid w:val="002B2F6F"/>
    <w:rsid w:val="002B33C3"/>
    <w:rsid w:val="002B4BF4"/>
    <w:rsid w:val="002C03AA"/>
    <w:rsid w:val="002D1E65"/>
    <w:rsid w:val="002D75F0"/>
    <w:rsid w:val="002D7C67"/>
    <w:rsid w:val="002E29AF"/>
    <w:rsid w:val="002E6DC4"/>
    <w:rsid w:val="00301CC0"/>
    <w:rsid w:val="00305197"/>
    <w:rsid w:val="00312FAF"/>
    <w:rsid w:val="00317202"/>
    <w:rsid w:val="00320D86"/>
    <w:rsid w:val="00326942"/>
    <w:rsid w:val="00327CFE"/>
    <w:rsid w:val="00327FF6"/>
    <w:rsid w:val="003347A2"/>
    <w:rsid w:val="00335701"/>
    <w:rsid w:val="00336061"/>
    <w:rsid w:val="0034123D"/>
    <w:rsid w:val="003433B2"/>
    <w:rsid w:val="00352159"/>
    <w:rsid w:val="003549CF"/>
    <w:rsid w:val="00357193"/>
    <w:rsid w:val="0037170C"/>
    <w:rsid w:val="003A06D4"/>
    <w:rsid w:val="003B0112"/>
    <w:rsid w:val="003B2885"/>
    <w:rsid w:val="003B2FD5"/>
    <w:rsid w:val="003B357A"/>
    <w:rsid w:val="003C0E28"/>
    <w:rsid w:val="003C269D"/>
    <w:rsid w:val="003D41AB"/>
    <w:rsid w:val="003D6E95"/>
    <w:rsid w:val="003F0A3E"/>
    <w:rsid w:val="003F2D0A"/>
    <w:rsid w:val="00401E97"/>
    <w:rsid w:val="0042086E"/>
    <w:rsid w:val="00421D50"/>
    <w:rsid w:val="00432F14"/>
    <w:rsid w:val="0044240A"/>
    <w:rsid w:val="00442B0D"/>
    <w:rsid w:val="0044418B"/>
    <w:rsid w:val="004456F9"/>
    <w:rsid w:val="00451DD8"/>
    <w:rsid w:val="00453BF5"/>
    <w:rsid w:val="00453FB6"/>
    <w:rsid w:val="00454373"/>
    <w:rsid w:val="0045449C"/>
    <w:rsid w:val="004617A2"/>
    <w:rsid w:val="0046276B"/>
    <w:rsid w:val="00464AA6"/>
    <w:rsid w:val="00473429"/>
    <w:rsid w:val="004778EF"/>
    <w:rsid w:val="00483BDE"/>
    <w:rsid w:val="00494A26"/>
    <w:rsid w:val="00495847"/>
    <w:rsid w:val="00495A00"/>
    <w:rsid w:val="00495BD3"/>
    <w:rsid w:val="00495D19"/>
    <w:rsid w:val="00497D14"/>
    <w:rsid w:val="004A2B5D"/>
    <w:rsid w:val="004A4620"/>
    <w:rsid w:val="004B1310"/>
    <w:rsid w:val="004B3A37"/>
    <w:rsid w:val="004B5330"/>
    <w:rsid w:val="004B5405"/>
    <w:rsid w:val="004B6D17"/>
    <w:rsid w:val="004C2675"/>
    <w:rsid w:val="004C2A00"/>
    <w:rsid w:val="004C513F"/>
    <w:rsid w:val="004D194F"/>
    <w:rsid w:val="004D4AFF"/>
    <w:rsid w:val="004D6724"/>
    <w:rsid w:val="004E798B"/>
    <w:rsid w:val="004E7D32"/>
    <w:rsid w:val="004F7830"/>
    <w:rsid w:val="00500326"/>
    <w:rsid w:val="00510BDA"/>
    <w:rsid w:val="00511C54"/>
    <w:rsid w:val="00511E89"/>
    <w:rsid w:val="00512E91"/>
    <w:rsid w:val="00517FFA"/>
    <w:rsid w:val="005200B0"/>
    <w:rsid w:val="00526EED"/>
    <w:rsid w:val="0053243E"/>
    <w:rsid w:val="00543B4E"/>
    <w:rsid w:val="00547424"/>
    <w:rsid w:val="00563E21"/>
    <w:rsid w:val="0057119B"/>
    <w:rsid w:val="00590AD1"/>
    <w:rsid w:val="005A03EE"/>
    <w:rsid w:val="005A250A"/>
    <w:rsid w:val="005A5181"/>
    <w:rsid w:val="005B4405"/>
    <w:rsid w:val="005B6552"/>
    <w:rsid w:val="005B6E82"/>
    <w:rsid w:val="005B7066"/>
    <w:rsid w:val="005C21CC"/>
    <w:rsid w:val="005D1E80"/>
    <w:rsid w:val="005D2D4B"/>
    <w:rsid w:val="005D621A"/>
    <w:rsid w:val="005E4052"/>
    <w:rsid w:val="005E64CE"/>
    <w:rsid w:val="005F0427"/>
    <w:rsid w:val="005F39AB"/>
    <w:rsid w:val="005F3DF1"/>
    <w:rsid w:val="005F5A77"/>
    <w:rsid w:val="005F6AFA"/>
    <w:rsid w:val="0060717F"/>
    <w:rsid w:val="006201E1"/>
    <w:rsid w:val="00626E32"/>
    <w:rsid w:val="006424DF"/>
    <w:rsid w:val="00642BC9"/>
    <w:rsid w:val="00650801"/>
    <w:rsid w:val="00663DCF"/>
    <w:rsid w:val="006670B7"/>
    <w:rsid w:val="00670481"/>
    <w:rsid w:val="00683988"/>
    <w:rsid w:val="00685C32"/>
    <w:rsid w:val="006915F8"/>
    <w:rsid w:val="006A0582"/>
    <w:rsid w:val="006A49F0"/>
    <w:rsid w:val="006A4BE5"/>
    <w:rsid w:val="006B456D"/>
    <w:rsid w:val="006B7D37"/>
    <w:rsid w:val="006C0E9F"/>
    <w:rsid w:val="006C2A41"/>
    <w:rsid w:val="006C6AFA"/>
    <w:rsid w:val="006D0421"/>
    <w:rsid w:val="006D0CB0"/>
    <w:rsid w:val="006D1CCB"/>
    <w:rsid w:val="006D74AB"/>
    <w:rsid w:val="006D75A7"/>
    <w:rsid w:val="006F0712"/>
    <w:rsid w:val="006F7F39"/>
    <w:rsid w:val="0070386C"/>
    <w:rsid w:val="007039B1"/>
    <w:rsid w:val="00705990"/>
    <w:rsid w:val="007062CF"/>
    <w:rsid w:val="00712174"/>
    <w:rsid w:val="00722551"/>
    <w:rsid w:val="007249F8"/>
    <w:rsid w:val="00727F85"/>
    <w:rsid w:val="007303CC"/>
    <w:rsid w:val="007304E7"/>
    <w:rsid w:val="00732F56"/>
    <w:rsid w:val="00747917"/>
    <w:rsid w:val="0075138D"/>
    <w:rsid w:val="00760867"/>
    <w:rsid w:val="007707CF"/>
    <w:rsid w:val="0077346F"/>
    <w:rsid w:val="0077572E"/>
    <w:rsid w:val="0077615D"/>
    <w:rsid w:val="00777FFA"/>
    <w:rsid w:val="00780DC4"/>
    <w:rsid w:val="00784DF0"/>
    <w:rsid w:val="00797123"/>
    <w:rsid w:val="007A1CC6"/>
    <w:rsid w:val="007A4647"/>
    <w:rsid w:val="007B2E1A"/>
    <w:rsid w:val="007B31EF"/>
    <w:rsid w:val="007B459E"/>
    <w:rsid w:val="007C4298"/>
    <w:rsid w:val="007D5389"/>
    <w:rsid w:val="007D53CB"/>
    <w:rsid w:val="007D5EC2"/>
    <w:rsid w:val="007E5810"/>
    <w:rsid w:val="007F05D8"/>
    <w:rsid w:val="007F2512"/>
    <w:rsid w:val="007F5B83"/>
    <w:rsid w:val="007F601D"/>
    <w:rsid w:val="00800393"/>
    <w:rsid w:val="00805BDF"/>
    <w:rsid w:val="00806D35"/>
    <w:rsid w:val="00814DFE"/>
    <w:rsid w:val="008155C9"/>
    <w:rsid w:val="00820760"/>
    <w:rsid w:val="0082088C"/>
    <w:rsid w:val="00821A6A"/>
    <w:rsid w:val="008231CE"/>
    <w:rsid w:val="008279F3"/>
    <w:rsid w:val="00833D4B"/>
    <w:rsid w:val="00834AC1"/>
    <w:rsid w:val="00835DB6"/>
    <w:rsid w:val="0083602C"/>
    <w:rsid w:val="0084116E"/>
    <w:rsid w:val="0084175A"/>
    <w:rsid w:val="00847A7D"/>
    <w:rsid w:val="0085389D"/>
    <w:rsid w:val="00855F0E"/>
    <w:rsid w:val="008667CF"/>
    <w:rsid w:val="00867FDE"/>
    <w:rsid w:val="00871D62"/>
    <w:rsid w:val="008776B6"/>
    <w:rsid w:val="008806BA"/>
    <w:rsid w:val="008937B8"/>
    <w:rsid w:val="00895A5F"/>
    <w:rsid w:val="008A5918"/>
    <w:rsid w:val="008A6535"/>
    <w:rsid w:val="008A7259"/>
    <w:rsid w:val="008B1B91"/>
    <w:rsid w:val="008B35A1"/>
    <w:rsid w:val="008B68A5"/>
    <w:rsid w:val="008C11A9"/>
    <w:rsid w:val="008C1F66"/>
    <w:rsid w:val="008C394E"/>
    <w:rsid w:val="008D3414"/>
    <w:rsid w:val="008D5F7E"/>
    <w:rsid w:val="008D7B8A"/>
    <w:rsid w:val="008E108F"/>
    <w:rsid w:val="008E5B3D"/>
    <w:rsid w:val="008F7A09"/>
    <w:rsid w:val="009009C8"/>
    <w:rsid w:val="00900D24"/>
    <w:rsid w:val="0092090C"/>
    <w:rsid w:val="00926885"/>
    <w:rsid w:val="00926F1B"/>
    <w:rsid w:val="0093592D"/>
    <w:rsid w:val="00936BBA"/>
    <w:rsid w:val="00936CC2"/>
    <w:rsid w:val="00945315"/>
    <w:rsid w:val="00950C23"/>
    <w:rsid w:val="0095440D"/>
    <w:rsid w:val="0095700B"/>
    <w:rsid w:val="00961501"/>
    <w:rsid w:val="00961D68"/>
    <w:rsid w:val="00963093"/>
    <w:rsid w:val="00964837"/>
    <w:rsid w:val="00967DE8"/>
    <w:rsid w:val="00972AC5"/>
    <w:rsid w:val="009817AF"/>
    <w:rsid w:val="009847BA"/>
    <w:rsid w:val="00987EEC"/>
    <w:rsid w:val="00990750"/>
    <w:rsid w:val="0099423D"/>
    <w:rsid w:val="00996EAD"/>
    <w:rsid w:val="009A1226"/>
    <w:rsid w:val="009B163C"/>
    <w:rsid w:val="009B2AE7"/>
    <w:rsid w:val="009D043A"/>
    <w:rsid w:val="009D2119"/>
    <w:rsid w:val="009E0566"/>
    <w:rsid w:val="009E41FF"/>
    <w:rsid w:val="009E5A31"/>
    <w:rsid w:val="009E61F9"/>
    <w:rsid w:val="00A1068A"/>
    <w:rsid w:val="00A23816"/>
    <w:rsid w:val="00A30D1D"/>
    <w:rsid w:val="00A31034"/>
    <w:rsid w:val="00A3592E"/>
    <w:rsid w:val="00A40083"/>
    <w:rsid w:val="00A4101F"/>
    <w:rsid w:val="00A5186A"/>
    <w:rsid w:val="00A52AF8"/>
    <w:rsid w:val="00A6799B"/>
    <w:rsid w:val="00A731D0"/>
    <w:rsid w:val="00A73C4B"/>
    <w:rsid w:val="00A824EF"/>
    <w:rsid w:val="00A916C2"/>
    <w:rsid w:val="00AA23D6"/>
    <w:rsid w:val="00AA3CFE"/>
    <w:rsid w:val="00AB0572"/>
    <w:rsid w:val="00AB4AF1"/>
    <w:rsid w:val="00AC3081"/>
    <w:rsid w:val="00AC59DD"/>
    <w:rsid w:val="00AD2514"/>
    <w:rsid w:val="00AE2001"/>
    <w:rsid w:val="00AE3E2F"/>
    <w:rsid w:val="00AE7052"/>
    <w:rsid w:val="00AF05C8"/>
    <w:rsid w:val="00AF44A0"/>
    <w:rsid w:val="00AF68C7"/>
    <w:rsid w:val="00B01FD8"/>
    <w:rsid w:val="00B035EF"/>
    <w:rsid w:val="00B1322B"/>
    <w:rsid w:val="00B21682"/>
    <w:rsid w:val="00B23190"/>
    <w:rsid w:val="00B273B3"/>
    <w:rsid w:val="00B321DF"/>
    <w:rsid w:val="00B33F2E"/>
    <w:rsid w:val="00B34935"/>
    <w:rsid w:val="00B35ED5"/>
    <w:rsid w:val="00B51361"/>
    <w:rsid w:val="00B57524"/>
    <w:rsid w:val="00B57AE0"/>
    <w:rsid w:val="00B65409"/>
    <w:rsid w:val="00B730D3"/>
    <w:rsid w:val="00B74719"/>
    <w:rsid w:val="00B74847"/>
    <w:rsid w:val="00B76D59"/>
    <w:rsid w:val="00B81836"/>
    <w:rsid w:val="00B84422"/>
    <w:rsid w:val="00BA077F"/>
    <w:rsid w:val="00BA1497"/>
    <w:rsid w:val="00BA2450"/>
    <w:rsid w:val="00BA77C0"/>
    <w:rsid w:val="00BB1E11"/>
    <w:rsid w:val="00BB473B"/>
    <w:rsid w:val="00BB698F"/>
    <w:rsid w:val="00BC07AD"/>
    <w:rsid w:val="00BC1B14"/>
    <w:rsid w:val="00BC2537"/>
    <w:rsid w:val="00BC259F"/>
    <w:rsid w:val="00BC65B9"/>
    <w:rsid w:val="00BC6603"/>
    <w:rsid w:val="00BD0F23"/>
    <w:rsid w:val="00BD3B1F"/>
    <w:rsid w:val="00BD63B2"/>
    <w:rsid w:val="00BD73DC"/>
    <w:rsid w:val="00BE61BE"/>
    <w:rsid w:val="00BF1BD8"/>
    <w:rsid w:val="00C011B1"/>
    <w:rsid w:val="00C127B5"/>
    <w:rsid w:val="00C146CB"/>
    <w:rsid w:val="00C14D72"/>
    <w:rsid w:val="00C223AB"/>
    <w:rsid w:val="00C237E1"/>
    <w:rsid w:val="00C275C0"/>
    <w:rsid w:val="00C3534F"/>
    <w:rsid w:val="00C3545F"/>
    <w:rsid w:val="00C41841"/>
    <w:rsid w:val="00C46B17"/>
    <w:rsid w:val="00C50F97"/>
    <w:rsid w:val="00C5328F"/>
    <w:rsid w:val="00C703CD"/>
    <w:rsid w:val="00C81A36"/>
    <w:rsid w:val="00C8401B"/>
    <w:rsid w:val="00C84917"/>
    <w:rsid w:val="00C85858"/>
    <w:rsid w:val="00C87D54"/>
    <w:rsid w:val="00C93350"/>
    <w:rsid w:val="00C96629"/>
    <w:rsid w:val="00CA5DAE"/>
    <w:rsid w:val="00CA6706"/>
    <w:rsid w:val="00CC4C06"/>
    <w:rsid w:val="00CC59AC"/>
    <w:rsid w:val="00CC77E7"/>
    <w:rsid w:val="00CD0BB0"/>
    <w:rsid w:val="00CD1947"/>
    <w:rsid w:val="00CD454D"/>
    <w:rsid w:val="00CD6891"/>
    <w:rsid w:val="00CF5746"/>
    <w:rsid w:val="00CF5B77"/>
    <w:rsid w:val="00D01A59"/>
    <w:rsid w:val="00D04B4E"/>
    <w:rsid w:val="00D14A21"/>
    <w:rsid w:val="00D159BA"/>
    <w:rsid w:val="00D216CD"/>
    <w:rsid w:val="00D2521E"/>
    <w:rsid w:val="00D36529"/>
    <w:rsid w:val="00D41270"/>
    <w:rsid w:val="00D41E83"/>
    <w:rsid w:val="00D4453E"/>
    <w:rsid w:val="00D54D5D"/>
    <w:rsid w:val="00D6182F"/>
    <w:rsid w:val="00D677E1"/>
    <w:rsid w:val="00D70A08"/>
    <w:rsid w:val="00D71F34"/>
    <w:rsid w:val="00D76C17"/>
    <w:rsid w:val="00D85401"/>
    <w:rsid w:val="00D9033C"/>
    <w:rsid w:val="00D9323B"/>
    <w:rsid w:val="00D9433A"/>
    <w:rsid w:val="00D966F0"/>
    <w:rsid w:val="00DA1605"/>
    <w:rsid w:val="00DB6994"/>
    <w:rsid w:val="00DB7874"/>
    <w:rsid w:val="00DC1F29"/>
    <w:rsid w:val="00DC5FB9"/>
    <w:rsid w:val="00DD1FBC"/>
    <w:rsid w:val="00DD61F6"/>
    <w:rsid w:val="00DE1120"/>
    <w:rsid w:val="00DE5627"/>
    <w:rsid w:val="00DE70EB"/>
    <w:rsid w:val="00DF196B"/>
    <w:rsid w:val="00DF1E4C"/>
    <w:rsid w:val="00DF2C29"/>
    <w:rsid w:val="00DF498A"/>
    <w:rsid w:val="00E0353E"/>
    <w:rsid w:val="00E0415B"/>
    <w:rsid w:val="00E04EDE"/>
    <w:rsid w:val="00E15105"/>
    <w:rsid w:val="00E157C4"/>
    <w:rsid w:val="00E1669A"/>
    <w:rsid w:val="00E27407"/>
    <w:rsid w:val="00E3092E"/>
    <w:rsid w:val="00E340D5"/>
    <w:rsid w:val="00E36150"/>
    <w:rsid w:val="00E367C3"/>
    <w:rsid w:val="00E40CDF"/>
    <w:rsid w:val="00E42087"/>
    <w:rsid w:val="00E46208"/>
    <w:rsid w:val="00E46728"/>
    <w:rsid w:val="00E54AC6"/>
    <w:rsid w:val="00E6711B"/>
    <w:rsid w:val="00E674E2"/>
    <w:rsid w:val="00E74532"/>
    <w:rsid w:val="00E77897"/>
    <w:rsid w:val="00E82D7F"/>
    <w:rsid w:val="00E924FE"/>
    <w:rsid w:val="00E92573"/>
    <w:rsid w:val="00E92A75"/>
    <w:rsid w:val="00E94500"/>
    <w:rsid w:val="00E979FC"/>
    <w:rsid w:val="00EA6F17"/>
    <w:rsid w:val="00EA7E47"/>
    <w:rsid w:val="00EB22E1"/>
    <w:rsid w:val="00EB4318"/>
    <w:rsid w:val="00EB6594"/>
    <w:rsid w:val="00EC057A"/>
    <w:rsid w:val="00EC097D"/>
    <w:rsid w:val="00ED14B4"/>
    <w:rsid w:val="00ED1664"/>
    <w:rsid w:val="00ED5180"/>
    <w:rsid w:val="00EE6C91"/>
    <w:rsid w:val="00EF1B26"/>
    <w:rsid w:val="00EF44EC"/>
    <w:rsid w:val="00EF7F37"/>
    <w:rsid w:val="00F01D3B"/>
    <w:rsid w:val="00F01EA0"/>
    <w:rsid w:val="00F07A55"/>
    <w:rsid w:val="00F11448"/>
    <w:rsid w:val="00F14F4E"/>
    <w:rsid w:val="00F16B09"/>
    <w:rsid w:val="00F171DF"/>
    <w:rsid w:val="00F3235D"/>
    <w:rsid w:val="00F32A40"/>
    <w:rsid w:val="00F35A23"/>
    <w:rsid w:val="00F4217C"/>
    <w:rsid w:val="00F42275"/>
    <w:rsid w:val="00F4280A"/>
    <w:rsid w:val="00F42F4F"/>
    <w:rsid w:val="00F43E23"/>
    <w:rsid w:val="00F441C7"/>
    <w:rsid w:val="00F45D58"/>
    <w:rsid w:val="00F50961"/>
    <w:rsid w:val="00F51704"/>
    <w:rsid w:val="00F60526"/>
    <w:rsid w:val="00F618F8"/>
    <w:rsid w:val="00F75D39"/>
    <w:rsid w:val="00F7748F"/>
    <w:rsid w:val="00F77A3C"/>
    <w:rsid w:val="00F8427B"/>
    <w:rsid w:val="00F87248"/>
    <w:rsid w:val="00F931F7"/>
    <w:rsid w:val="00F94808"/>
    <w:rsid w:val="00FA3D97"/>
    <w:rsid w:val="00FA3E96"/>
    <w:rsid w:val="00FA57B4"/>
    <w:rsid w:val="00FB08E4"/>
    <w:rsid w:val="00FB25D8"/>
    <w:rsid w:val="00FB58B0"/>
    <w:rsid w:val="00FC09FC"/>
    <w:rsid w:val="00FC5B62"/>
    <w:rsid w:val="00FC7845"/>
    <w:rsid w:val="00FE0AA8"/>
    <w:rsid w:val="00FE10F5"/>
    <w:rsid w:val="00FE6303"/>
    <w:rsid w:val="00FF1048"/>
    <w:rsid w:val="00FF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0B76E3"/>
  </w:style>
  <w:style w:type="paragraph" w:customStyle="1" w:styleId="naisf">
    <w:name w:val="naisf"/>
    <w:basedOn w:val="Normal"/>
    <w:rsid w:val="000B76E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B76E3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Normal"/>
    <w:rsid w:val="000B76E3"/>
    <w:pPr>
      <w:spacing w:before="75" w:after="75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0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0B76E3"/>
    <w:pPr>
      <w:spacing w:before="100" w:beforeAutospacing="1" w:after="119"/>
    </w:pPr>
  </w:style>
  <w:style w:type="character" w:styleId="Hyperlink">
    <w:name w:val="Hyperlink"/>
    <w:basedOn w:val="DefaultParagraphFont"/>
    <w:rsid w:val="000B76E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B7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76E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NoSpacing">
    <w:name w:val="No Spacing"/>
    <w:uiPriority w:val="1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Normal"/>
    <w:rsid w:val="000B76E3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 w:bidi="lo-LA"/>
    </w:rPr>
  </w:style>
  <w:style w:type="paragraph" w:customStyle="1" w:styleId="naisc">
    <w:name w:val="naisc"/>
    <w:basedOn w:val="Normal"/>
    <w:rsid w:val="000B76E3"/>
    <w:pPr>
      <w:spacing w:before="75" w:after="75"/>
      <w:jc w:val="center"/>
    </w:pPr>
  </w:style>
  <w:style w:type="paragraph" w:customStyle="1" w:styleId="Default">
    <w:name w:val="Default"/>
    <w:rsid w:val="000B76E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F07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A5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A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55"/>
    <w:rPr>
      <w:rFonts w:ascii="Tahoma" w:eastAsia="Times New Roman" w:hAnsi="Tahoma" w:cs="Tahoma"/>
      <w:sz w:val="16"/>
      <w:szCs w:val="16"/>
      <w:lang w:val="lv-LV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C269D"/>
    <w:rPr>
      <w:vertAlign w:val="superscript"/>
    </w:rPr>
  </w:style>
  <w:style w:type="paragraph" w:styleId="BodyText">
    <w:name w:val="Body Text"/>
    <w:basedOn w:val="Normal"/>
    <w:link w:val="BodyTextChar"/>
    <w:rsid w:val="004C2675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4C2675"/>
    <w:rPr>
      <w:rFonts w:ascii="Times New Roman" w:eastAsia="Times New Roman" w:hAnsi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254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543DC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42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0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522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378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2035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4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elakov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1497-5062-47F9-8908-7A5D0557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1316</Words>
  <Characters>9173</Characters>
  <Application>Microsoft Office Word</Application>
  <DocSecurity>0</DocSecurity>
  <Lines>316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2006. gada 4.aprīļa noteikumos Nr.265 „Medicīnisko dokumentu lietvedības kārtība”sākotnējās ietekmes novērtējuma ziņojums (anotācija)</vt:lpstr>
    </vt:vector>
  </TitlesOfParts>
  <Company>Veselības ministrija</Company>
  <LinksUpToDate>false</LinksUpToDate>
  <CharactersWithSpaces>10370</CharactersWithSpaces>
  <SharedDoc>false</SharedDoc>
  <HLinks>
    <vt:vector size="54" baseType="variant"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mailto:raimonds.osis@vm.gov.lv</vt:lpwstr>
      </vt:variant>
      <vt:variant>
        <vt:lpwstr/>
      </vt:variant>
      <vt:variant>
        <vt:i4>3473436</vt:i4>
      </vt:variant>
      <vt:variant>
        <vt:i4>21</vt:i4>
      </vt:variant>
      <vt:variant>
        <vt:i4>0</vt:i4>
      </vt:variant>
      <vt:variant>
        <vt:i4>5</vt:i4>
      </vt:variant>
      <vt:variant>
        <vt:lpwstr>mailto:arturs.veidemanis@vm.gov.lv</vt:lpwstr>
      </vt:variant>
      <vt:variant>
        <vt:lpwstr/>
      </vt:variant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http://pro.nais.lv/naiser/esdoc.cfm?esid=32006R1920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http://www.likumi.lv/doc.php?id=180617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http://www.likumi.lv/doc.php?id=63545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http://polsis.mk.gov.lv/view.do?id=1675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2006. gada 4.aprīļa noteikumos Nr.265 „Medicīnisko dokumentu lietvedības kārtība”sākotnējās ietekmes novērtējuma ziņojums (anotācija)</dc:title>
  <dc:subject>Projekta anotācija</dc:subject>
  <dc:creator>Laura Seļakova</dc:creator>
  <cp:keywords/>
  <dc:description>laura.selakova@vm.gov.lv, 67876154</dc:description>
  <cp:lastModifiedBy>lselakova</cp:lastModifiedBy>
  <cp:revision>30</cp:revision>
  <cp:lastPrinted>2012-02-27T11:22:00Z</cp:lastPrinted>
  <dcterms:created xsi:type="dcterms:W3CDTF">2012-02-24T11:27:00Z</dcterms:created>
  <dcterms:modified xsi:type="dcterms:W3CDTF">2012-03-20T14:42:00Z</dcterms:modified>
</cp:coreProperties>
</file>