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AF" w:rsidRPr="007E5078" w:rsidRDefault="000B76E3" w:rsidP="008C11A9">
      <w:pPr>
        <w:jc w:val="center"/>
        <w:rPr>
          <w:b/>
          <w:color w:val="000000"/>
          <w:sz w:val="28"/>
          <w:szCs w:val="28"/>
        </w:rPr>
      </w:pPr>
      <w:bookmarkStart w:id="0" w:name="OLE_LINK1"/>
      <w:bookmarkStart w:id="1" w:name="OLE_LINK2"/>
      <w:bookmarkStart w:id="2" w:name="OLE_LINK19"/>
      <w:bookmarkStart w:id="3" w:name="OLE_LINK20"/>
      <w:bookmarkStart w:id="4" w:name="OLE_LINK3"/>
      <w:bookmarkStart w:id="5" w:name="OLE_LINK4"/>
      <w:r w:rsidRPr="007E5078">
        <w:rPr>
          <w:color w:val="000000"/>
          <w:sz w:val="28"/>
          <w:szCs w:val="28"/>
        </w:rPr>
        <w:t xml:space="preserve">Ministru kabineta </w:t>
      </w:r>
      <w:r w:rsidR="009817AF" w:rsidRPr="007E5078">
        <w:rPr>
          <w:color w:val="000000"/>
          <w:sz w:val="28"/>
          <w:szCs w:val="28"/>
        </w:rPr>
        <w:t>noteikumu</w:t>
      </w:r>
      <w:r w:rsidRPr="007E5078">
        <w:rPr>
          <w:color w:val="000000"/>
          <w:sz w:val="28"/>
          <w:szCs w:val="28"/>
        </w:rPr>
        <w:t xml:space="preserve"> projekta</w:t>
      </w:r>
      <w:bookmarkStart w:id="6" w:name="OLE_LINK13"/>
      <w:bookmarkStart w:id="7" w:name="OLE_LINK14"/>
      <w:r w:rsidRPr="007E5078">
        <w:rPr>
          <w:b/>
          <w:color w:val="000000"/>
          <w:sz w:val="28"/>
          <w:szCs w:val="28"/>
        </w:rPr>
        <w:t xml:space="preserve"> </w:t>
      </w:r>
    </w:p>
    <w:p w:rsidR="000B76E3" w:rsidRPr="007E5078" w:rsidRDefault="000B76E3" w:rsidP="008C11A9">
      <w:pPr>
        <w:jc w:val="center"/>
        <w:rPr>
          <w:color w:val="000000"/>
          <w:sz w:val="28"/>
          <w:szCs w:val="28"/>
        </w:rPr>
      </w:pPr>
      <w:r w:rsidRPr="007E5078">
        <w:rPr>
          <w:color w:val="000000"/>
          <w:sz w:val="28"/>
          <w:szCs w:val="28"/>
        </w:rPr>
        <w:t>„</w:t>
      </w:r>
      <w:bookmarkStart w:id="8" w:name="OLE_LINK5"/>
      <w:bookmarkStart w:id="9" w:name="OLE_LINK6"/>
      <w:bookmarkStart w:id="10" w:name="OLE_LINK7"/>
      <w:bookmarkStart w:id="11" w:name="OLE_LINK8"/>
      <w:bookmarkEnd w:id="6"/>
      <w:bookmarkEnd w:id="7"/>
      <w:r w:rsidR="00E234ED" w:rsidRPr="007E5078">
        <w:rPr>
          <w:color w:val="000000"/>
          <w:sz w:val="28"/>
          <w:szCs w:val="28"/>
        </w:rPr>
        <w:t>Grozījum</w:t>
      </w:r>
      <w:r w:rsidR="006603C5" w:rsidRPr="007E5078">
        <w:rPr>
          <w:color w:val="000000"/>
          <w:sz w:val="28"/>
          <w:szCs w:val="28"/>
        </w:rPr>
        <w:t xml:space="preserve">i </w:t>
      </w:r>
      <w:r w:rsidR="005B7896" w:rsidRPr="007E5078">
        <w:rPr>
          <w:color w:val="000000"/>
          <w:sz w:val="28"/>
          <w:szCs w:val="28"/>
        </w:rPr>
        <w:t>Ministru kabineta 2008.gada 26.maija noteikumos Nr.370</w:t>
      </w:r>
      <w:r w:rsidR="00E234ED" w:rsidRPr="007E5078">
        <w:rPr>
          <w:color w:val="000000"/>
          <w:sz w:val="28"/>
          <w:szCs w:val="28"/>
        </w:rPr>
        <w:t xml:space="preserve"> „</w:t>
      </w:r>
      <w:r w:rsidR="005B7896" w:rsidRPr="007E5078">
        <w:rPr>
          <w:color w:val="000000"/>
          <w:sz w:val="28"/>
          <w:szCs w:val="28"/>
        </w:rPr>
        <w:t>Noteikumi par mākslīgajiem maisījumiem zīdaiņiem un mākslīgajiem papildu ēdināšanas maisījumiem zīdaiņiem</w:t>
      </w:r>
      <w:r w:rsidR="00E234ED" w:rsidRPr="007E5078">
        <w:rPr>
          <w:color w:val="000000"/>
          <w:sz w:val="28"/>
          <w:szCs w:val="28"/>
        </w:rPr>
        <w:t>”</w:t>
      </w:r>
      <w:bookmarkEnd w:id="8"/>
      <w:bookmarkEnd w:id="9"/>
      <w:bookmarkEnd w:id="10"/>
      <w:bookmarkEnd w:id="11"/>
      <w:r w:rsidRPr="007E5078">
        <w:rPr>
          <w:color w:val="000000"/>
          <w:sz w:val="28"/>
          <w:szCs w:val="28"/>
        </w:rPr>
        <w:t>”</w:t>
      </w:r>
    </w:p>
    <w:bookmarkEnd w:id="0"/>
    <w:bookmarkEnd w:id="1"/>
    <w:p w:rsidR="000B76E3" w:rsidRPr="007E5078" w:rsidRDefault="000B76E3" w:rsidP="005F4EDF">
      <w:pPr>
        <w:jc w:val="center"/>
        <w:rPr>
          <w:b/>
          <w:bCs/>
          <w:color w:val="000000"/>
          <w:sz w:val="28"/>
          <w:szCs w:val="28"/>
        </w:rPr>
      </w:pPr>
      <w:r w:rsidRPr="007E5078">
        <w:rPr>
          <w:bCs/>
          <w:color w:val="000000"/>
          <w:sz w:val="28"/>
          <w:szCs w:val="28"/>
        </w:rPr>
        <w:t>sākotnējās ietekmes novērtējuma ziņojums</w:t>
      </w:r>
      <w:r w:rsidR="005F4EDF" w:rsidRPr="007E5078">
        <w:rPr>
          <w:b/>
          <w:bCs/>
          <w:color w:val="000000"/>
          <w:sz w:val="28"/>
          <w:szCs w:val="28"/>
        </w:rPr>
        <w:t xml:space="preserve"> </w:t>
      </w:r>
      <w:r w:rsidRPr="007E5078">
        <w:rPr>
          <w:bCs/>
          <w:color w:val="000000"/>
          <w:sz w:val="28"/>
          <w:szCs w:val="28"/>
        </w:rPr>
        <w:t>(anotācija)</w:t>
      </w:r>
      <w:bookmarkEnd w:id="2"/>
      <w:bookmarkEnd w:id="3"/>
    </w:p>
    <w:bookmarkEnd w:id="4"/>
    <w:bookmarkEnd w:id="5"/>
    <w:p w:rsidR="0038044A" w:rsidRPr="007E5078" w:rsidRDefault="0038044A" w:rsidP="000B76E3">
      <w:pPr>
        <w:jc w:val="center"/>
        <w:rPr>
          <w:bCs/>
          <w:color w:val="000000"/>
          <w:sz w:val="28"/>
          <w:szCs w:val="28"/>
        </w:rPr>
      </w:pPr>
    </w:p>
    <w:tbl>
      <w:tblPr>
        <w:tblpPr w:leftFromText="180" w:rightFromText="180" w:vertAnchor="text" w:horzAnchor="margin" w:tblpXSpec="center" w:tblpY="149"/>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50"/>
        <w:gridCol w:w="2739"/>
        <w:gridCol w:w="6095"/>
      </w:tblGrid>
      <w:tr w:rsidR="000B76E3" w:rsidRPr="007E5078" w:rsidTr="007062CF">
        <w:tc>
          <w:tcPr>
            <w:tcW w:w="9384" w:type="dxa"/>
            <w:gridSpan w:val="3"/>
            <w:vAlign w:val="center"/>
          </w:tcPr>
          <w:p w:rsidR="000B76E3" w:rsidRPr="007E5078" w:rsidRDefault="000B76E3" w:rsidP="005A03EE">
            <w:pPr>
              <w:pStyle w:val="naisnod"/>
              <w:spacing w:before="0" w:after="0"/>
              <w:rPr>
                <w:color w:val="000000"/>
                <w:sz w:val="28"/>
                <w:szCs w:val="28"/>
              </w:rPr>
            </w:pPr>
            <w:r w:rsidRPr="007E5078">
              <w:rPr>
                <w:color w:val="000000"/>
                <w:sz w:val="28"/>
                <w:szCs w:val="28"/>
              </w:rPr>
              <w:t>I. Tiesību akta projekta izstrādes nepieciešamība</w:t>
            </w:r>
          </w:p>
        </w:tc>
      </w:tr>
      <w:tr w:rsidR="000B76E3" w:rsidRPr="007E5078" w:rsidTr="007062CF">
        <w:trPr>
          <w:trHeight w:val="630"/>
        </w:trPr>
        <w:tc>
          <w:tcPr>
            <w:tcW w:w="550" w:type="dxa"/>
          </w:tcPr>
          <w:p w:rsidR="000B76E3" w:rsidRPr="007E5078" w:rsidRDefault="000B76E3" w:rsidP="005A03EE">
            <w:pPr>
              <w:pStyle w:val="naiskr"/>
              <w:spacing w:before="0" w:after="0"/>
              <w:rPr>
                <w:color w:val="000000"/>
                <w:sz w:val="28"/>
                <w:szCs w:val="28"/>
              </w:rPr>
            </w:pPr>
            <w:r w:rsidRPr="007E5078">
              <w:rPr>
                <w:color w:val="000000"/>
                <w:sz w:val="28"/>
                <w:szCs w:val="28"/>
              </w:rPr>
              <w:t>1.</w:t>
            </w:r>
          </w:p>
        </w:tc>
        <w:tc>
          <w:tcPr>
            <w:tcW w:w="2739" w:type="dxa"/>
          </w:tcPr>
          <w:p w:rsidR="000B76E3" w:rsidRPr="007E5078" w:rsidRDefault="000B76E3" w:rsidP="005A03EE">
            <w:pPr>
              <w:pStyle w:val="naiskr"/>
              <w:spacing w:before="0" w:after="0"/>
              <w:ind w:hanging="10"/>
              <w:rPr>
                <w:color w:val="000000"/>
                <w:sz w:val="28"/>
                <w:szCs w:val="28"/>
              </w:rPr>
            </w:pPr>
            <w:r w:rsidRPr="007E5078">
              <w:rPr>
                <w:color w:val="000000"/>
                <w:sz w:val="28"/>
                <w:szCs w:val="28"/>
              </w:rPr>
              <w:t>Pamatojums</w:t>
            </w:r>
          </w:p>
          <w:p w:rsidR="000B76E3" w:rsidRPr="007E5078" w:rsidRDefault="000B76E3" w:rsidP="005A03EE">
            <w:pPr>
              <w:pStyle w:val="naiskr"/>
              <w:spacing w:before="0" w:after="0"/>
              <w:ind w:hanging="10"/>
              <w:rPr>
                <w:color w:val="000000"/>
                <w:sz w:val="28"/>
                <w:szCs w:val="28"/>
              </w:rPr>
            </w:pPr>
          </w:p>
          <w:p w:rsidR="000B76E3" w:rsidRPr="007E5078" w:rsidRDefault="000B76E3" w:rsidP="005A03EE">
            <w:pPr>
              <w:pStyle w:val="NoSpacing"/>
              <w:jc w:val="both"/>
              <w:rPr>
                <w:color w:val="000000"/>
                <w:sz w:val="28"/>
                <w:szCs w:val="28"/>
              </w:rPr>
            </w:pPr>
          </w:p>
        </w:tc>
        <w:tc>
          <w:tcPr>
            <w:tcW w:w="6095" w:type="dxa"/>
          </w:tcPr>
          <w:p w:rsidR="00A30D1D" w:rsidRPr="007E5078" w:rsidRDefault="00614C6E" w:rsidP="00664209">
            <w:pPr>
              <w:pStyle w:val="NoSpacing"/>
              <w:jc w:val="both"/>
              <w:rPr>
                <w:sz w:val="28"/>
                <w:szCs w:val="28"/>
              </w:rPr>
            </w:pPr>
            <w:r w:rsidRPr="007E5078">
              <w:rPr>
                <w:sz w:val="28"/>
                <w:szCs w:val="28"/>
              </w:rPr>
              <w:t xml:space="preserve">Ministru kabineta noteikumu projekts </w:t>
            </w:r>
            <w:r w:rsidR="00BB4E88">
              <w:rPr>
                <w:sz w:val="28"/>
                <w:szCs w:val="28"/>
              </w:rPr>
              <w:t>„Grozījumi</w:t>
            </w:r>
            <w:r w:rsidR="00664209" w:rsidRPr="007E5078">
              <w:rPr>
                <w:sz w:val="28"/>
                <w:szCs w:val="28"/>
              </w:rPr>
              <w:t xml:space="preserve"> Ministru kabineta 2008.</w:t>
            </w:r>
            <w:r w:rsidR="00660110" w:rsidRPr="007E5078">
              <w:rPr>
                <w:sz w:val="28"/>
                <w:szCs w:val="28"/>
              </w:rPr>
              <w:t xml:space="preserve"> </w:t>
            </w:r>
            <w:r w:rsidR="00664209" w:rsidRPr="007E5078">
              <w:rPr>
                <w:sz w:val="28"/>
                <w:szCs w:val="28"/>
              </w:rPr>
              <w:t>gada 26.</w:t>
            </w:r>
            <w:r w:rsidR="00660110" w:rsidRPr="007E5078">
              <w:rPr>
                <w:sz w:val="28"/>
                <w:szCs w:val="28"/>
              </w:rPr>
              <w:t xml:space="preserve"> </w:t>
            </w:r>
            <w:r w:rsidR="00664209" w:rsidRPr="007E5078">
              <w:rPr>
                <w:sz w:val="28"/>
                <w:szCs w:val="28"/>
              </w:rPr>
              <w:t>maija noteikumos Nr.</w:t>
            </w:r>
            <w:r w:rsidR="00660110" w:rsidRPr="007E5078">
              <w:rPr>
                <w:sz w:val="28"/>
                <w:szCs w:val="28"/>
              </w:rPr>
              <w:t xml:space="preserve"> </w:t>
            </w:r>
            <w:r w:rsidR="00664209" w:rsidRPr="007E5078">
              <w:rPr>
                <w:sz w:val="28"/>
                <w:szCs w:val="28"/>
              </w:rPr>
              <w:t xml:space="preserve">370 „Noteikumi par mākslīgajiem maisījumiem zīdaiņiem un mākslīgajiem papildu ēdināšanas maisījumiem zīdaiņiem”” </w:t>
            </w:r>
            <w:r w:rsidRPr="007E5078">
              <w:rPr>
                <w:sz w:val="28"/>
                <w:szCs w:val="28"/>
              </w:rPr>
              <w:t xml:space="preserve">(turpmāk – noteikumu projekts) izstrādāts saskaņā ar </w:t>
            </w:r>
            <w:r w:rsidR="00F36F28" w:rsidRPr="007E5078">
              <w:rPr>
                <w:sz w:val="28"/>
                <w:szCs w:val="28"/>
              </w:rPr>
              <w:t>Ministru kabineta 2011.</w:t>
            </w:r>
            <w:r w:rsidR="00660110" w:rsidRPr="007E5078">
              <w:rPr>
                <w:sz w:val="28"/>
                <w:szCs w:val="28"/>
              </w:rPr>
              <w:t xml:space="preserve"> </w:t>
            </w:r>
            <w:r w:rsidR="00F36F28" w:rsidRPr="007E5078">
              <w:rPr>
                <w:sz w:val="28"/>
                <w:szCs w:val="28"/>
              </w:rPr>
              <w:t>gad</w:t>
            </w:r>
            <w:r w:rsidR="00557333" w:rsidRPr="007E5078">
              <w:rPr>
                <w:sz w:val="28"/>
                <w:szCs w:val="28"/>
              </w:rPr>
              <w:t>a 7.</w:t>
            </w:r>
            <w:r w:rsidR="00660110" w:rsidRPr="007E5078">
              <w:rPr>
                <w:sz w:val="28"/>
                <w:szCs w:val="28"/>
              </w:rPr>
              <w:t xml:space="preserve"> </w:t>
            </w:r>
            <w:r w:rsidR="00557333" w:rsidRPr="007E5078">
              <w:rPr>
                <w:sz w:val="28"/>
                <w:szCs w:val="28"/>
              </w:rPr>
              <w:t>septembra rīkojuma Nr.</w:t>
            </w:r>
            <w:r w:rsidR="00660110" w:rsidRPr="007E5078">
              <w:rPr>
                <w:sz w:val="28"/>
                <w:szCs w:val="28"/>
              </w:rPr>
              <w:t xml:space="preserve"> </w:t>
            </w:r>
            <w:r w:rsidR="00557333" w:rsidRPr="007E5078">
              <w:rPr>
                <w:sz w:val="28"/>
                <w:szCs w:val="28"/>
              </w:rPr>
              <w:t>436 „</w:t>
            </w:r>
            <w:r w:rsidR="00F36F28" w:rsidRPr="007E5078">
              <w:rPr>
                <w:sz w:val="28"/>
                <w:szCs w:val="28"/>
              </w:rPr>
              <w:t xml:space="preserve">Par Veselības norēķinu centra un Veselības ekonomikas centra reorganizāciju” </w:t>
            </w:r>
            <w:r w:rsidR="00557333" w:rsidRPr="007E5078">
              <w:rPr>
                <w:sz w:val="28"/>
                <w:szCs w:val="28"/>
              </w:rPr>
              <w:t>(turpmāk – MK rīkojums Nr.</w:t>
            </w:r>
            <w:r w:rsidR="00660110" w:rsidRPr="007E5078">
              <w:rPr>
                <w:sz w:val="28"/>
                <w:szCs w:val="28"/>
              </w:rPr>
              <w:t xml:space="preserve"> </w:t>
            </w:r>
            <w:r w:rsidR="00557333" w:rsidRPr="007E5078">
              <w:rPr>
                <w:sz w:val="28"/>
                <w:szCs w:val="28"/>
              </w:rPr>
              <w:t xml:space="preserve">436) </w:t>
            </w:r>
            <w:r w:rsidR="00F36F28" w:rsidRPr="007E5078">
              <w:rPr>
                <w:sz w:val="28"/>
                <w:szCs w:val="28"/>
              </w:rPr>
              <w:t>1.</w:t>
            </w:r>
            <w:r w:rsidR="00BF2AC4" w:rsidRPr="007E5078">
              <w:rPr>
                <w:sz w:val="28"/>
                <w:szCs w:val="28"/>
              </w:rPr>
              <w:t>, un 2.</w:t>
            </w:r>
            <w:r w:rsidR="00660110" w:rsidRPr="007E5078">
              <w:rPr>
                <w:sz w:val="28"/>
                <w:szCs w:val="28"/>
              </w:rPr>
              <w:t xml:space="preserve"> </w:t>
            </w:r>
            <w:r w:rsidR="005168BD" w:rsidRPr="007E5078">
              <w:rPr>
                <w:sz w:val="28"/>
                <w:szCs w:val="28"/>
              </w:rPr>
              <w:t xml:space="preserve">punktu, </w:t>
            </w:r>
            <w:r w:rsidR="00F36F28" w:rsidRPr="007E5078">
              <w:rPr>
                <w:sz w:val="28"/>
                <w:szCs w:val="28"/>
              </w:rPr>
              <w:t>Ministru kabineta 2012.</w:t>
            </w:r>
            <w:r w:rsidR="00660110" w:rsidRPr="007E5078">
              <w:rPr>
                <w:sz w:val="28"/>
                <w:szCs w:val="28"/>
              </w:rPr>
              <w:t xml:space="preserve"> </w:t>
            </w:r>
            <w:r w:rsidR="00F36F28" w:rsidRPr="007E5078">
              <w:rPr>
                <w:sz w:val="28"/>
                <w:szCs w:val="28"/>
              </w:rPr>
              <w:t>gada 21</w:t>
            </w:r>
            <w:r w:rsidRPr="007E5078">
              <w:rPr>
                <w:sz w:val="28"/>
                <w:szCs w:val="28"/>
              </w:rPr>
              <w:t>.</w:t>
            </w:r>
            <w:r w:rsidR="00660110" w:rsidRPr="007E5078">
              <w:rPr>
                <w:sz w:val="28"/>
                <w:szCs w:val="28"/>
              </w:rPr>
              <w:t xml:space="preserve"> </w:t>
            </w:r>
            <w:r w:rsidRPr="007E5078">
              <w:rPr>
                <w:sz w:val="28"/>
                <w:szCs w:val="28"/>
              </w:rPr>
              <w:t>februāra rīkojuma Nr.</w:t>
            </w:r>
            <w:r w:rsidR="00660110" w:rsidRPr="007E5078">
              <w:rPr>
                <w:sz w:val="28"/>
                <w:szCs w:val="28"/>
              </w:rPr>
              <w:t xml:space="preserve"> </w:t>
            </w:r>
            <w:r w:rsidRPr="007E5078">
              <w:rPr>
                <w:sz w:val="28"/>
                <w:szCs w:val="28"/>
              </w:rPr>
              <w:t xml:space="preserve">101 „Par Slimību profilakses un kontroles centra izveidošanu un Veselības ministrijas </w:t>
            </w:r>
            <w:r w:rsidR="009855ED" w:rsidRPr="007E5078">
              <w:rPr>
                <w:sz w:val="28"/>
                <w:szCs w:val="28"/>
              </w:rPr>
              <w:t xml:space="preserve"> un Zemkopības ministrijas </w:t>
            </w:r>
            <w:r w:rsidRPr="007E5078">
              <w:rPr>
                <w:sz w:val="28"/>
                <w:szCs w:val="28"/>
              </w:rPr>
              <w:t>padotībā esošo valsts pārvaldes iestāžu reorganizāciju” (turpmāk – MK rīkojums</w:t>
            </w:r>
            <w:r w:rsidR="00557333" w:rsidRPr="007E5078">
              <w:rPr>
                <w:sz w:val="28"/>
                <w:szCs w:val="28"/>
              </w:rPr>
              <w:t xml:space="preserve"> Nr.</w:t>
            </w:r>
            <w:r w:rsidR="00660110" w:rsidRPr="007E5078">
              <w:rPr>
                <w:sz w:val="28"/>
                <w:szCs w:val="28"/>
              </w:rPr>
              <w:t xml:space="preserve"> </w:t>
            </w:r>
            <w:r w:rsidR="00557333" w:rsidRPr="007E5078">
              <w:rPr>
                <w:sz w:val="28"/>
                <w:szCs w:val="28"/>
              </w:rPr>
              <w:t>101</w:t>
            </w:r>
            <w:r w:rsidRPr="007E5078">
              <w:rPr>
                <w:sz w:val="28"/>
                <w:szCs w:val="28"/>
              </w:rPr>
              <w:t>) 1.</w:t>
            </w:r>
            <w:r w:rsidR="001902F8" w:rsidRPr="007E5078">
              <w:rPr>
                <w:sz w:val="28"/>
                <w:szCs w:val="28"/>
              </w:rPr>
              <w:t>,</w:t>
            </w:r>
            <w:r w:rsidR="004E3C95" w:rsidRPr="007E5078">
              <w:rPr>
                <w:sz w:val="28"/>
                <w:szCs w:val="28"/>
              </w:rPr>
              <w:t xml:space="preserve"> 5. </w:t>
            </w:r>
            <w:r w:rsidR="00557333" w:rsidRPr="007E5078">
              <w:rPr>
                <w:sz w:val="28"/>
                <w:szCs w:val="28"/>
              </w:rPr>
              <w:t>u</w:t>
            </w:r>
            <w:r w:rsidR="004E3C95" w:rsidRPr="007E5078">
              <w:rPr>
                <w:sz w:val="28"/>
                <w:szCs w:val="28"/>
              </w:rPr>
              <w:t xml:space="preserve">n </w:t>
            </w:r>
            <w:r w:rsidR="001902F8" w:rsidRPr="007E5078">
              <w:rPr>
                <w:sz w:val="28"/>
                <w:szCs w:val="28"/>
              </w:rPr>
              <w:t>17.</w:t>
            </w:r>
            <w:r w:rsidR="00660110" w:rsidRPr="007E5078">
              <w:rPr>
                <w:sz w:val="28"/>
                <w:szCs w:val="28"/>
              </w:rPr>
              <w:t xml:space="preserve"> </w:t>
            </w:r>
            <w:r w:rsidR="005168BD" w:rsidRPr="007E5078">
              <w:rPr>
                <w:sz w:val="28"/>
                <w:szCs w:val="28"/>
              </w:rPr>
              <w:t>p</w:t>
            </w:r>
            <w:r w:rsidR="001902F8" w:rsidRPr="007E5078">
              <w:rPr>
                <w:sz w:val="28"/>
                <w:szCs w:val="28"/>
              </w:rPr>
              <w:t>unktu</w:t>
            </w:r>
            <w:r w:rsidR="005168BD" w:rsidRPr="007E5078">
              <w:rPr>
                <w:sz w:val="28"/>
                <w:szCs w:val="28"/>
              </w:rPr>
              <w:t xml:space="preserve"> un </w:t>
            </w:r>
            <w:r w:rsidR="005168BD" w:rsidRPr="007E5078">
              <w:rPr>
                <w:bCs/>
                <w:sz w:val="28"/>
                <w:szCs w:val="28"/>
              </w:rPr>
              <w:t xml:space="preserve"> Ministru kabineta </w:t>
            </w:r>
            <w:r w:rsidR="005168BD" w:rsidRPr="007E5078">
              <w:rPr>
                <w:sz w:val="28"/>
                <w:szCs w:val="28"/>
              </w:rPr>
              <w:t xml:space="preserve">2008.gada 5.februārī </w:t>
            </w:r>
            <w:r w:rsidR="005168BD" w:rsidRPr="007E5078">
              <w:rPr>
                <w:bCs/>
                <w:sz w:val="28"/>
                <w:szCs w:val="28"/>
              </w:rPr>
              <w:t>noteikumu Nr.76</w:t>
            </w:r>
            <w:r w:rsidR="005168BD" w:rsidRPr="007E5078">
              <w:rPr>
                <w:sz w:val="28"/>
                <w:szCs w:val="28"/>
              </w:rPr>
              <w:t xml:space="preserve"> „Veselības inspekcijas nolikums” 3.1. apakšpunktu.</w:t>
            </w:r>
          </w:p>
        </w:tc>
      </w:tr>
      <w:tr w:rsidR="000B76E3" w:rsidRPr="007E5078" w:rsidTr="007062CF">
        <w:trPr>
          <w:trHeight w:val="472"/>
        </w:trPr>
        <w:tc>
          <w:tcPr>
            <w:tcW w:w="550" w:type="dxa"/>
          </w:tcPr>
          <w:p w:rsidR="000B76E3" w:rsidRPr="007E5078" w:rsidRDefault="000B76E3" w:rsidP="005A03EE">
            <w:pPr>
              <w:pStyle w:val="naiskr"/>
              <w:spacing w:before="0" w:after="0"/>
              <w:rPr>
                <w:color w:val="000000"/>
                <w:sz w:val="28"/>
                <w:szCs w:val="28"/>
              </w:rPr>
            </w:pPr>
            <w:r w:rsidRPr="007E5078">
              <w:rPr>
                <w:color w:val="000000"/>
                <w:sz w:val="28"/>
                <w:szCs w:val="28"/>
              </w:rPr>
              <w:t>2.</w:t>
            </w:r>
          </w:p>
        </w:tc>
        <w:tc>
          <w:tcPr>
            <w:tcW w:w="2739" w:type="dxa"/>
          </w:tcPr>
          <w:p w:rsidR="000B76E3" w:rsidRPr="007E5078" w:rsidRDefault="000B76E3" w:rsidP="005A03EE">
            <w:pPr>
              <w:pStyle w:val="naiskr"/>
              <w:tabs>
                <w:tab w:val="left" w:pos="170"/>
              </w:tabs>
              <w:spacing w:before="0" w:after="0"/>
              <w:rPr>
                <w:color w:val="000000"/>
                <w:sz w:val="28"/>
                <w:szCs w:val="28"/>
              </w:rPr>
            </w:pPr>
            <w:r w:rsidRPr="007E5078">
              <w:rPr>
                <w:color w:val="000000"/>
                <w:sz w:val="28"/>
                <w:szCs w:val="28"/>
              </w:rPr>
              <w:t>Pašreizējā situācija un problēmas</w:t>
            </w:r>
          </w:p>
        </w:tc>
        <w:tc>
          <w:tcPr>
            <w:tcW w:w="6095" w:type="dxa"/>
            <w:shd w:val="clear" w:color="auto" w:fill="auto"/>
          </w:tcPr>
          <w:p w:rsidR="00533AB3" w:rsidRPr="007E5078" w:rsidRDefault="008F0561" w:rsidP="006004BE">
            <w:pPr>
              <w:pStyle w:val="NoSpacing"/>
              <w:jc w:val="both"/>
              <w:rPr>
                <w:sz w:val="28"/>
                <w:szCs w:val="28"/>
              </w:rPr>
            </w:pPr>
            <w:r w:rsidRPr="007E5078">
              <w:rPr>
                <w:sz w:val="28"/>
                <w:szCs w:val="28"/>
              </w:rPr>
              <w:t xml:space="preserve">Ministru kabineta 2008. gada 26. maija noteikumu Nr. 370 „Noteikumi par mākslīgajiem maisījumiem zīdaiņiem un mākslīgajiem papildu ēdināšanas maisījumiem zīdaiņiem”” </w:t>
            </w:r>
            <w:r w:rsidRPr="007E5078">
              <w:rPr>
                <w:color w:val="000000"/>
                <w:sz w:val="28"/>
                <w:szCs w:val="28"/>
              </w:rPr>
              <w:t xml:space="preserve"> (turpmāk – MK noteikumi Nr. 370) 37. punkts </w:t>
            </w:r>
            <w:r w:rsidRPr="007E5078">
              <w:rPr>
                <w:bCs/>
                <w:sz w:val="28"/>
                <w:szCs w:val="28"/>
              </w:rPr>
              <w:t xml:space="preserve">pašreizējā redakcijā paredz Veselības ekonomikas centram </w:t>
            </w:r>
            <w:r w:rsidRPr="007E5078">
              <w:rPr>
                <w:sz w:val="28"/>
                <w:szCs w:val="28"/>
              </w:rPr>
              <w:t xml:space="preserve">nodrošināt Starptautiskā Krūts piena aizstājēju aprites uzraudzības kodeksa (turpmāk – Kodekss) monitoringa ziņojuma sagatavošanu reizi divos gados, kā arī pienākumu šo ziņojumu publicēt savā mājaslapā internetā un iesniegt Veselības ministrijā un Zemkopības ministrijā. </w:t>
            </w:r>
            <w:r w:rsidR="00FA638C" w:rsidRPr="007E5078">
              <w:rPr>
                <w:sz w:val="28"/>
                <w:szCs w:val="28"/>
              </w:rPr>
              <w:t xml:space="preserve"> Ar MK noteikumiem Nr. 370 ir pārņemtas </w:t>
            </w:r>
            <w:r w:rsidR="00FA638C" w:rsidRPr="007E5078">
              <w:rPr>
                <w:i/>
                <w:sz w:val="28"/>
                <w:szCs w:val="28"/>
              </w:rPr>
              <w:t xml:space="preserve"> Komisijas Direktīvas 2006/141/EK (2006.gada 22. decembris) par mākslīgajiem maisījumiem zīdaiņiem un mākslīgajiem papildu ēdināšanas maisījumiem zīdaiņiem, un ar ko groza Direktīvu 1999/21/EK</w:t>
            </w:r>
            <w:r w:rsidR="00FA638C" w:rsidRPr="007E5078">
              <w:rPr>
                <w:sz w:val="28"/>
                <w:szCs w:val="28"/>
              </w:rPr>
              <w:t xml:space="preserve"> </w:t>
            </w:r>
            <w:r w:rsidR="00533AB3" w:rsidRPr="007E5078">
              <w:rPr>
                <w:sz w:val="28"/>
                <w:szCs w:val="28"/>
              </w:rPr>
              <w:t>1.</w:t>
            </w:r>
            <w:r w:rsidR="00EF4352" w:rsidRPr="007E5078">
              <w:rPr>
                <w:sz w:val="28"/>
                <w:szCs w:val="28"/>
              </w:rPr>
              <w:t xml:space="preserve"> </w:t>
            </w:r>
            <w:r w:rsidR="00417228">
              <w:rPr>
                <w:sz w:val="28"/>
                <w:szCs w:val="28"/>
              </w:rPr>
              <w:t>p</w:t>
            </w:r>
            <w:r w:rsidR="00533AB3" w:rsidRPr="007E5078">
              <w:rPr>
                <w:sz w:val="28"/>
                <w:szCs w:val="28"/>
              </w:rPr>
              <w:t>antā</w:t>
            </w:r>
            <w:r w:rsidR="00DC341D" w:rsidRPr="007E5078">
              <w:rPr>
                <w:sz w:val="28"/>
                <w:szCs w:val="28"/>
              </w:rPr>
              <w:t xml:space="preserve"> noteiktās prasības</w:t>
            </w:r>
            <w:r w:rsidR="00533AB3" w:rsidRPr="007E5078">
              <w:rPr>
                <w:sz w:val="28"/>
                <w:szCs w:val="28"/>
              </w:rPr>
              <w:t xml:space="preserve">, t.i., </w:t>
            </w:r>
            <w:r w:rsidR="00501CB9" w:rsidRPr="007E5078">
              <w:rPr>
                <w:sz w:val="28"/>
                <w:szCs w:val="28"/>
              </w:rPr>
              <w:t xml:space="preserve">dalībvalstīm jāīsteno Starptautiskā kodeksa par mātes </w:t>
            </w:r>
            <w:r w:rsidR="00501CB9" w:rsidRPr="007E5078">
              <w:rPr>
                <w:sz w:val="28"/>
                <w:szCs w:val="28"/>
              </w:rPr>
              <w:lastRenderedPageBreak/>
              <w:t>piena aizstājēju tirdzniecību principi un mērķi attiecībā uz tirdzniecību, informāciju un veselības aprūpes iestāžu atbilstību.</w:t>
            </w:r>
            <w:r w:rsidR="00FA638C" w:rsidRPr="007E5078">
              <w:rPr>
                <w:sz w:val="28"/>
                <w:szCs w:val="28"/>
              </w:rPr>
              <w:t xml:space="preserve"> </w:t>
            </w:r>
          </w:p>
          <w:p w:rsidR="00C11759" w:rsidRPr="007E5078" w:rsidRDefault="006004BE" w:rsidP="006004BE">
            <w:pPr>
              <w:pStyle w:val="NoSpacing"/>
              <w:jc w:val="both"/>
              <w:rPr>
                <w:sz w:val="28"/>
                <w:szCs w:val="28"/>
              </w:rPr>
            </w:pPr>
            <w:r w:rsidRPr="007E5078">
              <w:rPr>
                <w:sz w:val="28"/>
                <w:szCs w:val="28"/>
              </w:rPr>
              <w:t>Kodeksa 11. panta 11.6. apak</w:t>
            </w:r>
            <w:r w:rsidR="00F22B1B" w:rsidRPr="007E5078">
              <w:rPr>
                <w:sz w:val="28"/>
                <w:szCs w:val="28"/>
              </w:rPr>
              <w:t>š</w:t>
            </w:r>
            <w:r w:rsidR="008F0561" w:rsidRPr="007E5078">
              <w:rPr>
                <w:sz w:val="28"/>
                <w:szCs w:val="28"/>
              </w:rPr>
              <w:t>punktā paredzēts dalībvalstu pienākums saskaņā ar Pasaules Veselības organizācijas Konstitūcijas 62. pantu ik gadu informēt Ģenerāldirektoru par darbībām, kas veiktas, lai īstenotu šā Kodeksa principus un mērķus.</w:t>
            </w:r>
            <w:r w:rsidR="00F027D3">
              <w:rPr>
                <w:sz w:val="28"/>
                <w:szCs w:val="28"/>
              </w:rPr>
              <w:t xml:space="preserve"> Līdz ar to minētā prasība neatbilst MK noteikumu Nr.370 </w:t>
            </w:r>
            <w:r w:rsidR="00FC78CF">
              <w:rPr>
                <w:sz w:val="28"/>
                <w:szCs w:val="28"/>
              </w:rPr>
              <w:t>37.punktā noteiktajam regulējumam.</w:t>
            </w:r>
          </w:p>
          <w:p w:rsidR="00514325" w:rsidRPr="007E5078" w:rsidRDefault="00514325" w:rsidP="00514325">
            <w:pPr>
              <w:jc w:val="both"/>
              <w:rPr>
                <w:color w:val="000000"/>
                <w:sz w:val="28"/>
                <w:szCs w:val="28"/>
              </w:rPr>
            </w:pPr>
            <w:r w:rsidRPr="007E5078">
              <w:rPr>
                <w:color w:val="000000"/>
                <w:sz w:val="28"/>
                <w:szCs w:val="28"/>
              </w:rPr>
              <w:t>MK rīkojums Nr.</w:t>
            </w:r>
            <w:r w:rsidR="00660110" w:rsidRPr="007E5078">
              <w:rPr>
                <w:color w:val="000000"/>
                <w:sz w:val="28"/>
                <w:szCs w:val="28"/>
              </w:rPr>
              <w:t xml:space="preserve"> </w:t>
            </w:r>
            <w:r w:rsidRPr="007E5078">
              <w:rPr>
                <w:color w:val="000000"/>
                <w:sz w:val="28"/>
                <w:szCs w:val="28"/>
              </w:rPr>
              <w:t>436 paredzēja 2011.</w:t>
            </w:r>
            <w:r w:rsidR="00660110" w:rsidRPr="007E5078">
              <w:rPr>
                <w:color w:val="000000"/>
                <w:sz w:val="28"/>
                <w:szCs w:val="28"/>
              </w:rPr>
              <w:t xml:space="preserve"> </w:t>
            </w:r>
            <w:r w:rsidRPr="007E5078">
              <w:rPr>
                <w:color w:val="000000"/>
                <w:sz w:val="28"/>
                <w:szCs w:val="28"/>
              </w:rPr>
              <w:t>gada 1.</w:t>
            </w:r>
            <w:r w:rsidR="00660110" w:rsidRPr="007E5078">
              <w:rPr>
                <w:color w:val="000000"/>
                <w:sz w:val="28"/>
                <w:szCs w:val="28"/>
              </w:rPr>
              <w:t xml:space="preserve"> </w:t>
            </w:r>
            <w:r w:rsidRPr="007E5078">
              <w:rPr>
                <w:color w:val="000000"/>
                <w:sz w:val="28"/>
                <w:szCs w:val="28"/>
              </w:rPr>
              <w:t>novembrī izveidot veselības ministra pakļautībā esošu tiešās pārvaldes iestādi – Nacionālo veselības dienestu</w:t>
            </w:r>
            <w:r w:rsidR="00532EAA" w:rsidRPr="007E5078">
              <w:rPr>
                <w:color w:val="000000"/>
                <w:sz w:val="28"/>
                <w:szCs w:val="28"/>
              </w:rPr>
              <w:t xml:space="preserve"> (turpmāk – NVD)</w:t>
            </w:r>
            <w:r w:rsidRPr="007E5078">
              <w:rPr>
                <w:color w:val="000000"/>
                <w:sz w:val="28"/>
                <w:szCs w:val="28"/>
              </w:rPr>
              <w:t>. Atbilstoši MK rīkojuma Nr.</w:t>
            </w:r>
            <w:r w:rsidR="00660110" w:rsidRPr="007E5078">
              <w:rPr>
                <w:color w:val="000000"/>
                <w:sz w:val="28"/>
                <w:szCs w:val="28"/>
              </w:rPr>
              <w:t xml:space="preserve"> </w:t>
            </w:r>
            <w:r w:rsidRPr="007E5078">
              <w:rPr>
                <w:color w:val="000000"/>
                <w:sz w:val="28"/>
                <w:szCs w:val="28"/>
              </w:rPr>
              <w:t>436 2.</w:t>
            </w:r>
            <w:r w:rsidR="00660110" w:rsidRPr="007E5078">
              <w:rPr>
                <w:color w:val="000000"/>
                <w:sz w:val="28"/>
                <w:szCs w:val="28"/>
              </w:rPr>
              <w:t xml:space="preserve"> </w:t>
            </w:r>
            <w:r w:rsidRPr="007E5078">
              <w:rPr>
                <w:color w:val="000000"/>
                <w:sz w:val="28"/>
                <w:szCs w:val="28"/>
              </w:rPr>
              <w:t xml:space="preserve">punktam </w:t>
            </w:r>
            <w:r w:rsidR="00532EAA" w:rsidRPr="007E5078">
              <w:rPr>
                <w:color w:val="000000"/>
                <w:sz w:val="28"/>
                <w:szCs w:val="28"/>
              </w:rPr>
              <w:t>NVD</w:t>
            </w:r>
            <w:r w:rsidRPr="007E5078">
              <w:rPr>
                <w:color w:val="000000"/>
                <w:sz w:val="28"/>
                <w:szCs w:val="28"/>
              </w:rPr>
              <w:t xml:space="preserve"> ir Veselības ekonomikas centra funkciju, pārvaldes uzdevumu, tiesību, saistību, finanšu līdzekļu, mantas un lietvedības pārņēmējs.</w:t>
            </w:r>
          </w:p>
          <w:p w:rsidR="00614C6E" w:rsidRPr="007E5078" w:rsidRDefault="00514325" w:rsidP="00514325">
            <w:pPr>
              <w:jc w:val="both"/>
              <w:rPr>
                <w:color w:val="000000"/>
                <w:sz w:val="28"/>
                <w:szCs w:val="28"/>
              </w:rPr>
            </w:pPr>
            <w:r w:rsidRPr="007E5078">
              <w:rPr>
                <w:color w:val="000000"/>
                <w:sz w:val="28"/>
                <w:szCs w:val="28"/>
              </w:rPr>
              <w:t xml:space="preserve">Savukārt, </w:t>
            </w:r>
            <w:r w:rsidR="00531A63" w:rsidRPr="007E5078">
              <w:rPr>
                <w:sz w:val="28"/>
                <w:szCs w:val="28"/>
              </w:rPr>
              <w:t xml:space="preserve">MK rīkojums </w:t>
            </w:r>
            <w:r w:rsidRPr="007E5078">
              <w:rPr>
                <w:sz w:val="28"/>
                <w:szCs w:val="28"/>
              </w:rPr>
              <w:t>Nr.</w:t>
            </w:r>
            <w:r w:rsidR="00660110" w:rsidRPr="007E5078">
              <w:rPr>
                <w:sz w:val="28"/>
                <w:szCs w:val="28"/>
              </w:rPr>
              <w:t xml:space="preserve"> </w:t>
            </w:r>
            <w:r w:rsidRPr="007E5078">
              <w:rPr>
                <w:sz w:val="28"/>
                <w:szCs w:val="28"/>
              </w:rPr>
              <w:t xml:space="preserve">101 </w:t>
            </w:r>
            <w:r w:rsidR="00614C6E" w:rsidRPr="007E5078">
              <w:rPr>
                <w:sz w:val="28"/>
                <w:szCs w:val="28"/>
              </w:rPr>
              <w:t>paredz</w:t>
            </w:r>
            <w:r w:rsidRPr="007E5078">
              <w:rPr>
                <w:sz w:val="28"/>
                <w:szCs w:val="28"/>
              </w:rPr>
              <w:t xml:space="preserve">ēja </w:t>
            </w:r>
            <w:r w:rsidR="00614C6E" w:rsidRPr="007E5078">
              <w:rPr>
                <w:color w:val="000000"/>
                <w:sz w:val="28"/>
                <w:szCs w:val="28"/>
              </w:rPr>
              <w:t>2012.</w:t>
            </w:r>
            <w:r w:rsidR="00660110" w:rsidRPr="007E5078">
              <w:rPr>
                <w:color w:val="000000"/>
                <w:sz w:val="28"/>
                <w:szCs w:val="28"/>
              </w:rPr>
              <w:t xml:space="preserve"> </w:t>
            </w:r>
            <w:r w:rsidR="00614C6E" w:rsidRPr="007E5078">
              <w:rPr>
                <w:color w:val="000000"/>
                <w:sz w:val="28"/>
                <w:szCs w:val="28"/>
              </w:rPr>
              <w:t>gada 1.</w:t>
            </w:r>
            <w:r w:rsidR="00660110" w:rsidRPr="007E5078">
              <w:rPr>
                <w:color w:val="000000"/>
                <w:sz w:val="28"/>
                <w:szCs w:val="28"/>
              </w:rPr>
              <w:t xml:space="preserve"> </w:t>
            </w:r>
            <w:r w:rsidR="00614C6E" w:rsidRPr="007E5078">
              <w:rPr>
                <w:color w:val="000000"/>
                <w:sz w:val="28"/>
                <w:szCs w:val="28"/>
              </w:rPr>
              <w:t xml:space="preserve">aprīlī izveidot veselības ministra pakļautībā esošu tiešās pārvaldes iestādi „Slimību profilakses un kontroles centrs” (turpmāk </w:t>
            </w:r>
            <w:r w:rsidR="00FC78CF" w:rsidRPr="007E5078">
              <w:rPr>
                <w:color w:val="000000"/>
                <w:sz w:val="28"/>
                <w:szCs w:val="28"/>
              </w:rPr>
              <w:t>–</w:t>
            </w:r>
            <w:r w:rsidR="00614C6E" w:rsidRPr="007E5078">
              <w:rPr>
                <w:color w:val="000000"/>
                <w:sz w:val="28"/>
                <w:szCs w:val="28"/>
              </w:rPr>
              <w:t xml:space="preserve"> </w:t>
            </w:r>
            <w:r w:rsidR="00531CBE" w:rsidRPr="007E5078">
              <w:rPr>
                <w:color w:val="000000"/>
                <w:sz w:val="28"/>
                <w:szCs w:val="28"/>
              </w:rPr>
              <w:t>SPKC</w:t>
            </w:r>
            <w:r w:rsidR="00614C6E" w:rsidRPr="007E5078">
              <w:rPr>
                <w:color w:val="000000"/>
                <w:sz w:val="28"/>
                <w:szCs w:val="28"/>
              </w:rPr>
              <w:t xml:space="preserve">) un nodot </w:t>
            </w:r>
            <w:r w:rsidR="00531A63" w:rsidRPr="007E5078">
              <w:rPr>
                <w:color w:val="000000"/>
                <w:sz w:val="28"/>
                <w:szCs w:val="28"/>
              </w:rPr>
              <w:t xml:space="preserve">atsevišķus </w:t>
            </w:r>
            <w:r w:rsidR="00374817" w:rsidRPr="007E5078">
              <w:rPr>
                <w:sz w:val="28"/>
                <w:szCs w:val="28"/>
              </w:rPr>
              <w:t>NVD</w:t>
            </w:r>
            <w:r w:rsidR="00374817" w:rsidRPr="007E5078">
              <w:rPr>
                <w:color w:val="000000"/>
                <w:sz w:val="28"/>
                <w:szCs w:val="28"/>
              </w:rPr>
              <w:t xml:space="preserve"> </w:t>
            </w:r>
            <w:r w:rsidR="00614C6E" w:rsidRPr="007E5078">
              <w:rPr>
                <w:color w:val="000000"/>
                <w:sz w:val="28"/>
                <w:szCs w:val="28"/>
              </w:rPr>
              <w:t xml:space="preserve">pārvaldes uzdevumus </w:t>
            </w:r>
            <w:r w:rsidR="00374817" w:rsidRPr="007E5078">
              <w:rPr>
                <w:color w:val="000000"/>
                <w:sz w:val="28"/>
                <w:szCs w:val="28"/>
              </w:rPr>
              <w:t>SPKC</w:t>
            </w:r>
            <w:r w:rsidR="00614C6E" w:rsidRPr="007E5078">
              <w:rPr>
                <w:color w:val="000000"/>
                <w:sz w:val="28"/>
                <w:szCs w:val="28"/>
              </w:rPr>
              <w:t>.</w:t>
            </w:r>
          </w:p>
          <w:p w:rsidR="00745A8E" w:rsidRPr="007E5078" w:rsidRDefault="00745A8E" w:rsidP="00745A8E">
            <w:pPr>
              <w:pStyle w:val="NoSpacing"/>
              <w:jc w:val="both"/>
              <w:rPr>
                <w:sz w:val="28"/>
                <w:szCs w:val="28"/>
              </w:rPr>
            </w:pPr>
            <w:r w:rsidRPr="007E5078">
              <w:rPr>
                <w:bCs/>
                <w:sz w:val="28"/>
                <w:szCs w:val="28"/>
              </w:rPr>
              <w:t xml:space="preserve">Ministru kabineta </w:t>
            </w:r>
            <w:r w:rsidRPr="007E5078">
              <w:rPr>
                <w:sz w:val="28"/>
                <w:szCs w:val="28"/>
              </w:rPr>
              <w:t>2012.</w:t>
            </w:r>
            <w:r w:rsidR="0074422E" w:rsidRPr="007E5078">
              <w:rPr>
                <w:sz w:val="28"/>
                <w:szCs w:val="28"/>
              </w:rPr>
              <w:t xml:space="preserve"> </w:t>
            </w:r>
            <w:r w:rsidRPr="007E5078">
              <w:rPr>
                <w:sz w:val="28"/>
                <w:szCs w:val="28"/>
              </w:rPr>
              <w:t>gada 3.</w:t>
            </w:r>
            <w:r w:rsidR="0074422E" w:rsidRPr="007E5078">
              <w:rPr>
                <w:sz w:val="28"/>
                <w:szCs w:val="28"/>
              </w:rPr>
              <w:t xml:space="preserve"> aprīļa </w:t>
            </w:r>
            <w:r w:rsidRPr="007E5078">
              <w:rPr>
                <w:bCs/>
                <w:sz w:val="28"/>
                <w:szCs w:val="28"/>
              </w:rPr>
              <w:t>noteikumos Nr.241</w:t>
            </w:r>
            <w:r w:rsidRPr="007E5078">
              <w:rPr>
                <w:sz w:val="28"/>
                <w:szCs w:val="28"/>
              </w:rPr>
              <w:t xml:space="preserve"> „Slimību profilakses un kontroles centra nolikums” minēts, ka SPKC:</w:t>
            </w:r>
          </w:p>
          <w:p w:rsidR="00745A8E" w:rsidRPr="007E5078" w:rsidRDefault="00745A8E" w:rsidP="00745A8E">
            <w:pPr>
              <w:pStyle w:val="NoSpacing"/>
              <w:numPr>
                <w:ilvl w:val="0"/>
                <w:numId w:val="31"/>
              </w:numPr>
              <w:jc w:val="both"/>
              <w:rPr>
                <w:sz w:val="28"/>
                <w:szCs w:val="28"/>
              </w:rPr>
            </w:pPr>
            <w:r w:rsidRPr="007E5078">
              <w:rPr>
                <w:sz w:val="28"/>
                <w:szCs w:val="28"/>
              </w:rPr>
              <w:t>izstrādā uz zinātniskiem pierādījumiem balstītus un labākajai starptautiskajai praksei atbilstošus priekšlikumus veselības aprūpes un sabiedrības veselības politikas veidošanai un sniedz priekšlikumus par šīs politikas prioritātēm (3.1.apakšpunkts);</w:t>
            </w:r>
          </w:p>
          <w:p w:rsidR="00745A8E" w:rsidRPr="007E5078" w:rsidRDefault="00745A8E" w:rsidP="00745A8E">
            <w:pPr>
              <w:pStyle w:val="NoSpacing"/>
              <w:numPr>
                <w:ilvl w:val="0"/>
                <w:numId w:val="31"/>
              </w:numPr>
              <w:jc w:val="both"/>
              <w:rPr>
                <w:sz w:val="28"/>
                <w:szCs w:val="28"/>
              </w:rPr>
            </w:pPr>
            <w:r w:rsidRPr="007E5078">
              <w:rPr>
                <w:sz w:val="28"/>
                <w:szCs w:val="28"/>
              </w:rPr>
              <w:t>iegūst, apkopo, apstrādā un analizē sabiedrības veselības un veselības aprūpes statistikas informāciju (3.6.apakšpunkts);</w:t>
            </w:r>
          </w:p>
          <w:p w:rsidR="00745A8E" w:rsidRPr="007E5078" w:rsidRDefault="00745A8E" w:rsidP="00745A8E">
            <w:pPr>
              <w:pStyle w:val="NoSpacing"/>
              <w:numPr>
                <w:ilvl w:val="0"/>
                <w:numId w:val="31"/>
              </w:numPr>
              <w:jc w:val="both"/>
              <w:rPr>
                <w:sz w:val="28"/>
                <w:szCs w:val="28"/>
              </w:rPr>
            </w:pPr>
            <w:r w:rsidRPr="007E5078">
              <w:rPr>
                <w:sz w:val="28"/>
                <w:szCs w:val="28"/>
              </w:rPr>
              <w:t>veic sabiedrības veselība</w:t>
            </w:r>
            <w:r w:rsidR="00F1123A" w:rsidRPr="007E5078">
              <w:rPr>
                <w:sz w:val="28"/>
                <w:szCs w:val="28"/>
              </w:rPr>
              <w:t>s monitoringu (3.7.apakšpunkts);</w:t>
            </w:r>
          </w:p>
          <w:p w:rsidR="00F1123A" w:rsidRPr="007E5078" w:rsidRDefault="00F1123A" w:rsidP="00745A8E">
            <w:pPr>
              <w:pStyle w:val="NoSpacing"/>
              <w:numPr>
                <w:ilvl w:val="0"/>
                <w:numId w:val="31"/>
              </w:numPr>
              <w:jc w:val="both"/>
              <w:rPr>
                <w:sz w:val="28"/>
                <w:szCs w:val="28"/>
              </w:rPr>
            </w:pPr>
            <w:r w:rsidRPr="007E5078">
              <w:rPr>
                <w:sz w:val="28"/>
                <w:szCs w:val="28"/>
              </w:rPr>
              <w:t>informē sabiedrības grupas jautājumos, kas ietekmē veselību un veselīgu dzīvesveidu (4.1.</w:t>
            </w:r>
            <w:r w:rsidRPr="007E5078">
              <w:rPr>
                <w:sz w:val="28"/>
                <w:szCs w:val="28"/>
                <w:vertAlign w:val="superscript"/>
              </w:rPr>
              <w:t xml:space="preserve">2 </w:t>
            </w:r>
            <w:r w:rsidRPr="007E5078">
              <w:rPr>
                <w:sz w:val="28"/>
                <w:szCs w:val="28"/>
              </w:rPr>
              <w:t>apakšpunkts).</w:t>
            </w:r>
          </w:p>
          <w:p w:rsidR="00E3211F" w:rsidRPr="007E5078" w:rsidRDefault="00454D79" w:rsidP="00745A8E">
            <w:pPr>
              <w:pStyle w:val="NoSpacing"/>
              <w:jc w:val="both"/>
              <w:rPr>
                <w:sz w:val="28"/>
                <w:szCs w:val="28"/>
              </w:rPr>
            </w:pPr>
            <w:r w:rsidRPr="007E5078">
              <w:rPr>
                <w:sz w:val="28"/>
                <w:szCs w:val="28"/>
              </w:rPr>
              <w:t>P</w:t>
            </w:r>
            <w:r w:rsidRPr="007E5078">
              <w:rPr>
                <w:bCs/>
                <w:sz w:val="28"/>
                <w:szCs w:val="28"/>
              </w:rPr>
              <w:t xml:space="preserve">ašreizējā redakcijā </w:t>
            </w:r>
            <w:r w:rsidRPr="007E5078">
              <w:rPr>
                <w:color w:val="000000"/>
                <w:sz w:val="28"/>
                <w:szCs w:val="28"/>
              </w:rPr>
              <w:t xml:space="preserve">MK noteikumu Nr. 370 31. punkts </w:t>
            </w:r>
            <w:r w:rsidRPr="007E5078">
              <w:rPr>
                <w:bCs/>
                <w:sz w:val="28"/>
                <w:szCs w:val="28"/>
              </w:rPr>
              <w:t>paredz, ka V</w:t>
            </w:r>
            <w:r w:rsidRPr="007E5078">
              <w:rPr>
                <w:sz w:val="28"/>
                <w:szCs w:val="28"/>
              </w:rPr>
              <w:t xml:space="preserve">eselības inspekcija </w:t>
            </w:r>
            <w:r w:rsidR="00AF5AA4" w:rsidRPr="007E5078">
              <w:rPr>
                <w:sz w:val="28"/>
                <w:szCs w:val="28"/>
              </w:rPr>
              <w:t xml:space="preserve">(turpmāk – VI) </w:t>
            </w:r>
            <w:r w:rsidRPr="007E5078">
              <w:rPr>
                <w:sz w:val="28"/>
                <w:szCs w:val="28"/>
              </w:rPr>
              <w:t xml:space="preserve">nodrošina objektīvu un konsekventu rakstisku vai </w:t>
            </w:r>
            <w:r w:rsidRPr="007E5078">
              <w:rPr>
                <w:sz w:val="28"/>
                <w:szCs w:val="28"/>
              </w:rPr>
              <w:lastRenderedPageBreak/>
              <w:t xml:space="preserve">audiovizuālu informāciju par zīdaiņu ēdināšanu visiem, kam tā ir nepieciešama. Veselības inspekcija nodrošina minētās informācijas plānojumu, noformējumu un izplatīšanu, kā arī tās kontroli. Taču saskaņā ar SPKC nolikumu sabiedrības grupas jautājumos, kas ietekmē veselību un veselīgu dzīvesveidu, informē SPKC. Savukārt, saskaņā ar </w:t>
            </w:r>
            <w:r w:rsidR="00AA4017" w:rsidRPr="007E5078">
              <w:rPr>
                <w:bCs/>
                <w:sz w:val="28"/>
                <w:szCs w:val="28"/>
              </w:rPr>
              <w:t xml:space="preserve">Ministru kabineta </w:t>
            </w:r>
            <w:r w:rsidR="00816260" w:rsidRPr="007E5078">
              <w:rPr>
                <w:sz w:val="28"/>
                <w:szCs w:val="28"/>
              </w:rPr>
              <w:t xml:space="preserve">2008. gada 5. februāra </w:t>
            </w:r>
            <w:r w:rsidR="00AA4017" w:rsidRPr="007E5078">
              <w:rPr>
                <w:bCs/>
                <w:sz w:val="28"/>
                <w:szCs w:val="28"/>
              </w:rPr>
              <w:t>noteikum</w:t>
            </w:r>
            <w:r w:rsidRPr="007E5078">
              <w:rPr>
                <w:bCs/>
                <w:sz w:val="28"/>
                <w:szCs w:val="28"/>
              </w:rPr>
              <w:t xml:space="preserve">iem </w:t>
            </w:r>
            <w:r w:rsidR="00E3211F" w:rsidRPr="007E5078">
              <w:rPr>
                <w:bCs/>
                <w:sz w:val="28"/>
                <w:szCs w:val="28"/>
              </w:rPr>
              <w:t>Nr.</w:t>
            </w:r>
            <w:r w:rsidR="00816260" w:rsidRPr="007E5078">
              <w:rPr>
                <w:bCs/>
                <w:sz w:val="28"/>
                <w:szCs w:val="28"/>
              </w:rPr>
              <w:t xml:space="preserve"> </w:t>
            </w:r>
            <w:r w:rsidR="00E3211F" w:rsidRPr="007E5078">
              <w:rPr>
                <w:bCs/>
                <w:sz w:val="28"/>
                <w:szCs w:val="28"/>
              </w:rPr>
              <w:t>76</w:t>
            </w:r>
            <w:r w:rsidR="001270BC" w:rsidRPr="007E5078">
              <w:rPr>
                <w:sz w:val="28"/>
                <w:szCs w:val="28"/>
              </w:rPr>
              <w:t xml:space="preserve"> „</w:t>
            </w:r>
            <w:r w:rsidR="00E3211F" w:rsidRPr="007E5078">
              <w:rPr>
                <w:sz w:val="28"/>
                <w:szCs w:val="28"/>
              </w:rPr>
              <w:t>Veselības inspekcijas nolikums</w:t>
            </w:r>
            <w:r w:rsidR="001270BC" w:rsidRPr="007E5078">
              <w:rPr>
                <w:sz w:val="28"/>
                <w:szCs w:val="28"/>
              </w:rPr>
              <w:t>”</w:t>
            </w:r>
            <w:r w:rsidR="004C76D8" w:rsidRPr="007E5078">
              <w:rPr>
                <w:sz w:val="28"/>
                <w:szCs w:val="28"/>
              </w:rPr>
              <w:t xml:space="preserve"> </w:t>
            </w:r>
            <w:r w:rsidR="00AF5AA4">
              <w:rPr>
                <w:sz w:val="28"/>
                <w:szCs w:val="28"/>
              </w:rPr>
              <w:t>VI</w:t>
            </w:r>
            <w:r w:rsidR="00051231">
              <w:rPr>
                <w:sz w:val="28"/>
                <w:szCs w:val="28"/>
              </w:rPr>
              <w:t xml:space="preserve"> </w:t>
            </w:r>
            <w:r w:rsidR="004F5801" w:rsidRPr="007E5078">
              <w:rPr>
                <w:sz w:val="28"/>
                <w:szCs w:val="28"/>
              </w:rPr>
              <w:t xml:space="preserve">viena no funkcijām ir </w:t>
            </w:r>
            <w:r w:rsidR="004C76D8" w:rsidRPr="007E5078">
              <w:rPr>
                <w:sz w:val="28"/>
                <w:szCs w:val="28"/>
              </w:rPr>
              <w:t xml:space="preserve"> uzraudzīt un kontrolēt ārstniecības iestādēm saistošo normatīvo</w:t>
            </w:r>
            <w:r w:rsidR="004F5801" w:rsidRPr="007E5078">
              <w:rPr>
                <w:sz w:val="28"/>
                <w:szCs w:val="28"/>
              </w:rPr>
              <w:t xml:space="preserve"> aktu izpildi veselības aprūpes </w:t>
            </w:r>
            <w:r w:rsidR="004C76D8" w:rsidRPr="007E5078">
              <w:rPr>
                <w:sz w:val="28"/>
                <w:szCs w:val="28"/>
              </w:rPr>
              <w:t>jomā, kā arī</w:t>
            </w:r>
            <w:r w:rsidR="004F5801" w:rsidRPr="007E5078">
              <w:rPr>
                <w:sz w:val="28"/>
                <w:szCs w:val="28"/>
              </w:rPr>
              <w:t xml:space="preserve"> veselības aprūpes profesionālo kvalitāti ārstniecības iestādēs.</w:t>
            </w:r>
          </w:p>
          <w:p w:rsidR="0060717F" w:rsidRDefault="00B40EA7" w:rsidP="003020E2">
            <w:pPr>
              <w:pStyle w:val="NoSpacing"/>
              <w:jc w:val="both"/>
              <w:rPr>
                <w:sz w:val="28"/>
                <w:szCs w:val="28"/>
              </w:rPr>
            </w:pPr>
            <w:r w:rsidRPr="007E5078">
              <w:rPr>
                <w:sz w:val="28"/>
                <w:szCs w:val="28"/>
              </w:rPr>
              <w:t xml:space="preserve">Ievērojot </w:t>
            </w:r>
            <w:r w:rsidR="00BF2DAF" w:rsidRPr="007E5078">
              <w:rPr>
                <w:sz w:val="28"/>
                <w:szCs w:val="28"/>
              </w:rPr>
              <w:t xml:space="preserve">augstāk </w:t>
            </w:r>
            <w:r w:rsidR="00D53CA2" w:rsidRPr="007E5078">
              <w:rPr>
                <w:sz w:val="28"/>
                <w:szCs w:val="28"/>
              </w:rPr>
              <w:t xml:space="preserve">minēto un </w:t>
            </w:r>
            <w:r w:rsidRPr="007E5078">
              <w:rPr>
                <w:sz w:val="28"/>
                <w:szCs w:val="28"/>
              </w:rPr>
              <w:t xml:space="preserve">nodrošinot MK noteikumu Nr.370 atbilstību </w:t>
            </w:r>
            <w:r w:rsidR="008552FD">
              <w:rPr>
                <w:bCs/>
                <w:sz w:val="28"/>
                <w:szCs w:val="28"/>
              </w:rPr>
              <w:t xml:space="preserve">starptautiskajām saistībām, </w:t>
            </w:r>
            <w:r w:rsidRPr="007E5078">
              <w:rPr>
                <w:sz w:val="28"/>
                <w:szCs w:val="28"/>
              </w:rPr>
              <w:t xml:space="preserve">nepieciešams veikt grozījumus </w:t>
            </w:r>
            <w:r w:rsidR="00614C6E" w:rsidRPr="007E5078">
              <w:rPr>
                <w:sz w:val="28"/>
                <w:szCs w:val="28"/>
              </w:rPr>
              <w:t>MK noteikumos</w:t>
            </w:r>
            <w:r w:rsidR="00D55CF1" w:rsidRPr="007E5078">
              <w:rPr>
                <w:sz w:val="28"/>
                <w:szCs w:val="28"/>
              </w:rPr>
              <w:t xml:space="preserve">  Nr. 370</w:t>
            </w:r>
            <w:r w:rsidR="00614C6E" w:rsidRPr="007E5078">
              <w:rPr>
                <w:sz w:val="28"/>
                <w:szCs w:val="28"/>
              </w:rPr>
              <w:t xml:space="preserve">, </w:t>
            </w:r>
            <w:r w:rsidR="003020E2">
              <w:rPr>
                <w:sz w:val="28"/>
                <w:szCs w:val="28"/>
              </w:rPr>
              <w:t>precizējot 31.punktā attiecīg</w:t>
            </w:r>
            <w:r w:rsidR="008552FD">
              <w:rPr>
                <w:sz w:val="28"/>
                <w:szCs w:val="28"/>
              </w:rPr>
              <w:t>o</w:t>
            </w:r>
            <w:r w:rsidR="003020E2">
              <w:rPr>
                <w:sz w:val="28"/>
                <w:szCs w:val="28"/>
              </w:rPr>
              <w:t xml:space="preserve"> instit</w:t>
            </w:r>
            <w:r w:rsidR="008552FD">
              <w:rPr>
                <w:sz w:val="28"/>
                <w:szCs w:val="28"/>
              </w:rPr>
              <w:t>ūciju</w:t>
            </w:r>
            <w:r w:rsidR="003020E2">
              <w:rPr>
                <w:sz w:val="28"/>
                <w:szCs w:val="28"/>
              </w:rPr>
              <w:t xml:space="preserve"> nosaukumus un to pienākumus, kā arī 37.punktā </w:t>
            </w:r>
            <w:r w:rsidR="00054B0A" w:rsidRPr="007E5078">
              <w:rPr>
                <w:sz w:val="28"/>
                <w:szCs w:val="28"/>
              </w:rPr>
              <w:t>aizstājot Veselības</w:t>
            </w:r>
            <w:r w:rsidR="00836CD0" w:rsidRPr="007E5078">
              <w:rPr>
                <w:sz w:val="28"/>
                <w:szCs w:val="28"/>
              </w:rPr>
              <w:t xml:space="preserve"> ekonomikas centra nosa</w:t>
            </w:r>
            <w:r w:rsidR="003020E2">
              <w:rPr>
                <w:sz w:val="28"/>
                <w:szCs w:val="28"/>
              </w:rPr>
              <w:t xml:space="preserve">ukumu ar atbilstošu institūcijas nosaukumu – </w:t>
            </w:r>
            <w:r w:rsidR="00020FA5">
              <w:rPr>
                <w:sz w:val="28"/>
                <w:szCs w:val="28"/>
              </w:rPr>
              <w:t>SPKC</w:t>
            </w:r>
            <w:r w:rsidR="00575F3A">
              <w:rPr>
                <w:sz w:val="28"/>
                <w:szCs w:val="28"/>
              </w:rPr>
              <w:t xml:space="preserve"> </w:t>
            </w:r>
            <w:r w:rsidR="00575F3A" w:rsidRPr="004624C6">
              <w:rPr>
                <w:sz w:val="28"/>
                <w:szCs w:val="28"/>
              </w:rPr>
              <w:t>un precizējot SPKC pienākumus.</w:t>
            </w:r>
          </w:p>
          <w:p w:rsidR="00F027D3" w:rsidRPr="007E5078" w:rsidRDefault="00F027D3" w:rsidP="00223958">
            <w:pPr>
              <w:jc w:val="both"/>
            </w:pPr>
            <w:r>
              <w:rPr>
                <w:sz w:val="28"/>
                <w:szCs w:val="28"/>
              </w:rPr>
              <w:t>Papildus</w:t>
            </w:r>
            <w:r w:rsidRPr="007E5078">
              <w:rPr>
                <w:sz w:val="28"/>
                <w:szCs w:val="28"/>
              </w:rPr>
              <w:t xml:space="preserve"> </w:t>
            </w:r>
            <w:r>
              <w:rPr>
                <w:sz w:val="28"/>
                <w:szCs w:val="28"/>
              </w:rPr>
              <w:t>MK noteikumos</w:t>
            </w:r>
            <w:r w:rsidRPr="007E5078">
              <w:rPr>
                <w:sz w:val="28"/>
                <w:szCs w:val="28"/>
              </w:rPr>
              <w:t xml:space="preserve"> Nr.370</w:t>
            </w:r>
            <w:r>
              <w:rPr>
                <w:sz w:val="28"/>
                <w:szCs w:val="28"/>
              </w:rPr>
              <w:t xml:space="preserve"> ir nepieciešams precizēt </w:t>
            </w:r>
            <w:r w:rsidRPr="007E5078">
              <w:rPr>
                <w:sz w:val="28"/>
                <w:szCs w:val="28"/>
              </w:rPr>
              <w:t>Starptautiskā Krūts piena aizstājēju aprites uzraudzības kodeksa</w:t>
            </w:r>
            <w:r>
              <w:rPr>
                <w:sz w:val="28"/>
                <w:szCs w:val="28"/>
              </w:rPr>
              <w:t xml:space="preserve"> nosaukumu</w:t>
            </w:r>
            <w:r w:rsidR="00FC78CF">
              <w:rPr>
                <w:sz w:val="28"/>
                <w:szCs w:val="28"/>
              </w:rPr>
              <w:t xml:space="preserve">, jo atbilstoši </w:t>
            </w:r>
            <w:r w:rsidR="00FC78CF" w:rsidRPr="00D367DD">
              <w:rPr>
                <w:bCs/>
                <w:color w:val="000000" w:themeColor="text1"/>
                <w:sz w:val="28"/>
                <w:szCs w:val="28"/>
              </w:rPr>
              <w:t xml:space="preserve"> UNICEF mājas lapā esošās informācijas MK noteikumu Nr. 370 37. punktā pieminētā starptautiskā dokumenta nosaukums angļu valodā ir </w:t>
            </w:r>
            <w:r w:rsidR="00B56B47" w:rsidRPr="00B56B47">
              <w:rPr>
                <w:bCs/>
                <w:color w:val="000000" w:themeColor="text1"/>
                <w:sz w:val="28"/>
                <w:szCs w:val="28"/>
              </w:rPr>
              <w:t xml:space="preserve">„International Code of </w:t>
            </w:r>
            <w:r w:rsidR="00B56B47" w:rsidRPr="00B56B47">
              <w:rPr>
                <w:bCs/>
                <w:color w:val="000000" w:themeColor="text1"/>
                <w:sz w:val="28"/>
                <w:szCs w:val="28"/>
                <w:u w:val="single"/>
              </w:rPr>
              <w:t>Marketing</w:t>
            </w:r>
            <w:r w:rsidR="00B56B47" w:rsidRPr="00B56B47">
              <w:rPr>
                <w:bCs/>
                <w:color w:val="000000" w:themeColor="text1"/>
                <w:sz w:val="28"/>
                <w:szCs w:val="28"/>
              </w:rPr>
              <w:t xml:space="preserve"> of Breast-milk Substitutes”.</w:t>
            </w:r>
          </w:p>
        </w:tc>
      </w:tr>
      <w:tr w:rsidR="000B76E3" w:rsidRPr="007E5078" w:rsidTr="0017380A">
        <w:trPr>
          <w:trHeight w:val="582"/>
        </w:trPr>
        <w:tc>
          <w:tcPr>
            <w:tcW w:w="550" w:type="dxa"/>
          </w:tcPr>
          <w:p w:rsidR="000B76E3" w:rsidRPr="007E5078" w:rsidRDefault="000B76E3" w:rsidP="005A03EE">
            <w:pPr>
              <w:pStyle w:val="naiskr"/>
              <w:spacing w:before="0" w:after="0"/>
              <w:rPr>
                <w:color w:val="000000"/>
                <w:sz w:val="28"/>
                <w:szCs w:val="28"/>
              </w:rPr>
            </w:pPr>
            <w:r w:rsidRPr="007E5078">
              <w:rPr>
                <w:color w:val="000000"/>
                <w:sz w:val="28"/>
                <w:szCs w:val="28"/>
              </w:rPr>
              <w:lastRenderedPageBreak/>
              <w:t>3.</w:t>
            </w:r>
          </w:p>
        </w:tc>
        <w:tc>
          <w:tcPr>
            <w:tcW w:w="2739" w:type="dxa"/>
          </w:tcPr>
          <w:p w:rsidR="000B76E3" w:rsidRPr="007E5078" w:rsidRDefault="000B76E3" w:rsidP="005A03EE">
            <w:pPr>
              <w:pStyle w:val="naiskr"/>
              <w:spacing w:before="0" w:after="0"/>
              <w:rPr>
                <w:color w:val="000000"/>
                <w:sz w:val="28"/>
                <w:szCs w:val="28"/>
              </w:rPr>
            </w:pPr>
            <w:r w:rsidRPr="007E5078">
              <w:rPr>
                <w:color w:val="000000"/>
                <w:sz w:val="28"/>
                <w:szCs w:val="28"/>
              </w:rPr>
              <w:t>Saistītie politikas ietekmes novērtējumi un pētījumi</w:t>
            </w:r>
          </w:p>
        </w:tc>
        <w:tc>
          <w:tcPr>
            <w:tcW w:w="6095" w:type="dxa"/>
            <w:vAlign w:val="center"/>
          </w:tcPr>
          <w:p w:rsidR="000B76E3" w:rsidRPr="007E5078" w:rsidRDefault="0038044A" w:rsidP="003B2FD5">
            <w:pPr>
              <w:pStyle w:val="FootnoteText"/>
              <w:spacing w:before="100" w:beforeAutospacing="1" w:after="100" w:afterAutospacing="1"/>
              <w:rPr>
                <w:color w:val="000000"/>
                <w:sz w:val="28"/>
                <w:szCs w:val="28"/>
              </w:rPr>
            </w:pPr>
            <w:r w:rsidRPr="007E5078">
              <w:rPr>
                <w:color w:val="000000"/>
                <w:sz w:val="28"/>
                <w:szCs w:val="28"/>
              </w:rPr>
              <w:t>N</w:t>
            </w:r>
            <w:r w:rsidR="004C2675" w:rsidRPr="007E5078">
              <w:rPr>
                <w:color w:val="000000"/>
                <w:sz w:val="28"/>
                <w:szCs w:val="28"/>
              </w:rPr>
              <w:t>oteikumu</w:t>
            </w:r>
            <w:r w:rsidR="000B76E3" w:rsidRPr="007E5078">
              <w:rPr>
                <w:color w:val="000000"/>
                <w:sz w:val="28"/>
                <w:szCs w:val="28"/>
              </w:rPr>
              <w:t xml:space="preserve"> projekts šo jomu neskar</w:t>
            </w:r>
          </w:p>
        </w:tc>
      </w:tr>
      <w:tr w:rsidR="000B76E3" w:rsidRPr="007E5078" w:rsidTr="007062CF">
        <w:trPr>
          <w:trHeight w:val="384"/>
        </w:trPr>
        <w:tc>
          <w:tcPr>
            <w:tcW w:w="550" w:type="dxa"/>
          </w:tcPr>
          <w:p w:rsidR="000B76E3" w:rsidRPr="007E5078" w:rsidRDefault="000B76E3" w:rsidP="005A03EE">
            <w:pPr>
              <w:pStyle w:val="naiskr"/>
              <w:spacing w:before="0" w:after="0"/>
              <w:rPr>
                <w:color w:val="000000"/>
                <w:sz w:val="28"/>
                <w:szCs w:val="28"/>
              </w:rPr>
            </w:pPr>
            <w:r w:rsidRPr="007E5078">
              <w:rPr>
                <w:color w:val="000000"/>
                <w:sz w:val="28"/>
                <w:szCs w:val="28"/>
              </w:rPr>
              <w:t>4.</w:t>
            </w:r>
          </w:p>
        </w:tc>
        <w:tc>
          <w:tcPr>
            <w:tcW w:w="2739" w:type="dxa"/>
          </w:tcPr>
          <w:p w:rsidR="000B76E3" w:rsidRPr="007E5078" w:rsidRDefault="000B76E3" w:rsidP="005A03EE">
            <w:pPr>
              <w:pStyle w:val="naiskr"/>
              <w:spacing w:before="0" w:after="0"/>
              <w:rPr>
                <w:color w:val="000000"/>
                <w:sz w:val="28"/>
                <w:szCs w:val="28"/>
              </w:rPr>
            </w:pPr>
            <w:r w:rsidRPr="007E5078">
              <w:rPr>
                <w:color w:val="000000"/>
                <w:sz w:val="28"/>
                <w:szCs w:val="28"/>
              </w:rPr>
              <w:t>Tiesiskā regulējuma mērķis un būtība</w:t>
            </w:r>
          </w:p>
        </w:tc>
        <w:tc>
          <w:tcPr>
            <w:tcW w:w="6095" w:type="dxa"/>
          </w:tcPr>
          <w:p w:rsidR="00D24327" w:rsidRPr="007E5078" w:rsidRDefault="00051F71" w:rsidP="0013358A">
            <w:pPr>
              <w:jc w:val="both"/>
              <w:rPr>
                <w:sz w:val="28"/>
                <w:szCs w:val="28"/>
              </w:rPr>
            </w:pPr>
            <w:r w:rsidRPr="007E5078">
              <w:rPr>
                <w:sz w:val="28"/>
                <w:szCs w:val="28"/>
              </w:rPr>
              <w:t>Not</w:t>
            </w:r>
            <w:r w:rsidR="00597EE0">
              <w:rPr>
                <w:sz w:val="28"/>
                <w:szCs w:val="28"/>
              </w:rPr>
              <w:t xml:space="preserve">eikumu projekta mērķis </w:t>
            </w:r>
            <w:r w:rsidR="00597EE0" w:rsidRPr="004624C6">
              <w:rPr>
                <w:sz w:val="28"/>
                <w:szCs w:val="28"/>
              </w:rPr>
              <w:t xml:space="preserve">ir veikt </w:t>
            </w:r>
            <w:r w:rsidR="002A4BE6" w:rsidRPr="004624C6">
              <w:rPr>
                <w:sz w:val="28"/>
                <w:szCs w:val="28"/>
              </w:rPr>
              <w:t>grozījumu</w:t>
            </w:r>
            <w:r w:rsidR="00D24327" w:rsidRPr="004624C6">
              <w:rPr>
                <w:sz w:val="28"/>
                <w:szCs w:val="28"/>
              </w:rPr>
              <w:t>s</w:t>
            </w:r>
            <w:r w:rsidR="00597EE0">
              <w:rPr>
                <w:sz w:val="28"/>
                <w:szCs w:val="28"/>
              </w:rPr>
              <w:t xml:space="preserve"> </w:t>
            </w:r>
            <w:r w:rsidR="0038044A" w:rsidRPr="007E5078">
              <w:rPr>
                <w:sz w:val="28"/>
                <w:szCs w:val="28"/>
              </w:rPr>
              <w:t>MK noteikumos</w:t>
            </w:r>
            <w:r w:rsidR="00AF12C8" w:rsidRPr="007E5078">
              <w:rPr>
                <w:sz w:val="28"/>
                <w:szCs w:val="28"/>
              </w:rPr>
              <w:t xml:space="preserve">  Nr. 370</w:t>
            </w:r>
            <w:r w:rsidR="0038044A" w:rsidRPr="007E5078">
              <w:rPr>
                <w:sz w:val="28"/>
                <w:szCs w:val="28"/>
              </w:rPr>
              <w:t xml:space="preserve">, </w:t>
            </w:r>
            <w:r w:rsidR="002A4BE6" w:rsidRPr="007E5078">
              <w:rPr>
                <w:sz w:val="28"/>
                <w:szCs w:val="28"/>
              </w:rPr>
              <w:t xml:space="preserve">aizstājot </w:t>
            </w:r>
            <w:r w:rsidRPr="007E5078">
              <w:rPr>
                <w:sz w:val="28"/>
                <w:szCs w:val="28"/>
              </w:rPr>
              <w:t>iestādes nosaukumu „</w:t>
            </w:r>
            <w:r w:rsidR="002A4BE6" w:rsidRPr="007E5078">
              <w:rPr>
                <w:sz w:val="28"/>
                <w:szCs w:val="28"/>
              </w:rPr>
              <w:t>Vesel</w:t>
            </w:r>
            <w:r w:rsidRPr="007E5078">
              <w:rPr>
                <w:sz w:val="28"/>
                <w:szCs w:val="28"/>
              </w:rPr>
              <w:t xml:space="preserve">ības ekonomikas centrs” </w:t>
            </w:r>
            <w:r w:rsidR="002A4BE6" w:rsidRPr="007E5078">
              <w:rPr>
                <w:sz w:val="28"/>
                <w:szCs w:val="28"/>
              </w:rPr>
              <w:t>ar</w:t>
            </w:r>
            <w:r w:rsidRPr="007E5078">
              <w:rPr>
                <w:sz w:val="28"/>
                <w:szCs w:val="28"/>
              </w:rPr>
              <w:t xml:space="preserve"> </w:t>
            </w:r>
            <w:r w:rsidR="00D24327" w:rsidRPr="007E5078">
              <w:rPr>
                <w:sz w:val="28"/>
                <w:szCs w:val="28"/>
              </w:rPr>
              <w:t>atb</w:t>
            </w:r>
            <w:r w:rsidR="00776963" w:rsidRPr="007E5078">
              <w:rPr>
                <w:sz w:val="28"/>
                <w:szCs w:val="28"/>
              </w:rPr>
              <w:t xml:space="preserve">ilstošu institūciju nosaukumiem – </w:t>
            </w:r>
            <w:r w:rsidR="00D24327" w:rsidRPr="007E5078">
              <w:rPr>
                <w:sz w:val="28"/>
                <w:szCs w:val="28"/>
              </w:rPr>
              <w:t xml:space="preserve">Veselības inspekciju un Slimību </w:t>
            </w:r>
            <w:r w:rsidR="00597EE0">
              <w:rPr>
                <w:sz w:val="28"/>
                <w:szCs w:val="28"/>
              </w:rPr>
              <w:t xml:space="preserve">profilakses un kontroles centru </w:t>
            </w:r>
            <w:r w:rsidR="00597EE0" w:rsidRPr="004624C6">
              <w:rPr>
                <w:sz w:val="28"/>
                <w:szCs w:val="28"/>
              </w:rPr>
              <w:t xml:space="preserve">un precizējot </w:t>
            </w:r>
            <w:r w:rsidR="006D74F9" w:rsidRPr="004624C6">
              <w:rPr>
                <w:sz w:val="28"/>
                <w:szCs w:val="28"/>
              </w:rPr>
              <w:t xml:space="preserve">minēto </w:t>
            </w:r>
            <w:r w:rsidR="00597EE0" w:rsidRPr="004624C6">
              <w:rPr>
                <w:sz w:val="28"/>
                <w:szCs w:val="28"/>
              </w:rPr>
              <w:t>institūciju pienākumus</w:t>
            </w:r>
            <w:r w:rsidR="00FC78CF">
              <w:rPr>
                <w:sz w:val="28"/>
                <w:szCs w:val="28"/>
              </w:rPr>
              <w:t xml:space="preserve"> atbilstoši MK rīkojumam</w:t>
            </w:r>
            <w:r w:rsidR="00FC78CF" w:rsidRPr="007E5078">
              <w:rPr>
                <w:sz w:val="28"/>
                <w:szCs w:val="28"/>
              </w:rPr>
              <w:t xml:space="preserve"> Nr. 101</w:t>
            </w:r>
            <w:r w:rsidR="00FC78CF">
              <w:rPr>
                <w:sz w:val="28"/>
                <w:szCs w:val="28"/>
              </w:rPr>
              <w:t xml:space="preserve"> un MK rīkojumam</w:t>
            </w:r>
            <w:r w:rsidR="00FC78CF" w:rsidRPr="007E5078">
              <w:rPr>
                <w:sz w:val="28"/>
                <w:szCs w:val="28"/>
              </w:rPr>
              <w:t xml:space="preserve"> Nr. 436</w:t>
            </w:r>
            <w:r w:rsidR="00FC78CF">
              <w:rPr>
                <w:sz w:val="28"/>
                <w:szCs w:val="28"/>
              </w:rPr>
              <w:t xml:space="preserve">, kā arī </w:t>
            </w:r>
            <w:r w:rsidR="00FC78CF" w:rsidRPr="007E5078">
              <w:rPr>
                <w:sz w:val="28"/>
                <w:szCs w:val="28"/>
              </w:rPr>
              <w:t>Kodeksa 11. panta 11.6. apakš</w:t>
            </w:r>
            <w:r w:rsidR="00FC78CF">
              <w:rPr>
                <w:sz w:val="28"/>
                <w:szCs w:val="28"/>
              </w:rPr>
              <w:t>punktā noteiktām prasībām.</w:t>
            </w:r>
          </w:p>
          <w:p w:rsidR="00D41270" w:rsidRPr="007E5078" w:rsidRDefault="0038044A" w:rsidP="0013358A">
            <w:pPr>
              <w:jc w:val="both"/>
              <w:rPr>
                <w:sz w:val="28"/>
                <w:szCs w:val="28"/>
              </w:rPr>
            </w:pPr>
            <w:r w:rsidRPr="007E5078">
              <w:rPr>
                <w:sz w:val="28"/>
                <w:szCs w:val="28"/>
              </w:rPr>
              <w:t>Noteikumu projekts atrisinās 2.punktā minētās problēmas.</w:t>
            </w:r>
          </w:p>
        </w:tc>
      </w:tr>
      <w:tr w:rsidR="000B76E3" w:rsidRPr="007E5078" w:rsidTr="007062CF">
        <w:trPr>
          <w:trHeight w:val="476"/>
        </w:trPr>
        <w:tc>
          <w:tcPr>
            <w:tcW w:w="550" w:type="dxa"/>
          </w:tcPr>
          <w:p w:rsidR="000B76E3" w:rsidRPr="007E5078" w:rsidRDefault="000B76E3" w:rsidP="005A03EE">
            <w:pPr>
              <w:pStyle w:val="naiskr"/>
              <w:spacing w:before="0" w:after="0"/>
              <w:rPr>
                <w:color w:val="000000"/>
                <w:sz w:val="28"/>
                <w:szCs w:val="28"/>
              </w:rPr>
            </w:pPr>
            <w:r w:rsidRPr="007E5078">
              <w:rPr>
                <w:color w:val="000000"/>
                <w:sz w:val="28"/>
                <w:szCs w:val="28"/>
              </w:rPr>
              <w:lastRenderedPageBreak/>
              <w:t>5.</w:t>
            </w:r>
          </w:p>
        </w:tc>
        <w:tc>
          <w:tcPr>
            <w:tcW w:w="2739" w:type="dxa"/>
          </w:tcPr>
          <w:p w:rsidR="000B76E3" w:rsidRPr="007E5078" w:rsidRDefault="000B76E3" w:rsidP="005A03EE">
            <w:pPr>
              <w:pStyle w:val="naiskr"/>
              <w:spacing w:before="0" w:after="0"/>
              <w:rPr>
                <w:color w:val="000000"/>
                <w:sz w:val="28"/>
                <w:szCs w:val="28"/>
              </w:rPr>
            </w:pPr>
            <w:r w:rsidRPr="007E5078">
              <w:rPr>
                <w:color w:val="000000"/>
                <w:sz w:val="28"/>
                <w:szCs w:val="28"/>
              </w:rPr>
              <w:t>Projekta izstrādē iesaistītās institūcijas</w:t>
            </w:r>
          </w:p>
        </w:tc>
        <w:tc>
          <w:tcPr>
            <w:tcW w:w="6095" w:type="dxa"/>
          </w:tcPr>
          <w:p w:rsidR="000B76E3" w:rsidRPr="007E5078" w:rsidRDefault="00C33322" w:rsidP="006B456D">
            <w:pPr>
              <w:pStyle w:val="naiskr"/>
              <w:spacing w:before="0" w:after="0"/>
              <w:jc w:val="both"/>
              <w:rPr>
                <w:color w:val="000000"/>
                <w:sz w:val="28"/>
                <w:szCs w:val="28"/>
              </w:rPr>
            </w:pPr>
            <w:r w:rsidRPr="007E5078">
              <w:rPr>
                <w:color w:val="000000"/>
                <w:sz w:val="28"/>
                <w:szCs w:val="28"/>
              </w:rPr>
              <w:t>N</w:t>
            </w:r>
            <w:r w:rsidR="006C0B9D" w:rsidRPr="007E5078">
              <w:rPr>
                <w:color w:val="000000"/>
                <w:sz w:val="28"/>
                <w:szCs w:val="28"/>
              </w:rPr>
              <w:t>oteikumu projekts šo jomu neskar</w:t>
            </w:r>
          </w:p>
        </w:tc>
      </w:tr>
      <w:tr w:rsidR="000B76E3" w:rsidRPr="007E5078" w:rsidTr="007062CF">
        <w:trPr>
          <w:trHeight w:val="719"/>
        </w:trPr>
        <w:tc>
          <w:tcPr>
            <w:tcW w:w="550" w:type="dxa"/>
          </w:tcPr>
          <w:p w:rsidR="000B76E3" w:rsidRPr="007E5078" w:rsidRDefault="000B76E3" w:rsidP="005A03EE">
            <w:pPr>
              <w:pStyle w:val="naiskr"/>
              <w:spacing w:before="0" w:after="0"/>
              <w:rPr>
                <w:color w:val="000000"/>
                <w:sz w:val="28"/>
                <w:szCs w:val="28"/>
              </w:rPr>
            </w:pPr>
            <w:r w:rsidRPr="007E5078">
              <w:rPr>
                <w:color w:val="000000"/>
                <w:sz w:val="28"/>
                <w:szCs w:val="28"/>
              </w:rPr>
              <w:t>6.</w:t>
            </w:r>
          </w:p>
        </w:tc>
        <w:tc>
          <w:tcPr>
            <w:tcW w:w="2739" w:type="dxa"/>
          </w:tcPr>
          <w:p w:rsidR="000B76E3" w:rsidRPr="007E5078" w:rsidRDefault="000B76E3" w:rsidP="005A03EE">
            <w:pPr>
              <w:pStyle w:val="naiskr"/>
              <w:spacing w:before="0" w:after="0"/>
              <w:rPr>
                <w:i/>
                <w:color w:val="000000"/>
                <w:sz w:val="28"/>
                <w:szCs w:val="28"/>
              </w:rPr>
            </w:pPr>
            <w:r w:rsidRPr="007E5078">
              <w:rPr>
                <w:color w:val="000000"/>
                <w:sz w:val="28"/>
                <w:szCs w:val="28"/>
              </w:rPr>
              <w:t>Iemesli, kādēļ netika nodrošināta sabiedrības līdzdalība</w:t>
            </w:r>
          </w:p>
        </w:tc>
        <w:tc>
          <w:tcPr>
            <w:tcW w:w="6095" w:type="dxa"/>
          </w:tcPr>
          <w:p w:rsidR="000B76E3" w:rsidRPr="007E5078" w:rsidRDefault="004667F5" w:rsidP="00863FE2">
            <w:pPr>
              <w:pStyle w:val="FootnoteText"/>
              <w:jc w:val="both"/>
              <w:rPr>
                <w:color w:val="000000"/>
                <w:sz w:val="28"/>
                <w:szCs w:val="28"/>
              </w:rPr>
            </w:pPr>
            <w:r w:rsidRPr="007E5078">
              <w:rPr>
                <w:sz w:val="28"/>
                <w:szCs w:val="28"/>
              </w:rPr>
              <w:t xml:space="preserve">Ņemot vērā, ka noteikumu projekts paredz veikt </w:t>
            </w:r>
            <w:r w:rsidR="00C1126C" w:rsidRPr="007E5078">
              <w:rPr>
                <w:sz w:val="28"/>
                <w:szCs w:val="28"/>
              </w:rPr>
              <w:t xml:space="preserve"> </w:t>
            </w:r>
            <w:r w:rsidR="00A37341">
              <w:rPr>
                <w:sz w:val="28"/>
                <w:szCs w:val="28"/>
              </w:rPr>
              <w:t>groz</w:t>
            </w:r>
            <w:r w:rsidR="00863FE2">
              <w:rPr>
                <w:sz w:val="28"/>
                <w:szCs w:val="28"/>
              </w:rPr>
              <w:t>ījumus</w:t>
            </w:r>
            <w:r w:rsidR="00A37341">
              <w:rPr>
                <w:sz w:val="28"/>
                <w:szCs w:val="28"/>
              </w:rPr>
              <w:t xml:space="preserve">, </w:t>
            </w:r>
            <w:r w:rsidR="00863FE2">
              <w:rPr>
                <w:sz w:val="28"/>
                <w:szCs w:val="28"/>
              </w:rPr>
              <w:t xml:space="preserve">precizējot </w:t>
            </w:r>
            <w:r w:rsidR="00C1126C" w:rsidRPr="007E5078">
              <w:rPr>
                <w:sz w:val="28"/>
                <w:szCs w:val="28"/>
              </w:rPr>
              <w:t>iestādes nosaukumu</w:t>
            </w:r>
            <w:r w:rsidR="00863FE2">
              <w:rPr>
                <w:sz w:val="28"/>
                <w:szCs w:val="28"/>
              </w:rPr>
              <w:t xml:space="preserve">s un to </w:t>
            </w:r>
            <w:r w:rsidR="00C1126C" w:rsidRPr="00A37341">
              <w:rPr>
                <w:sz w:val="28"/>
                <w:szCs w:val="28"/>
              </w:rPr>
              <w:t>pienākumus</w:t>
            </w:r>
            <w:r w:rsidR="00863FE2">
              <w:rPr>
                <w:sz w:val="28"/>
                <w:szCs w:val="28"/>
              </w:rPr>
              <w:t xml:space="preserve">, tai skaitā, </w:t>
            </w:r>
            <w:r w:rsidR="00863FE2" w:rsidRPr="007E5078">
              <w:rPr>
                <w:sz w:val="28"/>
                <w:szCs w:val="28"/>
              </w:rPr>
              <w:t>Starptautiskā Krūts piena aizstājēju aprites uzraudzības kodeksa</w:t>
            </w:r>
            <w:r w:rsidR="00863FE2">
              <w:rPr>
                <w:sz w:val="28"/>
                <w:szCs w:val="28"/>
              </w:rPr>
              <w:t xml:space="preserve"> nosaukumu</w:t>
            </w:r>
            <w:r w:rsidR="00863FE2" w:rsidRPr="007E5078">
              <w:rPr>
                <w:sz w:val="28"/>
                <w:szCs w:val="28"/>
              </w:rPr>
              <w:t xml:space="preserve"> </w:t>
            </w:r>
            <w:r w:rsidR="00863FE2">
              <w:rPr>
                <w:sz w:val="28"/>
                <w:szCs w:val="28"/>
              </w:rPr>
              <w:t xml:space="preserve">latviešu valodā, līdz ar to </w:t>
            </w:r>
            <w:r w:rsidRPr="007E5078">
              <w:rPr>
                <w:sz w:val="28"/>
                <w:szCs w:val="28"/>
              </w:rPr>
              <w:t>sabiedrības līdzdalība projekta izstrādē netika nodrošināta.</w:t>
            </w:r>
          </w:p>
        </w:tc>
      </w:tr>
      <w:tr w:rsidR="000B76E3" w:rsidRPr="007E5078" w:rsidTr="007062CF">
        <w:tc>
          <w:tcPr>
            <w:tcW w:w="550" w:type="dxa"/>
          </w:tcPr>
          <w:p w:rsidR="000B76E3" w:rsidRPr="007E5078" w:rsidRDefault="000B76E3" w:rsidP="005A03EE">
            <w:pPr>
              <w:pStyle w:val="naiskr"/>
              <w:spacing w:before="0" w:after="0"/>
              <w:rPr>
                <w:color w:val="000000"/>
                <w:sz w:val="28"/>
                <w:szCs w:val="28"/>
              </w:rPr>
            </w:pPr>
            <w:r w:rsidRPr="007E5078">
              <w:rPr>
                <w:color w:val="000000"/>
                <w:sz w:val="28"/>
                <w:szCs w:val="28"/>
              </w:rPr>
              <w:t>7.</w:t>
            </w:r>
          </w:p>
        </w:tc>
        <w:tc>
          <w:tcPr>
            <w:tcW w:w="2739" w:type="dxa"/>
          </w:tcPr>
          <w:p w:rsidR="000B76E3" w:rsidRPr="007E5078" w:rsidRDefault="000B76E3" w:rsidP="005A03EE">
            <w:pPr>
              <w:pStyle w:val="naiskr"/>
              <w:spacing w:before="0" w:after="0"/>
              <w:rPr>
                <w:color w:val="000000"/>
                <w:sz w:val="28"/>
                <w:szCs w:val="28"/>
              </w:rPr>
            </w:pPr>
            <w:r w:rsidRPr="007E5078">
              <w:rPr>
                <w:color w:val="000000"/>
                <w:sz w:val="28"/>
                <w:szCs w:val="28"/>
              </w:rPr>
              <w:t>Cita informācija</w:t>
            </w:r>
          </w:p>
        </w:tc>
        <w:tc>
          <w:tcPr>
            <w:tcW w:w="6095" w:type="dxa"/>
          </w:tcPr>
          <w:p w:rsidR="009417D7" w:rsidRPr="007E5078" w:rsidRDefault="009417D7" w:rsidP="009417D7">
            <w:pPr>
              <w:pStyle w:val="naiskr"/>
              <w:spacing w:before="0" w:after="0"/>
              <w:jc w:val="both"/>
              <w:rPr>
                <w:sz w:val="28"/>
                <w:szCs w:val="28"/>
              </w:rPr>
            </w:pPr>
            <w:r w:rsidRPr="007E5078">
              <w:rPr>
                <w:sz w:val="28"/>
                <w:szCs w:val="28"/>
              </w:rPr>
              <w:t xml:space="preserve">Atbilstoši </w:t>
            </w:r>
            <w:r w:rsidRPr="007E5078">
              <w:rPr>
                <w:i/>
                <w:sz w:val="28"/>
                <w:szCs w:val="28"/>
              </w:rPr>
              <w:t>Komisijas Direktīvai 2006/141/EK (2006. gada 22. decembris) par mākslīgajiem maisījumiem zīdaiņiem un mākslīgajiem papildu ēdināšanas maisījumiem zīdaiņiem, un ar ko groza Direktīvu 1999/21/EK</w:t>
            </w:r>
            <w:r w:rsidRPr="007E5078">
              <w:rPr>
                <w:sz w:val="28"/>
                <w:szCs w:val="28"/>
              </w:rPr>
              <w:t xml:space="preserve"> Kodeksa nosaukums latviešu valodā ir </w:t>
            </w:r>
            <w:r w:rsidRPr="007E5078">
              <w:rPr>
                <w:i/>
                <w:sz w:val="28"/>
                <w:szCs w:val="28"/>
              </w:rPr>
              <w:t xml:space="preserve">Starptautiskais kodekss par mātes piena aizstājēju tirdzniecību. </w:t>
            </w:r>
            <w:r w:rsidRPr="007E5078">
              <w:rPr>
                <w:sz w:val="28"/>
                <w:szCs w:val="28"/>
              </w:rPr>
              <w:t>Ar Kodeksu latviešu valodā var iepazīties Veselības ministrijas mājas lapā</w:t>
            </w:r>
            <w:r w:rsidR="00AE6999">
              <w:rPr>
                <w:rStyle w:val="FootnoteReference"/>
                <w:sz w:val="28"/>
                <w:szCs w:val="28"/>
              </w:rPr>
              <w:footnoteReference w:id="1"/>
            </w:r>
            <w:r w:rsidR="00AE6999">
              <w:rPr>
                <w:sz w:val="28"/>
                <w:szCs w:val="28"/>
              </w:rPr>
              <w:t>.</w:t>
            </w:r>
          </w:p>
        </w:tc>
      </w:tr>
    </w:tbl>
    <w:p w:rsidR="00AE6999" w:rsidRDefault="00AE6999" w:rsidP="001C31FD">
      <w:pPr>
        <w:pStyle w:val="naisf"/>
        <w:spacing w:before="0" w:after="0"/>
        <w:ind w:firstLine="0"/>
        <w:jc w:val="center"/>
        <w:rPr>
          <w:color w:val="000000"/>
          <w:sz w:val="28"/>
          <w:szCs w:val="28"/>
        </w:rPr>
      </w:pPr>
    </w:p>
    <w:p w:rsidR="001C31FD" w:rsidRPr="007E5078" w:rsidRDefault="00824A28" w:rsidP="001C31FD">
      <w:pPr>
        <w:pStyle w:val="naisf"/>
        <w:spacing w:before="0" w:after="0"/>
        <w:ind w:firstLine="0"/>
        <w:jc w:val="center"/>
        <w:rPr>
          <w:i/>
          <w:color w:val="000000"/>
          <w:sz w:val="28"/>
          <w:szCs w:val="28"/>
        </w:rPr>
      </w:pPr>
      <w:r w:rsidRPr="007E5078">
        <w:rPr>
          <w:color w:val="000000"/>
          <w:sz w:val="28"/>
          <w:szCs w:val="28"/>
        </w:rPr>
        <w:t xml:space="preserve">Anotācijas II, III un </w:t>
      </w:r>
      <w:r w:rsidR="00053391" w:rsidRPr="007E5078">
        <w:rPr>
          <w:color w:val="000000"/>
          <w:sz w:val="28"/>
          <w:szCs w:val="28"/>
        </w:rPr>
        <w:t>IV</w:t>
      </w:r>
      <w:r w:rsidRPr="007E5078">
        <w:rPr>
          <w:color w:val="000000"/>
          <w:sz w:val="28"/>
          <w:szCs w:val="28"/>
        </w:rPr>
        <w:t xml:space="preserve"> </w:t>
      </w:r>
      <w:r w:rsidR="001C31FD" w:rsidRPr="007E5078">
        <w:rPr>
          <w:color w:val="000000"/>
          <w:sz w:val="28"/>
          <w:szCs w:val="28"/>
        </w:rPr>
        <w:t>sadaļa –</w:t>
      </w:r>
      <w:r w:rsidR="00911EC3" w:rsidRPr="007E5078">
        <w:rPr>
          <w:i/>
          <w:color w:val="000000"/>
          <w:sz w:val="28"/>
          <w:szCs w:val="28"/>
        </w:rPr>
        <w:t xml:space="preserve"> projekts šīs jomas</w:t>
      </w:r>
      <w:r w:rsidR="001C31FD" w:rsidRPr="007E5078">
        <w:rPr>
          <w:i/>
          <w:color w:val="000000"/>
          <w:sz w:val="28"/>
          <w:szCs w:val="28"/>
        </w:rPr>
        <w:t xml:space="preserve"> neskar.</w:t>
      </w:r>
    </w:p>
    <w:p w:rsidR="001C31FD" w:rsidRPr="007E5078" w:rsidRDefault="001C31FD" w:rsidP="001C31FD">
      <w:pPr>
        <w:rPr>
          <w:color w:val="000000"/>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8"/>
        <w:gridCol w:w="3378"/>
        <w:gridCol w:w="5205"/>
      </w:tblGrid>
      <w:tr w:rsidR="00824A28" w:rsidRPr="007E5078">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24A28" w:rsidRPr="007E5078" w:rsidRDefault="00824A28" w:rsidP="00D1099A">
            <w:pPr>
              <w:pStyle w:val="NoSpacing"/>
              <w:jc w:val="center"/>
              <w:rPr>
                <w:b/>
                <w:sz w:val="28"/>
                <w:szCs w:val="28"/>
                <w:lang w:val="en-US" w:eastAsia="en-US"/>
              </w:rPr>
            </w:pPr>
            <w:r w:rsidRPr="007E5078">
              <w:rPr>
                <w:b/>
                <w:sz w:val="28"/>
                <w:szCs w:val="28"/>
                <w:lang w:eastAsia="en-US"/>
              </w:rPr>
              <w:t>V. Tiesību akta projekta atbilstība Latvijas Republikas starptautiskajām saistībām</w:t>
            </w:r>
          </w:p>
        </w:tc>
      </w:tr>
      <w:tr w:rsidR="00824A28" w:rsidRPr="007E5078">
        <w:tc>
          <w:tcPr>
            <w:tcW w:w="300" w:type="pct"/>
            <w:tcBorders>
              <w:top w:val="outset" w:sz="6" w:space="0" w:color="auto"/>
              <w:left w:val="outset" w:sz="6" w:space="0" w:color="auto"/>
              <w:bottom w:val="outset" w:sz="6" w:space="0" w:color="auto"/>
              <w:right w:val="outset" w:sz="6" w:space="0" w:color="auto"/>
            </w:tcBorders>
            <w:hideMark/>
          </w:tcPr>
          <w:p w:rsidR="00824A28" w:rsidRPr="007E5078" w:rsidRDefault="00824A28" w:rsidP="00D1099A">
            <w:pPr>
              <w:pStyle w:val="NoSpacing"/>
              <w:jc w:val="both"/>
              <w:rPr>
                <w:sz w:val="28"/>
                <w:szCs w:val="28"/>
                <w:lang w:val="en-US" w:eastAsia="en-US"/>
              </w:rPr>
            </w:pPr>
            <w:r w:rsidRPr="007E5078">
              <w:rPr>
                <w:sz w:val="28"/>
                <w:szCs w:val="28"/>
                <w:lang w:val="en-US" w:eastAsia="en-US"/>
              </w:rPr>
              <w:t>1.</w:t>
            </w:r>
          </w:p>
        </w:tc>
        <w:tc>
          <w:tcPr>
            <w:tcW w:w="1850" w:type="pct"/>
            <w:tcBorders>
              <w:top w:val="outset" w:sz="6" w:space="0" w:color="auto"/>
              <w:left w:val="outset" w:sz="6" w:space="0" w:color="auto"/>
              <w:bottom w:val="outset" w:sz="6" w:space="0" w:color="auto"/>
              <w:right w:val="outset" w:sz="6" w:space="0" w:color="auto"/>
            </w:tcBorders>
            <w:hideMark/>
          </w:tcPr>
          <w:p w:rsidR="00824A28" w:rsidRPr="007E5078" w:rsidRDefault="00824A28" w:rsidP="00D1099A">
            <w:pPr>
              <w:pStyle w:val="NoSpacing"/>
              <w:jc w:val="both"/>
              <w:rPr>
                <w:sz w:val="28"/>
                <w:szCs w:val="28"/>
                <w:lang w:val="en-US" w:eastAsia="en-US"/>
              </w:rPr>
            </w:pPr>
            <w:r w:rsidRPr="007E5078">
              <w:rPr>
                <w:sz w:val="28"/>
                <w:szCs w:val="28"/>
                <w:lang w:val="ru-RU" w:eastAsia="en-US"/>
              </w:rPr>
              <w:t>Saistības pret Eiropas Savienību</w:t>
            </w:r>
          </w:p>
        </w:tc>
        <w:tc>
          <w:tcPr>
            <w:tcW w:w="2850" w:type="pct"/>
            <w:tcBorders>
              <w:top w:val="outset" w:sz="6" w:space="0" w:color="auto"/>
              <w:left w:val="outset" w:sz="6" w:space="0" w:color="auto"/>
              <w:bottom w:val="outset" w:sz="6" w:space="0" w:color="auto"/>
              <w:right w:val="outset" w:sz="6" w:space="0" w:color="auto"/>
            </w:tcBorders>
            <w:hideMark/>
          </w:tcPr>
          <w:p w:rsidR="00824A28" w:rsidRPr="007E5078" w:rsidRDefault="001238BB" w:rsidP="00D1099A">
            <w:pPr>
              <w:pStyle w:val="NoSpacing"/>
              <w:jc w:val="both"/>
              <w:rPr>
                <w:sz w:val="28"/>
                <w:szCs w:val="28"/>
                <w:lang w:val="en-US" w:eastAsia="en-US"/>
              </w:rPr>
            </w:pPr>
            <w:r w:rsidRPr="007E5078">
              <w:rPr>
                <w:sz w:val="28"/>
                <w:szCs w:val="28"/>
              </w:rPr>
              <w:t>Komisijas Direktīva 2006/141/EK (2006.</w:t>
            </w:r>
            <w:r w:rsidR="00282888" w:rsidRPr="007E5078">
              <w:rPr>
                <w:sz w:val="28"/>
                <w:szCs w:val="28"/>
              </w:rPr>
              <w:t xml:space="preserve"> gada 22. d</w:t>
            </w:r>
            <w:r w:rsidRPr="007E5078">
              <w:rPr>
                <w:sz w:val="28"/>
                <w:szCs w:val="28"/>
              </w:rPr>
              <w:t>ecembris) par mākslīgajiem maisījumiem zīdaiņiem un mākslīgajiem papildu ēdināšanas maisījumiem zīdaiņiem, un ar ko groza Direktīvu 1999/21/EK</w:t>
            </w:r>
          </w:p>
        </w:tc>
      </w:tr>
      <w:tr w:rsidR="00824A28" w:rsidRPr="007E5078">
        <w:tc>
          <w:tcPr>
            <w:tcW w:w="300" w:type="pct"/>
            <w:tcBorders>
              <w:top w:val="outset" w:sz="6" w:space="0" w:color="auto"/>
              <w:left w:val="outset" w:sz="6" w:space="0" w:color="auto"/>
              <w:bottom w:val="outset" w:sz="6" w:space="0" w:color="auto"/>
              <w:right w:val="outset" w:sz="6" w:space="0" w:color="auto"/>
            </w:tcBorders>
            <w:hideMark/>
          </w:tcPr>
          <w:p w:rsidR="00824A28" w:rsidRPr="007E5078" w:rsidRDefault="00824A28" w:rsidP="00D1099A">
            <w:pPr>
              <w:pStyle w:val="NoSpacing"/>
              <w:jc w:val="both"/>
              <w:rPr>
                <w:sz w:val="28"/>
                <w:szCs w:val="28"/>
                <w:lang w:val="en-US" w:eastAsia="en-US"/>
              </w:rPr>
            </w:pPr>
            <w:r w:rsidRPr="007E5078">
              <w:rPr>
                <w:sz w:val="28"/>
                <w:szCs w:val="28"/>
                <w:lang w:val="en-US" w:eastAsia="en-US"/>
              </w:rPr>
              <w:t>2.</w:t>
            </w:r>
          </w:p>
        </w:tc>
        <w:tc>
          <w:tcPr>
            <w:tcW w:w="1850" w:type="pct"/>
            <w:tcBorders>
              <w:top w:val="outset" w:sz="6" w:space="0" w:color="auto"/>
              <w:left w:val="outset" w:sz="6" w:space="0" w:color="auto"/>
              <w:bottom w:val="outset" w:sz="6" w:space="0" w:color="auto"/>
              <w:right w:val="outset" w:sz="6" w:space="0" w:color="auto"/>
            </w:tcBorders>
            <w:hideMark/>
          </w:tcPr>
          <w:p w:rsidR="00824A28" w:rsidRPr="007E5078" w:rsidRDefault="00824A28" w:rsidP="00D1099A">
            <w:pPr>
              <w:pStyle w:val="NoSpacing"/>
              <w:jc w:val="both"/>
              <w:rPr>
                <w:sz w:val="28"/>
                <w:szCs w:val="28"/>
                <w:lang w:val="en-US" w:eastAsia="en-US"/>
              </w:rPr>
            </w:pPr>
            <w:r w:rsidRPr="007E5078">
              <w:rPr>
                <w:sz w:val="28"/>
                <w:szCs w:val="28"/>
                <w:lang w:val="en-US" w:eastAsia="en-US"/>
              </w:rPr>
              <w:t xml:space="preserve">Citas starptautiskās </w:t>
            </w:r>
            <w:r w:rsidRPr="007E5078">
              <w:rPr>
                <w:sz w:val="28"/>
                <w:szCs w:val="28"/>
                <w:lang w:eastAsia="en-US"/>
              </w:rPr>
              <w:t>saistības</w:t>
            </w:r>
          </w:p>
        </w:tc>
        <w:tc>
          <w:tcPr>
            <w:tcW w:w="2850" w:type="pct"/>
            <w:tcBorders>
              <w:top w:val="outset" w:sz="6" w:space="0" w:color="auto"/>
              <w:left w:val="outset" w:sz="6" w:space="0" w:color="auto"/>
              <w:bottom w:val="outset" w:sz="6" w:space="0" w:color="auto"/>
              <w:right w:val="outset" w:sz="6" w:space="0" w:color="auto"/>
            </w:tcBorders>
            <w:hideMark/>
          </w:tcPr>
          <w:p w:rsidR="00824A28" w:rsidRPr="007E5078" w:rsidRDefault="001E5E95" w:rsidP="00D1099A">
            <w:pPr>
              <w:pStyle w:val="NoSpacing"/>
              <w:jc w:val="both"/>
              <w:rPr>
                <w:sz w:val="28"/>
                <w:szCs w:val="28"/>
                <w:lang w:val="en-US" w:eastAsia="en-US"/>
              </w:rPr>
            </w:pPr>
            <w:r w:rsidRPr="007E5078">
              <w:rPr>
                <w:sz w:val="28"/>
                <w:szCs w:val="28"/>
              </w:rPr>
              <w:t xml:space="preserve">PVO/ UNICEF </w:t>
            </w:r>
            <w:r w:rsidR="001238BB" w:rsidRPr="007E5078">
              <w:rPr>
                <w:sz w:val="28"/>
                <w:szCs w:val="28"/>
              </w:rPr>
              <w:t>Starptautiskais kodekss par mātes piena aizstājēju tirdzniecību</w:t>
            </w:r>
            <w:r w:rsidRPr="007E5078">
              <w:rPr>
                <w:sz w:val="28"/>
                <w:szCs w:val="28"/>
              </w:rPr>
              <w:t xml:space="preserve"> (Pasaules Veselības Asambleja, 1981. gada 21. maijs) </w:t>
            </w:r>
          </w:p>
        </w:tc>
      </w:tr>
      <w:tr w:rsidR="00824A28" w:rsidRPr="007E5078">
        <w:tc>
          <w:tcPr>
            <w:tcW w:w="300" w:type="pct"/>
            <w:tcBorders>
              <w:top w:val="outset" w:sz="6" w:space="0" w:color="auto"/>
              <w:left w:val="outset" w:sz="6" w:space="0" w:color="auto"/>
              <w:bottom w:val="outset" w:sz="6" w:space="0" w:color="auto"/>
              <w:right w:val="outset" w:sz="6" w:space="0" w:color="auto"/>
            </w:tcBorders>
            <w:hideMark/>
          </w:tcPr>
          <w:p w:rsidR="00824A28" w:rsidRPr="007E5078" w:rsidRDefault="00824A28" w:rsidP="00D1099A">
            <w:pPr>
              <w:pStyle w:val="NoSpacing"/>
              <w:jc w:val="both"/>
              <w:rPr>
                <w:sz w:val="28"/>
                <w:szCs w:val="28"/>
                <w:lang w:val="en-US" w:eastAsia="en-US"/>
              </w:rPr>
            </w:pPr>
            <w:r w:rsidRPr="007E5078">
              <w:rPr>
                <w:sz w:val="28"/>
                <w:szCs w:val="28"/>
                <w:lang w:val="en-US" w:eastAsia="en-US"/>
              </w:rPr>
              <w:t>3.</w:t>
            </w:r>
          </w:p>
        </w:tc>
        <w:tc>
          <w:tcPr>
            <w:tcW w:w="1850" w:type="pct"/>
            <w:tcBorders>
              <w:top w:val="outset" w:sz="6" w:space="0" w:color="auto"/>
              <w:left w:val="outset" w:sz="6" w:space="0" w:color="auto"/>
              <w:bottom w:val="outset" w:sz="6" w:space="0" w:color="auto"/>
              <w:right w:val="outset" w:sz="6" w:space="0" w:color="auto"/>
            </w:tcBorders>
            <w:hideMark/>
          </w:tcPr>
          <w:p w:rsidR="00824A28" w:rsidRPr="007E5078" w:rsidRDefault="00824A28" w:rsidP="00D1099A">
            <w:pPr>
              <w:pStyle w:val="NoSpacing"/>
              <w:jc w:val="both"/>
              <w:rPr>
                <w:sz w:val="28"/>
                <w:szCs w:val="28"/>
                <w:lang w:val="en-US" w:eastAsia="en-US"/>
              </w:rPr>
            </w:pPr>
            <w:r w:rsidRPr="007E5078">
              <w:rPr>
                <w:sz w:val="28"/>
                <w:szCs w:val="28"/>
                <w:lang w:val="en-US" w:eastAsia="en-US"/>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824A28" w:rsidRPr="007E5078" w:rsidRDefault="001238BB" w:rsidP="00D1099A">
            <w:pPr>
              <w:pStyle w:val="NoSpacing"/>
              <w:jc w:val="both"/>
              <w:rPr>
                <w:sz w:val="28"/>
                <w:szCs w:val="28"/>
                <w:lang w:val="en-US" w:eastAsia="en-US"/>
              </w:rPr>
            </w:pPr>
            <w:r w:rsidRPr="007E5078">
              <w:rPr>
                <w:sz w:val="28"/>
                <w:szCs w:val="28"/>
                <w:lang w:val="en-US" w:eastAsia="en-US"/>
              </w:rPr>
              <w:t>Nav</w:t>
            </w:r>
          </w:p>
        </w:tc>
      </w:tr>
    </w:tbl>
    <w:p w:rsidR="00824A28" w:rsidRPr="007E5078" w:rsidRDefault="00824A28" w:rsidP="00D1099A">
      <w:pPr>
        <w:pStyle w:val="NoSpacing"/>
        <w:rPr>
          <w:vanish/>
          <w:sz w:val="28"/>
          <w:szCs w:val="28"/>
          <w:lang w:val="en-US" w:eastAsia="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27"/>
        <w:gridCol w:w="1826"/>
        <w:gridCol w:w="2739"/>
        <w:gridCol w:w="2739"/>
      </w:tblGrid>
      <w:tr w:rsidR="00824A28" w:rsidRPr="007E5078">
        <w:trPr>
          <w:trHeight w:val="510"/>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24A28" w:rsidRPr="007E5078" w:rsidRDefault="00824A28" w:rsidP="00D1099A">
            <w:pPr>
              <w:pStyle w:val="NoSpacing"/>
              <w:jc w:val="center"/>
              <w:rPr>
                <w:sz w:val="28"/>
                <w:szCs w:val="28"/>
                <w:lang w:eastAsia="en-US"/>
              </w:rPr>
            </w:pPr>
            <w:r w:rsidRPr="007E5078">
              <w:rPr>
                <w:b/>
                <w:sz w:val="28"/>
                <w:szCs w:val="28"/>
                <w:lang w:eastAsia="en-US"/>
              </w:rPr>
              <w:t>1.tabula</w:t>
            </w:r>
            <w:r w:rsidRPr="007E5078">
              <w:rPr>
                <w:b/>
                <w:sz w:val="28"/>
                <w:szCs w:val="28"/>
                <w:lang w:eastAsia="en-US"/>
              </w:rPr>
              <w:br/>
              <w:t>Tiesību akta projekta atbilstība ES tiesību aktiem</w:t>
            </w:r>
          </w:p>
        </w:tc>
      </w:tr>
      <w:tr w:rsidR="00824A28" w:rsidRPr="007E5078">
        <w:tc>
          <w:tcPr>
            <w:tcW w:w="1000" w:type="pct"/>
            <w:tcBorders>
              <w:top w:val="outset" w:sz="6" w:space="0" w:color="auto"/>
              <w:left w:val="outset" w:sz="6" w:space="0" w:color="auto"/>
              <w:bottom w:val="outset" w:sz="6" w:space="0" w:color="auto"/>
              <w:right w:val="outset" w:sz="6" w:space="0" w:color="auto"/>
            </w:tcBorders>
            <w:hideMark/>
          </w:tcPr>
          <w:p w:rsidR="00824A28" w:rsidRPr="007E5078" w:rsidRDefault="00824A28" w:rsidP="00D1099A">
            <w:pPr>
              <w:pStyle w:val="NoSpacing"/>
              <w:rPr>
                <w:sz w:val="28"/>
                <w:szCs w:val="28"/>
                <w:lang w:eastAsia="en-US"/>
              </w:rPr>
            </w:pPr>
            <w:r w:rsidRPr="007E5078">
              <w:rPr>
                <w:sz w:val="28"/>
                <w:szCs w:val="28"/>
                <w:lang w:eastAsia="en-US"/>
              </w:rPr>
              <w:t>Attiecīgā ES tiesību akta datums, numurs un nosaukums</w:t>
            </w:r>
          </w:p>
        </w:tc>
        <w:tc>
          <w:tcPr>
            <w:tcW w:w="4000" w:type="pct"/>
            <w:gridSpan w:val="3"/>
            <w:tcBorders>
              <w:top w:val="outset" w:sz="6" w:space="0" w:color="auto"/>
              <w:left w:val="outset" w:sz="6" w:space="0" w:color="auto"/>
              <w:bottom w:val="outset" w:sz="6" w:space="0" w:color="auto"/>
              <w:right w:val="outset" w:sz="6" w:space="0" w:color="auto"/>
            </w:tcBorders>
            <w:hideMark/>
          </w:tcPr>
          <w:p w:rsidR="00824A28" w:rsidRPr="007E5078" w:rsidRDefault="00AA7D3C" w:rsidP="00D1099A">
            <w:pPr>
              <w:pStyle w:val="NoSpacing"/>
              <w:rPr>
                <w:sz w:val="28"/>
                <w:szCs w:val="28"/>
                <w:lang w:eastAsia="en-US"/>
              </w:rPr>
            </w:pPr>
            <w:r w:rsidRPr="007E5078">
              <w:rPr>
                <w:sz w:val="28"/>
                <w:szCs w:val="28"/>
              </w:rPr>
              <w:t>Komisijas Direktīva 2006/141/EK (2006.</w:t>
            </w:r>
            <w:r w:rsidR="00282888" w:rsidRPr="007E5078">
              <w:rPr>
                <w:sz w:val="28"/>
                <w:szCs w:val="28"/>
              </w:rPr>
              <w:t xml:space="preserve"> gada 22. d</w:t>
            </w:r>
            <w:r w:rsidRPr="007E5078">
              <w:rPr>
                <w:sz w:val="28"/>
                <w:szCs w:val="28"/>
              </w:rPr>
              <w:t>ecembris) par mākslīgajiem maisījumiem zīdaiņiem un mākslīgajiem papildu ēdināšanas maisījumiem zīdaiņiem, un ar ko groza Direktīvu 1999/21/EK</w:t>
            </w:r>
          </w:p>
        </w:tc>
      </w:tr>
      <w:tr w:rsidR="00824A28" w:rsidRPr="007E5078">
        <w:tc>
          <w:tcPr>
            <w:tcW w:w="1000" w:type="pct"/>
            <w:tcBorders>
              <w:top w:val="outset" w:sz="6" w:space="0" w:color="auto"/>
              <w:left w:val="outset" w:sz="6" w:space="0" w:color="auto"/>
              <w:bottom w:val="outset" w:sz="6" w:space="0" w:color="auto"/>
              <w:right w:val="outset" w:sz="6" w:space="0" w:color="auto"/>
            </w:tcBorders>
            <w:vAlign w:val="center"/>
            <w:hideMark/>
          </w:tcPr>
          <w:p w:rsidR="00824A28" w:rsidRPr="007E5078" w:rsidRDefault="00824A28" w:rsidP="00D1099A">
            <w:pPr>
              <w:pStyle w:val="NoSpacing"/>
              <w:rPr>
                <w:sz w:val="28"/>
                <w:szCs w:val="28"/>
                <w:lang w:eastAsia="en-US"/>
              </w:rPr>
            </w:pPr>
            <w:r w:rsidRPr="007E5078">
              <w:rPr>
                <w:sz w:val="28"/>
                <w:szCs w:val="28"/>
                <w:lang w:eastAsia="en-US"/>
              </w:rPr>
              <w:t>A</w:t>
            </w:r>
          </w:p>
        </w:tc>
        <w:tc>
          <w:tcPr>
            <w:tcW w:w="1000" w:type="pct"/>
            <w:tcBorders>
              <w:top w:val="outset" w:sz="6" w:space="0" w:color="auto"/>
              <w:left w:val="outset" w:sz="6" w:space="0" w:color="auto"/>
              <w:bottom w:val="outset" w:sz="6" w:space="0" w:color="auto"/>
              <w:right w:val="outset" w:sz="6" w:space="0" w:color="auto"/>
            </w:tcBorders>
            <w:vAlign w:val="center"/>
            <w:hideMark/>
          </w:tcPr>
          <w:p w:rsidR="00824A28" w:rsidRPr="007E5078" w:rsidRDefault="00824A28" w:rsidP="00D1099A">
            <w:pPr>
              <w:pStyle w:val="NoSpacing"/>
              <w:rPr>
                <w:sz w:val="28"/>
                <w:szCs w:val="28"/>
                <w:lang w:eastAsia="en-US"/>
              </w:rPr>
            </w:pPr>
            <w:r w:rsidRPr="007E5078">
              <w:rPr>
                <w:sz w:val="28"/>
                <w:szCs w:val="28"/>
                <w:lang w:eastAsia="en-US"/>
              </w:rPr>
              <w:t>B</w:t>
            </w:r>
          </w:p>
        </w:tc>
        <w:tc>
          <w:tcPr>
            <w:tcW w:w="1500" w:type="pct"/>
            <w:tcBorders>
              <w:top w:val="outset" w:sz="6" w:space="0" w:color="auto"/>
              <w:left w:val="outset" w:sz="6" w:space="0" w:color="auto"/>
              <w:bottom w:val="outset" w:sz="6" w:space="0" w:color="auto"/>
              <w:right w:val="outset" w:sz="6" w:space="0" w:color="auto"/>
            </w:tcBorders>
            <w:vAlign w:val="center"/>
            <w:hideMark/>
          </w:tcPr>
          <w:p w:rsidR="00824A28" w:rsidRPr="007E5078" w:rsidRDefault="00824A28" w:rsidP="00D1099A">
            <w:pPr>
              <w:pStyle w:val="NoSpacing"/>
              <w:rPr>
                <w:sz w:val="28"/>
                <w:szCs w:val="28"/>
                <w:lang w:eastAsia="en-US"/>
              </w:rPr>
            </w:pPr>
            <w:r w:rsidRPr="007E5078">
              <w:rPr>
                <w:sz w:val="28"/>
                <w:szCs w:val="28"/>
                <w:lang w:eastAsia="en-US"/>
              </w:rPr>
              <w:t>C</w:t>
            </w:r>
          </w:p>
        </w:tc>
        <w:tc>
          <w:tcPr>
            <w:tcW w:w="1500" w:type="pct"/>
            <w:tcBorders>
              <w:top w:val="outset" w:sz="6" w:space="0" w:color="auto"/>
              <w:left w:val="outset" w:sz="6" w:space="0" w:color="auto"/>
              <w:bottom w:val="outset" w:sz="6" w:space="0" w:color="auto"/>
              <w:right w:val="outset" w:sz="6" w:space="0" w:color="auto"/>
            </w:tcBorders>
            <w:vAlign w:val="center"/>
            <w:hideMark/>
          </w:tcPr>
          <w:p w:rsidR="00824A28" w:rsidRPr="007E5078" w:rsidRDefault="00824A28" w:rsidP="00D1099A">
            <w:pPr>
              <w:pStyle w:val="NoSpacing"/>
              <w:rPr>
                <w:sz w:val="28"/>
                <w:szCs w:val="28"/>
                <w:lang w:eastAsia="en-US"/>
              </w:rPr>
            </w:pPr>
            <w:r w:rsidRPr="007E5078">
              <w:rPr>
                <w:sz w:val="28"/>
                <w:szCs w:val="28"/>
                <w:lang w:eastAsia="en-US"/>
              </w:rPr>
              <w:t>D</w:t>
            </w:r>
          </w:p>
        </w:tc>
      </w:tr>
      <w:tr w:rsidR="00282888" w:rsidRPr="007E5078" w:rsidTr="00E50146">
        <w:trPr>
          <w:trHeight w:val="1390"/>
        </w:trPr>
        <w:tc>
          <w:tcPr>
            <w:tcW w:w="1000" w:type="pct"/>
            <w:tcBorders>
              <w:top w:val="outset" w:sz="6" w:space="0" w:color="auto"/>
              <w:left w:val="outset" w:sz="6" w:space="0" w:color="auto"/>
              <w:bottom w:val="outset" w:sz="6" w:space="0" w:color="auto"/>
              <w:right w:val="outset" w:sz="6" w:space="0" w:color="auto"/>
            </w:tcBorders>
            <w:hideMark/>
          </w:tcPr>
          <w:p w:rsidR="00282888" w:rsidRPr="007E5078" w:rsidRDefault="00282888" w:rsidP="00BD7B8C">
            <w:pPr>
              <w:pStyle w:val="NoSpacing"/>
              <w:rPr>
                <w:sz w:val="28"/>
                <w:szCs w:val="28"/>
                <w:lang w:eastAsia="en-US"/>
              </w:rPr>
            </w:pPr>
            <w:r w:rsidRPr="007E5078">
              <w:rPr>
                <w:sz w:val="28"/>
                <w:szCs w:val="28"/>
                <w:lang w:eastAsia="en-US"/>
              </w:rPr>
              <w:lastRenderedPageBreak/>
              <w:t xml:space="preserve">15. panta 1. </w:t>
            </w:r>
            <w:r w:rsidR="00BD7B8C">
              <w:rPr>
                <w:sz w:val="28"/>
                <w:szCs w:val="28"/>
                <w:lang w:eastAsia="en-US"/>
              </w:rPr>
              <w:t xml:space="preserve">un 2. </w:t>
            </w:r>
            <w:r w:rsidRPr="007E5078">
              <w:rPr>
                <w:sz w:val="28"/>
                <w:szCs w:val="28"/>
                <w:lang w:eastAsia="en-US"/>
              </w:rPr>
              <w:t>punkts</w:t>
            </w:r>
          </w:p>
        </w:tc>
        <w:tc>
          <w:tcPr>
            <w:tcW w:w="1000" w:type="pct"/>
            <w:tcBorders>
              <w:top w:val="outset" w:sz="6" w:space="0" w:color="auto"/>
              <w:left w:val="outset" w:sz="6" w:space="0" w:color="auto"/>
              <w:bottom w:val="outset" w:sz="6" w:space="0" w:color="auto"/>
              <w:right w:val="outset" w:sz="6" w:space="0" w:color="auto"/>
            </w:tcBorders>
            <w:hideMark/>
          </w:tcPr>
          <w:p w:rsidR="00282888" w:rsidRPr="007E5078" w:rsidRDefault="00282888" w:rsidP="00C11759">
            <w:pPr>
              <w:pStyle w:val="NoSpacing"/>
              <w:rPr>
                <w:sz w:val="28"/>
                <w:szCs w:val="28"/>
                <w:lang w:eastAsia="en-US"/>
              </w:rPr>
            </w:pPr>
            <w:r w:rsidRPr="007E5078">
              <w:rPr>
                <w:sz w:val="28"/>
                <w:szCs w:val="28"/>
                <w:lang w:eastAsia="en-US"/>
              </w:rPr>
              <w:t>31. punkts</w:t>
            </w:r>
          </w:p>
        </w:tc>
        <w:tc>
          <w:tcPr>
            <w:tcW w:w="1500" w:type="pct"/>
            <w:tcBorders>
              <w:top w:val="outset" w:sz="6" w:space="0" w:color="auto"/>
              <w:left w:val="outset" w:sz="6" w:space="0" w:color="auto"/>
              <w:bottom w:val="outset" w:sz="6" w:space="0" w:color="auto"/>
              <w:right w:val="outset" w:sz="6" w:space="0" w:color="auto"/>
            </w:tcBorders>
            <w:hideMark/>
          </w:tcPr>
          <w:p w:rsidR="00282888" w:rsidRPr="007E5078" w:rsidRDefault="00D16807" w:rsidP="00C11759">
            <w:pPr>
              <w:pStyle w:val="NoSpacing"/>
              <w:rPr>
                <w:sz w:val="28"/>
                <w:szCs w:val="28"/>
                <w:lang w:eastAsia="en-US"/>
              </w:rPr>
            </w:pPr>
            <w:r>
              <w:rPr>
                <w:sz w:val="28"/>
                <w:szCs w:val="28"/>
                <w:lang w:eastAsia="en-US"/>
              </w:rPr>
              <w:t>Pārņemts pilnībā</w:t>
            </w:r>
          </w:p>
        </w:tc>
        <w:tc>
          <w:tcPr>
            <w:tcW w:w="1500" w:type="pct"/>
            <w:tcBorders>
              <w:top w:val="outset" w:sz="6" w:space="0" w:color="auto"/>
              <w:left w:val="outset" w:sz="6" w:space="0" w:color="auto"/>
              <w:bottom w:val="outset" w:sz="6" w:space="0" w:color="auto"/>
              <w:right w:val="outset" w:sz="6" w:space="0" w:color="auto"/>
            </w:tcBorders>
            <w:hideMark/>
          </w:tcPr>
          <w:p w:rsidR="00282888" w:rsidRPr="007E5078" w:rsidRDefault="00D16807" w:rsidP="00C11759">
            <w:pPr>
              <w:pStyle w:val="NoSpacing"/>
              <w:rPr>
                <w:sz w:val="28"/>
                <w:szCs w:val="28"/>
                <w:lang w:eastAsia="en-US"/>
              </w:rPr>
            </w:pPr>
            <w:r>
              <w:rPr>
                <w:sz w:val="28"/>
                <w:szCs w:val="28"/>
                <w:lang w:eastAsia="en-US"/>
              </w:rPr>
              <w:t xml:space="preserve">MK noteikumu </w:t>
            </w:r>
            <w:r w:rsidR="00282888" w:rsidRPr="007E5078">
              <w:rPr>
                <w:sz w:val="28"/>
                <w:szCs w:val="28"/>
                <w:lang w:eastAsia="en-US"/>
              </w:rPr>
              <w:t>31. punkts neparedz stingrākas prasības nekā direktīvā noteikts.</w:t>
            </w:r>
          </w:p>
        </w:tc>
      </w:tr>
      <w:tr w:rsidR="00E50146" w:rsidRPr="007E5078">
        <w:tc>
          <w:tcPr>
            <w:tcW w:w="1000" w:type="pct"/>
            <w:tcBorders>
              <w:top w:val="outset" w:sz="6" w:space="0" w:color="auto"/>
              <w:left w:val="outset" w:sz="6" w:space="0" w:color="auto"/>
              <w:bottom w:val="outset" w:sz="6" w:space="0" w:color="auto"/>
              <w:right w:val="outset" w:sz="6" w:space="0" w:color="auto"/>
            </w:tcBorders>
            <w:hideMark/>
          </w:tcPr>
          <w:p w:rsidR="00E50146" w:rsidRPr="007E5078" w:rsidRDefault="00BD7B8C" w:rsidP="00CF1658">
            <w:pPr>
              <w:pStyle w:val="NoSpacing"/>
              <w:rPr>
                <w:sz w:val="28"/>
                <w:szCs w:val="28"/>
                <w:lang w:eastAsia="en-US"/>
              </w:rPr>
            </w:pPr>
            <w:r>
              <w:rPr>
                <w:sz w:val="28"/>
                <w:szCs w:val="28"/>
                <w:lang w:eastAsia="en-US"/>
              </w:rPr>
              <w:t>15. panta</w:t>
            </w:r>
            <w:r w:rsidR="000A37FE">
              <w:rPr>
                <w:sz w:val="28"/>
                <w:szCs w:val="28"/>
                <w:lang w:eastAsia="en-US"/>
              </w:rPr>
              <w:t xml:space="preserve"> 2. punkta a) apakšpunkts</w:t>
            </w:r>
            <w:r>
              <w:rPr>
                <w:sz w:val="28"/>
                <w:szCs w:val="28"/>
                <w:lang w:eastAsia="en-US"/>
              </w:rPr>
              <w:t xml:space="preserve"> </w:t>
            </w:r>
          </w:p>
        </w:tc>
        <w:tc>
          <w:tcPr>
            <w:tcW w:w="1000" w:type="pct"/>
            <w:tcBorders>
              <w:top w:val="outset" w:sz="6" w:space="0" w:color="auto"/>
              <w:left w:val="outset" w:sz="6" w:space="0" w:color="auto"/>
              <w:bottom w:val="outset" w:sz="6" w:space="0" w:color="auto"/>
              <w:right w:val="outset" w:sz="6" w:space="0" w:color="auto"/>
            </w:tcBorders>
            <w:hideMark/>
          </w:tcPr>
          <w:p w:rsidR="00E50146" w:rsidRPr="007E5078" w:rsidRDefault="000A37FE" w:rsidP="00D1099A">
            <w:pPr>
              <w:pStyle w:val="NoSpacing"/>
              <w:rPr>
                <w:sz w:val="28"/>
                <w:szCs w:val="28"/>
                <w:lang w:eastAsia="en-US"/>
              </w:rPr>
            </w:pPr>
            <w:r>
              <w:rPr>
                <w:sz w:val="28"/>
                <w:szCs w:val="28"/>
                <w:lang w:eastAsia="en-US"/>
              </w:rPr>
              <w:t>31.1. apakšpunkts</w:t>
            </w:r>
          </w:p>
        </w:tc>
        <w:tc>
          <w:tcPr>
            <w:tcW w:w="1500" w:type="pct"/>
            <w:tcBorders>
              <w:top w:val="outset" w:sz="6" w:space="0" w:color="auto"/>
              <w:left w:val="outset" w:sz="6" w:space="0" w:color="auto"/>
              <w:bottom w:val="outset" w:sz="6" w:space="0" w:color="auto"/>
              <w:right w:val="outset" w:sz="6" w:space="0" w:color="auto"/>
            </w:tcBorders>
            <w:hideMark/>
          </w:tcPr>
          <w:p w:rsidR="00E50146" w:rsidRDefault="000A37FE" w:rsidP="00D1099A">
            <w:pPr>
              <w:pStyle w:val="NoSpacing"/>
              <w:rPr>
                <w:sz w:val="28"/>
                <w:szCs w:val="28"/>
                <w:lang w:eastAsia="en-US"/>
              </w:rPr>
            </w:pPr>
            <w:r>
              <w:rPr>
                <w:sz w:val="28"/>
                <w:szCs w:val="28"/>
                <w:lang w:eastAsia="en-US"/>
              </w:rPr>
              <w:t>Pārņemts pilnībā</w:t>
            </w:r>
          </w:p>
        </w:tc>
        <w:tc>
          <w:tcPr>
            <w:tcW w:w="1500" w:type="pct"/>
            <w:tcBorders>
              <w:top w:val="outset" w:sz="6" w:space="0" w:color="auto"/>
              <w:left w:val="outset" w:sz="6" w:space="0" w:color="auto"/>
              <w:bottom w:val="outset" w:sz="6" w:space="0" w:color="auto"/>
              <w:right w:val="outset" w:sz="6" w:space="0" w:color="auto"/>
            </w:tcBorders>
            <w:hideMark/>
          </w:tcPr>
          <w:p w:rsidR="00E50146" w:rsidRDefault="000A37FE" w:rsidP="00D1099A">
            <w:pPr>
              <w:pStyle w:val="NoSpacing"/>
              <w:rPr>
                <w:sz w:val="28"/>
                <w:szCs w:val="28"/>
                <w:lang w:eastAsia="en-US"/>
              </w:rPr>
            </w:pPr>
            <w:r>
              <w:rPr>
                <w:sz w:val="28"/>
                <w:szCs w:val="28"/>
                <w:lang w:eastAsia="en-US"/>
              </w:rPr>
              <w:t xml:space="preserve">MK noteikumu </w:t>
            </w:r>
            <w:r w:rsidRPr="007E5078">
              <w:rPr>
                <w:sz w:val="28"/>
                <w:szCs w:val="28"/>
                <w:lang w:eastAsia="en-US"/>
              </w:rPr>
              <w:t xml:space="preserve">31. </w:t>
            </w:r>
            <w:r>
              <w:rPr>
                <w:sz w:val="28"/>
                <w:szCs w:val="28"/>
                <w:lang w:eastAsia="en-US"/>
              </w:rPr>
              <w:t>1. apakš</w:t>
            </w:r>
            <w:r w:rsidRPr="007E5078">
              <w:rPr>
                <w:sz w:val="28"/>
                <w:szCs w:val="28"/>
                <w:lang w:eastAsia="en-US"/>
              </w:rPr>
              <w:t>punkts neparedz stingrākas prasības nekā direktīvā noteikts.</w:t>
            </w:r>
          </w:p>
        </w:tc>
      </w:tr>
      <w:tr w:rsidR="00CF1658" w:rsidRPr="007E5078">
        <w:tc>
          <w:tcPr>
            <w:tcW w:w="1000" w:type="pct"/>
            <w:tcBorders>
              <w:top w:val="outset" w:sz="6" w:space="0" w:color="auto"/>
              <w:left w:val="outset" w:sz="6" w:space="0" w:color="auto"/>
              <w:bottom w:val="outset" w:sz="6" w:space="0" w:color="auto"/>
              <w:right w:val="outset" w:sz="6" w:space="0" w:color="auto"/>
            </w:tcBorders>
            <w:hideMark/>
          </w:tcPr>
          <w:p w:rsidR="00CF1658" w:rsidRDefault="00CF1658" w:rsidP="00CF1658">
            <w:pPr>
              <w:pStyle w:val="NoSpacing"/>
              <w:rPr>
                <w:sz w:val="28"/>
                <w:szCs w:val="28"/>
                <w:lang w:eastAsia="en-US"/>
              </w:rPr>
            </w:pPr>
            <w:r>
              <w:rPr>
                <w:sz w:val="28"/>
                <w:szCs w:val="28"/>
                <w:lang w:eastAsia="en-US"/>
              </w:rPr>
              <w:t xml:space="preserve">15. panta 2. </w:t>
            </w:r>
            <w:r w:rsidR="00C05A86">
              <w:rPr>
                <w:sz w:val="28"/>
                <w:szCs w:val="28"/>
                <w:lang w:eastAsia="en-US"/>
              </w:rPr>
              <w:t xml:space="preserve">punkta </w:t>
            </w:r>
            <w:r>
              <w:rPr>
                <w:sz w:val="28"/>
                <w:szCs w:val="28"/>
                <w:lang w:eastAsia="en-US"/>
              </w:rPr>
              <w:t>b) apakšpunkts</w:t>
            </w:r>
          </w:p>
        </w:tc>
        <w:tc>
          <w:tcPr>
            <w:tcW w:w="1000" w:type="pct"/>
            <w:tcBorders>
              <w:top w:val="outset" w:sz="6" w:space="0" w:color="auto"/>
              <w:left w:val="outset" w:sz="6" w:space="0" w:color="auto"/>
              <w:bottom w:val="outset" w:sz="6" w:space="0" w:color="auto"/>
              <w:right w:val="outset" w:sz="6" w:space="0" w:color="auto"/>
            </w:tcBorders>
            <w:hideMark/>
          </w:tcPr>
          <w:p w:rsidR="00CF1658" w:rsidRDefault="00CF1658" w:rsidP="00D1099A">
            <w:pPr>
              <w:pStyle w:val="NoSpacing"/>
              <w:rPr>
                <w:sz w:val="28"/>
                <w:szCs w:val="28"/>
                <w:lang w:eastAsia="en-US"/>
              </w:rPr>
            </w:pPr>
            <w:r>
              <w:rPr>
                <w:sz w:val="28"/>
                <w:szCs w:val="28"/>
                <w:lang w:eastAsia="en-US"/>
              </w:rPr>
              <w:t>31.2. apakšpunkts</w:t>
            </w:r>
          </w:p>
        </w:tc>
        <w:tc>
          <w:tcPr>
            <w:tcW w:w="1500" w:type="pct"/>
            <w:tcBorders>
              <w:top w:val="outset" w:sz="6" w:space="0" w:color="auto"/>
              <w:left w:val="outset" w:sz="6" w:space="0" w:color="auto"/>
              <w:bottom w:val="outset" w:sz="6" w:space="0" w:color="auto"/>
              <w:right w:val="outset" w:sz="6" w:space="0" w:color="auto"/>
            </w:tcBorders>
            <w:hideMark/>
          </w:tcPr>
          <w:p w:rsidR="00CF1658" w:rsidRDefault="00CF1658" w:rsidP="00D1099A">
            <w:pPr>
              <w:pStyle w:val="NoSpacing"/>
              <w:rPr>
                <w:sz w:val="28"/>
                <w:szCs w:val="28"/>
                <w:lang w:eastAsia="en-US"/>
              </w:rPr>
            </w:pPr>
            <w:r>
              <w:rPr>
                <w:sz w:val="28"/>
                <w:szCs w:val="28"/>
                <w:lang w:eastAsia="en-US"/>
              </w:rPr>
              <w:t>Pārņemts pilnībā</w:t>
            </w:r>
          </w:p>
        </w:tc>
        <w:tc>
          <w:tcPr>
            <w:tcW w:w="1500" w:type="pct"/>
            <w:tcBorders>
              <w:top w:val="outset" w:sz="6" w:space="0" w:color="auto"/>
              <w:left w:val="outset" w:sz="6" w:space="0" w:color="auto"/>
              <w:bottom w:val="outset" w:sz="6" w:space="0" w:color="auto"/>
              <w:right w:val="outset" w:sz="6" w:space="0" w:color="auto"/>
            </w:tcBorders>
            <w:hideMark/>
          </w:tcPr>
          <w:p w:rsidR="00CF1658" w:rsidRDefault="00CF1658" w:rsidP="00D1099A">
            <w:pPr>
              <w:pStyle w:val="NoSpacing"/>
              <w:rPr>
                <w:sz w:val="28"/>
                <w:szCs w:val="28"/>
                <w:lang w:eastAsia="en-US"/>
              </w:rPr>
            </w:pPr>
            <w:r>
              <w:rPr>
                <w:sz w:val="28"/>
                <w:szCs w:val="28"/>
                <w:lang w:eastAsia="en-US"/>
              </w:rPr>
              <w:t xml:space="preserve">MK noteikumu </w:t>
            </w:r>
            <w:r w:rsidRPr="007E5078">
              <w:rPr>
                <w:sz w:val="28"/>
                <w:szCs w:val="28"/>
                <w:lang w:eastAsia="en-US"/>
              </w:rPr>
              <w:t xml:space="preserve">31. </w:t>
            </w:r>
            <w:r>
              <w:rPr>
                <w:sz w:val="28"/>
                <w:szCs w:val="28"/>
                <w:lang w:eastAsia="en-US"/>
              </w:rPr>
              <w:t>2. apakš</w:t>
            </w:r>
            <w:r w:rsidRPr="007E5078">
              <w:rPr>
                <w:sz w:val="28"/>
                <w:szCs w:val="28"/>
                <w:lang w:eastAsia="en-US"/>
              </w:rPr>
              <w:t>punkts neparedz stingrākas prasības nekā direktīvā noteikts.</w:t>
            </w:r>
          </w:p>
        </w:tc>
      </w:tr>
      <w:tr w:rsidR="00C05A86" w:rsidRPr="007E5078">
        <w:tc>
          <w:tcPr>
            <w:tcW w:w="1000" w:type="pct"/>
            <w:tcBorders>
              <w:top w:val="outset" w:sz="6" w:space="0" w:color="auto"/>
              <w:left w:val="outset" w:sz="6" w:space="0" w:color="auto"/>
              <w:bottom w:val="outset" w:sz="6" w:space="0" w:color="auto"/>
              <w:right w:val="outset" w:sz="6" w:space="0" w:color="auto"/>
            </w:tcBorders>
            <w:hideMark/>
          </w:tcPr>
          <w:p w:rsidR="00C05A86" w:rsidRDefault="00C05A86" w:rsidP="00C05A86">
            <w:pPr>
              <w:pStyle w:val="NoSpacing"/>
              <w:rPr>
                <w:sz w:val="28"/>
                <w:szCs w:val="28"/>
                <w:lang w:eastAsia="en-US"/>
              </w:rPr>
            </w:pPr>
            <w:r>
              <w:rPr>
                <w:sz w:val="28"/>
                <w:szCs w:val="28"/>
                <w:lang w:eastAsia="en-US"/>
              </w:rPr>
              <w:t>15. panta 2. punkta c) apakšpunkts</w:t>
            </w:r>
          </w:p>
        </w:tc>
        <w:tc>
          <w:tcPr>
            <w:tcW w:w="1000" w:type="pct"/>
            <w:tcBorders>
              <w:top w:val="outset" w:sz="6" w:space="0" w:color="auto"/>
              <w:left w:val="outset" w:sz="6" w:space="0" w:color="auto"/>
              <w:bottom w:val="outset" w:sz="6" w:space="0" w:color="auto"/>
              <w:right w:val="outset" w:sz="6" w:space="0" w:color="auto"/>
            </w:tcBorders>
            <w:hideMark/>
          </w:tcPr>
          <w:p w:rsidR="00C05A86" w:rsidRDefault="00C05A86" w:rsidP="00D1099A">
            <w:pPr>
              <w:pStyle w:val="NoSpacing"/>
              <w:rPr>
                <w:sz w:val="28"/>
                <w:szCs w:val="28"/>
                <w:lang w:eastAsia="en-US"/>
              </w:rPr>
            </w:pPr>
            <w:r>
              <w:rPr>
                <w:sz w:val="28"/>
                <w:szCs w:val="28"/>
                <w:lang w:eastAsia="en-US"/>
              </w:rPr>
              <w:t>31.3. apakšpunkts</w:t>
            </w:r>
          </w:p>
        </w:tc>
        <w:tc>
          <w:tcPr>
            <w:tcW w:w="1500" w:type="pct"/>
            <w:tcBorders>
              <w:top w:val="outset" w:sz="6" w:space="0" w:color="auto"/>
              <w:left w:val="outset" w:sz="6" w:space="0" w:color="auto"/>
              <w:bottom w:val="outset" w:sz="6" w:space="0" w:color="auto"/>
              <w:right w:val="outset" w:sz="6" w:space="0" w:color="auto"/>
            </w:tcBorders>
            <w:hideMark/>
          </w:tcPr>
          <w:p w:rsidR="00C05A86" w:rsidRDefault="00C05A86" w:rsidP="00F027D3">
            <w:pPr>
              <w:pStyle w:val="NoSpacing"/>
              <w:rPr>
                <w:sz w:val="28"/>
                <w:szCs w:val="28"/>
                <w:lang w:eastAsia="en-US"/>
              </w:rPr>
            </w:pPr>
            <w:r>
              <w:rPr>
                <w:sz w:val="28"/>
                <w:szCs w:val="28"/>
                <w:lang w:eastAsia="en-US"/>
              </w:rPr>
              <w:t>Pārņemts pilnībā</w:t>
            </w:r>
          </w:p>
        </w:tc>
        <w:tc>
          <w:tcPr>
            <w:tcW w:w="1500" w:type="pct"/>
            <w:tcBorders>
              <w:top w:val="outset" w:sz="6" w:space="0" w:color="auto"/>
              <w:left w:val="outset" w:sz="6" w:space="0" w:color="auto"/>
              <w:bottom w:val="outset" w:sz="6" w:space="0" w:color="auto"/>
              <w:right w:val="outset" w:sz="6" w:space="0" w:color="auto"/>
            </w:tcBorders>
            <w:hideMark/>
          </w:tcPr>
          <w:p w:rsidR="00C05A86" w:rsidRDefault="00C05A86" w:rsidP="00F027D3">
            <w:pPr>
              <w:pStyle w:val="NoSpacing"/>
              <w:rPr>
                <w:sz w:val="28"/>
                <w:szCs w:val="28"/>
                <w:lang w:eastAsia="en-US"/>
              </w:rPr>
            </w:pPr>
            <w:r>
              <w:rPr>
                <w:sz w:val="28"/>
                <w:szCs w:val="28"/>
                <w:lang w:eastAsia="en-US"/>
              </w:rPr>
              <w:t xml:space="preserve">MK noteikumu </w:t>
            </w:r>
            <w:r w:rsidRPr="007E5078">
              <w:rPr>
                <w:sz w:val="28"/>
                <w:szCs w:val="28"/>
                <w:lang w:eastAsia="en-US"/>
              </w:rPr>
              <w:t xml:space="preserve">31. </w:t>
            </w:r>
            <w:r>
              <w:rPr>
                <w:sz w:val="28"/>
                <w:szCs w:val="28"/>
                <w:lang w:eastAsia="en-US"/>
              </w:rPr>
              <w:t>3. apakš</w:t>
            </w:r>
            <w:r w:rsidRPr="007E5078">
              <w:rPr>
                <w:sz w:val="28"/>
                <w:szCs w:val="28"/>
                <w:lang w:eastAsia="en-US"/>
              </w:rPr>
              <w:t>punkts neparedz stingrākas prasības nekā direktīvā noteikts.</w:t>
            </w:r>
          </w:p>
        </w:tc>
      </w:tr>
      <w:tr w:rsidR="00C05A86" w:rsidRPr="007E5078">
        <w:tc>
          <w:tcPr>
            <w:tcW w:w="1000" w:type="pct"/>
            <w:tcBorders>
              <w:top w:val="outset" w:sz="6" w:space="0" w:color="auto"/>
              <w:left w:val="outset" w:sz="6" w:space="0" w:color="auto"/>
              <w:bottom w:val="outset" w:sz="6" w:space="0" w:color="auto"/>
              <w:right w:val="outset" w:sz="6" w:space="0" w:color="auto"/>
            </w:tcBorders>
            <w:hideMark/>
          </w:tcPr>
          <w:p w:rsidR="00C05A86" w:rsidRDefault="00C05A86" w:rsidP="00F027D3">
            <w:pPr>
              <w:pStyle w:val="NoSpacing"/>
              <w:rPr>
                <w:sz w:val="28"/>
                <w:szCs w:val="28"/>
                <w:lang w:eastAsia="en-US"/>
              </w:rPr>
            </w:pPr>
            <w:r>
              <w:rPr>
                <w:sz w:val="28"/>
                <w:szCs w:val="28"/>
                <w:lang w:eastAsia="en-US"/>
              </w:rPr>
              <w:t>15. panta 2. punkta d) apakšpunkts</w:t>
            </w:r>
          </w:p>
        </w:tc>
        <w:tc>
          <w:tcPr>
            <w:tcW w:w="1000" w:type="pct"/>
            <w:tcBorders>
              <w:top w:val="outset" w:sz="6" w:space="0" w:color="auto"/>
              <w:left w:val="outset" w:sz="6" w:space="0" w:color="auto"/>
              <w:bottom w:val="outset" w:sz="6" w:space="0" w:color="auto"/>
              <w:right w:val="outset" w:sz="6" w:space="0" w:color="auto"/>
            </w:tcBorders>
            <w:hideMark/>
          </w:tcPr>
          <w:p w:rsidR="00C05A86" w:rsidRDefault="00C05A86" w:rsidP="00F027D3">
            <w:pPr>
              <w:pStyle w:val="NoSpacing"/>
              <w:rPr>
                <w:sz w:val="28"/>
                <w:szCs w:val="28"/>
                <w:lang w:eastAsia="en-US"/>
              </w:rPr>
            </w:pPr>
            <w:r>
              <w:rPr>
                <w:sz w:val="28"/>
                <w:szCs w:val="28"/>
                <w:lang w:eastAsia="en-US"/>
              </w:rPr>
              <w:t>31.4. apakšpunkts</w:t>
            </w:r>
          </w:p>
        </w:tc>
        <w:tc>
          <w:tcPr>
            <w:tcW w:w="1500" w:type="pct"/>
            <w:tcBorders>
              <w:top w:val="outset" w:sz="6" w:space="0" w:color="auto"/>
              <w:left w:val="outset" w:sz="6" w:space="0" w:color="auto"/>
              <w:bottom w:val="outset" w:sz="6" w:space="0" w:color="auto"/>
              <w:right w:val="outset" w:sz="6" w:space="0" w:color="auto"/>
            </w:tcBorders>
            <w:hideMark/>
          </w:tcPr>
          <w:p w:rsidR="00C05A86" w:rsidRDefault="00C05A86" w:rsidP="00F027D3">
            <w:pPr>
              <w:pStyle w:val="NoSpacing"/>
              <w:rPr>
                <w:sz w:val="28"/>
                <w:szCs w:val="28"/>
                <w:lang w:eastAsia="en-US"/>
              </w:rPr>
            </w:pPr>
            <w:r>
              <w:rPr>
                <w:sz w:val="28"/>
                <w:szCs w:val="28"/>
                <w:lang w:eastAsia="en-US"/>
              </w:rPr>
              <w:t>Pārņemts pilnībā</w:t>
            </w:r>
          </w:p>
        </w:tc>
        <w:tc>
          <w:tcPr>
            <w:tcW w:w="1500" w:type="pct"/>
            <w:tcBorders>
              <w:top w:val="outset" w:sz="6" w:space="0" w:color="auto"/>
              <w:left w:val="outset" w:sz="6" w:space="0" w:color="auto"/>
              <w:bottom w:val="outset" w:sz="6" w:space="0" w:color="auto"/>
              <w:right w:val="outset" w:sz="6" w:space="0" w:color="auto"/>
            </w:tcBorders>
            <w:hideMark/>
          </w:tcPr>
          <w:p w:rsidR="00C05A86" w:rsidRDefault="00C05A86" w:rsidP="00F027D3">
            <w:pPr>
              <w:pStyle w:val="NoSpacing"/>
              <w:rPr>
                <w:sz w:val="28"/>
                <w:szCs w:val="28"/>
                <w:lang w:eastAsia="en-US"/>
              </w:rPr>
            </w:pPr>
            <w:r>
              <w:rPr>
                <w:sz w:val="28"/>
                <w:szCs w:val="28"/>
                <w:lang w:eastAsia="en-US"/>
              </w:rPr>
              <w:t xml:space="preserve">MK noteikumu </w:t>
            </w:r>
            <w:r w:rsidRPr="007E5078">
              <w:rPr>
                <w:sz w:val="28"/>
                <w:szCs w:val="28"/>
                <w:lang w:eastAsia="en-US"/>
              </w:rPr>
              <w:t xml:space="preserve">31. </w:t>
            </w:r>
            <w:r>
              <w:rPr>
                <w:sz w:val="28"/>
                <w:szCs w:val="28"/>
                <w:lang w:eastAsia="en-US"/>
              </w:rPr>
              <w:t>4. apakš</w:t>
            </w:r>
            <w:r w:rsidRPr="007E5078">
              <w:rPr>
                <w:sz w:val="28"/>
                <w:szCs w:val="28"/>
                <w:lang w:eastAsia="en-US"/>
              </w:rPr>
              <w:t>punkts neparedz stingrākas prasības nekā direktīvā noteikts.</w:t>
            </w:r>
          </w:p>
        </w:tc>
      </w:tr>
      <w:tr w:rsidR="0056090C" w:rsidRPr="007E5078">
        <w:tc>
          <w:tcPr>
            <w:tcW w:w="1000" w:type="pct"/>
            <w:tcBorders>
              <w:top w:val="outset" w:sz="6" w:space="0" w:color="auto"/>
              <w:left w:val="outset" w:sz="6" w:space="0" w:color="auto"/>
              <w:bottom w:val="outset" w:sz="6" w:space="0" w:color="auto"/>
              <w:right w:val="outset" w:sz="6" w:space="0" w:color="auto"/>
            </w:tcBorders>
            <w:hideMark/>
          </w:tcPr>
          <w:p w:rsidR="0056090C" w:rsidRDefault="0056090C" w:rsidP="00F027D3">
            <w:pPr>
              <w:pStyle w:val="NoSpacing"/>
              <w:rPr>
                <w:sz w:val="28"/>
                <w:szCs w:val="28"/>
                <w:lang w:eastAsia="en-US"/>
              </w:rPr>
            </w:pPr>
            <w:r>
              <w:rPr>
                <w:sz w:val="28"/>
                <w:szCs w:val="28"/>
                <w:lang w:eastAsia="en-US"/>
              </w:rPr>
              <w:t>15. panta 2. punkta e) apakšpunkts</w:t>
            </w:r>
          </w:p>
        </w:tc>
        <w:tc>
          <w:tcPr>
            <w:tcW w:w="1000" w:type="pct"/>
            <w:tcBorders>
              <w:top w:val="outset" w:sz="6" w:space="0" w:color="auto"/>
              <w:left w:val="outset" w:sz="6" w:space="0" w:color="auto"/>
              <w:bottom w:val="outset" w:sz="6" w:space="0" w:color="auto"/>
              <w:right w:val="outset" w:sz="6" w:space="0" w:color="auto"/>
            </w:tcBorders>
            <w:hideMark/>
          </w:tcPr>
          <w:p w:rsidR="0056090C" w:rsidRDefault="0056090C" w:rsidP="00F027D3">
            <w:pPr>
              <w:pStyle w:val="NoSpacing"/>
              <w:rPr>
                <w:sz w:val="28"/>
                <w:szCs w:val="28"/>
                <w:lang w:eastAsia="en-US"/>
              </w:rPr>
            </w:pPr>
            <w:r>
              <w:rPr>
                <w:sz w:val="28"/>
                <w:szCs w:val="28"/>
                <w:lang w:eastAsia="en-US"/>
              </w:rPr>
              <w:t>31.5. apakšpunkts</w:t>
            </w:r>
          </w:p>
        </w:tc>
        <w:tc>
          <w:tcPr>
            <w:tcW w:w="1500" w:type="pct"/>
            <w:tcBorders>
              <w:top w:val="outset" w:sz="6" w:space="0" w:color="auto"/>
              <w:left w:val="outset" w:sz="6" w:space="0" w:color="auto"/>
              <w:bottom w:val="outset" w:sz="6" w:space="0" w:color="auto"/>
              <w:right w:val="outset" w:sz="6" w:space="0" w:color="auto"/>
            </w:tcBorders>
            <w:hideMark/>
          </w:tcPr>
          <w:p w:rsidR="0056090C" w:rsidRDefault="0056090C" w:rsidP="00F027D3">
            <w:pPr>
              <w:pStyle w:val="NoSpacing"/>
              <w:rPr>
                <w:sz w:val="28"/>
                <w:szCs w:val="28"/>
                <w:lang w:eastAsia="en-US"/>
              </w:rPr>
            </w:pPr>
            <w:r>
              <w:rPr>
                <w:sz w:val="28"/>
                <w:szCs w:val="28"/>
                <w:lang w:eastAsia="en-US"/>
              </w:rPr>
              <w:t>Pārņemts pilnībā</w:t>
            </w:r>
          </w:p>
        </w:tc>
        <w:tc>
          <w:tcPr>
            <w:tcW w:w="1500" w:type="pct"/>
            <w:tcBorders>
              <w:top w:val="outset" w:sz="6" w:space="0" w:color="auto"/>
              <w:left w:val="outset" w:sz="6" w:space="0" w:color="auto"/>
              <w:bottom w:val="outset" w:sz="6" w:space="0" w:color="auto"/>
              <w:right w:val="outset" w:sz="6" w:space="0" w:color="auto"/>
            </w:tcBorders>
            <w:hideMark/>
          </w:tcPr>
          <w:p w:rsidR="0056090C" w:rsidRDefault="0056090C" w:rsidP="00F027D3">
            <w:pPr>
              <w:pStyle w:val="NoSpacing"/>
              <w:rPr>
                <w:sz w:val="28"/>
                <w:szCs w:val="28"/>
                <w:lang w:eastAsia="en-US"/>
              </w:rPr>
            </w:pPr>
            <w:r>
              <w:rPr>
                <w:sz w:val="28"/>
                <w:szCs w:val="28"/>
                <w:lang w:eastAsia="en-US"/>
              </w:rPr>
              <w:t xml:space="preserve">MK noteikumu </w:t>
            </w:r>
            <w:r w:rsidRPr="007E5078">
              <w:rPr>
                <w:sz w:val="28"/>
                <w:szCs w:val="28"/>
                <w:lang w:eastAsia="en-US"/>
              </w:rPr>
              <w:t xml:space="preserve">31. </w:t>
            </w:r>
            <w:r>
              <w:rPr>
                <w:sz w:val="28"/>
                <w:szCs w:val="28"/>
                <w:lang w:eastAsia="en-US"/>
              </w:rPr>
              <w:t>5. apakš</w:t>
            </w:r>
            <w:r w:rsidRPr="007E5078">
              <w:rPr>
                <w:sz w:val="28"/>
                <w:szCs w:val="28"/>
                <w:lang w:eastAsia="en-US"/>
              </w:rPr>
              <w:t>punkts neparedz stingrākas prasības nekā direktīvā noteikts.</w:t>
            </w:r>
          </w:p>
        </w:tc>
      </w:tr>
      <w:tr w:rsidR="0056090C" w:rsidRPr="007E5078">
        <w:tc>
          <w:tcPr>
            <w:tcW w:w="1000" w:type="pct"/>
            <w:tcBorders>
              <w:top w:val="outset" w:sz="6" w:space="0" w:color="auto"/>
              <w:left w:val="outset" w:sz="6" w:space="0" w:color="auto"/>
              <w:bottom w:val="outset" w:sz="6" w:space="0" w:color="auto"/>
              <w:right w:val="outset" w:sz="6" w:space="0" w:color="auto"/>
            </w:tcBorders>
            <w:hideMark/>
          </w:tcPr>
          <w:p w:rsidR="0056090C" w:rsidRPr="007E5078" w:rsidRDefault="0056090C" w:rsidP="00D1099A">
            <w:pPr>
              <w:pStyle w:val="NoSpacing"/>
              <w:rPr>
                <w:sz w:val="28"/>
                <w:szCs w:val="28"/>
                <w:lang w:eastAsia="en-US"/>
              </w:rPr>
            </w:pPr>
            <w:r w:rsidRPr="007E5078">
              <w:rPr>
                <w:sz w:val="28"/>
                <w:szCs w:val="28"/>
                <w:lang w:eastAsia="en-US"/>
              </w:rPr>
              <w:t>1. panta otrā daļa</w:t>
            </w:r>
          </w:p>
        </w:tc>
        <w:tc>
          <w:tcPr>
            <w:tcW w:w="1000" w:type="pct"/>
            <w:tcBorders>
              <w:top w:val="outset" w:sz="6" w:space="0" w:color="auto"/>
              <w:left w:val="outset" w:sz="6" w:space="0" w:color="auto"/>
              <w:bottom w:val="outset" w:sz="6" w:space="0" w:color="auto"/>
              <w:right w:val="outset" w:sz="6" w:space="0" w:color="auto"/>
            </w:tcBorders>
            <w:hideMark/>
          </w:tcPr>
          <w:p w:rsidR="0056090C" w:rsidRPr="007E5078" w:rsidRDefault="0056090C" w:rsidP="00D1099A">
            <w:pPr>
              <w:pStyle w:val="NoSpacing"/>
              <w:rPr>
                <w:sz w:val="28"/>
                <w:szCs w:val="28"/>
                <w:lang w:eastAsia="en-US"/>
              </w:rPr>
            </w:pPr>
            <w:r w:rsidRPr="007E5078">
              <w:rPr>
                <w:sz w:val="28"/>
                <w:szCs w:val="28"/>
                <w:lang w:eastAsia="en-US"/>
              </w:rPr>
              <w:t>37. punkts</w:t>
            </w:r>
          </w:p>
        </w:tc>
        <w:tc>
          <w:tcPr>
            <w:tcW w:w="1500" w:type="pct"/>
            <w:tcBorders>
              <w:top w:val="outset" w:sz="6" w:space="0" w:color="auto"/>
              <w:left w:val="outset" w:sz="6" w:space="0" w:color="auto"/>
              <w:bottom w:val="outset" w:sz="6" w:space="0" w:color="auto"/>
              <w:right w:val="outset" w:sz="6" w:space="0" w:color="auto"/>
            </w:tcBorders>
            <w:hideMark/>
          </w:tcPr>
          <w:p w:rsidR="0056090C" w:rsidRPr="007E5078" w:rsidRDefault="0056090C" w:rsidP="00D1099A">
            <w:pPr>
              <w:pStyle w:val="NoSpacing"/>
              <w:rPr>
                <w:sz w:val="28"/>
                <w:szCs w:val="28"/>
                <w:lang w:eastAsia="en-US"/>
              </w:rPr>
            </w:pPr>
            <w:r>
              <w:rPr>
                <w:sz w:val="28"/>
                <w:szCs w:val="28"/>
                <w:lang w:eastAsia="en-US"/>
              </w:rPr>
              <w:t>Pārņemts pilnībā</w:t>
            </w:r>
          </w:p>
        </w:tc>
        <w:tc>
          <w:tcPr>
            <w:tcW w:w="1500" w:type="pct"/>
            <w:tcBorders>
              <w:top w:val="outset" w:sz="6" w:space="0" w:color="auto"/>
              <w:left w:val="outset" w:sz="6" w:space="0" w:color="auto"/>
              <w:bottom w:val="outset" w:sz="6" w:space="0" w:color="auto"/>
              <w:right w:val="outset" w:sz="6" w:space="0" w:color="auto"/>
            </w:tcBorders>
            <w:hideMark/>
          </w:tcPr>
          <w:p w:rsidR="0056090C" w:rsidRPr="007E5078" w:rsidRDefault="0056090C" w:rsidP="00D1099A">
            <w:pPr>
              <w:pStyle w:val="NoSpacing"/>
              <w:rPr>
                <w:sz w:val="28"/>
                <w:szCs w:val="28"/>
                <w:lang w:eastAsia="en-US"/>
              </w:rPr>
            </w:pPr>
            <w:r>
              <w:rPr>
                <w:sz w:val="28"/>
                <w:szCs w:val="28"/>
                <w:lang w:eastAsia="en-US"/>
              </w:rPr>
              <w:t xml:space="preserve">MK noteikumu </w:t>
            </w:r>
            <w:r w:rsidRPr="007E5078">
              <w:rPr>
                <w:sz w:val="28"/>
                <w:szCs w:val="28"/>
                <w:lang w:eastAsia="en-US"/>
              </w:rPr>
              <w:t>37. punkts neparedz stingrākas prasības nekā direktīvā noteikts.</w:t>
            </w:r>
          </w:p>
        </w:tc>
      </w:tr>
      <w:tr w:rsidR="0056090C" w:rsidRPr="007E5078">
        <w:tc>
          <w:tcPr>
            <w:tcW w:w="1000" w:type="pct"/>
            <w:tcBorders>
              <w:top w:val="outset" w:sz="6" w:space="0" w:color="auto"/>
              <w:left w:val="outset" w:sz="6" w:space="0" w:color="auto"/>
              <w:bottom w:val="outset" w:sz="6" w:space="0" w:color="auto"/>
              <w:right w:val="outset" w:sz="6" w:space="0" w:color="auto"/>
            </w:tcBorders>
            <w:hideMark/>
          </w:tcPr>
          <w:p w:rsidR="0056090C" w:rsidRPr="007E5078" w:rsidRDefault="0056090C" w:rsidP="00D1099A">
            <w:pPr>
              <w:pStyle w:val="NoSpacing"/>
              <w:rPr>
                <w:sz w:val="28"/>
                <w:szCs w:val="28"/>
                <w:lang w:eastAsia="en-US"/>
              </w:rPr>
            </w:pPr>
            <w:r w:rsidRPr="007E5078">
              <w:rPr>
                <w:sz w:val="28"/>
                <w:szCs w:val="28"/>
                <w:lang w:eastAsia="en-US"/>
              </w:rPr>
              <w:t>Cita informācija</w:t>
            </w:r>
          </w:p>
        </w:tc>
        <w:tc>
          <w:tcPr>
            <w:tcW w:w="4000" w:type="pct"/>
            <w:gridSpan w:val="3"/>
            <w:tcBorders>
              <w:top w:val="outset" w:sz="6" w:space="0" w:color="auto"/>
              <w:left w:val="outset" w:sz="6" w:space="0" w:color="auto"/>
              <w:bottom w:val="outset" w:sz="6" w:space="0" w:color="auto"/>
              <w:right w:val="outset" w:sz="6" w:space="0" w:color="auto"/>
            </w:tcBorders>
            <w:hideMark/>
          </w:tcPr>
          <w:p w:rsidR="0056090C" w:rsidRPr="007E5078" w:rsidRDefault="0056090C" w:rsidP="00D1099A">
            <w:pPr>
              <w:pStyle w:val="NoSpacing"/>
              <w:rPr>
                <w:sz w:val="28"/>
                <w:szCs w:val="28"/>
                <w:lang w:eastAsia="en-US"/>
              </w:rPr>
            </w:pPr>
            <w:r w:rsidRPr="007E5078">
              <w:rPr>
                <w:sz w:val="28"/>
                <w:szCs w:val="28"/>
                <w:lang w:eastAsia="en-US"/>
              </w:rPr>
              <w:t>Nav</w:t>
            </w:r>
          </w:p>
        </w:tc>
      </w:tr>
    </w:tbl>
    <w:p w:rsidR="00824A28" w:rsidRPr="007E5078" w:rsidRDefault="00824A28" w:rsidP="00D1099A">
      <w:pPr>
        <w:pStyle w:val="NoSpacing"/>
        <w:rPr>
          <w:vanish/>
          <w:sz w:val="28"/>
          <w:szCs w:val="28"/>
          <w:lang w:eastAsia="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00"/>
        <w:gridCol w:w="3105"/>
        <w:gridCol w:w="3926"/>
      </w:tblGrid>
      <w:tr w:rsidR="00824A28" w:rsidRPr="007E5078">
        <w:trPr>
          <w:trHeight w:val="15"/>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24A28" w:rsidRPr="007E5078" w:rsidRDefault="00824A28" w:rsidP="00CE0924">
            <w:pPr>
              <w:pStyle w:val="NoSpacing"/>
              <w:jc w:val="center"/>
              <w:rPr>
                <w:b/>
                <w:sz w:val="28"/>
                <w:szCs w:val="28"/>
                <w:lang w:eastAsia="en-US"/>
              </w:rPr>
            </w:pPr>
            <w:r w:rsidRPr="007E5078">
              <w:rPr>
                <w:b/>
                <w:sz w:val="28"/>
                <w:szCs w:val="28"/>
                <w:lang w:eastAsia="en-US"/>
              </w:rPr>
              <w:t>2.tabula</w:t>
            </w:r>
            <w:r w:rsidRPr="007E5078">
              <w:rPr>
                <w:b/>
                <w:sz w:val="28"/>
                <w:szCs w:val="28"/>
                <w:lang w:eastAsia="en-US"/>
              </w:rPr>
              <w:br/>
              <w:t>Ar tiesību akta projektu izpildītās vai uzņemtās saistības, kas izriet no starptautiskajiem tiesību aktiem vai starptautiskas institūcijas vai organizācijas dokumentiem.</w:t>
            </w:r>
            <w:r w:rsidRPr="007E5078">
              <w:rPr>
                <w:b/>
                <w:sz w:val="28"/>
                <w:szCs w:val="28"/>
                <w:lang w:eastAsia="en-US"/>
              </w:rPr>
              <w:br/>
              <w:t>Pasākumi šo saistību izpildei</w:t>
            </w:r>
          </w:p>
        </w:tc>
      </w:tr>
      <w:tr w:rsidR="00824A28" w:rsidRPr="007E5078">
        <w:trPr>
          <w:trHeight w:val="15"/>
        </w:trPr>
        <w:tc>
          <w:tcPr>
            <w:tcW w:w="1150" w:type="pct"/>
            <w:tcBorders>
              <w:top w:val="outset" w:sz="6" w:space="0" w:color="auto"/>
              <w:left w:val="outset" w:sz="6" w:space="0" w:color="auto"/>
              <w:bottom w:val="outset" w:sz="6" w:space="0" w:color="auto"/>
              <w:right w:val="outset" w:sz="6" w:space="0" w:color="auto"/>
            </w:tcBorders>
            <w:vAlign w:val="center"/>
            <w:hideMark/>
          </w:tcPr>
          <w:p w:rsidR="00824A28" w:rsidRPr="007E5078" w:rsidRDefault="00824A28" w:rsidP="00D1099A">
            <w:pPr>
              <w:pStyle w:val="NoSpacing"/>
              <w:rPr>
                <w:sz w:val="28"/>
                <w:szCs w:val="28"/>
                <w:lang w:eastAsia="en-US"/>
              </w:rPr>
            </w:pPr>
            <w:r w:rsidRPr="007E5078">
              <w:rPr>
                <w:sz w:val="28"/>
                <w:szCs w:val="28"/>
                <w:lang w:eastAsia="en-US"/>
              </w:rPr>
              <w:t xml:space="preserve">Attiecīgā starptautiskā tiesību akta vai starptautiskas </w:t>
            </w:r>
            <w:r w:rsidRPr="007E5078">
              <w:rPr>
                <w:sz w:val="28"/>
                <w:szCs w:val="28"/>
                <w:lang w:eastAsia="en-US"/>
              </w:rPr>
              <w:lastRenderedPageBreak/>
              <w:t>institūcijas vai organizācijas dokumenta (turpmāk – starptautiskais dokuments) datums, numurs un nosaukums</w:t>
            </w:r>
          </w:p>
        </w:tc>
        <w:tc>
          <w:tcPr>
            <w:tcW w:w="3850" w:type="pct"/>
            <w:gridSpan w:val="2"/>
            <w:tcBorders>
              <w:top w:val="outset" w:sz="6" w:space="0" w:color="auto"/>
              <w:left w:val="outset" w:sz="6" w:space="0" w:color="auto"/>
              <w:bottom w:val="outset" w:sz="6" w:space="0" w:color="auto"/>
              <w:right w:val="outset" w:sz="6" w:space="0" w:color="auto"/>
            </w:tcBorders>
            <w:hideMark/>
          </w:tcPr>
          <w:p w:rsidR="00824A28" w:rsidRPr="007E5078" w:rsidRDefault="001E5E95" w:rsidP="00D1099A">
            <w:pPr>
              <w:pStyle w:val="NoSpacing"/>
              <w:rPr>
                <w:sz w:val="28"/>
                <w:szCs w:val="28"/>
                <w:lang w:eastAsia="en-US"/>
              </w:rPr>
            </w:pPr>
            <w:r w:rsidRPr="007E5078">
              <w:rPr>
                <w:sz w:val="28"/>
                <w:szCs w:val="28"/>
              </w:rPr>
              <w:lastRenderedPageBreak/>
              <w:t>PVO/ UNICEF Starptautiskais kodekss par mātes piena aizstājēju tirdzniecību (Pasaules Veselības Asambleja, 1981. gada 21. maijs)</w:t>
            </w:r>
          </w:p>
        </w:tc>
      </w:tr>
      <w:tr w:rsidR="00824A28" w:rsidRPr="007E5078" w:rsidTr="00824A28">
        <w:trPr>
          <w:trHeight w:val="15"/>
        </w:trPr>
        <w:tc>
          <w:tcPr>
            <w:tcW w:w="1150" w:type="pct"/>
            <w:tcBorders>
              <w:top w:val="outset" w:sz="6" w:space="0" w:color="auto"/>
              <w:left w:val="outset" w:sz="6" w:space="0" w:color="auto"/>
              <w:bottom w:val="outset" w:sz="6" w:space="0" w:color="auto"/>
              <w:right w:val="outset" w:sz="6" w:space="0" w:color="auto"/>
            </w:tcBorders>
            <w:vAlign w:val="center"/>
            <w:hideMark/>
          </w:tcPr>
          <w:p w:rsidR="00824A28" w:rsidRPr="007E5078" w:rsidRDefault="00824A28" w:rsidP="00D1099A">
            <w:pPr>
              <w:pStyle w:val="NoSpacing"/>
              <w:rPr>
                <w:sz w:val="28"/>
                <w:szCs w:val="28"/>
                <w:lang w:eastAsia="en-US"/>
              </w:rPr>
            </w:pPr>
            <w:r w:rsidRPr="007E5078">
              <w:rPr>
                <w:sz w:val="28"/>
                <w:szCs w:val="28"/>
                <w:lang w:eastAsia="en-US"/>
              </w:rPr>
              <w:lastRenderedPageBreak/>
              <w:t>A</w:t>
            </w:r>
          </w:p>
        </w:tc>
        <w:tc>
          <w:tcPr>
            <w:tcW w:w="1700" w:type="pct"/>
            <w:tcBorders>
              <w:top w:val="outset" w:sz="6" w:space="0" w:color="auto"/>
              <w:left w:val="outset" w:sz="6" w:space="0" w:color="auto"/>
              <w:bottom w:val="outset" w:sz="6" w:space="0" w:color="auto"/>
              <w:right w:val="outset" w:sz="6" w:space="0" w:color="auto"/>
            </w:tcBorders>
            <w:vAlign w:val="center"/>
            <w:hideMark/>
          </w:tcPr>
          <w:p w:rsidR="00824A28" w:rsidRPr="007E5078" w:rsidRDefault="00824A28" w:rsidP="00D1099A">
            <w:pPr>
              <w:pStyle w:val="NoSpacing"/>
              <w:rPr>
                <w:sz w:val="28"/>
                <w:szCs w:val="28"/>
                <w:lang w:eastAsia="en-US"/>
              </w:rPr>
            </w:pPr>
            <w:r w:rsidRPr="007E5078">
              <w:rPr>
                <w:sz w:val="28"/>
                <w:szCs w:val="28"/>
                <w:lang w:eastAsia="en-US"/>
              </w:rPr>
              <w:t>B</w:t>
            </w:r>
          </w:p>
        </w:tc>
        <w:tc>
          <w:tcPr>
            <w:tcW w:w="2150" w:type="pct"/>
            <w:tcBorders>
              <w:top w:val="outset" w:sz="6" w:space="0" w:color="auto"/>
              <w:left w:val="outset" w:sz="6" w:space="0" w:color="auto"/>
              <w:bottom w:val="outset" w:sz="6" w:space="0" w:color="auto"/>
              <w:right w:val="outset" w:sz="6" w:space="0" w:color="auto"/>
            </w:tcBorders>
            <w:vAlign w:val="center"/>
            <w:hideMark/>
          </w:tcPr>
          <w:p w:rsidR="00824A28" w:rsidRPr="007E5078" w:rsidRDefault="00824A28" w:rsidP="00D1099A">
            <w:pPr>
              <w:pStyle w:val="NoSpacing"/>
              <w:rPr>
                <w:sz w:val="28"/>
                <w:szCs w:val="28"/>
                <w:lang w:eastAsia="en-US"/>
              </w:rPr>
            </w:pPr>
            <w:r w:rsidRPr="007E5078">
              <w:rPr>
                <w:sz w:val="28"/>
                <w:szCs w:val="28"/>
                <w:lang w:eastAsia="en-US"/>
              </w:rPr>
              <w:t>C</w:t>
            </w:r>
          </w:p>
        </w:tc>
      </w:tr>
      <w:tr w:rsidR="00824A28" w:rsidRPr="007E5078" w:rsidTr="00824A28">
        <w:trPr>
          <w:trHeight w:val="15"/>
        </w:trPr>
        <w:tc>
          <w:tcPr>
            <w:tcW w:w="1150" w:type="pct"/>
            <w:tcBorders>
              <w:top w:val="outset" w:sz="6" w:space="0" w:color="auto"/>
              <w:left w:val="outset" w:sz="6" w:space="0" w:color="auto"/>
              <w:bottom w:val="outset" w:sz="6" w:space="0" w:color="auto"/>
              <w:right w:val="outset" w:sz="6" w:space="0" w:color="auto"/>
            </w:tcBorders>
            <w:hideMark/>
          </w:tcPr>
          <w:p w:rsidR="00824A28" w:rsidRPr="007E5078" w:rsidRDefault="00824A28" w:rsidP="00D1099A">
            <w:pPr>
              <w:pStyle w:val="NoSpacing"/>
              <w:rPr>
                <w:sz w:val="28"/>
                <w:szCs w:val="28"/>
                <w:lang w:eastAsia="en-US"/>
              </w:rPr>
            </w:pPr>
            <w:r w:rsidRPr="007E5078">
              <w:rPr>
                <w:sz w:val="28"/>
                <w:szCs w:val="28"/>
                <w:lang w:eastAsia="en-US"/>
              </w:rPr>
              <w:t xml:space="preserve">Starptautiskās saistības (pēc būtības), kas izriet no norādītā starptautiskā dokumenta. </w:t>
            </w:r>
          </w:p>
          <w:p w:rsidR="00824A28" w:rsidRPr="007E5078" w:rsidRDefault="00824A28" w:rsidP="00D1099A">
            <w:pPr>
              <w:pStyle w:val="NoSpacing"/>
              <w:rPr>
                <w:sz w:val="28"/>
                <w:szCs w:val="28"/>
                <w:lang w:eastAsia="en-US"/>
              </w:rPr>
            </w:pPr>
            <w:r w:rsidRPr="007E5078">
              <w:rPr>
                <w:sz w:val="28"/>
                <w:szCs w:val="28"/>
                <w:lang w:eastAsia="en-US"/>
              </w:rPr>
              <w:t>Konkrēti veicamie pasākumi vai uzdevumi, kas nepieciešami šo starptautisko saistību izpildei</w:t>
            </w:r>
          </w:p>
        </w:tc>
        <w:tc>
          <w:tcPr>
            <w:tcW w:w="1700" w:type="pct"/>
            <w:tcBorders>
              <w:top w:val="outset" w:sz="6" w:space="0" w:color="auto"/>
              <w:left w:val="outset" w:sz="6" w:space="0" w:color="auto"/>
              <w:bottom w:val="outset" w:sz="6" w:space="0" w:color="auto"/>
              <w:right w:val="outset" w:sz="6" w:space="0" w:color="auto"/>
            </w:tcBorders>
            <w:hideMark/>
          </w:tcPr>
          <w:p w:rsidR="00824A28" w:rsidRPr="007E5078" w:rsidRDefault="00824A28" w:rsidP="00D1099A">
            <w:pPr>
              <w:pStyle w:val="NoSpacing"/>
              <w:rPr>
                <w:sz w:val="28"/>
                <w:szCs w:val="28"/>
                <w:lang w:eastAsia="en-US"/>
              </w:rPr>
            </w:pPr>
            <w:r w:rsidRPr="007E5078">
              <w:rPr>
                <w:sz w:val="28"/>
                <w:szCs w:val="28"/>
                <w:lang w:eastAsia="en-US"/>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150" w:type="pct"/>
            <w:tcBorders>
              <w:top w:val="outset" w:sz="6" w:space="0" w:color="auto"/>
              <w:left w:val="outset" w:sz="6" w:space="0" w:color="auto"/>
              <w:bottom w:val="outset" w:sz="6" w:space="0" w:color="auto"/>
              <w:right w:val="outset" w:sz="6" w:space="0" w:color="auto"/>
            </w:tcBorders>
            <w:hideMark/>
          </w:tcPr>
          <w:p w:rsidR="00824A28" w:rsidRPr="007E5078" w:rsidRDefault="00824A28" w:rsidP="00D1099A">
            <w:pPr>
              <w:pStyle w:val="NoSpacing"/>
              <w:rPr>
                <w:sz w:val="28"/>
                <w:szCs w:val="28"/>
                <w:lang w:eastAsia="en-US"/>
              </w:rPr>
            </w:pPr>
            <w:r w:rsidRPr="007E5078">
              <w:rPr>
                <w:sz w:val="28"/>
                <w:szCs w:val="28"/>
                <w:lang w:eastAsia="en-US"/>
              </w:rPr>
              <w:t xml:space="preserve">Informācija par to, vai starptautiskās saistības, kas minētas šīs tabulas A ailē, tiek izpildītas pilnībā vai daļēji. </w:t>
            </w:r>
          </w:p>
          <w:p w:rsidR="00824A28" w:rsidRPr="007E5078" w:rsidRDefault="00824A28" w:rsidP="00D1099A">
            <w:pPr>
              <w:pStyle w:val="NoSpacing"/>
              <w:rPr>
                <w:sz w:val="28"/>
                <w:szCs w:val="28"/>
                <w:lang w:eastAsia="en-US"/>
              </w:rPr>
            </w:pPr>
            <w:r w:rsidRPr="007E5078">
              <w:rPr>
                <w:sz w:val="28"/>
                <w:szCs w:val="28"/>
                <w:lang w:eastAsia="en-US"/>
              </w:rPr>
              <w:t>Ja attiecīgās starptautiskās saistības tiek izpildītas daļēji, sniedz attiecīgu skaidrojumu, kā arī precīzi norāda, kad un kādā veidā starptautiskās saistības tiks izpildītas pilnībā.</w:t>
            </w:r>
          </w:p>
          <w:p w:rsidR="00824A28" w:rsidRPr="007E5078" w:rsidRDefault="00824A28" w:rsidP="00D1099A">
            <w:pPr>
              <w:pStyle w:val="NoSpacing"/>
              <w:rPr>
                <w:sz w:val="28"/>
                <w:szCs w:val="28"/>
                <w:lang w:eastAsia="en-US"/>
              </w:rPr>
            </w:pPr>
            <w:r w:rsidRPr="007E5078">
              <w:rPr>
                <w:sz w:val="28"/>
                <w:szCs w:val="28"/>
                <w:lang w:eastAsia="en-US"/>
              </w:rPr>
              <w:t>Norāda institūciju, kas ir atbildīga par šo saistību izpildi pilnībā</w:t>
            </w:r>
          </w:p>
        </w:tc>
      </w:tr>
      <w:tr w:rsidR="00824A28" w:rsidRPr="007E5078" w:rsidTr="00824A28">
        <w:trPr>
          <w:trHeight w:val="15"/>
        </w:trPr>
        <w:tc>
          <w:tcPr>
            <w:tcW w:w="1150" w:type="pct"/>
            <w:tcBorders>
              <w:top w:val="outset" w:sz="6" w:space="0" w:color="auto"/>
              <w:left w:val="outset" w:sz="6" w:space="0" w:color="auto"/>
              <w:bottom w:val="outset" w:sz="6" w:space="0" w:color="auto"/>
              <w:right w:val="outset" w:sz="6" w:space="0" w:color="auto"/>
            </w:tcBorders>
            <w:hideMark/>
          </w:tcPr>
          <w:p w:rsidR="00824A28" w:rsidRPr="007E5078" w:rsidRDefault="00EE6BA7" w:rsidP="00D1099A">
            <w:pPr>
              <w:pStyle w:val="NoSpacing"/>
              <w:rPr>
                <w:sz w:val="28"/>
                <w:szCs w:val="28"/>
                <w:lang w:eastAsia="en-US"/>
              </w:rPr>
            </w:pPr>
            <w:r w:rsidRPr="007E5078">
              <w:rPr>
                <w:sz w:val="28"/>
                <w:szCs w:val="28"/>
                <w:lang w:eastAsia="en-US"/>
              </w:rPr>
              <w:t>11.6.apakšpunkts</w:t>
            </w:r>
          </w:p>
        </w:tc>
        <w:tc>
          <w:tcPr>
            <w:tcW w:w="1700" w:type="pct"/>
            <w:tcBorders>
              <w:top w:val="outset" w:sz="6" w:space="0" w:color="auto"/>
              <w:left w:val="outset" w:sz="6" w:space="0" w:color="auto"/>
              <w:bottom w:val="outset" w:sz="6" w:space="0" w:color="auto"/>
              <w:right w:val="outset" w:sz="6" w:space="0" w:color="auto"/>
            </w:tcBorders>
            <w:hideMark/>
          </w:tcPr>
          <w:p w:rsidR="00824A28" w:rsidRPr="007E5078" w:rsidRDefault="00EE6BA7" w:rsidP="00D1099A">
            <w:pPr>
              <w:pStyle w:val="NoSpacing"/>
              <w:rPr>
                <w:sz w:val="28"/>
                <w:szCs w:val="28"/>
                <w:lang w:eastAsia="en-US"/>
              </w:rPr>
            </w:pPr>
            <w:r w:rsidRPr="007E5078">
              <w:rPr>
                <w:sz w:val="28"/>
                <w:szCs w:val="28"/>
                <w:lang w:eastAsia="en-US"/>
              </w:rPr>
              <w:t>37.punkts</w:t>
            </w:r>
          </w:p>
        </w:tc>
        <w:tc>
          <w:tcPr>
            <w:tcW w:w="2150" w:type="pct"/>
            <w:tcBorders>
              <w:top w:val="outset" w:sz="6" w:space="0" w:color="auto"/>
              <w:left w:val="outset" w:sz="6" w:space="0" w:color="auto"/>
              <w:bottom w:val="outset" w:sz="6" w:space="0" w:color="auto"/>
              <w:right w:val="outset" w:sz="6" w:space="0" w:color="auto"/>
            </w:tcBorders>
            <w:hideMark/>
          </w:tcPr>
          <w:p w:rsidR="00824A28" w:rsidRPr="007E5078" w:rsidRDefault="00982662" w:rsidP="00D1099A">
            <w:pPr>
              <w:pStyle w:val="NoSpacing"/>
              <w:rPr>
                <w:sz w:val="28"/>
                <w:szCs w:val="28"/>
                <w:lang w:eastAsia="en-US"/>
              </w:rPr>
            </w:pPr>
            <w:r>
              <w:rPr>
                <w:sz w:val="28"/>
                <w:szCs w:val="28"/>
                <w:lang w:eastAsia="en-US"/>
              </w:rPr>
              <w:t>Pārņemts pilnībā</w:t>
            </w:r>
          </w:p>
        </w:tc>
      </w:tr>
      <w:tr w:rsidR="00824A28" w:rsidRPr="007E5078">
        <w:trPr>
          <w:trHeight w:val="15"/>
        </w:trPr>
        <w:tc>
          <w:tcPr>
            <w:tcW w:w="1150" w:type="pct"/>
            <w:tcBorders>
              <w:top w:val="outset" w:sz="6" w:space="0" w:color="auto"/>
              <w:left w:val="outset" w:sz="6" w:space="0" w:color="auto"/>
              <w:bottom w:val="outset" w:sz="6" w:space="0" w:color="auto"/>
              <w:right w:val="outset" w:sz="6" w:space="0" w:color="auto"/>
            </w:tcBorders>
            <w:hideMark/>
          </w:tcPr>
          <w:p w:rsidR="00824A28" w:rsidRPr="007E5078" w:rsidRDefault="00824A28" w:rsidP="00D1099A">
            <w:pPr>
              <w:pStyle w:val="NoSpacing"/>
              <w:rPr>
                <w:sz w:val="28"/>
                <w:szCs w:val="28"/>
                <w:lang w:eastAsia="en-US"/>
              </w:rPr>
            </w:pPr>
            <w:r w:rsidRPr="007E5078">
              <w:rPr>
                <w:sz w:val="28"/>
                <w:szCs w:val="28"/>
                <w:lang w:eastAsia="en-US"/>
              </w:rPr>
              <w:t>Cita informācija</w:t>
            </w:r>
          </w:p>
        </w:tc>
        <w:tc>
          <w:tcPr>
            <w:tcW w:w="3850" w:type="pct"/>
            <w:gridSpan w:val="2"/>
            <w:tcBorders>
              <w:top w:val="outset" w:sz="6" w:space="0" w:color="auto"/>
              <w:left w:val="outset" w:sz="6" w:space="0" w:color="auto"/>
              <w:bottom w:val="outset" w:sz="6" w:space="0" w:color="auto"/>
              <w:right w:val="outset" w:sz="6" w:space="0" w:color="auto"/>
            </w:tcBorders>
            <w:hideMark/>
          </w:tcPr>
          <w:p w:rsidR="00824A28" w:rsidRPr="007E5078" w:rsidRDefault="00D23D10" w:rsidP="00D1099A">
            <w:pPr>
              <w:pStyle w:val="NoSpacing"/>
              <w:rPr>
                <w:sz w:val="28"/>
                <w:szCs w:val="28"/>
                <w:lang w:eastAsia="en-US"/>
              </w:rPr>
            </w:pPr>
            <w:r w:rsidRPr="007E5078">
              <w:rPr>
                <w:sz w:val="28"/>
                <w:szCs w:val="28"/>
                <w:lang w:eastAsia="en-US"/>
              </w:rPr>
              <w:t>Nav</w:t>
            </w:r>
          </w:p>
        </w:tc>
      </w:tr>
    </w:tbl>
    <w:p w:rsidR="00824A28" w:rsidRPr="007E5078" w:rsidRDefault="00824A28" w:rsidP="00824A28">
      <w:pPr>
        <w:pStyle w:val="naisf"/>
        <w:spacing w:before="0" w:after="0"/>
        <w:ind w:firstLine="0"/>
        <w:jc w:val="center"/>
        <w:rPr>
          <w:color w:val="000000"/>
          <w:sz w:val="28"/>
          <w:szCs w:val="28"/>
        </w:rPr>
      </w:pPr>
    </w:p>
    <w:p w:rsidR="00824A28" w:rsidRPr="007E5078" w:rsidRDefault="00824A28" w:rsidP="00824A28">
      <w:pPr>
        <w:pStyle w:val="naisf"/>
        <w:spacing w:before="0" w:after="0"/>
        <w:ind w:firstLine="0"/>
        <w:jc w:val="center"/>
        <w:rPr>
          <w:i/>
          <w:color w:val="000000"/>
          <w:sz w:val="28"/>
          <w:szCs w:val="28"/>
        </w:rPr>
      </w:pPr>
      <w:r w:rsidRPr="007E5078">
        <w:rPr>
          <w:color w:val="000000"/>
          <w:sz w:val="28"/>
          <w:szCs w:val="28"/>
        </w:rPr>
        <w:t>V un VI sadaļa –</w:t>
      </w:r>
      <w:r w:rsidRPr="007E5078">
        <w:rPr>
          <w:i/>
          <w:color w:val="000000"/>
          <w:sz w:val="28"/>
          <w:szCs w:val="28"/>
        </w:rPr>
        <w:t xml:space="preserve"> projekts šīs jomas neskar.</w:t>
      </w:r>
    </w:p>
    <w:p w:rsidR="00824A28" w:rsidRPr="007E5078" w:rsidRDefault="00824A28" w:rsidP="001C31FD">
      <w:pPr>
        <w:rPr>
          <w:color w:val="000000"/>
          <w:sz w:val="28"/>
          <w:szCs w:val="28"/>
        </w:rPr>
      </w:pPr>
    </w:p>
    <w:tbl>
      <w:tblPr>
        <w:tblW w:w="5123" w:type="pct"/>
        <w:tblInd w:w="-11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3261"/>
        <w:gridCol w:w="6095"/>
      </w:tblGrid>
      <w:tr w:rsidR="001C31FD" w:rsidRPr="007E5078" w:rsidTr="001C31FD">
        <w:tc>
          <w:tcPr>
            <w:tcW w:w="9356" w:type="dxa"/>
            <w:gridSpan w:val="2"/>
            <w:tcBorders>
              <w:top w:val="single" w:sz="4" w:space="0" w:color="auto"/>
              <w:left w:val="outset" w:sz="6" w:space="0" w:color="auto"/>
              <w:bottom w:val="outset" w:sz="6" w:space="0" w:color="auto"/>
              <w:right w:val="outset" w:sz="6" w:space="0" w:color="auto"/>
            </w:tcBorders>
            <w:hideMark/>
          </w:tcPr>
          <w:p w:rsidR="001C31FD" w:rsidRPr="007E5078" w:rsidRDefault="001C31FD" w:rsidP="006D19A1">
            <w:pPr>
              <w:autoSpaceDE w:val="0"/>
              <w:autoSpaceDN w:val="0"/>
              <w:adjustRightInd w:val="0"/>
              <w:jc w:val="center"/>
              <w:rPr>
                <w:rFonts w:eastAsia="Calibri"/>
                <w:b/>
                <w:bCs/>
                <w:color w:val="000000"/>
                <w:sz w:val="28"/>
                <w:szCs w:val="28"/>
                <w:lang w:eastAsia="en-US"/>
              </w:rPr>
            </w:pPr>
            <w:r w:rsidRPr="007E5078">
              <w:rPr>
                <w:rFonts w:eastAsia="Calibri"/>
                <w:b/>
                <w:bCs/>
                <w:color w:val="000000"/>
                <w:sz w:val="28"/>
                <w:szCs w:val="28"/>
                <w:lang w:eastAsia="en-US"/>
              </w:rPr>
              <w:t>VII. Tiesību akta projekta izpildes nodrošināšana un tās ietekme uz institūcijām</w:t>
            </w:r>
          </w:p>
        </w:tc>
      </w:tr>
      <w:tr w:rsidR="001C31FD" w:rsidRPr="007E5078" w:rsidTr="00FD7E8F">
        <w:tc>
          <w:tcPr>
            <w:tcW w:w="3261" w:type="dxa"/>
            <w:tcBorders>
              <w:top w:val="outset" w:sz="6" w:space="0" w:color="auto"/>
              <w:left w:val="outset" w:sz="6" w:space="0" w:color="auto"/>
              <w:bottom w:val="outset" w:sz="6" w:space="0" w:color="auto"/>
              <w:right w:val="outset" w:sz="6" w:space="0" w:color="auto"/>
            </w:tcBorders>
            <w:hideMark/>
          </w:tcPr>
          <w:p w:rsidR="001C31FD" w:rsidRPr="007E5078" w:rsidRDefault="001C31FD" w:rsidP="001C31FD">
            <w:pPr>
              <w:autoSpaceDE w:val="0"/>
              <w:autoSpaceDN w:val="0"/>
              <w:adjustRightInd w:val="0"/>
              <w:rPr>
                <w:rFonts w:eastAsia="Calibri"/>
                <w:b/>
                <w:bCs/>
                <w:color w:val="000000"/>
                <w:sz w:val="28"/>
                <w:szCs w:val="28"/>
                <w:lang w:eastAsia="en-US"/>
              </w:rPr>
            </w:pPr>
            <w:r w:rsidRPr="007E5078">
              <w:rPr>
                <w:rFonts w:eastAsia="Calibri"/>
                <w:color w:val="000000"/>
                <w:sz w:val="28"/>
                <w:szCs w:val="28"/>
                <w:lang w:eastAsia="en-US"/>
              </w:rPr>
              <w:t>1. Projekta izpildē iesaistītās institūcijas</w:t>
            </w:r>
          </w:p>
        </w:tc>
        <w:tc>
          <w:tcPr>
            <w:tcW w:w="6095" w:type="dxa"/>
            <w:tcBorders>
              <w:top w:val="outset" w:sz="6" w:space="0" w:color="auto"/>
              <w:left w:val="outset" w:sz="6" w:space="0" w:color="auto"/>
              <w:bottom w:val="outset" w:sz="6" w:space="0" w:color="auto"/>
              <w:right w:val="outset" w:sz="6" w:space="0" w:color="auto"/>
            </w:tcBorders>
          </w:tcPr>
          <w:p w:rsidR="001C31FD" w:rsidRPr="007E5078" w:rsidRDefault="00216CD8" w:rsidP="001C31FD">
            <w:pPr>
              <w:autoSpaceDE w:val="0"/>
              <w:autoSpaceDN w:val="0"/>
              <w:adjustRightInd w:val="0"/>
              <w:jc w:val="both"/>
              <w:rPr>
                <w:rFonts w:eastAsia="Calibri"/>
                <w:bCs/>
                <w:color w:val="000000"/>
                <w:sz w:val="28"/>
                <w:szCs w:val="28"/>
                <w:lang w:eastAsia="en-US"/>
              </w:rPr>
            </w:pPr>
            <w:r w:rsidRPr="007E5078">
              <w:rPr>
                <w:rFonts w:eastAsia="Calibri"/>
                <w:bCs/>
                <w:color w:val="000000"/>
                <w:sz w:val="28"/>
                <w:szCs w:val="28"/>
                <w:lang w:eastAsia="en-US"/>
              </w:rPr>
              <w:t xml:space="preserve">VI un </w:t>
            </w:r>
            <w:r w:rsidR="00CA398D" w:rsidRPr="007E5078">
              <w:rPr>
                <w:rFonts w:eastAsia="Calibri"/>
                <w:bCs/>
                <w:color w:val="000000"/>
                <w:sz w:val="28"/>
                <w:szCs w:val="28"/>
                <w:lang w:eastAsia="en-US"/>
              </w:rPr>
              <w:t>SPKC</w:t>
            </w:r>
          </w:p>
        </w:tc>
      </w:tr>
      <w:tr w:rsidR="001C31FD" w:rsidRPr="007E5078" w:rsidTr="00FD7E8F">
        <w:tc>
          <w:tcPr>
            <w:tcW w:w="3261" w:type="dxa"/>
            <w:tcBorders>
              <w:top w:val="outset" w:sz="6" w:space="0" w:color="auto"/>
              <w:left w:val="outset" w:sz="6" w:space="0" w:color="auto"/>
              <w:bottom w:val="outset" w:sz="6" w:space="0" w:color="auto"/>
              <w:right w:val="outset" w:sz="6" w:space="0" w:color="auto"/>
            </w:tcBorders>
            <w:hideMark/>
          </w:tcPr>
          <w:p w:rsidR="001C31FD" w:rsidRPr="007E5078" w:rsidRDefault="001C31FD" w:rsidP="001C31FD">
            <w:pPr>
              <w:autoSpaceDE w:val="0"/>
              <w:autoSpaceDN w:val="0"/>
              <w:adjustRightInd w:val="0"/>
              <w:rPr>
                <w:rFonts w:eastAsia="Calibri"/>
                <w:b/>
                <w:bCs/>
                <w:color w:val="000000"/>
                <w:sz w:val="28"/>
                <w:szCs w:val="28"/>
                <w:lang w:eastAsia="en-US"/>
              </w:rPr>
            </w:pPr>
            <w:r w:rsidRPr="007E5078">
              <w:rPr>
                <w:rFonts w:eastAsia="Calibri"/>
                <w:color w:val="000000"/>
                <w:sz w:val="28"/>
                <w:szCs w:val="28"/>
                <w:lang w:eastAsia="en-US"/>
              </w:rPr>
              <w:t>2. Projekta izpildes ietekme uz pārvaldes funkcijām</w:t>
            </w:r>
          </w:p>
        </w:tc>
        <w:tc>
          <w:tcPr>
            <w:tcW w:w="6095" w:type="dxa"/>
            <w:tcBorders>
              <w:top w:val="outset" w:sz="6" w:space="0" w:color="auto"/>
              <w:left w:val="outset" w:sz="6" w:space="0" w:color="auto"/>
              <w:bottom w:val="outset" w:sz="6" w:space="0" w:color="auto"/>
              <w:right w:val="outset" w:sz="6" w:space="0" w:color="auto"/>
            </w:tcBorders>
          </w:tcPr>
          <w:p w:rsidR="001C31FD" w:rsidRPr="007E5078" w:rsidRDefault="0017006E" w:rsidP="007E3847">
            <w:pPr>
              <w:pStyle w:val="naiskr"/>
              <w:spacing w:before="0" w:after="0"/>
              <w:jc w:val="both"/>
              <w:rPr>
                <w:bCs/>
                <w:color w:val="000000"/>
                <w:sz w:val="28"/>
                <w:szCs w:val="28"/>
                <w:lang w:eastAsia="en-US"/>
              </w:rPr>
            </w:pPr>
            <w:r w:rsidRPr="007E5078">
              <w:rPr>
                <w:color w:val="000000"/>
                <w:sz w:val="28"/>
                <w:szCs w:val="28"/>
              </w:rPr>
              <w:t>Noteikumu projekts šo jomu neskar</w:t>
            </w:r>
          </w:p>
        </w:tc>
      </w:tr>
      <w:tr w:rsidR="001C31FD" w:rsidRPr="007E5078" w:rsidTr="00FD7E8F">
        <w:tc>
          <w:tcPr>
            <w:tcW w:w="3261" w:type="dxa"/>
            <w:tcBorders>
              <w:top w:val="outset" w:sz="6" w:space="0" w:color="auto"/>
              <w:left w:val="outset" w:sz="6" w:space="0" w:color="auto"/>
              <w:bottom w:val="outset" w:sz="6" w:space="0" w:color="auto"/>
              <w:right w:val="outset" w:sz="6" w:space="0" w:color="auto"/>
            </w:tcBorders>
            <w:hideMark/>
          </w:tcPr>
          <w:p w:rsidR="001C31FD" w:rsidRPr="007E5078" w:rsidRDefault="001C31FD" w:rsidP="001C31FD">
            <w:pPr>
              <w:autoSpaceDE w:val="0"/>
              <w:autoSpaceDN w:val="0"/>
              <w:adjustRightInd w:val="0"/>
              <w:rPr>
                <w:rFonts w:eastAsia="Calibri"/>
                <w:color w:val="000000"/>
                <w:sz w:val="28"/>
                <w:szCs w:val="28"/>
                <w:lang w:eastAsia="en-US"/>
              </w:rPr>
            </w:pPr>
            <w:r w:rsidRPr="007E5078">
              <w:rPr>
                <w:rFonts w:eastAsia="Calibri"/>
                <w:color w:val="000000"/>
                <w:sz w:val="28"/>
                <w:szCs w:val="28"/>
                <w:lang w:eastAsia="en-US"/>
              </w:rPr>
              <w:t>3. Projekta izpildes ietekme uz pārvaldes</w:t>
            </w:r>
          </w:p>
          <w:p w:rsidR="001C31FD" w:rsidRPr="007E5078" w:rsidRDefault="001C31FD" w:rsidP="001C31FD">
            <w:pPr>
              <w:autoSpaceDE w:val="0"/>
              <w:autoSpaceDN w:val="0"/>
              <w:adjustRightInd w:val="0"/>
              <w:rPr>
                <w:rFonts w:eastAsia="Calibri"/>
                <w:color w:val="000000"/>
                <w:sz w:val="28"/>
                <w:szCs w:val="28"/>
                <w:lang w:eastAsia="en-US"/>
              </w:rPr>
            </w:pPr>
            <w:r w:rsidRPr="007E5078">
              <w:rPr>
                <w:rFonts w:eastAsia="Calibri"/>
                <w:color w:val="000000"/>
                <w:sz w:val="28"/>
                <w:szCs w:val="28"/>
                <w:lang w:eastAsia="en-US"/>
              </w:rPr>
              <w:t>institucionālo struktūru.</w:t>
            </w:r>
          </w:p>
          <w:p w:rsidR="001C31FD" w:rsidRPr="007E5078" w:rsidRDefault="001C31FD" w:rsidP="001C31FD">
            <w:pPr>
              <w:autoSpaceDE w:val="0"/>
              <w:autoSpaceDN w:val="0"/>
              <w:adjustRightInd w:val="0"/>
              <w:rPr>
                <w:rFonts w:eastAsia="Calibri"/>
                <w:color w:val="000000"/>
                <w:sz w:val="28"/>
                <w:szCs w:val="28"/>
                <w:lang w:eastAsia="en-US"/>
              </w:rPr>
            </w:pPr>
            <w:r w:rsidRPr="007E5078">
              <w:rPr>
                <w:rFonts w:eastAsia="Calibri"/>
                <w:color w:val="000000"/>
                <w:sz w:val="28"/>
                <w:szCs w:val="28"/>
                <w:lang w:eastAsia="en-US"/>
              </w:rPr>
              <w:t>Jaunu institūciju izveide</w:t>
            </w:r>
          </w:p>
        </w:tc>
        <w:tc>
          <w:tcPr>
            <w:tcW w:w="6095" w:type="dxa"/>
            <w:tcBorders>
              <w:top w:val="outset" w:sz="6" w:space="0" w:color="auto"/>
              <w:left w:val="outset" w:sz="6" w:space="0" w:color="auto"/>
              <w:bottom w:val="outset" w:sz="6" w:space="0" w:color="auto"/>
              <w:right w:val="outset" w:sz="6" w:space="0" w:color="auto"/>
            </w:tcBorders>
          </w:tcPr>
          <w:p w:rsidR="001C31FD" w:rsidRPr="007E5078" w:rsidRDefault="00FD7E8F" w:rsidP="006509BE">
            <w:pPr>
              <w:autoSpaceDE w:val="0"/>
              <w:autoSpaceDN w:val="0"/>
              <w:adjustRightInd w:val="0"/>
              <w:jc w:val="both"/>
              <w:rPr>
                <w:rFonts w:eastAsia="Calibri"/>
                <w:bCs/>
                <w:color w:val="000000"/>
                <w:sz w:val="28"/>
                <w:szCs w:val="28"/>
                <w:lang w:eastAsia="en-US"/>
              </w:rPr>
            </w:pPr>
            <w:r w:rsidRPr="007E5078">
              <w:rPr>
                <w:color w:val="000000"/>
                <w:sz w:val="28"/>
                <w:szCs w:val="28"/>
              </w:rPr>
              <w:t>Noteikumu projekts šo jomu neskar</w:t>
            </w:r>
          </w:p>
        </w:tc>
      </w:tr>
      <w:tr w:rsidR="001C31FD" w:rsidRPr="007E5078" w:rsidTr="000F61EF">
        <w:trPr>
          <w:trHeight w:val="1053"/>
        </w:trPr>
        <w:tc>
          <w:tcPr>
            <w:tcW w:w="3261" w:type="dxa"/>
            <w:tcBorders>
              <w:top w:val="outset" w:sz="6" w:space="0" w:color="auto"/>
              <w:left w:val="outset" w:sz="6" w:space="0" w:color="auto"/>
              <w:bottom w:val="outset" w:sz="6" w:space="0" w:color="auto"/>
              <w:right w:val="outset" w:sz="6" w:space="0" w:color="auto"/>
            </w:tcBorders>
            <w:hideMark/>
          </w:tcPr>
          <w:p w:rsidR="001C31FD" w:rsidRPr="007E5078" w:rsidRDefault="001C31FD" w:rsidP="001C31FD">
            <w:pPr>
              <w:autoSpaceDE w:val="0"/>
              <w:autoSpaceDN w:val="0"/>
              <w:adjustRightInd w:val="0"/>
              <w:rPr>
                <w:rFonts w:eastAsia="Calibri"/>
                <w:color w:val="000000"/>
                <w:sz w:val="28"/>
                <w:szCs w:val="28"/>
                <w:lang w:eastAsia="en-US"/>
              </w:rPr>
            </w:pPr>
            <w:r w:rsidRPr="007E5078">
              <w:rPr>
                <w:rFonts w:eastAsia="Calibri"/>
                <w:color w:val="000000"/>
                <w:sz w:val="28"/>
                <w:szCs w:val="28"/>
                <w:lang w:eastAsia="en-US"/>
              </w:rPr>
              <w:t>4. Projekta izpildes ietekme uz pārvaldes</w:t>
            </w:r>
          </w:p>
          <w:p w:rsidR="001C31FD" w:rsidRPr="007E5078" w:rsidRDefault="001C31FD" w:rsidP="001C31FD">
            <w:pPr>
              <w:autoSpaceDE w:val="0"/>
              <w:autoSpaceDN w:val="0"/>
              <w:adjustRightInd w:val="0"/>
              <w:rPr>
                <w:rFonts w:eastAsia="Calibri"/>
                <w:color w:val="000000"/>
                <w:sz w:val="28"/>
                <w:szCs w:val="28"/>
                <w:lang w:eastAsia="en-US"/>
              </w:rPr>
            </w:pPr>
            <w:r w:rsidRPr="007E5078">
              <w:rPr>
                <w:rFonts w:eastAsia="Calibri"/>
                <w:color w:val="000000"/>
                <w:sz w:val="28"/>
                <w:szCs w:val="28"/>
                <w:lang w:eastAsia="en-US"/>
              </w:rPr>
              <w:t>institucionālo struktūru.</w:t>
            </w:r>
          </w:p>
          <w:p w:rsidR="001C31FD" w:rsidRPr="007E5078" w:rsidRDefault="001C31FD" w:rsidP="00082F3F">
            <w:pPr>
              <w:autoSpaceDE w:val="0"/>
              <w:autoSpaceDN w:val="0"/>
              <w:adjustRightInd w:val="0"/>
              <w:rPr>
                <w:rFonts w:eastAsia="Calibri"/>
                <w:color w:val="000000"/>
                <w:sz w:val="28"/>
                <w:szCs w:val="28"/>
                <w:lang w:eastAsia="en-US"/>
              </w:rPr>
            </w:pPr>
            <w:r w:rsidRPr="007E5078">
              <w:rPr>
                <w:rFonts w:eastAsia="Calibri"/>
                <w:color w:val="000000"/>
                <w:sz w:val="28"/>
                <w:szCs w:val="28"/>
                <w:lang w:eastAsia="en-US"/>
              </w:rPr>
              <w:t>Esošu institūciju likvidācija</w:t>
            </w:r>
          </w:p>
        </w:tc>
        <w:tc>
          <w:tcPr>
            <w:tcW w:w="6095" w:type="dxa"/>
            <w:tcBorders>
              <w:top w:val="outset" w:sz="6" w:space="0" w:color="auto"/>
              <w:left w:val="outset" w:sz="6" w:space="0" w:color="auto"/>
              <w:bottom w:val="outset" w:sz="6" w:space="0" w:color="auto"/>
              <w:right w:val="outset" w:sz="6" w:space="0" w:color="auto"/>
            </w:tcBorders>
          </w:tcPr>
          <w:p w:rsidR="001C31FD" w:rsidRPr="007E5078" w:rsidRDefault="00FD7E8F" w:rsidP="001C31FD">
            <w:pPr>
              <w:jc w:val="both"/>
              <w:rPr>
                <w:rFonts w:eastAsia="Calibri"/>
                <w:bCs/>
                <w:color w:val="000000"/>
                <w:sz w:val="28"/>
                <w:szCs w:val="28"/>
                <w:lang w:eastAsia="en-US"/>
              </w:rPr>
            </w:pPr>
            <w:r w:rsidRPr="007E5078">
              <w:rPr>
                <w:color w:val="000000"/>
                <w:sz w:val="28"/>
                <w:szCs w:val="28"/>
              </w:rPr>
              <w:t>Noteikumu projekts šo jomu neskar</w:t>
            </w:r>
          </w:p>
        </w:tc>
      </w:tr>
      <w:tr w:rsidR="001C31FD" w:rsidRPr="007E5078" w:rsidTr="00FD7E8F">
        <w:tc>
          <w:tcPr>
            <w:tcW w:w="3261" w:type="dxa"/>
            <w:tcBorders>
              <w:top w:val="outset" w:sz="6" w:space="0" w:color="auto"/>
              <w:left w:val="outset" w:sz="6" w:space="0" w:color="auto"/>
              <w:bottom w:val="outset" w:sz="6" w:space="0" w:color="auto"/>
              <w:right w:val="outset" w:sz="6" w:space="0" w:color="auto"/>
            </w:tcBorders>
            <w:hideMark/>
          </w:tcPr>
          <w:p w:rsidR="001C31FD" w:rsidRPr="007E5078" w:rsidRDefault="001C31FD" w:rsidP="001C31FD">
            <w:pPr>
              <w:autoSpaceDE w:val="0"/>
              <w:autoSpaceDN w:val="0"/>
              <w:adjustRightInd w:val="0"/>
              <w:rPr>
                <w:rFonts w:eastAsia="Calibri"/>
                <w:color w:val="000000"/>
                <w:sz w:val="28"/>
                <w:szCs w:val="28"/>
                <w:lang w:eastAsia="en-US"/>
              </w:rPr>
            </w:pPr>
            <w:r w:rsidRPr="007E5078">
              <w:rPr>
                <w:rFonts w:eastAsia="Calibri"/>
                <w:color w:val="000000"/>
                <w:sz w:val="28"/>
                <w:szCs w:val="28"/>
                <w:lang w:eastAsia="en-US"/>
              </w:rPr>
              <w:lastRenderedPageBreak/>
              <w:t>5. Projekta izpildes ietekme uz pārvaldes</w:t>
            </w:r>
          </w:p>
          <w:p w:rsidR="001C31FD" w:rsidRPr="007E5078" w:rsidRDefault="001C31FD" w:rsidP="001C31FD">
            <w:pPr>
              <w:autoSpaceDE w:val="0"/>
              <w:autoSpaceDN w:val="0"/>
              <w:adjustRightInd w:val="0"/>
              <w:rPr>
                <w:rFonts w:eastAsia="Calibri"/>
                <w:color w:val="000000"/>
                <w:sz w:val="28"/>
                <w:szCs w:val="28"/>
                <w:lang w:eastAsia="en-US"/>
              </w:rPr>
            </w:pPr>
            <w:r w:rsidRPr="007E5078">
              <w:rPr>
                <w:rFonts w:eastAsia="Calibri"/>
                <w:color w:val="000000"/>
                <w:sz w:val="28"/>
                <w:szCs w:val="28"/>
                <w:lang w:eastAsia="en-US"/>
              </w:rPr>
              <w:t>institucionālo struktūru.</w:t>
            </w:r>
          </w:p>
          <w:p w:rsidR="001C31FD" w:rsidRPr="007E5078" w:rsidRDefault="001C31FD" w:rsidP="001C31FD">
            <w:pPr>
              <w:autoSpaceDE w:val="0"/>
              <w:autoSpaceDN w:val="0"/>
              <w:adjustRightInd w:val="0"/>
              <w:rPr>
                <w:rFonts w:eastAsia="Calibri"/>
                <w:color w:val="000000"/>
                <w:sz w:val="28"/>
                <w:szCs w:val="28"/>
                <w:lang w:eastAsia="en-US"/>
              </w:rPr>
            </w:pPr>
            <w:r w:rsidRPr="007E5078">
              <w:rPr>
                <w:rFonts w:eastAsia="Calibri"/>
                <w:color w:val="000000"/>
                <w:sz w:val="28"/>
                <w:szCs w:val="28"/>
                <w:lang w:eastAsia="en-US"/>
              </w:rPr>
              <w:t>Esošu institūciju reorganizācija</w:t>
            </w:r>
          </w:p>
        </w:tc>
        <w:tc>
          <w:tcPr>
            <w:tcW w:w="6095" w:type="dxa"/>
            <w:tcBorders>
              <w:top w:val="outset" w:sz="6" w:space="0" w:color="auto"/>
              <w:left w:val="outset" w:sz="6" w:space="0" w:color="auto"/>
              <w:bottom w:val="outset" w:sz="6" w:space="0" w:color="auto"/>
              <w:right w:val="outset" w:sz="6" w:space="0" w:color="auto"/>
            </w:tcBorders>
          </w:tcPr>
          <w:p w:rsidR="001C31FD" w:rsidRPr="007E5078" w:rsidRDefault="00FD7E8F" w:rsidP="009855ED">
            <w:pPr>
              <w:widowControl w:val="0"/>
              <w:autoSpaceDE w:val="0"/>
              <w:autoSpaceDN w:val="0"/>
              <w:adjustRightInd w:val="0"/>
              <w:jc w:val="both"/>
              <w:rPr>
                <w:rFonts w:eastAsia="Calibri"/>
                <w:bCs/>
                <w:color w:val="000000"/>
                <w:sz w:val="28"/>
                <w:szCs w:val="28"/>
                <w:lang w:eastAsia="en-US"/>
              </w:rPr>
            </w:pPr>
            <w:r w:rsidRPr="007E5078">
              <w:rPr>
                <w:color w:val="000000"/>
                <w:sz w:val="28"/>
                <w:szCs w:val="28"/>
              </w:rPr>
              <w:t>Noteikumu projekts šo jomu neskar</w:t>
            </w:r>
          </w:p>
        </w:tc>
      </w:tr>
      <w:tr w:rsidR="001C31FD" w:rsidRPr="007E5078" w:rsidTr="00FD7E8F">
        <w:tc>
          <w:tcPr>
            <w:tcW w:w="3261" w:type="dxa"/>
            <w:tcBorders>
              <w:top w:val="outset" w:sz="6" w:space="0" w:color="auto"/>
              <w:left w:val="outset" w:sz="6" w:space="0" w:color="auto"/>
              <w:bottom w:val="outset" w:sz="6" w:space="0" w:color="auto"/>
              <w:right w:val="outset" w:sz="6" w:space="0" w:color="auto"/>
            </w:tcBorders>
            <w:hideMark/>
          </w:tcPr>
          <w:p w:rsidR="001C31FD" w:rsidRPr="007E5078" w:rsidRDefault="001C31FD" w:rsidP="001C31FD">
            <w:pPr>
              <w:autoSpaceDE w:val="0"/>
              <w:autoSpaceDN w:val="0"/>
              <w:adjustRightInd w:val="0"/>
              <w:rPr>
                <w:rFonts w:eastAsia="Calibri"/>
                <w:color w:val="000000"/>
                <w:sz w:val="28"/>
                <w:szCs w:val="28"/>
                <w:lang w:eastAsia="en-US"/>
              </w:rPr>
            </w:pPr>
            <w:r w:rsidRPr="007E5078">
              <w:rPr>
                <w:rFonts w:eastAsia="Calibri"/>
                <w:color w:val="000000"/>
                <w:sz w:val="28"/>
                <w:szCs w:val="28"/>
                <w:lang w:eastAsia="en-US"/>
              </w:rPr>
              <w:t>6. Cita informācija</w:t>
            </w:r>
          </w:p>
        </w:tc>
        <w:tc>
          <w:tcPr>
            <w:tcW w:w="6095" w:type="dxa"/>
            <w:tcBorders>
              <w:top w:val="outset" w:sz="6" w:space="0" w:color="auto"/>
              <w:left w:val="outset" w:sz="6" w:space="0" w:color="auto"/>
              <w:bottom w:val="outset" w:sz="6" w:space="0" w:color="auto"/>
              <w:right w:val="outset" w:sz="6" w:space="0" w:color="auto"/>
            </w:tcBorders>
          </w:tcPr>
          <w:p w:rsidR="001C31FD" w:rsidRPr="007E5078" w:rsidRDefault="001C31FD" w:rsidP="001C31FD">
            <w:pPr>
              <w:autoSpaceDE w:val="0"/>
              <w:autoSpaceDN w:val="0"/>
              <w:adjustRightInd w:val="0"/>
              <w:rPr>
                <w:rFonts w:eastAsia="Calibri"/>
                <w:bCs/>
                <w:color w:val="000000"/>
                <w:sz w:val="28"/>
                <w:szCs w:val="28"/>
                <w:lang w:eastAsia="en-US"/>
              </w:rPr>
            </w:pPr>
            <w:r w:rsidRPr="007E5078">
              <w:rPr>
                <w:rFonts w:eastAsia="Calibri"/>
                <w:bCs/>
                <w:color w:val="000000"/>
                <w:sz w:val="28"/>
                <w:szCs w:val="28"/>
                <w:lang w:eastAsia="en-US"/>
              </w:rPr>
              <w:t>Nav</w:t>
            </w:r>
          </w:p>
        </w:tc>
      </w:tr>
    </w:tbl>
    <w:p w:rsidR="001C31FD" w:rsidRPr="007E5078" w:rsidRDefault="001C31FD" w:rsidP="001C31FD">
      <w:pPr>
        <w:rPr>
          <w:color w:val="000000"/>
          <w:sz w:val="28"/>
          <w:szCs w:val="28"/>
        </w:rPr>
      </w:pPr>
    </w:p>
    <w:p w:rsidR="005F4EDF" w:rsidRPr="007E5078" w:rsidRDefault="005F4EDF" w:rsidP="001C31FD">
      <w:pPr>
        <w:rPr>
          <w:color w:val="000000"/>
          <w:sz w:val="28"/>
          <w:szCs w:val="28"/>
        </w:rPr>
      </w:pPr>
    </w:p>
    <w:p w:rsidR="00F3087F" w:rsidRPr="007E5078" w:rsidRDefault="00F3087F" w:rsidP="00F3087F">
      <w:pPr>
        <w:autoSpaceDE w:val="0"/>
        <w:autoSpaceDN w:val="0"/>
        <w:adjustRightInd w:val="0"/>
        <w:rPr>
          <w:rFonts w:eastAsia="Calibri"/>
          <w:bCs/>
          <w:color w:val="000000"/>
          <w:sz w:val="28"/>
          <w:szCs w:val="28"/>
        </w:rPr>
      </w:pPr>
      <w:r w:rsidRPr="007E5078">
        <w:rPr>
          <w:rFonts w:eastAsia="Calibri"/>
          <w:bCs/>
          <w:color w:val="000000"/>
          <w:sz w:val="28"/>
          <w:szCs w:val="28"/>
        </w:rPr>
        <w:t>Veselības ministre                                                                               I.Circene</w:t>
      </w:r>
    </w:p>
    <w:p w:rsidR="000B76E3" w:rsidRPr="007E5078" w:rsidRDefault="000B76E3" w:rsidP="000B76E3">
      <w:pPr>
        <w:pStyle w:val="naisf"/>
        <w:tabs>
          <w:tab w:val="left" w:pos="720"/>
        </w:tabs>
        <w:spacing w:before="0" w:after="0"/>
        <w:ind w:firstLine="0"/>
        <w:rPr>
          <w:color w:val="000000"/>
          <w:sz w:val="28"/>
          <w:szCs w:val="28"/>
        </w:rPr>
      </w:pPr>
    </w:p>
    <w:p w:rsidR="00D71F34" w:rsidRPr="007E5078" w:rsidRDefault="00D71F34" w:rsidP="00500326">
      <w:pPr>
        <w:pStyle w:val="naisf"/>
        <w:tabs>
          <w:tab w:val="left" w:pos="720"/>
        </w:tabs>
        <w:spacing w:before="0" w:after="0"/>
        <w:ind w:firstLine="0"/>
        <w:rPr>
          <w:color w:val="000000"/>
          <w:sz w:val="28"/>
          <w:szCs w:val="28"/>
        </w:rPr>
      </w:pPr>
    </w:p>
    <w:p w:rsidR="00D71F34" w:rsidRPr="007E5078" w:rsidRDefault="00D71F34" w:rsidP="00500326">
      <w:pPr>
        <w:pStyle w:val="naisf"/>
        <w:tabs>
          <w:tab w:val="left" w:pos="720"/>
        </w:tabs>
        <w:spacing w:before="0" w:after="0"/>
        <w:ind w:firstLine="0"/>
        <w:rPr>
          <w:color w:val="000000"/>
          <w:sz w:val="28"/>
          <w:szCs w:val="28"/>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DE12DA" w:rsidRDefault="00DE12DA" w:rsidP="00500326">
      <w:pPr>
        <w:pStyle w:val="naisf"/>
        <w:tabs>
          <w:tab w:val="left" w:pos="720"/>
        </w:tabs>
        <w:spacing w:before="0" w:after="0"/>
        <w:ind w:firstLine="0"/>
        <w:rPr>
          <w:color w:val="000000"/>
          <w:sz w:val="20"/>
          <w:szCs w:val="20"/>
        </w:rPr>
      </w:pPr>
    </w:p>
    <w:p w:rsidR="00500326" w:rsidRPr="00595891" w:rsidRDefault="00DE12DA" w:rsidP="00500326">
      <w:pPr>
        <w:pStyle w:val="naisf"/>
        <w:tabs>
          <w:tab w:val="left" w:pos="720"/>
        </w:tabs>
        <w:spacing w:before="0" w:after="0"/>
        <w:ind w:firstLine="0"/>
        <w:rPr>
          <w:color w:val="000000"/>
          <w:sz w:val="20"/>
          <w:szCs w:val="20"/>
        </w:rPr>
      </w:pPr>
      <w:r>
        <w:rPr>
          <w:color w:val="000000"/>
          <w:sz w:val="20"/>
          <w:szCs w:val="20"/>
        </w:rPr>
        <w:t>23</w:t>
      </w:r>
      <w:r w:rsidR="00D9033C" w:rsidRPr="00595891">
        <w:rPr>
          <w:color w:val="000000"/>
          <w:sz w:val="20"/>
          <w:szCs w:val="20"/>
        </w:rPr>
        <w:t>.</w:t>
      </w:r>
      <w:r w:rsidR="00681F1D" w:rsidRPr="00595891">
        <w:rPr>
          <w:color w:val="000000"/>
          <w:sz w:val="20"/>
          <w:szCs w:val="20"/>
        </w:rPr>
        <w:t>04.2013.</w:t>
      </w:r>
      <w:r w:rsidR="00442B0D" w:rsidRPr="00595891">
        <w:rPr>
          <w:color w:val="000000"/>
          <w:sz w:val="20"/>
          <w:szCs w:val="20"/>
        </w:rPr>
        <w:t xml:space="preserve"> </w:t>
      </w:r>
      <w:r w:rsidR="005314E0" w:rsidRPr="00595891">
        <w:rPr>
          <w:color w:val="000000"/>
          <w:sz w:val="20"/>
          <w:szCs w:val="20"/>
        </w:rPr>
        <w:t>1</w:t>
      </w:r>
      <w:r>
        <w:rPr>
          <w:color w:val="000000"/>
          <w:sz w:val="20"/>
          <w:szCs w:val="20"/>
        </w:rPr>
        <w:t>4:</w:t>
      </w:r>
      <w:r w:rsidR="009A0A13">
        <w:rPr>
          <w:color w:val="000000"/>
          <w:sz w:val="20"/>
          <w:szCs w:val="20"/>
        </w:rPr>
        <w:t>43</w:t>
      </w:r>
    </w:p>
    <w:p w:rsidR="00500326" w:rsidRPr="00595891" w:rsidRDefault="00321956" w:rsidP="00500326">
      <w:pPr>
        <w:pStyle w:val="naisf"/>
        <w:tabs>
          <w:tab w:val="left" w:pos="720"/>
        </w:tabs>
        <w:spacing w:before="0" w:after="0"/>
        <w:ind w:firstLine="0"/>
        <w:rPr>
          <w:color w:val="000000"/>
          <w:sz w:val="20"/>
          <w:szCs w:val="20"/>
        </w:rPr>
      </w:pPr>
      <w:r>
        <w:rPr>
          <w:color w:val="000000"/>
          <w:sz w:val="20"/>
          <w:szCs w:val="20"/>
        </w:rPr>
        <w:t>1358</w:t>
      </w:r>
    </w:p>
    <w:p w:rsidR="00500326" w:rsidRPr="00595891" w:rsidRDefault="00176DB7" w:rsidP="00500326">
      <w:pPr>
        <w:jc w:val="both"/>
        <w:rPr>
          <w:color w:val="000000"/>
          <w:sz w:val="20"/>
          <w:szCs w:val="20"/>
        </w:rPr>
      </w:pPr>
      <w:r w:rsidRPr="00595891">
        <w:rPr>
          <w:color w:val="000000"/>
          <w:sz w:val="20"/>
          <w:szCs w:val="20"/>
        </w:rPr>
        <w:t>L.Meļķe-Prižavoite</w:t>
      </w:r>
    </w:p>
    <w:p w:rsidR="00E04EDE" w:rsidRPr="00595891" w:rsidRDefault="00176DB7" w:rsidP="000F61EF">
      <w:pPr>
        <w:jc w:val="both"/>
        <w:rPr>
          <w:color w:val="000000"/>
          <w:sz w:val="20"/>
          <w:szCs w:val="20"/>
        </w:rPr>
      </w:pPr>
      <w:r w:rsidRPr="00595891">
        <w:rPr>
          <w:sz w:val="20"/>
          <w:szCs w:val="20"/>
        </w:rPr>
        <w:t>Lolita.Melke</w:t>
      </w:r>
      <w:r w:rsidR="00814DFE" w:rsidRPr="00595891">
        <w:rPr>
          <w:sz w:val="20"/>
          <w:szCs w:val="20"/>
        </w:rPr>
        <w:t>@vm.gov.lv</w:t>
      </w:r>
      <w:r w:rsidR="00500326" w:rsidRPr="00595891">
        <w:rPr>
          <w:color w:val="000000"/>
          <w:sz w:val="20"/>
          <w:szCs w:val="20"/>
        </w:rPr>
        <w:t>, 67876</w:t>
      </w:r>
      <w:r w:rsidRPr="00595891">
        <w:rPr>
          <w:color w:val="000000"/>
          <w:sz w:val="20"/>
          <w:szCs w:val="20"/>
        </w:rPr>
        <w:t>101</w:t>
      </w:r>
    </w:p>
    <w:p w:rsidR="008952E8" w:rsidRPr="007E5078" w:rsidRDefault="008952E8">
      <w:pPr>
        <w:jc w:val="both"/>
        <w:rPr>
          <w:color w:val="000000"/>
          <w:sz w:val="28"/>
          <w:szCs w:val="28"/>
        </w:rPr>
      </w:pPr>
    </w:p>
    <w:sectPr w:rsidR="008952E8" w:rsidRPr="007E5078" w:rsidSect="00295EE9">
      <w:headerReference w:type="default" r:id="rId8"/>
      <w:footerReference w:type="default" r:id="rId9"/>
      <w:footerReference w:type="first" r:id="rId10"/>
      <w:pgSz w:w="11906" w:h="16838" w:code="9"/>
      <w:pgMar w:top="1418" w:right="1134" w:bottom="1134" w:left="1701" w:header="709" w:footer="4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7D3" w:rsidRDefault="00F027D3" w:rsidP="000B76E3">
      <w:r>
        <w:separator/>
      </w:r>
    </w:p>
  </w:endnote>
  <w:endnote w:type="continuationSeparator" w:id="0">
    <w:p w:rsidR="00F027D3" w:rsidRDefault="00F027D3" w:rsidP="000B76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D3" w:rsidRPr="005F4EDF" w:rsidRDefault="00F027D3" w:rsidP="005F4EDF">
    <w:pPr>
      <w:pStyle w:val="NoSpacing"/>
      <w:jc w:val="both"/>
      <w:rPr>
        <w:sz w:val="20"/>
        <w:szCs w:val="20"/>
      </w:rPr>
    </w:pPr>
    <w:r w:rsidRPr="005F4EDF">
      <w:rPr>
        <w:sz w:val="20"/>
        <w:szCs w:val="20"/>
      </w:rPr>
      <w:t>VManot_</w:t>
    </w:r>
    <w:r w:rsidR="00DE12DA">
      <w:rPr>
        <w:sz w:val="20"/>
        <w:szCs w:val="20"/>
      </w:rPr>
      <w:t>23</w:t>
    </w:r>
    <w:r>
      <w:rPr>
        <w:sz w:val="20"/>
        <w:szCs w:val="20"/>
      </w:rPr>
      <w:t>0413</w:t>
    </w:r>
    <w:r w:rsidRPr="005F4EDF">
      <w:rPr>
        <w:sz w:val="20"/>
        <w:szCs w:val="20"/>
      </w:rPr>
      <w:t>_</w:t>
    </w:r>
    <w:r>
      <w:rPr>
        <w:sz w:val="20"/>
        <w:szCs w:val="20"/>
      </w:rPr>
      <w:t>zidaini</w:t>
    </w:r>
    <w:r w:rsidRPr="005F4EDF">
      <w:rPr>
        <w:sz w:val="20"/>
        <w:szCs w:val="20"/>
      </w:rPr>
      <w:t xml:space="preserve">; Ministru kabineta </w:t>
    </w:r>
    <w:r>
      <w:rPr>
        <w:sz w:val="20"/>
        <w:szCs w:val="20"/>
      </w:rPr>
      <w:t xml:space="preserve">noteikumu projekts „Grozījumi </w:t>
    </w:r>
    <w:r w:rsidRPr="005F4EDF">
      <w:rPr>
        <w:sz w:val="20"/>
        <w:szCs w:val="20"/>
      </w:rPr>
      <w:t>Ministru kabineta 2008.gada 26.maija noteikumos Nr.370 „Noteikumi par mākslīgajiem maisījumiem zīdaiņiem un mākslīgajiem papildu ēdināšanas maisījumiem zīdaiņiem””</w:t>
    </w:r>
    <w:r>
      <w:rPr>
        <w:sz w:val="20"/>
        <w:szCs w:val="20"/>
      </w:rPr>
      <w:t xml:space="preserve"> </w:t>
    </w:r>
    <w:r w:rsidRPr="005F4EDF">
      <w:rPr>
        <w:sz w:val="20"/>
        <w:szCs w:val="20"/>
      </w:rPr>
      <w:t xml:space="preserve">sākotnējās ietekmes novērtējuma </w:t>
    </w:r>
    <w:smartTag w:uri="schemas-tilde-lv/tildestengine" w:element="veidnes">
      <w:smartTagPr>
        <w:attr w:name="id" w:val="-1"/>
        <w:attr w:name="baseform" w:val="ziņojums"/>
        <w:attr w:name="text" w:val="ziņojums"/>
      </w:smartTagPr>
      <w:r w:rsidRPr="005F4EDF">
        <w:rPr>
          <w:sz w:val="20"/>
          <w:szCs w:val="20"/>
        </w:rPr>
        <w:t>ziņojums</w:t>
      </w:r>
    </w:smartTag>
    <w:r w:rsidRPr="005F4EDF">
      <w:rPr>
        <w:sz w:val="20"/>
        <w:szCs w:val="20"/>
      </w:rPr>
      <w:t xml:space="preserve"> (anotācija)</w:t>
    </w:r>
  </w:p>
  <w:p w:rsidR="00F027D3" w:rsidRPr="00C33322" w:rsidRDefault="00F027D3" w:rsidP="00C33322">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D3" w:rsidRPr="005F4EDF" w:rsidRDefault="00F027D3" w:rsidP="00176DB7">
    <w:pPr>
      <w:pStyle w:val="NoSpacing"/>
      <w:jc w:val="both"/>
      <w:rPr>
        <w:sz w:val="20"/>
        <w:szCs w:val="20"/>
      </w:rPr>
    </w:pPr>
    <w:r w:rsidRPr="005F4EDF">
      <w:rPr>
        <w:sz w:val="20"/>
        <w:szCs w:val="20"/>
      </w:rPr>
      <w:t>VManot_</w:t>
    </w:r>
    <w:r w:rsidR="00DE12DA">
      <w:rPr>
        <w:sz w:val="20"/>
        <w:szCs w:val="20"/>
      </w:rPr>
      <w:t>23</w:t>
    </w:r>
    <w:r>
      <w:rPr>
        <w:sz w:val="20"/>
        <w:szCs w:val="20"/>
      </w:rPr>
      <w:t>0413</w:t>
    </w:r>
    <w:r w:rsidRPr="005F4EDF">
      <w:rPr>
        <w:sz w:val="20"/>
        <w:szCs w:val="20"/>
      </w:rPr>
      <w:t>_</w:t>
    </w:r>
    <w:r>
      <w:rPr>
        <w:sz w:val="20"/>
        <w:szCs w:val="20"/>
      </w:rPr>
      <w:t>zidaini</w:t>
    </w:r>
    <w:r w:rsidRPr="005F4EDF">
      <w:rPr>
        <w:sz w:val="20"/>
        <w:szCs w:val="20"/>
      </w:rPr>
      <w:t>; Ministru kabinet</w:t>
    </w:r>
    <w:r>
      <w:rPr>
        <w:sz w:val="20"/>
        <w:szCs w:val="20"/>
      </w:rPr>
      <w:t xml:space="preserve">a noteikumu projekts „Grozījumi </w:t>
    </w:r>
    <w:r w:rsidRPr="005F4EDF">
      <w:rPr>
        <w:sz w:val="20"/>
        <w:szCs w:val="20"/>
      </w:rPr>
      <w:t>Ministru kabineta 2008.gada 26.maija noteikumos Nr.370 „Noteikumi par mākslīgajiem maisījumiem zīdaiņiem un mākslīgajiem papildu ēdināšanas maisījumiem zīdaiņiem””</w:t>
    </w:r>
    <w:r>
      <w:rPr>
        <w:sz w:val="20"/>
        <w:szCs w:val="20"/>
      </w:rPr>
      <w:t xml:space="preserve"> </w:t>
    </w:r>
    <w:r w:rsidRPr="005F4EDF">
      <w:rPr>
        <w:sz w:val="20"/>
        <w:szCs w:val="20"/>
      </w:rPr>
      <w:t xml:space="preserve">sākotnējās ietekmes novērtējuma </w:t>
    </w:r>
    <w:smartTag w:uri="schemas-tilde-lv/tildestengine" w:element="veidnes">
      <w:smartTagPr>
        <w:attr w:name="id" w:val="-1"/>
        <w:attr w:name="baseform" w:val="ziņojums"/>
        <w:attr w:name="text" w:val="ziņojums"/>
      </w:smartTagPr>
      <w:r w:rsidRPr="005F4EDF">
        <w:rPr>
          <w:sz w:val="20"/>
          <w:szCs w:val="20"/>
        </w:rPr>
        <w:t>ziņojums</w:t>
      </w:r>
    </w:smartTag>
    <w:r w:rsidRPr="005F4EDF">
      <w:rPr>
        <w:sz w:val="20"/>
        <w:szCs w:val="20"/>
      </w:rPr>
      <w:t xml:space="preserve"> (anotācija)</w:t>
    </w:r>
  </w:p>
  <w:p w:rsidR="00F027D3" w:rsidRPr="00D42719" w:rsidRDefault="00F027D3" w:rsidP="005A03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7D3" w:rsidRDefault="00F027D3" w:rsidP="000B76E3">
      <w:r>
        <w:separator/>
      </w:r>
    </w:p>
  </w:footnote>
  <w:footnote w:type="continuationSeparator" w:id="0">
    <w:p w:rsidR="00F027D3" w:rsidRDefault="00F027D3" w:rsidP="000B76E3">
      <w:r>
        <w:continuationSeparator/>
      </w:r>
    </w:p>
  </w:footnote>
  <w:footnote w:id="1">
    <w:p w:rsidR="00F027D3" w:rsidRPr="00AE6999" w:rsidRDefault="00F027D3" w:rsidP="00AE6999">
      <w:pPr>
        <w:rPr>
          <w:color w:val="000000"/>
          <w:sz w:val="20"/>
          <w:szCs w:val="20"/>
        </w:rPr>
      </w:pPr>
      <w:r w:rsidRPr="00AE6999">
        <w:rPr>
          <w:rStyle w:val="FootnoteReference"/>
          <w:sz w:val="20"/>
          <w:szCs w:val="20"/>
        </w:rPr>
        <w:footnoteRef/>
      </w:r>
      <w:r w:rsidRPr="00AE6999">
        <w:rPr>
          <w:color w:val="000000"/>
          <w:sz w:val="20"/>
          <w:szCs w:val="20"/>
        </w:rPr>
        <w:t>http://www.vm.gov.lv/lv/tava_veseliba/zidainiem_un_berniem/jaundzimusa_veselibas_aprupe/</w:t>
      </w:r>
    </w:p>
    <w:p w:rsidR="00F027D3" w:rsidRDefault="00F027D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D3" w:rsidRDefault="00361BD0">
    <w:pPr>
      <w:pStyle w:val="Header"/>
      <w:jc w:val="center"/>
    </w:pPr>
    <w:fldSimple w:instr=" PAGE   \* MERGEFORMAT ">
      <w:r w:rsidR="009A0A13">
        <w:rPr>
          <w:noProof/>
        </w:rPr>
        <w:t>7</w:t>
      </w:r>
    </w:fldSimple>
  </w:p>
  <w:p w:rsidR="00F027D3" w:rsidRDefault="00F027D3" w:rsidP="005A03E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8CB"/>
    <w:multiLevelType w:val="hybridMultilevel"/>
    <w:tmpl w:val="09AEBB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A3541A8"/>
    <w:multiLevelType w:val="hybridMultilevel"/>
    <w:tmpl w:val="3D10E7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8C6DEE"/>
    <w:multiLevelType w:val="hybridMultilevel"/>
    <w:tmpl w:val="198433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02700"/>
    <w:multiLevelType w:val="hybridMultilevel"/>
    <w:tmpl w:val="80EA03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1940DA"/>
    <w:multiLevelType w:val="hybridMultilevel"/>
    <w:tmpl w:val="C5ACE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1408BD"/>
    <w:multiLevelType w:val="hybridMultilevel"/>
    <w:tmpl w:val="76204570"/>
    <w:lvl w:ilvl="0" w:tplc="4E9AD95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27ED5"/>
    <w:multiLevelType w:val="hybridMultilevel"/>
    <w:tmpl w:val="E7AA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42CB1"/>
    <w:multiLevelType w:val="hybridMultilevel"/>
    <w:tmpl w:val="78B08A86"/>
    <w:lvl w:ilvl="0" w:tplc="0409000F">
      <w:start w:val="1"/>
      <w:numFmt w:val="decimal"/>
      <w:lvlText w:val="%1."/>
      <w:lvlJc w:val="left"/>
      <w:pPr>
        <w:ind w:left="-351" w:hanging="360"/>
      </w:p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8">
    <w:nsid w:val="1DD36AB1"/>
    <w:multiLevelType w:val="hybridMultilevel"/>
    <w:tmpl w:val="9326B458"/>
    <w:lvl w:ilvl="0" w:tplc="6D1668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90828"/>
    <w:multiLevelType w:val="hybridMultilevel"/>
    <w:tmpl w:val="B016C6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1741293"/>
    <w:multiLevelType w:val="hybridMultilevel"/>
    <w:tmpl w:val="637AD080"/>
    <w:lvl w:ilvl="0" w:tplc="45D2E6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B4962"/>
    <w:multiLevelType w:val="hybridMultilevel"/>
    <w:tmpl w:val="22043C1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924246"/>
    <w:multiLevelType w:val="hybridMultilevel"/>
    <w:tmpl w:val="61E4E13C"/>
    <w:lvl w:ilvl="0" w:tplc="423A045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0768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2D55C30"/>
    <w:multiLevelType w:val="hybridMultilevel"/>
    <w:tmpl w:val="F27289F6"/>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nsid w:val="35D02CDF"/>
    <w:multiLevelType w:val="hybridMultilevel"/>
    <w:tmpl w:val="9ABA5592"/>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DDB32B2"/>
    <w:multiLevelType w:val="hybridMultilevel"/>
    <w:tmpl w:val="86DC0F2A"/>
    <w:lvl w:ilvl="0" w:tplc="FEE67E74">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E68637A"/>
    <w:multiLevelType w:val="hybridMultilevel"/>
    <w:tmpl w:val="0D2E0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9209E4"/>
    <w:multiLevelType w:val="hybridMultilevel"/>
    <w:tmpl w:val="5BBCC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8854B72"/>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7E5B08"/>
    <w:multiLevelType w:val="hybridMultilevel"/>
    <w:tmpl w:val="AA0E5FBC"/>
    <w:lvl w:ilvl="0" w:tplc="21647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A951EE"/>
    <w:multiLevelType w:val="hybridMultilevel"/>
    <w:tmpl w:val="ABFC58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0A4666C"/>
    <w:multiLevelType w:val="hybridMultilevel"/>
    <w:tmpl w:val="D7E4D7CA"/>
    <w:lvl w:ilvl="0" w:tplc="89C6006E">
      <w:start w:val="7"/>
      <w:numFmt w:val="bullet"/>
      <w:lvlText w:val="-"/>
      <w:lvlJc w:val="left"/>
      <w:pPr>
        <w:ind w:left="492" w:hanging="360"/>
      </w:pPr>
      <w:rPr>
        <w:rFonts w:ascii="Times New Roman" w:eastAsia="Times New Roman" w:hAnsi="Times New Roman" w:cs="Times New Roman" w:hint="default"/>
        <w:color w:val="000000"/>
      </w:rPr>
    </w:lvl>
    <w:lvl w:ilvl="1" w:tplc="04260003" w:tentative="1">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abstractNum w:abstractNumId="23">
    <w:nsid w:val="56EE38CA"/>
    <w:multiLevelType w:val="hybridMultilevel"/>
    <w:tmpl w:val="FA26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DF5A00"/>
    <w:multiLevelType w:val="multilevel"/>
    <w:tmpl w:val="BA5273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2B90C48"/>
    <w:multiLevelType w:val="multilevel"/>
    <w:tmpl w:val="F2507556"/>
    <w:lvl w:ilvl="0">
      <w:start w:val="1"/>
      <w:numFmt w:val="decimal"/>
      <w:lvlText w:val="%1."/>
      <w:lvlJc w:val="left"/>
      <w:pPr>
        <w:ind w:left="405" w:hanging="405"/>
      </w:pPr>
      <w:rPr>
        <w:rFonts w:hint="default"/>
        <w:color w:val="000000"/>
      </w:rPr>
    </w:lvl>
    <w:lvl w:ilvl="1">
      <w:start w:val="1"/>
      <w:numFmt w:val="decimal"/>
      <w:isLgl/>
      <w:lvlText w:val="%1.%2."/>
      <w:lvlJc w:val="left"/>
      <w:pPr>
        <w:ind w:left="915" w:hanging="915"/>
      </w:pPr>
      <w:rPr>
        <w:rFonts w:hint="default"/>
      </w:rPr>
    </w:lvl>
    <w:lvl w:ilvl="2">
      <w:start w:val="2"/>
      <w:numFmt w:val="decimal"/>
      <w:isLgl/>
      <w:lvlText w:val="%1.%2.%3."/>
      <w:lvlJc w:val="left"/>
      <w:pPr>
        <w:ind w:left="915" w:hanging="915"/>
      </w:pPr>
      <w:rPr>
        <w:rFonts w:hint="default"/>
      </w:rPr>
    </w:lvl>
    <w:lvl w:ilvl="3">
      <w:start w:val="4"/>
      <w:numFmt w:val="decimal"/>
      <w:isLgl/>
      <w:lvlText w:val="%1.%2.%3.%4."/>
      <w:lvlJc w:val="left"/>
      <w:pPr>
        <w:ind w:left="915" w:hanging="91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643A4990"/>
    <w:multiLevelType w:val="hybridMultilevel"/>
    <w:tmpl w:val="A5C4FB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B0A3305"/>
    <w:multiLevelType w:val="hybridMultilevel"/>
    <w:tmpl w:val="640458B8"/>
    <w:lvl w:ilvl="0" w:tplc="BE9AD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52756A"/>
    <w:multiLevelType w:val="hybridMultilevel"/>
    <w:tmpl w:val="58CAA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BE5026"/>
    <w:multiLevelType w:val="hybridMultilevel"/>
    <w:tmpl w:val="FF68F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3DA4FEE"/>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30"/>
  </w:num>
  <w:num w:numId="4">
    <w:abstractNumId w:val="25"/>
  </w:num>
  <w:num w:numId="5">
    <w:abstractNumId w:val="1"/>
  </w:num>
  <w:num w:numId="6">
    <w:abstractNumId w:val="16"/>
  </w:num>
  <w:num w:numId="7">
    <w:abstractNumId w:val="23"/>
  </w:num>
  <w:num w:numId="8">
    <w:abstractNumId w:val="7"/>
  </w:num>
  <w:num w:numId="9">
    <w:abstractNumId w:val="9"/>
  </w:num>
  <w:num w:numId="10">
    <w:abstractNumId w:val="4"/>
  </w:num>
  <w:num w:numId="11">
    <w:abstractNumId w:val="24"/>
  </w:num>
  <w:num w:numId="12">
    <w:abstractNumId w:val="18"/>
  </w:num>
  <w:num w:numId="13">
    <w:abstractNumId w:val="26"/>
  </w:num>
  <w:num w:numId="14">
    <w:abstractNumId w:val="21"/>
  </w:num>
  <w:num w:numId="15">
    <w:abstractNumId w:val="3"/>
  </w:num>
  <w:num w:numId="16">
    <w:abstractNumId w:val="15"/>
  </w:num>
  <w:num w:numId="17">
    <w:abstractNumId w:val="28"/>
  </w:num>
  <w:num w:numId="18">
    <w:abstractNumId w:val="2"/>
  </w:num>
  <w:num w:numId="19">
    <w:abstractNumId w:val="13"/>
  </w:num>
  <w:num w:numId="20">
    <w:abstractNumId w:val="20"/>
  </w:num>
  <w:num w:numId="21">
    <w:abstractNumId w:val="27"/>
  </w:num>
  <w:num w:numId="22">
    <w:abstractNumId w:val="12"/>
  </w:num>
  <w:num w:numId="23">
    <w:abstractNumId w:val="5"/>
  </w:num>
  <w:num w:numId="24">
    <w:abstractNumId w:val="11"/>
  </w:num>
  <w:num w:numId="25">
    <w:abstractNumId w:val="10"/>
  </w:num>
  <w:num w:numId="26">
    <w:abstractNumId w:val="0"/>
  </w:num>
  <w:num w:numId="27">
    <w:abstractNumId w:val="22"/>
  </w:num>
  <w:num w:numId="28">
    <w:abstractNumId w:val="17"/>
  </w:num>
  <w:num w:numId="29">
    <w:abstractNumId w:val="29"/>
  </w:num>
  <w:num w:numId="30">
    <w:abstractNumId w:val="14"/>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8849"/>
  </w:hdrShapeDefaults>
  <w:footnotePr>
    <w:footnote w:id="-1"/>
    <w:footnote w:id="0"/>
  </w:footnotePr>
  <w:endnotePr>
    <w:endnote w:id="-1"/>
    <w:endnote w:id="0"/>
  </w:endnotePr>
  <w:compat/>
  <w:rsids>
    <w:rsidRoot w:val="000B76E3"/>
    <w:rsid w:val="00001721"/>
    <w:rsid w:val="000066F8"/>
    <w:rsid w:val="00011B21"/>
    <w:rsid w:val="000165C2"/>
    <w:rsid w:val="00020FA5"/>
    <w:rsid w:val="00023880"/>
    <w:rsid w:val="00031D54"/>
    <w:rsid w:val="00035F91"/>
    <w:rsid w:val="00051231"/>
    <w:rsid w:val="00051F71"/>
    <w:rsid w:val="00053391"/>
    <w:rsid w:val="00053A12"/>
    <w:rsid w:val="00054B0A"/>
    <w:rsid w:val="0006054B"/>
    <w:rsid w:val="00060668"/>
    <w:rsid w:val="000609A8"/>
    <w:rsid w:val="00066762"/>
    <w:rsid w:val="00074D83"/>
    <w:rsid w:val="0008123A"/>
    <w:rsid w:val="00082F3F"/>
    <w:rsid w:val="00090363"/>
    <w:rsid w:val="00095F36"/>
    <w:rsid w:val="000A2F77"/>
    <w:rsid w:val="000A37FE"/>
    <w:rsid w:val="000B76E3"/>
    <w:rsid w:val="000B7F78"/>
    <w:rsid w:val="000C31C5"/>
    <w:rsid w:val="000D3C2C"/>
    <w:rsid w:val="000D4D87"/>
    <w:rsid w:val="000D6AF2"/>
    <w:rsid w:val="000F4943"/>
    <w:rsid w:val="000F61EF"/>
    <w:rsid w:val="00122C08"/>
    <w:rsid w:val="001238BB"/>
    <w:rsid w:val="0012419B"/>
    <w:rsid w:val="001257D1"/>
    <w:rsid w:val="001270BC"/>
    <w:rsid w:val="00130D74"/>
    <w:rsid w:val="00132D18"/>
    <w:rsid w:val="0013358A"/>
    <w:rsid w:val="00135F97"/>
    <w:rsid w:val="00142A20"/>
    <w:rsid w:val="001440A4"/>
    <w:rsid w:val="0014497A"/>
    <w:rsid w:val="00152EEF"/>
    <w:rsid w:val="00155C2F"/>
    <w:rsid w:val="00156F2A"/>
    <w:rsid w:val="00162C8E"/>
    <w:rsid w:val="0016548C"/>
    <w:rsid w:val="00165C4C"/>
    <w:rsid w:val="00167F19"/>
    <w:rsid w:val="0017006E"/>
    <w:rsid w:val="00170AB9"/>
    <w:rsid w:val="0017380A"/>
    <w:rsid w:val="00176477"/>
    <w:rsid w:val="00176DB7"/>
    <w:rsid w:val="0018153F"/>
    <w:rsid w:val="00185FDF"/>
    <w:rsid w:val="00186DA0"/>
    <w:rsid w:val="001902F8"/>
    <w:rsid w:val="00192718"/>
    <w:rsid w:val="001A1824"/>
    <w:rsid w:val="001A2258"/>
    <w:rsid w:val="001A24F0"/>
    <w:rsid w:val="001A24F8"/>
    <w:rsid w:val="001A50F6"/>
    <w:rsid w:val="001A542C"/>
    <w:rsid w:val="001B12E5"/>
    <w:rsid w:val="001B1720"/>
    <w:rsid w:val="001B2300"/>
    <w:rsid w:val="001C2327"/>
    <w:rsid w:val="001C31FD"/>
    <w:rsid w:val="001C500B"/>
    <w:rsid w:val="001C524F"/>
    <w:rsid w:val="001C7E12"/>
    <w:rsid w:val="001D5587"/>
    <w:rsid w:val="001E378B"/>
    <w:rsid w:val="001E5E95"/>
    <w:rsid w:val="001F14A7"/>
    <w:rsid w:val="001F4AF0"/>
    <w:rsid w:val="001F5A34"/>
    <w:rsid w:val="00201227"/>
    <w:rsid w:val="002018AC"/>
    <w:rsid w:val="002028ED"/>
    <w:rsid w:val="00206A60"/>
    <w:rsid w:val="002121D4"/>
    <w:rsid w:val="00216CD8"/>
    <w:rsid w:val="00223958"/>
    <w:rsid w:val="00227A67"/>
    <w:rsid w:val="00231C9C"/>
    <w:rsid w:val="002428BD"/>
    <w:rsid w:val="00243E8D"/>
    <w:rsid w:val="00243F04"/>
    <w:rsid w:val="00250CCD"/>
    <w:rsid w:val="00253602"/>
    <w:rsid w:val="002546D4"/>
    <w:rsid w:val="00255E07"/>
    <w:rsid w:val="00256492"/>
    <w:rsid w:val="00265C8C"/>
    <w:rsid w:val="00282888"/>
    <w:rsid w:val="00295DE3"/>
    <w:rsid w:val="00295EE9"/>
    <w:rsid w:val="002A13CC"/>
    <w:rsid w:val="002A467C"/>
    <w:rsid w:val="002A4BE6"/>
    <w:rsid w:val="002A4E72"/>
    <w:rsid w:val="002B2F6F"/>
    <w:rsid w:val="002B4BF4"/>
    <w:rsid w:val="002C00F5"/>
    <w:rsid w:val="002C03AA"/>
    <w:rsid w:val="002D1E65"/>
    <w:rsid w:val="002D75F0"/>
    <w:rsid w:val="002E00F5"/>
    <w:rsid w:val="002E29AF"/>
    <w:rsid w:val="002E6DC4"/>
    <w:rsid w:val="002E78FD"/>
    <w:rsid w:val="002F3491"/>
    <w:rsid w:val="00301CC0"/>
    <w:rsid w:val="003020E2"/>
    <w:rsid w:val="00305197"/>
    <w:rsid w:val="00317202"/>
    <w:rsid w:val="00320D86"/>
    <w:rsid w:val="00321956"/>
    <w:rsid w:val="00326942"/>
    <w:rsid w:val="00327A87"/>
    <w:rsid w:val="00327CFE"/>
    <w:rsid w:val="003347A2"/>
    <w:rsid w:val="00335701"/>
    <w:rsid w:val="00336061"/>
    <w:rsid w:val="00352159"/>
    <w:rsid w:val="003549CF"/>
    <w:rsid w:val="00357193"/>
    <w:rsid w:val="00361BD0"/>
    <w:rsid w:val="003707B6"/>
    <w:rsid w:val="00374817"/>
    <w:rsid w:val="0038044A"/>
    <w:rsid w:val="00386F70"/>
    <w:rsid w:val="00395271"/>
    <w:rsid w:val="003A06D4"/>
    <w:rsid w:val="003B2FD5"/>
    <w:rsid w:val="003B357A"/>
    <w:rsid w:val="003C0767"/>
    <w:rsid w:val="003C269D"/>
    <w:rsid w:val="003D6E95"/>
    <w:rsid w:val="003F0A3E"/>
    <w:rsid w:val="003F2D0A"/>
    <w:rsid w:val="003F4C44"/>
    <w:rsid w:val="00401E97"/>
    <w:rsid w:val="00416462"/>
    <w:rsid w:val="00417228"/>
    <w:rsid w:val="0042086E"/>
    <w:rsid w:val="00421D50"/>
    <w:rsid w:val="004255C7"/>
    <w:rsid w:val="00432F14"/>
    <w:rsid w:val="0044240A"/>
    <w:rsid w:val="00442B0D"/>
    <w:rsid w:val="0044418B"/>
    <w:rsid w:val="004456F9"/>
    <w:rsid w:val="00450048"/>
    <w:rsid w:val="00451DD8"/>
    <w:rsid w:val="00453BF5"/>
    <w:rsid w:val="00453FB6"/>
    <w:rsid w:val="00454373"/>
    <w:rsid w:val="0045449C"/>
    <w:rsid w:val="00454D79"/>
    <w:rsid w:val="004617A2"/>
    <w:rsid w:val="004624C6"/>
    <w:rsid w:val="0046276B"/>
    <w:rsid w:val="004667F5"/>
    <w:rsid w:val="00483BDE"/>
    <w:rsid w:val="00494A26"/>
    <w:rsid w:val="00495A00"/>
    <w:rsid w:val="00495D19"/>
    <w:rsid w:val="00497D14"/>
    <w:rsid w:val="004A2B5D"/>
    <w:rsid w:val="004B3A37"/>
    <w:rsid w:val="004B5330"/>
    <w:rsid w:val="004B5405"/>
    <w:rsid w:val="004B6D17"/>
    <w:rsid w:val="004C2675"/>
    <w:rsid w:val="004C2A00"/>
    <w:rsid w:val="004C513F"/>
    <w:rsid w:val="004C76D8"/>
    <w:rsid w:val="004D194F"/>
    <w:rsid w:val="004D4AFF"/>
    <w:rsid w:val="004D6724"/>
    <w:rsid w:val="004E3C95"/>
    <w:rsid w:val="004E6C3D"/>
    <w:rsid w:val="004E798B"/>
    <w:rsid w:val="004E7D32"/>
    <w:rsid w:val="004F5801"/>
    <w:rsid w:val="00500326"/>
    <w:rsid w:val="00501CB9"/>
    <w:rsid w:val="00510BDA"/>
    <w:rsid w:val="00511C54"/>
    <w:rsid w:val="00512E91"/>
    <w:rsid w:val="00514325"/>
    <w:rsid w:val="005168BD"/>
    <w:rsid w:val="0052505A"/>
    <w:rsid w:val="00525100"/>
    <w:rsid w:val="00526EED"/>
    <w:rsid w:val="005314E0"/>
    <w:rsid w:val="00531A63"/>
    <w:rsid w:val="00531CBE"/>
    <w:rsid w:val="0053243E"/>
    <w:rsid w:val="00532EAA"/>
    <w:rsid w:val="00533AB3"/>
    <w:rsid w:val="00550E53"/>
    <w:rsid w:val="0055194C"/>
    <w:rsid w:val="00553340"/>
    <w:rsid w:val="00557333"/>
    <w:rsid w:val="0056090C"/>
    <w:rsid w:val="00567B91"/>
    <w:rsid w:val="0057119B"/>
    <w:rsid w:val="00575F3A"/>
    <w:rsid w:val="00590AD1"/>
    <w:rsid w:val="00593DCF"/>
    <w:rsid w:val="00595891"/>
    <w:rsid w:val="00597EE0"/>
    <w:rsid w:val="005A03EE"/>
    <w:rsid w:val="005A250A"/>
    <w:rsid w:val="005A5181"/>
    <w:rsid w:val="005A58AE"/>
    <w:rsid w:val="005B1314"/>
    <w:rsid w:val="005B4405"/>
    <w:rsid w:val="005B65E8"/>
    <w:rsid w:val="005B6E82"/>
    <w:rsid w:val="005B7066"/>
    <w:rsid w:val="005B7896"/>
    <w:rsid w:val="005C54B4"/>
    <w:rsid w:val="005D1E80"/>
    <w:rsid w:val="005D2D4B"/>
    <w:rsid w:val="005D621A"/>
    <w:rsid w:val="005E634C"/>
    <w:rsid w:val="005E64CE"/>
    <w:rsid w:val="005F0427"/>
    <w:rsid w:val="005F39AB"/>
    <w:rsid w:val="005F4EDF"/>
    <w:rsid w:val="005F5A77"/>
    <w:rsid w:val="005F6AFA"/>
    <w:rsid w:val="006004BE"/>
    <w:rsid w:val="0060717F"/>
    <w:rsid w:val="00614C6E"/>
    <w:rsid w:val="006175B8"/>
    <w:rsid w:val="00626E32"/>
    <w:rsid w:val="00627E85"/>
    <w:rsid w:val="00642BC9"/>
    <w:rsid w:val="006448FE"/>
    <w:rsid w:val="00650387"/>
    <w:rsid w:val="006509BE"/>
    <w:rsid w:val="00660110"/>
    <w:rsid w:val="006603C5"/>
    <w:rsid w:val="00663DCF"/>
    <w:rsid w:val="00664209"/>
    <w:rsid w:val="006670B7"/>
    <w:rsid w:val="00670481"/>
    <w:rsid w:val="00681F1D"/>
    <w:rsid w:val="00682C0C"/>
    <w:rsid w:val="00683300"/>
    <w:rsid w:val="0068447A"/>
    <w:rsid w:val="00685C32"/>
    <w:rsid w:val="006915F8"/>
    <w:rsid w:val="006A0582"/>
    <w:rsid w:val="006A49F0"/>
    <w:rsid w:val="006B2785"/>
    <w:rsid w:val="006B456D"/>
    <w:rsid w:val="006B7D37"/>
    <w:rsid w:val="006C0B9D"/>
    <w:rsid w:val="006C0E9F"/>
    <w:rsid w:val="006C2A41"/>
    <w:rsid w:val="006C6AFA"/>
    <w:rsid w:val="006D0421"/>
    <w:rsid w:val="006D19A1"/>
    <w:rsid w:val="006D1CCB"/>
    <w:rsid w:val="006D5814"/>
    <w:rsid w:val="006D74AB"/>
    <w:rsid w:val="006D74F9"/>
    <w:rsid w:val="006D75A7"/>
    <w:rsid w:val="006F05FB"/>
    <w:rsid w:val="006F0712"/>
    <w:rsid w:val="006F7F39"/>
    <w:rsid w:val="0070386C"/>
    <w:rsid w:val="007062CF"/>
    <w:rsid w:val="00712174"/>
    <w:rsid w:val="00722551"/>
    <w:rsid w:val="00727F85"/>
    <w:rsid w:val="007303CC"/>
    <w:rsid w:val="007304E7"/>
    <w:rsid w:val="00732F56"/>
    <w:rsid w:val="007349FB"/>
    <w:rsid w:val="00736B19"/>
    <w:rsid w:val="0074422E"/>
    <w:rsid w:val="00745A8E"/>
    <w:rsid w:val="00747917"/>
    <w:rsid w:val="0075015F"/>
    <w:rsid w:val="0075112F"/>
    <w:rsid w:val="0075138D"/>
    <w:rsid w:val="00760867"/>
    <w:rsid w:val="007707CF"/>
    <w:rsid w:val="0077346F"/>
    <w:rsid w:val="0077572E"/>
    <w:rsid w:val="00776963"/>
    <w:rsid w:val="00777FFA"/>
    <w:rsid w:val="007804C3"/>
    <w:rsid w:val="00780DC4"/>
    <w:rsid w:val="00797123"/>
    <w:rsid w:val="007A0C3D"/>
    <w:rsid w:val="007A1CC6"/>
    <w:rsid w:val="007A6061"/>
    <w:rsid w:val="007B2E1A"/>
    <w:rsid w:val="007B31EF"/>
    <w:rsid w:val="007B459E"/>
    <w:rsid w:val="007D5389"/>
    <w:rsid w:val="007D53CB"/>
    <w:rsid w:val="007D5EC2"/>
    <w:rsid w:val="007E3847"/>
    <w:rsid w:val="007E5078"/>
    <w:rsid w:val="007E65F6"/>
    <w:rsid w:val="007F05D8"/>
    <w:rsid w:val="007F2512"/>
    <w:rsid w:val="007F5B83"/>
    <w:rsid w:val="007F601D"/>
    <w:rsid w:val="00800393"/>
    <w:rsid w:val="00805BDF"/>
    <w:rsid w:val="00806D35"/>
    <w:rsid w:val="00814DFE"/>
    <w:rsid w:val="00816260"/>
    <w:rsid w:val="00820760"/>
    <w:rsid w:val="00822D6E"/>
    <w:rsid w:val="008231CE"/>
    <w:rsid w:val="00824A28"/>
    <w:rsid w:val="00825193"/>
    <w:rsid w:val="00825DB5"/>
    <w:rsid w:val="00833A52"/>
    <w:rsid w:val="00833D4B"/>
    <w:rsid w:val="00835DB6"/>
    <w:rsid w:val="00836CD0"/>
    <w:rsid w:val="0084116E"/>
    <w:rsid w:val="0084175A"/>
    <w:rsid w:val="00841CD4"/>
    <w:rsid w:val="00847A7D"/>
    <w:rsid w:val="0085389D"/>
    <w:rsid w:val="008538F2"/>
    <w:rsid w:val="008552FD"/>
    <w:rsid w:val="00855F0E"/>
    <w:rsid w:val="00863FE2"/>
    <w:rsid w:val="008667CF"/>
    <w:rsid w:val="00867FDE"/>
    <w:rsid w:val="00871D62"/>
    <w:rsid w:val="00876DC1"/>
    <w:rsid w:val="008776B6"/>
    <w:rsid w:val="00886043"/>
    <w:rsid w:val="008952E8"/>
    <w:rsid w:val="00895A5F"/>
    <w:rsid w:val="008A6535"/>
    <w:rsid w:val="008A6CA0"/>
    <w:rsid w:val="008B1B91"/>
    <w:rsid w:val="008B2E76"/>
    <w:rsid w:val="008B35A1"/>
    <w:rsid w:val="008B68A5"/>
    <w:rsid w:val="008C11A9"/>
    <w:rsid w:val="008C1F66"/>
    <w:rsid w:val="008C394E"/>
    <w:rsid w:val="008C4744"/>
    <w:rsid w:val="008D3414"/>
    <w:rsid w:val="008D5F7E"/>
    <w:rsid w:val="008D7B8A"/>
    <w:rsid w:val="008E108F"/>
    <w:rsid w:val="008F0561"/>
    <w:rsid w:val="008F7A09"/>
    <w:rsid w:val="00900D24"/>
    <w:rsid w:val="009044AB"/>
    <w:rsid w:val="00907E29"/>
    <w:rsid w:val="00911D29"/>
    <w:rsid w:val="00911EC3"/>
    <w:rsid w:val="00915FDE"/>
    <w:rsid w:val="0092090C"/>
    <w:rsid w:val="00923336"/>
    <w:rsid w:val="00923959"/>
    <w:rsid w:val="00926885"/>
    <w:rsid w:val="00926F1B"/>
    <w:rsid w:val="0093172D"/>
    <w:rsid w:val="00936CC2"/>
    <w:rsid w:val="00937AC7"/>
    <w:rsid w:val="009417D7"/>
    <w:rsid w:val="00945315"/>
    <w:rsid w:val="00950C23"/>
    <w:rsid w:val="00952906"/>
    <w:rsid w:val="0095440D"/>
    <w:rsid w:val="00961392"/>
    <w:rsid w:val="00961501"/>
    <w:rsid w:val="00961D68"/>
    <w:rsid w:val="00961E4C"/>
    <w:rsid w:val="00967024"/>
    <w:rsid w:val="00972AC5"/>
    <w:rsid w:val="00977DBB"/>
    <w:rsid w:val="009817AF"/>
    <w:rsid w:val="00982662"/>
    <w:rsid w:val="009847BA"/>
    <w:rsid w:val="009855ED"/>
    <w:rsid w:val="00987EEC"/>
    <w:rsid w:val="00990750"/>
    <w:rsid w:val="0099423D"/>
    <w:rsid w:val="00996EAD"/>
    <w:rsid w:val="009A0A13"/>
    <w:rsid w:val="009A1226"/>
    <w:rsid w:val="009B163C"/>
    <w:rsid w:val="009B1A7F"/>
    <w:rsid w:val="009B1ACF"/>
    <w:rsid w:val="009B2AE7"/>
    <w:rsid w:val="009D043A"/>
    <w:rsid w:val="009D1840"/>
    <w:rsid w:val="009D2119"/>
    <w:rsid w:val="009D273F"/>
    <w:rsid w:val="009E0566"/>
    <w:rsid w:val="009E41FF"/>
    <w:rsid w:val="009E5A31"/>
    <w:rsid w:val="009E61F9"/>
    <w:rsid w:val="00A1068A"/>
    <w:rsid w:val="00A23816"/>
    <w:rsid w:val="00A30D1D"/>
    <w:rsid w:val="00A33C12"/>
    <w:rsid w:val="00A3592E"/>
    <w:rsid w:val="00A37341"/>
    <w:rsid w:val="00A40083"/>
    <w:rsid w:val="00A4101F"/>
    <w:rsid w:val="00A50AF4"/>
    <w:rsid w:val="00A5186A"/>
    <w:rsid w:val="00A52AF8"/>
    <w:rsid w:val="00A6078B"/>
    <w:rsid w:val="00A6799B"/>
    <w:rsid w:val="00A731D0"/>
    <w:rsid w:val="00A73C4B"/>
    <w:rsid w:val="00A916C2"/>
    <w:rsid w:val="00A9484D"/>
    <w:rsid w:val="00AA3CFE"/>
    <w:rsid w:val="00AA4017"/>
    <w:rsid w:val="00AA7D3C"/>
    <w:rsid w:val="00AB0572"/>
    <w:rsid w:val="00AB4AF1"/>
    <w:rsid w:val="00AC3081"/>
    <w:rsid w:val="00AE2001"/>
    <w:rsid w:val="00AE3E2F"/>
    <w:rsid w:val="00AE488F"/>
    <w:rsid w:val="00AE6999"/>
    <w:rsid w:val="00AE7052"/>
    <w:rsid w:val="00AF05C8"/>
    <w:rsid w:val="00AF12C8"/>
    <w:rsid w:val="00AF44A0"/>
    <w:rsid w:val="00AF5AA4"/>
    <w:rsid w:val="00AF68C7"/>
    <w:rsid w:val="00B01FD8"/>
    <w:rsid w:val="00B035EF"/>
    <w:rsid w:val="00B1322B"/>
    <w:rsid w:val="00B21682"/>
    <w:rsid w:val="00B23190"/>
    <w:rsid w:val="00B33F2E"/>
    <w:rsid w:val="00B34935"/>
    <w:rsid w:val="00B35ED5"/>
    <w:rsid w:val="00B4002B"/>
    <w:rsid w:val="00B40EA7"/>
    <w:rsid w:val="00B44A56"/>
    <w:rsid w:val="00B50BA7"/>
    <w:rsid w:val="00B51361"/>
    <w:rsid w:val="00B559D8"/>
    <w:rsid w:val="00B56B47"/>
    <w:rsid w:val="00B65409"/>
    <w:rsid w:val="00B730D3"/>
    <w:rsid w:val="00B74719"/>
    <w:rsid w:val="00B74847"/>
    <w:rsid w:val="00B76D59"/>
    <w:rsid w:val="00B81836"/>
    <w:rsid w:val="00B84422"/>
    <w:rsid w:val="00B92F1E"/>
    <w:rsid w:val="00B943F2"/>
    <w:rsid w:val="00BA077F"/>
    <w:rsid w:val="00BA2450"/>
    <w:rsid w:val="00BA346D"/>
    <w:rsid w:val="00BA426E"/>
    <w:rsid w:val="00BA58E9"/>
    <w:rsid w:val="00BA77C0"/>
    <w:rsid w:val="00BB1E11"/>
    <w:rsid w:val="00BB473B"/>
    <w:rsid w:val="00BB4E88"/>
    <w:rsid w:val="00BB698F"/>
    <w:rsid w:val="00BC07AD"/>
    <w:rsid w:val="00BC1B14"/>
    <w:rsid w:val="00BC259F"/>
    <w:rsid w:val="00BC65B9"/>
    <w:rsid w:val="00BD0F23"/>
    <w:rsid w:val="00BD2441"/>
    <w:rsid w:val="00BD3B1F"/>
    <w:rsid w:val="00BD63B2"/>
    <w:rsid w:val="00BD73DC"/>
    <w:rsid w:val="00BD7B8C"/>
    <w:rsid w:val="00BE1C37"/>
    <w:rsid w:val="00BE61BE"/>
    <w:rsid w:val="00BF2AC4"/>
    <w:rsid w:val="00BF2DAF"/>
    <w:rsid w:val="00BF3F8A"/>
    <w:rsid w:val="00C011B1"/>
    <w:rsid w:val="00C05A86"/>
    <w:rsid w:val="00C1126C"/>
    <w:rsid w:val="00C11759"/>
    <w:rsid w:val="00C127B5"/>
    <w:rsid w:val="00C146CB"/>
    <w:rsid w:val="00C14D72"/>
    <w:rsid w:val="00C223AB"/>
    <w:rsid w:val="00C237E1"/>
    <w:rsid w:val="00C33322"/>
    <w:rsid w:val="00C3534F"/>
    <w:rsid w:val="00C3545F"/>
    <w:rsid w:val="00C41841"/>
    <w:rsid w:val="00C4339B"/>
    <w:rsid w:val="00C46B17"/>
    <w:rsid w:val="00C5196A"/>
    <w:rsid w:val="00C54D60"/>
    <w:rsid w:val="00C60715"/>
    <w:rsid w:val="00C703CD"/>
    <w:rsid w:val="00C81A36"/>
    <w:rsid w:val="00C8401B"/>
    <w:rsid w:val="00C84917"/>
    <w:rsid w:val="00C84E2E"/>
    <w:rsid w:val="00C85858"/>
    <w:rsid w:val="00C87D54"/>
    <w:rsid w:val="00C96452"/>
    <w:rsid w:val="00CA398D"/>
    <w:rsid w:val="00CA5DAE"/>
    <w:rsid w:val="00CC4C06"/>
    <w:rsid w:val="00CC59AC"/>
    <w:rsid w:val="00CC77E7"/>
    <w:rsid w:val="00CD1947"/>
    <w:rsid w:val="00CD454D"/>
    <w:rsid w:val="00CD6891"/>
    <w:rsid w:val="00CD706F"/>
    <w:rsid w:val="00CE0924"/>
    <w:rsid w:val="00CF0618"/>
    <w:rsid w:val="00CF1658"/>
    <w:rsid w:val="00CF5746"/>
    <w:rsid w:val="00D03B9E"/>
    <w:rsid w:val="00D04B4E"/>
    <w:rsid w:val="00D1099A"/>
    <w:rsid w:val="00D14A21"/>
    <w:rsid w:val="00D159BA"/>
    <w:rsid w:val="00D16807"/>
    <w:rsid w:val="00D216CD"/>
    <w:rsid w:val="00D23D10"/>
    <w:rsid w:val="00D24327"/>
    <w:rsid w:val="00D2521E"/>
    <w:rsid w:val="00D3542B"/>
    <w:rsid w:val="00D36529"/>
    <w:rsid w:val="00D41270"/>
    <w:rsid w:val="00D41E83"/>
    <w:rsid w:val="00D4453E"/>
    <w:rsid w:val="00D51BDD"/>
    <w:rsid w:val="00D53CA2"/>
    <w:rsid w:val="00D55CF1"/>
    <w:rsid w:val="00D607D7"/>
    <w:rsid w:val="00D677E1"/>
    <w:rsid w:val="00D70A08"/>
    <w:rsid w:val="00D71F34"/>
    <w:rsid w:val="00D76C17"/>
    <w:rsid w:val="00D85401"/>
    <w:rsid w:val="00D85417"/>
    <w:rsid w:val="00D9033C"/>
    <w:rsid w:val="00D90A99"/>
    <w:rsid w:val="00D9433A"/>
    <w:rsid w:val="00D966F0"/>
    <w:rsid w:val="00DA14C4"/>
    <w:rsid w:val="00DA1605"/>
    <w:rsid w:val="00DB2319"/>
    <w:rsid w:val="00DB6994"/>
    <w:rsid w:val="00DB7874"/>
    <w:rsid w:val="00DC1F29"/>
    <w:rsid w:val="00DC341D"/>
    <w:rsid w:val="00DC5E84"/>
    <w:rsid w:val="00DD1FBC"/>
    <w:rsid w:val="00DE1120"/>
    <w:rsid w:val="00DE12DA"/>
    <w:rsid w:val="00DE70EB"/>
    <w:rsid w:val="00DF196B"/>
    <w:rsid w:val="00DF1E4C"/>
    <w:rsid w:val="00DF498A"/>
    <w:rsid w:val="00DF77D2"/>
    <w:rsid w:val="00E04EDE"/>
    <w:rsid w:val="00E064DA"/>
    <w:rsid w:val="00E15105"/>
    <w:rsid w:val="00E157C4"/>
    <w:rsid w:val="00E234ED"/>
    <w:rsid w:val="00E27407"/>
    <w:rsid w:val="00E30062"/>
    <w:rsid w:val="00E3092E"/>
    <w:rsid w:val="00E3211F"/>
    <w:rsid w:val="00E340D5"/>
    <w:rsid w:val="00E34BE8"/>
    <w:rsid w:val="00E36150"/>
    <w:rsid w:val="00E367C3"/>
    <w:rsid w:val="00E37CB5"/>
    <w:rsid w:val="00E40CDF"/>
    <w:rsid w:val="00E42087"/>
    <w:rsid w:val="00E46208"/>
    <w:rsid w:val="00E50146"/>
    <w:rsid w:val="00E54AC6"/>
    <w:rsid w:val="00E6711B"/>
    <w:rsid w:val="00E674E2"/>
    <w:rsid w:val="00E708F8"/>
    <w:rsid w:val="00E74532"/>
    <w:rsid w:val="00E77897"/>
    <w:rsid w:val="00E82D7F"/>
    <w:rsid w:val="00E924FE"/>
    <w:rsid w:val="00E92573"/>
    <w:rsid w:val="00E92A75"/>
    <w:rsid w:val="00E94500"/>
    <w:rsid w:val="00E979FC"/>
    <w:rsid w:val="00EA2BE1"/>
    <w:rsid w:val="00EA7E47"/>
    <w:rsid w:val="00EB22E1"/>
    <w:rsid w:val="00EB414C"/>
    <w:rsid w:val="00EB4318"/>
    <w:rsid w:val="00EB5699"/>
    <w:rsid w:val="00EB6594"/>
    <w:rsid w:val="00EC057A"/>
    <w:rsid w:val="00EC097D"/>
    <w:rsid w:val="00ED14B4"/>
    <w:rsid w:val="00ED1664"/>
    <w:rsid w:val="00ED5180"/>
    <w:rsid w:val="00EE6BA7"/>
    <w:rsid w:val="00EE6C91"/>
    <w:rsid w:val="00EF1B26"/>
    <w:rsid w:val="00EF4352"/>
    <w:rsid w:val="00EF44EC"/>
    <w:rsid w:val="00EF7F37"/>
    <w:rsid w:val="00F00EA6"/>
    <w:rsid w:val="00F01EA0"/>
    <w:rsid w:val="00F027D3"/>
    <w:rsid w:val="00F07A55"/>
    <w:rsid w:val="00F1123A"/>
    <w:rsid w:val="00F11448"/>
    <w:rsid w:val="00F15386"/>
    <w:rsid w:val="00F16B09"/>
    <w:rsid w:val="00F17DE0"/>
    <w:rsid w:val="00F22B1B"/>
    <w:rsid w:val="00F25C82"/>
    <w:rsid w:val="00F27797"/>
    <w:rsid w:val="00F3087F"/>
    <w:rsid w:val="00F35653"/>
    <w:rsid w:val="00F35A23"/>
    <w:rsid w:val="00F35FE2"/>
    <w:rsid w:val="00F36F28"/>
    <w:rsid w:val="00F4217C"/>
    <w:rsid w:val="00F42275"/>
    <w:rsid w:val="00F4280A"/>
    <w:rsid w:val="00F42F4F"/>
    <w:rsid w:val="00F43E23"/>
    <w:rsid w:val="00F4444D"/>
    <w:rsid w:val="00F45D58"/>
    <w:rsid w:val="00F51704"/>
    <w:rsid w:val="00F55ED0"/>
    <w:rsid w:val="00F60526"/>
    <w:rsid w:val="00F7748F"/>
    <w:rsid w:val="00F77A3C"/>
    <w:rsid w:val="00F8427B"/>
    <w:rsid w:val="00F931F7"/>
    <w:rsid w:val="00F94808"/>
    <w:rsid w:val="00FA0CB2"/>
    <w:rsid w:val="00FA3D97"/>
    <w:rsid w:val="00FA3E96"/>
    <w:rsid w:val="00FA638C"/>
    <w:rsid w:val="00FB08E4"/>
    <w:rsid w:val="00FB58B0"/>
    <w:rsid w:val="00FC09FC"/>
    <w:rsid w:val="00FC5B62"/>
    <w:rsid w:val="00FC7845"/>
    <w:rsid w:val="00FC78CF"/>
    <w:rsid w:val="00FD7A5A"/>
    <w:rsid w:val="00FD7E8F"/>
    <w:rsid w:val="00FE0AA8"/>
    <w:rsid w:val="00FE6303"/>
    <w:rsid w:val="00FF1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6E3"/>
    <w:rPr>
      <w:rFonts w:ascii="Times New Roman" w:eastAsia="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76E3"/>
    <w:pPr>
      <w:tabs>
        <w:tab w:val="center" w:pos="4153"/>
        <w:tab w:val="right" w:pos="8306"/>
      </w:tabs>
    </w:pPr>
  </w:style>
  <w:style w:type="character" w:customStyle="1" w:styleId="HeaderChar">
    <w:name w:val="Header Char"/>
    <w:basedOn w:val="DefaultParagraphFont"/>
    <w:link w:val="Header"/>
    <w:uiPriority w:val="99"/>
    <w:rsid w:val="000B76E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0B76E3"/>
    <w:pPr>
      <w:tabs>
        <w:tab w:val="center" w:pos="4153"/>
        <w:tab w:val="right" w:pos="8306"/>
      </w:tabs>
    </w:pPr>
  </w:style>
  <w:style w:type="character" w:customStyle="1" w:styleId="FooterChar">
    <w:name w:val="Footer Char"/>
    <w:basedOn w:val="DefaultParagraphFont"/>
    <w:link w:val="Footer"/>
    <w:uiPriority w:val="99"/>
    <w:rsid w:val="000B76E3"/>
    <w:rPr>
      <w:rFonts w:ascii="Times New Roman" w:eastAsia="Times New Roman" w:hAnsi="Times New Roman" w:cs="Times New Roman"/>
      <w:sz w:val="24"/>
      <w:szCs w:val="24"/>
      <w:lang w:val="lv-LV" w:eastAsia="lv-LV"/>
    </w:rPr>
  </w:style>
  <w:style w:type="character" w:styleId="PageNumber">
    <w:name w:val="page number"/>
    <w:basedOn w:val="DefaultParagraphFont"/>
    <w:rsid w:val="000B76E3"/>
  </w:style>
  <w:style w:type="paragraph" w:customStyle="1" w:styleId="naisf">
    <w:name w:val="naisf"/>
    <w:basedOn w:val="Normal"/>
    <w:rsid w:val="000B76E3"/>
    <w:pPr>
      <w:spacing w:before="75" w:after="75"/>
      <w:ind w:firstLine="375"/>
      <w:jc w:val="both"/>
    </w:pPr>
  </w:style>
  <w:style w:type="paragraph" w:customStyle="1" w:styleId="naisnod">
    <w:name w:val="naisnod"/>
    <w:basedOn w:val="Normal"/>
    <w:rsid w:val="000B76E3"/>
    <w:pPr>
      <w:spacing w:before="150" w:after="150"/>
      <w:jc w:val="center"/>
    </w:pPr>
    <w:rPr>
      <w:rFonts w:eastAsia="Calibri"/>
      <w:b/>
      <w:bCs/>
    </w:rPr>
  </w:style>
  <w:style w:type="paragraph" w:customStyle="1" w:styleId="naiskr">
    <w:name w:val="naiskr"/>
    <w:basedOn w:val="Normal"/>
    <w:rsid w:val="000B76E3"/>
    <w:pPr>
      <w:spacing w:before="75" w:after="75"/>
    </w:pPr>
    <w:rPr>
      <w:rFonts w:eastAsia="Calibri"/>
    </w:rPr>
  </w:style>
  <w:style w:type="paragraph" w:styleId="ListParagraph">
    <w:name w:val="List Paragraph"/>
    <w:basedOn w:val="Normal"/>
    <w:uiPriority w:val="34"/>
    <w:qFormat/>
    <w:rsid w:val="000B76E3"/>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rsid w:val="000B76E3"/>
    <w:pPr>
      <w:spacing w:before="100" w:beforeAutospacing="1" w:after="119"/>
    </w:pPr>
  </w:style>
  <w:style w:type="character" w:styleId="Hyperlink">
    <w:name w:val="Hyperlink"/>
    <w:basedOn w:val="DefaultParagraphFont"/>
    <w:rsid w:val="000B76E3"/>
    <w:rPr>
      <w:color w:val="0000FF"/>
      <w:u w:val="single"/>
    </w:rPr>
  </w:style>
  <w:style w:type="paragraph" w:styleId="FootnoteText">
    <w:name w:val="footnote text"/>
    <w:basedOn w:val="Normal"/>
    <w:link w:val="FootnoteTextChar"/>
    <w:rsid w:val="000B76E3"/>
    <w:rPr>
      <w:sz w:val="20"/>
      <w:szCs w:val="20"/>
    </w:rPr>
  </w:style>
  <w:style w:type="character" w:customStyle="1" w:styleId="FootnoteTextChar">
    <w:name w:val="Footnote Text Char"/>
    <w:basedOn w:val="DefaultParagraphFont"/>
    <w:link w:val="FootnoteText"/>
    <w:rsid w:val="000B76E3"/>
    <w:rPr>
      <w:rFonts w:ascii="Times New Roman" w:eastAsia="Times New Roman" w:hAnsi="Times New Roman" w:cs="Times New Roman"/>
      <w:sz w:val="20"/>
      <w:szCs w:val="20"/>
      <w:lang w:val="lv-LV" w:eastAsia="lv-LV"/>
    </w:rPr>
  </w:style>
  <w:style w:type="paragraph" w:styleId="NoSpacing">
    <w:name w:val="No Spacing"/>
    <w:uiPriority w:val="1"/>
    <w:qFormat/>
    <w:rsid w:val="000B76E3"/>
    <w:rPr>
      <w:rFonts w:ascii="Times New Roman" w:eastAsia="Times New Roman" w:hAnsi="Times New Roman"/>
      <w:sz w:val="24"/>
      <w:szCs w:val="24"/>
      <w:lang w:val="lv-LV" w:eastAsia="lv-LV"/>
    </w:rPr>
  </w:style>
  <w:style w:type="paragraph" w:customStyle="1" w:styleId="tvhtml">
    <w:name w:val="tv_html"/>
    <w:basedOn w:val="Normal"/>
    <w:rsid w:val="000B76E3"/>
    <w:pPr>
      <w:spacing w:before="100" w:beforeAutospacing="1" w:after="100" w:afterAutospacing="1"/>
    </w:pPr>
    <w:rPr>
      <w:rFonts w:ascii="Verdana" w:hAnsi="Verdana"/>
      <w:sz w:val="18"/>
      <w:szCs w:val="18"/>
      <w:lang w:val="en-US" w:eastAsia="en-US" w:bidi="lo-LA"/>
    </w:rPr>
  </w:style>
  <w:style w:type="paragraph" w:customStyle="1" w:styleId="naisc">
    <w:name w:val="naisc"/>
    <w:basedOn w:val="Normal"/>
    <w:rsid w:val="000B76E3"/>
    <w:pPr>
      <w:spacing w:before="75" w:after="75"/>
      <w:jc w:val="center"/>
    </w:pPr>
  </w:style>
  <w:style w:type="paragraph" w:customStyle="1" w:styleId="Default">
    <w:name w:val="Default"/>
    <w:rsid w:val="000B76E3"/>
    <w:pPr>
      <w:autoSpaceDE w:val="0"/>
      <w:autoSpaceDN w:val="0"/>
      <w:adjustRightInd w:val="0"/>
    </w:pPr>
    <w:rPr>
      <w:rFonts w:ascii="EUAlbertina" w:eastAsia="Times New Roman" w:hAnsi="EUAlbertina" w:cs="EUAlbertina"/>
      <w:color w:val="000000"/>
      <w:sz w:val="24"/>
      <w:szCs w:val="24"/>
      <w:lang w:bidi="lo-LA"/>
    </w:rPr>
  </w:style>
  <w:style w:type="character" w:styleId="CommentReference">
    <w:name w:val="annotation reference"/>
    <w:basedOn w:val="DefaultParagraphFont"/>
    <w:uiPriority w:val="99"/>
    <w:semiHidden/>
    <w:unhideWhenUsed/>
    <w:rsid w:val="00F07A55"/>
    <w:rPr>
      <w:sz w:val="16"/>
      <w:szCs w:val="16"/>
    </w:rPr>
  </w:style>
  <w:style w:type="paragraph" w:styleId="CommentText">
    <w:name w:val="annotation text"/>
    <w:basedOn w:val="Normal"/>
    <w:link w:val="CommentTextChar"/>
    <w:uiPriority w:val="99"/>
    <w:semiHidden/>
    <w:unhideWhenUsed/>
    <w:rsid w:val="00F07A55"/>
    <w:rPr>
      <w:sz w:val="20"/>
      <w:szCs w:val="20"/>
    </w:rPr>
  </w:style>
  <w:style w:type="character" w:customStyle="1" w:styleId="CommentTextChar">
    <w:name w:val="Comment Text Char"/>
    <w:basedOn w:val="DefaultParagraphFont"/>
    <w:link w:val="CommentText"/>
    <w:uiPriority w:val="99"/>
    <w:semiHidden/>
    <w:rsid w:val="00F07A55"/>
    <w:rPr>
      <w:rFonts w:ascii="Times New Roman" w:eastAsia="Times New Roman" w:hAnsi="Times New Roman"/>
      <w:lang w:val="lv-LV" w:eastAsia="lv-LV"/>
    </w:rPr>
  </w:style>
  <w:style w:type="paragraph" w:styleId="CommentSubject">
    <w:name w:val="annotation subject"/>
    <w:basedOn w:val="CommentText"/>
    <w:next w:val="CommentText"/>
    <w:link w:val="CommentSubjectChar"/>
    <w:uiPriority w:val="99"/>
    <w:semiHidden/>
    <w:unhideWhenUsed/>
    <w:rsid w:val="00F07A55"/>
    <w:rPr>
      <w:b/>
      <w:bCs/>
    </w:rPr>
  </w:style>
  <w:style w:type="character" w:customStyle="1" w:styleId="CommentSubjectChar">
    <w:name w:val="Comment Subject Char"/>
    <w:basedOn w:val="CommentTextChar"/>
    <w:link w:val="CommentSubject"/>
    <w:uiPriority w:val="99"/>
    <w:semiHidden/>
    <w:rsid w:val="00F07A55"/>
    <w:rPr>
      <w:b/>
      <w:bCs/>
    </w:rPr>
  </w:style>
  <w:style w:type="paragraph" w:styleId="BalloonText">
    <w:name w:val="Balloon Text"/>
    <w:basedOn w:val="Normal"/>
    <w:link w:val="BalloonTextChar"/>
    <w:uiPriority w:val="99"/>
    <w:semiHidden/>
    <w:unhideWhenUsed/>
    <w:rsid w:val="00F07A55"/>
    <w:rPr>
      <w:rFonts w:ascii="Tahoma" w:hAnsi="Tahoma" w:cs="Tahoma"/>
      <w:sz w:val="16"/>
      <w:szCs w:val="16"/>
    </w:rPr>
  </w:style>
  <w:style w:type="character" w:customStyle="1" w:styleId="BalloonTextChar">
    <w:name w:val="Balloon Text Char"/>
    <w:basedOn w:val="DefaultParagraphFont"/>
    <w:link w:val="BalloonText"/>
    <w:uiPriority w:val="99"/>
    <w:semiHidden/>
    <w:rsid w:val="00F07A55"/>
    <w:rPr>
      <w:rFonts w:ascii="Tahoma" w:eastAsia="Times New Roman" w:hAnsi="Tahoma" w:cs="Tahoma"/>
      <w:sz w:val="16"/>
      <w:szCs w:val="16"/>
      <w:lang w:val="lv-LV" w:eastAsia="lv-LV"/>
    </w:rPr>
  </w:style>
  <w:style w:type="character" w:styleId="FootnoteReference">
    <w:name w:val="footnote reference"/>
    <w:basedOn w:val="DefaultParagraphFont"/>
    <w:uiPriority w:val="99"/>
    <w:semiHidden/>
    <w:unhideWhenUsed/>
    <w:rsid w:val="003C269D"/>
    <w:rPr>
      <w:vertAlign w:val="superscript"/>
    </w:rPr>
  </w:style>
  <w:style w:type="paragraph" w:styleId="BodyText">
    <w:name w:val="Body Text"/>
    <w:basedOn w:val="Normal"/>
    <w:link w:val="BodyTextChar"/>
    <w:rsid w:val="004C2675"/>
    <w:pPr>
      <w:jc w:val="center"/>
    </w:pPr>
    <w:rPr>
      <w:b/>
      <w:bCs/>
      <w:sz w:val="28"/>
      <w:lang w:eastAsia="en-US"/>
    </w:rPr>
  </w:style>
  <w:style w:type="character" w:customStyle="1" w:styleId="BodyTextChar">
    <w:name w:val="Body Text Char"/>
    <w:basedOn w:val="DefaultParagraphFont"/>
    <w:link w:val="BodyText"/>
    <w:rsid w:val="004C2675"/>
    <w:rPr>
      <w:rFonts w:ascii="Times New Roman" w:eastAsia="Times New Roman" w:hAnsi="Times New Roman"/>
      <w:b/>
      <w:bCs/>
      <w:sz w:val="28"/>
      <w:szCs w:val="24"/>
      <w:lang w:val="lv-LV"/>
    </w:rPr>
  </w:style>
  <w:style w:type="paragraph" w:customStyle="1" w:styleId="tv20687921">
    <w:name w:val="tv206_87_921"/>
    <w:basedOn w:val="Normal"/>
    <w:rsid w:val="00E3211F"/>
    <w:pPr>
      <w:spacing w:before="480" w:after="240" w:line="360" w:lineRule="auto"/>
      <w:ind w:firstLine="300"/>
      <w:jc w:val="right"/>
    </w:pPr>
    <w:rPr>
      <w:rFonts w:ascii="Verdana" w:hAnsi="Verdana"/>
      <w:sz w:val="18"/>
      <w:szCs w:val="18"/>
      <w:lang w:val="en-US" w:eastAsia="en-US"/>
    </w:rPr>
  </w:style>
  <w:style w:type="paragraph" w:customStyle="1" w:styleId="tv20787921">
    <w:name w:val="tv207_87_921"/>
    <w:basedOn w:val="Normal"/>
    <w:rsid w:val="00E3211F"/>
    <w:pPr>
      <w:spacing w:after="567" w:line="360" w:lineRule="auto"/>
      <w:jc w:val="center"/>
    </w:pPr>
    <w:rPr>
      <w:rFonts w:ascii="Verdana" w:hAnsi="Verdana"/>
      <w:b/>
      <w:bCs/>
      <w:sz w:val="28"/>
      <w:szCs w:val="28"/>
      <w:lang w:val="en-US" w:eastAsia="en-US"/>
    </w:rPr>
  </w:style>
  <w:style w:type="paragraph" w:customStyle="1" w:styleId="tv4441">
    <w:name w:val="tv4441"/>
    <w:basedOn w:val="Normal"/>
    <w:rsid w:val="00824A28"/>
    <w:pPr>
      <w:spacing w:before="240" w:line="360" w:lineRule="auto"/>
      <w:ind w:firstLine="300"/>
    </w:pPr>
    <w:rPr>
      <w:rFonts w:ascii="Verdana" w:hAnsi="Verdana"/>
      <w:sz w:val="18"/>
      <w:szCs w:val="18"/>
      <w:lang w:val="en-US" w:eastAsia="en-US"/>
    </w:rPr>
  </w:style>
  <w:style w:type="paragraph" w:customStyle="1" w:styleId="tvhtml1">
    <w:name w:val="tv_html1"/>
    <w:basedOn w:val="Normal"/>
    <w:rsid w:val="00824A28"/>
    <w:pPr>
      <w:spacing w:before="100" w:beforeAutospacing="1" w:line="360" w:lineRule="auto"/>
    </w:pPr>
    <w:rPr>
      <w:rFonts w:ascii="Verdana" w:hAnsi="Verdana"/>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214590619">
      <w:bodyDiv w:val="1"/>
      <w:marLeft w:val="0"/>
      <w:marRight w:val="0"/>
      <w:marTop w:val="0"/>
      <w:marBottom w:val="0"/>
      <w:divBdr>
        <w:top w:val="none" w:sz="0" w:space="0" w:color="auto"/>
        <w:left w:val="none" w:sz="0" w:space="0" w:color="auto"/>
        <w:bottom w:val="none" w:sz="0" w:space="0" w:color="auto"/>
        <w:right w:val="none" w:sz="0" w:space="0" w:color="auto"/>
      </w:divBdr>
      <w:divsChild>
        <w:div w:id="1480069879">
          <w:marLeft w:val="0"/>
          <w:marRight w:val="0"/>
          <w:marTop w:val="0"/>
          <w:marBottom w:val="0"/>
          <w:divBdr>
            <w:top w:val="none" w:sz="0" w:space="0" w:color="auto"/>
            <w:left w:val="none" w:sz="0" w:space="0" w:color="auto"/>
            <w:bottom w:val="none" w:sz="0" w:space="0" w:color="auto"/>
            <w:right w:val="none" w:sz="0" w:space="0" w:color="auto"/>
          </w:divBdr>
          <w:divsChild>
            <w:div w:id="1784155252">
              <w:marLeft w:val="0"/>
              <w:marRight w:val="0"/>
              <w:marTop w:val="0"/>
              <w:marBottom w:val="0"/>
              <w:divBdr>
                <w:top w:val="none" w:sz="0" w:space="0" w:color="auto"/>
                <w:left w:val="none" w:sz="0" w:space="0" w:color="auto"/>
                <w:bottom w:val="none" w:sz="0" w:space="0" w:color="auto"/>
                <w:right w:val="none" w:sz="0" w:space="0" w:color="auto"/>
              </w:divBdr>
              <w:divsChild>
                <w:div w:id="120422121">
                  <w:marLeft w:val="0"/>
                  <w:marRight w:val="0"/>
                  <w:marTop w:val="0"/>
                  <w:marBottom w:val="0"/>
                  <w:divBdr>
                    <w:top w:val="none" w:sz="0" w:space="0" w:color="auto"/>
                    <w:left w:val="none" w:sz="0" w:space="0" w:color="auto"/>
                    <w:bottom w:val="none" w:sz="0" w:space="0" w:color="auto"/>
                    <w:right w:val="none" w:sz="0" w:space="0" w:color="auto"/>
                  </w:divBdr>
                  <w:divsChild>
                    <w:div w:id="170532142">
                      <w:marLeft w:val="0"/>
                      <w:marRight w:val="0"/>
                      <w:marTop w:val="0"/>
                      <w:marBottom w:val="0"/>
                      <w:divBdr>
                        <w:top w:val="none" w:sz="0" w:space="0" w:color="auto"/>
                        <w:left w:val="none" w:sz="0" w:space="0" w:color="auto"/>
                        <w:bottom w:val="none" w:sz="0" w:space="0" w:color="auto"/>
                        <w:right w:val="none" w:sz="0" w:space="0" w:color="auto"/>
                      </w:divBdr>
                      <w:divsChild>
                        <w:div w:id="160630314">
                          <w:marLeft w:val="0"/>
                          <w:marRight w:val="0"/>
                          <w:marTop w:val="0"/>
                          <w:marBottom w:val="0"/>
                          <w:divBdr>
                            <w:top w:val="none" w:sz="0" w:space="0" w:color="auto"/>
                            <w:left w:val="none" w:sz="0" w:space="0" w:color="auto"/>
                            <w:bottom w:val="none" w:sz="0" w:space="0" w:color="auto"/>
                            <w:right w:val="none" w:sz="0" w:space="0" w:color="auto"/>
                          </w:divBdr>
                          <w:divsChild>
                            <w:div w:id="227883866">
                              <w:marLeft w:val="0"/>
                              <w:marRight w:val="0"/>
                              <w:marTop w:val="0"/>
                              <w:marBottom w:val="0"/>
                              <w:divBdr>
                                <w:top w:val="none" w:sz="0" w:space="0" w:color="auto"/>
                                <w:left w:val="none" w:sz="0" w:space="0" w:color="auto"/>
                                <w:bottom w:val="none" w:sz="0" w:space="0" w:color="auto"/>
                                <w:right w:val="none" w:sz="0" w:space="0" w:color="auto"/>
                              </w:divBdr>
                              <w:divsChild>
                                <w:div w:id="15835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13908">
      <w:bodyDiv w:val="1"/>
      <w:marLeft w:val="0"/>
      <w:marRight w:val="0"/>
      <w:marTop w:val="0"/>
      <w:marBottom w:val="0"/>
      <w:divBdr>
        <w:top w:val="none" w:sz="0" w:space="0" w:color="auto"/>
        <w:left w:val="none" w:sz="0" w:space="0" w:color="auto"/>
        <w:bottom w:val="none" w:sz="0" w:space="0" w:color="auto"/>
        <w:right w:val="none" w:sz="0" w:space="0" w:color="auto"/>
      </w:divBdr>
      <w:divsChild>
        <w:div w:id="2116829669">
          <w:marLeft w:val="0"/>
          <w:marRight w:val="0"/>
          <w:marTop w:val="0"/>
          <w:marBottom w:val="0"/>
          <w:divBdr>
            <w:top w:val="none" w:sz="0" w:space="0" w:color="auto"/>
            <w:left w:val="none" w:sz="0" w:space="0" w:color="auto"/>
            <w:bottom w:val="none" w:sz="0" w:space="0" w:color="auto"/>
            <w:right w:val="none" w:sz="0" w:space="0" w:color="auto"/>
          </w:divBdr>
          <w:divsChild>
            <w:div w:id="10604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3422">
      <w:bodyDiv w:val="1"/>
      <w:marLeft w:val="45"/>
      <w:marRight w:val="45"/>
      <w:marTop w:val="90"/>
      <w:marBottom w:val="90"/>
      <w:divBdr>
        <w:top w:val="none" w:sz="0" w:space="0" w:color="auto"/>
        <w:left w:val="none" w:sz="0" w:space="0" w:color="auto"/>
        <w:bottom w:val="none" w:sz="0" w:space="0" w:color="auto"/>
        <w:right w:val="none" w:sz="0" w:space="0" w:color="auto"/>
      </w:divBdr>
      <w:divsChild>
        <w:div w:id="120614306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F9230-6D96-456F-9A56-FF9A60CB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7</Pages>
  <Words>1357</Words>
  <Characters>9386</Characters>
  <Application>Microsoft Office Word</Application>
  <DocSecurity>0</DocSecurity>
  <Lines>403</Lines>
  <Paragraphs>127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2008.gada 26.maija noteikumos Nr.370 „Noteikumi par mākslīgajiem maisījumiem zīdaiņiem un mākslīgajiem papildu ēdināšanas maisījumiem zīdaiņiem””sākotnējās ietekmes novērtējuma ziņojums (an</vt:lpstr>
      <vt:lpstr>Ministru kabineta noteikumu projekta „Grozījums Ministru kabineta 2008.gada 26.maija noteikumos Nr.370 „Noteikumi par mākslīgajiem maisījumiem zīdaiņiem un mākslīgajiem papildu ēdināšanas maisījumiem zīdaiņiem””sākotnējās ietekmes novērtējuma ziņojums (an</vt:lpstr>
    </vt:vector>
  </TitlesOfParts>
  <Company>Veselības ministrija</Company>
  <LinksUpToDate>false</LinksUpToDate>
  <CharactersWithSpaces>10723</CharactersWithSpaces>
  <SharedDoc>false</SharedDoc>
  <HLinks>
    <vt:vector size="54" baseType="variant">
      <vt:variant>
        <vt:i4>3342349</vt:i4>
      </vt:variant>
      <vt:variant>
        <vt:i4>24</vt:i4>
      </vt:variant>
      <vt:variant>
        <vt:i4>0</vt:i4>
      </vt:variant>
      <vt:variant>
        <vt:i4>5</vt:i4>
      </vt:variant>
      <vt:variant>
        <vt:lpwstr>mailto:raimonds.osis@vm.gov.lv</vt:lpwstr>
      </vt:variant>
      <vt:variant>
        <vt:lpwstr/>
      </vt:variant>
      <vt:variant>
        <vt:i4>3473436</vt:i4>
      </vt:variant>
      <vt:variant>
        <vt:i4>21</vt:i4>
      </vt:variant>
      <vt:variant>
        <vt:i4>0</vt:i4>
      </vt:variant>
      <vt:variant>
        <vt:i4>5</vt:i4>
      </vt:variant>
      <vt:variant>
        <vt:lpwstr>mailto:arturs.veidemanis@vm.gov.lv</vt:lpwstr>
      </vt:variant>
      <vt:variant>
        <vt:lpwstr/>
      </vt:variant>
      <vt:variant>
        <vt:i4>4718692</vt:i4>
      </vt:variant>
      <vt:variant>
        <vt:i4>18</vt:i4>
      </vt:variant>
      <vt:variant>
        <vt:i4>0</vt:i4>
      </vt:variant>
      <vt:variant>
        <vt:i4>5</vt:i4>
      </vt:variant>
      <vt:variant>
        <vt:lpwstr>mailto:laura.selakova@vm.gov.lv</vt:lpwstr>
      </vt:variant>
      <vt:variant>
        <vt:lpwstr/>
      </vt:variant>
      <vt:variant>
        <vt:i4>7078000</vt:i4>
      </vt:variant>
      <vt:variant>
        <vt:i4>15</vt:i4>
      </vt:variant>
      <vt:variant>
        <vt:i4>0</vt:i4>
      </vt:variant>
      <vt:variant>
        <vt:i4>5</vt:i4>
      </vt:variant>
      <vt:variant>
        <vt:lpwstr>http://pro.nais.lv/naiser/esdoc.cfm?esid=32006R1920</vt:lpwstr>
      </vt:variant>
      <vt:variant>
        <vt:lpwstr/>
      </vt:variant>
      <vt:variant>
        <vt:i4>6881342</vt:i4>
      </vt:variant>
      <vt:variant>
        <vt:i4>12</vt:i4>
      </vt:variant>
      <vt:variant>
        <vt:i4>0</vt:i4>
      </vt:variant>
      <vt:variant>
        <vt:i4>5</vt:i4>
      </vt:variant>
      <vt:variant>
        <vt:lpwstr>http://eur-lex.europa.eu/LexUriServ/LexUriServ.do?uri=OJ:L:2006:376:0001:01:LV:HTML</vt:lpwstr>
      </vt:variant>
      <vt:variant>
        <vt:lpwstr/>
      </vt:variant>
      <vt:variant>
        <vt:i4>6881342</vt:i4>
      </vt:variant>
      <vt:variant>
        <vt:i4>9</vt:i4>
      </vt:variant>
      <vt:variant>
        <vt:i4>0</vt:i4>
      </vt:variant>
      <vt:variant>
        <vt:i4>5</vt:i4>
      </vt:variant>
      <vt:variant>
        <vt:lpwstr>http://eur-lex.europa.eu/LexUriServ/LexUriServ.do?uri=OJ:L:2006:376:0001:01:LV:HTML</vt:lpwstr>
      </vt:variant>
      <vt:variant>
        <vt:lpwstr/>
      </vt:variant>
      <vt:variant>
        <vt:i4>7536676</vt:i4>
      </vt:variant>
      <vt:variant>
        <vt:i4>6</vt:i4>
      </vt:variant>
      <vt:variant>
        <vt:i4>0</vt:i4>
      </vt:variant>
      <vt:variant>
        <vt:i4>5</vt:i4>
      </vt:variant>
      <vt:variant>
        <vt:lpwstr>http://www.likumi.lv/doc.php?id=180617</vt:lpwstr>
      </vt:variant>
      <vt:variant>
        <vt:lpwstr/>
      </vt:variant>
      <vt:variant>
        <vt:i4>5046295</vt:i4>
      </vt:variant>
      <vt:variant>
        <vt:i4>3</vt:i4>
      </vt:variant>
      <vt:variant>
        <vt:i4>0</vt:i4>
      </vt:variant>
      <vt:variant>
        <vt:i4>5</vt:i4>
      </vt:variant>
      <vt:variant>
        <vt:lpwstr>http://www.likumi.lv/doc.php?id=63545</vt:lpwstr>
      </vt:variant>
      <vt:variant>
        <vt:lpwstr/>
      </vt:variant>
      <vt:variant>
        <vt:i4>7208994</vt:i4>
      </vt:variant>
      <vt:variant>
        <vt:i4>0</vt:i4>
      </vt:variant>
      <vt:variant>
        <vt:i4>0</vt:i4>
      </vt:variant>
      <vt:variant>
        <vt:i4>5</vt:i4>
      </vt:variant>
      <vt:variant>
        <vt:lpwstr>http://polsis.mk.gov.lv/view.do?id=1675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2008.gada 26.maija noteikumos Nr.370 „Noteikumi par mākslīgajiem maisījumiem zīdaiņiem un mākslīgajiem papildu ēdināšanas maisījumiem zīdaiņiem””sākotnējās ietekmes novērtējuma ziņojums (anotācija) </dc:title>
  <dc:subject>Anotācija</dc:subject>
  <dc:creator>Lolita Meļķe-Prižavoite</dc:creator>
  <cp:keywords/>
  <dc:description>Lolita.Melke@vm.gov.lv, Tālr.: 67876101, Fakss: 67876071</dc:description>
  <cp:lastModifiedBy>lmelke</cp:lastModifiedBy>
  <cp:revision>174</cp:revision>
  <cp:lastPrinted>2012-01-30T09:11:00Z</cp:lastPrinted>
  <dcterms:created xsi:type="dcterms:W3CDTF">2012-03-22T07:55:00Z</dcterms:created>
  <dcterms:modified xsi:type="dcterms:W3CDTF">2013-04-23T11:43:00Z</dcterms:modified>
  <cp:category>Veselības ministrija</cp:category>
</cp:coreProperties>
</file>