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C53833" w:rsidRDefault="00956BE6" w:rsidP="00956BE6">
      <w:pPr>
        <w:jc w:val="center"/>
        <w:rPr>
          <w:b/>
          <w:sz w:val="28"/>
          <w:szCs w:val="28"/>
        </w:rPr>
      </w:pPr>
      <w:bookmarkStart w:id="0" w:name="OLE_LINK3"/>
      <w:bookmarkStart w:id="1" w:name="OLE_LINK4"/>
      <w:bookmarkStart w:id="2" w:name="OLE_LINK1"/>
      <w:bookmarkStart w:id="3" w:name="OLE_LINK2"/>
      <w:bookmarkStart w:id="4" w:name="OLE_LINK12"/>
      <w:bookmarkStart w:id="5" w:name="OLE_LINK13"/>
      <w:r w:rsidRPr="00C53833">
        <w:rPr>
          <w:b/>
          <w:sz w:val="28"/>
          <w:szCs w:val="28"/>
        </w:rPr>
        <w:t>Ministru kabineta noteikumu projekta</w:t>
      </w:r>
    </w:p>
    <w:p w:rsidR="00C53833" w:rsidRPr="00C53833" w:rsidRDefault="00C53833" w:rsidP="00C53833">
      <w:pPr>
        <w:jc w:val="center"/>
        <w:rPr>
          <w:noProof/>
          <w:sz w:val="28"/>
          <w:szCs w:val="28"/>
        </w:rPr>
      </w:pPr>
      <w:r w:rsidRPr="00C53833">
        <w:rPr>
          <w:b/>
          <w:sz w:val="28"/>
          <w:szCs w:val="28"/>
        </w:rPr>
        <w:t>„</w:t>
      </w:r>
      <w:r w:rsidR="00596594">
        <w:rPr>
          <w:noProof/>
          <w:sz w:val="28"/>
          <w:szCs w:val="28"/>
        </w:rPr>
        <w:t>Grozījums</w:t>
      </w:r>
      <w:r w:rsidRPr="00C53833">
        <w:rPr>
          <w:noProof/>
          <w:sz w:val="28"/>
          <w:szCs w:val="28"/>
        </w:rPr>
        <w:t xml:space="preserve"> Ministru kabineta 2002.gada 21.maija noteikumos Nr.189  „</w:t>
      </w:r>
      <w:r w:rsidRPr="00C53833">
        <w:rPr>
          <w:sz w:val="28"/>
          <w:szCs w:val="28"/>
        </w:rPr>
        <w:t>Darba aizsardzības prasības, saskaroties ar bioloģiskajām vielām</w:t>
      </w:r>
      <w:r w:rsidRPr="00C53833">
        <w:rPr>
          <w:noProof/>
          <w:sz w:val="28"/>
          <w:szCs w:val="28"/>
        </w:rPr>
        <w:t xml:space="preserve">”” </w:t>
      </w:r>
    </w:p>
    <w:p w:rsidR="00956BE6" w:rsidRPr="00C53833" w:rsidRDefault="00956BE6" w:rsidP="00C53833">
      <w:pPr>
        <w:jc w:val="center"/>
        <w:rPr>
          <w:b/>
          <w:sz w:val="28"/>
          <w:szCs w:val="28"/>
        </w:rPr>
      </w:pPr>
      <w:r w:rsidRPr="00C53833">
        <w:rPr>
          <w:b/>
          <w:bCs/>
          <w:sz w:val="28"/>
          <w:szCs w:val="28"/>
        </w:rPr>
        <w:t>sākotnējās ietekmes novērtējuma ziņojums (anotācija)</w:t>
      </w:r>
    </w:p>
    <w:bookmarkEnd w:id="0"/>
    <w:bookmarkEnd w:id="1"/>
    <w:p w:rsidR="002F17DF" w:rsidRPr="00C53833" w:rsidRDefault="002F17DF" w:rsidP="00586F93">
      <w:pPr>
        <w:jc w:val="cente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7"/>
        <w:gridCol w:w="2323"/>
        <w:gridCol w:w="6251"/>
      </w:tblGrid>
      <w:tr w:rsidR="002F17DF" w:rsidRPr="003E4B12" w:rsidTr="002F17DF">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2F17DF" w:rsidRPr="00C53833" w:rsidRDefault="002F17DF" w:rsidP="006007F8">
            <w:pPr>
              <w:spacing w:before="100" w:beforeAutospacing="1" w:after="100" w:afterAutospacing="1"/>
              <w:jc w:val="center"/>
              <w:rPr>
                <w:sz w:val="28"/>
                <w:szCs w:val="28"/>
              </w:rPr>
            </w:pPr>
            <w:r w:rsidRPr="00C53833">
              <w:rPr>
                <w:b/>
                <w:bCs/>
                <w:sz w:val="28"/>
                <w:szCs w:val="28"/>
              </w:rPr>
              <w:t>I. Tiesību akta projekta izstrādes nepieciešamība</w:t>
            </w:r>
          </w:p>
        </w:tc>
      </w:tr>
      <w:tr w:rsidR="002F17DF" w:rsidRPr="00C53833" w:rsidTr="003E4B12">
        <w:trPr>
          <w:trHeight w:val="630"/>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2F17DF" w:rsidRPr="00C53833" w:rsidRDefault="002F17DF" w:rsidP="002F17DF">
            <w:pPr>
              <w:spacing w:before="100" w:beforeAutospacing="1" w:after="100" w:afterAutospacing="1"/>
              <w:rPr>
                <w:sz w:val="28"/>
                <w:szCs w:val="28"/>
              </w:rPr>
            </w:pPr>
            <w:r w:rsidRPr="00C53833">
              <w:rPr>
                <w:sz w:val="28"/>
                <w:szCs w:val="28"/>
              </w:rPr>
              <w:t> 1.</w:t>
            </w:r>
          </w:p>
        </w:tc>
        <w:tc>
          <w:tcPr>
            <w:tcW w:w="2323" w:type="dxa"/>
            <w:tcBorders>
              <w:top w:val="outset" w:sz="6" w:space="0" w:color="auto"/>
              <w:left w:val="outset" w:sz="6" w:space="0" w:color="auto"/>
              <w:bottom w:val="outset" w:sz="6" w:space="0" w:color="auto"/>
              <w:right w:val="outset" w:sz="6" w:space="0" w:color="auto"/>
            </w:tcBorders>
            <w:hideMark/>
          </w:tcPr>
          <w:p w:rsidR="002F17DF" w:rsidRPr="00C53833" w:rsidRDefault="002F17DF" w:rsidP="002F17DF">
            <w:pPr>
              <w:spacing w:before="100" w:beforeAutospacing="1" w:after="100" w:afterAutospacing="1"/>
              <w:rPr>
                <w:sz w:val="28"/>
                <w:szCs w:val="28"/>
              </w:rPr>
            </w:pPr>
            <w:r w:rsidRPr="00C53833">
              <w:rPr>
                <w:sz w:val="28"/>
                <w:szCs w:val="28"/>
              </w:rPr>
              <w:t> Pamatojums</w:t>
            </w:r>
          </w:p>
        </w:tc>
        <w:tc>
          <w:tcPr>
            <w:tcW w:w="6251" w:type="dxa"/>
            <w:tcBorders>
              <w:top w:val="outset" w:sz="6" w:space="0" w:color="auto"/>
              <w:left w:val="outset" w:sz="6" w:space="0" w:color="auto"/>
              <w:bottom w:val="outset" w:sz="6" w:space="0" w:color="auto"/>
              <w:right w:val="outset" w:sz="6" w:space="0" w:color="auto"/>
            </w:tcBorders>
            <w:hideMark/>
          </w:tcPr>
          <w:p w:rsidR="00995D80" w:rsidRPr="00C53833" w:rsidRDefault="00956BE6" w:rsidP="00357605">
            <w:pPr>
              <w:jc w:val="both"/>
              <w:rPr>
                <w:sz w:val="28"/>
                <w:szCs w:val="28"/>
                <w:u w:val="single"/>
              </w:rPr>
            </w:pPr>
            <w:r w:rsidRPr="00C53833">
              <w:rPr>
                <w:sz w:val="28"/>
                <w:szCs w:val="28"/>
              </w:rPr>
              <w:t xml:space="preserve">Ministru kabineta noteikumu projekts </w:t>
            </w:r>
            <w:r w:rsidR="00C53833" w:rsidRPr="00C53833">
              <w:rPr>
                <w:b/>
                <w:sz w:val="28"/>
                <w:szCs w:val="28"/>
              </w:rPr>
              <w:t>„</w:t>
            </w:r>
            <w:r w:rsidR="00C53833" w:rsidRPr="00C53833">
              <w:rPr>
                <w:noProof/>
                <w:sz w:val="28"/>
                <w:szCs w:val="28"/>
              </w:rPr>
              <w:t>Grozījum</w:t>
            </w:r>
            <w:r w:rsidR="00596594">
              <w:rPr>
                <w:noProof/>
                <w:sz w:val="28"/>
                <w:szCs w:val="28"/>
              </w:rPr>
              <w:t>s</w:t>
            </w:r>
            <w:r w:rsidR="00C53833" w:rsidRPr="00C53833">
              <w:rPr>
                <w:noProof/>
                <w:sz w:val="28"/>
                <w:szCs w:val="28"/>
              </w:rPr>
              <w:t xml:space="preserve"> Ministru kabineta 2002.gada 21.maija noteikumos Nr.189  „</w:t>
            </w:r>
            <w:r w:rsidR="00C53833" w:rsidRPr="00C53833">
              <w:rPr>
                <w:sz w:val="28"/>
                <w:szCs w:val="28"/>
              </w:rPr>
              <w:t>Darba aizsardzības prasības, saskaroties ar bioloģiskajām vielām</w:t>
            </w:r>
            <w:r w:rsidR="00C53833" w:rsidRPr="00C53833">
              <w:rPr>
                <w:noProof/>
                <w:sz w:val="28"/>
                <w:szCs w:val="28"/>
              </w:rPr>
              <w:t>””</w:t>
            </w:r>
            <w:r w:rsidR="00C53833">
              <w:rPr>
                <w:noProof/>
                <w:sz w:val="28"/>
                <w:szCs w:val="28"/>
              </w:rPr>
              <w:t xml:space="preserve"> </w:t>
            </w:r>
            <w:r w:rsidR="00AC130D" w:rsidRPr="00C53833">
              <w:rPr>
                <w:sz w:val="28"/>
                <w:szCs w:val="28"/>
              </w:rPr>
              <w:t xml:space="preserve">(turpmāk – noteikumu projekts) </w:t>
            </w:r>
            <w:r w:rsidRPr="00C53833">
              <w:rPr>
                <w:sz w:val="28"/>
                <w:szCs w:val="28"/>
              </w:rPr>
              <w:t xml:space="preserve">izstrādāts </w:t>
            </w:r>
            <w:r w:rsidR="00E04F41" w:rsidRPr="00C53833">
              <w:rPr>
                <w:sz w:val="28"/>
                <w:szCs w:val="28"/>
              </w:rPr>
              <w:t>saskaņā ar Ministru kabineta 2012.gada 2</w:t>
            </w:r>
            <w:r w:rsidR="000027C8">
              <w:rPr>
                <w:sz w:val="28"/>
                <w:szCs w:val="28"/>
              </w:rPr>
              <w:t>1</w:t>
            </w:r>
            <w:r w:rsidR="00E04F41" w:rsidRPr="00C53833">
              <w:rPr>
                <w:sz w:val="28"/>
                <w:szCs w:val="28"/>
              </w:rPr>
              <w:t xml:space="preserve">.februāra rīkojuma </w:t>
            </w:r>
            <w:r w:rsidR="005138EE" w:rsidRPr="00C53833">
              <w:rPr>
                <w:sz w:val="28"/>
                <w:szCs w:val="28"/>
              </w:rPr>
              <w:t>Nr.101</w:t>
            </w:r>
            <w:r w:rsidR="0007003F" w:rsidRPr="00C53833">
              <w:rPr>
                <w:sz w:val="28"/>
                <w:szCs w:val="28"/>
              </w:rPr>
              <w:t xml:space="preserve"> </w:t>
            </w:r>
            <w:r w:rsidR="00E04F41" w:rsidRPr="00C53833">
              <w:rPr>
                <w:sz w:val="28"/>
                <w:szCs w:val="28"/>
              </w:rPr>
              <w:t>„Par Slimību profilakses un kontroles centra izveidošanu un Veselības ministrijas</w:t>
            </w:r>
            <w:r w:rsidR="006E5C1F">
              <w:rPr>
                <w:sz w:val="28"/>
                <w:szCs w:val="28"/>
              </w:rPr>
              <w:t xml:space="preserve"> un Zemkopības ministrijas</w:t>
            </w:r>
            <w:r w:rsidR="00E04F41" w:rsidRPr="00C53833">
              <w:rPr>
                <w:sz w:val="28"/>
                <w:szCs w:val="28"/>
              </w:rPr>
              <w:t xml:space="preserve"> padotībā esošo valsts pārvaldes iestāžu reorganizāciju” (turpmāk – MK rīkojums </w:t>
            </w:r>
            <w:r w:rsidR="005138EE" w:rsidRPr="00C53833">
              <w:rPr>
                <w:sz w:val="28"/>
                <w:szCs w:val="28"/>
              </w:rPr>
              <w:t>Nr.101) 1.</w:t>
            </w:r>
            <w:r w:rsidR="00C53833" w:rsidRPr="00C53833">
              <w:rPr>
                <w:sz w:val="28"/>
                <w:szCs w:val="28"/>
              </w:rPr>
              <w:t xml:space="preserve"> </w:t>
            </w:r>
            <w:r w:rsidR="00357605">
              <w:rPr>
                <w:sz w:val="28"/>
                <w:szCs w:val="28"/>
              </w:rPr>
              <w:t>un 2.</w:t>
            </w:r>
            <w:r w:rsidR="00C53833" w:rsidRPr="00C53833">
              <w:rPr>
                <w:sz w:val="28"/>
                <w:szCs w:val="28"/>
              </w:rPr>
              <w:t>p</w:t>
            </w:r>
            <w:r w:rsidR="00C6696E" w:rsidRPr="00C53833">
              <w:rPr>
                <w:sz w:val="28"/>
                <w:szCs w:val="28"/>
              </w:rPr>
              <w:t>unktu</w:t>
            </w:r>
            <w:r w:rsidR="00357605">
              <w:rPr>
                <w:sz w:val="28"/>
                <w:szCs w:val="28"/>
              </w:rPr>
              <w:t>,</w:t>
            </w:r>
            <w:r w:rsidR="00C53833" w:rsidRPr="00C53833">
              <w:rPr>
                <w:sz w:val="28"/>
                <w:szCs w:val="28"/>
              </w:rPr>
              <w:t xml:space="preserve"> 3.1. apakšpunktu</w:t>
            </w:r>
            <w:r w:rsidR="00357605">
              <w:rPr>
                <w:sz w:val="28"/>
                <w:szCs w:val="28"/>
              </w:rPr>
              <w:t xml:space="preserve"> un 17.punktu</w:t>
            </w:r>
            <w:r w:rsidR="00C53833" w:rsidRPr="00C53833">
              <w:rPr>
                <w:sz w:val="28"/>
                <w:szCs w:val="28"/>
              </w:rPr>
              <w:t>.</w:t>
            </w:r>
          </w:p>
        </w:tc>
      </w:tr>
      <w:tr w:rsidR="00956BE6" w:rsidRPr="00C53833" w:rsidTr="003E4B12">
        <w:trPr>
          <w:trHeight w:val="472"/>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t> 2.</w:t>
            </w:r>
          </w:p>
        </w:tc>
        <w:tc>
          <w:tcPr>
            <w:tcW w:w="2323"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t> Pašreizējā situācija un problēmas</w:t>
            </w:r>
          </w:p>
        </w:tc>
        <w:tc>
          <w:tcPr>
            <w:tcW w:w="6251" w:type="dxa"/>
            <w:tcBorders>
              <w:top w:val="outset" w:sz="6" w:space="0" w:color="auto"/>
              <w:left w:val="outset" w:sz="6" w:space="0" w:color="auto"/>
              <w:bottom w:val="outset" w:sz="6" w:space="0" w:color="auto"/>
              <w:right w:val="outset" w:sz="6" w:space="0" w:color="auto"/>
            </w:tcBorders>
            <w:hideMark/>
          </w:tcPr>
          <w:p w:rsidR="00C53833" w:rsidRPr="00C53833" w:rsidRDefault="00F26819" w:rsidP="00C53833">
            <w:pPr>
              <w:jc w:val="both"/>
              <w:rPr>
                <w:sz w:val="28"/>
                <w:szCs w:val="28"/>
              </w:rPr>
            </w:pPr>
            <w:r w:rsidRPr="00C53833">
              <w:rPr>
                <w:sz w:val="28"/>
                <w:szCs w:val="28"/>
              </w:rPr>
              <w:t xml:space="preserve">Ministru kabineta </w:t>
            </w:r>
            <w:r w:rsidR="00C53833" w:rsidRPr="00C53833">
              <w:rPr>
                <w:noProof/>
                <w:sz w:val="28"/>
                <w:szCs w:val="28"/>
              </w:rPr>
              <w:t>2002.gada 21.maija noteikumu Nr.189  „</w:t>
            </w:r>
            <w:r w:rsidR="00C53833" w:rsidRPr="00C53833">
              <w:rPr>
                <w:sz w:val="28"/>
                <w:szCs w:val="28"/>
              </w:rPr>
              <w:t>Darba aizsardzības prasības, saskaroties ar bioloģiskajām vielām</w:t>
            </w:r>
            <w:r w:rsidR="00C53833" w:rsidRPr="00C53833">
              <w:rPr>
                <w:noProof/>
                <w:sz w:val="28"/>
                <w:szCs w:val="28"/>
              </w:rPr>
              <w:t>”</w:t>
            </w:r>
            <w:r w:rsidRPr="00C53833">
              <w:rPr>
                <w:sz w:val="28"/>
                <w:szCs w:val="28"/>
              </w:rPr>
              <w:t xml:space="preserve"> (turpmāk – MK noteikumi) </w:t>
            </w:r>
            <w:r w:rsidR="00C53833" w:rsidRPr="00C53833">
              <w:rPr>
                <w:sz w:val="28"/>
                <w:szCs w:val="28"/>
              </w:rPr>
              <w:t>51.punkts nosaka, ka arodslimībās sertificēts ārsts vai valsts aģentūras „Latvijas Infektoloģijas centrs” (turpmāk – Infektoloģijas centrs) epidemiologs, ja nepieciešams, iesaka darba devējam atbilstošus darba aizsardzības un preventīvos pasākumus, kas veicami attiecībā uz katru atsevišķu nodarbināto.</w:t>
            </w:r>
          </w:p>
          <w:p w:rsidR="005138EE" w:rsidRPr="00C53833" w:rsidRDefault="006B7219" w:rsidP="005138EE">
            <w:pPr>
              <w:jc w:val="both"/>
              <w:rPr>
                <w:color w:val="000000"/>
                <w:sz w:val="28"/>
                <w:szCs w:val="28"/>
              </w:rPr>
            </w:pPr>
            <w:r w:rsidRPr="00C53833">
              <w:rPr>
                <w:sz w:val="28"/>
                <w:szCs w:val="28"/>
              </w:rPr>
              <w:t>Saskaņā</w:t>
            </w:r>
            <w:r w:rsidR="005138EE" w:rsidRPr="00C53833">
              <w:rPr>
                <w:sz w:val="28"/>
                <w:szCs w:val="28"/>
              </w:rPr>
              <w:t xml:space="preserve"> ar MK rīkojuma Nr.101 </w:t>
            </w:r>
            <w:r w:rsidR="00C53833" w:rsidRPr="00C53833">
              <w:rPr>
                <w:sz w:val="28"/>
                <w:szCs w:val="28"/>
              </w:rPr>
              <w:t>3.</w:t>
            </w:r>
            <w:r w:rsidR="005138EE" w:rsidRPr="00C53833">
              <w:rPr>
                <w:sz w:val="28"/>
                <w:szCs w:val="28"/>
              </w:rPr>
              <w:t xml:space="preserve"> </w:t>
            </w:r>
            <w:r w:rsidR="00C53833">
              <w:rPr>
                <w:sz w:val="28"/>
                <w:szCs w:val="28"/>
              </w:rPr>
              <w:t>p</w:t>
            </w:r>
            <w:r w:rsidR="005138EE" w:rsidRPr="00C53833">
              <w:rPr>
                <w:sz w:val="28"/>
                <w:szCs w:val="28"/>
              </w:rPr>
              <w:t>unktu</w:t>
            </w:r>
            <w:r w:rsidR="00C53833">
              <w:rPr>
                <w:sz w:val="28"/>
                <w:szCs w:val="28"/>
              </w:rPr>
              <w:t>,</w:t>
            </w:r>
            <w:r w:rsidR="005138EE" w:rsidRPr="00C53833">
              <w:rPr>
                <w:color w:val="000000"/>
                <w:sz w:val="28"/>
                <w:szCs w:val="28"/>
              </w:rPr>
              <w:t xml:space="preserve"> Infektoloģijas centra funkciju, pārvaldes uzdevumu, tiesību, saistību, finanšu līdzekļu, mantas un lietvedības pārņēmējs ir:</w:t>
            </w:r>
          </w:p>
          <w:p w:rsidR="009F6FFC" w:rsidRPr="00C53833" w:rsidRDefault="00C53833" w:rsidP="005138EE">
            <w:pPr>
              <w:widowControl w:val="0"/>
              <w:autoSpaceDE w:val="0"/>
              <w:autoSpaceDN w:val="0"/>
              <w:adjustRightInd w:val="0"/>
              <w:jc w:val="both"/>
              <w:rPr>
                <w:sz w:val="28"/>
                <w:szCs w:val="28"/>
              </w:rPr>
            </w:pPr>
            <w:r w:rsidRPr="00C53833">
              <w:rPr>
                <w:color w:val="000000"/>
                <w:sz w:val="28"/>
                <w:szCs w:val="28"/>
              </w:rPr>
              <w:t>3</w:t>
            </w:r>
            <w:r w:rsidR="009F6FFC" w:rsidRPr="00C53833">
              <w:rPr>
                <w:color w:val="000000"/>
                <w:sz w:val="28"/>
                <w:szCs w:val="28"/>
              </w:rPr>
              <w:t>.1.</w:t>
            </w:r>
            <w:r w:rsidR="005138EE" w:rsidRPr="00C53833">
              <w:rPr>
                <w:color w:val="000000"/>
                <w:sz w:val="28"/>
                <w:szCs w:val="28"/>
              </w:rPr>
              <w:t>Slimību profilakses un kontroles centrs</w:t>
            </w:r>
            <w:r w:rsidRPr="00C53833">
              <w:rPr>
                <w:sz w:val="28"/>
                <w:szCs w:val="28"/>
              </w:rPr>
              <w:t xml:space="preserve"> – jomās, kas saistītas ar šādu uzdevumu izpildi</w:t>
            </w:r>
            <w:r w:rsidR="005138EE" w:rsidRPr="00C53833">
              <w:rPr>
                <w:sz w:val="28"/>
                <w:szCs w:val="28"/>
              </w:rPr>
              <w:t>:</w:t>
            </w:r>
          </w:p>
          <w:p w:rsidR="005138EE" w:rsidRPr="00C53833" w:rsidRDefault="00C53833" w:rsidP="005138EE">
            <w:pPr>
              <w:widowControl w:val="0"/>
              <w:autoSpaceDE w:val="0"/>
              <w:autoSpaceDN w:val="0"/>
              <w:adjustRightInd w:val="0"/>
              <w:jc w:val="both"/>
              <w:rPr>
                <w:color w:val="000000"/>
                <w:sz w:val="28"/>
                <w:szCs w:val="28"/>
              </w:rPr>
            </w:pPr>
            <w:r w:rsidRPr="00C53833">
              <w:rPr>
                <w:sz w:val="28"/>
                <w:szCs w:val="28"/>
              </w:rPr>
              <w:t>3</w:t>
            </w:r>
            <w:r w:rsidR="009F6FFC" w:rsidRPr="00C53833">
              <w:rPr>
                <w:sz w:val="28"/>
                <w:szCs w:val="28"/>
              </w:rPr>
              <w:t>.1.1.</w:t>
            </w:r>
            <w:r w:rsidR="005138EE" w:rsidRPr="00C53833">
              <w:rPr>
                <w:color w:val="000000"/>
                <w:sz w:val="28"/>
                <w:szCs w:val="28"/>
              </w:rPr>
              <w:t xml:space="preserve"> veikt infekcijas slimību epidemioloģisko uzraudzību un monitoringu,  reģistrāciju, izmeklēšanu, statistikas datu apkopošanu par infekcijas slimībām, organizēt infekcijas slimību profilakses un izplatības ierobežošanas pasākumus. Piedalīties ārkārtas situāciju pārvaldīšanā un epidēmijas (pandēmijas) draudu novēršanā</w:t>
            </w:r>
            <w:r w:rsidRPr="00C53833">
              <w:rPr>
                <w:color w:val="000000"/>
                <w:sz w:val="28"/>
                <w:szCs w:val="28"/>
              </w:rPr>
              <w:t>;</w:t>
            </w:r>
          </w:p>
          <w:p w:rsidR="00C53833" w:rsidRPr="00C53833" w:rsidRDefault="00C53833" w:rsidP="00C53833">
            <w:pPr>
              <w:widowControl w:val="0"/>
              <w:autoSpaceDE w:val="0"/>
              <w:autoSpaceDN w:val="0"/>
              <w:adjustRightInd w:val="0"/>
              <w:jc w:val="both"/>
              <w:rPr>
                <w:color w:val="000000"/>
                <w:sz w:val="28"/>
                <w:szCs w:val="28"/>
              </w:rPr>
            </w:pPr>
            <w:r w:rsidRPr="00C53833">
              <w:rPr>
                <w:color w:val="000000"/>
                <w:sz w:val="28"/>
                <w:szCs w:val="28"/>
              </w:rPr>
              <w:t>3.1.7. izstrādāt metodiskos ieteikumus un sniegt metodisko atbalstu ārstniecības iestādēm, pašvaldībām un citām institūcijām epidemioloģiskās drošības jomā.</w:t>
            </w:r>
          </w:p>
          <w:p w:rsidR="00995D80" w:rsidRPr="00C53833" w:rsidRDefault="00C53833" w:rsidP="00596594">
            <w:pPr>
              <w:jc w:val="both"/>
              <w:rPr>
                <w:sz w:val="28"/>
                <w:szCs w:val="28"/>
              </w:rPr>
            </w:pPr>
            <w:r w:rsidRPr="00C53833">
              <w:rPr>
                <w:sz w:val="28"/>
                <w:szCs w:val="28"/>
              </w:rPr>
              <w:lastRenderedPageBreak/>
              <w:t>Līdz ar to nepieciešams veikt tehnisku grozījumu MK noteikumos, aizstājot Infektoloģijas centra nosaukumu ar  nosaukumu ,,</w:t>
            </w:r>
            <w:r w:rsidRPr="00C53833">
              <w:rPr>
                <w:color w:val="000000"/>
                <w:sz w:val="28"/>
                <w:szCs w:val="28"/>
              </w:rPr>
              <w:t>Slimību profilakses un kontroles centrs”.</w:t>
            </w:r>
          </w:p>
        </w:tc>
      </w:tr>
      <w:tr w:rsidR="00956BE6" w:rsidRPr="00C53833" w:rsidTr="003E4B12">
        <w:trPr>
          <w:trHeight w:val="759"/>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lastRenderedPageBreak/>
              <w:t> 3.</w:t>
            </w:r>
          </w:p>
        </w:tc>
        <w:tc>
          <w:tcPr>
            <w:tcW w:w="2323"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t> Saistītie politikas ietekmes novērtējumi un pētījumi</w:t>
            </w:r>
          </w:p>
        </w:tc>
        <w:tc>
          <w:tcPr>
            <w:tcW w:w="6251" w:type="dxa"/>
            <w:tcBorders>
              <w:top w:val="outset" w:sz="6" w:space="0" w:color="auto"/>
              <w:left w:val="outset" w:sz="6" w:space="0" w:color="auto"/>
              <w:bottom w:val="outset" w:sz="6" w:space="0" w:color="auto"/>
              <w:right w:val="outset" w:sz="6" w:space="0" w:color="auto"/>
            </w:tcBorders>
            <w:hideMark/>
          </w:tcPr>
          <w:p w:rsidR="00956BE6" w:rsidRPr="00C53833" w:rsidRDefault="00956BE6" w:rsidP="007755B7">
            <w:pPr>
              <w:jc w:val="both"/>
              <w:rPr>
                <w:sz w:val="28"/>
                <w:szCs w:val="28"/>
              </w:rPr>
            </w:pPr>
            <w:r w:rsidRPr="00C53833">
              <w:rPr>
                <w:sz w:val="28"/>
                <w:szCs w:val="28"/>
              </w:rPr>
              <w:t>Projekts šo jomu neskar</w:t>
            </w:r>
          </w:p>
        </w:tc>
      </w:tr>
      <w:tr w:rsidR="00956BE6" w:rsidRPr="00C53833" w:rsidTr="003E4B12">
        <w:trPr>
          <w:trHeight w:val="384"/>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t> 4.</w:t>
            </w:r>
          </w:p>
        </w:tc>
        <w:tc>
          <w:tcPr>
            <w:tcW w:w="2323"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t> Tiesiskā regulējuma mērķis un būtība</w:t>
            </w:r>
          </w:p>
        </w:tc>
        <w:tc>
          <w:tcPr>
            <w:tcW w:w="6251" w:type="dxa"/>
            <w:tcBorders>
              <w:top w:val="outset" w:sz="6" w:space="0" w:color="auto"/>
              <w:left w:val="outset" w:sz="6" w:space="0" w:color="auto"/>
              <w:bottom w:val="outset" w:sz="6" w:space="0" w:color="auto"/>
              <w:right w:val="outset" w:sz="6" w:space="0" w:color="auto"/>
            </w:tcBorders>
            <w:hideMark/>
          </w:tcPr>
          <w:p w:rsidR="00C53833" w:rsidRPr="00C53833" w:rsidRDefault="00C53833" w:rsidP="00C53833">
            <w:pPr>
              <w:jc w:val="both"/>
              <w:rPr>
                <w:sz w:val="28"/>
                <w:szCs w:val="28"/>
              </w:rPr>
            </w:pPr>
            <w:r w:rsidRPr="00C53833">
              <w:rPr>
                <w:sz w:val="28"/>
                <w:szCs w:val="28"/>
              </w:rPr>
              <w:t>Noteikumu projekta  mērķis ir veikt tehnisk</w:t>
            </w:r>
            <w:r w:rsidR="00596594">
              <w:rPr>
                <w:sz w:val="28"/>
                <w:szCs w:val="28"/>
              </w:rPr>
              <w:t>u</w:t>
            </w:r>
            <w:r w:rsidRPr="00C53833">
              <w:rPr>
                <w:sz w:val="28"/>
                <w:szCs w:val="28"/>
              </w:rPr>
              <w:t xml:space="preserve"> grozījumu, aizstājot iestādes nosaukumu „valsts aģentūra „Latvijas Infektoloģijas centrs”” ar vārdiem „Slimību profilakses un kontroles centrs”.</w:t>
            </w:r>
          </w:p>
          <w:p w:rsidR="0061287A" w:rsidRPr="00C53833" w:rsidRDefault="00C53833" w:rsidP="00C53833">
            <w:pPr>
              <w:jc w:val="both"/>
              <w:rPr>
                <w:sz w:val="28"/>
                <w:szCs w:val="28"/>
              </w:rPr>
            </w:pPr>
            <w:r w:rsidRPr="00C53833">
              <w:rPr>
                <w:sz w:val="28"/>
                <w:szCs w:val="28"/>
              </w:rPr>
              <w:t>Noteikumu projekts atrisinās 2.punktā minētās problēmas.</w:t>
            </w:r>
          </w:p>
        </w:tc>
      </w:tr>
      <w:tr w:rsidR="00956BE6" w:rsidRPr="00C53833" w:rsidTr="003E4B12">
        <w:trPr>
          <w:trHeight w:val="476"/>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6F266A">
            <w:pPr>
              <w:spacing w:before="100" w:beforeAutospacing="1" w:after="100" w:afterAutospacing="1"/>
              <w:rPr>
                <w:sz w:val="28"/>
                <w:szCs w:val="28"/>
              </w:rPr>
            </w:pPr>
            <w:r w:rsidRPr="00C53833">
              <w:rPr>
                <w:sz w:val="28"/>
                <w:szCs w:val="28"/>
              </w:rPr>
              <w:t> 5.</w:t>
            </w:r>
          </w:p>
        </w:tc>
        <w:tc>
          <w:tcPr>
            <w:tcW w:w="2323" w:type="dxa"/>
            <w:tcBorders>
              <w:top w:val="outset" w:sz="6" w:space="0" w:color="auto"/>
              <w:left w:val="outset" w:sz="6" w:space="0" w:color="auto"/>
              <w:bottom w:val="outset" w:sz="6" w:space="0" w:color="auto"/>
              <w:right w:val="outset" w:sz="6" w:space="0" w:color="auto"/>
            </w:tcBorders>
            <w:hideMark/>
          </w:tcPr>
          <w:p w:rsidR="00956BE6" w:rsidRPr="00C53833" w:rsidRDefault="00956BE6" w:rsidP="002F17DF">
            <w:pPr>
              <w:spacing w:before="100" w:beforeAutospacing="1" w:after="100" w:afterAutospacing="1"/>
              <w:rPr>
                <w:sz w:val="28"/>
                <w:szCs w:val="28"/>
              </w:rPr>
            </w:pPr>
            <w:r w:rsidRPr="00C53833">
              <w:rPr>
                <w:sz w:val="28"/>
                <w:szCs w:val="28"/>
              </w:rPr>
              <w:t> Projekta izstrādē iesaistītās institūcijas</w:t>
            </w:r>
          </w:p>
        </w:tc>
        <w:tc>
          <w:tcPr>
            <w:tcW w:w="6251" w:type="dxa"/>
            <w:tcBorders>
              <w:top w:val="outset" w:sz="6" w:space="0" w:color="auto"/>
              <w:left w:val="outset" w:sz="6" w:space="0" w:color="auto"/>
              <w:bottom w:val="outset" w:sz="6" w:space="0" w:color="auto"/>
              <w:right w:val="outset" w:sz="6" w:space="0" w:color="auto"/>
            </w:tcBorders>
            <w:hideMark/>
          </w:tcPr>
          <w:p w:rsidR="00956BE6" w:rsidRPr="00C53833" w:rsidRDefault="00FD4353" w:rsidP="007755B7">
            <w:pPr>
              <w:pStyle w:val="BodyTextIndent"/>
              <w:autoSpaceDE w:val="0"/>
              <w:autoSpaceDN w:val="0"/>
              <w:adjustRightInd w:val="0"/>
              <w:spacing w:after="0"/>
              <w:ind w:left="0"/>
              <w:jc w:val="both"/>
              <w:rPr>
                <w:sz w:val="28"/>
                <w:szCs w:val="28"/>
                <w:u w:val="single"/>
                <w:lang w:val="sv-SE"/>
              </w:rPr>
            </w:pPr>
            <w:r w:rsidRPr="00C53833">
              <w:rPr>
                <w:sz w:val="28"/>
                <w:szCs w:val="28"/>
                <w:lang w:val="sv-SE"/>
              </w:rPr>
              <w:t>Veselības ministrija sadarbībā ar Infektoloģijas centru</w:t>
            </w:r>
          </w:p>
        </w:tc>
      </w:tr>
      <w:tr w:rsidR="00956BE6" w:rsidRPr="00C53833" w:rsidTr="003E4B12">
        <w:trPr>
          <w:trHeight w:val="921"/>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8497C">
            <w:pPr>
              <w:spacing w:before="100" w:beforeAutospacing="1" w:after="100" w:afterAutospacing="1"/>
              <w:rPr>
                <w:sz w:val="28"/>
                <w:szCs w:val="28"/>
              </w:rPr>
            </w:pPr>
            <w:r w:rsidRPr="00C53833">
              <w:rPr>
                <w:sz w:val="28"/>
                <w:szCs w:val="28"/>
              </w:rPr>
              <w:t> 6.</w:t>
            </w:r>
          </w:p>
        </w:tc>
        <w:tc>
          <w:tcPr>
            <w:tcW w:w="2323"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8497C">
            <w:pPr>
              <w:spacing w:before="100" w:beforeAutospacing="1" w:after="100" w:afterAutospacing="1"/>
              <w:rPr>
                <w:sz w:val="28"/>
                <w:szCs w:val="28"/>
              </w:rPr>
            </w:pPr>
            <w:r w:rsidRPr="00C53833">
              <w:rPr>
                <w:sz w:val="28"/>
                <w:szCs w:val="28"/>
              </w:rPr>
              <w:t> Iemesli, kādēļ netika nodrošināta sabiedrības līdzdalība</w:t>
            </w:r>
          </w:p>
        </w:tc>
        <w:tc>
          <w:tcPr>
            <w:tcW w:w="6251" w:type="dxa"/>
            <w:tcBorders>
              <w:top w:val="outset" w:sz="6" w:space="0" w:color="auto"/>
              <w:left w:val="outset" w:sz="6" w:space="0" w:color="auto"/>
              <w:bottom w:val="outset" w:sz="6" w:space="0" w:color="auto"/>
              <w:right w:val="outset" w:sz="6" w:space="0" w:color="auto"/>
            </w:tcBorders>
            <w:hideMark/>
          </w:tcPr>
          <w:p w:rsidR="00956BE6" w:rsidRPr="00C53833" w:rsidRDefault="00FD4353" w:rsidP="00596594">
            <w:pPr>
              <w:jc w:val="both"/>
              <w:rPr>
                <w:color w:val="000000"/>
                <w:sz w:val="28"/>
                <w:szCs w:val="28"/>
              </w:rPr>
            </w:pPr>
            <w:r w:rsidRPr="00C53833">
              <w:rPr>
                <w:sz w:val="28"/>
                <w:szCs w:val="28"/>
              </w:rPr>
              <w:t xml:space="preserve">Ņemot vērā, ka noteikumu projekts </w:t>
            </w:r>
            <w:r w:rsidR="008971B1" w:rsidRPr="00C53833">
              <w:rPr>
                <w:sz w:val="28"/>
                <w:szCs w:val="28"/>
              </w:rPr>
              <w:t>paredz veikt tehnisku grozījumu</w:t>
            </w:r>
            <w:r w:rsidRPr="00C53833">
              <w:rPr>
                <w:sz w:val="28"/>
                <w:szCs w:val="28"/>
              </w:rPr>
              <w:t>, sabiedrības līdzdalība projekta izstrādē netika nodrošināta</w:t>
            </w:r>
            <w:r w:rsidR="00C53833" w:rsidRPr="00C53833">
              <w:rPr>
                <w:sz w:val="28"/>
                <w:szCs w:val="28"/>
              </w:rPr>
              <w:t>.</w:t>
            </w:r>
          </w:p>
        </w:tc>
      </w:tr>
      <w:tr w:rsidR="00956BE6" w:rsidRPr="00C53833" w:rsidTr="003E4B12">
        <w:trPr>
          <w:tblCellSpacing w:w="0" w:type="dxa"/>
        </w:trPr>
        <w:tc>
          <w:tcPr>
            <w:tcW w:w="52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8497C">
            <w:pPr>
              <w:spacing w:before="100" w:beforeAutospacing="1" w:after="100" w:afterAutospacing="1"/>
              <w:rPr>
                <w:sz w:val="28"/>
                <w:szCs w:val="28"/>
              </w:rPr>
            </w:pPr>
            <w:r w:rsidRPr="00C53833">
              <w:rPr>
                <w:sz w:val="28"/>
                <w:szCs w:val="28"/>
              </w:rPr>
              <w:t> 7.</w:t>
            </w:r>
          </w:p>
        </w:tc>
        <w:tc>
          <w:tcPr>
            <w:tcW w:w="2323"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8497C">
            <w:pPr>
              <w:spacing w:before="100" w:beforeAutospacing="1" w:after="100" w:afterAutospacing="1"/>
              <w:rPr>
                <w:sz w:val="28"/>
                <w:szCs w:val="28"/>
              </w:rPr>
            </w:pPr>
            <w:r w:rsidRPr="00C53833">
              <w:rPr>
                <w:sz w:val="28"/>
                <w:szCs w:val="28"/>
              </w:rPr>
              <w:t> Cita informācija</w:t>
            </w:r>
          </w:p>
        </w:tc>
        <w:tc>
          <w:tcPr>
            <w:tcW w:w="6251" w:type="dxa"/>
            <w:tcBorders>
              <w:top w:val="outset" w:sz="6" w:space="0" w:color="auto"/>
              <w:left w:val="outset" w:sz="6" w:space="0" w:color="auto"/>
              <w:bottom w:val="outset" w:sz="6" w:space="0" w:color="auto"/>
              <w:right w:val="outset" w:sz="6" w:space="0" w:color="auto"/>
            </w:tcBorders>
            <w:hideMark/>
          </w:tcPr>
          <w:p w:rsidR="00956BE6" w:rsidRPr="00C53833" w:rsidRDefault="00D54AE8" w:rsidP="0007003F">
            <w:pPr>
              <w:spacing w:after="120"/>
              <w:jc w:val="both"/>
              <w:rPr>
                <w:sz w:val="28"/>
                <w:szCs w:val="28"/>
              </w:rPr>
            </w:pPr>
            <w:r>
              <w:rPr>
                <w:sz w:val="28"/>
                <w:szCs w:val="28"/>
              </w:rPr>
              <w:t>Nav</w:t>
            </w:r>
          </w:p>
        </w:tc>
      </w:tr>
      <w:bookmarkEnd w:id="2"/>
      <w:bookmarkEnd w:id="3"/>
      <w:bookmarkEnd w:id="4"/>
      <w:bookmarkEnd w:id="5"/>
    </w:tbl>
    <w:p w:rsidR="00C8067C" w:rsidRPr="00C53833" w:rsidRDefault="00C8067C">
      <w:pPr>
        <w:rPr>
          <w:sz w:val="28"/>
          <w:szCs w:val="28"/>
        </w:rPr>
      </w:pPr>
    </w:p>
    <w:tbl>
      <w:tblPr>
        <w:tblW w:w="497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2"/>
        <w:gridCol w:w="2753"/>
        <w:gridCol w:w="5782"/>
      </w:tblGrid>
      <w:tr w:rsidR="00C8067C" w:rsidRPr="00C53833" w:rsidTr="00C8067C">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8067C" w:rsidRPr="00C53833" w:rsidRDefault="00C8067C" w:rsidP="006007F8">
            <w:pPr>
              <w:spacing w:before="100" w:beforeAutospacing="1" w:after="100" w:afterAutospacing="1"/>
              <w:jc w:val="center"/>
              <w:rPr>
                <w:b/>
                <w:sz w:val="28"/>
                <w:szCs w:val="28"/>
              </w:rPr>
            </w:pPr>
            <w:r w:rsidRPr="00C53833">
              <w:rPr>
                <w:b/>
                <w:sz w:val="28"/>
                <w:szCs w:val="28"/>
              </w:rPr>
              <w:t>II. Tiesību akta projekta ietekme uz sabiedrību</w:t>
            </w:r>
          </w:p>
        </w:tc>
      </w:tr>
      <w:tr w:rsidR="00956BE6" w:rsidRPr="00C53833" w:rsidTr="00956BE6">
        <w:trPr>
          <w:trHeight w:val="46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1.</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Sabiedrības mērķgrupa</w:t>
            </w:r>
          </w:p>
        </w:tc>
        <w:tc>
          <w:tcPr>
            <w:tcW w:w="3191" w:type="pct"/>
            <w:tcBorders>
              <w:top w:val="outset" w:sz="6" w:space="0" w:color="auto"/>
              <w:left w:val="outset" w:sz="6" w:space="0" w:color="auto"/>
              <w:bottom w:val="outset" w:sz="6" w:space="0" w:color="auto"/>
              <w:right w:val="outset" w:sz="6" w:space="0" w:color="auto"/>
            </w:tcBorders>
            <w:hideMark/>
          </w:tcPr>
          <w:p w:rsidR="00956BE6" w:rsidRPr="00C53833" w:rsidRDefault="00C53833" w:rsidP="00C53833">
            <w:pPr>
              <w:rPr>
                <w:sz w:val="28"/>
                <w:szCs w:val="28"/>
              </w:rPr>
            </w:pPr>
            <w:r w:rsidRPr="005725DE">
              <w:rPr>
                <w:sz w:val="28"/>
                <w:szCs w:val="28"/>
              </w:rPr>
              <w:t>Slimību profilakses</w:t>
            </w:r>
            <w:r>
              <w:rPr>
                <w:sz w:val="28"/>
                <w:szCs w:val="28"/>
              </w:rPr>
              <w:t xml:space="preserve"> un kontroles centra epidemiologi un darba devēji, uz kuriem attiecināmas darba aizsardzības prasības, saskaroties ar bioloģiskajām vielām.</w:t>
            </w:r>
            <w:r w:rsidR="00357605" w:rsidRPr="00C53833">
              <w:rPr>
                <w:sz w:val="28"/>
                <w:szCs w:val="28"/>
              </w:rPr>
              <w:t xml:space="preserve"> Slimību</w:t>
            </w:r>
            <w:r w:rsidR="00357605">
              <w:rPr>
                <w:sz w:val="28"/>
                <w:szCs w:val="28"/>
              </w:rPr>
              <w:t xml:space="preserve"> profilakses un kontroles centrā strādās 72 epidemiologi.</w:t>
            </w:r>
          </w:p>
        </w:tc>
      </w:tr>
      <w:tr w:rsidR="00956BE6" w:rsidRPr="00C53833" w:rsidTr="00956BE6">
        <w:trPr>
          <w:trHeight w:val="523"/>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2.</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Citas sabiedrības grupas (bez mērķgrupas), kuras tiesiskais regulējums arī ietekmē vai varētu ietekmēt</w:t>
            </w:r>
          </w:p>
        </w:tc>
        <w:tc>
          <w:tcPr>
            <w:tcW w:w="3191" w:type="pct"/>
            <w:tcBorders>
              <w:top w:val="outset" w:sz="6" w:space="0" w:color="auto"/>
              <w:left w:val="outset" w:sz="6" w:space="0" w:color="auto"/>
              <w:bottom w:val="outset" w:sz="6" w:space="0" w:color="auto"/>
              <w:right w:val="outset" w:sz="6" w:space="0" w:color="auto"/>
            </w:tcBorders>
            <w:hideMark/>
          </w:tcPr>
          <w:p w:rsidR="00956BE6" w:rsidRPr="00C53833" w:rsidRDefault="00C53833" w:rsidP="007755B7">
            <w:pPr>
              <w:rPr>
                <w:sz w:val="28"/>
                <w:szCs w:val="28"/>
              </w:rPr>
            </w:pPr>
            <w:r>
              <w:rPr>
                <w:sz w:val="28"/>
                <w:szCs w:val="28"/>
              </w:rPr>
              <w:t>Nodarbinātie, kas tiek aizsargāti pret risku viņu drošībai un veselībai, kas rodas vai var rasties, saskaroties ar bioloģiskajām vielām darba vietā.</w:t>
            </w:r>
          </w:p>
          <w:p w:rsidR="00956BE6" w:rsidRPr="00C53833" w:rsidRDefault="00956BE6" w:rsidP="007755B7">
            <w:pPr>
              <w:autoSpaceDE w:val="0"/>
              <w:autoSpaceDN w:val="0"/>
              <w:adjustRightInd w:val="0"/>
              <w:jc w:val="both"/>
              <w:rPr>
                <w:color w:val="000000"/>
                <w:sz w:val="28"/>
                <w:szCs w:val="28"/>
                <w:u w:val="single"/>
              </w:rPr>
            </w:pPr>
            <w:r w:rsidRPr="00C53833">
              <w:rPr>
                <w:color w:val="000000"/>
                <w:sz w:val="28"/>
                <w:szCs w:val="28"/>
                <w:u w:val="single"/>
              </w:rPr>
              <w:t xml:space="preserve"> </w:t>
            </w:r>
          </w:p>
        </w:tc>
      </w:tr>
      <w:tr w:rsidR="00956BE6" w:rsidRPr="00C53833"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3.</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Tiesiskā regulējuma 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C53833" w:rsidRDefault="00956BE6" w:rsidP="00995D80">
            <w:pPr>
              <w:jc w:val="both"/>
              <w:rPr>
                <w:bCs/>
                <w:iCs/>
                <w:sz w:val="28"/>
                <w:szCs w:val="28"/>
              </w:rPr>
            </w:pPr>
            <w:r w:rsidRPr="00C53833">
              <w:rPr>
                <w:bCs/>
                <w:iCs/>
                <w:sz w:val="28"/>
                <w:szCs w:val="28"/>
              </w:rPr>
              <w:t>Tiešas finansiālas izmaksas (nodokļi, nodevas, sodi, institūciju maksas pakalpojumi) nav paredzētas. Netiešas finansiālas izmaksas un ietekme uz ienākumiem nav</w:t>
            </w:r>
            <w:r w:rsidR="0061287A" w:rsidRPr="00C53833">
              <w:rPr>
                <w:bCs/>
                <w:iCs/>
                <w:sz w:val="28"/>
                <w:szCs w:val="28"/>
              </w:rPr>
              <w:t>.</w:t>
            </w:r>
          </w:p>
        </w:tc>
      </w:tr>
      <w:tr w:rsidR="00956BE6" w:rsidRPr="00C53833" w:rsidTr="00956BE6">
        <w:trPr>
          <w:trHeight w:val="51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4.</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Tiesiskā regulējuma nefinansiālā ietekme</w:t>
            </w:r>
          </w:p>
        </w:tc>
        <w:tc>
          <w:tcPr>
            <w:tcW w:w="3191" w:type="pct"/>
            <w:tcBorders>
              <w:top w:val="outset" w:sz="6" w:space="0" w:color="auto"/>
              <w:left w:val="outset" w:sz="6" w:space="0" w:color="auto"/>
              <w:bottom w:val="outset" w:sz="6" w:space="0" w:color="auto"/>
              <w:right w:val="outset" w:sz="6" w:space="0" w:color="auto"/>
            </w:tcBorders>
            <w:hideMark/>
          </w:tcPr>
          <w:p w:rsidR="00995D80" w:rsidRPr="00C53833" w:rsidRDefault="008971B1" w:rsidP="00C53833">
            <w:pPr>
              <w:jc w:val="both"/>
              <w:rPr>
                <w:sz w:val="28"/>
                <w:szCs w:val="28"/>
              </w:rPr>
            </w:pPr>
            <w:r w:rsidRPr="00C53833">
              <w:rPr>
                <w:sz w:val="28"/>
                <w:szCs w:val="28"/>
              </w:rPr>
              <w:t>Aizstāj kompetentās iestādes nosaukumu.</w:t>
            </w:r>
          </w:p>
        </w:tc>
      </w:tr>
      <w:tr w:rsidR="00956BE6" w:rsidRPr="00C53833" w:rsidTr="00956BE6">
        <w:trPr>
          <w:trHeight w:val="531"/>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lastRenderedPageBreak/>
              <w:t> 5.</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Administratīvās procedūras raksturojums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C53833" w:rsidRDefault="00956BE6" w:rsidP="00995D80">
            <w:pPr>
              <w:jc w:val="both"/>
              <w:rPr>
                <w:sz w:val="28"/>
                <w:szCs w:val="28"/>
              </w:rPr>
            </w:pPr>
            <w:r w:rsidRPr="00C53833">
              <w:rPr>
                <w:sz w:val="28"/>
                <w:szCs w:val="28"/>
              </w:rPr>
              <w:t>Projekts šo jomu neskar</w:t>
            </w:r>
          </w:p>
        </w:tc>
      </w:tr>
      <w:tr w:rsidR="00956BE6" w:rsidRPr="00C53833" w:rsidTr="00956BE6">
        <w:trPr>
          <w:trHeight w:val="357"/>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6.</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Administratīvo izmaksu monetārs novērtējums</w:t>
            </w:r>
          </w:p>
        </w:tc>
        <w:tc>
          <w:tcPr>
            <w:tcW w:w="3191" w:type="pct"/>
            <w:tcBorders>
              <w:top w:val="outset" w:sz="6" w:space="0" w:color="auto"/>
              <w:left w:val="outset" w:sz="6" w:space="0" w:color="auto"/>
              <w:bottom w:val="outset" w:sz="6" w:space="0" w:color="auto"/>
              <w:right w:val="outset" w:sz="6" w:space="0" w:color="auto"/>
            </w:tcBorders>
            <w:hideMark/>
          </w:tcPr>
          <w:p w:rsidR="00956BE6" w:rsidRPr="00C53833" w:rsidRDefault="00956BE6" w:rsidP="00995D80">
            <w:pPr>
              <w:jc w:val="both"/>
              <w:rPr>
                <w:sz w:val="28"/>
                <w:szCs w:val="28"/>
              </w:rPr>
            </w:pPr>
            <w:r w:rsidRPr="00C53833">
              <w:rPr>
                <w:sz w:val="28"/>
                <w:szCs w:val="28"/>
              </w:rPr>
              <w:t>Projekts šo jomu neskar</w:t>
            </w:r>
          </w:p>
        </w:tc>
      </w:tr>
      <w:tr w:rsidR="00956BE6" w:rsidRPr="00C53833" w:rsidTr="00956BE6">
        <w:trPr>
          <w:tblCellSpacing w:w="0" w:type="dxa"/>
        </w:trPr>
        <w:tc>
          <w:tcPr>
            <w:tcW w:w="288"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7.</w:t>
            </w:r>
          </w:p>
        </w:tc>
        <w:tc>
          <w:tcPr>
            <w:tcW w:w="1520" w:type="pct"/>
            <w:tcBorders>
              <w:top w:val="outset" w:sz="6" w:space="0" w:color="auto"/>
              <w:left w:val="outset" w:sz="6" w:space="0" w:color="auto"/>
              <w:bottom w:val="outset" w:sz="6" w:space="0" w:color="auto"/>
              <w:right w:val="outset" w:sz="6" w:space="0" w:color="auto"/>
            </w:tcBorders>
            <w:hideMark/>
          </w:tcPr>
          <w:p w:rsidR="00956BE6" w:rsidRPr="00C53833" w:rsidRDefault="00956BE6" w:rsidP="00C8067C">
            <w:pPr>
              <w:spacing w:before="100" w:beforeAutospacing="1" w:after="100" w:afterAutospacing="1"/>
              <w:rPr>
                <w:sz w:val="28"/>
                <w:szCs w:val="28"/>
              </w:rPr>
            </w:pPr>
            <w:r w:rsidRPr="00C53833">
              <w:rPr>
                <w:sz w:val="28"/>
                <w:szCs w:val="28"/>
              </w:rPr>
              <w:t> Cita informācija</w:t>
            </w:r>
          </w:p>
        </w:tc>
        <w:tc>
          <w:tcPr>
            <w:tcW w:w="3191" w:type="pct"/>
            <w:tcBorders>
              <w:top w:val="outset" w:sz="6" w:space="0" w:color="auto"/>
              <w:left w:val="outset" w:sz="6" w:space="0" w:color="auto"/>
              <w:bottom w:val="outset" w:sz="6" w:space="0" w:color="auto"/>
              <w:right w:val="outset" w:sz="6" w:space="0" w:color="auto"/>
            </w:tcBorders>
            <w:hideMark/>
          </w:tcPr>
          <w:p w:rsidR="00995D80" w:rsidRPr="00C53833" w:rsidRDefault="00FD4353" w:rsidP="007755B7">
            <w:pPr>
              <w:jc w:val="both"/>
              <w:rPr>
                <w:sz w:val="28"/>
                <w:szCs w:val="28"/>
              </w:rPr>
            </w:pPr>
            <w:r w:rsidRPr="00C53833">
              <w:rPr>
                <w:sz w:val="28"/>
                <w:szCs w:val="28"/>
              </w:rPr>
              <w:t xml:space="preserve"> Nav</w:t>
            </w:r>
          </w:p>
        </w:tc>
      </w:tr>
    </w:tbl>
    <w:p w:rsidR="00EA620B" w:rsidRDefault="00432C60" w:rsidP="00586F93">
      <w:pPr>
        <w:rPr>
          <w:sz w:val="28"/>
          <w:szCs w:val="28"/>
        </w:rPr>
      </w:pPr>
      <w:r w:rsidRPr="00C53833">
        <w:rPr>
          <w:sz w:val="28"/>
          <w:szCs w:val="28"/>
        </w:rPr>
        <w:tab/>
      </w:r>
    </w:p>
    <w:tbl>
      <w:tblPr>
        <w:tblW w:w="91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tblPr>
      <w:tblGrid>
        <w:gridCol w:w="2835"/>
        <w:gridCol w:w="6345"/>
      </w:tblGrid>
      <w:tr w:rsidR="00357605" w:rsidRPr="003D606E" w:rsidTr="00762098">
        <w:trPr>
          <w:trHeight w:val="390"/>
        </w:trPr>
        <w:tc>
          <w:tcPr>
            <w:tcW w:w="9180" w:type="dxa"/>
            <w:gridSpan w:val="2"/>
            <w:shd w:val="clear" w:color="auto" w:fill="auto"/>
            <w:vAlign w:val="center"/>
          </w:tcPr>
          <w:p w:rsidR="00357605" w:rsidRPr="003D606E" w:rsidRDefault="00357605" w:rsidP="00762098">
            <w:pPr>
              <w:snapToGrid w:val="0"/>
              <w:jc w:val="center"/>
              <w:rPr>
                <w:b/>
                <w:bCs/>
                <w:sz w:val="28"/>
                <w:szCs w:val="28"/>
              </w:rPr>
            </w:pPr>
            <w:r w:rsidRPr="00701AC1">
              <w:rPr>
                <w:b/>
                <w:bCs/>
                <w:iCs/>
                <w:sz w:val="28"/>
                <w:szCs w:val="28"/>
              </w:rPr>
              <w:t>IV. Tiesību akta projekta ietekme uz</w:t>
            </w:r>
            <w:r w:rsidRPr="003D606E">
              <w:rPr>
                <w:b/>
                <w:bCs/>
                <w:i/>
                <w:iCs/>
                <w:sz w:val="28"/>
                <w:szCs w:val="28"/>
              </w:rPr>
              <w:t xml:space="preserve"> </w:t>
            </w:r>
            <w:r w:rsidRPr="003D606E">
              <w:rPr>
                <w:b/>
                <w:bCs/>
                <w:sz w:val="28"/>
                <w:szCs w:val="28"/>
              </w:rPr>
              <w:t>spēkā esošo tiesību normu sistēmu</w:t>
            </w:r>
          </w:p>
        </w:tc>
      </w:tr>
      <w:tr w:rsidR="00357605" w:rsidRPr="003D606E" w:rsidTr="00357605">
        <w:tblPrEx>
          <w:tblCellMar>
            <w:top w:w="0" w:type="dxa"/>
            <w:left w:w="0" w:type="dxa"/>
            <w:bottom w:w="0" w:type="dxa"/>
            <w:right w:w="0" w:type="dxa"/>
          </w:tblCellMar>
        </w:tblPrEx>
        <w:tc>
          <w:tcPr>
            <w:tcW w:w="2835" w:type="dxa"/>
            <w:shd w:val="clear" w:color="auto" w:fill="auto"/>
          </w:tcPr>
          <w:p w:rsidR="00357605" w:rsidRPr="003D606E" w:rsidRDefault="00357605" w:rsidP="00762098">
            <w:pPr>
              <w:pStyle w:val="NoSpacing"/>
              <w:snapToGrid w:val="0"/>
              <w:rPr>
                <w:sz w:val="28"/>
                <w:szCs w:val="28"/>
              </w:rPr>
            </w:pPr>
            <w:r w:rsidRPr="003D606E">
              <w:rPr>
                <w:sz w:val="28"/>
                <w:szCs w:val="28"/>
              </w:rPr>
              <w:t> Nepieciešamie saistītie tiesību aktu projekti</w:t>
            </w:r>
          </w:p>
        </w:tc>
        <w:tc>
          <w:tcPr>
            <w:tcW w:w="6345" w:type="dxa"/>
            <w:shd w:val="clear" w:color="auto" w:fill="auto"/>
          </w:tcPr>
          <w:p w:rsidR="00357605" w:rsidRPr="003D606E" w:rsidRDefault="00357605" w:rsidP="00357605">
            <w:pPr>
              <w:pStyle w:val="NoSpacing"/>
              <w:snapToGrid w:val="0"/>
              <w:rPr>
                <w:sz w:val="28"/>
                <w:szCs w:val="28"/>
              </w:rPr>
            </w:pPr>
            <w:r>
              <w:rPr>
                <w:bCs/>
                <w:iCs/>
                <w:sz w:val="28"/>
                <w:szCs w:val="28"/>
              </w:rPr>
              <w:t>2012.gada 23.februāra Valsts sekretāru sanāksmē (protokols Nr. 8,  24§, VSS-167) ir izsludināts noteikumu projekts „</w:t>
            </w:r>
            <w:r w:rsidRPr="00EB3FF8">
              <w:rPr>
                <w:bCs/>
                <w:iCs/>
                <w:sz w:val="28"/>
                <w:szCs w:val="28"/>
              </w:rPr>
              <w:t>Slimību profilakse</w:t>
            </w:r>
            <w:r>
              <w:rPr>
                <w:bCs/>
                <w:iCs/>
                <w:sz w:val="28"/>
                <w:szCs w:val="28"/>
              </w:rPr>
              <w:t>s un kontroles centra nolikums”.</w:t>
            </w:r>
          </w:p>
        </w:tc>
      </w:tr>
      <w:tr w:rsidR="00357605" w:rsidRPr="003D606E" w:rsidTr="00357605">
        <w:tblPrEx>
          <w:tblCellMar>
            <w:top w:w="0" w:type="dxa"/>
            <w:left w:w="0" w:type="dxa"/>
            <w:bottom w:w="0" w:type="dxa"/>
            <w:right w:w="0" w:type="dxa"/>
          </w:tblCellMar>
        </w:tblPrEx>
        <w:tc>
          <w:tcPr>
            <w:tcW w:w="2835" w:type="dxa"/>
            <w:shd w:val="clear" w:color="auto" w:fill="auto"/>
          </w:tcPr>
          <w:p w:rsidR="00357605" w:rsidRPr="003D606E" w:rsidRDefault="00357605" w:rsidP="00762098">
            <w:pPr>
              <w:pStyle w:val="NoSpacing"/>
              <w:snapToGrid w:val="0"/>
              <w:rPr>
                <w:sz w:val="28"/>
                <w:szCs w:val="28"/>
              </w:rPr>
            </w:pPr>
            <w:r>
              <w:rPr>
                <w:sz w:val="28"/>
                <w:szCs w:val="28"/>
              </w:rPr>
              <w:t>Cita informācija</w:t>
            </w:r>
          </w:p>
        </w:tc>
        <w:tc>
          <w:tcPr>
            <w:tcW w:w="6345" w:type="dxa"/>
            <w:shd w:val="clear" w:color="auto" w:fill="auto"/>
          </w:tcPr>
          <w:p w:rsidR="00357605" w:rsidRPr="003D606E" w:rsidRDefault="00357605" w:rsidP="00762098">
            <w:pPr>
              <w:pStyle w:val="NoSpacing"/>
              <w:snapToGrid w:val="0"/>
              <w:rPr>
                <w:sz w:val="28"/>
                <w:szCs w:val="28"/>
              </w:rPr>
            </w:pPr>
            <w:r>
              <w:rPr>
                <w:sz w:val="28"/>
                <w:szCs w:val="28"/>
              </w:rPr>
              <w:t>Nav</w:t>
            </w:r>
          </w:p>
        </w:tc>
      </w:tr>
    </w:tbl>
    <w:p w:rsidR="00357605" w:rsidRDefault="00357605" w:rsidP="00357605">
      <w:pPr>
        <w:pStyle w:val="ListParagraph"/>
        <w:tabs>
          <w:tab w:val="left" w:pos="3735"/>
        </w:tabs>
        <w:ind w:left="0"/>
        <w:jc w:val="both"/>
        <w:rPr>
          <w:b/>
          <w:i/>
          <w:sz w:val="28"/>
          <w:szCs w:val="28"/>
        </w:rPr>
      </w:pPr>
    </w:p>
    <w:p w:rsidR="00357605" w:rsidRPr="00C53833" w:rsidRDefault="00357605" w:rsidP="00586F93">
      <w:pPr>
        <w:rPr>
          <w:sz w:val="28"/>
          <w:szCs w:val="28"/>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7"/>
        <w:gridCol w:w="3828"/>
        <w:gridCol w:w="4691"/>
      </w:tblGrid>
      <w:tr w:rsidR="0091617D" w:rsidRPr="00C53833" w:rsidTr="00EA620B">
        <w:trPr>
          <w:tblCellSpacing w:w="0" w:type="dxa"/>
        </w:trPr>
        <w:tc>
          <w:tcPr>
            <w:tcW w:w="9116" w:type="dxa"/>
            <w:gridSpan w:val="3"/>
            <w:tcBorders>
              <w:top w:val="outset" w:sz="6" w:space="0" w:color="auto"/>
              <w:left w:val="outset" w:sz="6" w:space="0" w:color="auto"/>
              <w:bottom w:val="outset" w:sz="6" w:space="0" w:color="auto"/>
              <w:right w:val="outset" w:sz="6" w:space="0" w:color="auto"/>
            </w:tcBorders>
            <w:hideMark/>
          </w:tcPr>
          <w:p w:rsidR="0091617D" w:rsidRPr="00C53833" w:rsidRDefault="0091617D" w:rsidP="00900E0C">
            <w:pPr>
              <w:spacing w:before="100" w:beforeAutospacing="1" w:after="100" w:afterAutospacing="1"/>
              <w:jc w:val="center"/>
              <w:rPr>
                <w:sz w:val="28"/>
                <w:szCs w:val="28"/>
              </w:rPr>
            </w:pPr>
            <w:r w:rsidRPr="00C53833">
              <w:rPr>
                <w:b/>
                <w:bCs/>
                <w:sz w:val="28"/>
                <w:szCs w:val="28"/>
              </w:rPr>
              <w:t>VII. Tiesību akta projekta izpildes nodrošināšana un tās ietekme uz institūcijām</w:t>
            </w:r>
          </w:p>
        </w:tc>
      </w:tr>
      <w:tr w:rsidR="00956BE6" w:rsidRPr="00C53833" w:rsidTr="00357605">
        <w:trPr>
          <w:trHeight w:val="427"/>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1.</w:t>
            </w:r>
          </w:p>
        </w:tc>
        <w:tc>
          <w:tcPr>
            <w:tcW w:w="3828"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Projekta izpildē iesaistītās institūcijas</w:t>
            </w:r>
          </w:p>
        </w:tc>
        <w:tc>
          <w:tcPr>
            <w:tcW w:w="4691" w:type="dxa"/>
            <w:tcBorders>
              <w:top w:val="outset" w:sz="6" w:space="0" w:color="auto"/>
              <w:left w:val="outset" w:sz="6" w:space="0" w:color="auto"/>
              <w:bottom w:val="outset" w:sz="6" w:space="0" w:color="auto"/>
              <w:right w:val="outset" w:sz="6" w:space="0" w:color="auto"/>
            </w:tcBorders>
            <w:hideMark/>
          </w:tcPr>
          <w:p w:rsidR="00956BE6" w:rsidRPr="00C53833" w:rsidRDefault="007B7A83" w:rsidP="00FD4353">
            <w:pPr>
              <w:pStyle w:val="BodyTextIndent"/>
              <w:autoSpaceDE w:val="0"/>
              <w:autoSpaceDN w:val="0"/>
              <w:adjustRightInd w:val="0"/>
              <w:spacing w:after="0"/>
              <w:ind w:left="0"/>
              <w:jc w:val="both"/>
              <w:rPr>
                <w:sz w:val="28"/>
                <w:szCs w:val="28"/>
              </w:rPr>
            </w:pPr>
            <w:r w:rsidRPr="00C53833">
              <w:rPr>
                <w:sz w:val="28"/>
                <w:szCs w:val="28"/>
              </w:rPr>
              <w:t>Slimību profilakses un kontroles centrs</w:t>
            </w:r>
          </w:p>
        </w:tc>
      </w:tr>
      <w:tr w:rsidR="00956BE6" w:rsidRPr="00C53833" w:rsidTr="00357605">
        <w:trPr>
          <w:trHeight w:val="463"/>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2.</w:t>
            </w:r>
          </w:p>
        </w:tc>
        <w:tc>
          <w:tcPr>
            <w:tcW w:w="3828"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Projekta izpildes ietekme uz pārvaldes funkcijām</w:t>
            </w:r>
          </w:p>
        </w:tc>
        <w:tc>
          <w:tcPr>
            <w:tcW w:w="4691" w:type="dxa"/>
            <w:tcBorders>
              <w:top w:val="outset" w:sz="6" w:space="0" w:color="auto"/>
              <w:left w:val="outset" w:sz="6" w:space="0" w:color="auto"/>
              <w:bottom w:val="outset" w:sz="6" w:space="0" w:color="auto"/>
              <w:right w:val="outset" w:sz="6" w:space="0" w:color="auto"/>
            </w:tcBorders>
            <w:hideMark/>
          </w:tcPr>
          <w:p w:rsidR="00956BE6" w:rsidRPr="00C53833" w:rsidRDefault="007B7A83" w:rsidP="007755B7">
            <w:pPr>
              <w:jc w:val="both"/>
              <w:rPr>
                <w:sz w:val="28"/>
                <w:szCs w:val="28"/>
              </w:rPr>
            </w:pPr>
            <w:r w:rsidRPr="00C53833">
              <w:rPr>
                <w:sz w:val="28"/>
                <w:szCs w:val="28"/>
              </w:rPr>
              <w:t>Jaunas funkcijas netiek noteiktas</w:t>
            </w:r>
            <w:r w:rsidR="00357605">
              <w:rPr>
                <w:sz w:val="28"/>
                <w:szCs w:val="28"/>
              </w:rPr>
              <w:t xml:space="preserve">. </w:t>
            </w:r>
            <w:r w:rsidR="00357605" w:rsidRPr="00357605">
              <w:rPr>
                <w:bCs/>
                <w:iCs/>
                <w:sz w:val="28"/>
                <w:szCs w:val="28"/>
              </w:rPr>
              <w:t>Funkcijas un uzdevumi netiek paplašināti vai sašaurināti, tiek precizēta iestāde, kas attiecīgās funkcijas veiks</w:t>
            </w:r>
            <w:r w:rsidR="00357605">
              <w:rPr>
                <w:bCs/>
                <w:iCs/>
                <w:sz w:val="28"/>
                <w:szCs w:val="28"/>
              </w:rPr>
              <w:t>.</w:t>
            </w:r>
          </w:p>
        </w:tc>
      </w:tr>
      <w:tr w:rsidR="00956BE6" w:rsidRPr="00C53833" w:rsidTr="00357605">
        <w:trPr>
          <w:trHeight w:val="725"/>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3.</w:t>
            </w:r>
          </w:p>
        </w:tc>
        <w:tc>
          <w:tcPr>
            <w:tcW w:w="3828" w:type="dxa"/>
            <w:tcBorders>
              <w:top w:val="outset" w:sz="6" w:space="0" w:color="auto"/>
              <w:left w:val="outset" w:sz="6" w:space="0" w:color="auto"/>
              <w:bottom w:val="outset" w:sz="6" w:space="0" w:color="auto"/>
              <w:right w:val="outset" w:sz="6" w:space="0" w:color="auto"/>
            </w:tcBorders>
            <w:hideMark/>
          </w:tcPr>
          <w:p w:rsidR="00956BE6" w:rsidRDefault="00956BE6" w:rsidP="00A93C08">
            <w:pPr>
              <w:rPr>
                <w:sz w:val="28"/>
                <w:szCs w:val="28"/>
              </w:rPr>
            </w:pPr>
            <w:r w:rsidRPr="00C53833">
              <w:rPr>
                <w:sz w:val="28"/>
                <w:szCs w:val="28"/>
              </w:rPr>
              <w:t> Projekta izpildes ietekme uz pārvaldes institucionālo struktūru.</w:t>
            </w:r>
          </w:p>
          <w:p w:rsidR="00357605" w:rsidRPr="00C53833" w:rsidRDefault="00357605" w:rsidP="00A93C08">
            <w:pPr>
              <w:rPr>
                <w:sz w:val="28"/>
                <w:szCs w:val="28"/>
              </w:rPr>
            </w:pPr>
          </w:p>
          <w:p w:rsidR="00956BE6" w:rsidRPr="00C53833" w:rsidRDefault="00956BE6" w:rsidP="00A93C08">
            <w:pPr>
              <w:rPr>
                <w:sz w:val="28"/>
                <w:szCs w:val="28"/>
              </w:rPr>
            </w:pPr>
            <w:r w:rsidRPr="00C53833">
              <w:rPr>
                <w:sz w:val="28"/>
                <w:szCs w:val="28"/>
              </w:rPr>
              <w:t>Jaunu institūciju izveide</w:t>
            </w:r>
          </w:p>
        </w:tc>
        <w:tc>
          <w:tcPr>
            <w:tcW w:w="4691" w:type="dxa"/>
            <w:tcBorders>
              <w:top w:val="outset" w:sz="6" w:space="0" w:color="auto"/>
              <w:left w:val="outset" w:sz="6" w:space="0" w:color="auto"/>
              <w:bottom w:val="outset" w:sz="6" w:space="0" w:color="auto"/>
              <w:right w:val="outset" w:sz="6" w:space="0" w:color="auto"/>
            </w:tcBorders>
            <w:hideMark/>
          </w:tcPr>
          <w:p w:rsidR="00956BE6" w:rsidRPr="00C53833" w:rsidRDefault="00357605" w:rsidP="007B7A83">
            <w:pPr>
              <w:jc w:val="both"/>
              <w:rPr>
                <w:sz w:val="28"/>
                <w:szCs w:val="28"/>
              </w:rPr>
            </w:pPr>
            <w:r>
              <w:rPr>
                <w:sz w:val="28"/>
                <w:szCs w:val="28"/>
              </w:rPr>
              <w:t>Saistībā ar projekta izpildi nav nepieciešams veidot jaunas institūcijas.</w:t>
            </w:r>
          </w:p>
        </w:tc>
      </w:tr>
      <w:tr w:rsidR="00956BE6" w:rsidRPr="00C53833" w:rsidTr="00357605">
        <w:trPr>
          <w:trHeight w:val="780"/>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4.</w:t>
            </w:r>
          </w:p>
        </w:tc>
        <w:tc>
          <w:tcPr>
            <w:tcW w:w="3828" w:type="dxa"/>
            <w:tcBorders>
              <w:top w:val="outset" w:sz="6" w:space="0" w:color="auto"/>
              <w:left w:val="outset" w:sz="6" w:space="0" w:color="auto"/>
              <w:bottom w:val="outset" w:sz="6" w:space="0" w:color="auto"/>
              <w:right w:val="outset" w:sz="6" w:space="0" w:color="auto"/>
            </w:tcBorders>
            <w:hideMark/>
          </w:tcPr>
          <w:p w:rsidR="00357605" w:rsidRDefault="00956BE6" w:rsidP="00357605">
            <w:pPr>
              <w:rPr>
                <w:sz w:val="28"/>
                <w:szCs w:val="28"/>
              </w:rPr>
            </w:pPr>
            <w:r w:rsidRPr="00C53833">
              <w:t> </w:t>
            </w:r>
            <w:r w:rsidRPr="00357605">
              <w:rPr>
                <w:sz w:val="28"/>
                <w:szCs w:val="28"/>
              </w:rPr>
              <w:t>Projekta izpildes ietekme uz pārvaldes institucionālo struktūru.</w:t>
            </w:r>
          </w:p>
          <w:p w:rsidR="00357605" w:rsidRPr="00357605" w:rsidRDefault="00357605" w:rsidP="00357605">
            <w:pPr>
              <w:rPr>
                <w:sz w:val="28"/>
                <w:szCs w:val="28"/>
              </w:rPr>
            </w:pPr>
          </w:p>
          <w:p w:rsidR="00956BE6" w:rsidRPr="00C53833" w:rsidRDefault="00956BE6" w:rsidP="00357605">
            <w:r w:rsidRPr="00357605">
              <w:rPr>
                <w:sz w:val="28"/>
                <w:szCs w:val="28"/>
              </w:rPr>
              <w:t>Esošu institūciju likvidācija</w:t>
            </w:r>
          </w:p>
        </w:tc>
        <w:tc>
          <w:tcPr>
            <w:tcW w:w="4691" w:type="dxa"/>
            <w:tcBorders>
              <w:top w:val="outset" w:sz="6" w:space="0" w:color="auto"/>
              <w:left w:val="outset" w:sz="6" w:space="0" w:color="auto"/>
              <w:bottom w:val="outset" w:sz="6" w:space="0" w:color="auto"/>
              <w:right w:val="outset" w:sz="6" w:space="0" w:color="auto"/>
            </w:tcBorders>
            <w:hideMark/>
          </w:tcPr>
          <w:p w:rsidR="00956BE6" w:rsidRPr="00C53833" w:rsidRDefault="00357605" w:rsidP="007755B7">
            <w:pPr>
              <w:jc w:val="both"/>
              <w:rPr>
                <w:sz w:val="28"/>
                <w:szCs w:val="28"/>
              </w:rPr>
            </w:pPr>
            <w:r>
              <w:rPr>
                <w:sz w:val="28"/>
                <w:szCs w:val="28"/>
              </w:rPr>
              <w:t>Saistībā ar projekta izpildi nav plānots likvidēt esošas institūcijas.</w:t>
            </w:r>
          </w:p>
        </w:tc>
      </w:tr>
      <w:tr w:rsidR="00956BE6" w:rsidRPr="00C53833" w:rsidTr="00357605">
        <w:trPr>
          <w:trHeight w:val="703"/>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5.</w:t>
            </w:r>
          </w:p>
        </w:tc>
        <w:tc>
          <w:tcPr>
            <w:tcW w:w="3828"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Projekta izpildes ietekme uz pārvaldes institucionālo struktūru.</w:t>
            </w:r>
          </w:p>
          <w:p w:rsidR="00956BE6" w:rsidRPr="00C53833" w:rsidRDefault="00956BE6" w:rsidP="0091617D">
            <w:pPr>
              <w:spacing w:before="100" w:beforeAutospacing="1" w:after="100" w:afterAutospacing="1"/>
              <w:rPr>
                <w:sz w:val="28"/>
                <w:szCs w:val="28"/>
              </w:rPr>
            </w:pPr>
            <w:r w:rsidRPr="00C53833">
              <w:rPr>
                <w:sz w:val="28"/>
                <w:szCs w:val="28"/>
              </w:rPr>
              <w:t>Esošu institūciju reorganizācija</w:t>
            </w:r>
          </w:p>
        </w:tc>
        <w:tc>
          <w:tcPr>
            <w:tcW w:w="4691" w:type="dxa"/>
            <w:tcBorders>
              <w:top w:val="outset" w:sz="6" w:space="0" w:color="auto"/>
              <w:left w:val="outset" w:sz="6" w:space="0" w:color="auto"/>
              <w:bottom w:val="outset" w:sz="6" w:space="0" w:color="auto"/>
              <w:right w:val="outset" w:sz="6" w:space="0" w:color="auto"/>
            </w:tcBorders>
            <w:hideMark/>
          </w:tcPr>
          <w:p w:rsidR="00956BE6" w:rsidRPr="00C53833" w:rsidRDefault="00357605" w:rsidP="007755B7">
            <w:pPr>
              <w:jc w:val="both"/>
              <w:rPr>
                <w:sz w:val="28"/>
                <w:szCs w:val="28"/>
              </w:rPr>
            </w:pPr>
            <w:r>
              <w:rPr>
                <w:sz w:val="28"/>
                <w:szCs w:val="28"/>
              </w:rPr>
              <w:t>Saistībā ar projekta izpildi nav plānots reorganizēt esošu institūciju vai arī apvienot esošas institūcijas.</w:t>
            </w:r>
          </w:p>
        </w:tc>
      </w:tr>
      <w:tr w:rsidR="00956BE6" w:rsidRPr="00C53833" w:rsidTr="00357605">
        <w:trPr>
          <w:trHeight w:val="476"/>
          <w:tblCellSpacing w:w="0" w:type="dxa"/>
        </w:trPr>
        <w:tc>
          <w:tcPr>
            <w:tcW w:w="597"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6.</w:t>
            </w:r>
          </w:p>
        </w:tc>
        <w:tc>
          <w:tcPr>
            <w:tcW w:w="3828" w:type="dxa"/>
            <w:tcBorders>
              <w:top w:val="outset" w:sz="6" w:space="0" w:color="auto"/>
              <w:left w:val="outset" w:sz="6" w:space="0" w:color="auto"/>
              <w:bottom w:val="outset" w:sz="6" w:space="0" w:color="auto"/>
              <w:right w:val="outset" w:sz="6" w:space="0" w:color="auto"/>
            </w:tcBorders>
            <w:hideMark/>
          </w:tcPr>
          <w:p w:rsidR="00956BE6" w:rsidRPr="00C53833" w:rsidRDefault="00956BE6" w:rsidP="0091617D">
            <w:pPr>
              <w:spacing w:before="100" w:beforeAutospacing="1" w:after="100" w:afterAutospacing="1"/>
              <w:rPr>
                <w:sz w:val="28"/>
                <w:szCs w:val="28"/>
              </w:rPr>
            </w:pPr>
            <w:r w:rsidRPr="00C53833">
              <w:rPr>
                <w:sz w:val="28"/>
                <w:szCs w:val="28"/>
              </w:rPr>
              <w:t> Cita informācija</w:t>
            </w:r>
          </w:p>
        </w:tc>
        <w:tc>
          <w:tcPr>
            <w:tcW w:w="4691" w:type="dxa"/>
            <w:tcBorders>
              <w:top w:val="outset" w:sz="6" w:space="0" w:color="auto"/>
              <w:left w:val="outset" w:sz="6" w:space="0" w:color="auto"/>
              <w:bottom w:val="outset" w:sz="6" w:space="0" w:color="auto"/>
              <w:right w:val="outset" w:sz="6" w:space="0" w:color="auto"/>
            </w:tcBorders>
            <w:hideMark/>
          </w:tcPr>
          <w:p w:rsidR="00956BE6" w:rsidRPr="00C53833" w:rsidRDefault="00956BE6" w:rsidP="007755B7">
            <w:pPr>
              <w:jc w:val="both"/>
              <w:rPr>
                <w:sz w:val="28"/>
                <w:szCs w:val="28"/>
              </w:rPr>
            </w:pPr>
            <w:r w:rsidRPr="00C53833">
              <w:rPr>
                <w:sz w:val="28"/>
                <w:szCs w:val="28"/>
              </w:rPr>
              <w:t>Nav</w:t>
            </w:r>
          </w:p>
        </w:tc>
      </w:tr>
    </w:tbl>
    <w:p w:rsidR="00E03F82" w:rsidRPr="00C53833" w:rsidRDefault="00E03F82" w:rsidP="00956BE6">
      <w:pPr>
        <w:pStyle w:val="tvhtml"/>
        <w:rPr>
          <w:rFonts w:ascii="Times New Roman" w:hAnsi="Times New Roman"/>
          <w:i/>
          <w:iCs/>
          <w:sz w:val="28"/>
          <w:szCs w:val="28"/>
        </w:rPr>
      </w:pPr>
    </w:p>
    <w:p w:rsidR="003E4B12" w:rsidRPr="00C53833" w:rsidRDefault="00900E0C" w:rsidP="00956BE6">
      <w:pPr>
        <w:pStyle w:val="tvhtml"/>
        <w:rPr>
          <w:rFonts w:ascii="Times New Roman" w:hAnsi="Times New Roman"/>
          <w:iCs/>
          <w:sz w:val="28"/>
          <w:szCs w:val="28"/>
        </w:rPr>
      </w:pPr>
      <w:r w:rsidRPr="00C53833">
        <w:rPr>
          <w:rFonts w:ascii="Times New Roman" w:hAnsi="Times New Roman"/>
          <w:iCs/>
          <w:sz w:val="28"/>
          <w:szCs w:val="28"/>
        </w:rPr>
        <w:lastRenderedPageBreak/>
        <w:t>Anotācijas III, V</w:t>
      </w:r>
      <w:r w:rsidR="00FD4353" w:rsidRPr="00C53833">
        <w:rPr>
          <w:rFonts w:ascii="Times New Roman" w:hAnsi="Times New Roman"/>
          <w:iCs/>
          <w:sz w:val="28"/>
          <w:szCs w:val="28"/>
        </w:rPr>
        <w:t>, VI</w:t>
      </w:r>
      <w:r w:rsidRPr="00C53833">
        <w:rPr>
          <w:rFonts w:ascii="Times New Roman" w:hAnsi="Times New Roman"/>
          <w:iCs/>
          <w:sz w:val="28"/>
          <w:szCs w:val="28"/>
        </w:rPr>
        <w:t xml:space="preserve"> sadaļa – projekts šīs jomas neskar.</w:t>
      </w:r>
    </w:p>
    <w:p w:rsidR="00D85A21" w:rsidRDefault="00D85A21" w:rsidP="00956BE6">
      <w:pPr>
        <w:jc w:val="both"/>
        <w:rPr>
          <w:sz w:val="28"/>
          <w:szCs w:val="28"/>
        </w:rPr>
      </w:pPr>
    </w:p>
    <w:p w:rsidR="00D85A21" w:rsidRDefault="00D85A21" w:rsidP="00956BE6">
      <w:pPr>
        <w:jc w:val="both"/>
        <w:rPr>
          <w:sz w:val="28"/>
          <w:szCs w:val="28"/>
        </w:rPr>
      </w:pPr>
    </w:p>
    <w:p w:rsidR="0090617A" w:rsidRDefault="003D5511" w:rsidP="00956BE6">
      <w:pPr>
        <w:jc w:val="both"/>
        <w:rPr>
          <w:sz w:val="28"/>
          <w:szCs w:val="28"/>
        </w:rPr>
      </w:pPr>
      <w:r w:rsidRPr="001C05FE">
        <w:rPr>
          <w:sz w:val="28"/>
          <w:szCs w:val="28"/>
        </w:rPr>
        <w:t>V</w:t>
      </w:r>
      <w:r w:rsidR="00640774" w:rsidRPr="001C05FE">
        <w:rPr>
          <w:sz w:val="28"/>
          <w:szCs w:val="28"/>
        </w:rPr>
        <w:t xml:space="preserve">eselības </w:t>
      </w:r>
      <w:r w:rsidR="002C0FE8" w:rsidRPr="001C05FE">
        <w:rPr>
          <w:sz w:val="28"/>
          <w:szCs w:val="28"/>
        </w:rPr>
        <w:t>ministr</w:t>
      </w:r>
      <w:r w:rsidR="003A3B68">
        <w:rPr>
          <w:sz w:val="28"/>
          <w:szCs w:val="28"/>
        </w:rPr>
        <w:t xml:space="preserve">e </w:t>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r w:rsidR="003A3B68">
        <w:rPr>
          <w:sz w:val="28"/>
          <w:szCs w:val="28"/>
        </w:rPr>
        <w:tab/>
      </w:r>
      <w:proofErr w:type="spellStart"/>
      <w:r w:rsidR="003A3B68">
        <w:rPr>
          <w:sz w:val="28"/>
          <w:szCs w:val="28"/>
        </w:rPr>
        <w:t>I.Circene</w:t>
      </w:r>
      <w:proofErr w:type="spellEnd"/>
      <w:r w:rsidRPr="001C05FE">
        <w:rPr>
          <w:sz w:val="28"/>
          <w:szCs w:val="28"/>
        </w:rPr>
        <w:tab/>
      </w:r>
      <w:r w:rsidRPr="001C05FE">
        <w:rPr>
          <w:sz w:val="28"/>
          <w:szCs w:val="28"/>
        </w:rPr>
        <w:tab/>
      </w:r>
      <w:r w:rsidRPr="001C05FE">
        <w:rPr>
          <w:sz w:val="28"/>
          <w:szCs w:val="28"/>
        </w:rPr>
        <w:tab/>
      </w:r>
      <w:r w:rsidR="00884F2A">
        <w:rPr>
          <w:sz w:val="28"/>
          <w:szCs w:val="28"/>
        </w:rPr>
        <w:tab/>
      </w:r>
      <w:r w:rsidR="00884F2A">
        <w:rPr>
          <w:sz w:val="28"/>
          <w:szCs w:val="28"/>
        </w:rPr>
        <w:tab/>
      </w:r>
      <w:r w:rsidR="00884F2A">
        <w:rPr>
          <w:sz w:val="28"/>
          <w:szCs w:val="28"/>
        </w:rPr>
        <w:tab/>
      </w:r>
      <w:r w:rsidR="00884F2A">
        <w:rPr>
          <w:sz w:val="28"/>
          <w:szCs w:val="28"/>
        </w:rPr>
        <w:tab/>
      </w:r>
    </w:p>
    <w:p w:rsidR="00D85A21" w:rsidRDefault="00D85A21" w:rsidP="001F27B8">
      <w:pPr>
        <w:pStyle w:val="PlainText"/>
        <w:jc w:val="both"/>
        <w:rPr>
          <w:rFonts w:ascii="Times New Roman" w:hAnsi="Times New Roman" w:cs="Times New Roman"/>
        </w:rPr>
      </w:pPr>
    </w:p>
    <w:p w:rsidR="00D85A21" w:rsidRDefault="00D85A21" w:rsidP="001F27B8">
      <w:pPr>
        <w:pStyle w:val="PlainText"/>
        <w:jc w:val="both"/>
        <w:rPr>
          <w:rFonts w:ascii="Times New Roman" w:hAnsi="Times New Roman" w:cs="Times New Roman"/>
        </w:rPr>
      </w:pPr>
    </w:p>
    <w:p w:rsidR="0007003F" w:rsidRDefault="00D54AE8" w:rsidP="001F27B8">
      <w:pPr>
        <w:pStyle w:val="PlainText"/>
        <w:jc w:val="both"/>
        <w:rPr>
          <w:rFonts w:ascii="Times New Roman" w:hAnsi="Times New Roman" w:cs="Times New Roman"/>
        </w:rPr>
      </w:pPr>
      <w:r>
        <w:rPr>
          <w:rFonts w:ascii="Times New Roman" w:hAnsi="Times New Roman" w:cs="Times New Roman"/>
        </w:rPr>
        <w:t>26</w:t>
      </w:r>
      <w:r w:rsidR="00357605">
        <w:rPr>
          <w:rFonts w:ascii="Times New Roman" w:hAnsi="Times New Roman" w:cs="Times New Roman"/>
        </w:rPr>
        <w:t>.03.</w:t>
      </w:r>
      <w:r w:rsidR="00372022">
        <w:rPr>
          <w:rFonts w:ascii="Times New Roman" w:hAnsi="Times New Roman" w:cs="Times New Roman"/>
        </w:rPr>
        <w:t xml:space="preserve">2012 </w:t>
      </w:r>
      <w:r>
        <w:rPr>
          <w:rFonts w:ascii="Times New Roman" w:hAnsi="Times New Roman" w:cs="Times New Roman"/>
        </w:rPr>
        <w:t>13:49</w:t>
      </w:r>
    </w:p>
    <w:p w:rsidR="00640774" w:rsidRPr="001F27B8" w:rsidRDefault="00D54AE8" w:rsidP="001F27B8">
      <w:pPr>
        <w:pStyle w:val="PlainText"/>
        <w:jc w:val="both"/>
        <w:rPr>
          <w:rFonts w:ascii="Times New Roman" w:hAnsi="Times New Roman" w:cs="Times New Roman"/>
        </w:rPr>
      </w:pPr>
      <w:r>
        <w:rPr>
          <w:rFonts w:ascii="Times New Roman" w:hAnsi="Times New Roman" w:cs="Times New Roman"/>
        </w:rPr>
        <w:t>629</w:t>
      </w:r>
    </w:p>
    <w:p w:rsidR="00D85A21" w:rsidRDefault="00C53833" w:rsidP="001F27B8">
      <w:pPr>
        <w:pStyle w:val="PlainText"/>
        <w:jc w:val="both"/>
        <w:rPr>
          <w:rFonts w:ascii="Times New Roman" w:hAnsi="Times New Roman" w:cs="Times New Roman"/>
        </w:rPr>
      </w:pPr>
      <w:r>
        <w:rPr>
          <w:rFonts w:ascii="Times New Roman" w:hAnsi="Times New Roman" w:cs="Times New Roman"/>
        </w:rPr>
        <w:t>A.Segliņa</w:t>
      </w:r>
    </w:p>
    <w:p w:rsidR="00D85A21" w:rsidRDefault="001A47FA" w:rsidP="001F27B8">
      <w:pPr>
        <w:pStyle w:val="PlainText"/>
        <w:jc w:val="both"/>
        <w:rPr>
          <w:rFonts w:ascii="Times New Roman" w:hAnsi="Times New Roman" w:cs="Times New Roman"/>
        </w:rPr>
      </w:pPr>
      <w:hyperlink r:id="rId8" w:history="1">
        <w:r w:rsidR="00C53833" w:rsidRPr="00BF31A1">
          <w:rPr>
            <w:rStyle w:val="Hyperlink"/>
            <w:rFonts w:ascii="Times New Roman" w:hAnsi="Times New Roman" w:cs="Times New Roman"/>
          </w:rPr>
          <w:t>anita.seglina@vm.gov.lv</w:t>
        </w:r>
      </w:hyperlink>
    </w:p>
    <w:p w:rsidR="00D85A21" w:rsidRDefault="00D85A21" w:rsidP="001F27B8">
      <w:pPr>
        <w:pStyle w:val="PlainText"/>
        <w:jc w:val="both"/>
        <w:rPr>
          <w:rFonts w:ascii="Times New Roman" w:hAnsi="Times New Roman" w:cs="Times New Roman"/>
        </w:rPr>
      </w:pPr>
      <w:r>
        <w:rPr>
          <w:rFonts w:ascii="Times New Roman" w:hAnsi="Times New Roman" w:cs="Times New Roman"/>
        </w:rPr>
        <w:t>67876</w:t>
      </w:r>
      <w:r w:rsidR="00C53833">
        <w:rPr>
          <w:rFonts w:ascii="Times New Roman" w:hAnsi="Times New Roman" w:cs="Times New Roman"/>
        </w:rPr>
        <w:t>102</w:t>
      </w:r>
    </w:p>
    <w:sectPr w:rsidR="00D85A21" w:rsidSect="00F13826">
      <w:headerReference w:type="even" r:id="rId9"/>
      <w:headerReference w:type="default" r:id="rId10"/>
      <w:footerReference w:type="default" r:id="rId11"/>
      <w:footerReference w:type="first" r:id="rId12"/>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1B1" w:rsidRDefault="008971B1">
      <w:r>
        <w:separator/>
      </w:r>
    </w:p>
  </w:endnote>
  <w:endnote w:type="continuationSeparator" w:id="0">
    <w:p w:rsidR="008971B1" w:rsidRDefault="00897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833" w:rsidRPr="00CC20A0" w:rsidRDefault="00C53833" w:rsidP="00C53833">
    <w:pPr>
      <w:pStyle w:val="Footer"/>
      <w:rPr>
        <w:sz w:val="20"/>
      </w:rPr>
    </w:pPr>
    <w:r>
      <w:rPr>
        <w:sz w:val="20"/>
        <w:szCs w:val="20"/>
      </w:rPr>
      <w:t>VManot_</w:t>
    </w:r>
    <w:r w:rsidR="00D54AE8">
      <w:rPr>
        <w:sz w:val="20"/>
        <w:szCs w:val="20"/>
      </w:rPr>
      <w:t>26</w:t>
    </w:r>
    <w:r w:rsidR="00357605">
      <w:rPr>
        <w:sz w:val="20"/>
        <w:szCs w:val="20"/>
      </w:rPr>
      <w:t>03</w:t>
    </w:r>
    <w:r>
      <w:rPr>
        <w:sz w:val="20"/>
        <w:szCs w:val="20"/>
      </w:rPr>
      <w:t>12</w:t>
    </w:r>
    <w:r w:rsidRPr="00AF7124">
      <w:rPr>
        <w:sz w:val="20"/>
        <w:szCs w:val="20"/>
      </w:rPr>
      <w:t>_</w:t>
    </w:r>
    <w:r>
      <w:rPr>
        <w:sz w:val="20"/>
        <w:szCs w:val="20"/>
      </w:rPr>
      <w:t>biol</w:t>
    </w:r>
    <w:r w:rsidRPr="00AF7124">
      <w:rPr>
        <w:sz w:val="20"/>
        <w:szCs w:val="20"/>
      </w:rPr>
      <w:t>;</w:t>
    </w:r>
    <w:r w:rsidRPr="00CC1231">
      <w:rPr>
        <w:sz w:val="20"/>
      </w:rPr>
      <w:t xml:space="preserve"> </w:t>
    </w:r>
    <w:r>
      <w:rPr>
        <w:sz w:val="20"/>
      </w:rPr>
      <w:t>Ministru kabine</w:t>
    </w:r>
    <w:r w:rsidR="00596594">
      <w:rPr>
        <w:sz w:val="20"/>
      </w:rPr>
      <w:t>ta noteikumu projekta „Grozījums</w:t>
    </w:r>
    <w:r>
      <w:rPr>
        <w:sz w:val="20"/>
      </w:rPr>
      <w:t xml:space="preserve"> Ministru kabineta </w:t>
    </w:r>
    <w:r w:rsidRPr="00C53833">
      <w:rPr>
        <w:noProof/>
      </w:rPr>
      <w:t>2002.gada 21.maija noteikumos Nr.189  „</w:t>
    </w:r>
    <w:r w:rsidRPr="00C53833">
      <w:t>Darba aizsardzības prasības, saskaroties ar bioloģiskajām vielām</w:t>
    </w:r>
    <w:r w:rsidRPr="00C53833">
      <w:rPr>
        <w:noProof/>
      </w:rPr>
      <w:t>””</w:t>
    </w:r>
    <w:r>
      <w:rPr>
        <w:noProof/>
      </w:rPr>
      <w:t xml:space="preserve"> </w:t>
    </w:r>
    <w:r w:rsidRPr="00E47996">
      <w:rPr>
        <w:sz w:val="20"/>
        <w:szCs w:val="20"/>
      </w:rPr>
      <w:t>sākotnējās ietekmes novērtējuma ziņojums (anotācija)</w:t>
    </w:r>
  </w:p>
  <w:p w:rsidR="008971B1" w:rsidRDefault="008971B1" w:rsidP="00CC1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B1" w:rsidRDefault="008971B1" w:rsidP="00CC1231">
    <w:pPr>
      <w:pStyle w:val="Footer"/>
    </w:pPr>
  </w:p>
  <w:p w:rsidR="00F13826" w:rsidRPr="00CC20A0" w:rsidRDefault="00F13826" w:rsidP="00F13826">
    <w:pPr>
      <w:pStyle w:val="Footer"/>
      <w:rPr>
        <w:sz w:val="20"/>
      </w:rPr>
    </w:pPr>
    <w:bookmarkStart w:id="6" w:name="OLE_LINK5"/>
    <w:bookmarkStart w:id="7" w:name="OLE_LINK6"/>
    <w:r>
      <w:rPr>
        <w:sz w:val="20"/>
        <w:szCs w:val="20"/>
      </w:rPr>
      <w:t>VManot_</w:t>
    </w:r>
    <w:r w:rsidR="00D54AE8">
      <w:rPr>
        <w:sz w:val="20"/>
        <w:szCs w:val="20"/>
      </w:rPr>
      <w:t>26</w:t>
    </w:r>
    <w:r w:rsidR="00357605">
      <w:rPr>
        <w:sz w:val="20"/>
        <w:szCs w:val="20"/>
      </w:rPr>
      <w:t>03</w:t>
    </w:r>
    <w:r>
      <w:rPr>
        <w:sz w:val="20"/>
        <w:szCs w:val="20"/>
      </w:rPr>
      <w:t>12</w:t>
    </w:r>
    <w:r w:rsidRPr="00AF7124">
      <w:rPr>
        <w:sz w:val="20"/>
        <w:szCs w:val="20"/>
      </w:rPr>
      <w:t>_</w:t>
    </w:r>
    <w:r w:rsidR="00C53833">
      <w:rPr>
        <w:sz w:val="20"/>
        <w:szCs w:val="20"/>
      </w:rPr>
      <w:t>biol</w:t>
    </w:r>
    <w:r w:rsidRPr="00AF7124">
      <w:rPr>
        <w:sz w:val="20"/>
        <w:szCs w:val="20"/>
      </w:rPr>
      <w:t>;</w:t>
    </w:r>
    <w:r w:rsidRPr="00CC1231">
      <w:rPr>
        <w:sz w:val="20"/>
      </w:rPr>
      <w:t xml:space="preserve"> </w:t>
    </w:r>
    <w:r>
      <w:rPr>
        <w:sz w:val="20"/>
      </w:rPr>
      <w:t>Mini</w:t>
    </w:r>
    <w:r w:rsidR="00C53833">
      <w:rPr>
        <w:sz w:val="20"/>
      </w:rPr>
      <w:t>stru kabineta noteikumu projekta</w:t>
    </w:r>
    <w:r>
      <w:rPr>
        <w:sz w:val="20"/>
      </w:rPr>
      <w:t xml:space="preserve"> „Grozījumi Ministru kabineta </w:t>
    </w:r>
    <w:r w:rsidR="00C53833" w:rsidRPr="00C53833">
      <w:rPr>
        <w:noProof/>
      </w:rPr>
      <w:t>2002.gada 21.maija noteikumos Nr.189  „</w:t>
    </w:r>
    <w:r w:rsidR="00C53833" w:rsidRPr="00C53833">
      <w:t>Darba aizsardzības prasības, saskaroties ar bioloģiskajām vielām</w:t>
    </w:r>
    <w:r w:rsidR="00C53833" w:rsidRPr="00C53833">
      <w:rPr>
        <w:noProof/>
      </w:rPr>
      <w:t>””</w:t>
    </w:r>
    <w:r w:rsidR="00C53833">
      <w:rPr>
        <w:noProof/>
      </w:rPr>
      <w:t xml:space="preserve"> </w:t>
    </w:r>
    <w:r w:rsidRPr="00E47996">
      <w:rPr>
        <w:sz w:val="20"/>
        <w:szCs w:val="20"/>
      </w:rPr>
      <w:t>sākotnējās ietekmes novērtējuma ziņojums (anotācija)</w:t>
    </w:r>
  </w:p>
  <w:bookmarkEnd w:id="6"/>
  <w:bookmarkEnd w:id="7"/>
  <w:p w:rsidR="00F13826" w:rsidRDefault="00F13826" w:rsidP="00F13826">
    <w:pPr>
      <w:pStyle w:val="Footer"/>
    </w:pPr>
  </w:p>
  <w:p w:rsidR="008971B1" w:rsidRPr="0023734A" w:rsidRDefault="008971B1" w:rsidP="003B0A8C">
    <w:pPr>
      <w:jc w:val="both"/>
      <w:rPr>
        <w:sz w:val="20"/>
        <w:szCs w:val="20"/>
      </w:rPr>
    </w:pPr>
    <w:r w:rsidRPr="00AF712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1B1" w:rsidRDefault="008971B1">
      <w:r>
        <w:separator/>
      </w:r>
    </w:p>
  </w:footnote>
  <w:footnote w:type="continuationSeparator" w:id="0">
    <w:p w:rsidR="008971B1" w:rsidRDefault="00897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B1" w:rsidRDefault="001A47FA" w:rsidP="002935F0">
    <w:pPr>
      <w:pStyle w:val="Header"/>
      <w:framePr w:wrap="around" w:vAnchor="text" w:hAnchor="margin" w:xAlign="center" w:y="1"/>
      <w:rPr>
        <w:rStyle w:val="PageNumber"/>
      </w:rPr>
    </w:pPr>
    <w:r>
      <w:rPr>
        <w:rStyle w:val="PageNumber"/>
      </w:rPr>
      <w:fldChar w:fldCharType="begin"/>
    </w:r>
    <w:r w:rsidR="008971B1">
      <w:rPr>
        <w:rStyle w:val="PageNumber"/>
      </w:rPr>
      <w:instrText xml:space="preserve">PAGE  </w:instrText>
    </w:r>
    <w:r>
      <w:rPr>
        <w:rStyle w:val="PageNumber"/>
      </w:rPr>
      <w:fldChar w:fldCharType="end"/>
    </w:r>
  </w:p>
  <w:p w:rsidR="008971B1" w:rsidRDefault="00897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B1" w:rsidRDefault="001A47FA" w:rsidP="002935F0">
    <w:pPr>
      <w:pStyle w:val="Header"/>
      <w:framePr w:wrap="around" w:vAnchor="text" w:hAnchor="margin" w:xAlign="center" w:y="1"/>
      <w:rPr>
        <w:rStyle w:val="PageNumber"/>
      </w:rPr>
    </w:pPr>
    <w:r>
      <w:rPr>
        <w:rStyle w:val="PageNumber"/>
      </w:rPr>
      <w:fldChar w:fldCharType="begin"/>
    </w:r>
    <w:r w:rsidR="008971B1">
      <w:rPr>
        <w:rStyle w:val="PageNumber"/>
      </w:rPr>
      <w:instrText xml:space="preserve">PAGE  </w:instrText>
    </w:r>
    <w:r>
      <w:rPr>
        <w:rStyle w:val="PageNumber"/>
      </w:rPr>
      <w:fldChar w:fldCharType="separate"/>
    </w:r>
    <w:r w:rsidR="00D54AE8">
      <w:rPr>
        <w:rStyle w:val="PageNumber"/>
        <w:noProof/>
      </w:rPr>
      <w:t>4</w:t>
    </w:r>
    <w:r>
      <w:rPr>
        <w:rStyle w:val="PageNumber"/>
      </w:rPr>
      <w:fldChar w:fldCharType="end"/>
    </w:r>
  </w:p>
  <w:p w:rsidR="008971B1" w:rsidRDefault="008971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stylePaneFormatFilter w:val="3F01"/>
  <w:defaultTabStop w:val="720"/>
  <w:characterSpacingControl w:val="doNotCompress"/>
  <w:footnotePr>
    <w:footnote w:id="-1"/>
    <w:footnote w:id="0"/>
  </w:footnotePr>
  <w:endnotePr>
    <w:endnote w:id="-1"/>
    <w:endnote w:id="0"/>
  </w:endnotePr>
  <w:compat/>
  <w:rsids>
    <w:rsidRoot w:val="00057A45"/>
    <w:rsid w:val="00001803"/>
    <w:rsid w:val="000027C8"/>
    <w:rsid w:val="000029E3"/>
    <w:rsid w:val="00003293"/>
    <w:rsid w:val="00004359"/>
    <w:rsid w:val="00005DFA"/>
    <w:rsid w:val="00010C72"/>
    <w:rsid w:val="00010DDA"/>
    <w:rsid w:val="00015BE4"/>
    <w:rsid w:val="00016FEA"/>
    <w:rsid w:val="000205A7"/>
    <w:rsid w:val="00021276"/>
    <w:rsid w:val="00021D18"/>
    <w:rsid w:val="00023887"/>
    <w:rsid w:val="0003154A"/>
    <w:rsid w:val="00033E5E"/>
    <w:rsid w:val="0003431E"/>
    <w:rsid w:val="00035450"/>
    <w:rsid w:val="0003583F"/>
    <w:rsid w:val="000460B9"/>
    <w:rsid w:val="000473CC"/>
    <w:rsid w:val="00052C94"/>
    <w:rsid w:val="00057A45"/>
    <w:rsid w:val="0007003F"/>
    <w:rsid w:val="00071B24"/>
    <w:rsid w:val="000745B5"/>
    <w:rsid w:val="00076EF5"/>
    <w:rsid w:val="0007735D"/>
    <w:rsid w:val="000947C0"/>
    <w:rsid w:val="00094944"/>
    <w:rsid w:val="00097499"/>
    <w:rsid w:val="000A00D8"/>
    <w:rsid w:val="000A68D7"/>
    <w:rsid w:val="000B04D8"/>
    <w:rsid w:val="000B1841"/>
    <w:rsid w:val="000B664E"/>
    <w:rsid w:val="000C0D48"/>
    <w:rsid w:val="000C682A"/>
    <w:rsid w:val="000D4FF4"/>
    <w:rsid w:val="000D5011"/>
    <w:rsid w:val="000E52AF"/>
    <w:rsid w:val="000E581B"/>
    <w:rsid w:val="000E5874"/>
    <w:rsid w:val="000E5BFF"/>
    <w:rsid w:val="000E705D"/>
    <w:rsid w:val="000F1E99"/>
    <w:rsid w:val="0010194C"/>
    <w:rsid w:val="00106273"/>
    <w:rsid w:val="00107CE4"/>
    <w:rsid w:val="00110EAA"/>
    <w:rsid w:val="001116A8"/>
    <w:rsid w:val="001256C9"/>
    <w:rsid w:val="00126108"/>
    <w:rsid w:val="00133483"/>
    <w:rsid w:val="00135B78"/>
    <w:rsid w:val="00142843"/>
    <w:rsid w:val="001475CE"/>
    <w:rsid w:val="00151D4E"/>
    <w:rsid w:val="001536C6"/>
    <w:rsid w:val="001551C6"/>
    <w:rsid w:val="0016645F"/>
    <w:rsid w:val="001676C1"/>
    <w:rsid w:val="00167B6E"/>
    <w:rsid w:val="00176922"/>
    <w:rsid w:val="0018044A"/>
    <w:rsid w:val="0019600B"/>
    <w:rsid w:val="001966C0"/>
    <w:rsid w:val="00197BFC"/>
    <w:rsid w:val="001A47FA"/>
    <w:rsid w:val="001A495C"/>
    <w:rsid w:val="001A783A"/>
    <w:rsid w:val="001B25AF"/>
    <w:rsid w:val="001C05FE"/>
    <w:rsid w:val="001C14FA"/>
    <w:rsid w:val="001C3946"/>
    <w:rsid w:val="001C5CEA"/>
    <w:rsid w:val="001D0D61"/>
    <w:rsid w:val="001D11D4"/>
    <w:rsid w:val="001D2C60"/>
    <w:rsid w:val="001D3BEE"/>
    <w:rsid w:val="001D6900"/>
    <w:rsid w:val="001F201E"/>
    <w:rsid w:val="001F27B8"/>
    <w:rsid w:val="001F7E4A"/>
    <w:rsid w:val="00201CB9"/>
    <w:rsid w:val="00201E76"/>
    <w:rsid w:val="00205EED"/>
    <w:rsid w:val="002120B6"/>
    <w:rsid w:val="00214299"/>
    <w:rsid w:val="00214C14"/>
    <w:rsid w:val="00215749"/>
    <w:rsid w:val="0022074C"/>
    <w:rsid w:val="00221ADE"/>
    <w:rsid w:val="00222714"/>
    <w:rsid w:val="002248A3"/>
    <w:rsid w:val="00226548"/>
    <w:rsid w:val="002265D8"/>
    <w:rsid w:val="002266C1"/>
    <w:rsid w:val="002267D6"/>
    <w:rsid w:val="00226CA4"/>
    <w:rsid w:val="00230B5C"/>
    <w:rsid w:val="0023734A"/>
    <w:rsid w:val="002434D6"/>
    <w:rsid w:val="002450C1"/>
    <w:rsid w:val="00245A6F"/>
    <w:rsid w:val="00246C24"/>
    <w:rsid w:val="00250A2D"/>
    <w:rsid w:val="0025234D"/>
    <w:rsid w:val="00253B7F"/>
    <w:rsid w:val="002556E9"/>
    <w:rsid w:val="002631A5"/>
    <w:rsid w:val="00263E65"/>
    <w:rsid w:val="00264888"/>
    <w:rsid w:val="00267EB5"/>
    <w:rsid w:val="0027058E"/>
    <w:rsid w:val="00272776"/>
    <w:rsid w:val="00272C1F"/>
    <w:rsid w:val="00281DD1"/>
    <w:rsid w:val="00283F02"/>
    <w:rsid w:val="00284A74"/>
    <w:rsid w:val="0028541D"/>
    <w:rsid w:val="00287B3F"/>
    <w:rsid w:val="002935F0"/>
    <w:rsid w:val="00295590"/>
    <w:rsid w:val="002967F8"/>
    <w:rsid w:val="00296B9D"/>
    <w:rsid w:val="00297635"/>
    <w:rsid w:val="00297F16"/>
    <w:rsid w:val="002A10A8"/>
    <w:rsid w:val="002A179C"/>
    <w:rsid w:val="002A1822"/>
    <w:rsid w:val="002A3CA8"/>
    <w:rsid w:val="002A6687"/>
    <w:rsid w:val="002B1874"/>
    <w:rsid w:val="002B5960"/>
    <w:rsid w:val="002C0DBF"/>
    <w:rsid w:val="002C0FE8"/>
    <w:rsid w:val="002C2C45"/>
    <w:rsid w:val="002C400D"/>
    <w:rsid w:val="002C458D"/>
    <w:rsid w:val="002C6C0C"/>
    <w:rsid w:val="002D2047"/>
    <w:rsid w:val="002D24E7"/>
    <w:rsid w:val="002D4E97"/>
    <w:rsid w:val="002D7528"/>
    <w:rsid w:val="002D7D70"/>
    <w:rsid w:val="002E1C26"/>
    <w:rsid w:val="002E2EF1"/>
    <w:rsid w:val="002E39BB"/>
    <w:rsid w:val="002E3BFA"/>
    <w:rsid w:val="002E7C61"/>
    <w:rsid w:val="002F1748"/>
    <w:rsid w:val="002F17DF"/>
    <w:rsid w:val="002F705C"/>
    <w:rsid w:val="00304C3D"/>
    <w:rsid w:val="00310936"/>
    <w:rsid w:val="003109AF"/>
    <w:rsid w:val="0031200C"/>
    <w:rsid w:val="003147B4"/>
    <w:rsid w:val="0031753A"/>
    <w:rsid w:val="00323832"/>
    <w:rsid w:val="00323BBA"/>
    <w:rsid w:val="0033121E"/>
    <w:rsid w:val="00333143"/>
    <w:rsid w:val="003343BC"/>
    <w:rsid w:val="00334D11"/>
    <w:rsid w:val="0033572B"/>
    <w:rsid w:val="003366B8"/>
    <w:rsid w:val="003368B0"/>
    <w:rsid w:val="00343ECB"/>
    <w:rsid w:val="00345053"/>
    <w:rsid w:val="003472FC"/>
    <w:rsid w:val="0035176B"/>
    <w:rsid w:val="00352238"/>
    <w:rsid w:val="00352CB6"/>
    <w:rsid w:val="00355359"/>
    <w:rsid w:val="0035690D"/>
    <w:rsid w:val="00357605"/>
    <w:rsid w:val="00362B79"/>
    <w:rsid w:val="003630A9"/>
    <w:rsid w:val="00365349"/>
    <w:rsid w:val="00371EAD"/>
    <w:rsid w:val="00372022"/>
    <w:rsid w:val="0037305E"/>
    <w:rsid w:val="00373ADD"/>
    <w:rsid w:val="003747BF"/>
    <w:rsid w:val="00386C81"/>
    <w:rsid w:val="00387954"/>
    <w:rsid w:val="00391A41"/>
    <w:rsid w:val="00391E1D"/>
    <w:rsid w:val="00392F7B"/>
    <w:rsid w:val="0039373A"/>
    <w:rsid w:val="00394804"/>
    <w:rsid w:val="003A0B83"/>
    <w:rsid w:val="003A25AD"/>
    <w:rsid w:val="003A3AD4"/>
    <w:rsid w:val="003A3B68"/>
    <w:rsid w:val="003A3C9F"/>
    <w:rsid w:val="003A64E5"/>
    <w:rsid w:val="003B0034"/>
    <w:rsid w:val="003B0A8C"/>
    <w:rsid w:val="003C002A"/>
    <w:rsid w:val="003C58B7"/>
    <w:rsid w:val="003D076C"/>
    <w:rsid w:val="003D0D07"/>
    <w:rsid w:val="003D2380"/>
    <w:rsid w:val="003D3D72"/>
    <w:rsid w:val="003D5511"/>
    <w:rsid w:val="003D5656"/>
    <w:rsid w:val="003E0241"/>
    <w:rsid w:val="003E2728"/>
    <w:rsid w:val="003E4B12"/>
    <w:rsid w:val="003E657B"/>
    <w:rsid w:val="003E79DE"/>
    <w:rsid w:val="003E7A7E"/>
    <w:rsid w:val="003F3652"/>
    <w:rsid w:val="003F4BA1"/>
    <w:rsid w:val="003F52EF"/>
    <w:rsid w:val="00400A9B"/>
    <w:rsid w:val="00405602"/>
    <w:rsid w:val="00411ECA"/>
    <w:rsid w:val="00416246"/>
    <w:rsid w:val="00417E5D"/>
    <w:rsid w:val="004238D5"/>
    <w:rsid w:val="00423CA2"/>
    <w:rsid w:val="00426858"/>
    <w:rsid w:val="00432C60"/>
    <w:rsid w:val="00434736"/>
    <w:rsid w:val="004406EB"/>
    <w:rsid w:val="0044431D"/>
    <w:rsid w:val="0044472C"/>
    <w:rsid w:val="0044497B"/>
    <w:rsid w:val="004529B0"/>
    <w:rsid w:val="00452DC9"/>
    <w:rsid w:val="00454124"/>
    <w:rsid w:val="0045427B"/>
    <w:rsid w:val="00454F2F"/>
    <w:rsid w:val="00462184"/>
    <w:rsid w:val="00462DBD"/>
    <w:rsid w:val="00466AC2"/>
    <w:rsid w:val="00467807"/>
    <w:rsid w:val="00467F17"/>
    <w:rsid w:val="00472FC2"/>
    <w:rsid w:val="00473183"/>
    <w:rsid w:val="00473E25"/>
    <w:rsid w:val="0047649A"/>
    <w:rsid w:val="00476E56"/>
    <w:rsid w:val="00482B5D"/>
    <w:rsid w:val="00485E59"/>
    <w:rsid w:val="00490199"/>
    <w:rsid w:val="00492FF8"/>
    <w:rsid w:val="00493F81"/>
    <w:rsid w:val="00496ECA"/>
    <w:rsid w:val="004A00FE"/>
    <w:rsid w:val="004A0B1A"/>
    <w:rsid w:val="004A1436"/>
    <w:rsid w:val="004A290E"/>
    <w:rsid w:val="004A2DE6"/>
    <w:rsid w:val="004A3DB9"/>
    <w:rsid w:val="004A3E3F"/>
    <w:rsid w:val="004B0BBE"/>
    <w:rsid w:val="004B4CAB"/>
    <w:rsid w:val="004B515D"/>
    <w:rsid w:val="004B7A43"/>
    <w:rsid w:val="004D0540"/>
    <w:rsid w:val="004D1489"/>
    <w:rsid w:val="004F453E"/>
    <w:rsid w:val="004F4C8C"/>
    <w:rsid w:val="004F509D"/>
    <w:rsid w:val="004F5A60"/>
    <w:rsid w:val="004F6A4E"/>
    <w:rsid w:val="0050369C"/>
    <w:rsid w:val="005102C9"/>
    <w:rsid w:val="00511A64"/>
    <w:rsid w:val="005138EE"/>
    <w:rsid w:val="00514D1B"/>
    <w:rsid w:val="00516F40"/>
    <w:rsid w:val="00517A7D"/>
    <w:rsid w:val="00521B2E"/>
    <w:rsid w:val="005236E8"/>
    <w:rsid w:val="00523EAC"/>
    <w:rsid w:val="00525143"/>
    <w:rsid w:val="005256A8"/>
    <w:rsid w:val="005275B5"/>
    <w:rsid w:val="00530BAF"/>
    <w:rsid w:val="00533277"/>
    <w:rsid w:val="005333D0"/>
    <w:rsid w:val="00534946"/>
    <w:rsid w:val="005349D2"/>
    <w:rsid w:val="00535FF1"/>
    <w:rsid w:val="005412BD"/>
    <w:rsid w:val="005439A1"/>
    <w:rsid w:val="00544BCB"/>
    <w:rsid w:val="005454DA"/>
    <w:rsid w:val="00561C3C"/>
    <w:rsid w:val="005621A7"/>
    <w:rsid w:val="005658F4"/>
    <w:rsid w:val="0057222B"/>
    <w:rsid w:val="00574F12"/>
    <w:rsid w:val="00575AF7"/>
    <w:rsid w:val="00582FA1"/>
    <w:rsid w:val="0058350C"/>
    <w:rsid w:val="00586F93"/>
    <w:rsid w:val="0058755B"/>
    <w:rsid w:val="005918CC"/>
    <w:rsid w:val="00594E33"/>
    <w:rsid w:val="00596594"/>
    <w:rsid w:val="005A007A"/>
    <w:rsid w:val="005A0FA3"/>
    <w:rsid w:val="005B098C"/>
    <w:rsid w:val="005B16C5"/>
    <w:rsid w:val="005B19A4"/>
    <w:rsid w:val="005B443E"/>
    <w:rsid w:val="005B64DC"/>
    <w:rsid w:val="005B6D49"/>
    <w:rsid w:val="005C0840"/>
    <w:rsid w:val="005C1B7D"/>
    <w:rsid w:val="005E1AD1"/>
    <w:rsid w:val="005E60C6"/>
    <w:rsid w:val="005E6990"/>
    <w:rsid w:val="005F1171"/>
    <w:rsid w:val="005F5E9E"/>
    <w:rsid w:val="005F6124"/>
    <w:rsid w:val="005F6C4D"/>
    <w:rsid w:val="005F7F91"/>
    <w:rsid w:val="006007F8"/>
    <w:rsid w:val="00601DCD"/>
    <w:rsid w:val="00610277"/>
    <w:rsid w:val="006103B7"/>
    <w:rsid w:val="00610601"/>
    <w:rsid w:val="00610A65"/>
    <w:rsid w:val="0061287A"/>
    <w:rsid w:val="0061347B"/>
    <w:rsid w:val="00613768"/>
    <w:rsid w:val="006154F2"/>
    <w:rsid w:val="00617064"/>
    <w:rsid w:val="00617251"/>
    <w:rsid w:val="00623FFD"/>
    <w:rsid w:val="006248F0"/>
    <w:rsid w:val="00624B30"/>
    <w:rsid w:val="00626B4C"/>
    <w:rsid w:val="00626F77"/>
    <w:rsid w:val="00627523"/>
    <w:rsid w:val="00632550"/>
    <w:rsid w:val="006330A8"/>
    <w:rsid w:val="00635109"/>
    <w:rsid w:val="00635561"/>
    <w:rsid w:val="00640774"/>
    <w:rsid w:val="00640C17"/>
    <w:rsid w:val="006436CF"/>
    <w:rsid w:val="00645D7D"/>
    <w:rsid w:val="00646222"/>
    <w:rsid w:val="006501C0"/>
    <w:rsid w:val="00657209"/>
    <w:rsid w:val="00657BD6"/>
    <w:rsid w:val="0066046A"/>
    <w:rsid w:val="00665BAB"/>
    <w:rsid w:val="00671D41"/>
    <w:rsid w:val="0067509B"/>
    <w:rsid w:val="006755D8"/>
    <w:rsid w:val="00676221"/>
    <w:rsid w:val="00677CE4"/>
    <w:rsid w:val="00680090"/>
    <w:rsid w:val="00681626"/>
    <w:rsid w:val="006836F3"/>
    <w:rsid w:val="00685D78"/>
    <w:rsid w:val="00685F7B"/>
    <w:rsid w:val="00687DB4"/>
    <w:rsid w:val="00692083"/>
    <w:rsid w:val="00693C20"/>
    <w:rsid w:val="00694455"/>
    <w:rsid w:val="0069556E"/>
    <w:rsid w:val="0069791F"/>
    <w:rsid w:val="006A20B8"/>
    <w:rsid w:val="006A36CC"/>
    <w:rsid w:val="006A4EAD"/>
    <w:rsid w:val="006A7143"/>
    <w:rsid w:val="006B2C6D"/>
    <w:rsid w:val="006B434F"/>
    <w:rsid w:val="006B475A"/>
    <w:rsid w:val="006B51D7"/>
    <w:rsid w:val="006B68CC"/>
    <w:rsid w:val="006B7219"/>
    <w:rsid w:val="006C0F84"/>
    <w:rsid w:val="006C5847"/>
    <w:rsid w:val="006C73B3"/>
    <w:rsid w:val="006D13E6"/>
    <w:rsid w:val="006D1F52"/>
    <w:rsid w:val="006D2673"/>
    <w:rsid w:val="006D3E67"/>
    <w:rsid w:val="006D53CE"/>
    <w:rsid w:val="006E16F1"/>
    <w:rsid w:val="006E2526"/>
    <w:rsid w:val="006E33CD"/>
    <w:rsid w:val="006E3F4B"/>
    <w:rsid w:val="006E5C1F"/>
    <w:rsid w:val="006F266A"/>
    <w:rsid w:val="006F6868"/>
    <w:rsid w:val="00705FFB"/>
    <w:rsid w:val="00707C80"/>
    <w:rsid w:val="00707F3A"/>
    <w:rsid w:val="00710975"/>
    <w:rsid w:val="00710BDE"/>
    <w:rsid w:val="00713776"/>
    <w:rsid w:val="00713B3D"/>
    <w:rsid w:val="00715E63"/>
    <w:rsid w:val="00716CD8"/>
    <w:rsid w:val="0072604C"/>
    <w:rsid w:val="007303D0"/>
    <w:rsid w:val="00732F65"/>
    <w:rsid w:val="0073466D"/>
    <w:rsid w:val="007359AA"/>
    <w:rsid w:val="00735D7B"/>
    <w:rsid w:val="007376A3"/>
    <w:rsid w:val="00741FC8"/>
    <w:rsid w:val="00744AC4"/>
    <w:rsid w:val="00744D23"/>
    <w:rsid w:val="0074610C"/>
    <w:rsid w:val="00746D3D"/>
    <w:rsid w:val="0075644D"/>
    <w:rsid w:val="0075695E"/>
    <w:rsid w:val="007576E7"/>
    <w:rsid w:val="007601AB"/>
    <w:rsid w:val="00760875"/>
    <w:rsid w:val="007658D5"/>
    <w:rsid w:val="007666D7"/>
    <w:rsid w:val="00766A87"/>
    <w:rsid w:val="00773E29"/>
    <w:rsid w:val="00774479"/>
    <w:rsid w:val="007755B7"/>
    <w:rsid w:val="00780C45"/>
    <w:rsid w:val="00784919"/>
    <w:rsid w:val="00785007"/>
    <w:rsid w:val="0078779A"/>
    <w:rsid w:val="007929F2"/>
    <w:rsid w:val="007941BE"/>
    <w:rsid w:val="0079601D"/>
    <w:rsid w:val="007A1164"/>
    <w:rsid w:val="007A2DEC"/>
    <w:rsid w:val="007A35D5"/>
    <w:rsid w:val="007A4768"/>
    <w:rsid w:val="007A5BDA"/>
    <w:rsid w:val="007B1778"/>
    <w:rsid w:val="007B7A83"/>
    <w:rsid w:val="007C0AAE"/>
    <w:rsid w:val="007C0DD8"/>
    <w:rsid w:val="007C26C3"/>
    <w:rsid w:val="007C5E07"/>
    <w:rsid w:val="007E0B03"/>
    <w:rsid w:val="007E4147"/>
    <w:rsid w:val="007E5394"/>
    <w:rsid w:val="007E69C2"/>
    <w:rsid w:val="007F1EFB"/>
    <w:rsid w:val="007F2ED7"/>
    <w:rsid w:val="007F7480"/>
    <w:rsid w:val="00802288"/>
    <w:rsid w:val="00804A3E"/>
    <w:rsid w:val="00805143"/>
    <w:rsid w:val="0080618A"/>
    <w:rsid w:val="008075E1"/>
    <w:rsid w:val="00807808"/>
    <w:rsid w:val="008108D6"/>
    <w:rsid w:val="00813669"/>
    <w:rsid w:val="0081559C"/>
    <w:rsid w:val="0081667F"/>
    <w:rsid w:val="00821142"/>
    <w:rsid w:val="008229F3"/>
    <w:rsid w:val="00824591"/>
    <w:rsid w:val="00824744"/>
    <w:rsid w:val="0082500A"/>
    <w:rsid w:val="00827932"/>
    <w:rsid w:val="00830160"/>
    <w:rsid w:val="008313AB"/>
    <w:rsid w:val="00831FDA"/>
    <w:rsid w:val="00836C42"/>
    <w:rsid w:val="00841A26"/>
    <w:rsid w:val="00843BCD"/>
    <w:rsid w:val="00852762"/>
    <w:rsid w:val="00852E04"/>
    <w:rsid w:val="00853F9F"/>
    <w:rsid w:val="00856CB1"/>
    <w:rsid w:val="00857092"/>
    <w:rsid w:val="00871B3A"/>
    <w:rsid w:val="0087467A"/>
    <w:rsid w:val="008814A4"/>
    <w:rsid w:val="0088270D"/>
    <w:rsid w:val="00882F60"/>
    <w:rsid w:val="008834D1"/>
    <w:rsid w:val="00884F2A"/>
    <w:rsid w:val="0089342E"/>
    <w:rsid w:val="00894C4F"/>
    <w:rsid w:val="008971B1"/>
    <w:rsid w:val="008974C9"/>
    <w:rsid w:val="008A0F49"/>
    <w:rsid w:val="008A1059"/>
    <w:rsid w:val="008A2DC3"/>
    <w:rsid w:val="008A556A"/>
    <w:rsid w:val="008B149A"/>
    <w:rsid w:val="008B1E9C"/>
    <w:rsid w:val="008B3999"/>
    <w:rsid w:val="008B4D46"/>
    <w:rsid w:val="008C2480"/>
    <w:rsid w:val="008C782C"/>
    <w:rsid w:val="008D1D0C"/>
    <w:rsid w:val="008D35FC"/>
    <w:rsid w:val="008D563C"/>
    <w:rsid w:val="008D62AE"/>
    <w:rsid w:val="008D730D"/>
    <w:rsid w:val="008E3929"/>
    <w:rsid w:val="008E5441"/>
    <w:rsid w:val="008E5FAC"/>
    <w:rsid w:val="008F068B"/>
    <w:rsid w:val="008F1669"/>
    <w:rsid w:val="008F7D4D"/>
    <w:rsid w:val="00900D12"/>
    <w:rsid w:val="00900E0C"/>
    <w:rsid w:val="009032E8"/>
    <w:rsid w:val="0090582A"/>
    <w:rsid w:val="0090617A"/>
    <w:rsid w:val="009077DF"/>
    <w:rsid w:val="00907C60"/>
    <w:rsid w:val="00911685"/>
    <w:rsid w:val="009124E0"/>
    <w:rsid w:val="0091273E"/>
    <w:rsid w:val="0091617D"/>
    <w:rsid w:val="00916D86"/>
    <w:rsid w:val="009170B8"/>
    <w:rsid w:val="00920D0B"/>
    <w:rsid w:val="009244A7"/>
    <w:rsid w:val="009276C1"/>
    <w:rsid w:val="00930EF1"/>
    <w:rsid w:val="0093437E"/>
    <w:rsid w:val="009344EF"/>
    <w:rsid w:val="0093455F"/>
    <w:rsid w:val="00942C6D"/>
    <w:rsid w:val="00942CBC"/>
    <w:rsid w:val="00943216"/>
    <w:rsid w:val="009434FB"/>
    <w:rsid w:val="00944AC5"/>
    <w:rsid w:val="009469A2"/>
    <w:rsid w:val="00947995"/>
    <w:rsid w:val="009479B9"/>
    <w:rsid w:val="00955820"/>
    <w:rsid w:val="00955CB5"/>
    <w:rsid w:val="00955CBA"/>
    <w:rsid w:val="00956A31"/>
    <w:rsid w:val="00956BE6"/>
    <w:rsid w:val="00960BDA"/>
    <w:rsid w:val="009633D8"/>
    <w:rsid w:val="00964D08"/>
    <w:rsid w:val="00966F8A"/>
    <w:rsid w:val="009678B8"/>
    <w:rsid w:val="0097137F"/>
    <w:rsid w:val="00977526"/>
    <w:rsid w:val="00980754"/>
    <w:rsid w:val="0098497C"/>
    <w:rsid w:val="00985838"/>
    <w:rsid w:val="00990F21"/>
    <w:rsid w:val="00991AC9"/>
    <w:rsid w:val="0099250E"/>
    <w:rsid w:val="00995D80"/>
    <w:rsid w:val="0099629F"/>
    <w:rsid w:val="009A5066"/>
    <w:rsid w:val="009A6EAC"/>
    <w:rsid w:val="009B3365"/>
    <w:rsid w:val="009B59E3"/>
    <w:rsid w:val="009B700D"/>
    <w:rsid w:val="009C1FF4"/>
    <w:rsid w:val="009C25AF"/>
    <w:rsid w:val="009C33C8"/>
    <w:rsid w:val="009C5B69"/>
    <w:rsid w:val="009E14E3"/>
    <w:rsid w:val="009E5806"/>
    <w:rsid w:val="009E66CF"/>
    <w:rsid w:val="009F284F"/>
    <w:rsid w:val="009F6E39"/>
    <w:rsid w:val="009F6FFC"/>
    <w:rsid w:val="009F703C"/>
    <w:rsid w:val="009F716E"/>
    <w:rsid w:val="009F7786"/>
    <w:rsid w:val="009F7FF4"/>
    <w:rsid w:val="00A00CF8"/>
    <w:rsid w:val="00A03895"/>
    <w:rsid w:val="00A06749"/>
    <w:rsid w:val="00A07C98"/>
    <w:rsid w:val="00A1129E"/>
    <w:rsid w:val="00A11C66"/>
    <w:rsid w:val="00A14F23"/>
    <w:rsid w:val="00A150E8"/>
    <w:rsid w:val="00A20426"/>
    <w:rsid w:val="00A278F8"/>
    <w:rsid w:val="00A27954"/>
    <w:rsid w:val="00A30B5C"/>
    <w:rsid w:val="00A321D3"/>
    <w:rsid w:val="00A32B15"/>
    <w:rsid w:val="00A34456"/>
    <w:rsid w:val="00A357F5"/>
    <w:rsid w:val="00A370D1"/>
    <w:rsid w:val="00A37FF2"/>
    <w:rsid w:val="00A40C50"/>
    <w:rsid w:val="00A4239D"/>
    <w:rsid w:val="00A43A0C"/>
    <w:rsid w:val="00A44A09"/>
    <w:rsid w:val="00A50281"/>
    <w:rsid w:val="00A50E47"/>
    <w:rsid w:val="00A5747C"/>
    <w:rsid w:val="00A62AFD"/>
    <w:rsid w:val="00A642C2"/>
    <w:rsid w:val="00A65245"/>
    <w:rsid w:val="00A66C4C"/>
    <w:rsid w:val="00A67E95"/>
    <w:rsid w:val="00A72845"/>
    <w:rsid w:val="00A77D34"/>
    <w:rsid w:val="00A77E71"/>
    <w:rsid w:val="00A81B3C"/>
    <w:rsid w:val="00A9133A"/>
    <w:rsid w:val="00A93C08"/>
    <w:rsid w:val="00A95F8C"/>
    <w:rsid w:val="00A963D4"/>
    <w:rsid w:val="00A967AA"/>
    <w:rsid w:val="00AA0631"/>
    <w:rsid w:val="00AA0C78"/>
    <w:rsid w:val="00AA2179"/>
    <w:rsid w:val="00AA2AD2"/>
    <w:rsid w:val="00AA418C"/>
    <w:rsid w:val="00AA65A9"/>
    <w:rsid w:val="00AB00F9"/>
    <w:rsid w:val="00AB0B34"/>
    <w:rsid w:val="00AB2C02"/>
    <w:rsid w:val="00AC130D"/>
    <w:rsid w:val="00AC171D"/>
    <w:rsid w:val="00AC3E86"/>
    <w:rsid w:val="00AC6419"/>
    <w:rsid w:val="00AD15C2"/>
    <w:rsid w:val="00AD4EDB"/>
    <w:rsid w:val="00AD657F"/>
    <w:rsid w:val="00AD6700"/>
    <w:rsid w:val="00AD6FA5"/>
    <w:rsid w:val="00AE1B0C"/>
    <w:rsid w:val="00AE28F9"/>
    <w:rsid w:val="00AE3FF5"/>
    <w:rsid w:val="00AE4B1D"/>
    <w:rsid w:val="00AF0087"/>
    <w:rsid w:val="00AF35B4"/>
    <w:rsid w:val="00AF7124"/>
    <w:rsid w:val="00B0093E"/>
    <w:rsid w:val="00B123DF"/>
    <w:rsid w:val="00B141ED"/>
    <w:rsid w:val="00B154BA"/>
    <w:rsid w:val="00B202FD"/>
    <w:rsid w:val="00B2148C"/>
    <w:rsid w:val="00B224BC"/>
    <w:rsid w:val="00B264B7"/>
    <w:rsid w:val="00B31E3D"/>
    <w:rsid w:val="00B337EA"/>
    <w:rsid w:val="00B34807"/>
    <w:rsid w:val="00B34EB0"/>
    <w:rsid w:val="00B36FE5"/>
    <w:rsid w:val="00B40520"/>
    <w:rsid w:val="00B436BE"/>
    <w:rsid w:val="00B46E55"/>
    <w:rsid w:val="00B51F5C"/>
    <w:rsid w:val="00B5578A"/>
    <w:rsid w:val="00B57293"/>
    <w:rsid w:val="00B60371"/>
    <w:rsid w:val="00B60BD3"/>
    <w:rsid w:val="00B61DF1"/>
    <w:rsid w:val="00B61FFA"/>
    <w:rsid w:val="00B6303C"/>
    <w:rsid w:val="00B633EB"/>
    <w:rsid w:val="00B67AE6"/>
    <w:rsid w:val="00B70A9B"/>
    <w:rsid w:val="00B712E9"/>
    <w:rsid w:val="00B7219C"/>
    <w:rsid w:val="00B7224D"/>
    <w:rsid w:val="00B72FE7"/>
    <w:rsid w:val="00B7303E"/>
    <w:rsid w:val="00B731F6"/>
    <w:rsid w:val="00B74A37"/>
    <w:rsid w:val="00B867E3"/>
    <w:rsid w:val="00BA0328"/>
    <w:rsid w:val="00BA1D5B"/>
    <w:rsid w:val="00BB20D6"/>
    <w:rsid w:val="00BB2815"/>
    <w:rsid w:val="00BB371D"/>
    <w:rsid w:val="00BB4901"/>
    <w:rsid w:val="00BB7FAF"/>
    <w:rsid w:val="00BC1328"/>
    <w:rsid w:val="00BC43AC"/>
    <w:rsid w:val="00BC51D3"/>
    <w:rsid w:val="00BC6CDD"/>
    <w:rsid w:val="00BD074F"/>
    <w:rsid w:val="00BD0B3D"/>
    <w:rsid w:val="00BE04B4"/>
    <w:rsid w:val="00BE0AF5"/>
    <w:rsid w:val="00BE0DB0"/>
    <w:rsid w:val="00BE16A2"/>
    <w:rsid w:val="00BE39ED"/>
    <w:rsid w:val="00BE3D63"/>
    <w:rsid w:val="00BF405B"/>
    <w:rsid w:val="00BF4175"/>
    <w:rsid w:val="00BF65A1"/>
    <w:rsid w:val="00BF771B"/>
    <w:rsid w:val="00BF7728"/>
    <w:rsid w:val="00BF7AF4"/>
    <w:rsid w:val="00C00681"/>
    <w:rsid w:val="00C06CB4"/>
    <w:rsid w:val="00C100BB"/>
    <w:rsid w:val="00C350A3"/>
    <w:rsid w:val="00C35759"/>
    <w:rsid w:val="00C40E33"/>
    <w:rsid w:val="00C420C5"/>
    <w:rsid w:val="00C42345"/>
    <w:rsid w:val="00C50C5B"/>
    <w:rsid w:val="00C53833"/>
    <w:rsid w:val="00C54EDC"/>
    <w:rsid w:val="00C55A90"/>
    <w:rsid w:val="00C63AC6"/>
    <w:rsid w:val="00C6696E"/>
    <w:rsid w:val="00C674E8"/>
    <w:rsid w:val="00C724A7"/>
    <w:rsid w:val="00C77717"/>
    <w:rsid w:val="00C8067C"/>
    <w:rsid w:val="00C807AC"/>
    <w:rsid w:val="00C82731"/>
    <w:rsid w:val="00C827A0"/>
    <w:rsid w:val="00C84133"/>
    <w:rsid w:val="00C90E35"/>
    <w:rsid w:val="00C9138C"/>
    <w:rsid w:val="00C97F86"/>
    <w:rsid w:val="00CA0A6B"/>
    <w:rsid w:val="00CA76AB"/>
    <w:rsid w:val="00CB27A1"/>
    <w:rsid w:val="00CB2FF0"/>
    <w:rsid w:val="00CB34F0"/>
    <w:rsid w:val="00CC1231"/>
    <w:rsid w:val="00CC1784"/>
    <w:rsid w:val="00CC31D7"/>
    <w:rsid w:val="00CC75EB"/>
    <w:rsid w:val="00CD0FA2"/>
    <w:rsid w:val="00CD38B4"/>
    <w:rsid w:val="00CD6705"/>
    <w:rsid w:val="00CE5BD2"/>
    <w:rsid w:val="00CE6B79"/>
    <w:rsid w:val="00CF1A17"/>
    <w:rsid w:val="00CF2D7A"/>
    <w:rsid w:val="00CF38CA"/>
    <w:rsid w:val="00CF4C10"/>
    <w:rsid w:val="00CF4E85"/>
    <w:rsid w:val="00D029C2"/>
    <w:rsid w:val="00D03AE8"/>
    <w:rsid w:val="00D07097"/>
    <w:rsid w:val="00D07EBA"/>
    <w:rsid w:val="00D10401"/>
    <w:rsid w:val="00D1073B"/>
    <w:rsid w:val="00D1402D"/>
    <w:rsid w:val="00D20A10"/>
    <w:rsid w:val="00D23B0C"/>
    <w:rsid w:val="00D2623E"/>
    <w:rsid w:val="00D2685E"/>
    <w:rsid w:val="00D338EC"/>
    <w:rsid w:val="00D43E5A"/>
    <w:rsid w:val="00D461B3"/>
    <w:rsid w:val="00D469DC"/>
    <w:rsid w:val="00D50B30"/>
    <w:rsid w:val="00D5219F"/>
    <w:rsid w:val="00D54AE8"/>
    <w:rsid w:val="00D55D6F"/>
    <w:rsid w:val="00D56D16"/>
    <w:rsid w:val="00D577C5"/>
    <w:rsid w:val="00D64A76"/>
    <w:rsid w:val="00D72CA3"/>
    <w:rsid w:val="00D73A62"/>
    <w:rsid w:val="00D849D3"/>
    <w:rsid w:val="00D85A21"/>
    <w:rsid w:val="00D9293A"/>
    <w:rsid w:val="00DA7F89"/>
    <w:rsid w:val="00DB21E5"/>
    <w:rsid w:val="00DB3578"/>
    <w:rsid w:val="00DB37E7"/>
    <w:rsid w:val="00DB3AA0"/>
    <w:rsid w:val="00DB6086"/>
    <w:rsid w:val="00DC30B7"/>
    <w:rsid w:val="00DC4E3C"/>
    <w:rsid w:val="00DC50F8"/>
    <w:rsid w:val="00DD3174"/>
    <w:rsid w:val="00DD32B2"/>
    <w:rsid w:val="00DE10B3"/>
    <w:rsid w:val="00DE39CF"/>
    <w:rsid w:val="00DE3CE1"/>
    <w:rsid w:val="00DE4771"/>
    <w:rsid w:val="00DE4C47"/>
    <w:rsid w:val="00DE4C5C"/>
    <w:rsid w:val="00DF2EE1"/>
    <w:rsid w:val="00DF60D0"/>
    <w:rsid w:val="00E03F82"/>
    <w:rsid w:val="00E04F41"/>
    <w:rsid w:val="00E12CAD"/>
    <w:rsid w:val="00E14FDA"/>
    <w:rsid w:val="00E20981"/>
    <w:rsid w:val="00E27F89"/>
    <w:rsid w:val="00E31071"/>
    <w:rsid w:val="00E337D5"/>
    <w:rsid w:val="00E34F18"/>
    <w:rsid w:val="00E35773"/>
    <w:rsid w:val="00E35FFA"/>
    <w:rsid w:val="00E4065C"/>
    <w:rsid w:val="00E4144C"/>
    <w:rsid w:val="00E41BED"/>
    <w:rsid w:val="00E42D13"/>
    <w:rsid w:val="00E43488"/>
    <w:rsid w:val="00E43FAD"/>
    <w:rsid w:val="00E44CD2"/>
    <w:rsid w:val="00E47996"/>
    <w:rsid w:val="00E510E3"/>
    <w:rsid w:val="00E557E4"/>
    <w:rsid w:val="00E6640D"/>
    <w:rsid w:val="00E6763C"/>
    <w:rsid w:val="00E711A2"/>
    <w:rsid w:val="00E71FB0"/>
    <w:rsid w:val="00E73E5A"/>
    <w:rsid w:val="00E84E7C"/>
    <w:rsid w:val="00E91620"/>
    <w:rsid w:val="00E93CF9"/>
    <w:rsid w:val="00E95C3B"/>
    <w:rsid w:val="00E960D6"/>
    <w:rsid w:val="00E96954"/>
    <w:rsid w:val="00EA049E"/>
    <w:rsid w:val="00EA620B"/>
    <w:rsid w:val="00EA65FD"/>
    <w:rsid w:val="00EA6B96"/>
    <w:rsid w:val="00EA7EE7"/>
    <w:rsid w:val="00EB15FB"/>
    <w:rsid w:val="00EB2474"/>
    <w:rsid w:val="00EB5B64"/>
    <w:rsid w:val="00EB5DBA"/>
    <w:rsid w:val="00EC35E1"/>
    <w:rsid w:val="00EC3828"/>
    <w:rsid w:val="00ED2279"/>
    <w:rsid w:val="00ED47C6"/>
    <w:rsid w:val="00ED4CAF"/>
    <w:rsid w:val="00ED5A0D"/>
    <w:rsid w:val="00ED605E"/>
    <w:rsid w:val="00EE3497"/>
    <w:rsid w:val="00EE4CC9"/>
    <w:rsid w:val="00EF287C"/>
    <w:rsid w:val="00EF42D0"/>
    <w:rsid w:val="00F0081C"/>
    <w:rsid w:val="00F03278"/>
    <w:rsid w:val="00F04BC9"/>
    <w:rsid w:val="00F10808"/>
    <w:rsid w:val="00F11EC8"/>
    <w:rsid w:val="00F125D3"/>
    <w:rsid w:val="00F13826"/>
    <w:rsid w:val="00F237F5"/>
    <w:rsid w:val="00F26819"/>
    <w:rsid w:val="00F27903"/>
    <w:rsid w:val="00F31F7E"/>
    <w:rsid w:val="00F32654"/>
    <w:rsid w:val="00F32A96"/>
    <w:rsid w:val="00F32A99"/>
    <w:rsid w:val="00F36C44"/>
    <w:rsid w:val="00F4024F"/>
    <w:rsid w:val="00F41B55"/>
    <w:rsid w:val="00F44401"/>
    <w:rsid w:val="00F45C50"/>
    <w:rsid w:val="00F461CB"/>
    <w:rsid w:val="00F470A9"/>
    <w:rsid w:val="00F500EC"/>
    <w:rsid w:val="00F55522"/>
    <w:rsid w:val="00F55F58"/>
    <w:rsid w:val="00F6212D"/>
    <w:rsid w:val="00F62EBA"/>
    <w:rsid w:val="00F72B69"/>
    <w:rsid w:val="00F73F7E"/>
    <w:rsid w:val="00F743D0"/>
    <w:rsid w:val="00F744C2"/>
    <w:rsid w:val="00F745E7"/>
    <w:rsid w:val="00F766EB"/>
    <w:rsid w:val="00F77620"/>
    <w:rsid w:val="00F8285A"/>
    <w:rsid w:val="00F834F6"/>
    <w:rsid w:val="00F876D9"/>
    <w:rsid w:val="00F928E9"/>
    <w:rsid w:val="00F95BB3"/>
    <w:rsid w:val="00F96D3A"/>
    <w:rsid w:val="00FA2AF6"/>
    <w:rsid w:val="00FA508F"/>
    <w:rsid w:val="00FB02E7"/>
    <w:rsid w:val="00FB0F08"/>
    <w:rsid w:val="00FB19CA"/>
    <w:rsid w:val="00FB5625"/>
    <w:rsid w:val="00FB5762"/>
    <w:rsid w:val="00FB593F"/>
    <w:rsid w:val="00FB5ED3"/>
    <w:rsid w:val="00FC1F7B"/>
    <w:rsid w:val="00FC54B9"/>
    <w:rsid w:val="00FC7350"/>
    <w:rsid w:val="00FD1183"/>
    <w:rsid w:val="00FD1DB6"/>
    <w:rsid w:val="00FD3405"/>
    <w:rsid w:val="00FD4353"/>
    <w:rsid w:val="00FD62CD"/>
    <w:rsid w:val="00FE170A"/>
    <w:rsid w:val="00FE3473"/>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CC1231"/>
    <w:rPr>
      <w:sz w:val="24"/>
      <w:szCs w:val="24"/>
    </w:rPr>
  </w:style>
  <w:style w:type="paragraph" w:styleId="ListParagraph">
    <w:name w:val="List Paragraph"/>
    <w:basedOn w:val="Normal"/>
    <w:uiPriority w:val="34"/>
    <w:qFormat/>
    <w:rsid w:val="00357605"/>
    <w:pPr>
      <w:ind w:left="720"/>
      <w:contextualSpacing/>
    </w:pPr>
  </w:style>
  <w:style w:type="paragraph" w:styleId="NoSpacing">
    <w:name w:val="No Spacing"/>
    <w:uiPriority w:val="1"/>
    <w:qFormat/>
    <w:rsid w:val="00357605"/>
    <w:rPr>
      <w:sz w:val="24"/>
      <w:szCs w:val="24"/>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seglin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C190-D9C8-4E77-946F-45CD12E4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629</Words>
  <Characters>4794</Characters>
  <Application>Microsoft Office Word</Application>
  <DocSecurity>0</DocSecurity>
  <Lines>239</Lines>
  <Paragraphs>84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21.maija noteikumos Nr.189  „Darba aizsardzības prasības, saskaroties ar bioloģiskajām vielām”” sākotnējās ietekmes novērtējuma ziņojums (anotācija)</vt:lpstr>
    </vt:vector>
  </TitlesOfParts>
  <Company>Veselības ministrija</Company>
  <LinksUpToDate>false</LinksUpToDate>
  <CharactersWithSpaces>5339</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21.maija noteikumos Nr.189  „Darba aizsardzības prasības, saskaroties ar bioloģiskajām vielām”” sākotnējās ietekmes novērtējuma ziņojums (anotācija)</dc:title>
  <dc:subject>Anotācija</dc:subject>
  <dc:creator>Anita Segliņa</dc:creator>
  <cp:keywords>Veselības ministrija</cp:keywords>
  <dc:description>anita.seglina@vm.gov.lv, tālr.67876102</dc:description>
  <cp:lastModifiedBy>VM</cp:lastModifiedBy>
  <cp:revision>20</cp:revision>
  <cp:lastPrinted>2012-02-23T10:22:00Z</cp:lastPrinted>
  <dcterms:created xsi:type="dcterms:W3CDTF">2012-02-23T08:12:00Z</dcterms:created>
  <dcterms:modified xsi:type="dcterms:W3CDTF">2012-03-26T10:49:00Z</dcterms:modified>
</cp:coreProperties>
</file>