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F9088D" w:rsidRDefault="00956BE6" w:rsidP="00F9088D">
      <w:pPr>
        <w:jc w:val="center"/>
        <w:rPr>
          <w:b/>
        </w:rPr>
      </w:pPr>
      <w:bookmarkStart w:id="0" w:name="OLE_LINK3"/>
      <w:bookmarkStart w:id="1" w:name="OLE_LINK4"/>
      <w:bookmarkStart w:id="2" w:name="OLE_LINK1"/>
      <w:bookmarkStart w:id="3" w:name="OLE_LINK2"/>
      <w:bookmarkStart w:id="4" w:name="OLE_LINK12"/>
      <w:bookmarkStart w:id="5" w:name="OLE_LINK13"/>
      <w:r w:rsidRPr="00F9088D">
        <w:rPr>
          <w:b/>
        </w:rPr>
        <w:t>Ministru kabineta noteikumu projekta</w:t>
      </w:r>
    </w:p>
    <w:p w:rsidR="00F9088D" w:rsidRPr="00F9088D" w:rsidRDefault="00956BE6" w:rsidP="00F9088D">
      <w:pPr>
        <w:pStyle w:val="Heading1"/>
        <w:spacing w:before="0" w:after="0"/>
        <w:jc w:val="center"/>
        <w:rPr>
          <w:rFonts w:ascii="Times New Roman" w:hAnsi="Times New Roman"/>
          <w:sz w:val="24"/>
          <w:szCs w:val="24"/>
        </w:rPr>
      </w:pPr>
      <w:r w:rsidRPr="00F9088D">
        <w:rPr>
          <w:rFonts w:ascii="Times New Roman" w:hAnsi="Times New Roman"/>
          <w:sz w:val="24"/>
          <w:szCs w:val="24"/>
        </w:rPr>
        <w:t>“</w:t>
      </w:r>
      <w:r w:rsidR="00F9088D" w:rsidRPr="00F9088D">
        <w:rPr>
          <w:rFonts w:ascii="Times New Roman" w:hAnsi="Times New Roman"/>
          <w:sz w:val="24"/>
          <w:szCs w:val="24"/>
        </w:rPr>
        <w:t xml:space="preserve"> Grozījumi Ministru kabineta 2010.gada </w:t>
      </w:r>
      <w:r w:rsidR="00965D49">
        <w:rPr>
          <w:rFonts w:ascii="Times New Roman" w:hAnsi="Times New Roman"/>
          <w:sz w:val="24"/>
          <w:szCs w:val="24"/>
        </w:rPr>
        <w:t>16</w:t>
      </w:r>
      <w:r w:rsidR="00F9088D" w:rsidRPr="00F9088D">
        <w:rPr>
          <w:rFonts w:ascii="Times New Roman" w:hAnsi="Times New Roman"/>
          <w:sz w:val="24"/>
          <w:szCs w:val="24"/>
        </w:rPr>
        <w:t xml:space="preserve">.novembra noteikumos Nr.1050 „Sabiedrības veselības aizsardzības </w:t>
      </w:r>
      <w:r w:rsidR="00585536">
        <w:rPr>
          <w:rFonts w:ascii="Times New Roman" w:hAnsi="Times New Roman"/>
          <w:sz w:val="24"/>
          <w:szCs w:val="24"/>
        </w:rPr>
        <w:t>pasākumu veikšanas kārtība</w:t>
      </w:r>
      <w:r w:rsidR="00F9088D" w:rsidRPr="00F9088D">
        <w:rPr>
          <w:rFonts w:ascii="Times New Roman" w:hAnsi="Times New Roman"/>
          <w:sz w:val="24"/>
          <w:szCs w:val="24"/>
        </w:rPr>
        <w:t>”</w:t>
      </w:r>
    </w:p>
    <w:p w:rsidR="00956BE6" w:rsidRDefault="00956BE6" w:rsidP="00F9088D">
      <w:pPr>
        <w:jc w:val="center"/>
        <w:rPr>
          <w:b/>
          <w:bCs/>
        </w:rPr>
      </w:pPr>
      <w:r w:rsidRPr="003E4B12">
        <w:rPr>
          <w:b/>
          <w:bCs/>
        </w:rPr>
        <w:t>sākotnējās ietekmes novērtējuma ziņojums (anotācija)</w:t>
      </w:r>
    </w:p>
    <w:p w:rsidR="00F9088D" w:rsidRPr="003E4B12" w:rsidRDefault="00F9088D" w:rsidP="00956BE6">
      <w:pPr>
        <w:jc w:val="center"/>
        <w:rPr>
          <w:b/>
        </w:rPr>
      </w:pPr>
    </w:p>
    <w:bookmarkEnd w:id="0"/>
    <w:bookmarkEnd w:id="1"/>
    <w:p w:rsidR="002F17DF" w:rsidRPr="003E4B12"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465"/>
        <w:gridCol w:w="6096"/>
      </w:tblGrid>
      <w:tr w:rsidR="002F17DF" w:rsidRPr="003E4B12" w:rsidTr="006923FA">
        <w:trPr>
          <w:tblCellSpacing w:w="0" w:type="dxa"/>
        </w:trPr>
        <w:tc>
          <w:tcPr>
            <w:tcW w:w="9088"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6923FA">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465"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096" w:type="dxa"/>
            <w:tcBorders>
              <w:top w:val="outset" w:sz="6" w:space="0" w:color="auto"/>
              <w:left w:val="outset" w:sz="6" w:space="0" w:color="auto"/>
              <w:bottom w:val="outset" w:sz="6" w:space="0" w:color="auto"/>
              <w:right w:val="outset" w:sz="6" w:space="0" w:color="auto"/>
            </w:tcBorders>
            <w:hideMark/>
          </w:tcPr>
          <w:p w:rsidR="00995D80" w:rsidRPr="00995D80" w:rsidRDefault="00F9088D" w:rsidP="000B47D2">
            <w:pPr>
              <w:pStyle w:val="Footer"/>
              <w:jc w:val="both"/>
              <w:rPr>
                <w:u w:val="single"/>
              </w:rPr>
            </w:pPr>
            <w:r>
              <w:t xml:space="preserve">Ministru kabineta noteikumu projekts „Grozījumi Ministru kabineta 2010.gada </w:t>
            </w:r>
            <w:r w:rsidR="00965D49">
              <w:t>16</w:t>
            </w:r>
            <w:r>
              <w:t xml:space="preserve">.novembra noteikumos Nr.1050 „Sabiedrības veselības aizsardzības </w:t>
            </w:r>
            <w:r w:rsidR="00585536">
              <w:t>pasākumu veikšanas kārtība</w:t>
            </w:r>
            <w:r>
              <w:t xml:space="preserve">”” </w:t>
            </w:r>
            <w:r w:rsidR="00956BE6" w:rsidRPr="00E04F41">
              <w:t xml:space="preserve"> (turpmāk – noteikumu projekts) izstrādāts </w:t>
            </w:r>
            <w:r w:rsidR="00E04F41" w:rsidRPr="00E04F41">
              <w:t>saskaņā ar Ministru kabineta 2012.gada 2</w:t>
            </w:r>
            <w:r w:rsidR="00876467">
              <w:t>1</w:t>
            </w:r>
            <w:r w:rsidR="00E04F41" w:rsidRPr="00E04F41">
              <w:t xml:space="preserve">.februāra rīkojuma </w:t>
            </w:r>
            <w:r w:rsidR="00F426DD">
              <w:t>Nr.101</w:t>
            </w:r>
            <w:r w:rsidR="00E04F41" w:rsidRPr="00E04F41">
              <w:t xml:space="preserve"> „Par Slimību profilakses un kontroles centra izveidošanu un Veselības ministrijas </w:t>
            </w:r>
            <w:r w:rsidR="00876467">
              <w:t xml:space="preserve">un Zemkopības ministrijas </w:t>
            </w:r>
            <w:r w:rsidR="00E04F41" w:rsidRPr="00E04F41">
              <w:t>padotībā esošo valsts pārvaldes iestāžu reorganizāciju” (turpmāk – MK rīkojums</w:t>
            </w:r>
            <w:r w:rsidR="00F426DD">
              <w:t xml:space="preserve"> Nr.101)</w:t>
            </w:r>
            <w:r w:rsidR="00E04F41" w:rsidRPr="00E04F41">
              <w:t xml:space="preserve"> </w:t>
            </w:r>
            <w:r w:rsidR="00E04F41" w:rsidRPr="00E26E75">
              <w:t>1.</w:t>
            </w:r>
            <w:r w:rsidR="000B47D2">
              <w:t>,</w:t>
            </w:r>
            <w:r w:rsidR="00AD0FCF">
              <w:t xml:space="preserve"> 2.</w:t>
            </w:r>
            <w:r w:rsidR="000B47D2">
              <w:t>un 17.pun</w:t>
            </w:r>
            <w:r w:rsidR="00AD0FCF">
              <w:t>ktu</w:t>
            </w:r>
            <w:r w:rsidR="00661A63" w:rsidRPr="00E26E75">
              <w:t>.</w:t>
            </w:r>
            <w:r w:rsidR="00E04F41" w:rsidRPr="00E04F41">
              <w:rPr>
                <w:color w:val="FF0000"/>
              </w:rPr>
              <w:t xml:space="preserve"> </w:t>
            </w:r>
          </w:p>
        </w:tc>
      </w:tr>
      <w:tr w:rsidR="00956BE6" w:rsidRPr="003E4B12" w:rsidTr="006923FA">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096" w:type="dxa"/>
            <w:tcBorders>
              <w:top w:val="outset" w:sz="6" w:space="0" w:color="auto"/>
              <w:left w:val="outset" w:sz="6" w:space="0" w:color="auto"/>
              <w:bottom w:val="outset" w:sz="6" w:space="0" w:color="auto"/>
              <w:right w:val="outset" w:sz="6" w:space="0" w:color="auto"/>
            </w:tcBorders>
            <w:hideMark/>
          </w:tcPr>
          <w:p w:rsidR="00192098" w:rsidRDefault="00F9088D" w:rsidP="006B7219">
            <w:pPr>
              <w:jc w:val="both"/>
            </w:pPr>
            <w:r>
              <w:t xml:space="preserve">Ministru kabineta 2010.gada </w:t>
            </w:r>
            <w:r w:rsidR="00965D49">
              <w:t>16</w:t>
            </w:r>
            <w:r>
              <w:t xml:space="preserve">.novembra noteikumi Nr.1050 „Sabiedrības veselības aizsardzības </w:t>
            </w:r>
            <w:r w:rsidR="00585536">
              <w:t xml:space="preserve">pasākumu veikšanas kārtība” </w:t>
            </w:r>
            <w:r w:rsidR="006B7219" w:rsidRPr="009810A8">
              <w:t>(turpmāk – MK noteikumi)</w:t>
            </w:r>
            <w:r w:rsidR="00661A63">
              <w:t xml:space="preserve"> </w:t>
            </w:r>
            <w:r>
              <w:t xml:space="preserve">nosaka institūciju kompetenci sabiedrības veselības aizsardzības pasākumu veikšanā, tai skaitā: ziņošanā un informācijas nodošanā, preventīvo pasākumu veikšanā, kā arī   veicot reaģēšanas pasākumus. </w:t>
            </w:r>
          </w:p>
          <w:p w:rsidR="00B61C31" w:rsidRDefault="00585536" w:rsidP="006B7219">
            <w:pPr>
              <w:jc w:val="both"/>
            </w:pPr>
            <w:r>
              <w:t>Šo</w:t>
            </w:r>
            <w:r w:rsidR="00B61C31">
              <w:t xml:space="preserve"> pasākumu veikšanā atbilstoši kompetencei </w:t>
            </w:r>
            <w:r>
              <w:t>ir</w:t>
            </w:r>
            <w:r w:rsidR="00B61C31">
              <w:t xml:space="preserve"> iesaistīt</w:t>
            </w:r>
            <w:r w:rsidR="00192098">
              <w:t>i</w:t>
            </w:r>
            <w:r>
              <w:t xml:space="preserve"> </w:t>
            </w:r>
            <w:r w:rsidR="006B7219" w:rsidRPr="009810A8">
              <w:t>valsts aģentūra</w:t>
            </w:r>
            <w:r w:rsidR="00B61C31">
              <w:t>s</w:t>
            </w:r>
            <w:r w:rsidR="006B7219" w:rsidRPr="009810A8">
              <w:t xml:space="preserve"> „</w:t>
            </w:r>
            <w:r w:rsidR="006B7219">
              <w:t>Latvijas Infektoloģijas centrs” (turpmāk - Infektoloģijas centrs)</w:t>
            </w:r>
            <w:r w:rsidR="00B61C31">
              <w:t xml:space="preserve"> epidemiologi. </w:t>
            </w:r>
          </w:p>
          <w:p w:rsidR="006B7219" w:rsidRDefault="00B61C31" w:rsidP="006B7219">
            <w:pPr>
              <w:jc w:val="both"/>
            </w:pPr>
            <w:r>
              <w:t xml:space="preserve">Arī personu ar aizdomām par saslimšanu ar bīstamu infekcijas slimību </w:t>
            </w:r>
            <w:proofErr w:type="spellStart"/>
            <w:r>
              <w:t>stacionēšana</w:t>
            </w:r>
            <w:proofErr w:type="spellEnd"/>
            <w:r>
              <w:t xml:space="preserve"> saskaņā ar MK noteikumu 17.7.</w:t>
            </w:r>
            <w:r w:rsidR="00585536">
              <w:t>apakšpunktu notiek</w:t>
            </w:r>
            <w:r>
              <w:t xml:space="preserve"> Infektoloģijas centrā.</w:t>
            </w:r>
            <w:r w:rsidR="006B7219">
              <w:t xml:space="preserve"> </w:t>
            </w:r>
          </w:p>
          <w:p w:rsidR="00CF7335" w:rsidRDefault="00CF7335" w:rsidP="006B7219">
            <w:pPr>
              <w:jc w:val="both"/>
            </w:pPr>
          </w:p>
          <w:p w:rsidR="00E04F41" w:rsidRPr="00E04F41" w:rsidRDefault="00F426DD" w:rsidP="00E04F41">
            <w:pPr>
              <w:jc w:val="both"/>
              <w:rPr>
                <w:color w:val="000000"/>
              </w:rPr>
            </w:pPr>
            <w:r>
              <w:t>1.</w:t>
            </w:r>
            <w:r w:rsidR="006B7219" w:rsidRPr="009810A8">
              <w:t xml:space="preserve">MK rīkojums </w:t>
            </w:r>
            <w:r>
              <w:t>Nr.101</w:t>
            </w:r>
            <w:r w:rsidR="006B7219" w:rsidRPr="009810A8">
              <w:t xml:space="preserve"> paredz </w:t>
            </w:r>
            <w:r w:rsidR="00E04F41" w:rsidRPr="00E04F41">
              <w:rPr>
                <w:color w:val="000000"/>
              </w:rPr>
              <w:t>2012.gada 1.aprīl</w:t>
            </w:r>
            <w:r w:rsidR="00661A63">
              <w:rPr>
                <w:color w:val="000000"/>
              </w:rPr>
              <w:t>ī</w:t>
            </w:r>
            <w:r w:rsidR="00E04F41" w:rsidRPr="00E04F41">
              <w:rPr>
                <w:color w:val="000000"/>
              </w:rPr>
              <w:t xml:space="preserve"> izveidot veselības ministra pakļautībā esošu tiešās pārvaldes iestādi „Slimību profilakses un kontroles centrs” (turpmāk - Slimību profilakses un kontroles centrs)</w:t>
            </w:r>
            <w:r w:rsidR="00E04F41">
              <w:rPr>
                <w:color w:val="000000"/>
              </w:rPr>
              <w:t xml:space="preserve"> </w:t>
            </w:r>
            <w:r w:rsidR="00E04F41" w:rsidRPr="00E04F41">
              <w:rPr>
                <w:color w:val="000000"/>
              </w:rPr>
              <w:t>un nodot Infektoloģijas centra  pārvaldes uzdevumus Slimību profilakses un kontroles centram un sabiedrībai ar ierobežotu atbildību “Rīgas Austrumu klīniskā universitātes slimnīca” (rezultātā Infektoloģijas centrs beidz pastāvēt)</w:t>
            </w:r>
            <w:r w:rsidR="00991AC9">
              <w:rPr>
                <w:color w:val="000000"/>
              </w:rPr>
              <w:t>.</w:t>
            </w:r>
          </w:p>
          <w:p w:rsidR="00F426DD" w:rsidRPr="00066C00" w:rsidRDefault="006B7219" w:rsidP="00F426DD">
            <w:pPr>
              <w:jc w:val="both"/>
              <w:rPr>
                <w:color w:val="000000"/>
                <w:sz w:val="28"/>
                <w:szCs w:val="28"/>
              </w:rPr>
            </w:pPr>
            <w:r w:rsidRPr="00991AC9">
              <w:t>2.</w:t>
            </w:r>
            <w:r w:rsidRPr="00F426DD">
              <w:t xml:space="preserve">Saskaņā ar MK rīkojuma </w:t>
            </w:r>
            <w:r w:rsidR="00F426DD" w:rsidRPr="00F426DD">
              <w:t>Nr.101</w:t>
            </w:r>
            <w:r w:rsidRPr="00F426DD">
              <w:t xml:space="preserve"> </w:t>
            </w:r>
            <w:r w:rsidR="00AF0983">
              <w:t>3.</w:t>
            </w:r>
            <w:r w:rsidR="00F426DD" w:rsidRPr="00991AC9">
              <w:t>punktu</w:t>
            </w:r>
            <w:r w:rsidR="00F426DD" w:rsidRPr="00F426DD">
              <w:rPr>
                <w:color w:val="000000"/>
              </w:rPr>
              <w:t xml:space="preserve"> Infektoloģijas centra funkciju, pārvaldes uzdevumu, tiesību, saistību, finanšu līdzekļu, mantas un lietvedības pārņēmēj</w:t>
            </w:r>
            <w:r w:rsidR="00F426DD">
              <w:rPr>
                <w:color w:val="000000"/>
              </w:rPr>
              <w:t>s</w:t>
            </w:r>
            <w:r w:rsidR="00F426DD" w:rsidRPr="00F426DD">
              <w:rPr>
                <w:color w:val="000000"/>
              </w:rPr>
              <w:t xml:space="preserve"> ir</w:t>
            </w:r>
            <w:r w:rsidR="00F426DD" w:rsidRPr="00066C00">
              <w:rPr>
                <w:color w:val="000000"/>
                <w:sz w:val="28"/>
                <w:szCs w:val="28"/>
              </w:rPr>
              <w:t>:</w:t>
            </w:r>
          </w:p>
          <w:p w:rsidR="00CF7335" w:rsidRDefault="00AF0983" w:rsidP="00991AC9">
            <w:pPr>
              <w:widowControl w:val="0"/>
              <w:autoSpaceDE w:val="0"/>
              <w:autoSpaceDN w:val="0"/>
              <w:adjustRightInd w:val="0"/>
              <w:jc w:val="both"/>
            </w:pPr>
            <w:r>
              <w:rPr>
                <w:b/>
                <w:color w:val="000000"/>
              </w:rPr>
              <w:t>3</w:t>
            </w:r>
            <w:r w:rsidR="00B61C31">
              <w:rPr>
                <w:b/>
                <w:color w:val="000000"/>
              </w:rPr>
              <w:t>.1.</w:t>
            </w:r>
            <w:r w:rsidR="00991AC9" w:rsidRPr="00B61C31">
              <w:rPr>
                <w:b/>
                <w:color w:val="000000"/>
              </w:rPr>
              <w:t>Slimību profilakses un kontroles centrs</w:t>
            </w:r>
            <w:r>
              <w:rPr>
                <w:b/>
                <w:color w:val="000000"/>
              </w:rPr>
              <w:t xml:space="preserve"> –</w:t>
            </w:r>
            <w:r w:rsidR="00991AC9" w:rsidRPr="00B61C31">
              <w:rPr>
                <w:b/>
              </w:rPr>
              <w:t xml:space="preserve"> jomā</w:t>
            </w:r>
            <w:r>
              <w:rPr>
                <w:b/>
              </w:rPr>
              <w:t>s, kas saistītas ar šādu uzdevumu izpildi</w:t>
            </w:r>
            <w:r w:rsidR="00991AC9" w:rsidRPr="00192098">
              <w:rPr>
                <w:b/>
              </w:rPr>
              <w:t>:</w:t>
            </w:r>
            <w:r w:rsidR="00991AC9" w:rsidRPr="00991AC9">
              <w:rPr>
                <w:color w:val="000000"/>
              </w:rPr>
              <w:t xml:space="preserve"> </w:t>
            </w:r>
            <w:r>
              <w:rPr>
                <w:color w:val="000000"/>
              </w:rPr>
              <w:t>3.1.2.</w:t>
            </w:r>
            <w:r w:rsidR="00B61C31">
              <w:t xml:space="preserve"> </w:t>
            </w:r>
            <w:r w:rsidR="00991AC9" w:rsidRPr="00991AC9">
              <w:rPr>
                <w:color w:val="000000"/>
              </w:rPr>
              <w:t>plānot, koordinēt un kontrolēt imunizācijas programmas izpildi, plānot iedzīvotāju vakcināciju, apkopot vakcinācijas iestāžu vakcīnu pasūtījumus un</w:t>
            </w:r>
            <w:r w:rsidR="00991AC9" w:rsidRPr="00991AC9">
              <w:t xml:space="preserve"> gatavot vakcīnu pasūtījumus zāļu lieltirgotavām, nodrošināt vakcinācijas monitoringu un statistisko datu sagatavošanu, veikt vakcinācijas komplikāciju gadījumu epidemioloģisko izmeklēšanu</w:t>
            </w:r>
            <w:r w:rsidR="00192098">
              <w:t>.</w:t>
            </w:r>
            <w:r w:rsidR="00CF7335">
              <w:t xml:space="preserve"> </w:t>
            </w:r>
          </w:p>
          <w:p w:rsidR="00991AC9" w:rsidRPr="00CF7335" w:rsidRDefault="00CF7335" w:rsidP="00991AC9">
            <w:pPr>
              <w:widowControl w:val="0"/>
              <w:autoSpaceDE w:val="0"/>
              <w:autoSpaceDN w:val="0"/>
              <w:adjustRightInd w:val="0"/>
              <w:jc w:val="both"/>
            </w:pPr>
            <w:r>
              <w:t xml:space="preserve">Līdz ar to sabiedrības veselības aizsardzības pasākumu </w:t>
            </w:r>
            <w:r>
              <w:lastRenderedPageBreak/>
              <w:t xml:space="preserve">veikšanu no 2012.gada 1.aprīļa veiks Slimību profilakses un kontroles centrs, savukārt, personas ar aizdomām par saslimšanu ar bīstamu infekcijas slimību, tiks </w:t>
            </w:r>
            <w:proofErr w:type="spellStart"/>
            <w:r w:rsidRPr="00CF7335">
              <w:t>stacionētas</w:t>
            </w:r>
            <w:proofErr w:type="spellEnd"/>
            <w:r w:rsidRPr="00CF7335">
              <w:t xml:space="preserve"> sabiedrībā ar ierobežotu atbildību „Rīgas Austrumu klīniskās universitātes slimnīc</w:t>
            </w:r>
            <w:r>
              <w:t xml:space="preserve">a” </w:t>
            </w:r>
            <w:r w:rsidRPr="00CF7335">
              <w:t xml:space="preserve">saskaņā ar MK rīkojuma Nr.101 </w:t>
            </w:r>
            <w:r w:rsidR="00AF0983">
              <w:t>3.</w:t>
            </w:r>
            <w:r w:rsidRPr="00CF7335">
              <w:t xml:space="preserve">2.2.apakšpunktu: </w:t>
            </w:r>
          </w:p>
          <w:p w:rsidR="00B61C31" w:rsidRDefault="00CF7335" w:rsidP="00991AC9">
            <w:pPr>
              <w:widowControl w:val="0"/>
              <w:autoSpaceDE w:val="0"/>
              <w:autoSpaceDN w:val="0"/>
              <w:adjustRightInd w:val="0"/>
              <w:jc w:val="both"/>
              <w:rPr>
                <w:color w:val="000000"/>
              </w:rPr>
            </w:pPr>
            <w:r>
              <w:rPr>
                <w:color w:val="000000"/>
              </w:rPr>
              <w:t xml:space="preserve"> - </w:t>
            </w:r>
            <w:r w:rsidR="00B61C31" w:rsidRPr="00B61C31">
              <w:rPr>
                <w:color w:val="000000"/>
              </w:rPr>
              <w:t>nodrošināt normatīvajos aktos noteikto epidemioloģiski bīstamo infekcijas slimību slimnieku izolēšanu un ārstēšanu specializētajās nodaļās, lietojot personāla individuālās un kolektīvās aizsardzības līdzekļus</w:t>
            </w:r>
            <w:r w:rsidR="00192098">
              <w:rPr>
                <w:color w:val="000000"/>
              </w:rPr>
              <w:t>.</w:t>
            </w:r>
          </w:p>
          <w:p w:rsidR="006923FA" w:rsidRPr="00B61C31" w:rsidRDefault="006923FA" w:rsidP="00991AC9">
            <w:pPr>
              <w:widowControl w:val="0"/>
              <w:autoSpaceDE w:val="0"/>
              <w:autoSpaceDN w:val="0"/>
              <w:adjustRightInd w:val="0"/>
              <w:jc w:val="both"/>
              <w:rPr>
                <w:b/>
              </w:rPr>
            </w:pPr>
            <w:r>
              <w:rPr>
                <w:color w:val="000000"/>
              </w:rPr>
              <w:t>Atbilstoši iepriekšminētajam tiek papildināti  MK noteikumi ar 3.</w:t>
            </w:r>
            <w:r w:rsidR="000137D8">
              <w:rPr>
                <w:color w:val="000000"/>
              </w:rPr>
              <w:t>6</w:t>
            </w:r>
            <w:r>
              <w:rPr>
                <w:color w:val="000000"/>
              </w:rPr>
              <w:t xml:space="preserve">.apakšpunktu, iekļaujot  kompetento institūciju sarakstā arī </w:t>
            </w:r>
            <w:r w:rsidRPr="00CF7335">
              <w:t>sabiedrīb</w:t>
            </w:r>
            <w:r>
              <w:t>u</w:t>
            </w:r>
            <w:r w:rsidRPr="00CF7335">
              <w:t xml:space="preserve"> ar ierobežotu atbildību „Rīgas Austrumu klīniskās universitātes slimnīc</w:t>
            </w:r>
            <w:r>
              <w:t>a”.</w:t>
            </w:r>
          </w:p>
          <w:p w:rsidR="00995D80" w:rsidRPr="003E4B12" w:rsidRDefault="006923FA" w:rsidP="006923FA">
            <w:pPr>
              <w:widowControl w:val="0"/>
              <w:autoSpaceDE w:val="0"/>
              <w:autoSpaceDN w:val="0"/>
              <w:adjustRightInd w:val="0"/>
              <w:jc w:val="both"/>
            </w:pPr>
            <w:r>
              <w:t>Pamatojoties uz augstākminēto,</w:t>
            </w:r>
            <w:r w:rsidR="00991AC9" w:rsidRPr="003E4B12">
              <w:t xml:space="preserve"> nepieciešams veikt tehniskus grozījumus MK noteikumos, aizstājot iestādes nosaukumu</w:t>
            </w:r>
            <w:r w:rsidR="00192098">
              <w:t>.</w:t>
            </w:r>
            <w:r w:rsidR="00991AC9" w:rsidRPr="000D43B0">
              <w:rPr>
                <w:color w:val="FF0000"/>
              </w:rPr>
              <w:t xml:space="preserve"> </w:t>
            </w:r>
          </w:p>
        </w:tc>
      </w:tr>
      <w:tr w:rsidR="00956BE6" w:rsidRPr="003E4B12" w:rsidTr="006923FA">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09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6923FA">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096" w:type="dxa"/>
            <w:tcBorders>
              <w:top w:val="outset" w:sz="6" w:space="0" w:color="auto"/>
              <w:left w:val="outset" w:sz="6" w:space="0" w:color="auto"/>
              <w:bottom w:val="outset" w:sz="6" w:space="0" w:color="auto"/>
              <w:right w:val="outset" w:sz="6" w:space="0" w:color="auto"/>
            </w:tcBorders>
            <w:hideMark/>
          </w:tcPr>
          <w:p w:rsidR="00192098" w:rsidRDefault="00991AC9" w:rsidP="00991AC9">
            <w:pPr>
              <w:jc w:val="both"/>
            </w:pPr>
            <w:r w:rsidRPr="003E4B12">
              <w:t xml:space="preserve">Noteikumu projekts paredz veikt tehniskus grozījumus, aizstājot iestādes nosaukumu </w:t>
            </w:r>
            <w:r>
              <w:t>valsts aģentūra „Latvijas Infektoloģijas centrs” ar vārdiem Slimību profilakses un kontroles centrs</w:t>
            </w:r>
            <w:r w:rsidR="00661A63">
              <w:t xml:space="preserve"> un </w:t>
            </w:r>
            <w:r w:rsidR="00192098">
              <w:t>sabiedrība ar ierobežotu atbildību „Rīgas Austrumu klīniskā universitātes slimnīca”.</w:t>
            </w:r>
          </w:p>
          <w:p w:rsidR="00661A63" w:rsidRDefault="00192098" w:rsidP="00991AC9">
            <w:pPr>
              <w:jc w:val="both"/>
            </w:pPr>
            <w:r>
              <w:t xml:space="preserve"> </w:t>
            </w:r>
            <w:r w:rsidR="00661A63">
              <w:t>Noteikumu projekts atrisinās 2.punktā minētās problēmas.</w:t>
            </w:r>
          </w:p>
          <w:p w:rsidR="0061287A" w:rsidRPr="003E4B12" w:rsidRDefault="0061287A" w:rsidP="004B7A43">
            <w:pPr>
              <w:jc w:val="both"/>
            </w:pPr>
          </w:p>
        </w:tc>
      </w:tr>
      <w:tr w:rsidR="00956BE6" w:rsidRPr="003E4B12" w:rsidTr="006923FA">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096" w:type="dxa"/>
            <w:tcBorders>
              <w:top w:val="outset" w:sz="6" w:space="0" w:color="auto"/>
              <w:left w:val="outset" w:sz="6" w:space="0" w:color="auto"/>
              <w:bottom w:val="outset" w:sz="6" w:space="0" w:color="auto"/>
              <w:right w:val="outset" w:sz="6" w:space="0" w:color="auto"/>
            </w:tcBorders>
            <w:hideMark/>
          </w:tcPr>
          <w:p w:rsidR="00956BE6" w:rsidRPr="00995D80" w:rsidRDefault="00FD4353" w:rsidP="007755B7">
            <w:pPr>
              <w:pStyle w:val="BodyTextIndent"/>
              <w:autoSpaceDE w:val="0"/>
              <w:autoSpaceDN w:val="0"/>
              <w:adjustRightInd w:val="0"/>
              <w:spacing w:after="0"/>
              <w:ind w:left="0"/>
              <w:jc w:val="both"/>
              <w:rPr>
                <w:u w:val="single"/>
                <w:lang w:val="sv-SE"/>
              </w:rPr>
            </w:pPr>
            <w:r w:rsidRPr="003E4B12">
              <w:rPr>
                <w:lang w:val="sv-SE"/>
              </w:rPr>
              <w:t>Veselības ministrija sadarbībā ar Infektoloģijas centr</w:t>
            </w:r>
            <w:r>
              <w:rPr>
                <w:lang w:val="sv-SE"/>
              </w:rPr>
              <w:t>u</w:t>
            </w:r>
          </w:p>
        </w:tc>
      </w:tr>
      <w:tr w:rsidR="00956BE6" w:rsidRPr="003E4B12" w:rsidTr="006923FA">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096" w:type="dxa"/>
            <w:tcBorders>
              <w:top w:val="outset" w:sz="6" w:space="0" w:color="auto"/>
              <w:left w:val="outset" w:sz="6" w:space="0" w:color="auto"/>
              <w:bottom w:val="outset" w:sz="6" w:space="0" w:color="auto"/>
              <w:right w:val="outset" w:sz="6" w:space="0" w:color="auto"/>
            </w:tcBorders>
            <w:hideMark/>
          </w:tcPr>
          <w:p w:rsidR="00956BE6" w:rsidRPr="003E4B12" w:rsidRDefault="00FD4353" w:rsidP="00661A63">
            <w:pPr>
              <w:jc w:val="both"/>
              <w:rPr>
                <w:color w:val="000000"/>
              </w:rPr>
            </w:pPr>
            <w:r w:rsidRPr="003E4B12">
              <w:t xml:space="preserve">Ņemot vērā, ka noteikumu projekts </w:t>
            </w:r>
            <w:r w:rsidR="00661A63">
              <w:t>paredz veikt tehniskus grozījumus</w:t>
            </w:r>
            <w:r w:rsidRPr="003E4B12">
              <w:t>, sabiedrības līdzdalība projekta izstrādē netika nodrošināta</w:t>
            </w:r>
          </w:p>
        </w:tc>
      </w:tr>
      <w:tr w:rsidR="00956BE6" w:rsidRPr="003E4B12" w:rsidTr="006923FA">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465"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096" w:type="dxa"/>
            <w:tcBorders>
              <w:top w:val="outset" w:sz="6" w:space="0" w:color="auto"/>
              <w:left w:val="outset" w:sz="6" w:space="0" w:color="auto"/>
              <w:bottom w:val="outset" w:sz="6" w:space="0" w:color="auto"/>
              <w:right w:val="outset" w:sz="6" w:space="0" w:color="auto"/>
            </w:tcBorders>
            <w:hideMark/>
          </w:tcPr>
          <w:p w:rsidR="00956BE6" w:rsidRDefault="00956BE6" w:rsidP="006B51D7">
            <w:pPr>
              <w:spacing w:after="120"/>
              <w:jc w:val="both"/>
            </w:pPr>
          </w:p>
          <w:p w:rsidR="00FF069F" w:rsidRPr="00661A63" w:rsidRDefault="00FF069F" w:rsidP="006B51D7">
            <w:pPr>
              <w:spacing w:after="120"/>
              <w:jc w:val="both"/>
            </w:pPr>
          </w:p>
        </w:tc>
      </w:tr>
      <w:bookmarkEnd w:id="2"/>
      <w:bookmarkEnd w:id="3"/>
      <w:bookmarkEnd w:id="4"/>
      <w:bookmarkEnd w:id="5"/>
    </w:tbl>
    <w:p w:rsidR="00C8067C" w:rsidRPr="003E4B12"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3E4B12"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E30C33" w:rsidRDefault="00661A63" w:rsidP="00E30C33">
            <w:pPr>
              <w:jc w:val="both"/>
            </w:pPr>
            <w:r>
              <w:t>Slimību profilakses un kontroles centra</w:t>
            </w:r>
            <w:r w:rsidR="00E30C33">
              <w:t xml:space="preserve"> un</w:t>
            </w:r>
            <w:r>
              <w:t xml:space="preserve"> </w:t>
            </w:r>
            <w:r w:rsidR="00E30C33">
              <w:t>sabiedrības ar ierobežotu atbildību „Rīgas Austrumu klīniskā universitātes slimnīca” darbinieki.</w:t>
            </w:r>
          </w:p>
          <w:p w:rsidR="00956BE6" w:rsidRPr="003E4B12" w:rsidRDefault="00956BE6" w:rsidP="00192098"/>
        </w:tc>
      </w:tr>
      <w:tr w:rsidR="00956BE6" w:rsidRPr="003E4B12"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615F29" w:rsidRDefault="00615F29" w:rsidP="00615F29">
            <w:pPr>
              <w:jc w:val="both"/>
            </w:pPr>
            <w:r>
              <w:t xml:space="preserve">Netieši uz visu sabiedrību, pasargājot sabiedrību no infekcijas slimību ievešanas un  izplatīšanās, kā arī no iespējamiem bioloģiskiem un ķīmiskiem draudiem. </w:t>
            </w:r>
          </w:p>
          <w:p w:rsidR="00956BE6" w:rsidRPr="003E4B12" w:rsidRDefault="00956BE6" w:rsidP="00192098">
            <w:pPr>
              <w:rPr>
                <w:color w:val="000000"/>
                <w:u w:val="single"/>
              </w:rPr>
            </w:pP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956BE6" w:rsidP="00242245">
            <w:pPr>
              <w:ind w:left="127" w:right="96" w:hanging="127"/>
              <w:jc w:val="both"/>
              <w:rPr>
                <w:bCs/>
                <w:iCs/>
              </w:rPr>
            </w:pPr>
            <w:r w:rsidRPr="003E4B12">
              <w:rPr>
                <w:bCs/>
                <w:iCs/>
              </w:rPr>
              <w:t>Tiešas finansiālas izmaksas (nodokļi, nodevas, sodi, institūciju maksas pakalpojumi) nav paredzētas. Netiešas finansiālas izmaksas un ietekme uz ienākumiem nav</w:t>
            </w:r>
            <w:r w:rsidR="0061287A">
              <w:rPr>
                <w:bCs/>
                <w:iCs/>
              </w:rPr>
              <w:t>.</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242245" w:rsidRDefault="00242245" w:rsidP="00242245">
            <w:pPr>
              <w:ind w:left="127" w:right="96" w:hanging="127"/>
              <w:jc w:val="both"/>
            </w:pPr>
            <w:r>
              <w:t xml:space="preserve">Aizstāj </w:t>
            </w:r>
            <w:r w:rsidRPr="003E4B12">
              <w:t xml:space="preserve">iestādes nosaukumu </w:t>
            </w:r>
            <w:r>
              <w:t xml:space="preserve">valsts aģentūra „Latvijas Infektoloģijas centrs” ar vārdiem Slimību profilakses un kontroles centrs un sabiedrība ar ierobežotu atbildību </w:t>
            </w:r>
            <w:r>
              <w:lastRenderedPageBreak/>
              <w:t>„Rīgas Austrumu klīniskā universitātes slimnīca”.</w:t>
            </w:r>
          </w:p>
          <w:p w:rsidR="00995D80" w:rsidRPr="003E4B12" w:rsidRDefault="00995D80" w:rsidP="00242245">
            <w:pPr>
              <w:ind w:left="127" w:right="96" w:hanging="127"/>
              <w:jc w:val="both"/>
            </w:pPr>
          </w:p>
        </w:tc>
      </w:tr>
      <w:tr w:rsidR="00956BE6" w:rsidRPr="003E4B12"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lastRenderedPageBreak/>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bl>
    <w:p w:rsidR="0084121D" w:rsidRPr="003E4B12" w:rsidRDefault="00432C60" w:rsidP="00586F93">
      <w:r w:rsidRPr="003E4B12">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6"/>
      </w:tblGrid>
      <w:tr w:rsidR="0084121D" w:rsidRPr="002C129C" w:rsidTr="00991D3B">
        <w:trPr>
          <w:tblCellSpacing w:w="0" w:type="dxa"/>
        </w:trPr>
        <w:tc>
          <w:tcPr>
            <w:tcW w:w="9116" w:type="dxa"/>
            <w:tcBorders>
              <w:top w:val="outset" w:sz="6" w:space="0" w:color="auto"/>
              <w:left w:val="outset" w:sz="6" w:space="0" w:color="auto"/>
              <w:bottom w:val="outset" w:sz="6" w:space="0" w:color="auto"/>
              <w:right w:val="outset" w:sz="6" w:space="0" w:color="auto"/>
            </w:tcBorders>
            <w:hideMark/>
          </w:tcPr>
          <w:p w:rsidR="0084121D" w:rsidRPr="00E44643" w:rsidRDefault="0084121D" w:rsidP="00991D3B">
            <w:pPr>
              <w:spacing w:before="100" w:beforeAutospacing="1" w:after="100" w:afterAutospacing="1"/>
              <w:jc w:val="center"/>
              <w:rPr>
                <w:b/>
                <w:bCs/>
              </w:rPr>
            </w:pPr>
            <w:r w:rsidRPr="002C129C">
              <w:rPr>
                <w:b/>
                <w:bCs/>
              </w:rPr>
              <w:t>I</w:t>
            </w:r>
            <w:r>
              <w:rPr>
                <w:b/>
                <w:bCs/>
              </w:rPr>
              <w:t>V</w:t>
            </w:r>
            <w:r w:rsidRPr="002C129C">
              <w:rPr>
                <w:b/>
                <w:bCs/>
              </w:rPr>
              <w:t>. Tiesību akta projekta ietekme uz</w:t>
            </w:r>
            <w:r>
              <w:rPr>
                <w:b/>
                <w:bCs/>
              </w:rPr>
              <w:t xml:space="preserve"> spēkā esošo tiesību normu sistēmu </w:t>
            </w:r>
            <w:r w:rsidRPr="002C129C">
              <w:rPr>
                <w:b/>
                <w:bCs/>
              </w:rPr>
              <w:t xml:space="preserve"> </w:t>
            </w:r>
          </w:p>
        </w:tc>
      </w:tr>
    </w:tbl>
    <w:tbl>
      <w:tblPr>
        <w:tblStyle w:val="TableGrid"/>
        <w:tblW w:w="9072" w:type="dxa"/>
        <w:tblInd w:w="108" w:type="dxa"/>
        <w:tblLook w:val="04A0"/>
      </w:tblPr>
      <w:tblGrid>
        <w:gridCol w:w="851"/>
        <w:gridCol w:w="3685"/>
        <w:gridCol w:w="4536"/>
      </w:tblGrid>
      <w:tr w:rsidR="0084121D" w:rsidRPr="00AE7287" w:rsidTr="00991D3B">
        <w:tc>
          <w:tcPr>
            <w:tcW w:w="851" w:type="dxa"/>
            <w:hideMark/>
          </w:tcPr>
          <w:p w:rsidR="0084121D" w:rsidRPr="002C129C" w:rsidRDefault="0084121D" w:rsidP="00991D3B">
            <w:r w:rsidRPr="002C129C">
              <w:t> 1.</w:t>
            </w:r>
          </w:p>
        </w:tc>
        <w:tc>
          <w:tcPr>
            <w:tcW w:w="3685" w:type="dxa"/>
            <w:hideMark/>
          </w:tcPr>
          <w:p w:rsidR="0084121D" w:rsidRPr="002C129C" w:rsidRDefault="0084121D" w:rsidP="00991D3B">
            <w:r w:rsidRPr="002C129C">
              <w:t> Nepieciešamie saistītie tiesību aktu projekti</w:t>
            </w:r>
          </w:p>
        </w:tc>
        <w:tc>
          <w:tcPr>
            <w:tcW w:w="4536" w:type="dxa"/>
            <w:hideMark/>
          </w:tcPr>
          <w:p w:rsidR="0084121D" w:rsidRPr="00AE7287" w:rsidRDefault="0084121D" w:rsidP="007530BE">
            <w:pPr>
              <w:jc w:val="both"/>
            </w:pPr>
            <w:r w:rsidRPr="00AE7287">
              <w:t> </w:t>
            </w:r>
            <w:r w:rsidR="007530BE">
              <w:t xml:space="preserve">Likumprojekts „Grozījumi </w:t>
            </w:r>
            <w:r>
              <w:t>Epidemioloģiskās drošības likum</w:t>
            </w:r>
            <w:r w:rsidR="007530BE">
              <w:t>ā”</w:t>
            </w:r>
          </w:p>
        </w:tc>
      </w:tr>
      <w:tr w:rsidR="0084121D" w:rsidRPr="002C129C" w:rsidTr="00991D3B">
        <w:trPr>
          <w:trHeight w:val="647"/>
        </w:trPr>
        <w:tc>
          <w:tcPr>
            <w:tcW w:w="851" w:type="dxa"/>
            <w:hideMark/>
          </w:tcPr>
          <w:p w:rsidR="0084121D" w:rsidRPr="002C129C" w:rsidRDefault="0084121D" w:rsidP="00991D3B">
            <w:r w:rsidRPr="002C129C">
              <w:t> 2.</w:t>
            </w:r>
          </w:p>
        </w:tc>
        <w:tc>
          <w:tcPr>
            <w:tcW w:w="3685" w:type="dxa"/>
            <w:hideMark/>
          </w:tcPr>
          <w:p w:rsidR="0084121D" w:rsidRPr="002C129C" w:rsidRDefault="0084121D" w:rsidP="00991D3B">
            <w:r w:rsidRPr="002C129C">
              <w:t> Cita informācija</w:t>
            </w:r>
          </w:p>
        </w:tc>
        <w:tc>
          <w:tcPr>
            <w:tcW w:w="4536" w:type="dxa"/>
            <w:hideMark/>
          </w:tcPr>
          <w:p w:rsidR="0084121D" w:rsidRPr="002C129C" w:rsidRDefault="0084121D" w:rsidP="00991D3B">
            <w:pPr>
              <w:jc w:val="both"/>
            </w:pPr>
            <w:r w:rsidRPr="00B86EB4">
              <w:t xml:space="preserve">Veicot grozījumus </w:t>
            </w:r>
            <w:r>
              <w:t>Ministru kabineta 2010.gada 16.novembra noteikumi Nr.1050 „Sabiedrības veselības aizsardzības pasākumu veikšanas kārtība”</w:t>
            </w:r>
            <w:r w:rsidRPr="00B86EB4">
              <w:t>, tiks veikti arī redakcionāli grozījumi</w:t>
            </w:r>
            <w:r>
              <w:t xml:space="preserve"> (precizētas</w:t>
            </w:r>
            <w:r w:rsidRPr="00B86EB4">
              <w:t xml:space="preserve"> </w:t>
            </w:r>
            <w:r>
              <w:t xml:space="preserve">institūcijas) Epidemioloģiskās drošības likumā, kas satur normas par valsts aģentūras ”Latvijas Infektoloģijas centrs”  kompetenci infekcijas slimību epidemioloģiskās uzraudzības jomā un pretepidēmijas pasākumu veikšanā. Likumprojekts izsludināts Valsts sekretāru sanāksmē 2012.gada 1.martā (VSS-223). </w:t>
            </w:r>
          </w:p>
          <w:p w:rsidR="001C4912" w:rsidRDefault="00CD0968" w:rsidP="001C4912">
            <w:pPr>
              <w:autoSpaceDE w:val="0"/>
              <w:autoSpaceDN w:val="0"/>
              <w:adjustRightInd w:val="0"/>
              <w:rPr>
                <w:color w:val="000000"/>
                <w:szCs w:val="28"/>
              </w:rPr>
            </w:pPr>
            <w:r>
              <w:rPr>
                <w:color w:val="000000"/>
                <w:szCs w:val="28"/>
              </w:rPr>
              <w:t xml:space="preserve">Noteikumu projekts paredz, </w:t>
            </w:r>
            <w:r w:rsidR="001C4912">
              <w:rPr>
                <w:color w:val="000000"/>
                <w:szCs w:val="28"/>
              </w:rPr>
              <w:t>ka noteikumi stājas spēkā vienlaikus ar likumu "Grozījumi Epidemioloģiskās drošības likumā", kas saistīts ar Slimību profilakses un kontroles centra izveidošanu un Veselības ministrijas un Zemkopības ministrijas padotībā esošo valsts pārvaldes iestāžu reorganizāciju.</w:t>
            </w:r>
          </w:p>
          <w:p w:rsidR="0084121D" w:rsidRPr="002C129C" w:rsidRDefault="0084121D" w:rsidP="001C4912">
            <w:pPr>
              <w:autoSpaceDE w:val="0"/>
              <w:autoSpaceDN w:val="0"/>
              <w:adjustRightInd w:val="0"/>
              <w:jc w:val="both"/>
            </w:pPr>
          </w:p>
        </w:tc>
      </w:tr>
    </w:tbl>
    <w:p w:rsidR="00EA620B" w:rsidRPr="003E4B12" w:rsidRDefault="00EA620B" w:rsidP="00586F93"/>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3437"/>
        <w:gridCol w:w="4261"/>
      </w:tblGrid>
      <w:tr w:rsidR="00EA620B" w:rsidRPr="00EA620B"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jc w:val="center"/>
              <w:rPr>
                <w:b/>
                <w:bCs/>
              </w:rPr>
            </w:pPr>
          </w:p>
        </w:tc>
      </w:tr>
      <w:tr w:rsidR="0091617D" w:rsidRPr="003E4B12"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EA620B">
        <w:trPr>
          <w:trHeight w:val="427"/>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Default="000D43B0" w:rsidP="00FD4353">
            <w:pPr>
              <w:pStyle w:val="BodyTextIndent"/>
              <w:autoSpaceDE w:val="0"/>
              <w:autoSpaceDN w:val="0"/>
              <w:adjustRightInd w:val="0"/>
              <w:spacing w:after="0"/>
              <w:ind w:left="0"/>
              <w:jc w:val="both"/>
            </w:pPr>
            <w:r>
              <w:t>Slimību profilakses un kontroles centrs</w:t>
            </w:r>
            <w:r w:rsidR="009638E7">
              <w:t>,</w:t>
            </w:r>
          </w:p>
          <w:p w:rsidR="009638E7" w:rsidRPr="003E4B12" w:rsidRDefault="009638E7" w:rsidP="009638E7">
            <w:pPr>
              <w:pStyle w:val="BodyTextIndent"/>
              <w:autoSpaceDE w:val="0"/>
              <w:autoSpaceDN w:val="0"/>
              <w:adjustRightInd w:val="0"/>
              <w:spacing w:after="0"/>
              <w:ind w:left="0"/>
              <w:jc w:val="both"/>
            </w:pPr>
            <w:r>
              <w:t>sabiedrība ar ierobežotu atbildību „Rīgas Austrumu klīniskā universitātes slimnīca”</w:t>
            </w:r>
          </w:p>
        </w:tc>
      </w:tr>
      <w:tr w:rsidR="00956BE6" w:rsidRPr="003E4B12" w:rsidTr="00EA620B">
        <w:trPr>
          <w:trHeight w:val="46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0D43B0" w:rsidP="007755B7">
            <w:pPr>
              <w:jc w:val="both"/>
            </w:pPr>
            <w:r>
              <w:t>Jaunas funkcijas netiek noteiktas</w:t>
            </w:r>
          </w:p>
        </w:tc>
      </w:tr>
      <w:tr w:rsidR="00956BE6" w:rsidRPr="003E4B12" w:rsidTr="00EA620B">
        <w:trPr>
          <w:trHeight w:val="725"/>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827932" w:rsidP="000D43B0">
            <w:pPr>
              <w:jc w:val="both"/>
            </w:pPr>
            <w:r>
              <w:t>Projekts neparedz funkciju paplašināšanu</w:t>
            </w:r>
          </w:p>
        </w:tc>
      </w:tr>
      <w:tr w:rsidR="00956BE6" w:rsidRPr="003E4B12" w:rsidTr="00EA620B">
        <w:trPr>
          <w:trHeight w:val="780"/>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70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5.</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476"/>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3E4B12" w:rsidRPr="006E62DB" w:rsidRDefault="00900E0C" w:rsidP="00956BE6">
      <w:pPr>
        <w:pStyle w:val="tvhtml"/>
        <w:rPr>
          <w:rFonts w:ascii="Times New Roman" w:hAnsi="Times New Roman"/>
          <w:iCs/>
          <w:sz w:val="28"/>
          <w:szCs w:val="28"/>
        </w:rPr>
      </w:pPr>
      <w:r w:rsidRPr="006E62DB">
        <w:rPr>
          <w:rFonts w:ascii="Times New Roman" w:hAnsi="Times New Roman"/>
          <w:iCs/>
          <w:sz w:val="28"/>
          <w:szCs w:val="28"/>
        </w:rPr>
        <w:t>Anotācijas III, V</w:t>
      </w:r>
      <w:r w:rsidR="00FD4353" w:rsidRPr="006E62DB">
        <w:rPr>
          <w:rFonts w:ascii="Times New Roman" w:hAnsi="Times New Roman"/>
          <w:iCs/>
          <w:sz w:val="28"/>
          <w:szCs w:val="28"/>
        </w:rPr>
        <w:t>, VI</w:t>
      </w:r>
      <w:r w:rsidRPr="006E62DB">
        <w:rPr>
          <w:rFonts w:ascii="Times New Roman" w:hAnsi="Times New Roman"/>
          <w:iCs/>
          <w:sz w:val="28"/>
          <w:szCs w:val="28"/>
        </w:rPr>
        <w:t xml:space="preserve"> sadaļa – projekts šīs jomas neskar.</w:t>
      </w:r>
    </w:p>
    <w:p w:rsidR="00D85A21" w:rsidRDefault="00D85A21" w:rsidP="00956BE6">
      <w:pPr>
        <w:jc w:val="both"/>
        <w:rPr>
          <w:sz w:val="28"/>
          <w:szCs w:val="28"/>
        </w:rPr>
      </w:pPr>
    </w:p>
    <w:p w:rsidR="00D85A21" w:rsidRDefault="00D85A21" w:rsidP="00956BE6">
      <w:pPr>
        <w:jc w:val="both"/>
        <w:rPr>
          <w:sz w:val="28"/>
          <w:szCs w:val="28"/>
        </w:rPr>
      </w:pPr>
    </w:p>
    <w:p w:rsidR="006E62DB" w:rsidRDefault="006E62DB" w:rsidP="00956BE6">
      <w:pPr>
        <w:jc w:val="both"/>
        <w:rPr>
          <w:sz w:val="28"/>
          <w:szCs w:val="28"/>
        </w:rPr>
      </w:pPr>
    </w:p>
    <w:p w:rsidR="006E62DB"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7C1104">
        <w:rPr>
          <w:sz w:val="28"/>
          <w:szCs w:val="28"/>
        </w:rPr>
        <w:t xml:space="preserve">e                                                                       </w:t>
      </w:r>
      <w:proofErr w:type="spellStart"/>
      <w:r w:rsidR="007C1104">
        <w:rPr>
          <w:sz w:val="28"/>
          <w:szCs w:val="28"/>
        </w:rPr>
        <w:t>I.Circene</w:t>
      </w:r>
      <w:proofErr w:type="spellEnd"/>
      <w:r w:rsidR="007C1104">
        <w:rPr>
          <w:sz w:val="28"/>
          <w:szCs w:val="28"/>
        </w:rPr>
        <w:t xml:space="preserve"> </w:t>
      </w:r>
    </w:p>
    <w:p w:rsidR="0090617A" w:rsidRDefault="003A3B68" w:rsidP="00956BE6">
      <w:pPr>
        <w:jc w:val="both"/>
        <w:rPr>
          <w:sz w:val="28"/>
          <w:szCs w:val="28"/>
        </w:rPr>
      </w:pPr>
      <w:r>
        <w:rPr>
          <w:sz w:val="28"/>
          <w:szCs w:val="28"/>
        </w:rPr>
        <w:tab/>
      </w:r>
      <w:r>
        <w:rPr>
          <w:sz w:val="28"/>
          <w:szCs w:val="28"/>
        </w:rPr>
        <w:tab/>
      </w:r>
      <w:r>
        <w:rPr>
          <w:sz w:val="28"/>
          <w:szCs w:val="28"/>
        </w:rPr>
        <w:tab/>
      </w:r>
      <w:r>
        <w:rPr>
          <w:sz w:val="28"/>
          <w:szCs w:val="28"/>
        </w:rPr>
        <w:tab/>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713B3D" w:rsidRPr="001F27B8" w:rsidRDefault="001906F4" w:rsidP="001F27B8">
      <w:pPr>
        <w:pStyle w:val="PlainText"/>
        <w:jc w:val="both"/>
        <w:rPr>
          <w:rFonts w:ascii="Times New Roman" w:hAnsi="Times New Roman" w:cs="Times New Roman"/>
        </w:rPr>
      </w:pPr>
      <w:r>
        <w:rPr>
          <w:rFonts w:ascii="Times New Roman" w:hAnsi="Times New Roman" w:cs="Times New Roman"/>
        </w:rPr>
        <w:t>26.03.2012 9:30</w:t>
      </w:r>
    </w:p>
    <w:p w:rsidR="00BD5C31" w:rsidRDefault="00BD5C31" w:rsidP="001F27B8">
      <w:pPr>
        <w:pStyle w:val="PlainText"/>
        <w:jc w:val="both"/>
        <w:rPr>
          <w:rFonts w:ascii="Times New Roman" w:hAnsi="Times New Roman" w:cs="Times New Roman"/>
        </w:rPr>
      </w:pPr>
      <w:r>
        <w:rPr>
          <w:rFonts w:ascii="Times New Roman" w:hAnsi="Times New Roman" w:cs="Times New Roman"/>
        </w:rPr>
        <w:t>8</w:t>
      </w:r>
      <w:r w:rsidR="002566CA">
        <w:rPr>
          <w:rFonts w:ascii="Times New Roman" w:hAnsi="Times New Roman" w:cs="Times New Roman"/>
        </w:rPr>
        <w:t>2</w:t>
      </w:r>
      <w:r w:rsidR="001906F4">
        <w:rPr>
          <w:rFonts w:ascii="Times New Roman" w:hAnsi="Times New Roman" w:cs="Times New Roman"/>
        </w:rPr>
        <w:t>7</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121B72"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F9088D">
      <w:headerReference w:type="even" r:id="rId9"/>
      <w:headerReference w:type="default" r:id="rId10"/>
      <w:footerReference w:type="default" r:id="rId11"/>
      <w:footerReference w:type="first" r:id="rId12"/>
      <w:pgSz w:w="11906" w:h="16838"/>
      <w:pgMar w:top="1418" w:right="1134" w:bottom="1134" w:left="1701" w:header="709" w:footer="3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CF" w:rsidRDefault="00AD0FCF">
      <w:r>
        <w:separator/>
      </w:r>
    </w:p>
  </w:endnote>
  <w:endnote w:type="continuationSeparator" w:id="0">
    <w:p w:rsidR="00AD0FCF" w:rsidRDefault="00AD0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CF" w:rsidRPr="00F9088D" w:rsidRDefault="008C181D" w:rsidP="00F9088D">
    <w:pPr>
      <w:pStyle w:val="Footer"/>
      <w:jc w:val="both"/>
      <w:rPr>
        <w:sz w:val="22"/>
        <w:szCs w:val="22"/>
      </w:rPr>
    </w:pPr>
    <w:r>
      <w:rPr>
        <w:sz w:val="22"/>
        <w:szCs w:val="22"/>
      </w:rPr>
      <w:t>V</w:t>
    </w:r>
    <w:r w:rsidR="00AD0FCF" w:rsidRPr="00F9088D">
      <w:rPr>
        <w:sz w:val="22"/>
        <w:szCs w:val="22"/>
      </w:rPr>
      <w:t>Manot_</w:t>
    </w:r>
    <w:r w:rsidR="00CD0968">
      <w:rPr>
        <w:sz w:val="22"/>
        <w:szCs w:val="22"/>
      </w:rPr>
      <w:t>2</w:t>
    </w:r>
    <w:r w:rsidR="007530BE">
      <w:rPr>
        <w:sz w:val="22"/>
        <w:szCs w:val="22"/>
      </w:rPr>
      <w:t>6</w:t>
    </w:r>
    <w:r w:rsidR="003A2752">
      <w:rPr>
        <w:sz w:val="22"/>
        <w:szCs w:val="22"/>
      </w:rPr>
      <w:t>0312</w:t>
    </w:r>
    <w:r w:rsidR="00AD0FCF" w:rsidRPr="00F9088D">
      <w:rPr>
        <w:sz w:val="22"/>
        <w:szCs w:val="22"/>
      </w:rPr>
      <w:t xml:space="preserve">_svangroz; </w:t>
    </w:r>
    <w:bookmarkStart w:id="6" w:name="OLE_LINK7"/>
    <w:bookmarkStart w:id="7" w:name="OLE_LINK8"/>
    <w:bookmarkStart w:id="8" w:name="_Hlk317837100"/>
    <w:r w:rsidR="00AD0FCF" w:rsidRPr="00F9088D">
      <w:rPr>
        <w:sz w:val="22"/>
        <w:szCs w:val="22"/>
      </w:rPr>
      <w:t xml:space="preserve">Ministru kabineta noteikumu projekta „Grozījumi Ministru kabineta 2010.gada </w:t>
    </w:r>
    <w:r w:rsidR="00965D49">
      <w:rPr>
        <w:sz w:val="22"/>
        <w:szCs w:val="22"/>
      </w:rPr>
      <w:t>16</w:t>
    </w:r>
    <w:r w:rsidR="00AD0FCF" w:rsidRPr="00F9088D">
      <w:rPr>
        <w:sz w:val="22"/>
        <w:szCs w:val="22"/>
      </w:rPr>
      <w:t>.novembra noteikumos Nr.1050 „Sabiedrības veselības aizsardzības noteikumi”” sākotnējās ietekmes novērtējuma ziņojums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0" w:rsidRPr="00F9088D" w:rsidRDefault="007530BE" w:rsidP="00E02680">
    <w:pPr>
      <w:pStyle w:val="Footer"/>
      <w:jc w:val="both"/>
      <w:rPr>
        <w:sz w:val="22"/>
        <w:szCs w:val="22"/>
      </w:rPr>
    </w:pPr>
    <w:r>
      <w:rPr>
        <w:sz w:val="22"/>
        <w:szCs w:val="22"/>
      </w:rPr>
      <w:t>V</w:t>
    </w:r>
    <w:r w:rsidR="00E02680" w:rsidRPr="00F9088D">
      <w:rPr>
        <w:sz w:val="22"/>
        <w:szCs w:val="22"/>
      </w:rPr>
      <w:t>Manot_</w:t>
    </w:r>
    <w:r w:rsidR="00D41452">
      <w:rPr>
        <w:sz w:val="22"/>
        <w:szCs w:val="22"/>
      </w:rPr>
      <w:t>2</w:t>
    </w:r>
    <w:r>
      <w:rPr>
        <w:sz w:val="22"/>
        <w:szCs w:val="22"/>
      </w:rPr>
      <w:t>6</w:t>
    </w:r>
    <w:r w:rsidR="00482062">
      <w:rPr>
        <w:sz w:val="22"/>
        <w:szCs w:val="22"/>
      </w:rPr>
      <w:t>0312</w:t>
    </w:r>
    <w:r w:rsidR="00E02680" w:rsidRPr="00F9088D">
      <w:rPr>
        <w:sz w:val="22"/>
        <w:szCs w:val="22"/>
      </w:rPr>
      <w:t xml:space="preserve">_svangroz; Ministru kabineta noteikumu projekta „Grozījumi Ministru kabineta 2010.gada </w:t>
    </w:r>
    <w:r w:rsidR="00730FBF">
      <w:rPr>
        <w:sz w:val="22"/>
        <w:szCs w:val="22"/>
      </w:rPr>
      <w:t>16</w:t>
    </w:r>
    <w:r w:rsidR="00E02680" w:rsidRPr="00F9088D">
      <w:rPr>
        <w:sz w:val="22"/>
        <w:szCs w:val="22"/>
      </w:rPr>
      <w:t>.novembra noteikumos Nr.1050 „Sabiedrības veselības aizsardzības noteikumi”” sākotnējās ietekmes novērtējuma ziņojums (anotācija)</w:t>
    </w:r>
  </w:p>
  <w:p w:rsidR="00AD0FCF" w:rsidRPr="00E02680" w:rsidRDefault="00AD0FCF" w:rsidP="00E02680">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CF" w:rsidRDefault="00AD0FCF">
      <w:r>
        <w:separator/>
      </w:r>
    </w:p>
  </w:footnote>
  <w:footnote w:type="continuationSeparator" w:id="0">
    <w:p w:rsidR="00AD0FCF" w:rsidRDefault="00AD0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CF" w:rsidRDefault="00121B72" w:rsidP="002935F0">
    <w:pPr>
      <w:pStyle w:val="Header"/>
      <w:framePr w:wrap="around" w:vAnchor="text" w:hAnchor="margin" w:xAlign="center" w:y="1"/>
      <w:rPr>
        <w:rStyle w:val="PageNumber"/>
      </w:rPr>
    </w:pPr>
    <w:r>
      <w:rPr>
        <w:rStyle w:val="PageNumber"/>
      </w:rPr>
      <w:fldChar w:fldCharType="begin"/>
    </w:r>
    <w:r w:rsidR="00AD0FCF">
      <w:rPr>
        <w:rStyle w:val="PageNumber"/>
      </w:rPr>
      <w:instrText xml:space="preserve">PAGE  </w:instrText>
    </w:r>
    <w:r>
      <w:rPr>
        <w:rStyle w:val="PageNumber"/>
      </w:rPr>
      <w:fldChar w:fldCharType="end"/>
    </w:r>
  </w:p>
  <w:p w:rsidR="00AD0FCF" w:rsidRDefault="00AD0F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CF" w:rsidRDefault="00121B72" w:rsidP="002935F0">
    <w:pPr>
      <w:pStyle w:val="Header"/>
      <w:framePr w:wrap="around" w:vAnchor="text" w:hAnchor="margin" w:xAlign="center" w:y="1"/>
      <w:rPr>
        <w:rStyle w:val="PageNumber"/>
      </w:rPr>
    </w:pPr>
    <w:r>
      <w:rPr>
        <w:rStyle w:val="PageNumber"/>
      </w:rPr>
      <w:fldChar w:fldCharType="begin"/>
    </w:r>
    <w:r w:rsidR="00AD0FCF">
      <w:rPr>
        <w:rStyle w:val="PageNumber"/>
      </w:rPr>
      <w:instrText xml:space="preserve">PAGE  </w:instrText>
    </w:r>
    <w:r>
      <w:rPr>
        <w:rStyle w:val="PageNumber"/>
      </w:rPr>
      <w:fldChar w:fldCharType="separate"/>
    </w:r>
    <w:r w:rsidR="001906F4">
      <w:rPr>
        <w:rStyle w:val="PageNumber"/>
        <w:noProof/>
      </w:rPr>
      <w:t>4</w:t>
    </w:r>
    <w:r>
      <w:rPr>
        <w:rStyle w:val="PageNumber"/>
      </w:rPr>
      <w:fldChar w:fldCharType="end"/>
    </w:r>
  </w:p>
  <w:p w:rsidR="00AD0FCF" w:rsidRDefault="00AD0F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37D8"/>
    <w:rsid w:val="00015BE4"/>
    <w:rsid w:val="00016FEA"/>
    <w:rsid w:val="000205A7"/>
    <w:rsid w:val="00021276"/>
    <w:rsid w:val="00021D18"/>
    <w:rsid w:val="00023887"/>
    <w:rsid w:val="000301AC"/>
    <w:rsid w:val="00030749"/>
    <w:rsid w:val="0003154A"/>
    <w:rsid w:val="00033E5E"/>
    <w:rsid w:val="0003431E"/>
    <w:rsid w:val="00035450"/>
    <w:rsid w:val="0003583F"/>
    <w:rsid w:val="000460B9"/>
    <w:rsid w:val="000473CC"/>
    <w:rsid w:val="00052C94"/>
    <w:rsid w:val="00057A45"/>
    <w:rsid w:val="00071B24"/>
    <w:rsid w:val="000745B5"/>
    <w:rsid w:val="00076EF5"/>
    <w:rsid w:val="0007735D"/>
    <w:rsid w:val="000947C0"/>
    <w:rsid w:val="00094944"/>
    <w:rsid w:val="00097499"/>
    <w:rsid w:val="000A00D8"/>
    <w:rsid w:val="000A68D7"/>
    <w:rsid w:val="000B04D8"/>
    <w:rsid w:val="000B1841"/>
    <w:rsid w:val="000B47D2"/>
    <w:rsid w:val="000B664E"/>
    <w:rsid w:val="000C0D48"/>
    <w:rsid w:val="000C682A"/>
    <w:rsid w:val="000D43B0"/>
    <w:rsid w:val="000D4FF4"/>
    <w:rsid w:val="000D5011"/>
    <w:rsid w:val="000E52AF"/>
    <w:rsid w:val="000E581B"/>
    <w:rsid w:val="000E5874"/>
    <w:rsid w:val="000E5BFF"/>
    <w:rsid w:val="000E705D"/>
    <w:rsid w:val="000F1E99"/>
    <w:rsid w:val="0010194C"/>
    <w:rsid w:val="00106273"/>
    <w:rsid w:val="00107CE4"/>
    <w:rsid w:val="00110EAA"/>
    <w:rsid w:val="001116A8"/>
    <w:rsid w:val="00121B72"/>
    <w:rsid w:val="001256C9"/>
    <w:rsid w:val="00126108"/>
    <w:rsid w:val="00133483"/>
    <w:rsid w:val="00135B78"/>
    <w:rsid w:val="00142843"/>
    <w:rsid w:val="00151D4E"/>
    <w:rsid w:val="001536C6"/>
    <w:rsid w:val="001551C6"/>
    <w:rsid w:val="00160A19"/>
    <w:rsid w:val="0016645F"/>
    <w:rsid w:val="001676C1"/>
    <w:rsid w:val="00167B6E"/>
    <w:rsid w:val="00176922"/>
    <w:rsid w:val="0018044A"/>
    <w:rsid w:val="001906F4"/>
    <w:rsid w:val="00192098"/>
    <w:rsid w:val="0019600B"/>
    <w:rsid w:val="001966C0"/>
    <w:rsid w:val="00197BFC"/>
    <w:rsid w:val="001A495C"/>
    <w:rsid w:val="001A5402"/>
    <w:rsid w:val="001A783A"/>
    <w:rsid w:val="001B0002"/>
    <w:rsid w:val="001B25AF"/>
    <w:rsid w:val="001C05FE"/>
    <w:rsid w:val="001C3946"/>
    <w:rsid w:val="001C4912"/>
    <w:rsid w:val="001C5CEA"/>
    <w:rsid w:val="001D0D61"/>
    <w:rsid w:val="001D11D4"/>
    <w:rsid w:val="001D2C60"/>
    <w:rsid w:val="001D3BEE"/>
    <w:rsid w:val="001D6900"/>
    <w:rsid w:val="001F201E"/>
    <w:rsid w:val="001F27B8"/>
    <w:rsid w:val="001F7E4A"/>
    <w:rsid w:val="00201CB9"/>
    <w:rsid w:val="00201E76"/>
    <w:rsid w:val="00205EED"/>
    <w:rsid w:val="002120B6"/>
    <w:rsid w:val="00214299"/>
    <w:rsid w:val="00214C14"/>
    <w:rsid w:val="00215749"/>
    <w:rsid w:val="00215E82"/>
    <w:rsid w:val="0022074C"/>
    <w:rsid w:val="00221ADE"/>
    <w:rsid w:val="00222714"/>
    <w:rsid w:val="002248A3"/>
    <w:rsid w:val="00226548"/>
    <w:rsid w:val="002265D8"/>
    <w:rsid w:val="002266C1"/>
    <w:rsid w:val="002267D6"/>
    <w:rsid w:val="00226CA4"/>
    <w:rsid w:val="00230B5C"/>
    <w:rsid w:val="0023734A"/>
    <w:rsid w:val="00242245"/>
    <w:rsid w:val="002434D6"/>
    <w:rsid w:val="002450C1"/>
    <w:rsid w:val="00245A6F"/>
    <w:rsid w:val="00246C24"/>
    <w:rsid w:val="00250A2D"/>
    <w:rsid w:val="0025234D"/>
    <w:rsid w:val="00253B7F"/>
    <w:rsid w:val="002556E9"/>
    <w:rsid w:val="002566CA"/>
    <w:rsid w:val="00263E65"/>
    <w:rsid w:val="00264888"/>
    <w:rsid w:val="00267EB5"/>
    <w:rsid w:val="0027058E"/>
    <w:rsid w:val="00272776"/>
    <w:rsid w:val="00272C1F"/>
    <w:rsid w:val="002758D5"/>
    <w:rsid w:val="00281DD1"/>
    <w:rsid w:val="00283F02"/>
    <w:rsid w:val="00284A74"/>
    <w:rsid w:val="0028541D"/>
    <w:rsid w:val="00287B3F"/>
    <w:rsid w:val="002935F0"/>
    <w:rsid w:val="0029401F"/>
    <w:rsid w:val="00295590"/>
    <w:rsid w:val="002967F8"/>
    <w:rsid w:val="00296B9D"/>
    <w:rsid w:val="00297635"/>
    <w:rsid w:val="00297F16"/>
    <w:rsid w:val="002A10A8"/>
    <w:rsid w:val="002A179C"/>
    <w:rsid w:val="002A1822"/>
    <w:rsid w:val="002A3626"/>
    <w:rsid w:val="002A3CA8"/>
    <w:rsid w:val="002A6687"/>
    <w:rsid w:val="002B1874"/>
    <w:rsid w:val="002B5960"/>
    <w:rsid w:val="002C0DBF"/>
    <w:rsid w:val="002C0FE8"/>
    <w:rsid w:val="002C2C45"/>
    <w:rsid w:val="002C400D"/>
    <w:rsid w:val="002C458D"/>
    <w:rsid w:val="002C6C0C"/>
    <w:rsid w:val="002D2047"/>
    <w:rsid w:val="002D24E7"/>
    <w:rsid w:val="002D4E97"/>
    <w:rsid w:val="002D55EE"/>
    <w:rsid w:val="002D7528"/>
    <w:rsid w:val="002D7D70"/>
    <w:rsid w:val="002E1C26"/>
    <w:rsid w:val="002E2EF1"/>
    <w:rsid w:val="002E3BFA"/>
    <w:rsid w:val="002E6C10"/>
    <w:rsid w:val="002E7C61"/>
    <w:rsid w:val="002F1748"/>
    <w:rsid w:val="002F17DF"/>
    <w:rsid w:val="002F705C"/>
    <w:rsid w:val="00304C3D"/>
    <w:rsid w:val="00310936"/>
    <w:rsid w:val="003109AF"/>
    <w:rsid w:val="0031200C"/>
    <w:rsid w:val="003147B4"/>
    <w:rsid w:val="0031753A"/>
    <w:rsid w:val="00323832"/>
    <w:rsid w:val="00323BBA"/>
    <w:rsid w:val="0033121E"/>
    <w:rsid w:val="00333143"/>
    <w:rsid w:val="003343BC"/>
    <w:rsid w:val="00334D11"/>
    <w:rsid w:val="0033572B"/>
    <w:rsid w:val="003366B8"/>
    <w:rsid w:val="003368B0"/>
    <w:rsid w:val="00337083"/>
    <w:rsid w:val="00343ECB"/>
    <w:rsid w:val="00345053"/>
    <w:rsid w:val="003472FC"/>
    <w:rsid w:val="0035176B"/>
    <w:rsid w:val="00352238"/>
    <w:rsid w:val="00352CB6"/>
    <w:rsid w:val="00355359"/>
    <w:rsid w:val="0035690D"/>
    <w:rsid w:val="00362B79"/>
    <w:rsid w:val="003630A9"/>
    <w:rsid w:val="00365349"/>
    <w:rsid w:val="00371EAD"/>
    <w:rsid w:val="0037305E"/>
    <w:rsid w:val="00373ADD"/>
    <w:rsid w:val="003747BF"/>
    <w:rsid w:val="00386C81"/>
    <w:rsid w:val="00387954"/>
    <w:rsid w:val="00391A41"/>
    <w:rsid w:val="00391E1D"/>
    <w:rsid w:val="00392F7B"/>
    <w:rsid w:val="0039373A"/>
    <w:rsid w:val="00394804"/>
    <w:rsid w:val="003A0B83"/>
    <w:rsid w:val="003A25AD"/>
    <w:rsid w:val="003A2752"/>
    <w:rsid w:val="003A3AD4"/>
    <w:rsid w:val="003A3B68"/>
    <w:rsid w:val="003A3C9F"/>
    <w:rsid w:val="003A64E5"/>
    <w:rsid w:val="003B0034"/>
    <w:rsid w:val="003B0A8C"/>
    <w:rsid w:val="003B6A12"/>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0F81"/>
    <w:rsid w:val="00405602"/>
    <w:rsid w:val="00411ECA"/>
    <w:rsid w:val="00416246"/>
    <w:rsid w:val="00417E5D"/>
    <w:rsid w:val="004238D5"/>
    <w:rsid w:val="00423CA2"/>
    <w:rsid w:val="00426858"/>
    <w:rsid w:val="00432C60"/>
    <w:rsid w:val="00434736"/>
    <w:rsid w:val="004373D9"/>
    <w:rsid w:val="004406EB"/>
    <w:rsid w:val="0044431D"/>
    <w:rsid w:val="0044472C"/>
    <w:rsid w:val="0044497B"/>
    <w:rsid w:val="004529B0"/>
    <w:rsid w:val="00454124"/>
    <w:rsid w:val="0045427B"/>
    <w:rsid w:val="00454F2F"/>
    <w:rsid w:val="00462184"/>
    <w:rsid w:val="00462DBD"/>
    <w:rsid w:val="00466AC2"/>
    <w:rsid w:val="00467807"/>
    <w:rsid w:val="00467F17"/>
    <w:rsid w:val="00472FC2"/>
    <w:rsid w:val="00473E25"/>
    <w:rsid w:val="0047649A"/>
    <w:rsid w:val="00476E56"/>
    <w:rsid w:val="00482062"/>
    <w:rsid w:val="00482B5D"/>
    <w:rsid w:val="00485E59"/>
    <w:rsid w:val="00490199"/>
    <w:rsid w:val="00492FF8"/>
    <w:rsid w:val="00493F81"/>
    <w:rsid w:val="00496ECA"/>
    <w:rsid w:val="004A00FE"/>
    <w:rsid w:val="004A0B1A"/>
    <w:rsid w:val="004A1436"/>
    <w:rsid w:val="004A290E"/>
    <w:rsid w:val="004A2DE6"/>
    <w:rsid w:val="004A3DB9"/>
    <w:rsid w:val="004A3E3F"/>
    <w:rsid w:val="004B0BBE"/>
    <w:rsid w:val="004B4CAB"/>
    <w:rsid w:val="004B515D"/>
    <w:rsid w:val="004B5DEC"/>
    <w:rsid w:val="004B7A43"/>
    <w:rsid w:val="004D0540"/>
    <w:rsid w:val="004D1489"/>
    <w:rsid w:val="004F453E"/>
    <w:rsid w:val="004F4C8C"/>
    <w:rsid w:val="004F509D"/>
    <w:rsid w:val="004F5A60"/>
    <w:rsid w:val="004F6A4E"/>
    <w:rsid w:val="0050369C"/>
    <w:rsid w:val="005102C9"/>
    <w:rsid w:val="00511A64"/>
    <w:rsid w:val="00514D1B"/>
    <w:rsid w:val="00516F40"/>
    <w:rsid w:val="00517A7D"/>
    <w:rsid w:val="00521B2E"/>
    <w:rsid w:val="005236E8"/>
    <w:rsid w:val="00523EAC"/>
    <w:rsid w:val="00525143"/>
    <w:rsid w:val="005256A8"/>
    <w:rsid w:val="005275B5"/>
    <w:rsid w:val="00530BAF"/>
    <w:rsid w:val="00533277"/>
    <w:rsid w:val="005333D0"/>
    <w:rsid w:val="00534946"/>
    <w:rsid w:val="005349D2"/>
    <w:rsid w:val="00535FF1"/>
    <w:rsid w:val="005412BD"/>
    <w:rsid w:val="005439A1"/>
    <w:rsid w:val="00544BCB"/>
    <w:rsid w:val="005454DA"/>
    <w:rsid w:val="00561C3C"/>
    <w:rsid w:val="005621A7"/>
    <w:rsid w:val="005658F4"/>
    <w:rsid w:val="0057222B"/>
    <w:rsid w:val="00575AF7"/>
    <w:rsid w:val="00582FA1"/>
    <w:rsid w:val="0058350C"/>
    <w:rsid w:val="00585536"/>
    <w:rsid w:val="00586F93"/>
    <w:rsid w:val="0058755B"/>
    <w:rsid w:val="005918CC"/>
    <w:rsid w:val="00594E33"/>
    <w:rsid w:val="005A0FA3"/>
    <w:rsid w:val="005B098C"/>
    <w:rsid w:val="005B16C5"/>
    <w:rsid w:val="005B19A4"/>
    <w:rsid w:val="005B443E"/>
    <w:rsid w:val="005B6D49"/>
    <w:rsid w:val="005C0840"/>
    <w:rsid w:val="005C1B7D"/>
    <w:rsid w:val="005E1AD1"/>
    <w:rsid w:val="005E60C6"/>
    <w:rsid w:val="005E6990"/>
    <w:rsid w:val="005F1171"/>
    <w:rsid w:val="005F5E9E"/>
    <w:rsid w:val="005F6124"/>
    <w:rsid w:val="005F6C4D"/>
    <w:rsid w:val="005F7F91"/>
    <w:rsid w:val="006007F8"/>
    <w:rsid w:val="00601DCD"/>
    <w:rsid w:val="00604DFD"/>
    <w:rsid w:val="00610277"/>
    <w:rsid w:val="006103B7"/>
    <w:rsid w:val="00610601"/>
    <w:rsid w:val="00610A65"/>
    <w:rsid w:val="0061287A"/>
    <w:rsid w:val="0061347B"/>
    <w:rsid w:val="00613768"/>
    <w:rsid w:val="006154F2"/>
    <w:rsid w:val="00615F29"/>
    <w:rsid w:val="00617064"/>
    <w:rsid w:val="00617251"/>
    <w:rsid w:val="00623FFD"/>
    <w:rsid w:val="006248F0"/>
    <w:rsid w:val="00624B30"/>
    <w:rsid w:val="00626B4C"/>
    <w:rsid w:val="00626F77"/>
    <w:rsid w:val="00627523"/>
    <w:rsid w:val="00632550"/>
    <w:rsid w:val="006330A8"/>
    <w:rsid w:val="00635561"/>
    <w:rsid w:val="00640774"/>
    <w:rsid w:val="00640C17"/>
    <w:rsid w:val="00645D7D"/>
    <w:rsid w:val="006501C0"/>
    <w:rsid w:val="00657209"/>
    <w:rsid w:val="00657BD6"/>
    <w:rsid w:val="0066046A"/>
    <w:rsid w:val="00661A63"/>
    <w:rsid w:val="00665BAB"/>
    <w:rsid w:val="00671D41"/>
    <w:rsid w:val="0067509B"/>
    <w:rsid w:val="006755D8"/>
    <w:rsid w:val="00676221"/>
    <w:rsid w:val="00677CE4"/>
    <w:rsid w:val="00680090"/>
    <w:rsid w:val="00681626"/>
    <w:rsid w:val="006836F3"/>
    <w:rsid w:val="00685D78"/>
    <w:rsid w:val="00685F7B"/>
    <w:rsid w:val="00687DB4"/>
    <w:rsid w:val="00692083"/>
    <w:rsid w:val="006923FA"/>
    <w:rsid w:val="00693C20"/>
    <w:rsid w:val="00694455"/>
    <w:rsid w:val="0069556E"/>
    <w:rsid w:val="0069791F"/>
    <w:rsid w:val="006A20B8"/>
    <w:rsid w:val="006A36CC"/>
    <w:rsid w:val="006A4EAD"/>
    <w:rsid w:val="006A7143"/>
    <w:rsid w:val="006B2C6D"/>
    <w:rsid w:val="006B434F"/>
    <w:rsid w:val="006B475A"/>
    <w:rsid w:val="006B51D7"/>
    <w:rsid w:val="006B68CC"/>
    <w:rsid w:val="006B7219"/>
    <w:rsid w:val="006C0F84"/>
    <w:rsid w:val="006C5847"/>
    <w:rsid w:val="006C588D"/>
    <w:rsid w:val="006C73B3"/>
    <w:rsid w:val="006D13E6"/>
    <w:rsid w:val="006D1F52"/>
    <w:rsid w:val="006D2673"/>
    <w:rsid w:val="006D3E67"/>
    <w:rsid w:val="006D53CE"/>
    <w:rsid w:val="006E16F1"/>
    <w:rsid w:val="006E2526"/>
    <w:rsid w:val="006E33CD"/>
    <w:rsid w:val="006E3EE8"/>
    <w:rsid w:val="006E3F4B"/>
    <w:rsid w:val="006E62DB"/>
    <w:rsid w:val="006E6912"/>
    <w:rsid w:val="006F266A"/>
    <w:rsid w:val="006F6868"/>
    <w:rsid w:val="007024AC"/>
    <w:rsid w:val="00705FFB"/>
    <w:rsid w:val="00707C80"/>
    <w:rsid w:val="00707F3A"/>
    <w:rsid w:val="00710975"/>
    <w:rsid w:val="00710BDE"/>
    <w:rsid w:val="00713776"/>
    <w:rsid w:val="00713B3D"/>
    <w:rsid w:val="00715E63"/>
    <w:rsid w:val="00716CD8"/>
    <w:rsid w:val="0072604C"/>
    <w:rsid w:val="007303D0"/>
    <w:rsid w:val="00730FBF"/>
    <w:rsid w:val="00732F65"/>
    <w:rsid w:val="007341B4"/>
    <w:rsid w:val="0073466D"/>
    <w:rsid w:val="007359AA"/>
    <w:rsid w:val="00735D7B"/>
    <w:rsid w:val="007376A3"/>
    <w:rsid w:val="00741FC8"/>
    <w:rsid w:val="00744AC4"/>
    <w:rsid w:val="00744D23"/>
    <w:rsid w:val="0074610C"/>
    <w:rsid w:val="00746D3D"/>
    <w:rsid w:val="007530BE"/>
    <w:rsid w:val="0075644D"/>
    <w:rsid w:val="0075695E"/>
    <w:rsid w:val="007576E7"/>
    <w:rsid w:val="007601AB"/>
    <w:rsid w:val="00760875"/>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B7B49"/>
    <w:rsid w:val="007C0AAE"/>
    <w:rsid w:val="007C0DD8"/>
    <w:rsid w:val="007C1104"/>
    <w:rsid w:val="007C26C3"/>
    <w:rsid w:val="007C5E07"/>
    <w:rsid w:val="007E0B03"/>
    <w:rsid w:val="007E4147"/>
    <w:rsid w:val="007E5394"/>
    <w:rsid w:val="007E69C2"/>
    <w:rsid w:val="007F1EFB"/>
    <w:rsid w:val="007F2ED7"/>
    <w:rsid w:val="007F7480"/>
    <w:rsid w:val="00802288"/>
    <w:rsid w:val="00804A3E"/>
    <w:rsid w:val="00805143"/>
    <w:rsid w:val="0080618A"/>
    <w:rsid w:val="008075E1"/>
    <w:rsid w:val="00807808"/>
    <w:rsid w:val="008108D6"/>
    <w:rsid w:val="00813669"/>
    <w:rsid w:val="0081667F"/>
    <w:rsid w:val="00821142"/>
    <w:rsid w:val="008229F3"/>
    <w:rsid w:val="00824591"/>
    <w:rsid w:val="00824744"/>
    <w:rsid w:val="0082500A"/>
    <w:rsid w:val="00827932"/>
    <w:rsid w:val="00830160"/>
    <w:rsid w:val="008313AB"/>
    <w:rsid w:val="00831FDA"/>
    <w:rsid w:val="00836C42"/>
    <w:rsid w:val="0084121D"/>
    <w:rsid w:val="00841A26"/>
    <w:rsid w:val="00843BCD"/>
    <w:rsid w:val="00852762"/>
    <w:rsid w:val="00852E04"/>
    <w:rsid w:val="00853F9F"/>
    <w:rsid w:val="00856CB1"/>
    <w:rsid w:val="00857092"/>
    <w:rsid w:val="00871B3A"/>
    <w:rsid w:val="0087467A"/>
    <w:rsid w:val="00876467"/>
    <w:rsid w:val="008814A4"/>
    <w:rsid w:val="0088270D"/>
    <w:rsid w:val="00882F60"/>
    <w:rsid w:val="008834D1"/>
    <w:rsid w:val="00884F2A"/>
    <w:rsid w:val="0089342E"/>
    <w:rsid w:val="00894C4F"/>
    <w:rsid w:val="008974C9"/>
    <w:rsid w:val="008A0F49"/>
    <w:rsid w:val="008A1059"/>
    <w:rsid w:val="008A2DC3"/>
    <w:rsid w:val="008A556A"/>
    <w:rsid w:val="008B149A"/>
    <w:rsid w:val="008B1E9C"/>
    <w:rsid w:val="008B3999"/>
    <w:rsid w:val="008B4D46"/>
    <w:rsid w:val="008C181D"/>
    <w:rsid w:val="008C2480"/>
    <w:rsid w:val="008C782C"/>
    <w:rsid w:val="008D1D0C"/>
    <w:rsid w:val="008D35FC"/>
    <w:rsid w:val="008D563C"/>
    <w:rsid w:val="008D62AE"/>
    <w:rsid w:val="008D730D"/>
    <w:rsid w:val="008E3929"/>
    <w:rsid w:val="008E5441"/>
    <w:rsid w:val="008E5FAC"/>
    <w:rsid w:val="008F068B"/>
    <w:rsid w:val="008F1669"/>
    <w:rsid w:val="008F6B2F"/>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44A7"/>
    <w:rsid w:val="009276C1"/>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38E7"/>
    <w:rsid w:val="00964D08"/>
    <w:rsid w:val="00965D49"/>
    <w:rsid w:val="00966F8A"/>
    <w:rsid w:val="009678B8"/>
    <w:rsid w:val="0097137F"/>
    <w:rsid w:val="00977526"/>
    <w:rsid w:val="00980754"/>
    <w:rsid w:val="00983519"/>
    <w:rsid w:val="0098497C"/>
    <w:rsid w:val="00985838"/>
    <w:rsid w:val="00990F21"/>
    <w:rsid w:val="00991AC9"/>
    <w:rsid w:val="0099250E"/>
    <w:rsid w:val="00995D80"/>
    <w:rsid w:val="0099629F"/>
    <w:rsid w:val="009A5066"/>
    <w:rsid w:val="009A6EAC"/>
    <w:rsid w:val="009B3365"/>
    <w:rsid w:val="009B59E3"/>
    <w:rsid w:val="009B700D"/>
    <w:rsid w:val="009C1FF4"/>
    <w:rsid w:val="009C25AF"/>
    <w:rsid w:val="009C33C8"/>
    <w:rsid w:val="009C5B69"/>
    <w:rsid w:val="009E14E3"/>
    <w:rsid w:val="009E5806"/>
    <w:rsid w:val="009E66CF"/>
    <w:rsid w:val="009F284F"/>
    <w:rsid w:val="009F6E39"/>
    <w:rsid w:val="009F703C"/>
    <w:rsid w:val="009F716E"/>
    <w:rsid w:val="009F7786"/>
    <w:rsid w:val="009F7C49"/>
    <w:rsid w:val="009F7FF4"/>
    <w:rsid w:val="00A00CF8"/>
    <w:rsid w:val="00A03895"/>
    <w:rsid w:val="00A06015"/>
    <w:rsid w:val="00A06749"/>
    <w:rsid w:val="00A07128"/>
    <w:rsid w:val="00A07C98"/>
    <w:rsid w:val="00A1129E"/>
    <w:rsid w:val="00A11C66"/>
    <w:rsid w:val="00A14F23"/>
    <w:rsid w:val="00A150E8"/>
    <w:rsid w:val="00A20426"/>
    <w:rsid w:val="00A278F8"/>
    <w:rsid w:val="00A27954"/>
    <w:rsid w:val="00A30B5C"/>
    <w:rsid w:val="00A321D3"/>
    <w:rsid w:val="00A32B15"/>
    <w:rsid w:val="00A34456"/>
    <w:rsid w:val="00A357F5"/>
    <w:rsid w:val="00A370D1"/>
    <w:rsid w:val="00A37FF2"/>
    <w:rsid w:val="00A40C50"/>
    <w:rsid w:val="00A4239D"/>
    <w:rsid w:val="00A43A0C"/>
    <w:rsid w:val="00A44A09"/>
    <w:rsid w:val="00A50281"/>
    <w:rsid w:val="00A50E47"/>
    <w:rsid w:val="00A5747C"/>
    <w:rsid w:val="00A62AFD"/>
    <w:rsid w:val="00A642C2"/>
    <w:rsid w:val="00A65245"/>
    <w:rsid w:val="00A66C4C"/>
    <w:rsid w:val="00A67E95"/>
    <w:rsid w:val="00A72845"/>
    <w:rsid w:val="00A77D34"/>
    <w:rsid w:val="00A77E71"/>
    <w:rsid w:val="00A81B3C"/>
    <w:rsid w:val="00A9133A"/>
    <w:rsid w:val="00A93C08"/>
    <w:rsid w:val="00A95F8C"/>
    <w:rsid w:val="00A963D4"/>
    <w:rsid w:val="00A967AA"/>
    <w:rsid w:val="00AA0631"/>
    <w:rsid w:val="00AA0C78"/>
    <w:rsid w:val="00AA2179"/>
    <w:rsid w:val="00AA2AD2"/>
    <w:rsid w:val="00AA418C"/>
    <w:rsid w:val="00AA65A9"/>
    <w:rsid w:val="00AB00F9"/>
    <w:rsid w:val="00AB0B34"/>
    <w:rsid w:val="00AB2C02"/>
    <w:rsid w:val="00AC171D"/>
    <w:rsid w:val="00AC3E86"/>
    <w:rsid w:val="00AC6419"/>
    <w:rsid w:val="00AD0FCF"/>
    <w:rsid w:val="00AD15C2"/>
    <w:rsid w:val="00AD4EDB"/>
    <w:rsid w:val="00AD657F"/>
    <w:rsid w:val="00AD6700"/>
    <w:rsid w:val="00AD6FA5"/>
    <w:rsid w:val="00AE1B0C"/>
    <w:rsid w:val="00AE28F9"/>
    <w:rsid w:val="00AE3FF5"/>
    <w:rsid w:val="00AE4B1D"/>
    <w:rsid w:val="00AF0087"/>
    <w:rsid w:val="00AF0983"/>
    <w:rsid w:val="00AF35B4"/>
    <w:rsid w:val="00AF7124"/>
    <w:rsid w:val="00B0093E"/>
    <w:rsid w:val="00B123DF"/>
    <w:rsid w:val="00B141ED"/>
    <w:rsid w:val="00B154BA"/>
    <w:rsid w:val="00B202FD"/>
    <w:rsid w:val="00B2148C"/>
    <w:rsid w:val="00B224BC"/>
    <w:rsid w:val="00B264B7"/>
    <w:rsid w:val="00B31E3D"/>
    <w:rsid w:val="00B337EA"/>
    <w:rsid w:val="00B34807"/>
    <w:rsid w:val="00B34EB0"/>
    <w:rsid w:val="00B36FE5"/>
    <w:rsid w:val="00B40520"/>
    <w:rsid w:val="00B436BE"/>
    <w:rsid w:val="00B46E55"/>
    <w:rsid w:val="00B51F5C"/>
    <w:rsid w:val="00B5578A"/>
    <w:rsid w:val="00B566B5"/>
    <w:rsid w:val="00B57293"/>
    <w:rsid w:val="00B60371"/>
    <w:rsid w:val="00B60BD3"/>
    <w:rsid w:val="00B61C31"/>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1EB0"/>
    <w:rsid w:val="00BB20D6"/>
    <w:rsid w:val="00BB2815"/>
    <w:rsid w:val="00BB371D"/>
    <w:rsid w:val="00BB4901"/>
    <w:rsid w:val="00BB7FAF"/>
    <w:rsid w:val="00BC1328"/>
    <w:rsid w:val="00BC43AC"/>
    <w:rsid w:val="00BC51D3"/>
    <w:rsid w:val="00BC6CDD"/>
    <w:rsid w:val="00BD074F"/>
    <w:rsid w:val="00BD0B3D"/>
    <w:rsid w:val="00BD5C31"/>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350A3"/>
    <w:rsid w:val="00C35759"/>
    <w:rsid w:val="00C40E33"/>
    <w:rsid w:val="00C420C5"/>
    <w:rsid w:val="00C42345"/>
    <w:rsid w:val="00C47E31"/>
    <w:rsid w:val="00C50C5B"/>
    <w:rsid w:val="00C54EDC"/>
    <w:rsid w:val="00C55A90"/>
    <w:rsid w:val="00C63AC6"/>
    <w:rsid w:val="00C674E8"/>
    <w:rsid w:val="00C724A7"/>
    <w:rsid w:val="00C77717"/>
    <w:rsid w:val="00C8067C"/>
    <w:rsid w:val="00C807AC"/>
    <w:rsid w:val="00C82731"/>
    <w:rsid w:val="00C827A0"/>
    <w:rsid w:val="00C84133"/>
    <w:rsid w:val="00C90E35"/>
    <w:rsid w:val="00C9138C"/>
    <w:rsid w:val="00C920BA"/>
    <w:rsid w:val="00CA0A6B"/>
    <w:rsid w:val="00CA76AB"/>
    <w:rsid w:val="00CB27A1"/>
    <w:rsid w:val="00CB2FF0"/>
    <w:rsid w:val="00CB34F0"/>
    <w:rsid w:val="00CC1784"/>
    <w:rsid w:val="00CC31D7"/>
    <w:rsid w:val="00CC75EB"/>
    <w:rsid w:val="00CC788D"/>
    <w:rsid w:val="00CD0968"/>
    <w:rsid w:val="00CD0FA2"/>
    <w:rsid w:val="00CD38B4"/>
    <w:rsid w:val="00CD6705"/>
    <w:rsid w:val="00CE5BD2"/>
    <w:rsid w:val="00CE6B79"/>
    <w:rsid w:val="00CF1A17"/>
    <w:rsid w:val="00CF2D7A"/>
    <w:rsid w:val="00CF38CA"/>
    <w:rsid w:val="00CF4C10"/>
    <w:rsid w:val="00CF4E85"/>
    <w:rsid w:val="00CF7335"/>
    <w:rsid w:val="00D029C2"/>
    <w:rsid w:val="00D03AE8"/>
    <w:rsid w:val="00D07097"/>
    <w:rsid w:val="00D07EBA"/>
    <w:rsid w:val="00D10401"/>
    <w:rsid w:val="00D1073B"/>
    <w:rsid w:val="00D1402D"/>
    <w:rsid w:val="00D20A10"/>
    <w:rsid w:val="00D23B0C"/>
    <w:rsid w:val="00D2623E"/>
    <w:rsid w:val="00D2685E"/>
    <w:rsid w:val="00D338EC"/>
    <w:rsid w:val="00D41452"/>
    <w:rsid w:val="00D43E5A"/>
    <w:rsid w:val="00D461B3"/>
    <w:rsid w:val="00D469DC"/>
    <w:rsid w:val="00D50B30"/>
    <w:rsid w:val="00D5219F"/>
    <w:rsid w:val="00D55D6F"/>
    <w:rsid w:val="00D56D16"/>
    <w:rsid w:val="00D577C5"/>
    <w:rsid w:val="00D64A76"/>
    <w:rsid w:val="00D72CA3"/>
    <w:rsid w:val="00D73A62"/>
    <w:rsid w:val="00D849D3"/>
    <w:rsid w:val="00D85A21"/>
    <w:rsid w:val="00D9293A"/>
    <w:rsid w:val="00DA7F89"/>
    <w:rsid w:val="00DB21E5"/>
    <w:rsid w:val="00DB3578"/>
    <w:rsid w:val="00DB37E7"/>
    <w:rsid w:val="00DB3AA0"/>
    <w:rsid w:val="00DB6086"/>
    <w:rsid w:val="00DB7AE1"/>
    <w:rsid w:val="00DC30B7"/>
    <w:rsid w:val="00DC4E3C"/>
    <w:rsid w:val="00DC50F8"/>
    <w:rsid w:val="00DD3174"/>
    <w:rsid w:val="00DD32B2"/>
    <w:rsid w:val="00DE10B3"/>
    <w:rsid w:val="00DE39CF"/>
    <w:rsid w:val="00DE3CE1"/>
    <w:rsid w:val="00DE4771"/>
    <w:rsid w:val="00DE4C47"/>
    <w:rsid w:val="00DE4C5C"/>
    <w:rsid w:val="00DF2EE1"/>
    <w:rsid w:val="00DF60D0"/>
    <w:rsid w:val="00E02680"/>
    <w:rsid w:val="00E03F82"/>
    <w:rsid w:val="00E04F41"/>
    <w:rsid w:val="00E07ED2"/>
    <w:rsid w:val="00E12CAD"/>
    <w:rsid w:val="00E14FDA"/>
    <w:rsid w:val="00E20981"/>
    <w:rsid w:val="00E26E75"/>
    <w:rsid w:val="00E27F89"/>
    <w:rsid w:val="00E30C33"/>
    <w:rsid w:val="00E31071"/>
    <w:rsid w:val="00E337D5"/>
    <w:rsid w:val="00E34F18"/>
    <w:rsid w:val="00E35773"/>
    <w:rsid w:val="00E35FFA"/>
    <w:rsid w:val="00E4065C"/>
    <w:rsid w:val="00E4144C"/>
    <w:rsid w:val="00E41BED"/>
    <w:rsid w:val="00E42D13"/>
    <w:rsid w:val="00E43488"/>
    <w:rsid w:val="00E43FAD"/>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97393"/>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808"/>
    <w:rsid w:val="00F11EC8"/>
    <w:rsid w:val="00F125D3"/>
    <w:rsid w:val="00F237F5"/>
    <w:rsid w:val="00F27903"/>
    <w:rsid w:val="00F31F7E"/>
    <w:rsid w:val="00F32654"/>
    <w:rsid w:val="00F32A96"/>
    <w:rsid w:val="00F32A99"/>
    <w:rsid w:val="00F36C44"/>
    <w:rsid w:val="00F4024F"/>
    <w:rsid w:val="00F41B55"/>
    <w:rsid w:val="00F426DD"/>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7620"/>
    <w:rsid w:val="00F8285A"/>
    <w:rsid w:val="00F834F6"/>
    <w:rsid w:val="00F876D9"/>
    <w:rsid w:val="00F9088D"/>
    <w:rsid w:val="00F928E9"/>
    <w:rsid w:val="00F95BB3"/>
    <w:rsid w:val="00F96D3A"/>
    <w:rsid w:val="00FA2AF6"/>
    <w:rsid w:val="00FA3AD8"/>
    <w:rsid w:val="00FA508F"/>
    <w:rsid w:val="00FB0F08"/>
    <w:rsid w:val="00FB19CA"/>
    <w:rsid w:val="00FB5625"/>
    <w:rsid w:val="00FB5762"/>
    <w:rsid w:val="00FB593F"/>
    <w:rsid w:val="00FB5ED3"/>
    <w:rsid w:val="00FC1F7B"/>
    <w:rsid w:val="00FC54B9"/>
    <w:rsid w:val="00FC7350"/>
    <w:rsid w:val="00FD1183"/>
    <w:rsid w:val="00FD1592"/>
    <w:rsid w:val="00FD1DB6"/>
    <w:rsid w:val="00FD3405"/>
    <w:rsid w:val="00FD4353"/>
    <w:rsid w:val="00FD62CD"/>
    <w:rsid w:val="00FE170A"/>
    <w:rsid w:val="00FE3473"/>
    <w:rsid w:val="00FE63AE"/>
    <w:rsid w:val="00FE7564"/>
    <w:rsid w:val="00FF069F"/>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F9088D"/>
    <w:rPr>
      <w:sz w:val="24"/>
      <w:szCs w:val="24"/>
    </w:rPr>
  </w:style>
  <w:style w:type="paragraph" w:styleId="ListParagraph">
    <w:name w:val="List Paragraph"/>
    <w:basedOn w:val="Normal"/>
    <w:uiPriority w:val="34"/>
    <w:qFormat/>
    <w:rsid w:val="00CF7335"/>
    <w:pPr>
      <w:ind w:left="720"/>
      <w:contextualSpacing/>
    </w:pPr>
  </w:style>
  <w:style w:type="table" w:styleId="TableGrid">
    <w:name w:val="Table Grid"/>
    <w:basedOn w:val="TableNormal"/>
    <w:uiPriority w:val="59"/>
    <w:rsid w:val="008412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57B2-14EF-405A-BA50-6DA40C0E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827</Words>
  <Characters>6574</Characters>
  <Application>Microsoft Office Word</Application>
  <DocSecurity>0</DocSecurity>
  <Lines>234</Lines>
  <Paragraphs>125</Paragraphs>
  <ScaleCrop>false</ScaleCrop>
  <HeadingPairs>
    <vt:vector size="2" baseType="variant">
      <vt:variant>
        <vt:lpstr>Title</vt:lpstr>
      </vt:variant>
      <vt:variant>
        <vt:i4>1</vt:i4>
      </vt:variant>
    </vt:vector>
  </HeadingPairs>
  <TitlesOfParts>
    <vt:vector size="1" baseType="lpstr">
      <vt:lpstr>Ministru kabineta noteikMinistru kabineta noteikumu projekta „Grozījumi Ministru kabineta 2010.gada 16.novembra noteikumos Nr.1050 „Sabiedrības veselības aizsardzības noteikumi”” sākotnējās ietekmes novērtējuma ziņojums (anotācija)umu </vt:lpstr>
    </vt:vector>
  </TitlesOfParts>
  <Company>Veselības ministrija</Company>
  <LinksUpToDate>false</LinksUpToDate>
  <CharactersWithSpaces>7276</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16.novembra noteikumos Nr.1050 „Sabiedrības veselības aizsardzības noteikumi”” sākotnējās ietekmes novērtējuma ziņojums (anotācija)</dc:title>
  <dc:subject>Anotācija</dc:subject>
  <dc:creator>Dace Viļuma</dc:creator>
  <cp:keywords>Veselības ministrija</cp:keywords>
  <dc:description>dace.viluma@vm.gov.lv, tālr.67876080</dc:description>
  <cp:lastModifiedBy>dviluma</cp:lastModifiedBy>
  <cp:revision>3</cp:revision>
  <cp:lastPrinted>2012-02-23T14:38:00Z</cp:lastPrinted>
  <dcterms:created xsi:type="dcterms:W3CDTF">2012-03-26T06:30:00Z</dcterms:created>
  <dcterms:modified xsi:type="dcterms:W3CDTF">2012-03-26T06:30:00Z</dcterms:modified>
</cp:coreProperties>
</file>