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F6C" w:rsidRPr="002729EE" w:rsidRDefault="00745F6C" w:rsidP="00222011">
      <w:pPr>
        <w:jc w:val="center"/>
        <w:rPr>
          <w:b/>
          <w:sz w:val="28"/>
          <w:szCs w:val="28"/>
        </w:rPr>
      </w:pPr>
      <w:bookmarkStart w:id="0" w:name="OLE_LINK19"/>
      <w:bookmarkStart w:id="1" w:name="OLE_LINK20"/>
      <w:r w:rsidRPr="002729EE">
        <w:rPr>
          <w:sz w:val="28"/>
          <w:szCs w:val="28"/>
        </w:rPr>
        <w:t>Ministru kabineta rīkojuma projekta</w:t>
      </w:r>
      <w:bookmarkStart w:id="2" w:name="OLE_LINK13"/>
      <w:bookmarkStart w:id="3" w:name="OLE_LINK14"/>
      <w:r w:rsidR="005D4A9B" w:rsidRPr="002729EE">
        <w:rPr>
          <w:b/>
          <w:sz w:val="28"/>
          <w:szCs w:val="28"/>
        </w:rPr>
        <w:t xml:space="preserve"> </w:t>
      </w:r>
      <w:r w:rsidR="005D4A9B" w:rsidRPr="00E903B6">
        <w:rPr>
          <w:b/>
          <w:sz w:val="28"/>
          <w:szCs w:val="28"/>
        </w:rPr>
        <w:t>„</w:t>
      </w:r>
      <w:r w:rsidR="00222011" w:rsidRPr="00E903B6">
        <w:rPr>
          <w:b/>
          <w:sz w:val="28"/>
          <w:szCs w:val="28"/>
        </w:rPr>
        <w:t xml:space="preserve">Par </w:t>
      </w:r>
      <w:bookmarkEnd w:id="2"/>
      <w:bookmarkEnd w:id="3"/>
      <w:r w:rsidR="00714EC9" w:rsidRPr="00E903B6">
        <w:rPr>
          <w:b/>
          <w:sz w:val="28"/>
          <w:szCs w:val="28"/>
        </w:rPr>
        <w:t>Veselības norēķinu centra un Veselības ekonomikas centra reorganizāciju</w:t>
      </w:r>
      <w:r w:rsidR="00222011" w:rsidRPr="002729EE">
        <w:rPr>
          <w:b/>
          <w:sz w:val="28"/>
          <w:szCs w:val="28"/>
        </w:rPr>
        <w:t>”</w:t>
      </w:r>
    </w:p>
    <w:p w:rsidR="00A034C7" w:rsidRDefault="00745F6C" w:rsidP="00E41200">
      <w:pPr>
        <w:jc w:val="center"/>
        <w:rPr>
          <w:b/>
          <w:bCs/>
          <w:sz w:val="28"/>
          <w:szCs w:val="28"/>
        </w:rPr>
      </w:pPr>
      <w:r w:rsidRPr="002729EE">
        <w:rPr>
          <w:bCs/>
          <w:sz w:val="28"/>
          <w:szCs w:val="28"/>
        </w:rPr>
        <w:t>sākotnējās ietekmes novērtējuma ziņojums</w:t>
      </w:r>
    </w:p>
    <w:p w:rsidR="00B20563" w:rsidRPr="00D42719" w:rsidRDefault="00745F6C" w:rsidP="00711B97">
      <w:pPr>
        <w:jc w:val="center"/>
        <w:rPr>
          <w:b/>
          <w:bCs/>
          <w:sz w:val="28"/>
          <w:szCs w:val="28"/>
        </w:rPr>
      </w:pPr>
      <w:r w:rsidRPr="002729EE">
        <w:rPr>
          <w:b/>
          <w:bCs/>
          <w:sz w:val="28"/>
          <w:szCs w:val="28"/>
        </w:rPr>
        <w:t>(anotācija)</w:t>
      </w:r>
      <w:bookmarkEnd w:id="0"/>
      <w:bookmarkEnd w:id="1"/>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50"/>
        <w:gridCol w:w="2739"/>
        <w:gridCol w:w="6436"/>
      </w:tblGrid>
      <w:tr w:rsidR="00703C92" w:rsidRPr="007C0F2C" w:rsidTr="004750D0">
        <w:tc>
          <w:tcPr>
            <w:tcW w:w="9725" w:type="dxa"/>
            <w:gridSpan w:val="3"/>
            <w:vAlign w:val="center"/>
          </w:tcPr>
          <w:p w:rsidR="00703C92" w:rsidRPr="007C0F2C" w:rsidRDefault="00703C92" w:rsidP="004750D0">
            <w:pPr>
              <w:pStyle w:val="naisnod"/>
              <w:spacing w:before="0" w:after="0"/>
            </w:pPr>
            <w:r w:rsidRPr="007C0F2C">
              <w:t>I. Tiesību akta projekta izstrādes nepieciešamība</w:t>
            </w:r>
          </w:p>
        </w:tc>
      </w:tr>
      <w:tr w:rsidR="00703C92" w:rsidRPr="00F12A1B" w:rsidTr="00D42719">
        <w:trPr>
          <w:trHeight w:val="630"/>
        </w:trPr>
        <w:tc>
          <w:tcPr>
            <w:tcW w:w="550" w:type="dxa"/>
          </w:tcPr>
          <w:p w:rsidR="00703C92" w:rsidRPr="007C0F2C" w:rsidRDefault="00703C92" w:rsidP="004750D0">
            <w:pPr>
              <w:pStyle w:val="naiskr"/>
              <w:spacing w:before="0" w:after="0"/>
              <w:rPr>
                <w:sz w:val="22"/>
                <w:szCs w:val="22"/>
              </w:rPr>
            </w:pPr>
            <w:r w:rsidRPr="007C0F2C">
              <w:rPr>
                <w:sz w:val="22"/>
                <w:szCs w:val="22"/>
              </w:rPr>
              <w:t>1.</w:t>
            </w:r>
          </w:p>
        </w:tc>
        <w:tc>
          <w:tcPr>
            <w:tcW w:w="2739" w:type="dxa"/>
          </w:tcPr>
          <w:p w:rsidR="00703C92" w:rsidRPr="00A21389" w:rsidRDefault="00703C92" w:rsidP="004750D0">
            <w:pPr>
              <w:pStyle w:val="naiskr"/>
              <w:spacing w:before="0" w:after="0"/>
              <w:ind w:hanging="10"/>
            </w:pPr>
            <w:r w:rsidRPr="00A21389">
              <w:t>Pamatojums</w:t>
            </w:r>
          </w:p>
          <w:p w:rsidR="00703C92" w:rsidRPr="00A21389" w:rsidRDefault="00703C92" w:rsidP="004750D0">
            <w:pPr>
              <w:pStyle w:val="naiskr"/>
              <w:spacing w:before="0" w:after="0"/>
              <w:ind w:hanging="10"/>
              <w:rPr>
                <w:color w:val="FF0000"/>
              </w:rPr>
            </w:pPr>
          </w:p>
          <w:p w:rsidR="00703C92" w:rsidRPr="00A21389" w:rsidRDefault="00703C92" w:rsidP="004750D0">
            <w:pPr>
              <w:pStyle w:val="NoSpacing"/>
              <w:jc w:val="both"/>
              <w:rPr>
                <w:color w:val="FF0000"/>
              </w:rPr>
            </w:pPr>
          </w:p>
        </w:tc>
        <w:tc>
          <w:tcPr>
            <w:tcW w:w="6436" w:type="dxa"/>
          </w:tcPr>
          <w:p w:rsidR="00703C92" w:rsidRPr="00F12A1B" w:rsidRDefault="00703C92" w:rsidP="004750D0">
            <w:pPr>
              <w:pStyle w:val="tvhtml"/>
              <w:jc w:val="both"/>
              <w:rPr>
                <w:rFonts w:ascii="Times New Roman" w:hAnsi="Times New Roman"/>
                <w:sz w:val="24"/>
                <w:szCs w:val="24"/>
                <w:lang w:val="lv-LV"/>
              </w:rPr>
            </w:pPr>
            <w:r>
              <w:rPr>
                <w:rFonts w:ascii="Times New Roman" w:hAnsi="Times New Roman"/>
                <w:color w:val="000000" w:themeColor="text1"/>
                <w:sz w:val="24"/>
                <w:szCs w:val="24"/>
                <w:lang w:val="lv-LV"/>
              </w:rPr>
              <w:t xml:space="preserve">Rīkojuma projekts izstrādāts atbilstoši </w:t>
            </w:r>
            <w:r w:rsidRPr="00A21389">
              <w:rPr>
                <w:rFonts w:ascii="Times New Roman" w:hAnsi="Times New Roman"/>
                <w:color w:val="000000" w:themeColor="text1"/>
                <w:sz w:val="24"/>
                <w:szCs w:val="24"/>
                <w:lang w:val="lv-LV"/>
              </w:rPr>
              <w:t xml:space="preserve">Latvijas Stratēģiskās attīstības plāna 2010.-2013.gadam (apstiprināts ar 09.04.2010. Ministru kabineta rīkojumu Nr.203) trešās prioritātes “Publiskās pārvaldes reformas” </w:t>
            </w:r>
            <w:r>
              <w:rPr>
                <w:rFonts w:ascii="Times New Roman" w:hAnsi="Times New Roman"/>
                <w:color w:val="000000" w:themeColor="text1"/>
                <w:sz w:val="24"/>
                <w:szCs w:val="24"/>
                <w:lang w:val="lv-LV"/>
              </w:rPr>
              <w:t>izvirzītajam</w:t>
            </w:r>
            <w:r w:rsidRPr="00A21389">
              <w:rPr>
                <w:rFonts w:ascii="Times New Roman" w:hAnsi="Times New Roman"/>
                <w:color w:val="000000" w:themeColor="text1"/>
                <w:sz w:val="24"/>
                <w:szCs w:val="24"/>
                <w:lang w:val="lv-LV"/>
              </w:rPr>
              <w:t xml:space="preserve"> rīcības virzien</w:t>
            </w:r>
            <w:r>
              <w:rPr>
                <w:rFonts w:ascii="Times New Roman" w:hAnsi="Times New Roman"/>
                <w:color w:val="000000" w:themeColor="text1"/>
                <w:sz w:val="24"/>
                <w:szCs w:val="24"/>
                <w:lang w:val="lv-LV"/>
              </w:rPr>
              <w:t>am</w:t>
            </w:r>
            <w:r w:rsidRPr="00A21389">
              <w:rPr>
                <w:rFonts w:ascii="Times New Roman" w:hAnsi="Times New Roman"/>
                <w:color w:val="000000" w:themeColor="text1"/>
                <w:sz w:val="24"/>
                <w:szCs w:val="24"/>
                <w:lang w:val="lv-LV"/>
              </w:rPr>
              <w:t xml:space="preserve"> - publiskās pārvaldes funkciju un pakalpojumu optimizēšana, kas sevī ietver  publiskās pārvaldes paka</w:t>
            </w:r>
            <w:r>
              <w:rPr>
                <w:rFonts w:ascii="Times New Roman" w:hAnsi="Times New Roman"/>
                <w:color w:val="000000" w:themeColor="text1"/>
                <w:sz w:val="24"/>
                <w:szCs w:val="24"/>
                <w:lang w:val="lv-LV"/>
              </w:rPr>
              <w:t>lpojumu un funkciju pārskatīšanu</w:t>
            </w:r>
            <w:r w:rsidRPr="00A21389">
              <w:rPr>
                <w:rFonts w:ascii="Times New Roman" w:hAnsi="Times New Roman"/>
                <w:color w:val="000000" w:themeColor="text1"/>
                <w:sz w:val="24"/>
                <w:szCs w:val="24"/>
                <w:lang w:val="lv-LV"/>
              </w:rPr>
              <w:t>, netipisko paka</w:t>
            </w:r>
            <w:r>
              <w:rPr>
                <w:rFonts w:ascii="Times New Roman" w:hAnsi="Times New Roman"/>
                <w:color w:val="000000" w:themeColor="text1"/>
                <w:sz w:val="24"/>
                <w:szCs w:val="24"/>
                <w:lang w:val="lv-LV"/>
              </w:rPr>
              <w:t>lpojumu un funkciju pārtraukšanu, vai nodošanu</w:t>
            </w:r>
            <w:r w:rsidRPr="00A21389">
              <w:rPr>
                <w:rFonts w:ascii="Times New Roman" w:hAnsi="Times New Roman"/>
                <w:color w:val="000000" w:themeColor="text1"/>
                <w:sz w:val="24"/>
                <w:szCs w:val="24"/>
                <w:lang w:val="lv-LV"/>
              </w:rPr>
              <w:t xml:space="preserve"> citam izpildītājam, kā arī </w:t>
            </w:r>
            <w:r>
              <w:rPr>
                <w:rFonts w:ascii="Times New Roman" w:hAnsi="Times New Roman"/>
                <w:sz w:val="24"/>
                <w:szCs w:val="24"/>
                <w:lang w:val="lv-LV"/>
              </w:rPr>
              <w:t>līdzīgo funkciju centralizēšanu (apvienošanu</w:t>
            </w:r>
            <w:r w:rsidRPr="00A21389">
              <w:rPr>
                <w:rFonts w:ascii="Times New Roman" w:hAnsi="Times New Roman"/>
                <w:sz w:val="24"/>
                <w:szCs w:val="24"/>
                <w:lang w:val="lv-LV"/>
              </w:rPr>
              <w:t>)</w:t>
            </w:r>
            <w:r>
              <w:rPr>
                <w:rFonts w:ascii="Times New Roman" w:hAnsi="Times New Roman"/>
                <w:sz w:val="24"/>
                <w:szCs w:val="24"/>
                <w:lang w:val="lv-LV"/>
              </w:rPr>
              <w:t>.</w:t>
            </w:r>
          </w:p>
        </w:tc>
      </w:tr>
      <w:tr w:rsidR="00703C92" w:rsidRPr="00BA3141" w:rsidTr="00D42719">
        <w:trPr>
          <w:trHeight w:val="472"/>
        </w:trPr>
        <w:tc>
          <w:tcPr>
            <w:tcW w:w="550" w:type="dxa"/>
          </w:tcPr>
          <w:p w:rsidR="00703C92" w:rsidRPr="007C0F2C" w:rsidRDefault="00703C92" w:rsidP="004750D0">
            <w:pPr>
              <w:pStyle w:val="naiskr"/>
              <w:spacing w:before="0" w:after="0"/>
              <w:rPr>
                <w:sz w:val="22"/>
                <w:szCs w:val="22"/>
              </w:rPr>
            </w:pPr>
            <w:r w:rsidRPr="007C0F2C">
              <w:rPr>
                <w:sz w:val="22"/>
                <w:szCs w:val="22"/>
              </w:rPr>
              <w:t>2.</w:t>
            </w:r>
          </w:p>
        </w:tc>
        <w:tc>
          <w:tcPr>
            <w:tcW w:w="2739" w:type="dxa"/>
          </w:tcPr>
          <w:p w:rsidR="00703C92" w:rsidRPr="007C0F2C" w:rsidRDefault="00703C92" w:rsidP="004750D0">
            <w:pPr>
              <w:pStyle w:val="naiskr"/>
              <w:tabs>
                <w:tab w:val="left" w:pos="170"/>
              </w:tabs>
              <w:spacing w:before="0" w:after="0"/>
              <w:rPr>
                <w:sz w:val="22"/>
                <w:szCs w:val="22"/>
              </w:rPr>
            </w:pPr>
            <w:r w:rsidRPr="007C0F2C">
              <w:rPr>
                <w:sz w:val="22"/>
                <w:szCs w:val="22"/>
              </w:rPr>
              <w:t>Pašreizējā situācija un problēmas</w:t>
            </w:r>
          </w:p>
        </w:tc>
        <w:tc>
          <w:tcPr>
            <w:tcW w:w="6436" w:type="dxa"/>
            <w:shd w:val="clear" w:color="auto" w:fill="auto"/>
          </w:tcPr>
          <w:p w:rsidR="00703C92" w:rsidRPr="00011AE2" w:rsidRDefault="00703C92" w:rsidP="004750D0">
            <w:pPr>
              <w:jc w:val="both"/>
            </w:pPr>
            <w:r w:rsidRPr="00011AE2">
              <w:t>2009.gadā tika realizēta Veselības ministrijas padotības iestāžu administratīvā r</w:t>
            </w:r>
            <w:r w:rsidR="003F3BBF">
              <w:t>eforma, reorganizējot un samazinot ministrijas padotībā esošo valsts pārvaldes iestāžu skaitu, optimizējot, tai skaitā arī centralizējot</w:t>
            </w:r>
            <w:r w:rsidR="002C33FB">
              <w:t>,</w:t>
            </w:r>
            <w:r w:rsidR="003F3BBF">
              <w:t xml:space="preserve"> valsts pārvaldes uzdevumu</w:t>
            </w:r>
            <w:r w:rsidR="00911808">
              <w:t xml:space="preserve"> veikšanu</w:t>
            </w:r>
            <w:r w:rsidR="003F3BBF">
              <w:t>.</w:t>
            </w:r>
            <w:r w:rsidR="00911808">
              <w:t xml:space="preserve"> J</w:t>
            </w:r>
            <w:r w:rsidRPr="00011AE2">
              <w:t xml:space="preserve">oprojām </w:t>
            </w:r>
            <w:r w:rsidR="00911808">
              <w:t xml:space="preserve"> vienas valsts pārvaldes funkcijas ietvaros</w:t>
            </w:r>
            <w:r w:rsidR="00911808" w:rsidRPr="00011AE2">
              <w:t xml:space="preserve"> </w:t>
            </w:r>
            <w:r w:rsidRPr="00011AE2">
              <w:t xml:space="preserve">pastāv </w:t>
            </w:r>
            <w:r w:rsidR="00911808">
              <w:t>noteiktu uzdevumu nodrošināšana vairākās valsts iestādēs.</w:t>
            </w:r>
            <w:r w:rsidRPr="00011AE2">
              <w:t xml:space="preserve"> Kā piemēram, vienas </w:t>
            </w:r>
            <w:r>
              <w:t>pamatfunkcijas</w:t>
            </w:r>
            <w:r w:rsidRPr="00011AE2">
              <w:t xml:space="preserve">, kas saistīta ar veselības aprūpes pakalpojumu pieejamības nodrošināšanu un veselības aprūpei paredzēto valsts budžeta līdzekļu izlietojumu, ietvaros  Veselības ekonomikas centrs un Veselības norēķinu centrs </w:t>
            </w:r>
            <w:r>
              <w:t>veic dažāda</w:t>
            </w:r>
            <w:r w:rsidRPr="00011AE2">
              <w:t xml:space="preserve">s  </w:t>
            </w:r>
            <w:r>
              <w:t>funkcijas un uzdevumus</w:t>
            </w:r>
            <w:r w:rsidRPr="00011AE2">
              <w:t>.</w:t>
            </w:r>
            <w:r w:rsidR="00911808">
              <w:t xml:space="preserve"> </w:t>
            </w:r>
          </w:p>
          <w:p w:rsidR="00703C92" w:rsidRDefault="00703C92" w:rsidP="00703C92">
            <w:pPr>
              <w:pStyle w:val="ListParagraph"/>
              <w:numPr>
                <w:ilvl w:val="0"/>
                <w:numId w:val="10"/>
              </w:numPr>
              <w:spacing w:after="0" w:line="240" w:lineRule="auto"/>
              <w:ind w:left="0" w:firstLine="360"/>
              <w:jc w:val="both"/>
              <w:rPr>
                <w:rFonts w:ascii="Times New Roman" w:hAnsi="Times New Roman"/>
                <w:sz w:val="24"/>
                <w:szCs w:val="24"/>
                <w:lang w:val="lv-LV"/>
              </w:rPr>
            </w:pPr>
            <w:r w:rsidRPr="002F47D1">
              <w:rPr>
                <w:rFonts w:ascii="Times New Roman" w:hAnsi="Times New Roman"/>
                <w:sz w:val="24"/>
                <w:szCs w:val="24"/>
                <w:lang w:val="lv-LV"/>
              </w:rPr>
              <w:t xml:space="preserve">Ja saskaņā ar  Ministru kabineta 2009.gada 6.oktobra noteikumu Nr.1149 „Veselības norēķinu centra nolikums” </w:t>
            </w:r>
            <w:r>
              <w:rPr>
                <w:rFonts w:ascii="Times New Roman" w:hAnsi="Times New Roman"/>
                <w:sz w:val="24"/>
                <w:szCs w:val="24"/>
                <w:lang w:val="lv-LV"/>
              </w:rPr>
              <w:t xml:space="preserve">(turpmāk tekstā Veselības norēķinu centra nolikums) 3.3.apakšpunktā </w:t>
            </w:r>
            <w:r w:rsidRPr="00836F31">
              <w:rPr>
                <w:rFonts w:ascii="Times New Roman" w:hAnsi="Times New Roman"/>
                <w:sz w:val="24"/>
                <w:szCs w:val="24"/>
                <w:lang w:val="lv-LV"/>
              </w:rPr>
              <w:t xml:space="preserve">noteikto Veselības norēķinu centrs </w:t>
            </w:r>
            <w:r w:rsidRPr="00836F31">
              <w:rPr>
                <w:rFonts w:ascii="Times New Roman" w:hAnsi="Times New Roman"/>
                <w:sz w:val="24"/>
                <w:szCs w:val="24"/>
                <w:u w:val="single"/>
                <w:lang w:val="lv-LV"/>
              </w:rPr>
              <w:t>analizē veselības aprūpes pakalpojumu finanšu un apjoma rādītājus, prognozē veselības aprūpes pakalpojumu apjomu un izvērtē šo pakalpojumu nepieciešamību</w:t>
            </w:r>
            <w:r w:rsidRPr="00836F31">
              <w:rPr>
                <w:rFonts w:ascii="Times New Roman" w:hAnsi="Times New Roman"/>
                <w:sz w:val="24"/>
                <w:szCs w:val="24"/>
                <w:lang w:val="lv-LV"/>
              </w:rPr>
              <w:t>, tad Veselības ekonomikas</w:t>
            </w:r>
            <w:r w:rsidRPr="002768FF">
              <w:rPr>
                <w:rFonts w:ascii="Times New Roman" w:hAnsi="Times New Roman"/>
                <w:sz w:val="24"/>
                <w:szCs w:val="24"/>
                <w:lang w:val="lv-LV"/>
              </w:rPr>
              <w:t xml:space="preserve"> centrs   </w:t>
            </w:r>
            <w:r w:rsidRPr="002768FF">
              <w:rPr>
                <w:rFonts w:ascii="Times New Roman" w:hAnsi="Times New Roman"/>
                <w:sz w:val="24"/>
                <w:szCs w:val="24"/>
                <w:u w:val="single"/>
                <w:lang w:val="lv-LV"/>
              </w:rPr>
              <w:t>izstrādā priekšlikumus un finanšu aprēķinus jaunu no valsts budžeta apmaksājamu veselības aprūpes pakalpojumu ieviešanai</w:t>
            </w:r>
            <w:r w:rsidRPr="002768FF">
              <w:rPr>
                <w:rFonts w:ascii="Times New Roman" w:hAnsi="Times New Roman"/>
                <w:sz w:val="24"/>
                <w:szCs w:val="24"/>
                <w:lang w:val="lv-LV"/>
              </w:rPr>
              <w:t xml:space="preserve">, pamatojoties uz veselības ekonomikas principiem, </w:t>
            </w:r>
            <w:r w:rsidRPr="002768FF">
              <w:rPr>
                <w:rFonts w:ascii="Times New Roman" w:hAnsi="Times New Roman"/>
                <w:sz w:val="24"/>
                <w:szCs w:val="24"/>
                <w:u w:val="single"/>
                <w:lang w:val="lv-LV"/>
              </w:rPr>
              <w:t>izstrādā priekšlikumus par veselības aprūpei piešķirtā finansējuma efektīvu izmantošanu, izstrādā veselības aprūpes pakalpojumu finansēšanas modeļus un nosaka no valsts budžeta līdzekļiem apmaksājamos veselības aprūpes pakalpojumu veidus</w:t>
            </w:r>
            <w:r w:rsidRPr="002768FF">
              <w:rPr>
                <w:rFonts w:ascii="Times New Roman" w:hAnsi="Times New Roman"/>
                <w:sz w:val="24"/>
                <w:szCs w:val="24"/>
                <w:lang w:val="lv-LV"/>
              </w:rPr>
              <w:t>,</w:t>
            </w:r>
            <w:r>
              <w:rPr>
                <w:rFonts w:ascii="Times New Roman" w:hAnsi="Times New Roman"/>
                <w:sz w:val="24"/>
                <w:szCs w:val="24"/>
                <w:lang w:val="lv-LV"/>
              </w:rPr>
              <w:t xml:space="preserve"> kā arī</w:t>
            </w:r>
            <w:r w:rsidRPr="00836F31">
              <w:rPr>
                <w:rFonts w:ascii="Times New Roman" w:hAnsi="Times New Roman"/>
                <w:sz w:val="24"/>
                <w:szCs w:val="24"/>
                <w:u w:val="single"/>
                <w:lang w:val="lv-LV"/>
              </w:rPr>
              <w:t xml:space="preserve"> </w:t>
            </w:r>
            <w:r>
              <w:rPr>
                <w:rFonts w:ascii="Times New Roman" w:hAnsi="Times New Roman"/>
                <w:sz w:val="24"/>
                <w:szCs w:val="24"/>
                <w:u w:val="single"/>
                <w:lang w:val="lv-LV"/>
              </w:rPr>
              <w:t xml:space="preserve">novērtē </w:t>
            </w:r>
            <w:r w:rsidRPr="00836F31">
              <w:rPr>
                <w:rFonts w:ascii="Times New Roman" w:hAnsi="Times New Roman"/>
                <w:sz w:val="24"/>
                <w:szCs w:val="24"/>
                <w:u w:val="single"/>
                <w:lang w:val="lv-LV"/>
              </w:rPr>
              <w:t>ārstniecībā lietojamo zāļu, medicīnisko ierīču un medicīnisko tehnoloģiju izmaksu efektivitāti</w:t>
            </w:r>
            <w:r w:rsidRPr="002768FF">
              <w:rPr>
                <w:rFonts w:ascii="Times New Roman" w:hAnsi="Times New Roman"/>
                <w:sz w:val="24"/>
                <w:szCs w:val="24"/>
                <w:lang w:val="lv-LV"/>
              </w:rPr>
              <w:t xml:space="preserve"> (Ministru kabineta 2009.gada 29.septembra noteikumu Nr.1119 „Veselības ekonomikas centra nolikums” </w:t>
            </w:r>
            <w:r>
              <w:rPr>
                <w:rFonts w:ascii="Times New Roman" w:hAnsi="Times New Roman"/>
                <w:sz w:val="24"/>
                <w:szCs w:val="24"/>
                <w:lang w:val="lv-LV"/>
              </w:rPr>
              <w:t>(turpmāk tekstā – Veselības ekonomikas centra nolikums) 3.2., 3.3.,</w:t>
            </w:r>
            <w:r w:rsidRPr="002768FF">
              <w:rPr>
                <w:rFonts w:ascii="Times New Roman" w:hAnsi="Times New Roman"/>
                <w:sz w:val="24"/>
                <w:szCs w:val="24"/>
                <w:lang w:val="lv-LV"/>
              </w:rPr>
              <w:t xml:space="preserve"> 3.4.</w:t>
            </w:r>
            <w:r>
              <w:rPr>
                <w:rFonts w:ascii="Times New Roman" w:hAnsi="Times New Roman"/>
                <w:sz w:val="24"/>
                <w:szCs w:val="24"/>
                <w:lang w:val="lv-LV"/>
              </w:rPr>
              <w:t xml:space="preserve"> un 3.6.</w:t>
            </w:r>
            <w:r w:rsidRPr="002768FF">
              <w:rPr>
                <w:rFonts w:ascii="Times New Roman" w:hAnsi="Times New Roman"/>
                <w:sz w:val="24"/>
                <w:szCs w:val="24"/>
                <w:lang w:val="lv-LV"/>
              </w:rPr>
              <w:t>apakšpunkts).</w:t>
            </w:r>
          </w:p>
          <w:p w:rsidR="00703C92" w:rsidRPr="004750D0" w:rsidRDefault="00703C92" w:rsidP="004750D0">
            <w:pPr>
              <w:pStyle w:val="ListParagraph"/>
              <w:numPr>
                <w:ilvl w:val="0"/>
                <w:numId w:val="10"/>
              </w:numPr>
              <w:spacing w:after="0" w:line="240" w:lineRule="auto"/>
              <w:ind w:left="0" w:firstLine="360"/>
              <w:jc w:val="both"/>
              <w:rPr>
                <w:rFonts w:ascii="Times New Roman" w:hAnsi="Times New Roman"/>
                <w:sz w:val="24"/>
                <w:szCs w:val="24"/>
                <w:lang w:val="lv-LV"/>
              </w:rPr>
            </w:pPr>
            <w:r w:rsidRPr="00836F31">
              <w:rPr>
                <w:rFonts w:ascii="Times New Roman" w:hAnsi="Times New Roman"/>
                <w:sz w:val="24"/>
                <w:szCs w:val="24"/>
                <w:lang w:val="lv-LV"/>
              </w:rPr>
              <w:t xml:space="preserve">Atbilstoši Veselības norēķinu centra nolikuma 3.1.apakšpunktam centrs </w:t>
            </w:r>
            <w:r w:rsidRPr="003D1788">
              <w:rPr>
                <w:rFonts w:ascii="Times New Roman" w:hAnsi="Times New Roman"/>
                <w:sz w:val="24"/>
                <w:szCs w:val="24"/>
                <w:lang w:val="lv-LV"/>
              </w:rPr>
              <w:t xml:space="preserve"> </w:t>
            </w:r>
            <w:r w:rsidRPr="00836F31">
              <w:rPr>
                <w:rFonts w:ascii="Times New Roman" w:hAnsi="Times New Roman"/>
                <w:sz w:val="24"/>
                <w:szCs w:val="24"/>
                <w:u w:val="single"/>
                <w:lang w:val="lv-LV"/>
              </w:rPr>
              <w:t>administrē veselības aprūpei paredzētos valsts budžeta līdzekļus</w:t>
            </w:r>
            <w:r w:rsidRPr="00836F31">
              <w:rPr>
                <w:rFonts w:ascii="Times New Roman" w:hAnsi="Times New Roman"/>
                <w:sz w:val="24"/>
                <w:szCs w:val="24"/>
                <w:lang w:val="lv-LV"/>
              </w:rPr>
              <w:t xml:space="preserve"> un saskaņā ar no</w:t>
            </w:r>
            <w:r>
              <w:rPr>
                <w:rFonts w:ascii="Times New Roman" w:hAnsi="Times New Roman"/>
                <w:sz w:val="24"/>
                <w:szCs w:val="24"/>
                <w:lang w:val="lv-LV"/>
              </w:rPr>
              <w:t xml:space="preserve">slēgtajiem līgumiem </w:t>
            </w:r>
            <w:r w:rsidRPr="00836F31">
              <w:rPr>
                <w:rFonts w:ascii="Times New Roman" w:hAnsi="Times New Roman"/>
                <w:sz w:val="24"/>
                <w:szCs w:val="24"/>
                <w:u w:val="single"/>
                <w:lang w:val="lv-LV"/>
              </w:rPr>
              <w:t>norēķinās par sniegtajiem veselības aprūpes pakalpojumiem, kā arī ambulatorajai ārstniecībai paredzētajām zālēm un medicī</w:t>
            </w:r>
            <w:r w:rsidRPr="00836F31">
              <w:rPr>
                <w:rFonts w:ascii="Times New Roman" w:hAnsi="Times New Roman"/>
                <w:sz w:val="24"/>
                <w:szCs w:val="24"/>
                <w:u w:val="single"/>
                <w:lang w:val="lv-LV"/>
              </w:rPr>
              <w:softHyphen/>
            </w:r>
            <w:r w:rsidRPr="00836F31">
              <w:rPr>
                <w:rFonts w:ascii="Times New Roman" w:hAnsi="Times New Roman"/>
                <w:sz w:val="24"/>
                <w:szCs w:val="24"/>
                <w:u w:val="single"/>
                <w:lang w:val="lv-LV"/>
              </w:rPr>
              <w:lastRenderedPageBreak/>
              <w:t>niskajām ierīcēm</w:t>
            </w:r>
            <w:r w:rsidRPr="00836F31">
              <w:rPr>
                <w:rFonts w:ascii="Times New Roman" w:hAnsi="Times New Roman"/>
                <w:sz w:val="24"/>
                <w:szCs w:val="24"/>
                <w:lang w:val="lv-LV"/>
              </w:rPr>
              <w:t xml:space="preserve">, savukārt </w:t>
            </w:r>
            <w:r w:rsidRPr="00620734">
              <w:rPr>
                <w:rFonts w:ascii="Times New Roman" w:hAnsi="Times New Roman"/>
                <w:sz w:val="24"/>
                <w:szCs w:val="24"/>
                <w:u w:val="single"/>
                <w:lang w:val="lv-LV"/>
              </w:rPr>
              <w:t>no valsts budžeta līdzekļiem apmaksājamo ārstniecībā lietojamo zāļu un medicīnisko ierīču sarakstus</w:t>
            </w:r>
            <w:r>
              <w:rPr>
                <w:rFonts w:ascii="Times New Roman" w:hAnsi="Times New Roman"/>
                <w:sz w:val="24"/>
                <w:szCs w:val="24"/>
                <w:lang w:val="lv-LV"/>
              </w:rPr>
              <w:t xml:space="preserve">, </w:t>
            </w:r>
            <w:r w:rsidRPr="00713D37">
              <w:rPr>
                <w:rFonts w:ascii="Times New Roman" w:hAnsi="Times New Roman"/>
                <w:sz w:val="24"/>
                <w:szCs w:val="24"/>
                <w:lang w:val="lv-LV"/>
              </w:rPr>
              <w:t xml:space="preserve">kā arī </w:t>
            </w:r>
            <w:r w:rsidRPr="00620734">
              <w:rPr>
                <w:rFonts w:ascii="Times New Roman" w:hAnsi="Times New Roman"/>
                <w:sz w:val="24"/>
                <w:szCs w:val="24"/>
                <w:u w:val="single"/>
                <w:lang w:val="lv-LV"/>
              </w:rPr>
              <w:t>apstiprināto medicīnisko tehnoloģiju uzskaites un no valsts budžeta līdzekļiem apmaksājamo medicīnisko tehnoloģiju datubāzi veido un uztur</w:t>
            </w:r>
            <w:r w:rsidRPr="00620734">
              <w:rPr>
                <w:rFonts w:ascii="Times New Roman" w:hAnsi="Times New Roman"/>
                <w:sz w:val="24"/>
                <w:szCs w:val="24"/>
                <w:lang w:val="lv-LV"/>
              </w:rPr>
              <w:t xml:space="preserve"> </w:t>
            </w:r>
            <w:r>
              <w:rPr>
                <w:rFonts w:ascii="Times New Roman" w:hAnsi="Times New Roman"/>
                <w:sz w:val="24"/>
                <w:szCs w:val="24"/>
                <w:lang w:val="lv-LV"/>
              </w:rPr>
              <w:t xml:space="preserve">Veselības ekonomikas centrs </w:t>
            </w:r>
            <w:r w:rsidRPr="00713D37">
              <w:rPr>
                <w:rFonts w:ascii="Times New Roman" w:hAnsi="Times New Roman"/>
                <w:sz w:val="24"/>
                <w:szCs w:val="24"/>
                <w:lang w:val="lv-LV"/>
              </w:rPr>
              <w:t>(Veselības ekonomikas centra nolikuma 3.7.</w:t>
            </w:r>
            <w:r>
              <w:rPr>
                <w:rFonts w:ascii="Times New Roman" w:hAnsi="Times New Roman"/>
                <w:sz w:val="24"/>
                <w:szCs w:val="24"/>
                <w:lang w:val="lv-LV"/>
              </w:rPr>
              <w:t xml:space="preserve"> un 3.8.apakšpunkts</w:t>
            </w:r>
            <w:r w:rsidRPr="00713D37">
              <w:rPr>
                <w:rFonts w:ascii="Times New Roman" w:hAnsi="Times New Roman"/>
                <w:sz w:val="24"/>
                <w:szCs w:val="24"/>
                <w:lang w:val="lv-LV"/>
              </w:rPr>
              <w:t>).</w:t>
            </w:r>
          </w:p>
          <w:p w:rsidR="00703C92" w:rsidRDefault="00703C92" w:rsidP="004750D0">
            <w:pPr>
              <w:pStyle w:val="ListParagraph"/>
              <w:spacing w:after="0" w:line="240" w:lineRule="auto"/>
              <w:ind w:left="0" w:firstLine="425"/>
              <w:jc w:val="both"/>
              <w:rPr>
                <w:lang w:val="lv-LV"/>
              </w:rPr>
            </w:pPr>
            <w:r>
              <w:rPr>
                <w:rFonts w:ascii="Times New Roman" w:hAnsi="Times New Roman"/>
                <w:sz w:val="24"/>
                <w:szCs w:val="24"/>
                <w:lang w:val="lv-LV"/>
              </w:rPr>
              <w:t xml:space="preserve">Šāda </w:t>
            </w:r>
            <w:r w:rsidR="008E2F8F">
              <w:rPr>
                <w:rFonts w:ascii="Times New Roman" w:hAnsi="Times New Roman"/>
                <w:sz w:val="24"/>
                <w:szCs w:val="24"/>
                <w:lang w:val="lv-LV"/>
              </w:rPr>
              <w:t xml:space="preserve">līdzīgu </w:t>
            </w:r>
            <w:r>
              <w:rPr>
                <w:rFonts w:ascii="Times New Roman" w:hAnsi="Times New Roman"/>
                <w:sz w:val="24"/>
                <w:szCs w:val="24"/>
                <w:lang w:val="lv-LV"/>
              </w:rPr>
              <w:t xml:space="preserve">funkciju </w:t>
            </w:r>
            <w:r w:rsidR="008E2F8F">
              <w:rPr>
                <w:rFonts w:ascii="Times New Roman" w:hAnsi="Times New Roman"/>
                <w:sz w:val="24"/>
                <w:szCs w:val="24"/>
                <w:lang w:val="lv-LV"/>
              </w:rPr>
              <w:t>nodrošināšana divās institūcijās</w:t>
            </w:r>
            <w:r>
              <w:rPr>
                <w:rFonts w:ascii="Times New Roman" w:hAnsi="Times New Roman"/>
                <w:sz w:val="24"/>
                <w:szCs w:val="24"/>
                <w:lang w:val="lv-LV"/>
              </w:rPr>
              <w:t xml:space="preserve"> rada</w:t>
            </w:r>
            <w:r w:rsidR="002C33FB">
              <w:rPr>
                <w:rFonts w:ascii="Times New Roman" w:hAnsi="Times New Roman"/>
                <w:sz w:val="24"/>
                <w:szCs w:val="24"/>
                <w:lang w:val="lv-LV"/>
              </w:rPr>
              <w:t xml:space="preserve"> papildus administratīvo slogu,</w:t>
            </w:r>
            <w:r>
              <w:rPr>
                <w:rFonts w:ascii="Times New Roman" w:hAnsi="Times New Roman"/>
                <w:sz w:val="24"/>
                <w:szCs w:val="24"/>
                <w:lang w:val="lv-LV"/>
              </w:rPr>
              <w:t xml:space="preserve"> kā arī neveicina koordinētu iesaistīto institūciju darbību </w:t>
            </w:r>
            <w:r w:rsidRPr="001C56DF">
              <w:rPr>
                <w:rFonts w:ascii="Times New Roman" w:hAnsi="Times New Roman"/>
                <w:sz w:val="24"/>
                <w:szCs w:val="24"/>
                <w:lang w:val="lv-LV"/>
              </w:rPr>
              <w:t>veselības ap</w:t>
            </w:r>
            <w:r>
              <w:rPr>
                <w:rFonts w:ascii="Times New Roman" w:hAnsi="Times New Roman"/>
                <w:sz w:val="24"/>
                <w:szCs w:val="24"/>
                <w:lang w:val="lv-LV"/>
              </w:rPr>
              <w:t>rūpes pakalpojumu nodrošināšanā</w:t>
            </w:r>
            <w:r w:rsidRPr="001C56DF">
              <w:rPr>
                <w:rFonts w:ascii="Times New Roman" w:hAnsi="Times New Roman"/>
                <w:sz w:val="24"/>
                <w:szCs w:val="24"/>
                <w:lang w:val="lv-LV"/>
              </w:rPr>
              <w:t xml:space="preserve"> un veselības aprūpei paredzēto v</w:t>
            </w:r>
            <w:r>
              <w:rPr>
                <w:rFonts w:ascii="Times New Roman" w:hAnsi="Times New Roman"/>
                <w:sz w:val="24"/>
                <w:szCs w:val="24"/>
                <w:lang w:val="lv-LV"/>
              </w:rPr>
              <w:t>alsts budžeta līdzekļu efektīvā izmantošanā.</w:t>
            </w:r>
            <w:r w:rsidR="00CC3583">
              <w:rPr>
                <w:rFonts w:ascii="Times New Roman" w:hAnsi="Times New Roman"/>
                <w:sz w:val="24"/>
                <w:szCs w:val="24"/>
                <w:lang w:val="lv-LV"/>
              </w:rPr>
              <w:t xml:space="preserve"> Lai palielinātu valsts budžeta līdzekļu izmantošanas efektivitāti, uzlabotu valsts pārvaldes </w:t>
            </w:r>
            <w:r w:rsidR="006D009D">
              <w:rPr>
                <w:rFonts w:ascii="Times New Roman" w:hAnsi="Times New Roman"/>
                <w:sz w:val="24"/>
                <w:szCs w:val="24"/>
                <w:lang w:val="lv-LV"/>
              </w:rPr>
              <w:t xml:space="preserve">iestāžu </w:t>
            </w:r>
            <w:r w:rsidR="00CC3583">
              <w:rPr>
                <w:rFonts w:ascii="Times New Roman" w:hAnsi="Times New Roman"/>
                <w:sz w:val="24"/>
                <w:szCs w:val="24"/>
                <w:lang w:val="lv-LV"/>
              </w:rPr>
              <w:t>darbības</w:t>
            </w:r>
            <w:r w:rsidR="008E2F8F">
              <w:rPr>
                <w:rFonts w:ascii="Times New Roman" w:hAnsi="Times New Roman"/>
                <w:sz w:val="24"/>
                <w:szCs w:val="24"/>
                <w:lang w:val="lv-LV"/>
              </w:rPr>
              <w:t xml:space="preserve"> </w:t>
            </w:r>
            <w:proofErr w:type="spellStart"/>
            <w:r w:rsidR="008E2F8F">
              <w:rPr>
                <w:rFonts w:ascii="Times New Roman" w:hAnsi="Times New Roman"/>
                <w:sz w:val="24"/>
                <w:szCs w:val="24"/>
                <w:lang w:val="lv-LV"/>
              </w:rPr>
              <w:t>pārredzamību</w:t>
            </w:r>
            <w:proofErr w:type="spellEnd"/>
            <w:r w:rsidR="008E2F8F">
              <w:rPr>
                <w:rFonts w:ascii="Times New Roman" w:hAnsi="Times New Roman"/>
                <w:sz w:val="24"/>
                <w:szCs w:val="24"/>
                <w:lang w:val="lv-LV"/>
              </w:rPr>
              <w:t xml:space="preserve"> un</w:t>
            </w:r>
            <w:r w:rsidR="006D009D">
              <w:rPr>
                <w:rFonts w:ascii="Times New Roman" w:hAnsi="Times New Roman"/>
                <w:sz w:val="24"/>
                <w:szCs w:val="24"/>
                <w:lang w:val="lv-LV"/>
              </w:rPr>
              <w:t xml:space="preserve"> </w:t>
            </w:r>
            <w:r w:rsidR="008E2F8F">
              <w:rPr>
                <w:rFonts w:ascii="Times New Roman" w:hAnsi="Times New Roman"/>
                <w:sz w:val="24"/>
                <w:szCs w:val="24"/>
                <w:lang w:val="lv-LV"/>
              </w:rPr>
              <w:t xml:space="preserve">nodrošinātu </w:t>
            </w:r>
            <w:r w:rsidR="00060264">
              <w:rPr>
                <w:rFonts w:ascii="Times New Roman" w:hAnsi="Times New Roman"/>
                <w:sz w:val="24"/>
                <w:szCs w:val="24"/>
                <w:lang w:val="lv-LV"/>
              </w:rPr>
              <w:t>labāku pakalpojumu pieejamību ie</w:t>
            </w:r>
            <w:r w:rsidR="008E2F8F">
              <w:rPr>
                <w:rFonts w:ascii="Times New Roman" w:hAnsi="Times New Roman"/>
                <w:sz w:val="24"/>
                <w:szCs w:val="24"/>
                <w:lang w:val="lv-LV"/>
              </w:rPr>
              <w:t xml:space="preserve">dzīvotājiem, </w:t>
            </w:r>
            <w:r w:rsidR="006D009D">
              <w:rPr>
                <w:rFonts w:ascii="Times New Roman" w:hAnsi="Times New Roman"/>
                <w:sz w:val="24"/>
                <w:szCs w:val="24"/>
                <w:lang w:val="lv-LV"/>
              </w:rPr>
              <w:t xml:space="preserve">nepieciešams </w:t>
            </w:r>
            <w:r w:rsidR="00A76503">
              <w:rPr>
                <w:rFonts w:ascii="Times New Roman" w:hAnsi="Times New Roman"/>
                <w:sz w:val="24"/>
                <w:szCs w:val="24"/>
                <w:lang w:val="lv-LV"/>
              </w:rPr>
              <w:t>veikt nākamos secīgos soļus valsts pārvaldes iestāžu darbības pilnveidošanai</w:t>
            </w:r>
            <w:r w:rsidR="006D009D">
              <w:rPr>
                <w:rFonts w:ascii="Times New Roman" w:hAnsi="Times New Roman"/>
                <w:sz w:val="24"/>
                <w:szCs w:val="24"/>
                <w:lang w:val="lv-LV"/>
              </w:rPr>
              <w:t>.</w:t>
            </w:r>
            <w:r w:rsidR="00CC3583">
              <w:rPr>
                <w:rFonts w:ascii="Times New Roman" w:hAnsi="Times New Roman"/>
                <w:sz w:val="24"/>
                <w:szCs w:val="24"/>
                <w:lang w:val="lv-LV"/>
              </w:rPr>
              <w:t xml:space="preserve"> </w:t>
            </w:r>
            <w:r w:rsidR="00A76503">
              <w:rPr>
                <w:rFonts w:ascii="Times New Roman" w:hAnsi="Times New Roman"/>
                <w:sz w:val="24"/>
                <w:szCs w:val="24"/>
                <w:lang w:val="lv-LV"/>
              </w:rPr>
              <w:t>Ievērojot minēto</w:t>
            </w:r>
            <w:r>
              <w:rPr>
                <w:rFonts w:ascii="Times New Roman" w:hAnsi="Times New Roman"/>
                <w:sz w:val="24"/>
                <w:szCs w:val="24"/>
                <w:lang w:val="lv-LV"/>
              </w:rPr>
              <w:t xml:space="preserve"> Rīkojuma projekts paredz reorganizēt </w:t>
            </w:r>
            <w:r w:rsidR="00A76503">
              <w:rPr>
                <w:rFonts w:ascii="Times New Roman" w:hAnsi="Times New Roman"/>
                <w:sz w:val="24"/>
                <w:szCs w:val="24"/>
                <w:lang w:val="lv-LV"/>
              </w:rPr>
              <w:t>Veselības ekonomikas centru un Veselības norēķinu centru</w:t>
            </w:r>
            <w:r>
              <w:rPr>
                <w:rFonts w:ascii="Times New Roman" w:hAnsi="Times New Roman"/>
                <w:sz w:val="24"/>
                <w:szCs w:val="24"/>
                <w:lang w:val="lv-LV"/>
              </w:rPr>
              <w:t xml:space="preserve">, izveidojot jaunu valsts pārvaldes iestādi – Nacionālais veselības dienests. </w:t>
            </w:r>
          </w:p>
          <w:p w:rsidR="00911808" w:rsidRDefault="00703C92" w:rsidP="004750D0">
            <w:pPr>
              <w:ind w:firstLine="425"/>
              <w:jc w:val="both"/>
            </w:pPr>
            <w:r w:rsidRPr="00255749">
              <w:t xml:space="preserve">Veselības ekonomikas centram </w:t>
            </w:r>
            <w:r w:rsidR="00911808">
              <w:t xml:space="preserve">ir deleģēta tāda </w:t>
            </w:r>
            <w:r w:rsidR="00911808" w:rsidRPr="00882DAA">
              <w:t>nozīmīga</w:t>
            </w:r>
            <w:r w:rsidR="00911808">
              <w:t xml:space="preserve"> veselības nozares funkcija</w:t>
            </w:r>
            <w:r w:rsidRPr="00255749">
              <w:t xml:space="preserve"> kā e</w:t>
            </w:r>
            <w:r w:rsidR="00911808">
              <w:t>-veselības politikas īstenošana, kuras</w:t>
            </w:r>
            <w:r w:rsidRPr="00255749">
              <w:t xml:space="preserve"> realizācija</w:t>
            </w:r>
            <w:r w:rsidR="008E2F8F">
              <w:t>i ir nepietiekama kapacitāte. I</w:t>
            </w:r>
            <w:r w:rsidRPr="00255749">
              <w:t xml:space="preserve">zvērtējot </w:t>
            </w:r>
            <w:r w:rsidR="00911808">
              <w:t xml:space="preserve">centra </w:t>
            </w:r>
            <w:r w:rsidRPr="00255749">
              <w:t>līdzšinējo darbību e-veselības politikas ieviešanā</w:t>
            </w:r>
            <w:r w:rsidR="002C33FB">
              <w:t>,</w:t>
            </w:r>
            <w:r w:rsidRPr="00255749">
              <w:t xml:space="preserve"> </w:t>
            </w:r>
            <w:r w:rsidR="00911808">
              <w:t xml:space="preserve">secināms, </w:t>
            </w:r>
            <w:r w:rsidRPr="00255749">
              <w:t>ka sekmīgas darbības turpināšanai nepieciešams</w:t>
            </w:r>
            <w:r w:rsidR="008E2F8F">
              <w:t xml:space="preserve"> palielināt </w:t>
            </w:r>
            <w:r w:rsidR="003B77A9">
              <w:t xml:space="preserve">līdzšinējo </w:t>
            </w:r>
            <w:r w:rsidR="008E2F8F">
              <w:t xml:space="preserve">e-veselības ieviešanas struktūrvienības </w:t>
            </w:r>
            <w:r w:rsidR="003B77A9">
              <w:t xml:space="preserve">kapacitāti, piesaistot  </w:t>
            </w:r>
            <w:r w:rsidRPr="00255749">
              <w:t xml:space="preserve"> </w:t>
            </w:r>
            <w:r w:rsidR="003B77A9">
              <w:t>papildus cilvēkresursus un izveidojot</w:t>
            </w:r>
            <w:r w:rsidR="00F94026">
              <w:t xml:space="preserve"> </w:t>
            </w:r>
            <w:r w:rsidRPr="00255749">
              <w:t>e-veselības departamentu.</w:t>
            </w:r>
            <w:r w:rsidR="00911808">
              <w:t xml:space="preserve"> </w:t>
            </w:r>
            <w:r w:rsidR="00CC3583">
              <w:t>Nosakot n</w:t>
            </w:r>
            <w:r w:rsidR="00911808">
              <w:t xml:space="preserve">epieciešamo personāla skaitu e-veselības </w:t>
            </w:r>
            <w:r w:rsidR="00CC3583">
              <w:t xml:space="preserve">politikas ieviešanai,  tika vērtēta arī </w:t>
            </w:r>
            <w:r w:rsidR="00A76503">
              <w:t>Igaunijas</w:t>
            </w:r>
            <w:r w:rsidR="00CC3583">
              <w:t xml:space="preserve"> </w:t>
            </w:r>
            <w:r w:rsidR="00A76503">
              <w:t>pieredze</w:t>
            </w:r>
            <w:r w:rsidR="00CC3583">
              <w:t xml:space="preserve">, kur e-veselības sistēmas ieviešanu nodrošina e-veselības fonds.  </w:t>
            </w:r>
            <w:r w:rsidRPr="00255749">
              <w:t xml:space="preserve"> </w:t>
            </w:r>
          </w:p>
          <w:p w:rsidR="00911808" w:rsidRDefault="00A76503" w:rsidP="00882DAA">
            <w:pPr>
              <w:ind w:firstLine="420"/>
              <w:jc w:val="both"/>
            </w:pPr>
            <w:r>
              <w:t xml:space="preserve">Kā arī atbilstoši Pacietu tiesību likumā noteiktajam ar 2012.gada 1.janvāri jāuzsāk darboties Ārstniecības riska fondam. Ievērojot minēto, </w:t>
            </w:r>
            <w:r w:rsidR="003B77A9">
              <w:t>Veselības norēķinu centrā</w:t>
            </w:r>
            <w:r>
              <w:t xml:space="preserve"> ir nepieciešams izveidot papildus struktūru, kas nodrošinās Ārstniecības riska fon</w:t>
            </w:r>
            <w:r w:rsidR="003B77A9">
              <w:t>da darbību, tai skaitā šī fonda</w:t>
            </w:r>
            <w:r>
              <w:t xml:space="preserve"> līdzekļu administrēšanu</w:t>
            </w:r>
            <w:r w:rsidR="00B71B08">
              <w:t>, pacientu ie</w:t>
            </w:r>
            <w:r w:rsidR="003B77A9">
              <w:t>sniegto prasību izvērtēšanu</w:t>
            </w:r>
            <w:r>
              <w:t xml:space="preserve"> un atlīdzību</w:t>
            </w:r>
            <w:r w:rsidR="003B77A9">
              <w:t xml:space="preserve"> izmaksu pacientiem par</w:t>
            </w:r>
            <w:r>
              <w:t xml:space="preserve"> dzīvībai vai veselībai nodarīto kaitējumu, kā arī par morālo kaitējumu.</w:t>
            </w:r>
          </w:p>
          <w:p w:rsidR="000D23AD" w:rsidRPr="00897636" w:rsidRDefault="00703C92" w:rsidP="00897636">
            <w:pPr>
              <w:ind w:firstLine="420"/>
              <w:jc w:val="both"/>
              <w:rPr>
                <w:rFonts w:asciiTheme="minorHAnsi" w:hAnsiTheme="minorHAnsi" w:cstheme="minorBidi"/>
              </w:rPr>
            </w:pPr>
            <w:r>
              <w:t>Veselības ekonomikas centra un Veselības norēķinu centra reorganizācijas rezultātā</w:t>
            </w:r>
            <w:r w:rsidR="003B77A9">
              <w:t xml:space="preserve"> samazināsies</w:t>
            </w:r>
            <w:r w:rsidR="00C94980">
              <w:t xml:space="preserve"> līdzvērtīgo amata vietu skaits</w:t>
            </w:r>
            <w:r>
              <w:t>,</w:t>
            </w:r>
            <w:r w:rsidR="00C94980">
              <w:t xml:space="preserve"> tomēr kopējo amata vietu skaitu</w:t>
            </w:r>
            <w:r>
              <w:t xml:space="preserve"> </w:t>
            </w:r>
            <w:r w:rsidR="00D42719">
              <w:t>ir</w:t>
            </w:r>
            <w:r w:rsidR="003B77A9">
              <w:t xml:space="preserve"> nepieciešams saglabāt, lai </w:t>
            </w:r>
            <w:r>
              <w:t xml:space="preserve">jaunizveidotajā Nacionālajā veselības dienestā </w:t>
            </w:r>
            <w:r w:rsidR="003B77A9">
              <w:t>izveidotu struktūrvienības</w:t>
            </w:r>
            <w:r w:rsidR="00C94980">
              <w:t>, kas nodrošinās Ārstniecības riska fonda darbību un e-veselības politikas īstenošanu valstī.</w:t>
            </w:r>
          </w:p>
        </w:tc>
      </w:tr>
      <w:tr w:rsidR="00703C92" w:rsidRPr="007C0F2C" w:rsidTr="00D42719">
        <w:trPr>
          <w:trHeight w:val="648"/>
        </w:trPr>
        <w:tc>
          <w:tcPr>
            <w:tcW w:w="550" w:type="dxa"/>
          </w:tcPr>
          <w:p w:rsidR="00703C92" w:rsidRPr="007C0F2C" w:rsidRDefault="00703C92" w:rsidP="004750D0">
            <w:pPr>
              <w:pStyle w:val="naiskr"/>
              <w:spacing w:before="0" w:after="0"/>
              <w:rPr>
                <w:sz w:val="22"/>
                <w:szCs w:val="22"/>
              </w:rPr>
            </w:pPr>
            <w:r w:rsidRPr="007C0F2C">
              <w:rPr>
                <w:sz w:val="22"/>
                <w:szCs w:val="22"/>
              </w:rPr>
              <w:lastRenderedPageBreak/>
              <w:t>3.</w:t>
            </w:r>
          </w:p>
        </w:tc>
        <w:tc>
          <w:tcPr>
            <w:tcW w:w="2739" w:type="dxa"/>
          </w:tcPr>
          <w:p w:rsidR="00703C92" w:rsidRPr="007C0F2C" w:rsidRDefault="00703C92" w:rsidP="004750D0">
            <w:pPr>
              <w:pStyle w:val="naiskr"/>
              <w:spacing w:before="0" w:after="0"/>
              <w:rPr>
                <w:sz w:val="22"/>
                <w:szCs w:val="22"/>
              </w:rPr>
            </w:pPr>
            <w:r w:rsidRPr="007C0F2C">
              <w:rPr>
                <w:sz w:val="22"/>
                <w:szCs w:val="22"/>
              </w:rPr>
              <w:t>Saistītie politikas ietekmes novērtējumi un pētījumi</w:t>
            </w:r>
          </w:p>
        </w:tc>
        <w:tc>
          <w:tcPr>
            <w:tcW w:w="6436" w:type="dxa"/>
            <w:vAlign w:val="center"/>
          </w:tcPr>
          <w:p w:rsidR="00703C92" w:rsidRPr="007C0F2C" w:rsidRDefault="00347019" w:rsidP="004750D0">
            <w:pPr>
              <w:pStyle w:val="FootnoteText"/>
              <w:rPr>
                <w:sz w:val="22"/>
                <w:szCs w:val="22"/>
              </w:rPr>
            </w:pPr>
            <w:r>
              <w:rPr>
                <w:sz w:val="22"/>
                <w:szCs w:val="22"/>
              </w:rPr>
              <w:t>Rīkojuma projekts šo jomu neskar</w:t>
            </w:r>
          </w:p>
        </w:tc>
      </w:tr>
      <w:tr w:rsidR="00703C92" w:rsidRPr="009B3577" w:rsidTr="00D42719">
        <w:trPr>
          <w:trHeight w:val="384"/>
        </w:trPr>
        <w:tc>
          <w:tcPr>
            <w:tcW w:w="550" w:type="dxa"/>
          </w:tcPr>
          <w:p w:rsidR="00703C92" w:rsidRPr="007C0F2C" w:rsidRDefault="00703C92" w:rsidP="004750D0">
            <w:pPr>
              <w:pStyle w:val="naiskr"/>
              <w:spacing w:before="0" w:after="0"/>
              <w:rPr>
                <w:sz w:val="22"/>
                <w:szCs w:val="22"/>
              </w:rPr>
            </w:pPr>
            <w:r w:rsidRPr="007C0F2C">
              <w:rPr>
                <w:sz w:val="22"/>
                <w:szCs w:val="22"/>
              </w:rPr>
              <w:t>4.</w:t>
            </w:r>
          </w:p>
        </w:tc>
        <w:tc>
          <w:tcPr>
            <w:tcW w:w="2739" w:type="dxa"/>
          </w:tcPr>
          <w:p w:rsidR="00703C92" w:rsidRPr="00D8710A" w:rsidRDefault="00703C92" w:rsidP="004750D0">
            <w:pPr>
              <w:pStyle w:val="naiskr"/>
              <w:spacing w:before="0" w:after="0"/>
            </w:pPr>
            <w:r w:rsidRPr="00D8710A">
              <w:t>Tiesiskā regulējuma mērķis un būtība</w:t>
            </w:r>
          </w:p>
        </w:tc>
        <w:tc>
          <w:tcPr>
            <w:tcW w:w="6436" w:type="dxa"/>
          </w:tcPr>
          <w:p w:rsidR="00703C92" w:rsidRDefault="00703C92" w:rsidP="004750D0">
            <w:pPr>
              <w:pStyle w:val="naiskr"/>
              <w:spacing w:before="0" w:after="0"/>
              <w:ind w:firstLine="420"/>
              <w:jc w:val="both"/>
            </w:pPr>
            <w:r w:rsidRPr="004750D0">
              <w:t>Rīkojuma projekts paredz reorganizēt (apvienot)</w:t>
            </w:r>
            <w:r w:rsidRPr="004750D0">
              <w:rPr>
                <w:bCs/>
              </w:rPr>
              <w:t xml:space="preserve"> Veselības norēķinu centru</w:t>
            </w:r>
            <w:r w:rsidRPr="004750D0">
              <w:t xml:space="preserve"> un </w:t>
            </w:r>
            <w:r w:rsidRPr="004750D0">
              <w:rPr>
                <w:bCs/>
              </w:rPr>
              <w:t>Veselības ekonomikas centru, kas ir</w:t>
            </w:r>
            <w:r w:rsidRPr="004750D0">
              <w:t xml:space="preserve"> veselības ministra pakļautībā esošās tiešās pārvaldes ies</w:t>
            </w:r>
            <w:r w:rsidR="009A0E0B">
              <w:t>tādes, un ar 2011.gada 1.novembri</w:t>
            </w:r>
            <w:r w:rsidRPr="004750D0">
              <w:t xml:space="preserve"> izveidot jaunu veselības ministra pakļautībā esošu tiešās pārvaldes iestād</w:t>
            </w:r>
            <w:r w:rsidR="00891310">
              <w:t xml:space="preserve">i – Nacionālo Veselības </w:t>
            </w:r>
            <w:r w:rsidR="00891310">
              <w:lastRenderedPageBreak/>
              <w:t>dienestu</w:t>
            </w:r>
            <w:r w:rsidRPr="004750D0">
              <w:t>.</w:t>
            </w:r>
          </w:p>
          <w:p w:rsidR="003A7F47" w:rsidRPr="004750D0" w:rsidRDefault="003A7F47" w:rsidP="004750D0">
            <w:pPr>
              <w:pStyle w:val="naiskr"/>
              <w:spacing w:before="0" w:after="0"/>
              <w:ind w:firstLine="420"/>
              <w:jc w:val="both"/>
            </w:pPr>
            <w:r w:rsidRPr="004750D0">
              <w:t xml:space="preserve">Rīkojuma projekta mērķis ir </w:t>
            </w:r>
            <w:r>
              <w:t>novērst situāciju, kad līdzīgas funkcijas nodrošināšana divas valsts pārvaldes iestādes.</w:t>
            </w:r>
          </w:p>
          <w:p w:rsidR="00703C92" w:rsidRPr="004750D0" w:rsidRDefault="00703C92" w:rsidP="004750D0">
            <w:pPr>
              <w:pStyle w:val="naiskr"/>
              <w:spacing w:before="0" w:after="0"/>
              <w:ind w:firstLine="420"/>
              <w:jc w:val="both"/>
            </w:pPr>
            <w:r w:rsidRPr="00F5208A">
              <w:t xml:space="preserve">Rīkojuma projekts uzdod veselības ministram </w:t>
            </w:r>
            <w:r w:rsidR="00F5208A" w:rsidRPr="00F5208A">
              <w:t xml:space="preserve"> nedēļas laikā pēc šī rīkojuma stāšanās spēkā </w:t>
            </w:r>
            <w:r w:rsidRPr="00F5208A">
              <w:t xml:space="preserve"> izveidot Veselības ekonomikas centra un</w:t>
            </w:r>
            <w:r w:rsidRPr="004750D0">
              <w:t xml:space="preserve"> Veselības norēķinu centra reorganizācijas komisiju.</w:t>
            </w:r>
          </w:p>
          <w:p w:rsidR="00703C92" w:rsidRDefault="00703C92" w:rsidP="004750D0">
            <w:pPr>
              <w:pStyle w:val="naiskr"/>
              <w:spacing w:before="0" w:after="0"/>
              <w:ind w:firstLine="420"/>
              <w:jc w:val="both"/>
            </w:pPr>
            <w:r w:rsidRPr="004750D0">
              <w:t xml:space="preserve">Rīkojuma projekts tiks realizēts 2011.gadā  Veselības ekonomikas centram un Veselības norēķinu centram piešķirto valsts budžeta līdzekļu ietvaros atbilstoši likumam „Par valsts budžetu 2011.gadam”. </w:t>
            </w:r>
          </w:p>
          <w:p w:rsidR="002C68B1" w:rsidRPr="002C68B1" w:rsidRDefault="002C68B1" w:rsidP="004750D0">
            <w:pPr>
              <w:pStyle w:val="naiskr"/>
              <w:spacing w:before="0" w:after="0"/>
              <w:ind w:firstLine="420"/>
              <w:jc w:val="both"/>
            </w:pPr>
            <w:r>
              <w:t>Rīkojuma projekts</w:t>
            </w:r>
            <w:r w:rsidRPr="002C68B1">
              <w:t xml:space="preserve"> atrisina 2.punktā minētās problēmas</w:t>
            </w:r>
            <w:r>
              <w:t>.</w:t>
            </w:r>
          </w:p>
        </w:tc>
      </w:tr>
      <w:tr w:rsidR="00703C92" w:rsidRPr="007C0F2C" w:rsidTr="00D42719">
        <w:trPr>
          <w:trHeight w:val="476"/>
        </w:trPr>
        <w:tc>
          <w:tcPr>
            <w:tcW w:w="550" w:type="dxa"/>
          </w:tcPr>
          <w:p w:rsidR="00703C92" w:rsidRPr="007C0F2C" w:rsidRDefault="00703C92" w:rsidP="004750D0">
            <w:pPr>
              <w:pStyle w:val="naiskr"/>
              <w:spacing w:before="0" w:after="0"/>
              <w:rPr>
                <w:sz w:val="22"/>
                <w:szCs w:val="22"/>
              </w:rPr>
            </w:pPr>
            <w:r w:rsidRPr="007C0F2C">
              <w:rPr>
                <w:sz w:val="22"/>
                <w:szCs w:val="22"/>
              </w:rPr>
              <w:lastRenderedPageBreak/>
              <w:t>5.</w:t>
            </w:r>
          </w:p>
        </w:tc>
        <w:tc>
          <w:tcPr>
            <w:tcW w:w="2739" w:type="dxa"/>
          </w:tcPr>
          <w:p w:rsidR="00703C92" w:rsidRPr="007C0F2C" w:rsidRDefault="00703C92" w:rsidP="004750D0">
            <w:pPr>
              <w:pStyle w:val="naiskr"/>
              <w:spacing w:before="0" w:after="0"/>
              <w:rPr>
                <w:sz w:val="22"/>
                <w:szCs w:val="22"/>
              </w:rPr>
            </w:pPr>
            <w:r w:rsidRPr="007C0F2C">
              <w:rPr>
                <w:sz w:val="22"/>
                <w:szCs w:val="22"/>
              </w:rPr>
              <w:t>Projekta izstrādē iesaistītās institūcijas</w:t>
            </w:r>
          </w:p>
        </w:tc>
        <w:tc>
          <w:tcPr>
            <w:tcW w:w="6436" w:type="dxa"/>
          </w:tcPr>
          <w:p w:rsidR="00703C92" w:rsidRPr="007C0F2C" w:rsidRDefault="00703C92" w:rsidP="004750D0">
            <w:pPr>
              <w:pStyle w:val="naiskr"/>
              <w:spacing w:before="0" w:after="0"/>
              <w:rPr>
                <w:sz w:val="22"/>
                <w:szCs w:val="22"/>
              </w:rPr>
            </w:pPr>
            <w:r>
              <w:rPr>
                <w:sz w:val="22"/>
                <w:szCs w:val="22"/>
              </w:rPr>
              <w:t>Rīkojuma projekts šo jomu neskar</w:t>
            </w:r>
          </w:p>
        </w:tc>
      </w:tr>
      <w:tr w:rsidR="00703C92" w:rsidRPr="00B10DF4" w:rsidTr="00D42719">
        <w:trPr>
          <w:trHeight w:val="719"/>
        </w:trPr>
        <w:tc>
          <w:tcPr>
            <w:tcW w:w="550" w:type="dxa"/>
          </w:tcPr>
          <w:p w:rsidR="00703C92" w:rsidRPr="007C0F2C" w:rsidRDefault="00703C92" w:rsidP="004750D0">
            <w:pPr>
              <w:pStyle w:val="naiskr"/>
              <w:spacing w:before="0" w:after="0"/>
              <w:rPr>
                <w:sz w:val="22"/>
                <w:szCs w:val="22"/>
              </w:rPr>
            </w:pPr>
            <w:r w:rsidRPr="007C0F2C">
              <w:rPr>
                <w:sz w:val="22"/>
                <w:szCs w:val="22"/>
              </w:rPr>
              <w:t>6.</w:t>
            </w:r>
          </w:p>
        </w:tc>
        <w:tc>
          <w:tcPr>
            <w:tcW w:w="2739" w:type="dxa"/>
          </w:tcPr>
          <w:p w:rsidR="00703C92" w:rsidRPr="007C0F2C" w:rsidRDefault="00703C92" w:rsidP="004750D0">
            <w:pPr>
              <w:pStyle w:val="naiskr"/>
              <w:spacing w:before="0" w:after="0"/>
              <w:rPr>
                <w:i/>
                <w:sz w:val="22"/>
                <w:szCs w:val="22"/>
                <w:highlight w:val="yellow"/>
              </w:rPr>
            </w:pPr>
            <w:r w:rsidRPr="007C0F2C">
              <w:rPr>
                <w:sz w:val="22"/>
                <w:szCs w:val="22"/>
              </w:rPr>
              <w:t>Iemesli, kādēļ netika nodrošināta sabiedrības līdzdalība</w:t>
            </w:r>
          </w:p>
        </w:tc>
        <w:tc>
          <w:tcPr>
            <w:tcW w:w="6436" w:type="dxa"/>
          </w:tcPr>
          <w:p w:rsidR="00703C92" w:rsidRPr="00B10DF4" w:rsidRDefault="00347019" w:rsidP="004750D0">
            <w:pPr>
              <w:pStyle w:val="FootnoteText"/>
              <w:rPr>
                <w:color w:val="FF0000"/>
              </w:rPr>
            </w:pPr>
            <w:r>
              <w:rPr>
                <w:sz w:val="22"/>
                <w:szCs w:val="22"/>
              </w:rPr>
              <w:t>Rīkojuma projekts šo jomu neskar</w:t>
            </w:r>
          </w:p>
        </w:tc>
      </w:tr>
      <w:tr w:rsidR="00703C92" w:rsidRPr="007C0F2C" w:rsidTr="00D42719">
        <w:tc>
          <w:tcPr>
            <w:tcW w:w="550" w:type="dxa"/>
          </w:tcPr>
          <w:p w:rsidR="00703C92" w:rsidRPr="007C0F2C" w:rsidRDefault="00703C92" w:rsidP="004750D0">
            <w:pPr>
              <w:pStyle w:val="naiskr"/>
              <w:spacing w:before="0" w:after="0"/>
              <w:rPr>
                <w:sz w:val="22"/>
                <w:szCs w:val="22"/>
              </w:rPr>
            </w:pPr>
            <w:r w:rsidRPr="007C0F2C">
              <w:rPr>
                <w:sz w:val="22"/>
                <w:szCs w:val="22"/>
              </w:rPr>
              <w:t>7.</w:t>
            </w:r>
          </w:p>
        </w:tc>
        <w:tc>
          <w:tcPr>
            <w:tcW w:w="2739" w:type="dxa"/>
          </w:tcPr>
          <w:p w:rsidR="00703C92" w:rsidRPr="007C0F2C" w:rsidRDefault="00703C92" w:rsidP="004750D0">
            <w:pPr>
              <w:pStyle w:val="naiskr"/>
              <w:spacing w:before="0" w:after="0"/>
              <w:rPr>
                <w:sz w:val="22"/>
                <w:szCs w:val="22"/>
              </w:rPr>
            </w:pPr>
            <w:r w:rsidRPr="007C0F2C">
              <w:rPr>
                <w:sz w:val="22"/>
                <w:szCs w:val="22"/>
              </w:rPr>
              <w:t>Cita informācija</w:t>
            </w:r>
          </w:p>
        </w:tc>
        <w:tc>
          <w:tcPr>
            <w:tcW w:w="6436" w:type="dxa"/>
          </w:tcPr>
          <w:p w:rsidR="00703C92" w:rsidRPr="007C0F2C" w:rsidRDefault="00703C92" w:rsidP="004750D0">
            <w:pPr>
              <w:pStyle w:val="naiskr"/>
              <w:spacing w:before="0" w:after="0"/>
              <w:rPr>
                <w:sz w:val="22"/>
                <w:szCs w:val="22"/>
              </w:rPr>
            </w:pPr>
            <w:r w:rsidRPr="007C0F2C">
              <w:rPr>
                <w:sz w:val="22"/>
                <w:szCs w:val="22"/>
              </w:rPr>
              <w:t>Nav</w:t>
            </w:r>
          </w:p>
        </w:tc>
      </w:tr>
    </w:tbl>
    <w:p w:rsidR="00B20563" w:rsidRDefault="00991D76" w:rsidP="00711B97">
      <w:pPr>
        <w:pStyle w:val="naisf"/>
        <w:spacing w:before="0" w:after="0"/>
        <w:ind w:firstLine="0"/>
        <w:jc w:val="center"/>
        <w:rPr>
          <w:i/>
          <w:sz w:val="28"/>
          <w:szCs w:val="28"/>
        </w:rPr>
      </w:pPr>
      <w:r>
        <w:rPr>
          <w:sz w:val="28"/>
          <w:szCs w:val="28"/>
        </w:rPr>
        <w:t>Anotācijas II</w:t>
      </w:r>
      <w:r w:rsidR="009379B9">
        <w:rPr>
          <w:sz w:val="28"/>
          <w:szCs w:val="28"/>
        </w:rPr>
        <w:t xml:space="preserve"> </w:t>
      </w:r>
      <w:r w:rsidR="00703C92" w:rsidRPr="009008AC">
        <w:rPr>
          <w:sz w:val="28"/>
          <w:szCs w:val="28"/>
        </w:rPr>
        <w:t>sadaļa –</w:t>
      </w:r>
      <w:r w:rsidR="00CC05C9">
        <w:rPr>
          <w:i/>
          <w:sz w:val="28"/>
          <w:szCs w:val="28"/>
        </w:rPr>
        <w:t xml:space="preserve"> </w:t>
      </w:r>
      <w:r>
        <w:rPr>
          <w:i/>
          <w:sz w:val="28"/>
          <w:szCs w:val="28"/>
        </w:rPr>
        <w:t>p</w:t>
      </w:r>
      <w:r w:rsidR="00703C92">
        <w:rPr>
          <w:i/>
          <w:sz w:val="28"/>
          <w:szCs w:val="28"/>
        </w:rPr>
        <w:t>rojekts šo jomu</w:t>
      </w:r>
      <w:r w:rsidR="00703C92" w:rsidRPr="008A4C10">
        <w:rPr>
          <w:i/>
          <w:sz w:val="28"/>
          <w:szCs w:val="28"/>
        </w:rPr>
        <w:t xml:space="preserve"> neskar.</w:t>
      </w:r>
    </w:p>
    <w:p w:rsidR="00711B97" w:rsidRPr="009A6346" w:rsidRDefault="00711B97" w:rsidP="00711B97">
      <w:pPr>
        <w:pStyle w:val="naisf"/>
        <w:spacing w:before="0" w:after="0"/>
        <w:ind w:firstLine="0"/>
        <w:jc w:val="center"/>
        <w:rPr>
          <w:i/>
          <w:sz w:val="28"/>
          <w:szCs w:val="28"/>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661"/>
        <w:gridCol w:w="1276"/>
        <w:gridCol w:w="1417"/>
        <w:gridCol w:w="1276"/>
        <w:gridCol w:w="1276"/>
        <w:gridCol w:w="1559"/>
      </w:tblGrid>
      <w:tr w:rsidR="004F5B51" w:rsidRPr="00DF14A5" w:rsidTr="00320667">
        <w:trPr>
          <w:jc w:val="center"/>
        </w:trPr>
        <w:tc>
          <w:tcPr>
            <w:tcW w:w="9465" w:type="dxa"/>
            <w:gridSpan w:val="6"/>
            <w:vAlign w:val="center"/>
          </w:tcPr>
          <w:p w:rsidR="004F5B51" w:rsidRPr="00DF14A5" w:rsidRDefault="004F5B51" w:rsidP="00320667">
            <w:pPr>
              <w:jc w:val="center"/>
              <w:rPr>
                <w:b/>
                <w:bCs/>
              </w:rPr>
            </w:pPr>
            <w:r w:rsidRPr="002729EE">
              <w:rPr>
                <w:b/>
                <w:bCs/>
              </w:rPr>
              <w:t>III. Tiesību akta projekta ietekme uz valsts budžetu un pašvaldību budžetiem</w:t>
            </w:r>
          </w:p>
        </w:tc>
      </w:tr>
      <w:tr w:rsidR="004F5B51" w:rsidRPr="002729EE" w:rsidTr="00320667">
        <w:trPr>
          <w:jc w:val="center"/>
        </w:trPr>
        <w:tc>
          <w:tcPr>
            <w:tcW w:w="2661" w:type="dxa"/>
            <w:vMerge w:val="restart"/>
            <w:vAlign w:val="center"/>
          </w:tcPr>
          <w:p w:rsidR="004F5B51" w:rsidRPr="002729EE" w:rsidRDefault="004F5B51" w:rsidP="00320667">
            <w:pPr>
              <w:jc w:val="center"/>
            </w:pPr>
            <w:r w:rsidRPr="002729EE">
              <w:rPr>
                <w:b/>
                <w:bCs/>
              </w:rPr>
              <w:t>Rādītāji</w:t>
            </w:r>
          </w:p>
        </w:tc>
        <w:tc>
          <w:tcPr>
            <w:tcW w:w="2693" w:type="dxa"/>
            <w:gridSpan w:val="2"/>
            <w:vMerge w:val="restart"/>
            <w:vAlign w:val="center"/>
          </w:tcPr>
          <w:p w:rsidR="004F5B51" w:rsidRPr="002729EE" w:rsidRDefault="004F5B51" w:rsidP="00320667">
            <w:pPr>
              <w:jc w:val="center"/>
            </w:pPr>
            <w:r w:rsidRPr="002729EE">
              <w:rPr>
                <w:b/>
                <w:bCs/>
              </w:rPr>
              <w:t>2011.gads</w:t>
            </w:r>
          </w:p>
        </w:tc>
        <w:tc>
          <w:tcPr>
            <w:tcW w:w="4111" w:type="dxa"/>
            <w:gridSpan w:val="3"/>
          </w:tcPr>
          <w:p w:rsidR="004F5B51" w:rsidRPr="002729EE" w:rsidRDefault="004F5B51" w:rsidP="00320667">
            <w:pPr>
              <w:tabs>
                <w:tab w:val="left" w:pos="3480"/>
              </w:tabs>
              <w:jc w:val="center"/>
              <w:rPr>
                <w:b/>
              </w:rPr>
            </w:pPr>
            <w:r w:rsidRPr="002729EE">
              <w:rPr>
                <w:b/>
              </w:rPr>
              <w:t>Turpmākie trīs gadi (tūkst</w:t>
            </w:r>
            <w:smartTag w:uri="schemas-tilde-lv/tildestengine" w:element="currency2">
              <w:smartTagPr>
                <w:attr w:name="currency_id" w:val="48"/>
                <w:attr w:name="currency_key" w:val="LVL"/>
                <w:attr w:name="currency_value" w:val="."/>
                <w:attr w:name="currency_text" w:val="latu"/>
              </w:smartTagPr>
              <w:r w:rsidRPr="002729EE">
                <w:rPr>
                  <w:b/>
                </w:rPr>
                <w:t>. latu</w:t>
              </w:r>
            </w:smartTag>
            <w:r w:rsidRPr="002729EE">
              <w:rPr>
                <w:b/>
              </w:rPr>
              <w:t>)</w:t>
            </w:r>
          </w:p>
        </w:tc>
      </w:tr>
      <w:tr w:rsidR="004F5B51" w:rsidRPr="002729EE" w:rsidTr="00320667">
        <w:trPr>
          <w:jc w:val="center"/>
        </w:trPr>
        <w:tc>
          <w:tcPr>
            <w:tcW w:w="2661" w:type="dxa"/>
            <w:vMerge/>
          </w:tcPr>
          <w:p w:rsidR="004F5B51" w:rsidRPr="002729EE" w:rsidRDefault="004F5B51" w:rsidP="00320667">
            <w:pPr>
              <w:jc w:val="both"/>
            </w:pPr>
          </w:p>
        </w:tc>
        <w:tc>
          <w:tcPr>
            <w:tcW w:w="2693" w:type="dxa"/>
            <w:gridSpan w:val="2"/>
            <w:vMerge/>
          </w:tcPr>
          <w:p w:rsidR="004F5B51" w:rsidRPr="002729EE" w:rsidRDefault="004F5B51" w:rsidP="00320667">
            <w:pPr>
              <w:jc w:val="both"/>
            </w:pPr>
          </w:p>
        </w:tc>
        <w:tc>
          <w:tcPr>
            <w:tcW w:w="1276" w:type="dxa"/>
          </w:tcPr>
          <w:p w:rsidR="004F5B51" w:rsidRPr="002729EE" w:rsidRDefault="004F5B51" w:rsidP="00320667">
            <w:r w:rsidRPr="002729EE">
              <w:rPr>
                <w:b/>
                <w:bCs/>
              </w:rPr>
              <w:t>2012.gads</w:t>
            </w:r>
          </w:p>
        </w:tc>
        <w:tc>
          <w:tcPr>
            <w:tcW w:w="1276" w:type="dxa"/>
          </w:tcPr>
          <w:p w:rsidR="004F5B51" w:rsidRPr="002729EE" w:rsidRDefault="004F5B51" w:rsidP="00320667">
            <w:pPr>
              <w:jc w:val="center"/>
            </w:pPr>
            <w:r w:rsidRPr="002729EE">
              <w:rPr>
                <w:b/>
                <w:bCs/>
              </w:rPr>
              <w:t>2013.gads</w:t>
            </w:r>
          </w:p>
        </w:tc>
        <w:tc>
          <w:tcPr>
            <w:tcW w:w="1559" w:type="dxa"/>
          </w:tcPr>
          <w:p w:rsidR="004F5B51" w:rsidRPr="002729EE" w:rsidRDefault="004F5B51" w:rsidP="00320667">
            <w:pPr>
              <w:ind w:right="4"/>
              <w:jc w:val="center"/>
            </w:pPr>
            <w:r w:rsidRPr="002729EE">
              <w:rPr>
                <w:b/>
                <w:bCs/>
              </w:rPr>
              <w:t>2014.gads</w:t>
            </w:r>
          </w:p>
        </w:tc>
      </w:tr>
      <w:tr w:rsidR="004F5B51" w:rsidRPr="002729EE" w:rsidTr="00320667">
        <w:trPr>
          <w:jc w:val="center"/>
        </w:trPr>
        <w:tc>
          <w:tcPr>
            <w:tcW w:w="2661" w:type="dxa"/>
            <w:vMerge/>
          </w:tcPr>
          <w:p w:rsidR="004F5B51" w:rsidRPr="002729EE" w:rsidRDefault="004F5B51" w:rsidP="00320667">
            <w:pPr>
              <w:jc w:val="both"/>
            </w:pPr>
          </w:p>
        </w:tc>
        <w:tc>
          <w:tcPr>
            <w:tcW w:w="1276" w:type="dxa"/>
            <w:vAlign w:val="center"/>
          </w:tcPr>
          <w:p w:rsidR="004F5B51" w:rsidRPr="002729EE" w:rsidRDefault="004F5B51" w:rsidP="00320667">
            <w:pPr>
              <w:jc w:val="center"/>
            </w:pPr>
            <w:r w:rsidRPr="002729EE">
              <w:t>Saskaņā ar valsts budžetu kārtējam gadam</w:t>
            </w:r>
          </w:p>
        </w:tc>
        <w:tc>
          <w:tcPr>
            <w:tcW w:w="1417" w:type="dxa"/>
            <w:vAlign w:val="center"/>
          </w:tcPr>
          <w:p w:rsidR="004F5B51" w:rsidRPr="002729EE" w:rsidRDefault="004F5B51" w:rsidP="00320667">
            <w:pPr>
              <w:ind w:left="-61"/>
              <w:jc w:val="center"/>
            </w:pPr>
            <w:r w:rsidRPr="002729EE">
              <w:t>Izmaiņas kārtējā gadā, salīdzinot ar budžetu kārtējam gadam</w:t>
            </w:r>
          </w:p>
        </w:tc>
        <w:tc>
          <w:tcPr>
            <w:tcW w:w="1276" w:type="dxa"/>
            <w:vAlign w:val="center"/>
          </w:tcPr>
          <w:p w:rsidR="004F5B51" w:rsidRPr="002729EE" w:rsidRDefault="004F5B51" w:rsidP="00320667">
            <w:pPr>
              <w:ind w:left="-108"/>
              <w:jc w:val="center"/>
            </w:pPr>
            <w:r w:rsidRPr="002729EE">
              <w:t>Izmaiņas, salīdzinot ar kārtējo (n) gadu</w:t>
            </w:r>
          </w:p>
        </w:tc>
        <w:tc>
          <w:tcPr>
            <w:tcW w:w="1276" w:type="dxa"/>
            <w:vAlign w:val="center"/>
          </w:tcPr>
          <w:p w:rsidR="004F5B51" w:rsidRPr="002729EE" w:rsidRDefault="004F5B51" w:rsidP="00320667">
            <w:pPr>
              <w:tabs>
                <w:tab w:val="left" w:pos="0"/>
              </w:tabs>
              <w:ind w:right="-108"/>
              <w:jc w:val="center"/>
            </w:pPr>
            <w:r w:rsidRPr="002729EE">
              <w:t>Izmaiņas, salīdzinot ar kārtējo (n) gadu</w:t>
            </w:r>
          </w:p>
        </w:tc>
        <w:tc>
          <w:tcPr>
            <w:tcW w:w="1559" w:type="dxa"/>
            <w:vAlign w:val="center"/>
          </w:tcPr>
          <w:p w:rsidR="004F5B51" w:rsidRPr="002729EE" w:rsidRDefault="004F5B51" w:rsidP="00320667">
            <w:pPr>
              <w:jc w:val="center"/>
            </w:pPr>
            <w:r w:rsidRPr="002729EE">
              <w:t>Izmaiņas, salīdzinot ar kārtējo (n) gadu</w:t>
            </w:r>
          </w:p>
        </w:tc>
      </w:tr>
      <w:tr w:rsidR="004F5B51" w:rsidRPr="007F6B67" w:rsidTr="00320667">
        <w:trPr>
          <w:jc w:val="center"/>
        </w:trPr>
        <w:tc>
          <w:tcPr>
            <w:tcW w:w="2661" w:type="dxa"/>
          </w:tcPr>
          <w:p w:rsidR="004F5B51" w:rsidRPr="007F6B67" w:rsidRDefault="004F5B51" w:rsidP="00320667">
            <w:pPr>
              <w:jc w:val="center"/>
              <w:rPr>
                <w:sz w:val="16"/>
                <w:szCs w:val="16"/>
              </w:rPr>
            </w:pPr>
            <w:r w:rsidRPr="007F6B67">
              <w:rPr>
                <w:sz w:val="16"/>
                <w:szCs w:val="16"/>
              </w:rPr>
              <w:t>1</w:t>
            </w:r>
          </w:p>
        </w:tc>
        <w:tc>
          <w:tcPr>
            <w:tcW w:w="1276" w:type="dxa"/>
          </w:tcPr>
          <w:p w:rsidR="004F5B51" w:rsidRPr="007F6B67" w:rsidRDefault="004F5B51" w:rsidP="00320667">
            <w:pPr>
              <w:jc w:val="center"/>
              <w:rPr>
                <w:sz w:val="16"/>
                <w:szCs w:val="16"/>
              </w:rPr>
            </w:pPr>
            <w:r w:rsidRPr="007F6B67">
              <w:rPr>
                <w:sz w:val="16"/>
                <w:szCs w:val="16"/>
              </w:rPr>
              <w:t>2</w:t>
            </w:r>
          </w:p>
        </w:tc>
        <w:tc>
          <w:tcPr>
            <w:tcW w:w="1417" w:type="dxa"/>
          </w:tcPr>
          <w:p w:rsidR="004F5B51" w:rsidRPr="007F6B67" w:rsidRDefault="004F5B51" w:rsidP="00320667">
            <w:pPr>
              <w:jc w:val="center"/>
              <w:rPr>
                <w:sz w:val="16"/>
                <w:szCs w:val="16"/>
              </w:rPr>
            </w:pPr>
            <w:r w:rsidRPr="007F6B67">
              <w:rPr>
                <w:sz w:val="16"/>
                <w:szCs w:val="16"/>
              </w:rPr>
              <w:t>3</w:t>
            </w:r>
          </w:p>
        </w:tc>
        <w:tc>
          <w:tcPr>
            <w:tcW w:w="1276" w:type="dxa"/>
          </w:tcPr>
          <w:p w:rsidR="004F5B51" w:rsidRPr="007F6B67" w:rsidRDefault="004F5B51" w:rsidP="00320667">
            <w:pPr>
              <w:jc w:val="center"/>
              <w:rPr>
                <w:sz w:val="16"/>
                <w:szCs w:val="16"/>
              </w:rPr>
            </w:pPr>
            <w:r w:rsidRPr="007F6B67">
              <w:rPr>
                <w:sz w:val="16"/>
                <w:szCs w:val="16"/>
              </w:rPr>
              <w:t>4</w:t>
            </w:r>
          </w:p>
        </w:tc>
        <w:tc>
          <w:tcPr>
            <w:tcW w:w="1276" w:type="dxa"/>
          </w:tcPr>
          <w:p w:rsidR="004F5B51" w:rsidRPr="007F6B67" w:rsidRDefault="004F5B51" w:rsidP="00320667">
            <w:pPr>
              <w:jc w:val="center"/>
              <w:rPr>
                <w:sz w:val="16"/>
                <w:szCs w:val="16"/>
              </w:rPr>
            </w:pPr>
            <w:r w:rsidRPr="007F6B67">
              <w:rPr>
                <w:sz w:val="16"/>
                <w:szCs w:val="16"/>
              </w:rPr>
              <w:t>5</w:t>
            </w:r>
          </w:p>
        </w:tc>
        <w:tc>
          <w:tcPr>
            <w:tcW w:w="1559" w:type="dxa"/>
          </w:tcPr>
          <w:p w:rsidR="004F5B51" w:rsidRPr="007F6B67" w:rsidRDefault="004F5B51" w:rsidP="00320667">
            <w:pPr>
              <w:jc w:val="center"/>
              <w:rPr>
                <w:sz w:val="16"/>
                <w:szCs w:val="16"/>
              </w:rPr>
            </w:pPr>
            <w:r w:rsidRPr="007F6B67">
              <w:rPr>
                <w:sz w:val="16"/>
                <w:szCs w:val="16"/>
              </w:rPr>
              <w:t>6</w:t>
            </w:r>
          </w:p>
        </w:tc>
      </w:tr>
      <w:tr w:rsidR="004F5B51" w:rsidRPr="002729EE" w:rsidTr="00320667">
        <w:trPr>
          <w:jc w:val="center"/>
        </w:trPr>
        <w:tc>
          <w:tcPr>
            <w:tcW w:w="2661" w:type="dxa"/>
          </w:tcPr>
          <w:p w:rsidR="004F5B51" w:rsidRPr="007D1F49" w:rsidRDefault="004F5B51" w:rsidP="00320667">
            <w:pPr>
              <w:jc w:val="both"/>
              <w:rPr>
                <w:b/>
              </w:rPr>
            </w:pPr>
            <w:r w:rsidRPr="007D1F49">
              <w:rPr>
                <w:b/>
              </w:rPr>
              <w:t>1. Budžeta ieņēmumi:</w:t>
            </w:r>
          </w:p>
        </w:tc>
        <w:tc>
          <w:tcPr>
            <w:tcW w:w="1276" w:type="dxa"/>
          </w:tcPr>
          <w:p w:rsidR="004F5B51" w:rsidRPr="007F6B67" w:rsidRDefault="004F5B51" w:rsidP="00320667">
            <w:pPr>
              <w:jc w:val="center"/>
              <w:rPr>
                <w:b/>
                <w:sz w:val="20"/>
                <w:szCs w:val="20"/>
              </w:rPr>
            </w:pPr>
            <w:r>
              <w:rPr>
                <w:b/>
              </w:rPr>
              <w:t>4 356,9</w:t>
            </w:r>
          </w:p>
        </w:tc>
        <w:tc>
          <w:tcPr>
            <w:tcW w:w="1417" w:type="dxa"/>
          </w:tcPr>
          <w:p w:rsidR="004F5B51" w:rsidRPr="007F6B67" w:rsidRDefault="004F5B51" w:rsidP="00320667">
            <w:pPr>
              <w:jc w:val="center"/>
              <w:rPr>
                <w:b/>
              </w:rPr>
            </w:pPr>
            <w:r w:rsidRPr="007F6B67">
              <w:rPr>
                <w:b/>
              </w:rPr>
              <w:t>0</w:t>
            </w:r>
          </w:p>
        </w:tc>
        <w:tc>
          <w:tcPr>
            <w:tcW w:w="1276" w:type="dxa"/>
          </w:tcPr>
          <w:p w:rsidR="004F5B51" w:rsidRPr="002729EE" w:rsidRDefault="004F5B51" w:rsidP="00320667">
            <w:pPr>
              <w:jc w:val="center"/>
              <w:rPr>
                <w:b/>
              </w:rPr>
            </w:pPr>
            <w:r w:rsidRPr="002729EE">
              <w:rPr>
                <w:b/>
              </w:rPr>
              <w:t>0</w:t>
            </w:r>
          </w:p>
        </w:tc>
        <w:tc>
          <w:tcPr>
            <w:tcW w:w="1276" w:type="dxa"/>
          </w:tcPr>
          <w:p w:rsidR="004F5B51" w:rsidRPr="002729EE" w:rsidRDefault="004F5B51" w:rsidP="00320667">
            <w:pPr>
              <w:jc w:val="center"/>
              <w:rPr>
                <w:b/>
              </w:rPr>
            </w:pPr>
            <w:r w:rsidRPr="002729EE">
              <w:rPr>
                <w:b/>
              </w:rPr>
              <w:t>0</w:t>
            </w:r>
          </w:p>
        </w:tc>
        <w:tc>
          <w:tcPr>
            <w:tcW w:w="1559" w:type="dxa"/>
          </w:tcPr>
          <w:p w:rsidR="004F5B51" w:rsidRPr="002729EE" w:rsidRDefault="004F5B51" w:rsidP="00320667">
            <w:pPr>
              <w:jc w:val="center"/>
              <w:rPr>
                <w:b/>
              </w:rPr>
            </w:pPr>
            <w:r w:rsidRPr="002729EE">
              <w:rPr>
                <w:b/>
              </w:rPr>
              <w:t>0</w:t>
            </w:r>
          </w:p>
        </w:tc>
      </w:tr>
      <w:tr w:rsidR="004F5B51" w:rsidRPr="002729EE" w:rsidTr="00320667">
        <w:trPr>
          <w:jc w:val="center"/>
        </w:trPr>
        <w:tc>
          <w:tcPr>
            <w:tcW w:w="2661" w:type="dxa"/>
          </w:tcPr>
          <w:p w:rsidR="004F5B51" w:rsidRPr="002729EE" w:rsidRDefault="004F5B51" w:rsidP="00320667">
            <w:r w:rsidRPr="002729EE">
              <w:t>1.1. valsts pamatbudžets, tai skaitā ieņēmumi no maksas pakalpojumiem un citi pašu ieņēmumi</w:t>
            </w:r>
          </w:p>
        </w:tc>
        <w:tc>
          <w:tcPr>
            <w:tcW w:w="1276" w:type="dxa"/>
          </w:tcPr>
          <w:p w:rsidR="004F5B51" w:rsidRPr="007F6B67" w:rsidRDefault="004F5B51" w:rsidP="00320667">
            <w:pPr>
              <w:jc w:val="center"/>
            </w:pPr>
            <w:r>
              <w:t>3 513,8</w:t>
            </w:r>
          </w:p>
          <w:p w:rsidR="004F5B51" w:rsidRPr="007F6B67" w:rsidRDefault="004F5B51" w:rsidP="00320667">
            <w:pPr>
              <w:jc w:val="center"/>
            </w:pPr>
          </w:p>
          <w:p w:rsidR="004F5B51" w:rsidRPr="007F6B67" w:rsidRDefault="004F5B51" w:rsidP="00320667">
            <w:pPr>
              <w:jc w:val="center"/>
            </w:pPr>
          </w:p>
          <w:p w:rsidR="004F5B51" w:rsidRPr="007F6B67" w:rsidRDefault="004F5B51" w:rsidP="00320667">
            <w:pPr>
              <w:jc w:val="center"/>
            </w:pPr>
            <w:r>
              <w:t>843,1</w:t>
            </w:r>
          </w:p>
        </w:tc>
        <w:tc>
          <w:tcPr>
            <w:tcW w:w="1417" w:type="dxa"/>
          </w:tcPr>
          <w:p w:rsidR="004F5B51" w:rsidRPr="007F6B67" w:rsidRDefault="004F5B51" w:rsidP="00320667">
            <w:pPr>
              <w:jc w:val="center"/>
            </w:pPr>
            <w:r w:rsidRPr="007F6B67">
              <w:t>0</w:t>
            </w:r>
          </w:p>
        </w:tc>
        <w:tc>
          <w:tcPr>
            <w:tcW w:w="1276" w:type="dxa"/>
          </w:tcPr>
          <w:p w:rsidR="004F5B51" w:rsidRPr="002729EE" w:rsidRDefault="004F5B51" w:rsidP="00320667">
            <w:pPr>
              <w:jc w:val="center"/>
            </w:pPr>
            <w:r w:rsidRPr="002729EE">
              <w:t>0</w:t>
            </w:r>
          </w:p>
        </w:tc>
        <w:tc>
          <w:tcPr>
            <w:tcW w:w="1276" w:type="dxa"/>
          </w:tcPr>
          <w:p w:rsidR="004F5B51" w:rsidRPr="002729EE" w:rsidRDefault="004F5B51" w:rsidP="00320667">
            <w:pPr>
              <w:jc w:val="center"/>
            </w:pPr>
            <w:r w:rsidRPr="002729EE">
              <w:t>0</w:t>
            </w:r>
          </w:p>
        </w:tc>
        <w:tc>
          <w:tcPr>
            <w:tcW w:w="1559" w:type="dxa"/>
          </w:tcPr>
          <w:p w:rsidR="004F5B51" w:rsidRPr="002729EE" w:rsidRDefault="004F5B51" w:rsidP="00320667">
            <w:pPr>
              <w:jc w:val="center"/>
            </w:pPr>
            <w:r w:rsidRPr="002729EE">
              <w:t>0</w:t>
            </w:r>
          </w:p>
        </w:tc>
      </w:tr>
      <w:tr w:rsidR="004F5B51" w:rsidRPr="002729EE" w:rsidTr="00320667">
        <w:trPr>
          <w:jc w:val="center"/>
        </w:trPr>
        <w:tc>
          <w:tcPr>
            <w:tcW w:w="2661" w:type="dxa"/>
          </w:tcPr>
          <w:p w:rsidR="004F5B51" w:rsidRPr="002729EE" w:rsidRDefault="004F5B51" w:rsidP="00320667">
            <w:r w:rsidRPr="002729EE">
              <w:t>1.2. valsts speciālais budžets</w:t>
            </w:r>
          </w:p>
        </w:tc>
        <w:tc>
          <w:tcPr>
            <w:tcW w:w="1276" w:type="dxa"/>
          </w:tcPr>
          <w:p w:rsidR="004F5B51" w:rsidRPr="007F6B67" w:rsidRDefault="004F5B51" w:rsidP="00320667">
            <w:pPr>
              <w:jc w:val="center"/>
            </w:pPr>
            <w:r w:rsidRPr="007F6B67">
              <w:t>0</w:t>
            </w:r>
          </w:p>
        </w:tc>
        <w:tc>
          <w:tcPr>
            <w:tcW w:w="1417" w:type="dxa"/>
          </w:tcPr>
          <w:p w:rsidR="004F5B51" w:rsidRPr="007F6B67" w:rsidRDefault="004F5B51" w:rsidP="00320667">
            <w:pPr>
              <w:jc w:val="center"/>
            </w:pPr>
            <w:r w:rsidRPr="007F6B67">
              <w:t>0</w:t>
            </w:r>
          </w:p>
        </w:tc>
        <w:tc>
          <w:tcPr>
            <w:tcW w:w="1276" w:type="dxa"/>
          </w:tcPr>
          <w:p w:rsidR="004F5B51" w:rsidRPr="002729EE" w:rsidRDefault="004F5B51" w:rsidP="00320667">
            <w:pPr>
              <w:jc w:val="center"/>
            </w:pPr>
            <w:r w:rsidRPr="002729EE">
              <w:t>0</w:t>
            </w:r>
          </w:p>
        </w:tc>
        <w:tc>
          <w:tcPr>
            <w:tcW w:w="1276" w:type="dxa"/>
          </w:tcPr>
          <w:p w:rsidR="004F5B51" w:rsidRPr="002729EE" w:rsidRDefault="004F5B51" w:rsidP="00320667">
            <w:pPr>
              <w:jc w:val="center"/>
            </w:pPr>
            <w:r w:rsidRPr="002729EE">
              <w:t>0</w:t>
            </w:r>
          </w:p>
        </w:tc>
        <w:tc>
          <w:tcPr>
            <w:tcW w:w="1559" w:type="dxa"/>
          </w:tcPr>
          <w:p w:rsidR="004F5B51" w:rsidRPr="002729EE" w:rsidRDefault="004F5B51" w:rsidP="00320667">
            <w:pPr>
              <w:jc w:val="center"/>
            </w:pPr>
            <w:r w:rsidRPr="002729EE">
              <w:t>0</w:t>
            </w:r>
          </w:p>
        </w:tc>
      </w:tr>
      <w:tr w:rsidR="004F5B51" w:rsidRPr="002729EE" w:rsidTr="00320667">
        <w:trPr>
          <w:jc w:val="center"/>
        </w:trPr>
        <w:tc>
          <w:tcPr>
            <w:tcW w:w="2661" w:type="dxa"/>
          </w:tcPr>
          <w:p w:rsidR="004F5B51" w:rsidRPr="002729EE" w:rsidRDefault="004F5B51" w:rsidP="00320667">
            <w:pPr>
              <w:jc w:val="both"/>
            </w:pPr>
            <w:r w:rsidRPr="002729EE">
              <w:t>1.3. pašvaldību budžets</w:t>
            </w:r>
          </w:p>
        </w:tc>
        <w:tc>
          <w:tcPr>
            <w:tcW w:w="1276" w:type="dxa"/>
          </w:tcPr>
          <w:p w:rsidR="004F5B51" w:rsidRPr="007F6B67" w:rsidRDefault="004F5B51" w:rsidP="00320667">
            <w:pPr>
              <w:jc w:val="center"/>
            </w:pPr>
            <w:r w:rsidRPr="007F6B67">
              <w:t>0</w:t>
            </w:r>
          </w:p>
        </w:tc>
        <w:tc>
          <w:tcPr>
            <w:tcW w:w="1417" w:type="dxa"/>
          </w:tcPr>
          <w:p w:rsidR="004F5B51" w:rsidRPr="007F6B67" w:rsidRDefault="004F5B51" w:rsidP="00320667">
            <w:pPr>
              <w:jc w:val="center"/>
            </w:pPr>
            <w:r w:rsidRPr="007F6B67">
              <w:t>0</w:t>
            </w:r>
          </w:p>
        </w:tc>
        <w:tc>
          <w:tcPr>
            <w:tcW w:w="1276" w:type="dxa"/>
          </w:tcPr>
          <w:p w:rsidR="004F5B51" w:rsidRPr="002729EE" w:rsidRDefault="004F5B51" w:rsidP="00320667">
            <w:pPr>
              <w:jc w:val="center"/>
            </w:pPr>
            <w:r w:rsidRPr="002729EE">
              <w:t>0</w:t>
            </w:r>
          </w:p>
        </w:tc>
        <w:tc>
          <w:tcPr>
            <w:tcW w:w="1276" w:type="dxa"/>
          </w:tcPr>
          <w:p w:rsidR="004F5B51" w:rsidRPr="002729EE" w:rsidRDefault="004F5B51" w:rsidP="00320667">
            <w:pPr>
              <w:jc w:val="center"/>
            </w:pPr>
            <w:r w:rsidRPr="002729EE">
              <w:t>0</w:t>
            </w:r>
          </w:p>
        </w:tc>
        <w:tc>
          <w:tcPr>
            <w:tcW w:w="1559" w:type="dxa"/>
          </w:tcPr>
          <w:p w:rsidR="004F5B51" w:rsidRPr="002729EE" w:rsidRDefault="004F5B51" w:rsidP="00320667">
            <w:pPr>
              <w:jc w:val="center"/>
            </w:pPr>
            <w:r w:rsidRPr="002729EE">
              <w:t>0</w:t>
            </w:r>
          </w:p>
        </w:tc>
      </w:tr>
      <w:tr w:rsidR="004F5B51" w:rsidRPr="002729EE" w:rsidTr="00320667">
        <w:trPr>
          <w:jc w:val="center"/>
        </w:trPr>
        <w:tc>
          <w:tcPr>
            <w:tcW w:w="2661" w:type="dxa"/>
          </w:tcPr>
          <w:p w:rsidR="004F5B51" w:rsidRPr="007D1F49" w:rsidRDefault="004F5B51" w:rsidP="00320667">
            <w:pPr>
              <w:jc w:val="both"/>
              <w:rPr>
                <w:b/>
              </w:rPr>
            </w:pPr>
            <w:r w:rsidRPr="007D1F49">
              <w:rPr>
                <w:b/>
              </w:rPr>
              <w:t>2. Budžeta izdevumi:</w:t>
            </w:r>
          </w:p>
        </w:tc>
        <w:tc>
          <w:tcPr>
            <w:tcW w:w="1276" w:type="dxa"/>
          </w:tcPr>
          <w:p w:rsidR="004F5B51" w:rsidRPr="007F6B67" w:rsidRDefault="004F5B51" w:rsidP="00320667">
            <w:pPr>
              <w:jc w:val="center"/>
              <w:rPr>
                <w:b/>
                <w:sz w:val="20"/>
                <w:szCs w:val="20"/>
              </w:rPr>
            </w:pPr>
            <w:r>
              <w:rPr>
                <w:b/>
              </w:rPr>
              <w:t>4 424,4</w:t>
            </w:r>
          </w:p>
        </w:tc>
        <w:tc>
          <w:tcPr>
            <w:tcW w:w="1417" w:type="dxa"/>
          </w:tcPr>
          <w:p w:rsidR="004F5B51" w:rsidRPr="007F6B67" w:rsidRDefault="004F5B51" w:rsidP="00320667">
            <w:pPr>
              <w:jc w:val="center"/>
              <w:rPr>
                <w:b/>
              </w:rPr>
            </w:pPr>
            <w:r w:rsidRPr="007F6B67">
              <w:rPr>
                <w:b/>
              </w:rPr>
              <w:t>0</w:t>
            </w:r>
          </w:p>
        </w:tc>
        <w:tc>
          <w:tcPr>
            <w:tcW w:w="1276" w:type="dxa"/>
          </w:tcPr>
          <w:p w:rsidR="004F5B51" w:rsidRPr="002729EE" w:rsidRDefault="004F5B51" w:rsidP="00320667">
            <w:pPr>
              <w:jc w:val="center"/>
              <w:rPr>
                <w:b/>
              </w:rPr>
            </w:pPr>
            <w:r w:rsidRPr="002729EE">
              <w:rPr>
                <w:b/>
              </w:rPr>
              <w:t>0</w:t>
            </w:r>
          </w:p>
        </w:tc>
        <w:tc>
          <w:tcPr>
            <w:tcW w:w="1276" w:type="dxa"/>
          </w:tcPr>
          <w:p w:rsidR="004F5B51" w:rsidRPr="002729EE" w:rsidRDefault="004F5B51" w:rsidP="00320667">
            <w:pPr>
              <w:jc w:val="center"/>
              <w:rPr>
                <w:b/>
              </w:rPr>
            </w:pPr>
            <w:r w:rsidRPr="002729EE">
              <w:rPr>
                <w:b/>
              </w:rPr>
              <w:t>0</w:t>
            </w:r>
          </w:p>
        </w:tc>
        <w:tc>
          <w:tcPr>
            <w:tcW w:w="1559" w:type="dxa"/>
          </w:tcPr>
          <w:p w:rsidR="004F5B51" w:rsidRPr="002729EE" w:rsidRDefault="004F5B51" w:rsidP="00320667">
            <w:pPr>
              <w:jc w:val="center"/>
              <w:rPr>
                <w:b/>
              </w:rPr>
            </w:pPr>
            <w:r w:rsidRPr="002729EE">
              <w:rPr>
                <w:b/>
              </w:rPr>
              <w:t>0</w:t>
            </w:r>
          </w:p>
        </w:tc>
      </w:tr>
      <w:tr w:rsidR="004F5B51" w:rsidRPr="002729EE" w:rsidTr="00320667">
        <w:trPr>
          <w:jc w:val="center"/>
        </w:trPr>
        <w:tc>
          <w:tcPr>
            <w:tcW w:w="2661" w:type="dxa"/>
          </w:tcPr>
          <w:p w:rsidR="004F5B51" w:rsidRPr="002729EE" w:rsidRDefault="004F5B51" w:rsidP="00320667">
            <w:pPr>
              <w:jc w:val="both"/>
            </w:pPr>
            <w:r w:rsidRPr="002729EE">
              <w:t>2.1. valsts pamatbudžets</w:t>
            </w:r>
          </w:p>
        </w:tc>
        <w:tc>
          <w:tcPr>
            <w:tcW w:w="1276" w:type="dxa"/>
          </w:tcPr>
          <w:p w:rsidR="004F5B51" w:rsidRPr="007F6B67" w:rsidRDefault="004F5B51" w:rsidP="00320667">
            <w:pPr>
              <w:jc w:val="center"/>
            </w:pPr>
            <w:r>
              <w:t>4 424,4</w:t>
            </w:r>
          </w:p>
        </w:tc>
        <w:tc>
          <w:tcPr>
            <w:tcW w:w="1417" w:type="dxa"/>
          </w:tcPr>
          <w:p w:rsidR="004F5B51" w:rsidRPr="007F6B67" w:rsidRDefault="004F5B51" w:rsidP="00320667">
            <w:pPr>
              <w:jc w:val="center"/>
            </w:pPr>
            <w:r w:rsidRPr="007F6B67">
              <w:t>0</w:t>
            </w:r>
          </w:p>
        </w:tc>
        <w:tc>
          <w:tcPr>
            <w:tcW w:w="1276" w:type="dxa"/>
          </w:tcPr>
          <w:p w:rsidR="004F5B51" w:rsidRPr="002729EE" w:rsidRDefault="004F5B51" w:rsidP="00320667">
            <w:pPr>
              <w:jc w:val="center"/>
            </w:pPr>
            <w:r w:rsidRPr="002729EE">
              <w:t>0</w:t>
            </w:r>
          </w:p>
        </w:tc>
        <w:tc>
          <w:tcPr>
            <w:tcW w:w="1276" w:type="dxa"/>
          </w:tcPr>
          <w:p w:rsidR="004F5B51" w:rsidRPr="002729EE" w:rsidRDefault="004F5B51" w:rsidP="00320667">
            <w:pPr>
              <w:jc w:val="center"/>
            </w:pPr>
            <w:r w:rsidRPr="002729EE">
              <w:t>0</w:t>
            </w:r>
          </w:p>
        </w:tc>
        <w:tc>
          <w:tcPr>
            <w:tcW w:w="1559" w:type="dxa"/>
          </w:tcPr>
          <w:p w:rsidR="004F5B51" w:rsidRPr="002729EE" w:rsidRDefault="004F5B51" w:rsidP="00320667">
            <w:pPr>
              <w:jc w:val="center"/>
            </w:pPr>
            <w:r w:rsidRPr="002729EE">
              <w:t>0</w:t>
            </w:r>
          </w:p>
        </w:tc>
      </w:tr>
      <w:tr w:rsidR="004F5B51" w:rsidRPr="002729EE" w:rsidTr="00320667">
        <w:trPr>
          <w:jc w:val="center"/>
        </w:trPr>
        <w:tc>
          <w:tcPr>
            <w:tcW w:w="2661" w:type="dxa"/>
          </w:tcPr>
          <w:p w:rsidR="004F5B51" w:rsidRPr="002729EE" w:rsidRDefault="004F5B51" w:rsidP="00320667">
            <w:r w:rsidRPr="002729EE">
              <w:t>2.2. valsts speciālais budžets</w:t>
            </w:r>
          </w:p>
        </w:tc>
        <w:tc>
          <w:tcPr>
            <w:tcW w:w="1276" w:type="dxa"/>
          </w:tcPr>
          <w:p w:rsidR="004F5B51" w:rsidRPr="007F6B67" w:rsidRDefault="004F5B51" w:rsidP="00320667">
            <w:pPr>
              <w:jc w:val="center"/>
            </w:pPr>
            <w:r w:rsidRPr="007F6B67">
              <w:t>0</w:t>
            </w:r>
          </w:p>
        </w:tc>
        <w:tc>
          <w:tcPr>
            <w:tcW w:w="1417" w:type="dxa"/>
          </w:tcPr>
          <w:p w:rsidR="004F5B51" w:rsidRPr="007F6B67" w:rsidRDefault="004F5B51" w:rsidP="00320667">
            <w:pPr>
              <w:jc w:val="center"/>
            </w:pPr>
            <w:r w:rsidRPr="007F6B67">
              <w:t>0</w:t>
            </w:r>
          </w:p>
        </w:tc>
        <w:tc>
          <w:tcPr>
            <w:tcW w:w="1276" w:type="dxa"/>
          </w:tcPr>
          <w:p w:rsidR="004F5B51" w:rsidRPr="002729EE" w:rsidRDefault="004F5B51" w:rsidP="00320667">
            <w:pPr>
              <w:jc w:val="center"/>
            </w:pPr>
            <w:r w:rsidRPr="002729EE">
              <w:t>0</w:t>
            </w:r>
          </w:p>
        </w:tc>
        <w:tc>
          <w:tcPr>
            <w:tcW w:w="1276" w:type="dxa"/>
          </w:tcPr>
          <w:p w:rsidR="004F5B51" w:rsidRPr="002729EE" w:rsidRDefault="004F5B51" w:rsidP="00320667">
            <w:pPr>
              <w:jc w:val="center"/>
            </w:pPr>
            <w:r w:rsidRPr="002729EE">
              <w:t>0</w:t>
            </w:r>
          </w:p>
        </w:tc>
        <w:tc>
          <w:tcPr>
            <w:tcW w:w="1559" w:type="dxa"/>
          </w:tcPr>
          <w:p w:rsidR="004F5B51" w:rsidRPr="002729EE" w:rsidRDefault="004F5B51" w:rsidP="00320667">
            <w:pPr>
              <w:jc w:val="center"/>
            </w:pPr>
            <w:r w:rsidRPr="002729EE">
              <w:t>0</w:t>
            </w:r>
          </w:p>
        </w:tc>
      </w:tr>
      <w:tr w:rsidR="004F5B51" w:rsidRPr="002729EE" w:rsidTr="00320667">
        <w:trPr>
          <w:jc w:val="center"/>
        </w:trPr>
        <w:tc>
          <w:tcPr>
            <w:tcW w:w="2661" w:type="dxa"/>
          </w:tcPr>
          <w:p w:rsidR="004F5B51" w:rsidRPr="002729EE" w:rsidRDefault="004F5B51" w:rsidP="00320667">
            <w:pPr>
              <w:jc w:val="both"/>
            </w:pPr>
            <w:r w:rsidRPr="002729EE">
              <w:t>2.3. pašvaldību budžets</w:t>
            </w:r>
          </w:p>
        </w:tc>
        <w:tc>
          <w:tcPr>
            <w:tcW w:w="1276" w:type="dxa"/>
          </w:tcPr>
          <w:p w:rsidR="004F5B51" w:rsidRPr="007F6B67" w:rsidRDefault="004F5B51" w:rsidP="00320667">
            <w:pPr>
              <w:jc w:val="center"/>
            </w:pPr>
            <w:r w:rsidRPr="007F6B67">
              <w:t>0</w:t>
            </w:r>
          </w:p>
        </w:tc>
        <w:tc>
          <w:tcPr>
            <w:tcW w:w="1417" w:type="dxa"/>
          </w:tcPr>
          <w:p w:rsidR="004F5B51" w:rsidRPr="007F6B67" w:rsidRDefault="004F5B51" w:rsidP="00320667">
            <w:pPr>
              <w:jc w:val="center"/>
            </w:pPr>
            <w:r w:rsidRPr="007F6B67">
              <w:t>0</w:t>
            </w:r>
          </w:p>
        </w:tc>
        <w:tc>
          <w:tcPr>
            <w:tcW w:w="1276" w:type="dxa"/>
          </w:tcPr>
          <w:p w:rsidR="004F5B51" w:rsidRPr="002729EE" w:rsidRDefault="004F5B51" w:rsidP="00320667">
            <w:pPr>
              <w:jc w:val="center"/>
            </w:pPr>
            <w:r w:rsidRPr="002729EE">
              <w:t>0</w:t>
            </w:r>
          </w:p>
        </w:tc>
        <w:tc>
          <w:tcPr>
            <w:tcW w:w="1276" w:type="dxa"/>
          </w:tcPr>
          <w:p w:rsidR="004F5B51" w:rsidRPr="002729EE" w:rsidRDefault="004F5B51" w:rsidP="00320667">
            <w:pPr>
              <w:jc w:val="center"/>
            </w:pPr>
            <w:r w:rsidRPr="002729EE">
              <w:t>0</w:t>
            </w:r>
          </w:p>
        </w:tc>
        <w:tc>
          <w:tcPr>
            <w:tcW w:w="1559" w:type="dxa"/>
          </w:tcPr>
          <w:p w:rsidR="004F5B51" w:rsidRPr="002729EE" w:rsidRDefault="004F5B51" w:rsidP="00320667">
            <w:pPr>
              <w:jc w:val="center"/>
            </w:pPr>
            <w:r w:rsidRPr="002729EE">
              <w:t>0</w:t>
            </w:r>
          </w:p>
        </w:tc>
      </w:tr>
      <w:tr w:rsidR="004F5B51" w:rsidRPr="002729EE" w:rsidTr="00320667">
        <w:trPr>
          <w:jc w:val="center"/>
        </w:trPr>
        <w:tc>
          <w:tcPr>
            <w:tcW w:w="2661" w:type="dxa"/>
          </w:tcPr>
          <w:p w:rsidR="004F5B51" w:rsidRPr="007D1F49" w:rsidRDefault="004F5B51" w:rsidP="00320667">
            <w:pPr>
              <w:jc w:val="both"/>
              <w:rPr>
                <w:b/>
              </w:rPr>
            </w:pPr>
            <w:r w:rsidRPr="007D1F49">
              <w:rPr>
                <w:b/>
              </w:rPr>
              <w:t>3. Finansiālā ietekme:</w:t>
            </w:r>
          </w:p>
        </w:tc>
        <w:tc>
          <w:tcPr>
            <w:tcW w:w="1276" w:type="dxa"/>
          </w:tcPr>
          <w:p w:rsidR="004F5B51" w:rsidRPr="007F6B67" w:rsidRDefault="004F5B51" w:rsidP="00320667">
            <w:pPr>
              <w:jc w:val="center"/>
              <w:rPr>
                <w:b/>
              </w:rPr>
            </w:pPr>
            <w:r>
              <w:rPr>
                <w:b/>
              </w:rPr>
              <w:t>-67,5</w:t>
            </w:r>
          </w:p>
        </w:tc>
        <w:tc>
          <w:tcPr>
            <w:tcW w:w="1417" w:type="dxa"/>
          </w:tcPr>
          <w:p w:rsidR="004F5B51" w:rsidRPr="007F6B67" w:rsidRDefault="004F5B51" w:rsidP="00320667">
            <w:pPr>
              <w:jc w:val="center"/>
              <w:rPr>
                <w:b/>
              </w:rPr>
            </w:pPr>
            <w:r w:rsidRPr="007F6B67">
              <w:rPr>
                <w:b/>
              </w:rPr>
              <w:t>0</w:t>
            </w:r>
          </w:p>
        </w:tc>
        <w:tc>
          <w:tcPr>
            <w:tcW w:w="1276" w:type="dxa"/>
          </w:tcPr>
          <w:p w:rsidR="004F5B51" w:rsidRPr="002729EE" w:rsidRDefault="004F5B51" w:rsidP="00320667">
            <w:pPr>
              <w:jc w:val="center"/>
              <w:rPr>
                <w:b/>
              </w:rPr>
            </w:pPr>
            <w:r w:rsidRPr="002729EE">
              <w:rPr>
                <w:b/>
              </w:rPr>
              <w:t>0</w:t>
            </w:r>
          </w:p>
        </w:tc>
        <w:tc>
          <w:tcPr>
            <w:tcW w:w="1276" w:type="dxa"/>
          </w:tcPr>
          <w:p w:rsidR="004F5B51" w:rsidRPr="002729EE" w:rsidRDefault="004F5B51" w:rsidP="00320667">
            <w:pPr>
              <w:jc w:val="center"/>
              <w:rPr>
                <w:b/>
              </w:rPr>
            </w:pPr>
            <w:r w:rsidRPr="002729EE">
              <w:rPr>
                <w:b/>
              </w:rPr>
              <w:t>0</w:t>
            </w:r>
          </w:p>
        </w:tc>
        <w:tc>
          <w:tcPr>
            <w:tcW w:w="1559" w:type="dxa"/>
          </w:tcPr>
          <w:p w:rsidR="004F5B51" w:rsidRPr="002729EE" w:rsidRDefault="004F5B51" w:rsidP="00320667">
            <w:pPr>
              <w:jc w:val="center"/>
              <w:rPr>
                <w:b/>
              </w:rPr>
            </w:pPr>
            <w:r w:rsidRPr="002729EE">
              <w:rPr>
                <w:b/>
              </w:rPr>
              <w:t>0</w:t>
            </w:r>
          </w:p>
        </w:tc>
      </w:tr>
      <w:tr w:rsidR="004F5B51" w:rsidRPr="002729EE" w:rsidTr="00320667">
        <w:trPr>
          <w:jc w:val="center"/>
        </w:trPr>
        <w:tc>
          <w:tcPr>
            <w:tcW w:w="2661" w:type="dxa"/>
          </w:tcPr>
          <w:p w:rsidR="004F5B51" w:rsidRPr="002729EE" w:rsidRDefault="004F5B51" w:rsidP="00320667">
            <w:pPr>
              <w:jc w:val="both"/>
            </w:pPr>
            <w:r w:rsidRPr="002729EE">
              <w:t>3.1. valsts pamatbudžets</w:t>
            </w:r>
          </w:p>
        </w:tc>
        <w:tc>
          <w:tcPr>
            <w:tcW w:w="1276" w:type="dxa"/>
          </w:tcPr>
          <w:p w:rsidR="004F5B51" w:rsidRPr="007F6B67" w:rsidRDefault="004F5B51" w:rsidP="00320667">
            <w:pPr>
              <w:jc w:val="center"/>
            </w:pPr>
            <w:r>
              <w:t>-67,5</w:t>
            </w:r>
          </w:p>
        </w:tc>
        <w:tc>
          <w:tcPr>
            <w:tcW w:w="1417" w:type="dxa"/>
          </w:tcPr>
          <w:p w:rsidR="004F5B51" w:rsidRPr="007F6B67" w:rsidRDefault="004F5B51" w:rsidP="00320667">
            <w:pPr>
              <w:jc w:val="center"/>
            </w:pPr>
            <w:r w:rsidRPr="007F6B67">
              <w:t>0</w:t>
            </w:r>
          </w:p>
        </w:tc>
        <w:tc>
          <w:tcPr>
            <w:tcW w:w="1276" w:type="dxa"/>
          </w:tcPr>
          <w:p w:rsidR="004F5B51" w:rsidRPr="002729EE" w:rsidRDefault="004F5B51" w:rsidP="00320667">
            <w:pPr>
              <w:jc w:val="center"/>
            </w:pPr>
            <w:r w:rsidRPr="002729EE">
              <w:t>0</w:t>
            </w:r>
          </w:p>
        </w:tc>
        <w:tc>
          <w:tcPr>
            <w:tcW w:w="1276" w:type="dxa"/>
          </w:tcPr>
          <w:p w:rsidR="004F5B51" w:rsidRPr="002729EE" w:rsidRDefault="004F5B51" w:rsidP="00320667">
            <w:pPr>
              <w:jc w:val="center"/>
            </w:pPr>
            <w:r w:rsidRPr="002729EE">
              <w:t>0</w:t>
            </w:r>
          </w:p>
        </w:tc>
        <w:tc>
          <w:tcPr>
            <w:tcW w:w="1559" w:type="dxa"/>
          </w:tcPr>
          <w:p w:rsidR="004F5B51" w:rsidRPr="002729EE" w:rsidRDefault="004F5B51" w:rsidP="00320667">
            <w:pPr>
              <w:jc w:val="center"/>
            </w:pPr>
            <w:r w:rsidRPr="002729EE">
              <w:t>0</w:t>
            </w:r>
          </w:p>
        </w:tc>
      </w:tr>
      <w:tr w:rsidR="004F5B51" w:rsidRPr="002729EE" w:rsidTr="00320667">
        <w:trPr>
          <w:jc w:val="center"/>
        </w:trPr>
        <w:tc>
          <w:tcPr>
            <w:tcW w:w="2661" w:type="dxa"/>
          </w:tcPr>
          <w:p w:rsidR="004F5B51" w:rsidRPr="002729EE" w:rsidRDefault="004F5B51" w:rsidP="00320667">
            <w:pPr>
              <w:jc w:val="both"/>
            </w:pPr>
            <w:r w:rsidRPr="002729EE">
              <w:t>3.2. speciālais budžets</w:t>
            </w:r>
          </w:p>
        </w:tc>
        <w:tc>
          <w:tcPr>
            <w:tcW w:w="1276" w:type="dxa"/>
          </w:tcPr>
          <w:p w:rsidR="004F5B51" w:rsidRPr="007F6B67" w:rsidRDefault="004F5B51" w:rsidP="00320667">
            <w:pPr>
              <w:jc w:val="center"/>
            </w:pPr>
            <w:r w:rsidRPr="007F6B67">
              <w:t>0</w:t>
            </w:r>
          </w:p>
        </w:tc>
        <w:tc>
          <w:tcPr>
            <w:tcW w:w="1417" w:type="dxa"/>
          </w:tcPr>
          <w:p w:rsidR="004F5B51" w:rsidRPr="007F6B67" w:rsidRDefault="004F5B51" w:rsidP="00320667">
            <w:pPr>
              <w:jc w:val="center"/>
            </w:pPr>
            <w:r w:rsidRPr="007F6B67">
              <w:t>0</w:t>
            </w:r>
          </w:p>
        </w:tc>
        <w:tc>
          <w:tcPr>
            <w:tcW w:w="1276" w:type="dxa"/>
          </w:tcPr>
          <w:p w:rsidR="004F5B51" w:rsidRPr="002729EE" w:rsidRDefault="004F5B51" w:rsidP="00320667">
            <w:pPr>
              <w:jc w:val="center"/>
            </w:pPr>
            <w:r w:rsidRPr="002729EE">
              <w:t>0</w:t>
            </w:r>
          </w:p>
        </w:tc>
        <w:tc>
          <w:tcPr>
            <w:tcW w:w="1276" w:type="dxa"/>
          </w:tcPr>
          <w:p w:rsidR="004F5B51" w:rsidRPr="002729EE" w:rsidRDefault="004F5B51" w:rsidP="00320667">
            <w:pPr>
              <w:jc w:val="center"/>
            </w:pPr>
            <w:r w:rsidRPr="002729EE">
              <w:t>0</w:t>
            </w:r>
          </w:p>
        </w:tc>
        <w:tc>
          <w:tcPr>
            <w:tcW w:w="1559" w:type="dxa"/>
          </w:tcPr>
          <w:p w:rsidR="004F5B51" w:rsidRPr="002729EE" w:rsidRDefault="004F5B51" w:rsidP="00320667">
            <w:pPr>
              <w:jc w:val="center"/>
            </w:pPr>
            <w:r w:rsidRPr="002729EE">
              <w:t>0</w:t>
            </w:r>
          </w:p>
        </w:tc>
      </w:tr>
      <w:tr w:rsidR="004F5B51" w:rsidRPr="002729EE" w:rsidTr="00320667">
        <w:trPr>
          <w:jc w:val="center"/>
        </w:trPr>
        <w:tc>
          <w:tcPr>
            <w:tcW w:w="2661" w:type="dxa"/>
          </w:tcPr>
          <w:p w:rsidR="004F5B51" w:rsidRPr="002729EE" w:rsidRDefault="004F5B51" w:rsidP="00320667">
            <w:pPr>
              <w:jc w:val="both"/>
            </w:pPr>
            <w:r w:rsidRPr="002729EE">
              <w:t>3.3. pašvaldību budžets</w:t>
            </w:r>
          </w:p>
        </w:tc>
        <w:tc>
          <w:tcPr>
            <w:tcW w:w="1276" w:type="dxa"/>
          </w:tcPr>
          <w:p w:rsidR="004F5B51" w:rsidRPr="007F6B67" w:rsidRDefault="004F5B51" w:rsidP="00320667">
            <w:pPr>
              <w:jc w:val="center"/>
            </w:pPr>
            <w:r w:rsidRPr="007F6B67">
              <w:t>0</w:t>
            </w:r>
          </w:p>
        </w:tc>
        <w:tc>
          <w:tcPr>
            <w:tcW w:w="1417" w:type="dxa"/>
          </w:tcPr>
          <w:p w:rsidR="004F5B51" w:rsidRPr="007F6B67" w:rsidRDefault="004F5B51" w:rsidP="00320667">
            <w:pPr>
              <w:jc w:val="center"/>
            </w:pPr>
            <w:r w:rsidRPr="007F6B67">
              <w:t>0</w:t>
            </w:r>
          </w:p>
        </w:tc>
        <w:tc>
          <w:tcPr>
            <w:tcW w:w="1276" w:type="dxa"/>
          </w:tcPr>
          <w:p w:rsidR="004F5B51" w:rsidRPr="002729EE" w:rsidRDefault="004F5B51" w:rsidP="00320667">
            <w:pPr>
              <w:jc w:val="center"/>
            </w:pPr>
            <w:r w:rsidRPr="002729EE">
              <w:t>0</w:t>
            </w:r>
          </w:p>
        </w:tc>
        <w:tc>
          <w:tcPr>
            <w:tcW w:w="1276" w:type="dxa"/>
          </w:tcPr>
          <w:p w:rsidR="004F5B51" w:rsidRPr="002729EE" w:rsidRDefault="004F5B51" w:rsidP="00320667">
            <w:pPr>
              <w:jc w:val="center"/>
            </w:pPr>
            <w:r w:rsidRPr="002729EE">
              <w:t>0</w:t>
            </w:r>
          </w:p>
        </w:tc>
        <w:tc>
          <w:tcPr>
            <w:tcW w:w="1559" w:type="dxa"/>
          </w:tcPr>
          <w:p w:rsidR="004F5B51" w:rsidRPr="002729EE" w:rsidRDefault="004F5B51" w:rsidP="00320667">
            <w:pPr>
              <w:jc w:val="center"/>
            </w:pPr>
            <w:r w:rsidRPr="002729EE">
              <w:t>0</w:t>
            </w:r>
          </w:p>
        </w:tc>
      </w:tr>
      <w:tr w:rsidR="004F5B51" w:rsidRPr="002729EE" w:rsidTr="00320667">
        <w:trPr>
          <w:trHeight w:val="1726"/>
          <w:jc w:val="center"/>
        </w:trPr>
        <w:tc>
          <w:tcPr>
            <w:tcW w:w="2661" w:type="dxa"/>
          </w:tcPr>
          <w:p w:rsidR="004F5B51" w:rsidRPr="002729EE" w:rsidRDefault="004F5B51" w:rsidP="00320667">
            <w:r w:rsidRPr="002729EE">
              <w:lastRenderedPageBreak/>
              <w:t>4. Finanšu līdzekļi papildu izde</w:t>
            </w:r>
            <w:r w:rsidRPr="002729EE">
              <w:softHyphen/>
              <w:t>vumu finansēšanai (kompensējošu izdevumu samazinājumu norāda ar "+" zīmi)</w:t>
            </w:r>
          </w:p>
        </w:tc>
        <w:tc>
          <w:tcPr>
            <w:tcW w:w="1276" w:type="dxa"/>
          </w:tcPr>
          <w:p w:rsidR="004F5B51" w:rsidRPr="007D1F49" w:rsidRDefault="004F5B51" w:rsidP="00320667">
            <w:pPr>
              <w:jc w:val="center"/>
              <w:rPr>
                <w:b/>
              </w:rPr>
            </w:pPr>
            <w:r w:rsidRPr="007D1F49">
              <w:rPr>
                <w:b/>
              </w:rPr>
              <w:t>0</w:t>
            </w:r>
          </w:p>
        </w:tc>
        <w:tc>
          <w:tcPr>
            <w:tcW w:w="1417" w:type="dxa"/>
          </w:tcPr>
          <w:p w:rsidR="004F5B51" w:rsidRPr="007F6B67" w:rsidRDefault="004F5B51" w:rsidP="00320667">
            <w:pPr>
              <w:jc w:val="center"/>
              <w:rPr>
                <w:b/>
              </w:rPr>
            </w:pPr>
            <w:r w:rsidRPr="007F6B67">
              <w:rPr>
                <w:b/>
              </w:rPr>
              <w:t>0</w:t>
            </w:r>
          </w:p>
          <w:p w:rsidR="004F5B51" w:rsidRPr="007F6B67" w:rsidRDefault="004F5B51" w:rsidP="00320667">
            <w:pPr>
              <w:jc w:val="center"/>
            </w:pPr>
          </w:p>
          <w:p w:rsidR="004F5B51" w:rsidRPr="007F6B67" w:rsidRDefault="004F5B51" w:rsidP="00320667">
            <w:pPr>
              <w:jc w:val="center"/>
              <w:rPr>
                <w:b/>
              </w:rPr>
            </w:pPr>
          </w:p>
        </w:tc>
        <w:tc>
          <w:tcPr>
            <w:tcW w:w="1276" w:type="dxa"/>
          </w:tcPr>
          <w:p w:rsidR="004F5B51" w:rsidRPr="002729EE" w:rsidRDefault="004F5B51" w:rsidP="00320667">
            <w:pPr>
              <w:jc w:val="center"/>
            </w:pPr>
            <w:r w:rsidRPr="002729EE">
              <w:t>0</w:t>
            </w:r>
          </w:p>
          <w:p w:rsidR="004F5B51" w:rsidRPr="002729EE" w:rsidRDefault="004F5B51" w:rsidP="00320667">
            <w:pPr>
              <w:jc w:val="center"/>
            </w:pPr>
          </w:p>
        </w:tc>
        <w:tc>
          <w:tcPr>
            <w:tcW w:w="1276" w:type="dxa"/>
          </w:tcPr>
          <w:p w:rsidR="004F5B51" w:rsidRPr="002729EE" w:rsidRDefault="004F5B51" w:rsidP="00320667">
            <w:pPr>
              <w:jc w:val="center"/>
            </w:pPr>
            <w:r w:rsidRPr="002729EE">
              <w:t>0</w:t>
            </w:r>
          </w:p>
          <w:p w:rsidR="004F5B51" w:rsidRPr="002729EE" w:rsidRDefault="004F5B51" w:rsidP="00320667">
            <w:pPr>
              <w:jc w:val="center"/>
            </w:pPr>
          </w:p>
        </w:tc>
        <w:tc>
          <w:tcPr>
            <w:tcW w:w="1559" w:type="dxa"/>
          </w:tcPr>
          <w:p w:rsidR="004F5B51" w:rsidRPr="002729EE" w:rsidRDefault="004F5B51" w:rsidP="00320667">
            <w:pPr>
              <w:jc w:val="center"/>
            </w:pPr>
            <w:r w:rsidRPr="002729EE">
              <w:t>0</w:t>
            </w:r>
          </w:p>
          <w:p w:rsidR="004F5B51" w:rsidRPr="002729EE" w:rsidRDefault="004F5B51" w:rsidP="00320667">
            <w:pPr>
              <w:jc w:val="center"/>
            </w:pPr>
          </w:p>
        </w:tc>
      </w:tr>
      <w:tr w:rsidR="004F5B51" w:rsidRPr="002729EE" w:rsidTr="00320667">
        <w:trPr>
          <w:jc w:val="center"/>
        </w:trPr>
        <w:tc>
          <w:tcPr>
            <w:tcW w:w="2661" w:type="dxa"/>
          </w:tcPr>
          <w:p w:rsidR="004F5B51" w:rsidRPr="002729EE" w:rsidRDefault="004F5B51" w:rsidP="00320667">
            <w:r w:rsidRPr="002729EE">
              <w:t>5. Precizēta finansiālā ietekme:</w:t>
            </w:r>
          </w:p>
        </w:tc>
        <w:tc>
          <w:tcPr>
            <w:tcW w:w="1276" w:type="dxa"/>
            <w:vMerge w:val="restart"/>
          </w:tcPr>
          <w:p w:rsidR="004F5B51" w:rsidRDefault="004F5B51" w:rsidP="00320667">
            <w:pPr>
              <w:jc w:val="center"/>
              <w:rPr>
                <w:b/>
              </w:rPr>
            </w:pPr>
            <w:r>
              <w:rPr>
                <w:b/>
              </w:rPr>
              <w:t>-67,5</w:t>
            </w:r>
          </w:p>
          <w:p w:rsidR="004F5B51" w:rsidRDefault="004F5B51" w:rsidP="00320667">
            <w:pPr>
              <w:jc w:val="center"/>
              <w:rPr>
                <w:b/>
              </w:rPr>
            </w:pPr>
          </w:p>
          <w:p w:rsidR="004F5B51" w:rsidRPr="007D1F49" w:rsidRDefault="004F5B51" w:rsidP="00320667">
            <w:pPr>
              <w:jc w:val="center"/>
              <w:rPr>
                <w:sz w:val="20"/>
                <w:szCs w:val="20"/>
              </w:rPr>
            </w:pPr>
            <w:r>
              <w:t>-67,5</w:t>
            </w:r>
          </w:p>
        </w:tc>
        <w:tc>
          <w:tcPr>
            <w:tcW w:w="1417" w:type="dxa"/>
          </w:tcPr>
          <w:p w:rsidR="004F5B51" w:rsidRPr="007F6B67" w:rsidRDefault="004F5B51" w:rsidP="00320667">
            <w:pPr>
              <w:jc w:val="center"/>
              <w:rPr>
                <w:b/>
              </w:rPr>
            </w:pPr>
            <w:r w:rsidRPr="007F6B67">
              <w:rPr>
                <w:b/>
              </w:rPr>
              <w:t>0</w:t>
            </w:r>
          </w:p>
        </w:tc>
        <w:tc>
          <w:tcPr>
            <w:tcW w:w="1276" w:type="dxa"/>
          </w:tcPr>
          <w:p w:rsidR="004F5B51" w:rsidRPr="002729EE" w:rsidRDefault="004F5B51" w:rsidP="00320667">
            <w:pPr>
              <w:jc w:val="center"/>
              <w:rPr>
                <w:b/>
              </w:rPr>
            </w:pPr>
            <w:r w:rsidRPr="002729EE">
              <w:rPr>
                <w:b/>
              </w:rPr>
              <w:t>0</w:t>
            </w:r>
          </w:p>
        </w:tc>
        <w:tc>
          <w:tcPr>
            <w:tcW w:w="1276" w:type="dxa"/>
          </w:tcPr>
          <w:p w:rsidR="004F5B51" w:rsidRPr="002729EE" w:rsidRDefault="004F5B51" w:rsidP="00320667">
            <w:pPr>
              <w:jc w:val="center"/>
              <w:rPr>
                <w:b/>
              </w:rPr>
            </w:pPr>
            <w:r w:rsidRPr="002729EE">
              <w:rPr>
                <w:b/>
              </w:rPr>
              <w:t>0</w:t>
            </w:r>
          </w:p>
        </w:tc>
        <w:tc>
          <w:tcPr>
            <w:tcW w:w="1559" w:type="dxa"/>
          </w:tcPr>
          <w:p w:rsidR="004F5B51" w:rsidRPr="002729EE" w:rsidRDefault="004F5B51" w:rsidP="00320667">
            <w:pPr>
              <w:jc w:val="center"/>
              <w:rPr>
                <w:b/>
              </w:rPr>
            </w:pPr>
            <w:r w:rsidRPr="002729EE">
              <w:rPr>
                <w:b/>
              </w:rPr>
              <w:t>0</w:t>
            </w:r>
          </w:p>
        </w:tc>
      </w:tr>
      <w:tr w:rsidR="004F5B51" w:rsidRPr="002729EE" w:rsidTr="00320667">
        <w:trPr>
          <w:jc w:val="center"/>
        </w:trPr>
        <w:tc>
          <w:tcPr>
            <w:tcW w:w="2661" w:type="dxa"/>
          </w:tcPr>
          <w:p w:rsidR="004F5B51" w:rsidRPr="002729EE" w:rsidRDefault="004F5B51" w:rsidP="00320667">
            <w:pPr>
              <w:jc w:val="both"/>
            </w:pPr>
            <w:r w:rsidRPr="002729EE">
              <w:t>5.1. valsts pamatbudžets</w:t>
            </w:r>
          </w:p>
        </w:tc>
        <w:tc>
          <w:tcPr>
            <w:tcW w:w="1276" w:type="dxa"/>
            <w:vMerge/>
          </w:tcPr>
          <w:p w:rsidR="004F5B51" w:rsidRPr="007F6B67" w:rsidRDefault="004F5B51" w:rsidP="00320667">
            <w:pPr>
              <w:jc w:val="both"/>
            </w:pPr>
          </w:p>
        </w:tc>
        <w:tc>
          <w:tcPr>
            <w:tcW w:w="1417" w:type="dxa"/>
          </w:tcPr>
          <w:p w:rsidR="004F5B51" w:rsidRPr="007F6B67" w:rsidRDefault="004F5B51" w:rsidP="00320667">
            <w:pPr>
              <w:jc w:val="center"/>
            </w:pPr>
            <w:r w:rsidRPr="007F6B67">
              <w:t>0</w:t>
            </w:r>
          </w:p>
        </w:tc>
        <w:tc>
          <w:tcPr>
            <w:tcW w:w="1276" w:type="dxa"/>
          </w:tcPr>
          <w:p w:rsidR="004F5B51" w:rsidRPr="002729EE" w:rsidRDefault="004F5B51" w:rsidP="00320667">
            <w:pPr>
              <w:jc w:val="center"/>
            </w:pPr>
            <w:r w:rsidRPr="002729EE">
              <w:t>0</w:t>
            </w:r>
          </w:p>
        </w:tc>
        <w:tc>
          <w:tcPr>
            <w:tcW w:w="1276" w:type="dxa"/>
          </w:tcPr>
          <w:p w:rsidR="004F5B51" w:rsidRPr="002729EE" w:rsidRDefault="004F5B51" w:rsidP="00320667">
            <w:pPr>
              <w:jc w:val="center"/>
            </w:pPr>
            <w:r w:rsidRPr="002729EE">
              <w:t>0</w:t>
            </w:r>
          </w:p>
        </w:tc>
        <w:tc>
          <w:tcPr>
            <w:tcW w:w="1559" w:type="dxa"/>
          </w:tcPr>
          <w:p w:rsidR="004F5B51" w:rsidRPr="002729EE" w:rsidRDefault="004F5B51" w:rsidP="00320667">
            <w:pPr>
              <w:jc w:val="center"/>
            </w:pPr>
            <w:r w:rsidRPr="002729EE">
              <w:t>0</w:t>
            </w:r>
          </w:p>
        </w:tc>
      </w:tr>
      <w:tr w:rsidR="004F5B51" w:rsidRPr="002729EE" w:rsidTr="00320667">
        <w:trPr>
          <w:jc w:val="center"/>
        </w:trPr>
        <w:tc>
          <w:tcPr>
            <w:tcW w:w="2661" w:type="dxa"/>
          </w:tcPr>
          <w:p w:rsidR="004F5B51" w:rsidRPr="002729EE" w:rsidRDefault="004F5B51" w:rsidP="00320667">
            <w:pPr>
              <w:jc w:val="both"/>
            </w:pPr>
            <w:r w:rsidRPr="002729EE">
              <w:t>5.2. speciālais budžets</w:t>
            </w:r>
          </w:p>
        </w:tc>
        <w:tc>
          <w:tcPr>
            <w:tcW w:w="1276" w:type="dxa"/>
            <w:vMerge/>
          </w:tcPr>
          <w:p w:rsidR="004F5B51" w:rsidRPr="007F6B67" w:rsidRDefault="004F5B51" w:rsidP="00320667">
            <w:pPr>
              <w:jc w:val="both"/>
            </w:pPr>
          </w:p>
        </w:tc>
        <w:tc>
          <w:tcPr>
            <w:tcW w:w="1417" w:type="dxa"/>
          </w:tcPr>
          <w:p w:rsidR="004F5B51" w:rsidRPr="007F6B67" w:rsidRDefault="004F5B51" w:rsidP="00320667">
            <w:pPr>
              <w:jc w:val="center"/>
            </w:pPr>
            <w:r w:rsidRPr="007F6B67">
              <w:t>0</w:t>
            </w:r>
          </w:p>
        </w:tc>
        <w:tc>
          <w:tcPr>
            <w:tcW w:w="1276" w:type="dxa"/>
          </w:tcPr>
          <w:p w:rsidR="004F5B51" w:rsidRPr="002729EE" w:rsidRDefault="004F5B51" w:rsidP="00320667">
            <w:pPr>
              <w:jc w:val="center"/>
            </w:pPr>
            <w:r w:rsidRPr="002729EE">
              <w:t>0</w:t>
            </w:r>
          </w:p>
        </w:tc>
        <w:tc>
          <w:tcPr>
            <w:tcW w:w="1276" w:type="dxa"/>
          </w:tcPr>
          <w:p w:rsidR="004F5B51" w:rsidRPr="002729EE" w:rsidRDefault="004F5B51" w:rsidP="00320667">
            <w:pPr>
              <w:jc w:val="center"/>
            </w:pPr>
            <w:r w:rsidRPr="002729EE">
              <w:t>0</w:t>
            </w:r>
          </w:p>
        </w:tc>
        <w:tc>
          <w:tcPr>
            <w:tcW w:w="1559" w:type="dxa"/>
          </w:tcPr>
          <w:p w:rsidR="004F5B51" w:rsidRPr="002729EE" w:rsidRDefault="004F5B51" w:rsidP="00320667">
            <w:pPr>
              <w:jc w:val="center"/>
            </w:pPr>
            <w:r w:rsidRPr="002729EE">
              <w:t>0</w:t>
            </w:r>
          </w:p>
        </w:tc>
      </w:tr>
      <w:tr w:rsidR="004F5B51" w:rsidRPr="002729EE" w:rsidTr="00320667">
        <w:trPr>
          <w:jc w:val="center"/>
        </w:trPr>
        <w:tc>
          <w:tcPr>
            <w:tcW w:w="2661" w:type="dxa"/>
          </w:tcPr>
          <w:p w:rsidR="004F5B51" w:rsidRPr="002729EE" w:rsidRDefault="004F5B51" w:rsidP="00320667">
            <w:pPr>
              <w:jc w:val="both"/>
            </w:pPr>
            <w:r w:rsidRPr="002729EE">
              <w:t> 5.3. pašvaldību budžets</w:t>
            </w:r>
          </w:p>
        </w:tc>
        <w:tc>
          <w:tcPr>
            <w:tcW w:w="1276" w:type="dxa"/>
            <w:vMerge/>
          </w:tcPr>
          <w:p w:rsidR="004F5B51" w:rsidRPr="007F6B67" w:rsidRDefault="004F5B51" w:rsidP="00320667">
            <w:pPr>
              <w:jc w:val="both"/>
            </w:pPr>
          </w:p>
        </w:tc>
        <w:tc>
          <w:tcPr>
            <w:tcW w:w="1417" w:type="dxa"/>
          </w:tcPr>
          <w:p w:rsidR="004F5B51" w:rsidRPr="007F6B67" w:rsidRDefault="004F5B51" w:rsidP="00320667">
            <w:pPr>
              <w:jc w:val="center"/>
            </w:pPr>
            <w:r w:rsidRPr="007F6B67">
              <w:t>0</w:t>
            </w:r>
          </w:p>
        </w:tc>
        <w:tc>
          <w:tcPr>
            <w:tcW w:w="1276" w:type="dxa"/>
          </w:tcPr>
          <w:p w:rsidR="004F5B51" w:rsidRPr="002729EE" w:rsidRDefault="004F5B51" w:rsidP="00320667">
            <w:pPr>
              <w:jc w:val="center"/>
            </w:pPr>
            <w:r w:rsidRPr="002729EE">
              <w:t>0</w:t>
            </w:r>
          </w:p>
        </w:tc>
        <w:tc>
          <w:tcPr>
            <w:tcW w:w="1276" w:type="dxa"/>
          </w:tcPr>
          <w:p w:rsidR="004F5B51" w:rsidRPr="002729EE" w:rsidRDefault="004F5B51" w:rsidP="00320667">
            <w:pPr>
              <w:jc w:val="center"/>
            </w:pPr>
            <w:r w:rsidRPr="002729EE">
              <w:t>0</w:t>
            </w:r>
          </w:p>
        </w:tc>
        <w:tc>
          <w:tcPr>
            <w:tcW w:w="1559" w:type="dxa"/>
          </w:tcPr>
          <w:p w:rsidR="004F5B51" w:rsidRPr="002729EE" w:rsidRDefault="004F5B51" w:rsidP="00320667">
            <w:pPr>
              <w:jc w:val="center"/>
            </w:pPr>
            <w:r w:rsidRPr="002729EE">
              <w:t>0</w:t>
            </w:r>
          </w:p>
        </w:tc>
      </w:tr>
      <w:tr w:rsidR="004F5B51" w:rsidRPr="00DC6371" w:rsidTr="00320667">
        <w:trPr>
          <w:jc w:val="center"/>
        </w:trPr>
        <w:tc>
          <w:tcPr>
            <w:tcW w:w="2661" w:type="dxa"/>
          </w:tcPr>
          <w:p w:rsidR="004F5B51" w:rsidRPr="002729EE" w:rsidRDefault="004F5B51" w:rsidP="00320667">
            <w:r w:rsidRPr="002729EE">
              <w:t>6. Detalizēts ieņēmumu un izdevu</w:t>
            </w:r>
            <w:r w:rsidRPr="002729EE">
              <w:softHyphen/>
              <w:t>mu aprēķins (ja nepieciešams, detalizētu ieņēmumu un izdevumu aprēķinu var pievienot anotācijas pielikumā):</w:t>
            </w:r>
          </w:p>
          <w:p w:rsidR="004F5B51" w:rsidRPr="002729EE" w:rsidRDefault="004F5B51" w:rsidP="00320667">
            <w:pPr>
              <w:rPr>
                <w:sz w:val="22"/>
                <w:szCs w:val="22"/>
              </w:rPr>
            </w:pPr>
            <w:r w:rsidRPr="002729EE">
              <w:rPr>
                <w:sz w:val="22"/>
                <w:szCs w:val="22"/>
              </w:rPr>
              <w:t>6.1. detalizēts ieņēmumu aprēķins</w:t>
            </w:r>
          </w:p>
          <w:p w:rsidR="004F5B51" w:rsidRPr="002729EE" w:rsidRDefault="004F5B51" w:rsidP="00320667">
            <w:r w:rsidRPr="002729EE">
              <w:rPr>
                <w:sz w:val="22"/>
                <w:szCs w:val="22"/>
              </w:rPr>
              <w:t>6.2. detalizēts izdevumu aprēķins</w:t>
            </w:r>
          </w:p>
        </w:tc>
        <w:tc>
          <w:tcPr>
            <w:tcW w:w="6804" w:type="dxa"/>
            <w:gridSpan w:val="5"/>
          </w:tcPr>
          <w:p w:rsidR="00507576" w:rsidRPr="00DC6371" w:rsidRDefault="004F5B51" w:rsidP="00507576">
            <w:pPr>
              <w:spacing w:before="120" w:after="120"/>
              <w:jc w:val="both"/>
            </w:pPr>
            <w:r>
              <w:t xml:space="preserve"> </w:t>
            </w:r>
            <w:r w:rsidR="00507576" w:rsidRPr="00DC6371">
              <w:t xml:space="preserve">Atbilstoši likumam „Par valsts budžetu 2011.gadam” ar 2011.gada 29.aprīlī izsludinātajiem grozījumiem </w:t>
            </w:r>
            <w:r w:rsidR="00507576">
              <w:t>reorganizējamām</w:t>
            </w:r>
            <w:r w:rsidR="00507576" w:rsidRPr="00DC6371">
              <w:t xml:space="preserve"> iestādēm 2011.gadā paredzēts sekojošs finansējums:</w:t>
            </w:r>
          </w:p>
          <w:p w:rsidR="00507576" w:rsidRPr="00DC6371" w:rsidRDefault="00507576" w:rsidP="00507576">
            <w:pPr>
              <w:jc w:val="both"/>
            </w:pPr>
            <w:r w:rsidRPr="00DC6371">
              <w:t>1) </w:t>
            </w:r>
            <w:r w:rsidRPr="00DC6371">
              <w:rPr>
                <w:u w:val="single"/>
              </w:rPr>
              <w:t>Veselības norēķinu centram</w:t>
            </w:r>
            <w:r w:rsidRPr="00DC6371">
              <w:t xml:space="preserve"> valsts budžeta </w:t>
            </w:r>
            <w:r w:rsidRPr="00DC6371">
              <w:rPr>
                <w:u w:val="single"/>
              </w:rPr>
              <w:t>programmā 45.00.00</w:t>
            </w:r>
            <w:r w:rsidRPr="00DC6371">
              <w:t xml:space="preserve"> „Ārstniecības finansējuma administrēšana” – lai nodrošinātu līgumu slēgšanu ar ārstniecības iestādēm par valsts budžeta apmaksāto stacionāro un ambulatoro veselības aprūpes pakalpojumu sniegšanu no valsts un ārvalstu līdzekļiem, veiktu starptautiskos norēķinus par ārstniecības pakalpojumu sniegšanu Latvijas iedzīvotājiem ārvalstīs, nodrošinātu kompensējamo un centralizēti iepērkamo medikamentu pieejamību pacientiem (tai skaitā bērniem reto slimību ārstēšanai):</w:t>
            </w:r>
          </w:p>
          <w:p w:rsidR="00507576" w:rsidRPr="00DC6371" w:rsidRDefault="00507576" w:rsidP="00507576">
            <w:pPr>
              <w:jc w:val="both"/>
            </w:pPr>
            <w:r w:rsidRPr="00DC6371">
              <w:rPr>
                <w:u w:val="single"/>
              </w:rPr>
              <w:t>resursi izdevumu segšanai - 3 000 737 lati</w:t>
            </w:r>
            <w:r w:rsidRPr="00DC6371">
              <w:t>, tai skaitā, dotācija no vispārējiem ieņēmumiem 2 885 737 lati un ieņēmumi no maksas pakalpojumiem un citi pašu ieņēmumi 115 </w:t>
            </w:r>
            <w:smartTag w:uri="schemas-tilde-lv/tildestengine" w:element="currency2">
              <w:smartTagPr>
                <w:attr w:name="currency_text" w:val="lati"/>
                <w:attr w:name="currency_value" w:val="000"/>
                <w:attr w:name="currency_key" w:val="LVL"/>
                <w:attr w:name="currency_id" w:val="48"/>
              </w:smartTagPr>
              <w:r w:rsidRPr="00DC6371">
                <w:t>000 lati;</w:t>
              </w:r>
            </w:smartTag>
          </w:p>
          <w:p w:rsidR="00507576" w:rsidRPr="00DC6371" w:rsidRDefault="00507576" w:rsidP="00507576">
            <w:pPr>
              <w:jc w:val="both"/>
            </w:pPr>
            <w:r w:rsidRPr="00DC6371">
              <w:rPr>
                <w:u w:val="single"/>
              </w:rPr>
              <w:t>izdevumi - 3 068 218 lati</w:t>
            </w:r>
            <w:r w:rsidRPr="00DC6371">
              <w:t>, ņemot vērā maksas pakalpojumu un citu pašu ieņēmumu 2010.gada naudas līdzekļu atlikumu 67 481 latu apmērā.</w:t>
            </w:r>
          </w:p>
          <w:p w:rsidR="00507576" w:rsidRPr="008B4652" w:rsidRDefault="00507576" w:rsidP="00507576">
            <w:pPr>
              <w:jc w:val="both"/>
              <w:rPr>
                <w:sz w:val="16"/>
                <w:szCs w:val="16"/>
              </w:rPr>
            </w:pPr>
          </w:p>
          <w:p w:rsidR="00507576" w:rsidRPr="00DC6371" w:rsidRDefault="00507576" w:rsidP="00507576">
            <w:pPr>
              <w:jc w:val="both"/>
            </w:pPr>
            <w:r w:rsidRPr="00DC6371">
              <w:t>2) </w:t>
            </w:r>
            <w:r w:rsidRPr="00DC6371">
              <w:rPr>
                <w:u w:val="single"/>
              </w:rPr>
              <w:t>Veselības ekonomikas centram</w:t>
            </w:r>
            <w:r w:rsidRPr="00DC6371">
              <w:t xml:space="preserve"> valsts budžeta </w:t>
            </w:r>
            <w:r w:rsidRPr="00DC6371">
              <w:rPr>
                <w:u w:val="single"/>
              </w:rPr>
              <w:t>programmā 47.00.00</w:t>
            </w:r>
            <w:r w:rsidRPr="00DC6371">
              <w:t xml:space="preserve"> „Veselības aprūpes ekonomiskā novērtēšana” – lai nodrošinātu valsts budžeta apmaksāto veselības aprūpes pakalpojumu tarifu izstrādi, zāļu, medicīnisko ierīču un medicīnisko tehnoloģiju kompensācijas sistēmas administrēšanu un sabiedrības veselības rādītāju </w:t>
            </w:r>
            <w:proofErr w:type="spellStart"/>
            <w:r w:rsidRPr="00DC6371">
              <w:t>monitorēšanu</w:t>
            </w:r>
            <w:proofErr w:type="spellEnd"/>
            <w:r w:rsidRPr="00DC6371">
              <w:t>:</w:t>
            </w:r>
          </w:p>
          <w:p w:rsidR="00507576" w:rsidRPr="00DC6371" w:rsidRDefault="00507576" w:rsidP="00507576">
            <w:pPr>
              <w:jc w:val="both"/>
            </w:pPr>
            <w:r w:rsidRPr="00DC6371">
              <w:rPr>
                <w:u w:val="single"/>
              </w:rPr>
              <w:t>resursi izdevumu segšanai - 1 253 125 lati</w:t>
            </w:r>
            <w:r w:rsidRPr="00DC6371">
              <w:t>, tai skaitā, dotācija no vispārējiem ieņēmumiem 524 972 lati un ieņēmumi no maksas pakalpojumiem un citi pašu ieņēmumi 728 153 lati;</w:t>
            </w:r>
          </w:p>
          <w:p w:rsidR="00507576" w:rsidRPr="00DC6371" w:rsidRDefault="00507576" w:rsidP="00507576">
            <w:pPr>
              <w:jc w:val="both"/>
            </w:pPr>
            <w:r w:rsidRPr="00DC6371">
              <w:rPr>
                <w:u w:val="single"/>
              </w:rPr>
              <w:t>izdevumi - 1 253 125 lati</w:t>
            </w:r>
            <w:r w:rsidRPr="00DC6371">
              <w:t xml:space="preserve">. </w:t>
            </w:r>
          </w:p>
          <w:p w:rsidR="00507576" w:rsidRPr="008B4652" w:rsidRDefault="00507576" w:rsidP="00507576">
            <w:pPr>
              <w:jc w:val="both"/>
              <w:rPr>
                <w:sz w:val="16"/>
                <w:szCs w:val="16"/>
              </w:rPr>
            </w:pPr>
          </w:p>
          <w:p w:rsidR="00507576" w:rsidRPr="00DC6371" w:rsidRDefault="00507576" w:rsidP="00507576">
            <w:pPr>
              <w:jc w:val="both"/>
            </w:pPr>
            <w:r w:rsidRPr="00DC6371">
              <w:t>3) </w:t>
            </w:r>
            <w:r w:rsidRPr="00DC6371">
              <w:rPr>
                <w:u w:val="single"/>
              </w:rPr>
              <w:t>Veselības ekonomikas centram</w:t>
            </w:r>
            <w:r w:rsidRPr="00DC6371">
              <w:t xml:space="preserve"> valsts budžeta </w:t>
            </w:r>
            <w:r w:rsidRPr="00DC6371">
              <w:rPr>
                <w:u w:val="single"/>
              </w:rPr>
              <w:t>programmā 40.00.00</w:t>
            </w:r>
            <w:r w:rsidRPr="00DC6371">
              <w:t xml:space="preserve"> „E-veselības pamatnostādņu ieviešana” – lai nodrošinātu e-veselības risinājumu izstrādi un ieviešanu veselības aprūpes nozarē:</w:t>
            </w:r>
          </w:p>
          <w:p w:rsidR="00507576" w:rsidRPr="00DC6371" w:rsidRDefault="00507576" w:rsidP="00507576">
            <w:pPr>
              <w:jc w:val="both"/>
            </w:pPr>
            <w:r w:rsidRPr="00DC6371">
              <w:rPr>
                <w:u w:val="single"/>
              </w:rPr>
              <w:t>resursi izdevumu segšanai – 103 094 lati</w:t>
            </w:r>
            <w:r w:rsidRPr="00DC6371">
              <w:t xml:space="preserve">, tai skaitā, dotācija no vispārējiem ieņēmumiem 103 094 lati; </w:t>
            </w:r>
          </w:p>
          <w:p w:rsidR="00507576" w:rsidRPr="00DC6371" w:rsidRDefault="00507576" w:rsidP="00507576">
            <w:pPr>
              <w:jc w:val="both"/>
            </w:pPr>
            <w:r w:rsidRPr="00DC6371">
              <w:rPr>
                <w:u w:val="single"/>
              </w:rPr>
              <w:t>izdevumi – 103 094 lati</w:t>
            </w:r>
            <w:r w:rsidRPr="00DC6371">
              <w:t>.</w:t>
            </w:r>
          </w:p>
          <w:p w:rsidR="00507576" w:rsidRPr="00DC6371" w:rsidRDefault="00507576" w:rsidP="00507576">
            <w:pPr>
              <w:jc w:val="both"/>
            </w:pPr>
          </w:p>
          <w:p w:rsidR="00507576" w:rsidRPr="00DC6371" w:rsidRDefault="00507576" w:rsidP="00507576">
            <w:pPr>
              <w:jc w:val="both"/>
            </w:pPr>
            <w:r w:rsidRPr="00DC6371">
              <w:t xml:space="preserve">Tādējādi </w:t>
            </w:r>
            <w:r>
              <w:t xml:space="preserve">reorganizējamo iestāžu </w:t>
            </w:r>
            <w:r w:rsidRPr="00DC6371">
              <w:t xml:space="preserve">kopējais finansējums </w:t>
            </w:r>
            <w:r>
              <w:t>2011.gadā</w:t>
            </w:r>
            <w:r w:rsidRPr="00DC6371">
              <w:t xml:space="preserve"> </w:t>
            </w:r>
            <w:r>
              <w:t>atbilstoši plānam ir</w:t>
            </w:r>
            <w:r w:rsidRPr="00DC6371">
              <w:t>:</w:t>
            </w:r>
          </w:p>
          <w:p w:rsidR="00507576" w:rsidRPr="00DC6371" w:rsidRDefault="00507576" w:rsidP="00507576">
            <w:pPr>
              <w:jc w:val="both"/>
            </w:pPr>
            <w:r>
              <w:rPr>
                <w:b/>
                <w:u w:val="single"/>
              </w:rPr>
              <w:t>resursi izdevumu segšanai – 4 35</w:t>
            </w:r>
            <w:r w:rsidRPr="00B827BB">
              <w:rPr>
                <w:b/>
                <w:u w:val="single"/>
              </w:rPr>
              <w:t>6 956 lati</w:t>
            </w:r>
            <w:r w:rsidRPr="00DC6371">
              <w:t xml:space="preserve">, tai skaitā, dotācija no </w:t>
            </w:r>
            <w:r w:rsidRPr="00DC6371">
              <w:lastRenderedPageBreak/>
              <w:t>vispārējiem ieņēmumiem 3 513 803 lati un ieņēmumi no maksas pakalpojumiem un citi pašu ieņēmumi 843 153 lati;</w:t>
            </w:r>
          </w:p>
          <w:p w:rsidR="00507576" w:rsidRPr="00DC6371" w:rsidRDefault="00507576" w:rsidP="00507576">
            <w:pPr>
              <w:jc w:val="both"/>
            </w:pPr>
            <w:r w:rsidRPr="00DC6371">
              <w:rPr>
                <w:u w:val="single"/>
              </w:rPr>
              <w:t xml:space="preserve">izdevumi – </w:t>
            </w:r>
            <w:r w:rsidRPr="00B827BB">
              <w:rPr>
                <w:b/>
                <w:u w:val="single"/>
              </w:rPr>
              <w:t>4 424 437 lati</w:t>
            </w:r>
            <w:r w:rsidRPr="00DC6371">
              <w:t>, ņemot vērā maksas pakalpojumu un citu pašu ieņēmumu 2010.gada naudas līdzekļu atlikumu 67 481 latu apmērā.</w:t>
            </w:r>
          </w:p>
          <w:p w:rsidR="00507576" w:rsidRPr="00DC6371" w:rsidRDefault="00507576" w:rsidP="00507576">
            <w:pPr>
              <w:jc w:val="both"/>
            </w:pPr>
          </w:p>
          <w:p w:rsidR="00507576" w:rsidRDefault="00507576" w:rsidP="00507576">
            <w:pPr>
              <w:jc w:val="both"/>
            </w:pPr>
            <w:r w:rsidRPr="00DC6371">
              <w:t>Ņemot vērā, ka</w:t>
            </w:r>
            <w:r>
              <w:t xml:space="preserve"> reorganizāciju paredzēts veikt </w:t>
            </w:r>
            <w:r w:rsidRPr="00B86DFE">
              <w:rPr>
                <w:u w:val="single"/>
              </w:rPr>
              <w:t>ar 2011.gada 1.</w:t>
            </w:r>
            <w:r>
              <w:rPr>
                <w:u w:val="single"/>
              </w:rPr>
              <w:t>novembri</w:t>
            </w:r>
            <w:r>
              <w:t>, finansējuma sadalījums atbilstoši spēkā esošajiem 2011.gada finansēšanas plāniem būtu sekojošs:</w:t>
            </w:r>
          </w:p>
          <w:p w:rsidR="00507576" w:rsidRPr="00EA6E8B" w:rsidRDefault="00507576" w:rsidP="00507576">
            <w:pPr>
              <w:jc w:val="both"/>
            </w:pPr>
          </w:p>
          <w:p w:rsidR="00507576" w:rsidRPr="00DC6371" w:rsidRDefault="00507576" w:rsidP="00507576">
            <w:pPr>
              <w:jc w:val="both"/>
            </w:pPr>
            <w:r w:rsidRPr="00DC6371">
              <w:t>1) </w:t>
            </w:r>
            <w:r w:rsidRPr="00DC6371">
              <w:rPr>
                <w:u w:val="single"/>
              </w:rPr>
              <w:t>Veselības norēķinu centram</w:t>
            </w:r>
            <w:r w:rsidRPr="00DC6371">
              <w:t xml:space="preserve"> valsts budžeta </w:t>
            </w:r>
            <w:r w:rsidRPr="00DC6371">
              <w:rPr>
                <w:u w:val="single"/>
              </w:rPr>
              <w:t>programmā 45.00.00</w:t>
            </w:r>
            <w:r w:rsidRPr="00DC6371">
              <w:t xml:space="preserve"> „Ārstniecības finansējuma administrēšana”</w:t>
            </w:r>
            <w:r>
              <w:t xml:space="preserve"> – </w:t>
            </w:r>
            <w:r>
              <w:rPr>
                <w:u w:val="single"/>
              </w:rPr>
              <w:t>10</w:t>
            </w:r>
            <w:r w:rsidRPr="00B86DFE">
              <w:rPr>
                <w:u w:val="single"/>
              </w:rPr>
              <w:t xml:space="preserve"> mēnešos</w:t>
            </w:r>
            <w:r w:rsidRPr="00DC6371">
              <w:t>:</w:t>
            </w:r>
          </w:p>
          <w:p w:rsidR="00507576" w:rsidRPr="00DC6371" w:rsidRDefault="00507576" w:rsidP="00507576">
            <w:pPr>
              <w:jc w:val="both"/>
            </w:pPr>
            <w:r w:rsidRPr="00DC6371">
              <w:rPr>
                <w:u w:val="single"/>
              </w:rPr>
              <w:t xml:space="preserve">resursi izdevumu segšanai - </w:t>
            </w:r>
            <w:r>
              <w:rPr>
                <w:u w:val="single"/>
              </w:rPr>
              <w:t>2 492 904</w:t>
            </w:r>
            <w:r w:rsidRPr="00DC6371">
              <w:rPr>
                <w:u w:val="single"/>
              </w:rPr>
              <w:t> lati</w:t>
            </w:r>
            <w:r w:rsidRPr="00DC6371">
              <w:t>, tai skaitā, dotācija no vispārējiem ieņēmumiem 2 </w:t>
            </w:r>
            <w:r>
              <w:t>395</w:t>
            </w:r>
            <w:r w:rsidRPr="00DC6371">
              <w:t> </w:t>
            </w:r>
            <w:r>
              <w:t>139</w:t>
            </w:r>
            <w:r w:rsidRPr="00DC6371">
              <w:t xml:space="preserve"> lati un ieņēmumi no maksas pakalpojumiem un citi pašu ieņēmumi </w:t>
            </w:r>
            <w:r>
              <w:t>97</w:t>
            </w:r>
            <w:r w:rsidRPr="00DC6371">
              <w:t> </w:t>
            </w:r>
            <w:r>
              <w:t>765</w:t>
            </w:r>
            <w:r w:rsidRPr="00DC6371">
              <w:t xml:space="preserve"> lati;</w:t>
            </w:r>
          </w:p>
          <w:p w:rsidR="00507576" w:rsidRDefault="00507576" w:rsidP="00507576">
            <w:pPr>
              <w:jc w:val="both"/>
            </w:pPr>
            <w:r w:rsidRPr="00DC6371">
              <w:rPr>
                <w:u w:val="single"/>
              </w:rPr>
              <w:t xml:space="preserve">izdevumi - </w:t>
            </w:r>
            <w:r>
              <w:rPr>
                <w:u w:val="single"/>
              </w:rPr>
              <w:t>2</w:t>
            </w:r>
            <w:r w:rsidRPr="00DC6371">
              <w:rPr>
                <w:u w:val="single"/>
              </w:rPr>
              <w:t> </w:t>
            </w:r>
            <w:r>
              <w:rPr>
                <w:u w:val="single"/>
              </w:rPr>
              <w:t>504</w:t>
            </w:r>
            <w:r w:rsidRPr="00DC6371">
              <w:rPr>
                <w:u w:val="single"/>
              </w:rPr>
              <w:t> </w:t>
            </w:r>
            <w:r>
              <w:rPr>
                <w:u w:val="single"/>
              </w:rPr>
              <w:t>529</w:t>
            </w:r>
            <w:r w:rsidRPr="00DC6371">
              <w:rPr>
                <w:u w:val="single"/>
              </w:rPr>
              <w:t> lati</w:t>
            </w:r>
            <w:r w:rsidRPr="00DC6371">
              <w:t>, ņemot vērā maksas pakalpojumu un citu pašu ieņēmumu 2010.gada naudas līdzekļu atlikum</w:t>
            </w:r>
            <w:r>
              <w:t>a 10 mēnešiem plānoto daļu</w:t>
            </w:r>
            <w:r w:rsidRPr="00DC6371">
              <w:t xml:space="preserve"> </w:t>
            </w:r>
            <w:r>
              <w:t>11 625</w:t>
            </w:r>
            <w:r w:rsidRPr="00DC6371">
              <w:t xml:space="preserve"> latu apmērā.</w:t>
            </w:r>
          </w:p>
          <w:p w:rsidR="00507576" w:rsidRPr="00EA6E8B" w:rsidRDefault="00507576" w:rsidP="00507576">
            <w:pPr>
              <w:jc w:val="both"/>
            </w:pPr>
          </w:p>
          <w:p w:rsidR="00507576" w:rsidRPr="00DC6371" w:rsidRDefault="00507576" w:rsidP="00507576">
            <w:pPr>
              <w:jc w:val="both"/>
            </w:pPr>
            <w:r w:rsidRPr="00DC6371">
              <w:t>2) </w:t>
            </w:r>
            <w:r w:rsidRPr="00DC6371">
              <w:rPr>
                <w:u w:val="single"/>
              </w:rPr>
              <w:t>Veselības ekonomikas centram</w:t>
            </w:r>
            <w:r w:rsidRPr="00DC6371">
              <w:t xml:space="preserve"> valsts budžeta </w:t>
            </w:r>
            <w:r w:rsidRPr="00DC6371">
              <w:rPr>
                <w:u w:val="single"/>
              </w:rPr>
              <w:t>programmā 47.00.00</w:t>
            </w:r>
            <w:r w:rsidRPr="00DC6371">
              <w:t xml:space="preserve"> „Veselības aprūpes ekonomiskā novērtēšana” – </w:t>
            </w:r>
            <w:r>
              <w:rPr>
                <w:u w:val="single"/>
              </w:rPr>
              <w:t>10</w:t>
            </w:r>
            <w:r w:rsidRPr="00B86DFE">
              <w:rPr>
                <w:u w:val="single"/>
              </w:rPr>
              <w:t> mēnešos</w:t>
            </w:r>
            <w:r w:rsidRPr="00DC6371">
              <w:t>:</w:t>
            </w:r>
          </w:p>
          <w:p w:rsidR="00507576" w:rsidRPr="00DC6371" w:rsidRDefault="00507576" w:rsidP="00507576">
            <w:pPr>
              <w:jc w:val="both"/>
            </w:pPr>
            <w:r w:rsidRPr="00DC6371">
              <w:rPr>
                <w:u w:val="single"/>
              </w:rPr>
              <w:t xml:space="preserve">resursi izdevumu segšanai </w:t>
            </w:r>
            <w:r>
              <w:rPr>
                <w:u w:val="single"/>
              </w:rPr>
              <w:t>–</w:t>
            </w:r>
            <w:r w:rsidRPr="00DC6371">
              <w:rPr>
                <w:u w:val="single"/>
              </w:rPr>
              <w:t xml:space="preserve"> </w:t>
            </w:r>
            <w:r>
              <w:rPr>
                <w:u w:val="single"/>
              </w:rPr>
              <w:t>1 023 339</w:t>
            </w:r>
            <w:r w:rsidRPr="00DC6371">
              <w:rPr>
                <w:u w:val="single"/>
              </w:rPr>
              <w:t> lati</w:t>
            </w:r>
            <w:r w:rsidRPr="00DC6371">
              <w:t xml:space="preserve">, tai skaitā, dotācija no vispārējiem ieņēmumiem </w:t>
            </w:r>
            <w:r>
              <w:t>434 072</w:t>
            </w:r>
            <w:r w:rsidRPr="00DC6371">
              <w:t xml:space="preserve"> lati un ieņēmumi no maksas pakalpojumiem un citi pašu ieņēmumi </w:t>
            </w:r>
            <w:r>
              <w:t>589 267</w:t>
            </w:r>
            <w:r w:rsidRPr="00DC6371">
              <w:t xml:space="preserve"> lati;</w:t>
            </w:r>
          </w:p>
          <w:p w:rsidR="00507576" w:rsidRDefault="00507576" w:rsidP="00507576">
            <w:pPr>
              <w:jc w:val="both"/>
            </w:pPr>
            <w:r w:rsidRPr="00DC6371">
              <w:rPr>
                <w:u w:val="single"/>
              </w:rPr>
              <w:t xml:space="preserve">izdevumi </w:t>
            </w:r>
            <w:r>
              <w:rPr>
                <w:u w:val="single"/>
              </w:rPr>
              <w:t>–</w:t>
            </w:r>
            <w:r w:rsidRPr="00DC6371">
              <w:rPr>
                <w:u w:val="single"/>
              </w:rPr>
              <w:t xml:space="preserve"> </w:t>
            </w:r>
            <w:r>
              <w:rPr>
                <w:u w:val="single"/>
              </w:rPr>
              <w:t>1 023 339</w:t>
            </w:r>
            <w:r w:rsidRPr="00DC6371">
              <w:rPr>
                <w:u w:val="single"/>
              </w:rPr>
              <w:t> lati</w:t>
            </w:r>
            <w:r w:rsidRPr="00DC6371">
              <w:t xml:space="preserve">. </w:t>
            </w:r>
          </w:p>
          <w:p w:rsidR="00507576" w:rsidRPr="00EA6E8B" w:rsidRDefault="00507576" w:rsidP="00507576">
            <w:pPr>
              <w:jc w:val="both"/>
            </w:pPr>
          </w:p>
          <w:p w:rsidR="00507576" w:rsidRPr="00DC6371" w:rsidRDefault="00507576" w:rsidP="00507576">
            <w:pPr>
              <w:jc w:val="both"/>
            </w:pPr>
            <w:r w:rsidRPr="00DC6371">
              <w:t>3) </w:t>
            </w:r>
            <w:r w:rsidRPr="00DC6371">
              <w:rPr>
                <w:u w:val="single"/>
              </w:rPr>
              <w:t>Veselības ekonomikas centram</w:t>
            </w:r>
            <w:r w:rsidRPr="00DC6371">
              <w:t xml:space="preserve"> valsts budžeta </w:t>
            </w:r>
            <w:r w:rsidRPr="00DC6371">
              <w:rPr>
                <w:u w:val="single"/>
              </w:rPr>
              <w:t>programmā 40.00.00</w:t>
            </w:r>
            <w:r w:rsidRPr="00DC6371">
              <w:t xml:space="preserve"> „E-veselības pamatnostādņu ieviešana” – </w:t>
            </w:r>
            <w:r>
              <w:rPr>
                <w:u w:val="single"/>
              </w:rPr>
              <w:t>10</w:t>
            </w:r>
            <w:r w:rsidRPr="00B86DFE">
              <w:rPr>
                <w:u w:val="single"/>
              </w:rPr>
              <w:t> mēnešos</w:t>
            </w:r>
            <w:r w:rsidRPr="00DC6371">
              <w:t>:</w:t>
            </w:r>
          </w:p>
          <w:p w:rsidR="00507576" w:rsidRPr="00DC6371" w:rsidRDefault="00507576" w:rsidP="00507576">
            <w:pPr>
              <w:jc w:val="both"/>
            </w:pPr>
            <w:r w:rsidRPr="00DC6371">
              <w:rPr>
                <w:u w:val="single"/>
              </w:rPr>
              <w:t xml:space="preserve">resursi izdevumu segšanai – </w:t>
            </w:r>
            <w:r>
              <w:rPr>
                <w:u w:val="single"/>
              </w:rPr>
              <w:t>86 496</w:t>
            </w:r>
            <w:r w:rsidRPr="00DC6371">
              <w:rPr>
                <w:u w:val="single"/>
              </w:rPr>
              <w:t> lati</w:t>
            </w:r>
            <w:r w:rsidRPr="00DC6371">
              <w:t xml:space="preserve">, tai skaitā, dotācija no vispārējiem ieņēmumiem </w:t>
            </w:r>
            <w:r>
              <w:t>86 496</w:t>
            </w:r>
            <w:r w:rsidRPr="00DC6371">
              <w:t xml:space="preserve"> lati; </w:t>
            </w:r>
          </w:p>
          <w:p w:rsidR="00507576" w:rsidRDefault="00507576" w:rsidP="00507576">
            <w:pPr>
              <w:jc w:val="both"/>
            </w:pPr>
            <w:r w:rsidRPr="00DC6371">
              <w:rPr>
                <w:u w:val="single"/>
              </w:rPr>
              <w:t xml:space="preserve">izdevumi – </w:t>
            </w:r>
            <w:r>
              <w:rPr>
                <w:u w:val="single"/>
              </w:rPr>
              <w:t>86 496</w:t>
            </w:r>
            <w:r w:rsidRPr="00DC6371">
              <w:rPr>
                <w:u w:val="single"/>
              </w:rPr>
              <w:t> lati</w:t>
            </w:r>
            <w:r w:rsidRPr="00DC6371">
              <w:t>.</w:t>
            </w:r>
          </w:p>
          <w:p w:rsidR="00507576" w:rsidRPr="00EA6E8B" w:rsidRDefault="00507576" w:rsidP="00507576">
            <w:pPr>
              <w:jc w:val="both"/>
            </w:pPr>
          </w:p>
          <w:p w:rsidR="00507576" w:rsidRDefault="00507576" w:rsidP="00507576">
            <w:pPr>
              <w:jc w:val="both"/>
            </w:pPr>
            <w:r w:rsidRPr="00B86DFE">
              <w:rPr>
                <w:u w:val="single"/>
              </w:rPr>
              <w:t>Jaunizveidotajai iestādei</w:t>
            </w:r>
            <w:r>
              <w:rPr>
                <w:u w:val="single"/>
              </w:rPr>
              <w:t xml:space="preserve"> -</w:t>
            </w:r>
            <w:r w:rsidRPr="00B86DFE">
              <w:rPr>
                <w:u w:val="single"/>
              </w:rPr>
              <w:t xml:space="preserve"> </w:t>
            </w:r>
            <w:r>
              <w:rPr>
                <w:u w:val="single"/>
              </w:rPr>
              <w:t xml:space="preserve">Nacionālajam veselības dienestam </w:t>
            </w:r>
            <w:r w:rsidRPr="00B86DFE">
              <w:rPr>
                <w:u w:val="single"/>
              </w:rPr>
              <w:t xml:space="preserve">2011.gada </w:t>
            </w:r>
            <w:r>
              <w:rPr>
                <w:u w:val="single"/>
              </w:rPr>
              <w:t>divos </w:t>
            </w:r>
            <w:r w:rsidRPr="00B86DFE">
              <w:rPr>
                <w:u w:val="single"/>
              </w:rPr>
              <w:t>mēnešos</w:t>
            </w:r>
            <w:r>
              <w:t xml:space="preserve"> būtu sekojošs finansējums:</w:t>
            </w:r>
          </w:p>
          <w:p w:rsidR="00507576" w:rsidRPr="00DC6371" w:rsidRDefault="00507576" w:rsidP="00507576">
            <w:pPr>
              <w:jc w:val="both"/>
            </w:pPr>
            <w:r w:rsidRPr="00DC6371">
              <w:rPr>
                <w:u w:val="single"/>
              </w:rPr>
              <w:t xml:space="preserve">resursi izdevumu segšanai </w:t>
            </w:r>
            <w:r>
              <w:rPr>
                <w:u w:val="single"/>
              </w:rPr>
              <w:t>–</w:t>
            </w:r>
            <w:r w:rsidRPr="00DC6371">
              <w:rPr>
                <w:u w:val="single"/>
              </w:rPr>
              <w:t xml:space="preserve"> </w:t>
            </w:r>
            <w:r>
              <w:rPr>
                <w:u w:val="single"/>
              </w:rPr>
              <w:t>754 217</w:t>
            </w:r>
            <w:r w:rsidRPr="00DC6371">
              <w:rPr>
                <w:u w:val="single"/>
              </w:rPr>
              <w:t> lati</w:t>
            </w:r>
            <w:r w:rsidRPr="00DC6371">
              <w:t xml:space="preserve">, tai skaitā, dotācija no vispārējiem ieņēmumiem </w:t>
            </w:r>
            <w:r>
              <w:t>598 096</w:t>
            </w:r>
            <w:r w:rsidRPr="00DC6371">
              <w:t xml:space="preserve"> lati un ieņēmumi no maksas pakalpojumiem un citi pašu ieņēmumi </w:t>
            </w:r>
            <w:r>
              <w:t>156 121</w:t>
            </w:r>
            <w:r w:rsidRPr="00DC6371">
              <w:t xml:space="preserve"> lati;</w:t>
            </w:r>
          </w:p>
          <w:p w:rsidR="00507576" w:rsidRDefault="00507576" w:rsidP="00507576">
            <w:pPr>
              <w:jc w:val="both"/>
            </w:pPr>
            <w:r w:rsidRPr="00DC6371">
              <w:rPr>
                <w:u w:val="single"/>
              </w:rPr>
              <w:t xml:space="preserve">izdevumi </w:t>
            </w:r>
            <w:r>
              <w:rPr>
                <w:u w:val="single"/>
              </w:rPr>
              <w:t>–</w:t>
            </w:r>
            <w:r w:rsidRPr="00DC6371">
              <w:rPr>
                <w:u w:val="single"/>
              </w:rPr>
              <w:t xml:space="preserve"> </w:t>
            </w:r>
            <w:r>
              <w:rPr>
                <w:u w:val="single"/>
              </w:rPr>
              <w:t>810 073</w:t>
            </w:r>
            <w:r w:rsidRPr="00DC6371">
              <w:rPr>
                <w:u w:val="single"/>
              </w:rPr>
              <w:t> lati</w:t>
            </w:r>
            <w:r w:rsidRPr="00DC6371">
              <w:t>, ņemot vērā maksas pakalpojumu un citu pašu ieņēmumu 2010.gada naudas līdzekļu atlikum</w:t>
            </w:r>
            <w:r>
              <w:t>a 2 mēnešiem plānoto daļu</w:t>
            </w:r>
            <w:r w:rsidRPr="00DC6371">
              <w:t xml:space="preserve"> </w:t>
            </w:r>
            <w:r>
              <w:t>55 856</w:t>
            </w:r>
            <w:r w:rsidRPr="00DC6371">
              <w:t xml:space="preserve"> latu apmērā.</w:t>
            </w:r>
          </w:p>
          <w:p w:rsidR="00507576" w:rsidRDefault="00507576" w:rsidP="00507576">
            <w:pPr>
              <w:jc w:val="both"/>
            </w:pPr>
          </w:p>
          <w:p w:rsidR="00507576" w:rsidRPr="00930239" w:rsidRDefault="00507576" w:rsidP="00507576">
            <w:pPr>
              <w:jc w:val="both"/>
            </w:pPr>
            <w:r w:rsidRPr="00930239">
              <w:t xml:space="preserve">Finansējuma 2011.gada </w:t>
            </w:r>
            <w:r>
              <w:t>diviem</w:t>
            </w:r>
            <w:r w:rsidRPr="00930239">
              <w:t xml:space="preserve"> mēnešiem </w:t>
            </w:r>
            <w:r>
              <w:t>810 073</w:t>
            </w:r>
            <w:r w:rsidRPr="00930239">
              <w:t xml:space="preserve"> lati sadalījums pa izdevumu kodiem atbilstoši ekonomiskajām kategorijām:</w:t>
            </w:r>
          </w:p>
          <w:p w:rsidR="00507576" w:rsidRPr="00930239" w:rsidRDefault="00507576" w:rsidP="00507576">
            <w:pPr>
              <w:autoSpaceDE w:val="0"/>
              <w:autoSpaceDN w:val="0"/>
              <w:adjustRightInd w:val="0"/>
              <w:rPr>
                <w:lang w:val="de-DE"/>
              </w:rPr>
            </w:pPr>
            <w:r w:rsidRPr="00930239">
              <w:rPr>
                <w:lang w:val="de-DE"/>
              </w:rPr>
              <w:t xml:space="preserve">Atlīdzība (1000) -  </w:t>
            </w:r>
            <w:r>
              <w:rPr>
                <w:lang w:val="de-DE"/>
              </w:rPr>
              <w:t>372 262</w:t>
            </w:r>
            <w:r w:rsidRPr="00930239">
              <w:rPr>
                <w:lang w:val="de-DE"/>
              </w:rPr>
              <w:t xml:space="preserve"> lati;</w:t>
            </w:r>
          </w:p>
          <w:p w:rsidR="00507576" w:rsidRPr="00930239" w:rsidRDefault="00507576" w:rsidP="00507576">
            <w:pPr>
              <w:autoSpaceDE w:val="0"/>
              <w:autoSpaceDN w:val="0"/>
              <w:adjustRightInd w:val="0"/>
              <w:rPr>
                <w:lang w:val="de-DE"/>
              </w:rPr>
            </w:pPr>
            <w:r w:rsidRPr="00930239">
              <w:rPr>
                <w:lang w:val="de-DE"/>
              </w:rPr>
              <w:t xml:space="preserve">  </w:t>
            </w:r>
            <w:r>
              <w:rPr>
                <w:lang w:val="de-DE"/>
              </w:rPr>
              <w:t xml:space="preserve"> </w:t>
            </w:r>
            <w:r w:rsidRPr="00930239">
              <w:rPr>
                <w:lang w:val="de-DE"/>
              </w:rPr>
              <w:t xml:space="preserve">Atalgojums (1100) </w:t>
            </w:r>
            <w:r>
              <w:rPr>
                <w:lang w:val="de-DE"/>
              </w:rPr>
              <w:t>-</w:t>
            </w:r>
            <w:r w:rsidRPr="00930239">
              <w:rPr>
                <w:lang w:val="de-DE"/>
              </w:rPr>
              <w:t xml:space="preserve"> </w:t>
            </w:r>
            <w:r>
              <w:rPr>
                <w:lang w:val="de-DE"/>
              </w:rPr>
              <w:t>286 446</w:t>
            </w:r>
            <w:r w:rsidRPr="00930239">
              <w:rPr>
                <w:lang w:val="de-DE"/>
              </w:rPr>
              <w:t xml:space="preserve"> lati;</w:t>
            </w:r>
          </w:p>
          <w:p w:rsidR="00507576" w:rsidRPr="00930239" w:rsidRDefault="00507576" w:rsidP="00507576">
            <w:pPr>
              <w:jc w:val="both"/>
              <w:rPr>
                <w:lang w:val="de-DE"/>
              </w:rPr>
            </w:pPr>
            <w:r w:rsidRPr="00930239">
              <w:rPr>
                <w:lang w:val="de-DE"/>
              </w:rPr>
              <w:t xml:space="preserve">Preces un pakalpojumi (2000)   -  </w:t>
            </w:r>
            <w:r>
              <w:rPr>
                <w:lang w:val="de-DE"/>
              </w:rPr>
              <w:t>341 128</w:t>
            </w:r>
            <w:r w:rsidRPr="00930239">
              <w:rPr>
                <w:lang w:val="de-DE"/>
              </w:rPr>
              <w:t xml:space="preserve"> lati;</w:t>
            </w:r>
          </w:p>
          <w:p w:rsidR="00507576" w:rsidRPr="00930239" w:rsidRDefault="00507576" w:rsidP="00507576">
            <w:pPr>
              <w:jc w:val="both"/>
              <w:rPr>
                <w:lang w:val="de-DE"/>
              </w:rPr>
            </w:pPr>
            <w:r w:rsidRPr="00930239">
              <w:rPr>
                <w:lang w:val="de-DE"/>
              </w:rPr>
              <w:t xml:space="preserve">Subsīdijas un dotācijas (3000) </w:t>
            </w:r>
            <w:r>
              <w:rPr>
                <w:lang w:val="de-DE"/>
              </w:rPr>
              <w:t>–</w:t>
            </w:r>
            <w:r w:rsidRPr="00930239">
              <w:rPr>
                <w:lang w:val="de-DE"/>
              </w:rPr>
              <w:t xml:space="preserve"> </w:t>
            </w:r>
            <w:r>
              <w:rPr>
                <w:lang w:val="de-DE"/>
              </w:rPr>
              <w:t>73 623</w:t>
            </w:r>
            <w:r w:rsidRPr="00930239">
              <w:rPr>
                <w:lang w:val="de-DE"/>
              </w:rPr>
              <w:t xml:space="preserve"> lati;</w:t>
            </w:r>
          </w:p>
          <w:p w:rsidR="00507576" w:rsidRPr="00930239" w:rsidRDefault="00507576" w:rsidP="00507576">
            <w:pPr>
              <w:jc w:val="both"/>
              <w:rPr>
                <w:lang w:val="de-DE"/>
              </w:rPr>
            </w:pPr>
            <w:r w:rsidRPr="00930239">
              <w:rPr>
                <w:lang w:val="de-DE"/>
              </w:rPr>
              <w:t xml:space="preserve">Pamatkapitāla veidošana (5000) </w:t>
            </w:r>
            <w:r>
              <w:rPr>
                <w:lang w:val="de-DE"/>
              </w:rPr>
              <w:t>–</w:t>
            </w:r>
            <w:r w:rsidRPr="00930239">
              <w:rPr>
                <w:lang w:val="de-DE"/>
              </w:rPr>
              <w:t xml:space="preserve"> </w:t>
            </w:r>
            <w:r>
              <w:rPr>
                <w:lang w:val="de-DE"/>
              </w:rPr>
              <w:t>23 060</w:t>
            </w:r>
            <w:r w:rsidRPr="00930239">
              <w:rPr>
                <w:lang w:val="de-DE"/>
              </w:rPr>
              <w:t xml:space="preserve"> lati.</w:t>
            </w:r>
          </w:p>
          <w:p w:rsidR="00507576" w:rsidRPr="00203348" w:rsidRDefault="00507576" w:rsidP="00507576">
            <w:pPr>
              <w:jc w:val="both"/>
              <w:rPr>
                <w:lang w:val="de-DE"/>
              </w:rPr>
            </w:pPr>
          </w:p>
          <w:p w:rsidR="00507576" w:rsidRDefault="00507576" w:rsidP="00507576">
            <w:pPr>
              <w:jc w:val="both"/>
            </w:pPr>
            <w:r>
              <w:t xml:space="preserve">Atbilstoši ar Finanšu ministriju saskaņotajai nozares valsts pamatbudžeta bāzei (saskaņā ar Ministru kabineta 2001.gada </w:t>
            </w:r>
            <w:r>
              <w:lastRenderedPageBreak/>
              <w:t>28.marta sēdes protokola Nr.19, 2.§, 24.punkta nosacījumiem) 2012.gadā un turpmākajos gados plānots šāds finansējums:</w:t>
            </w:r>
          </w:p>
          <w:p w:rsidR="00507576" w:rsidRPr="00EA6E8B" w:rsidRDefault="00507576" w:rsidP="00507576">
            <w:pPr>
              <w:jc w:val="both"/>
            </w:pPr>
            <w:r>
              <w:t>1</w:t>
            </w:r>
            <w:r w:rsidRPr="00DC6371">
              <w:t>) </w:t>
            </w:r>
            <w:r w:rsidRPr="00DC6371">
              <w:rPr>
                <w:u w:val="single"/>
              </w:rPr>
              <w:t>Veselības norēķinu centram</w:t>
            </w:r>
            <w:r w:rsidRPr="00DC6371">
              <w:t xml:space="preserve"> valsts budžeta </w:t>
            </w:r>
            <w:r w:rsidRPr="00DC6371">
              <w:rPr>
                <w:u w:val="single"/>
              </w:rPr>
              <w:t>programmā 45.00.00</w:t>
            </w:r>
            <w:r w:rsidRPr="00DC6371">
              <w:t xml:space="preserve"> „Ārstniecības finansējuma administrēšana”</w:t>
            </w:r>
            <w:r>
              <w:t xml:space="preserve"> </w:t>
            </w:r>
            <w:r w:rsidRPr="0074405E">
              <w:t>resursi izdevumu segšanai - 2</w:t>
            </w:r>
            <w:r>
              <w:t> </w:t>
            </w:r>
            <w:r w:rsidRPr="0074405E">
              <w:t>981</w:t>
            </w:r>
            <w:r>
              <w:t> </w:t>
            </w:r>
            <w:r w:rsidRPr="0074405E">
              <w:t>792 lati</w:t>
            </w:r>
            <w:r w:rsidRPr="00DC6371">
              <w:t>, tai skaitā, dotācija no vispārējiem ieņēmumiem 2</w:t>
            </w:r>
            <w:r>
              <w:t> 866 792</w:t>
            </w:r>
            <w:r w:rsidRPr="00DC6371">
              <w:t xml:space="preserve"> lati un ieņēmumi no maksas pakalpojumiem un citi pašu ieņēmumi </w:t>
            </w:r>
            <w:r>
              <w:t xml:space="preserve">115 000 lati un </w:t>
            </w:r>
            <w:r w:rsidRPr="0074405E">
              <w:t>izdevumi - 2 981 792 lati</w:t>
            </w:r>
            <w:r>
              <w:t>;</w:t>
            </w:r>
          </w:p>
          <w:p w:rsidR="00507576" w:rsidRPr="00F206AC" w:rsidRDefault="00507576" w:rsidP="00507576">
            <w:pPr>
              <w:jc w:val="both"/>
            </w:pPr>
            <w:r w:rsidRPr="00DC6371">
              <w:t>2) </w:t>
            </w:r>
            <w:r w:rsidRPr="00F206AC">
              <w:rPr>
                <w:u w:val="single"/>
              </w:rPr>
              <w:t>Veselības ekonomikas centram</w:t>
            </w:r>
            <w:r w:rsidRPr="00F206AC">
              <w:t xml:space="preserve"> valsts budžeta </w:t>
            </w:r>
            <w:r w:rsidRPr="00F206AC">
              <w:rPr>
                <w:u w:val="single"/>
              </w:rPr>
              <w:t>programmā 47.00.00</w:t>
            </w:r>
            <w:r w:rsidRPr="00F206AC">
              <w:t xml:space="preserve"> „Veselības aprūpes ekonomiskā novērtēšana” </w:t>
            </w:r>
            <w:r w:rsidRPr="00F206AC">
              <w:rPr>
                <w:u w:val="single"/>
              </w:rPr>
              <w:t xml:space="preserve">resursi </w:t>
            </w:r>
            <w:r w:rsidRPr="00F206AC">
              <w:t>izdevumu segšanai – 1</w:t>
            </w:r>
            <w:r>
              <w:t> </w:t>
            </w:r>
            <w:r w:rsidRPr="00F206AC">
              <w:t>239</w:t>
            </w:r>
            <w:r>
              <w:t> </w:t>
            </w:r>
            <w:r w:rsidRPr="00F206AC">
              <w:t>730  lati, tai skaitā, dotācija no vispārējiem ieņēmumiem 511</w:t>
            </w:r>
            <w:r>
              <w:t> </w:t>
            </w:r>
            <w:r w:rsidRPr="00F206AC">
              <w:t>577 lati un ieņēmumi no maksas pakalpojumiem un citi pašu ieņēmumi 728 153 lati un izdevumi -</w:t>
            </w:r>
            <w:r w:rsidRPr="00F206AC">
              <w:rPr>
                <w:u w:val="single"/>
              </w:rPr>
              <w:t xml:space="preserve"> </w:t>
            </w:r>
            <w:r w:rsidRPr="00F206AC">
              <w:t xml:space="preserve">1 239 730  lati; </w:t>
            </w:r>
          </w:p>
          <w:p w:rsidR="00507576" w:rsidRDefault="00507576" w:rsidP="00507576">
            <w:pPr>
              <w:jc w:val="both"/>
            </w:pPr>
            <w:r w:rsidRPr="00DC6371">
              <w:t>3) </w:t>
            </w:r>
            <w:r w:rsidRPr="00DC6371">
              <w:rPr>
                <w:u w:val="single"/>
              </w:rPr>
              <w:t>Veselības ekonomikas centram</w:t>
            </w:r>
            <w:r w:rsidRPr="00DC6371">
              <w:t xml:space="preserve"> valsts budžeta </w:t>
            </w:r>
            <w:r w:rsidRPr="00DC6371">
              <w:rPr>
                <w:u w:val="single"/>
              </w:rPr>
              <w:t>programmā 40.00.00</w:t>
            </w:r>
            <w:r w:rsidRPr="00DC6371">
              <w:t xml:space="preserve"> „E-veselības pamatnostādņu ieviešana” </w:t>
            </w:r>
            <w:r w:rsidRPr="00F206AC">
              <w:t>resursi izdevumu segšanai –</w:t>
            </w:r>
            <w:r w:rsidRPr="00DC6371">
              <w:rPr>
                <w:u w:val="single"/>
              </w:rPr>
              <w:t xml:space="preserve"> </w:t>
            </w:r>
            <w:r w:rsidRPr="00F206AC">
              <w:t>103</w:t>
            </w:r>
            <w:r>
              <w:t> </w:t>
            </w:r>
            <w:r w:rsidRPr="00F206AC">
              <w:t>094 lati</w:t>
            </w:r>
            <w:r>
              <w:t xml:space="preserve"> </w:t>
            </w:r>
            <w:r w:rsidRPr="00DC6371">
              <w:t>dotācija</w:t>
            </w:r>
            <w:r>
              <w:t>s</w:t>
            </w:r>
            <w:r w:rsidRPr="00DC6371">
              <w:t xml:space="preserve"> no vispārējiem ieņēmumiem </w:t>
            </w:r>
            <w:r>
              <w:t xml:space="preserve">veidā un izdevumi </w:t>
            </w:r>
            <w:r w:rsidRPr="00F206AC">
              <w:t>103 094 lati</w:t>
            </w:r>
            <w:r>
              <w:t xml:space="preserve">. </w:t>
            </w:r>
          </w:p>
          <w:p w:rsidR="00507576" w:rsidRPr="00930239" w:rsidRDefault="00507576" w:rsidP="00507576">
            <w:pPr>
              <w:jc w:val="both"/>
            </w:pPr>
            <w:r>
              <w:t xml:space="preserve">Plānotā </w:t>
            </w:r>
            <w:r w:rsidRPr="00FD4A39">
              <w:t>Nacionālajam veselības dienestam</w:t>
            </w:r>
            <w:r>
              <w:t xml:space="preserve"> finansējuma 4 324 616 latu apmērā </w:t>
            </w:r>
            <w:r w:rsidRPr="00930239">
              <w:t>sadalījums pa izdevumu kodiem atbilstoši ekonomiskajām kategorijām:</w:t>
            </w:r>
          </w:p>
          <w:p w:rsidR="00507576" w:rsidRPr="00435E93" w:rsidRDefault="00507576" w:rsidP="00507576">
            <w:pPr>
              <w:autoSpaceDE w:val="0"/>
              <w:autoSpaceDN w:val="0"/>
              <w:adjustRightInd w:val="0"/>
              <w:rPr>
                <w:lang w:val="de-DE"/>
              </w:rPr>
            </w:pPr>
            <w:r w:rsidRPr="00435E93">
              <w:rPr>
                <w:lang w:val="de-DE"/>
              </w:rPr>
              <w:t>Atlīdzība (1000) -  2 127 248 lati;</w:t>
            </w:r>
          </w:p>
          <w:p w:rsidR="00507576" w:rsidRPr="00435E93" w:rsidRDefault="00507576" w:rsidP="00507576">
            <w:pPr>
              <w:autoSpaceDE w:val="0"/>
              <w:autoSpaceDN w:val="0"/>
              <w:adjustRightInd w:val="0"/>
              <w:rPr>
                <w:lang w:val="de-DE"/>
              </w:rPr>
            </w:pPr>
            <w:r w:rsidRPr="00435E93">
              <w:rPr>
                <w:lang w:val="de-DE"/>
              </w:rPr>
              <w:t xml:space="preserve">  </w:t>
            </w:r>
            <w:r>
              <w:rPr>
                <w:lang w:val="de-DE"/>
              </w:rPr>
              <w:t xml:space="preserve">  </w:t>
            </w:r>
            <w:r w:rsidRPr="00435E93">
              <w:rPr>
                <w:lang w:val="de-DE"/>
              </w:rPr>
              <w:t xml:space="preserve">Atalgojums (1100) </w:t>
            </w:r>
            <w:r>
              <w:rPr>
                <w:lang w:val="de-DE"/>
              </w:rPr>
              <w:t>-</w:t>
            </w:r>
            <w:r w:rsidRPr="00435E93">
              <w:rPr>
                <w:lang w:val="de-DE"/>
              </w:rPr>
              <w:t xml:space="preserve"> 1 672 266 lati;</w:t>
            </w:r>
          </w:p>
          <w:p w:rsidR="00507576" w:rsidRPr="00A57516" w:rsidRDefault="00507576" w:rsidP="00507576">
            <w:pPr>
              <w:autoSpaceDE w:val="0"/>
              <w:autoSpaceDN w:val="0"/>
              <w:adjustRightInd w:val="0"/>
              <w:rPr>
                <w:lang w:val="de-DE"/>
              </w:rPr>
            </w:pPr>
            <w:r w:rsidRPr="00435E93">
              <w:rPr>
                <w:lang w:val="de-DE"/>
              </w:rPr>
              <w:t>Preces un pakalpojumi (2000)  -  1 664 214 lati</w:t>
            </w:r>
            <w:r w:rsidRPr="00A57516">
              <w:rPr>
                <w:lang w:val="de-DE"/>
              </w:rPr>
              <w:t>;</w:t>
            </w:r>
          </w:p>
          <w:p w:rsidR="00507576" w:rsidRPr="00A57516" w:rsidRDefault="00507576" w:rsidP="00507576">
            <w:pPr>
              <w:jc w:val="both"/>
              <w:rPr>
                <w:lang w:val="de-DE"/>
              </w:rPr>
            </w:pPr>
            <w:r w:rsidRPr="00A57516">
              <w:rPr>
                <w:lang w:val="de-DE"/>
              </w:rPr>
              <w:t xml:space="preserve">Subsīdijas un dotācijas (3000) </w:t>
            </w:r>
            <w:r>
              <w:rPr>
                <w:lang w:val="de-DE"/>
              </w:rPr>
              <w:t>-</w:t>
            </w:r>
            <w:r w:rsidRPr="00A57516">
              <w:rPr>
                <w:lang w:val="de-DE"/>
              </w:rPr>
              <w:t xml:space="preserve"> </w:t>
            </w:r>
            <w:r>
              <w:rPr>
                <w:lang w:val="de-DE"/>
              </w:rPr>
              <w:t xml:space="preserve"> </w:t>
            </w:r>
            <w:r w:rsidRPr="00A57516">
              <w:rPr>
                <w:lang w:val="de-DE"/>
              </w:rPr>
              <w:t>441 743 lati;</w:t>
            </w:r>
          </w:p>
          <w:p w:rsidR="00507576" w:rsidRPr="00A57516" w:rsidRDefault="00507576" w:rsidP="00507576">
            <w:pPr>
              <w:jc w:val="both"/>
              <w:rPr>
                <w:lang w:val="de-DE"/>
              </w:rPr>
            </w:pPr>
            <w:r w:rsidRPr="00A57516">
              <w:rPr>
                <w:lang w:val="de-DE"/>
              </w:rPr>
              <w:t xml:space="preserve">Pamatkapitāla veidošana (5000) </w:t>
            </w:r>
            <w:r>
              <w:rPr>
                <w:lang w:val="de-DE"/>
              </w:rPr>
              <w:t>-</w:t>
            </w:r>
            <w:r w:rsidRPr="00A57516">
              <w:rPr>
                <w:lang w:val="de-DE"/>
              </w:rPr>
              <w:t xml:space="preserve"> </w:t>
            </w:r>
            <w:r>
              <w:rPr>
                <w:lang w:val="de-DE"/>
              </w:rPr>
              <w:t xml:space="preserve"> </w:t>
            </w:r>
            <w:r w:rsidRPr="00A57516">
              <w:rPr>
                <w:lang w:val="de-DE"/>
              </w:rPr>
              <w:t>91 411 lati.</w:t>
            </w:r>
          </w:p>
          <w:p w:rsidR="00507576" w:rsidRDefault="00507576" w:rsidP="00507576">
            <w:pPr>
              <w:jc w:val="both"/>
            </w:pPr>
            <w:r>
              <w:t xml:space="preserve">   </w:t>
            </w:r>
          </w:p>
          <w:p w:rsidR="00507576" w:rsidRPr="00A57516" w:rsidRDefault="00507576" w:rsidP="00507576">
            <w:pPr>
              <w:jc w:val="both"/>
            </w:pPr>
            <w:r>
              <w:t xml:space="preserve">  </w:t>
            </w:r>
            <w:r w:rsidRPr="00A57516">
              <w:t xml:space="preserve">Nacionālajam veselības dienestam finanšu līdzekļi 2011.gada </w:t>
            </w:r>
            <w:r>
              <w:t>diviem</w:t>
            </w:r>
            <w:r w:rsidRPr="00A57516">
              <w:t xml:space="preserve"> mēnešiem tiks plānoti valsts budžeta programmā 45.00.00 „Ārstniecības finansējuma administrēšana”, atverot </w:t>
            </w:r>
            <w:r>
              <w:t>jaunajai iestādei atsevišķu</w:t>
            </w:r>
            <w:r w:rsidRPr="00A57516">
              <w:t xml:space="preserve"> finansēšanas plānu. </w:t>
            </w:r>
          </w:p>
          <w:p w:rsidR="00507576" w:rsidRDefault="00507576" w:rsidP="00507576">
            <w:pPr>
              <w:jc w:val="both"/>
            </w:pPr>
          </w:p>
          <w:p w:rsidR="00507576" w:rsidRDefault="00507576" w:rsidP="00507576">
            <w:pPr>
              <w:jc w:val="both"/>
            </w:pPr>
            <w:r w:rsidRPr="00BE5FD3">
              <w:rPr>
                <w:b/>
              </w:rPr>
              <w:t xml:space="preserve">Rīkojuma projekta </w:t>
            </w:r>
            <w:r w:rsidRPr="00BE5FD3">
              <w:rPr>
                <w:b/>
                <w:u w:val="single"/>
              </w:rPr>
              <w:t>finansiālā ietekme</w:t>
            </w:r>
            <w:r w:rsidRPr="00BE5FD3">
              <w:rPr>
                <w:b/>
              </w:rPr>
              <w:t xml:space="preserve"> uz valsts budžetu </w:t>
            </w:r>
            <w:r w:rsidRPr="00BE5FD3">
              <w:rPr>
                <w:b/>
                <w:u w:val="single"/>
              </w:rPr>
              <w:t>2011.gadā un turpmākajos gados ir 0</w:t>
            </w:r>
            <w:r>
              <w:t xml:space="preserve">. Budžeta līdzekļu ekonomija nerodas, jo budžeta iestāžu apvienošanas rezultātā jaunizveidotajam Nacionālajam veselības dienestam būs jāveic plašākas funkcijas, tiks izveidotas struktūrvienības, kas nodrošinās Ārstniecības riska fonda darbību atbilstoši Pacientu tiesību likumā paredzētajam un e-veselības politikas īstenošanu valstī. </w:t>
            </w:r>
          </w:p>
          <w:p w:rsidR="00507576" w:rsidRDefault="00507576" w:rsidP="00507576">
            <w:pPr>
              <w:jc w:val="both"/>
            </w:pPr>
          </w:p>
          <w:p w:rsidR="00507576" w:rsidRDefault="00507576" w:rsidP="00507576">
            <w:pPr>
              <w:jc w:val="both"/>
            </w:pPr>
            <w:r>
              <w:t xml:space="preserve">Esošais </w:t>
            </w:r>
            <w:r w:rsidRPr="00801CE8">
              <w:rPr>
                <w:u w:val="single"/>
              </w:rPr>
              <w:t>amata vietu skaits</w:t>
            </w:r>
            <w:r>
              <w:t xml:space="preserve"> reorganizējamām iestādēm atbilstoši 2011.gada budžetam ar grozījumiem:</w:t>
            </w:r>
          </w:p>
          <w:p w:rsidR="00507576" w:rsidRDefault="00507576" w:rsidP="00507576">
            <w:pPr>
              <w:jc w:val="both"/>
            </w:pPr>
            <w:r>
              <w:t>Veselības norēķinu centram – 139 amata vietas;</w:t>
            </w:r>
          </w:p>
          <w:p w:rsidR="00507576" w:rsidRDefault="00507576" w:rsidP="00507576">
            <w:pPr>
              <w:jc w:val="both"/>
            </w:pPr>
            <w:r>
              <w:t>Veselības ekonomikas centram – pamatfunkciju izpildei 75 amata vietas, tai skaitā programmā 47.00.00 – 72 amata vietas (grozījumos bija 71 amata vieta, bet 2011.gada jūlijā 1 amata vieta pārcelta no Valsts tiesu medicīnas ekspertīzes centra) un programmā 40.00.00 – 3 amata vietas.</w:t>
            </w:r>
          </w:p>
          <w:p w:rsidR="00507576" w:rsidRPr="00EA6E8B" w:rsidRDefault="00507576" w:rsidP="00507576">
            <w:pPr>
              <w:jc w:val="both"/>
            </w:pPr>
            <w:r>
              <w:t xml:space="preserve">Kopā reorganizējamām iestādēm 2011.gadā – </w:t>
            </w:r>
            <w:r w:rsidRPr="00BE5FD3">
              <w:rPr>
                <w:u w:val="single"/>
              </w:rPr>
              <w:t>214 amata vietas</w:t>
            </w:r>
            <w:r>
              <w:t>.</w:t>
            </w:r>
          </w:p>
          <w:p w:rsidR="00507576" w:rsidRDefault="00507576" w:rsidP="00507576">
            <w:pPr>
              <w:jc w:val="both"/>
            </w:pPr>
            <w:r>
              <w:t xml:space="preserve">Tādējādi Nacionālajam veselības dienestam no 2011.gada 1.novembra būs </w:t>
            </w:r>
            <w:r w:rsidRPr="00714EC9">
              <w:rPr>
                <w:u w:val="single"/>
              </w:rPr>
              <w:t>214 amata vietas</w:t>
            </w:r>
            <w:r>
              <w:t xml:space="preserve">, kas paredzētas valsts budžeta </w:t>
            </w:r>
            <w:r w:rsidRPr="00A722CF">
              <w:rPr>
                <w:u w:val="single"/>
              </w:rPr>
              <w:t>pamatfunkciju</w:t>
            </w:r>
            <w:r>
              <w:t xml:space="preserve"> izpildei.</w:t>
            </w:r>
          </w:p>
          <w:p w:rsidR="00507576" w:rsidRDefault="00507576" w:rsidP="00507576">
            <w:pPr>
              <w:jc w:val="both"/>
            </w:pPr>
            <w:r w:rsidRPr="001402D1">
              <w:t>Atbilstoši Ministru kabineta rīkojuma „</w:t>
            </w:r>
            <w:r w:rsidRPr="001402D1">
              <w:rPr>
                <w:bCs/>
              </w:rPr>
              <w:t xml:space="preserve">Par Veselības norēķinu centra </w:t>
            </w:r>
            <w:r w:rsidRPr="001402D1">
              <w:rPr>
                <w:bCs/>
              </w:rPr>
              <w:lastRenderedPageBreak/>
              <w:t>un Veselības ekonomikas centra reorganizāciju” projektā paredzētajam</w:t>
            </w:r>
            <w:r>
              <w:rPr>
                <w:bCs/>
              </w:rPr>
              <w:t>,</w:t>
            </w:r>
            <w:r w:rsidRPr="001402D1">
              <w:rPr>
                <w:bCs/>
              </w:rPr>
              <w:t xml:space="preserve"> </w:t>
            </w:r>
            <w:r w:rsidRPr="001402D1">
              <w:t xml:space="preserve">nedēļas laikā pēc šī rīkojuma stāšanās spēkā tiks izveidota Veselības </w:t>
            </w:r>
            <w:r w:rsidRPr="001402D1">
              <w:rPr>
                <w:bCs/>
              </w:rPr>
              <w:t>norēķinu centra</w:t>
            </w:r>
            <w:r w:rsidRPr="001402D1">
              <w:t xml:space="preserve"> un Veselības </w:t>
            </w:r>
            <w:r w:rsidRPr="001402D1">
              <w:rPr>
                <w:bCs/>
              </w:rPr>
              <w:t>ekonomikas centra</w:t>
            </w:r>
            <w:r w:rsidRPr="001402D1">
              <w:t xml:space="preserve"> reorganizācijas komisija, kas veiks materiālo un finanšu līdzekļu inventarizāciju, noteiks mantas vērtību un saistību apjomu, kā arī nodrošinās finanšu līdzekļu, mantas, saistību un lietvedības nodošanu Nacionālajam veselības dienestam. Pēc rīkojuma spēkā stāšanās tiks sagatavots jauns štatu saraksts ar attiecīgajām mēnešalgām, ievērojot normatīvo aktu prasības.</w:t>
            </w:r>
          </w:p>
          <w:p w:rsidR="00507576" w:rsidRDefault="00507576" w:rsidP="00507576">
            <w:pPr>
              <w:jc w:val="both"/>
            </w:pPr>
          </w:p>
          <w:p w:rsidR="00507576" w:rsidRDefault="00507576" w:rsidP="00507576">
            <w:pPr>
              <w:jc w:val="both"/>
            </w:pPr>
            <w:r>
              <w:t xml:space="preserve">Attiecībā uz </w:t>
            </w:r>
            <w:r w:rsidRPr="00EA6E8B">
              <w:t>Nacionālajam veselības dienestam</w:t>
            </w:r>
            <w:r>
              <w:t xml:space="preserve"> paredzēto divu mēnešu finansējumu </w:t>
            </w:r>
            <w:r w:rsidRPr="00E14602">
              <w:t>(</w:t>
            </w:r>
            <w:r>
              <w:t>754 217 </w:t>
            </w:r>
            <w:r w:rsidRPr="00E14602">
              <w:t>lati</w:t>
            </w:r>
            <w:r>
              <w:t xml:space="preserve"> ieņēmumos, 810 073 lati izdevumos, 55 856 lati – 2010.gada pašu ieņēmumu līdzekļu atlikuma daļa) Veselības ministrija normatīvajos aktos noteiktajā kārtībā sagatavos un iesniegs Finanšu ministrijā pieprasījumu par apropriācijas pārdali no programmas </w:t>
            </w:r>
            <w:r w:rsidRPr="00E14602">
              <w:t>47.00.00</w:t>
            </w:r>
            <w:r w:rsidRPr="00DC6371">
              <w:t xml:space="preserve"> „Veselības aprūpes ekonomiskā novērtēšana”</w:t>
            </w:r>
            <w:r>
              <w:t xml:space="preserve"> un programmas 40.00.00 „E-veselības pamatnostādņu ieviešana” uz programmu </w:t>
            </w:r>
            <w:r w:rsidRPr="00E14602">
              <w:t>45.00.00</w:t>
            </w:r>
            <w:r w:rsidRPr="00DC6371">
              <w:t xml:space="preserve"> „Ārstniecības finansējuma administrēšana”</w:t>
            </w:r>
            <w:r>
              <w:t>.</w:t>
            </w:r>
          </w:p>
          <w:p w:rsidR="00507576" w:rsidRDefault="00507576" w:rsidP="00507576">
            <w:pPr>
              <w:jc w:val="both"/>
            </w:pPr>
          </w:p>
          <w:p w:rsidR="004F5B51" w:rsidRPr="00DC6371" w:rsidRDefault="00507576" w:rsidP="00320667">
            <w:pPr>
              <w:jc w:val="both"/>
            </w:pPr>
            <w:r>
              <w:t xml:space="preserve">Saskaņā ar Ministru kabineta 2009.gada 3.oktobra noteikumu Nr.1127 „Noteikumi par budžeta pieprasījumu izstrādāšanas un iesniegšanas pamatprincipiem” nosacījumiem 2012.–2014.gada budžeta pieprasījuma sagatavošanas procesā Veselības ministrija pamatbudžetā izveidos jaunu programmu, iekļaujot tajā </w:t>
            </w:r>
            <w:r w:rsidRPr="00EA6E8B">
              <w:t>Nacionālajam veselības dienestam</w:t>
            </w:r>
            <w:r>
              <w:t xml:space="preserve"> 2012.-2014.gadam plānoto finansējumu un saskaņojot programmas nosaukumu un numuru ar Finanšu ministriju.   </w:t>
            </w:r>
          </w:p>
        </w:tc>
      </w:tr>
      <w:tr w:rsidR="004F5B51" w:rsidRPr="002729EE" w:rsidTr="00320667">
        <w:trPr>
          <w:jc w:val="center"/>
        </w:trPr>
        <w:tc>
          <w:tcPr>
            <w:tcW w:w="2661" w:type="dxa"/>
          </w:tcPr>
          <w:p w:rsidR="004F5B51" w:rsidRPr="002729EE" w:rsidRDefault="004F5B51" w:rsidP="00320667">
            <w:pPr>
              <w:jc w:val="both"/>
            </w:pPr>
            <w:r w:rsidRPr="002729EE">
              <w:lastRenderedPageBreak/>
              <w:t>7. Cita informācija</w:t>
            </w:r>
          </w:p>
        </w:tc>
        <w:tc>
          <w:tcPr>
            <w:tcW w:w="6804" w:type="dxa"/>
            <w:gridSpan w:val="5"/>
          </w:tcPr>
          <w:p w:rsidR="00507576" w:rsidRDefault="00507576" w:rsidP="00507576">
            <w:pPr>
              <w:pStyle w:val="NormalWeb"/>
              <w:spacing w:before="0" w:beforeAutospacing="0" w:after="0"/>
              <w:jc w:val="both"/>
              <w:rPr>
                <w:rFonts w:eastAsia="Calibri"/>
                <w:bCs/>
              </w:rPr>
            </w:pPr>
            <w:r>
              <w:rPr>
                <w:rFonts w:eastAsia="Calibri"/>
                <w:bCs/>
              </w:rPr>
              <w:t xml:space="preserve">Visas funkcijas, finansējumu un amata vietas </w:t>
            </w:r>
            <w:r w:rsidRPr="00A722CF">
              <w:rPr>
                <w:rFonts w:eastAsia="Calibri"/>
                <w:bCs/>
                <w:u w:val="single"/>
              </w:rPr>
              <w:t>saistībā ar Eiropas Savienības finanšu instrumentu un pārējās ārvalstu finanšu palīdzības līdzfinansēto projektu īstenošanu</w:t>
            </w:r>
            <w:r>
              <w:rPr>
                <w:rFonts w:eastAsia="Calibri"/>
                <w:bCs/>
              </w:rPr>
              <w:t>, ko 2011.gadā realizē Veselības ekonomikas centrs un Veselības norēķinu centrs, no 2011.gada 1.novembra pārņems Nacionālais veselības dienests, tai skaitā:</w:t>
            </w:r>
          </w:p>
          <w:p w:rsidR="00507576" w:rsidRDefault="00507576" w:rsidP="00507576">
            <w:pPr>
              <w:pStyle w:val="NormalWeb"/>
              <w:spacing w:before="120" w:beforeAutospacing="0" w:after="0"/>
              <w:jc w:val="both"/>
              <w:rPr>
                <w:rFonts w:eastAsia="Calibri"/>
                <w:bCs/>
              </w:rPr>
            </w:pPr>
            <w:r>
              <w:rPr>
                <w:rFonts w:eastAsia="Calibri"/>
                <w:bCs/>
              </w:rPr>
              <w:t>1) Tehniskās palīdzības projekts Nr. </w:t>
            </w:r>
            <w:r w:rsidRPr="008B4652">
              <w:rPr>
                <w:rFonts w:eastAsia="Calibri"/>
                <w:bCs/>
              </w:rPr>
              <w:t>VSID/TP/CFLA/08/07/</w:t>
            </w:r>
            <w:r>
              <w:rPr>
                <w:rFonts w:eastAsia="Calibri"/>
                <w:bCs/>
              </w:rPr>
              <w:t>011 „</w:t>
            </w:r>
            <w:r w:rsidRPr="008B4652">
              <w:rPr>
                <w:rFonts w:eastAsia="Calibri"/>
                <w:bCs/>
              </w:rPr>
              <w:t>Tehniskā palīdzība Veselības ekonomikas centram Eiropas Savienības fondu atbalsta funkciju nodrošināšanai</w:t>
            </w:r>
            <w:r>
              <w:rPr>
                <w:rFonts w:eastAsia="Calibri"/>
                <w:bCs/>
              </w:rPr>
              <w:t xml:space="preserve">” (2011.gada finansējums 743 797 lati un </w:t>
            </w:r>
            <w:r w:rsidRPr="00816495">
              <w:rPr>
                <w:rFonts w:eastAsia="Calibri"/>
                <w:bCs/>
                <w:u w:val="single"/>
              </w:rPr>
              <w:t>21 amata vieta</w:t>
            </w:r>
            <w:r>
              <w:rPr>
                <w:rFonts w:eastAsia="Calibri"/>
                <w:bCs/>
              </w:rPr>
              <w:t>);</w:t>
            </w:r>
          </w:p>
          <w:p w:rsidR="00507576" w:rsidRDefault="00507576" w:rsidP="00507576">
            <w:pPr>
              <w:pStyle w:val="NormalWeb"/>
              <w:spacing w:before="120" w:beforeAutospacing="0" w:after="0"/>
              <w:jc w:val="both"/>
              <w:rPr>
                <w:rFonts w:eastAsia="Calibri"/>
                <w:bCs/>
              </w:rPr>
            </w:pPr>
            <w:r>
              <w:rPr>
                <w:rFonts w:eastAsia="Calibri"/>
                <w:bCs/>
              </w:rPr>
              <w:t>2) </w:t>
            </w:r>
            <w:r w:rsidRPr="00430004">
              <w:rPr>
                <w:rFonts w:eastAsia="Calibri"/>
                <w:bCs/>
              </w:rPr>
              <w:t>Eiropas Reģionālās attīstības fonda (ERAF)</w:t>
            </w:r>
            <w:r>
              <w:rPr>
                <w:rFonts w:eastAsia="Calibri"/>
                <w:bCs/>
              </w:rPr>
              <w:t xml:space="preserve"> projekti </w:t>
            </w:r>
            <w:r w:rsidRPr="00430004">
              <w:rPr>
                <w:rFonts w:eastAsia="Calibri"/>
                <w:bCs/>
              </w:rPr>
              <w:t>3.2.2.1.1.apakšaktivitāte</w:t>
            </w:r>
            <w:r>
              <w:rPr>
                <w:rFonts w:eastAsia="Calibri"/>
                <w:bCs/>
              </w:rPr>
              <w:t>s</w:t>
            </w:r>
            <w:r w:rsidRPr="00430004">
              <w:rPr>
                <w:rFonts w:eastAsia="Calibri"/>
                <w:bCs/>
              </w:rPr>
              <w:t xml:space="preserve"> </w:t>
            </w:r>
            <w:r>
              <w:rPr>
                <w:rFonts w:eastAsia="Calibri"/>
                <w:bCs/>
              </w:rPr>
              <w:t>„</w:t>
            </w:r>
            <w:r w:rsidRPr="00430004">
              <w:rPr>
                <w:rFonts w:eastAsia="Calibri"/>
                <w:bCs/>
              </w:rPr>
              <w:t>Informācijas sistēmu un elektronisko pakalpojumu attīstība</w:t>
            </w:r>
            <w:r>
              <w:rPr>
                <w:rFonts w:eastAsia="Calibri"/>
                <w:bCs/>
              </w:rPr>
              <w:t>” ietvaros (Veselības ekonomikas centra izpildāmo e-veselības projektu 2011.gada finansējums 1 690 719 lati);</w:t>
            </w:r>
          </w:p>
          <w:p w:rsidR="00507576" w:rsidRDefault="00507576" w:rsidP="00507576">
            <w:pPr>
              <w:pStyle w:val="NormalWeb"/>
              <w:spacing w:before="120" w:beforeAutospacing="0" w:after="0"/>
              <w:jc w:val="both"/>
              <w:rPr>
                <w:rFonts w:eastAsia="Calibri"/>
                <w:bCs/>
              </w:rPr>
            </w:pPr>
            <w:r>
              <w:rPr>
                <w:rFonts w:eastAsia="Calibri"/>
                <w:bCs/>
              </w:rPr>
              <w:t>3) </w:t>
            </w:r>
            <w:r w:rsidRPr="00430004">
              <w:rPr>
                <w:rFonts w:eastAsia="Calibri"/>
                <w:bCs/>
              </w:rPr>
              <w:t>Eiropas Reģionālās attīstības fonda (ERAF) avansa maksājumi un atmaksas finansējuma saņēmējiem (2007-2013)</w:t>
            </w:r>
            <w:r>
              <w:rPr>
                <w:rFonts w:eastAsia="Calibri"/>
                <w:bCs/>
              </w:rPr>
              <w:t xml:space="preserve"> (Veselības ekonomikas centra administrēto aktivitāšu (stacionāriem, veselības centriem un ģimenes ārstiem) 2011.gada kopējais finansējums 27 051 488 lati);</w:t>
            </w:r>
          </w:p>
          <w:p w:rsidR="00507576" w:rsidRDefault="00507576" w:rsidP="00507576">
            <w:pPr>
              <w:pStyle w:val="NormalWeb"/>
              <w:spacing w:before="120" w:beforeAutospacing="0" w:after="0"/>
              <w:jc w:val="both"/>
              <w:rPr>
                <w:rFonts w:eastAsia="Calibri"/>
                <w:bCs/>
              </w:rPr>
            </w:pPr>
            <w:r>
              <w:rPr>
                <w:rFonts w:eastAsia="Calibri"/>
                <w:bCs/>
              </w:rPr>
              <w:t>4) </w:t>
            </w:r>
            <w:r w:rsidRPr="00430004">
              <w:rPr>
                <w:rFonts w:eastAsia="Calibri"/>
                <w:bCs/>
              </w:rPr>
              <w:t>Atmaksas valsts pamatbudžetā par Eiropas Reģionālās attīstības fonda (ERAF) finansējumu (2007-2013)</w:t>
            </w:r>
            <w:r>
              <w:rPr>
                <w:rFonts w:eastAsia="Calibri"/>
                <w:bCs/>
              </w:rPr>
              <w:t xml:space="preserve">, ko veic Veselības ekonomikas centrs (2011.gadā dotācija atmaksām pamatbudžetā </w:t>
            </w:r>
            <w:r>
              <w:rPr>
                <w:rFonts w:eastAsia="Calibri"/>
                <w:bCs/>
              </w:rPr>
              <w:lastRenderedPageBreak/>
              <w:t>3 148 923 lati);</w:t>
            </w:r>
          </w:p>
          <w:p w:rsidR="00507576" w:rsidRDefault="00507576" w:rsidP="00507576">
            <w:pPr>
              <w:pStyle w:val="NormalWeb"/>
              <w:spacing w:before="120" w:beforeAutospacing="0" w:after="0"/>
              <w:jc w:val="both"/>
              <w:rPr>
                <w:rFonts w:eastAsia="Calibri"/>
                <w:bCs/>
              </w:rPr>
            </w:pPr>
            <w:r>
              <w:rPr>
                <w:rFonts w:eastAsia="Calibri"/>
                <w:bCs/>
              </w:rPr>
              <w:t>5) </w:t>
            </w:r>
            <w:r w:rsidRPr="00430004">
              <w:rPr>
                <w:rFonts w:eastAsia="Calibri"/>
                <w:bCs/>
              </w:rPr>
              <w:t xml:space="preserve">Atmaksas valsts pamatbudžetā par Eiropas </w:t>
            </w:r>
            <w:r>
              <w:rPr>
                <w:rFonts w:eastAsia="Calibri"/>
                <w:bCs/>
              </w:rPr>
              <w:t>Sociālā</w:t>
            </w:r>
            <w:r w:rsidRPr="00430004">
              <w:rPr>
                <w:rFonts w:eastAsia="Calibri"/>
                <w:bCs/>
              </w:rPr>
              <w:t xml:space="preserve"> fonda (E</w:t>
            </w:r>
            <w:r>
              <w:rPr>
                <w:rFonts w:eastAsia="Calibri"/>
                <w:bCs/>
              </w:rPr>
              <w:t>S</w:t>
            </w:r>
            <w:r w:rsidRPr="00430004">
              <w:rPr>
                <w:rFonts w:eastAsia="Calibri"/>
                <w:bCs/>
              </w:rPr>
              <w:t>F) finansējumu (2007-2013)</w:t>
            </w:r>
            <w:r>
              <w:rPr>
                <w:rFonts w:eastAsia="Calibri"/>
                <w:bCs/>
              </w:rPr>
              <w:t>, ko veic Veselības ekonomikas centrs (2011.gadā dotācija atmaksām pamatbudžetā 2 120 220 lati, 2012.gadā - 1 205 630 lati);</w:t>
            </w:r>
          </w:p>
          <w:p w:rsidR="00507576" w:rsidRDefault="00507576" w:rsidP="00507576">
            <w:pPr>
              <w:pStyle w:val="NormalWeb"/>
              <w:spacing w:before="120" w:beforeAutospacing="0" w:after="0"/>
              <w:jc w:val="both"/>
              <w:rPr>
                <w:rFonts w:eastAsia="Calibri"/>
                <w:bCs/>
              </w:rPr>
            </w:pPr>
            <w:r>
              <w:rPr>
                <w:rFonts w:eastAsia="Calibri"/>
                <w:bCs/>
              </w:rPr>
              <w:t>6) </w:t>
            </w:r>
            <w:r w:rsidRPr="00713C4F">
              <w:rPr>
                <w:rFonts w:eastAsia="Calibri"/>
                <w:bCs/>
              </w:rPr>
              <w:t>3.mērķa "Eiropas teritoriālā sadarbība" pārrobežu sadarbības programmu, projektu un pasākumu īstenošan</w:t>
            </w:r>
            <w:r>
              <w:rPr>
                <w:rFonts w:eastAsia="Calibri"/>
                <w:bCs/>
              </w:rPr>
              <w:t>as ietvaros realizētais projekts „</w:t>
            </w:r>
            <w:proofErr w:type="spellStart"/>
            <w:r w:rsidRPr="00713C4F">
              <w:rPr>
                <w:rFonts w:eastAsia="Calibri"/>
                <w:bCs/>
              </w:rPr>
              <w:t>ImPrim</w:t>
            </w:r>
            <w:proofErr w:type="spellEnd"/>
            <w:r w:rsidRPr="00713C4F">
              <w:rPr>
                <w:rFonts w:eastAsia="Calibri"/>
                <w:bCs/>
              </w:rPr>
              <w:t xml:space="preserve"> - Sabiedrības veselības uzlabošana, veicinot vienlīdzīgi pieejamu augstas kvalitātes primārās veselības aprūpes sistēmu</w:t>
            </w:r>
            <w:r>
              <w:rPr>
                <w:rFonts w:eastAsia="Calibri"/>
                <w:bCs/>
              </w:rPr>
              <w:t xml:space="preserve">”, ko realizē Veselības ekonomikas centrs (finansējums 2011.gadā - 59 942 lati, 2012.gadā - 53 360 lati, </w:t>
            </w:r>
            <w:r w:rsidRPr="00816495">
              <w:rPr>
                <w:rFonts w:eastAsia="Calibri"/>
                <w:bCs/>
                <w:u w:val="single"/>
              </w:rPr>
              <w:t>3 amata vietas</w:t>
            </w:r>
            <w:r>
              <w:rPr>
                <w:rFonts w:eastAsia="Calibri"/>
                <w:bCs/>
              </w:rPr>
              <w:t>);</w:t>
            </w:r>
          </w:p>
          <w:p w:rsidR="00507576" w:rsidRDefault="00507576" w:rsidP="00507576">
            <w:pPr>
              <w:pStyle w:val="NormalWeb"/>
              <w:spacing w:before="120" w:beforeAutospacing="0" w:after="0"/>
              <w:jc w:val="both"/>
              <w:rPr>
                <w:rFonts w:eastAsia="Calibri"/>
              </w:rPr>
            </w:pPr>
            <w:r>
              <w:rPr>
                <w:rFonts w:eastAsia="Calibri"/>
                <w:bCs/>
              </w:rPr>
              <w:t>7)</w:t>
            </w:r>
            <w:r>
              <w:rPr>
                <w:rFonts w:eastAsia="Calibri"/>
              </w:rPr>
              <w:t xml:space="preserve"> Citu ES politiku instrumentu līdzfinansētais projekts </w:t>
            </w:r>
            <w:r w:rsidRPr="00713C4F">
              <w:rPr>
                <w:rFonts w:eastAsia="Calibri"/>
              </w:rPr>
              <w:t>CESPI/VM/002</w:t>
            </w:r>
            <w:r>
              <w:rPr>
                <w:rFonts w:eastAsia="Calibri"/>
              </w:rPr>
              <w:t xml:space="preserve"> „Narkotiku uzraudzības monitoringa fokālais punkts”, ko realizē Veselības ekonomikas centrs (2011.-2014.gadā finansējums 102 272 lati, tai skaitā valsts budžeta dotācija 51 136 lati, ārvalstu finansējums 51 136 lati, </w:t>
            </w:r>
            <w:r w:rsidRPr="00816495">
              <w:rPr>
                <w:rFonts w:eastAsia="Calibri"/>
                <w:u w:val="single"/>
              </w:rPr>
              <w:t>3 amata vietas</w:t>
            </w:r>
            <w:r>
              <w:rPr>
                <w:rFonts w:eastAsia="Calibri"/>
              </w:rPr>
              <w:t>);</w:t>
            </w:r>
          </w:p>
          <w:p w:rsidR="00507576" w:rsidRPr="00713C4F" w:rsidRDefault="00507576" w:rsidP="00507576">
            <w:pPr>
              <w:pStyle w:val="NormalWeb"/>
              <w:spacing w:before="120" w:beforeAutospacing="0" w:after="0"/>
              <w:jc w:val="both"/>
              <w:rPr>
                <w:rFonts w:eastAsia="Calibri"/>
              </w:rPr>
            </w:pPr>
            <w:r>
              <w:rPr>
                <w:rFonts w:eastAsia="Calibri"/>
              </w:rPr>
              <w:t xml:space="preserve">8) Eiropas Sociālā fonda 2007.-2013.gada plānošanas perioda </w:t>
            </w:r>
            <w:proofErr w:type="spellStart"/>
            <w:r w:rsidRPr="00785FE5">
              <w:rPr>
                <w:rFonts w:eastAsia="Calibri"/>
              </w:rPr>
              <w:t>apakšaktivitāte</w:t>
            </w:r>
            <w:r>
              <w:rPr>
                <w:rFonts w:eastAsia="Calibri"/>
              </w:rPr>
              <w:t>s</w:t>
            </w:r>
            <w:proofErr w:type="spellEnd"/>
            <w:r w:rsidRPr="00785FE5">
              <w:rPr>
                <w:rFonts w:eastAsia="Calibri"/>
              </w:rPr>
              <w:t xml:space="preserve"> 1.5.1.3. </w:t>
            </w:r>
            <w:r>
              <w:rPr>
                <w:rFonts w:eastAsia="Calibri"/>
              </w:rPr>
              <w:t>„</w:t>
            </w:r>
            <w:r w:rsidRPr="00785FE5">
              <w:rPr>
                <w:rFonts w:eastAsia="Calibri"/>
              </w:rPr>
              <w:t>Publisko varu realizējošo institūciju darbības un kvalitātes efektivitātes paaugstināšana</w:t>
            </w:r>
            <w:r>
              <w:rPr>
                <w:rFonts w:eastAsia="Calibri"/>
              </w:rPr>
              <w:t xml:space="preserve">” ietvaros finansētais projekts </w:t>
            </w:r>
            <w:r w:rsidRPr="00785FE5">
              <w:rPr>
                <w:rFonts w:eastAsia="Calibri"/>
              </w:rPr>
              <w:t>1DP/1.5.1.3.2/09APIA/SIF/053</w:t>
            </w:r>
            <w:r>
              <w:rPr>
                <w:rFonts w:eastAsia="Calibri"/>
              </w:rPr>
              <w:t xml:space="preserve"> „</w:t>
            </w:r>
            <w:r w:rsidRPr="00785FE5">
              <w:rPr>
                <w:rFonts w:eastAsia="Calibri"/>
              </w:rPr>
              <w:t>Procesu pieejas ieviešana Veselības norēķinu centra sniegto pakalpojumu kvalitātes paaugstināšanai</w:t>
            </w:r>
            <w:r>
              <w:rPr>
                <w:rFonts w:eastAsia="Calibri"/>
              </w:rPr>
              <w:t xml:space="preserve">”, ko realizē Veselības norēķinu centrs </w:t>
            </w:r>
            <w:r>
              <w:rPr>
                <w:rFonts w:eastAsia="Calibri"/>
                <w:bCs/>
              </w:rPr>
              <w:t>(finansējums 2011.gadā – 13 057 lati, kas atbilstoši plānam tiks apgūts līdz septembra beigām, 2012.gadam finansējums nav paredzēts).</w:t>
            </w:r>
          </w:p>
          <w:p w:rsidR="00507576" w:rsidRDefault="00507576" w:rsidP="00507576">
            <w:pPr>
              <w:pStyle w:val="NormalWeb"/>
              <w:spacing w:before="120" w:beforeAutospacing="0" w:after="0"/>
              <w:jc w:val="both"/>
              <w:rPr>
                <w:rFonts w:eastAsia="Calibri"/>
                <w:bCs/>
              </w:rPr>
            </w:pPr>
            <w:r>
              <w:rPr>
                <w:rFonts w:eastAsia="Calibri"/>
                <w:bCs/>
              </w:rPr>
              <w:t xml:space="preserve">Tādējādi ar 2011.gada 1.novembri Nacionālais veselības dienests pārņems </w:t>
            </w:r>
            <w:r w:rsidRPr="00816495">
              <w:rPr>
                <w:rFonts w:eastAsia="Calibri"/>
                <w:bCs/>
                <w:u w:val="single"/>
              </w:rPr>
              <w:t>27 amata vietas ES finanšu instrumentu un pārējās ārvalstu finanšu palīdzības līdzfinansēto projektu realizācijai</w:t>
            </w:r>
            <w:r>
              <w:rPr>
                <w:rFonts w:eastAsia="Calibri"/>
                <w:bCs/>
              </w:rPr>
              <w:t>.</w:t>
            </w:r>
          </w:p>
          <w:p w:rsidR="004F5B51" w:rsidRPr="002729EE" w:rsidRDefault="00507576" w:rsidP="00320667">
            <w:pPr>
              <w:pStyle w:val="NormalWeb"/>
              <w:spacing w:before="0" w:beforeAutospacing="0" w:after="0"/>
              <w:jc w:val="both"/>
              <w:rPr>
                <w:rFonts w:eastAsia="Calibri"/>
                <w:bCs/>
              </w:rPr>
            </w:pPr>
            <w:r>
              <w:rPr>
                <w:rFonts w:eastAsia="Calibri"/>
                <w:bCs/>
              </w:rPr>
              <w:t xml:space="preserve">Kopējais amata vietu skaits Nacionālajam veselības dienestam ar 2011.gada 1.novembri:  214+27 = </w:t>
            </w:r>
            <w:r w:rsidRPr="00816495">
              <w:rPr>
                <w:rFonts w:eastAsia="Calibri"/>
                <w:b/>
                <w:bCs/>
                <w:u w:val="single"/>
              </w:rPr>
              <w:t>241 amata vieta</w:t>
            </w:r>
            <w:r>
              <w:rPr>
                <w:rFonts w:eastAsia="Calibri"/>
                <w:bCs/>
              </w:rPr>
              <w:t>.</w:t>
            </w:r>
          </w:p>
        </w:tc>
      </w:tr>
    </w:tbl>
    <w:p w:rsidR="000447F3" w:rsidRDefault="000447F3" w:rsidP="007D1F49">
      <w:pPr>
        <w:rPr>
          <w:sz w:val="28"/>
          <w:szCs w:val="28"/>
        </w:rPr>
      </w:pPr>
    </w:p>
    <w:tbl>
      <w:tblPr>
        <w:tblW w:w="9447" w:type="dxa"/>
        <w:jc w:val="center"/>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3037"/>
        <w:gridCol w:w="6014"/>
      </w:tblGrid>
      <w:tr w:rsidR="00703C92" w:rsidRPr="00711F59" w:rsidTr="00FB484C">
        <w:trPr>
          <w:jc w:val="center"/>
        </w:trPr>
        <w:tc>
          <w:tcPr>
            <w:tcW w:w="9447" w:type="dxa"/>
            <w:gridSpan w:val="3"/>
          </w:tcPr>
          <w:p w:rsidR="00703C92" w:rsidRPr="007C0F2C" w:rsidRDefault="00703C92" w:rsidP="004750D0">
            <w:pPr>
              <w:pStyle w:val="naisnod"/>
              <w:spacing w:before="0" w:after="0"/>
            </w:pPr>
            <w:r w:rsidRPr="007C0F2C">
              <w:t>IV. Tiesību akta projekta ietekme uz spēkā esošo tiesību normu sistēmu</w:t>
            </w:r>
          </w:p>
        </w:tc>
      </w:tr>
      <w:tr w:rsidR="00703C92" w:rsidRPr="00711F59" w:rsidTr="00FB484C">
        <w:trPr>
          <w:jc w:val="center"/>
        </w:trPr>
        <w:tc>
          <w:tcPr>
            <w:tcW w:w="396" w:type="dxa"/>
          </w:tcPr>
          <w:p w:rsidR="00703C92" w:rsidRPr="00711F59" w:rsidRDefault="00703C92" w:rsidP="004750D0">
            <w:pPr>
              <w:pStyle w:val="naiskr"/>
              <w:tabs>
                <w:tab w:val="left" w:pos="2628"/>
              </w:tabs>
              <w:spacing w:before="0" w:after="0"/>
              <w:jc w:val="both"/>
              <w:rPr>
                <w:iCs/>
              </w:rPr>
            </w:pPr>
            <w:r w:rsidRPr="00711F59">
              <w:rPr>
                <w:iCs/>
              </w:rPr>
              <w:t>1.</w:t>
            </w:r>
          </w:p>
        </w:tc>
        <w:tc>
          <w:tcPr>
            <w:tcW w:w="3037" w:type="dxa"/>
          </w:tcPr>
          <w:p w:rsidR="00703C92" w:rsidRPr="00711F59" w:rsidRDefault="00703C92" w:rsidP="004750D0">
            <w:pPr>
              <w:pStyle w:val="naiskr"/>
              <w:tabs>
                <w:tab w:val="left" w:pos="2628"/>
              </w:tabs>
              <w:spacing w:before="0" w:after="0"/>
              <w:jc w:val="both"/>
              <w:rPr>
                <w:iCs/>
              </w:rPr>
            </w:pPr>
            <w:r w:rsidRPr="00711F59">
              <w:rPr>
                <w:sz w:val="22"/>
                <w:szCs w:val="22"/>
              </w:rPr>
              <w:t>Nepieciešamie saistītie tiesību aktu projekti</w:t>
            </w:r>
          </w:p>
        </w:tc>
        <w:tc>
          <w:tcPr>
            <w:tcW w:w="6014" w:type="dxa"/>
          </w:tcPr>
          <w:p w:rsidR="00703C92" w:rsidRDefault="0001604B" w:rsidP="00F454C7">
            <w:pPr>
              <w:pStyle w:val="naiskr"/>
              <w:tabs>
                <w:tab w:val="left" w:pos="2628"/>
              </w:tabs>
              <w:spacing w:before="0" w:after="0"/>
              <w:jc w:val="both"/>
            </w:pPr>
            <w:r>
              <w:t>Nepieciešams veikt g</w:t>
            </w:r>
            <w:r w:rsidR="00703C92" w:rsidRPr="001C7D15">
              <w:t>rozījumus Ministru kabineta 2004.gada 13.aprīļa noteikumos Nr.286 „Veselības ministrijas nolikums”</w:t>
            </w:r>
            <w:r w:rsidR="00F454C7">
              <w:t xml:space="preserve">, jo tiek reorganizētas divas Veselības ministrijas padotības iestādes (Veselības ekonomikas centrs un Veselības norēķinu centrs) un </w:t>
            </w:r>
            <w:r>
              <w:t xml:space="preserve">izveidota jauna Veselības </w:t>
            </w:r>
            <w:r w:rsidR="00F454C7">
              <w:t xml:space="preserve">ministrijas padotības iestāde – Nacionālai Veselības </w:t>
            </w:r>
            <w:r w:rsidR="003D6032">
              <w:t>dienests.</w:t>
            </w:r>
          </w:p>
          <w:p w:rsidR="00F454C7" w:rsidRDefault="00F454C7" w:rsidP="00F454C7">
            <w:pPr>
              <w:pStyle w:val="naiskr"/>
              <w:tabs>
                <w:tab w:val="left" w:pos="2628"/>
              </w:tabs>
              <w:spacing w:before="0" w:after="0"/>
              <w:jc w:val="both"/>
            </w:pPr>
            <w:r>
              <w:t>Tā kā rīkojuma projekts paredz izveidot jaunu valsts pārvaldes iestādi – Nacionālo Veselības dienestu, nepieciešams izstrādāt un iesniegt Ministru kabinetā Nacionālā Veselības dienesta nolikumu, kā arī Ministru kabineta noteikumu projektu „</w:t>
            </w:r>
            <w:r w:rsidRPr="00F454C7">
              <w:t xml:space="preserve">Noteikumi par </w:t>
            </w:r>
            <w:r>
              <w:t xml:space="preserve">Nacionālā </w:t>
            </w:r>
            <w:r w:rsidRPr="00F454C7">
              <w:t xml:space="preserve">Veselības </w:t>
            </w:r>
            <w:r>
              <w:t>dienesta</w:t>
            </w:r>
            <w:r w:rsidRPr="00F454C7">
              <w:t xml:space="preserve"> publisko pakalpojumu cenrādi</w:t>
            </w:r>
            <w:r w:rsidR="003D6032">
              <w:t>”.</w:t>
            </w:r>
          </w:p>
          <w:p w:rsidR="003D6032" w:rsidRDefault="003D6032" w:rsidP="00F454C7">
            <w:pPr>
              <w:pStyle w:val="naiskr"/>
              <w:tabs>
                <w:tab w:val="left" w:pos="2628"/>
              </w:tabs>
              <w:spacing w:before="0" w:after="0"/>
              <w:jc w:val="both"/>
            </w:pPr>
            <w:r>
              <w:t xml:space="preserve">Ņemot vērā to, ka Nacionālais Veselības dienests tiks izveidot, apvienojot Veselības Ekonomikas centru un Veselības norēķinu centru, ir nepieciešams </w:t>
            </w:r>
            <w:r w:rsidR="009E0F18">
              <w:t>atzīt par spēku zaudējušiem šādus Ministru kabineta noteikumus</w:t>
            </w:r>
            <w:r>
              <w:t>:</w:t>
            </w:r>
          </w:p>
          <w:p w:rsidR="003D6032" w:rsidRDefault="003D6032" w:rsidP="003D6032">
            <w:pPr>
              <w:pStyle w:val="naiskr"/>
              <w:numPr>
                <w:ilvl w:val="0"/>
                <w:numId w:val="13"/>
              </w:numPr>
              <w:tabs>
                <w:tab w:val="left" w:pos="2628"/>
              </w:tabs>
              <w:spacing w:before="0" w:after="0"/>
              <w:jc w:val="both"/>
            </w:pPr>
            <w:r>
              <w:lastRenderedPageBreak/>
              <w:t>Ministru kabineta 2009.gada 29.septembra noteikumi Nr.1119 „Veselības Ekonomikas centra nolikums”;</w:t>
            </w:r>
          </w:p>
          <w:p w:rsidR="003D6032" w:rsidRDefault="003D6032" w:rsidP="003D6032">
            <w:pPr>
              <w:pStyle w:val="naiskr"/>
              <w:numPr>
                <w:ilvl w:val="0"/>
                <w:numId w:val="13"/>
              </w:numPr>
              <w:tabs>
                <w:tab w:val="left" w:pos="2628"/>
              </w:tabs>
              <w:spacing w:before="0" w:after="0"/>
              <w:jc w:val="both"/>
            </w:pPr>
            <w:r>
              <w:t>Ministru kabineta 2005.gada 23.augusta noteikumi Nr.626 „Noteikumi par Veselības ekonomikas centra publisko pakalpojumu cenrādi”;</w:t>
            </w:r>
          </w:p>
          <w:p w:rsidR="003D6032" w:rsidRDefault="003D6032" w:rsidP="003D6032">
            <w:pPr>
              <w:pStyle w:val="naiskr"/>
              <w:numPr>
                <w:ilvl w:val="0"/>
                <w:numId w:val="13"/>
              </w:numPr>
              <w:tabs>
                <w:tab w:val="left" w:pos="2628"/>
              </w:tabs>
              <w:spacing w:before="0" w:after="0"/>
              <w:jc w:val="both"/>
            </w:pPr>
            <w:r>
              <w:t>Ministru kabineta 2009.gada 6.oktobra noteikumi Nr.1149 „Veselības norēķinu centra nolikums”;</w:t>
            </w:r>
          </w:p>
          <w:p w:rsidR="004F331E" w:rsidRDefault="003D6032" w:rsidP="005C7DFB">
            <w:pPr>
              <w:pStyle w:val="naiskr"/>
              <w:numPr>
                <w:ilvl w:val="0"/>
                <w:numId w:val="13"/>
              </w:numPr>
              <w:tabs>
                <w:tab w:val="left" w:pos="2628"/>
              </w:tabs>
              <w:spacing w:before="0" w:after="0"/>
              <w:jc w:val="both"/>
            </w:pPr>
            <w:r>
              <w:t>Ministru kabineta 2009.gada 6.oktobra noteikumi Nr.1146 „Noteikumi par Veselības norēķinu centra sniegto publisko maksas pakalpojumu cenrādi”.</w:t>
            </w:r>
          </w:p>
          <w:p w:rsidR="00320667" w:rsidRPr="00320667" w:rsidRDefault="004F331E" w:rsidP="00494E2A">
            <w:pPr>
              <w:pStyle w:val="naiskr"/>
              <w:tabs>
                <w:tab w:val="left" w:pos="2628"/>
              </w:tabs>
              <w:spacing w:before="0" w:after="0"/>
              <w:jc w:val="both"/>
            </w:pPr>
            <w:r>
              <w:t>A</w:t>
            </w:r>
            <w:r w:rsidRPr="00DF182D">
              <w:t xml:space="preserve">r </w:t>
            </w:r>
            <w:r>
              <w:t>Veselības ekonomikas centra</w:t>
            </w:r>
            <w:r w:rsidRPr="00DF182D">
              <w:t xml:space="preserve"> un </w:t>
            </w:r>
            <w:r>
              <w:t>Veselības norēķinu centra reorganizāciju un Nacionālā Veselības dienesta izveidi saistītos</w:t>
            </w:r>
            <w:r w:rsidRPr="00DF182D">
              <w:t xml:space="preserve"> tiesību aktu projektus</w:t>
            </w:r>
            <w:r>
              <w:t xml:space="preserve"> izstrādās </w:t>
            </w:r>
            <w:r w:rsidRPr="00DF182D">
              <w:t>Veselības ministrija</w:t>
            </w:r>
            <w:r>
              <w:t xml:space="preserve"> un iesniegs</w:t>
            </w:r>
            <w:r w:rsidRPr="00DF182D">
              <w:t xml:space="preserve"> noteiktā kārtībā Ministru kabinetā lī</w:t>
            </w:r>
            <w:r>
              <w:t>dz 2011.gada 1.</w:t>
            </w:r>
            <w:r w:rsidR="00494E2A">
              <w:t>novembrim</w:t>
            </w:r>
            <w:r>
              <w:t xml:space="preserve">. </w:t>
            </w:r>
          </w:p>
        </w:tc>
      </w:tr>
      <w:tr w:rsidR="00703C92" w:rsidRPr="00711F59" w:rsidTr="00FB484C">
        <w:trPr>
          <w:jc w:val="center"/>
        </w:trPr>
        <w:tc>
          <w:tcPr>
            <w:tcW w:w="396" w:type="dxa"/>
          </w:tcPr>
          <w:p w:rsidR="00703C92" w:rsidRPr="00711F59" w:rsidRDefault="00703C92" w:rsidP="004750D0">
            <w:pPr>
              <w:pStyle w:val="naiskr"/>
              <w:tabs>
                <w:tab w:val="left" w:pos="2628"/>
              </w:tabs>
              <w:spacing w:before="0" w:after="0"/>
              <w:jc w:val="both"/>
              <w:rPr>
                <w:iCs/>
              </w:rPr>
            </w:pPr>
            <w:r w:rsidRPr="00711F59">
              <w:rPr>
                <w:iCs/>
              </w:rPr>
              <w:lastRenderedPageBreak/>
              <w:t>2.</w:t>
            </w:r>
          </w:p>
        </w:tc>
        <w:tc>
          <w:tcPr>
            <w:tcW w:w="3037" w:type="dxa"/>
          </w:tcPr>
          <w:p w:rsidR="00703C92" w:rsidRPr="00711F59" w:rsidRDefault="00703C92" w:rsidP="004750D0">
            <w:pPr>
              <w:pStyle w:val="naiskr"/>
              <w:tabs>
                <w:tab w:val="left" w:pos="2628"/>
              </w:tabs>
              <w:spacing w:before="0" w:after="0"/>
              <w:jc w:val="both"/>
              <w:rPr>
                <w:iCs/>
              </w:rPr>
            </w:pPr>
            <w:r w:rsidRPr="00711F59">
              <w:rPr>
                <w:sz w:val="22"/>
                <w:szCs w:val="22"/>
              </w:rPr>
              <w:t>Cita informācija</w:t>
            </w:r>
          </w:p>
        </w:tc>
        <w:tc>
          <w:tcPr>
            <w:tcW w:w="6014" w:type="dxa"/>
          </w:tcPr>
          <w:p w:rsidR="00703C92" w:rsidRPr="00711F59" w:rsidRDefault="00776C10" w:rsidP="004750D0">
            <w:pPr>
              <w:pStyle w:val="naiskr"/>
              <w:tabs>
                <w:tab w:val="left" w:pos="2628"/>
              </w:tabs>
              <w:spacing w:before="0" w:after="0"/>
              <w:jc w:val="both"/>
              <w:rPr>
                <w:iCs/>
              </w:rPr>
            </w:pPr>
            <w:r w:rsidRPr="00320667">
              <w:t xml:space="preserve">Savukārt </w:t>
            </w:r>
            <w:r>
              <w:t xml:space="preserve">redakcionālos </w:t>
            </w:r>
            <w:r>
              <w:rPr>
                <w:color w:val="000000"/>
                <w:lang w:eastAsia="en-US" w:bidi="lo-LA"/>
              </w:rPr>
              <w:t>grozījumus, kas saistīti ar iestāžu nosaukumu maiņu</w:t>
            </w:r>
            <w:r>
              <w:t xml:space="preserve"> pārējos </w:t>
            </w:r>
            <w:r w:rsidRPr="00320667">
              <w:rPr>
                <w:color w:val="000000"/>
                <w:lang w:eastAsia="en-US" w:bidi="lo-LA"/>
              </w:rPr>
              <w:t>tiesību aktos, kuros minēts Veselības norēķinu centrs un Veselības ekonomikas centrs</w:t>
            </w:r>
            <w:r>
              <w:rPr>
                <w:color w:val="000000"/>
                <w:lang w:eastAsia="en-US" w:bidi="lo-LA"/>
              </w:rPr>
              <w:t>, Veselības ministrija izstrādās vienlaikus ar citiem būtiskiem šo tiesību aktu grozījumiem.</w:t>
            </w:r>
          </w:p>
        </w:tc>
      </w:tr>
    </w:tbl>
    <w:p w:rsidR="00B20563" w:rsidRPr="00776C10" w:rsidRDefault="00B20563" w:rsidP="004F5B51">
      <w:pPr>
        <w:jc w:val="both"/>
        <w:rPr>
          <w:sz w:val="28"/>
          <w:szCs w:val="28"/>
        </w:rPr>
      </w:pPr>
    </w:p>
    <w:tbl>
      <w:tblPr>
        <w:tblW w:w="5123" w:type="pct"/>
        <w:tblInd w:w="-1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59"/>
        <w:gridCol w:w="3379"/>
        <w:gridCol w:w="5318"/>
      </w:tblGrid>
      <w:tr w:rsidR="00C95CF0" w:rsidRPr="00C95CF0" w:rsidTr="005C7217">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C95CF0" w:rsidRPr="00C95CF0" w:rsidRDefault="00C95CF0" w:rsidP="00C95CF0">
            <w:pPr>
              <w:jc w:val="center"/>
              <w:rPr>
                <w:lang w:eastAsia="en-US" w:bidi="lo-LA"/>
              </w:rPr>
            </w:pPr>
            <w:r w:rsidRPr="00C95CF0">
              <w:rPr>
                <w:b/>
                <w:bCs/>
                <w:lang w:eastAsia="en-US" w:bidi="lo-LA"/>
              </w:rPr>
              <w:t>V. Tiesību akta projekta atbilstība Latvijas Republikas starptautiskajām saistībām</w:t>
            </w:r>
          </w:p>
        </w:tc>
      </w:tr>
      <w:tr w:rsidR="00C95CF0" w:rsidRPr="00C95CF0" w:rsidTr="005C7217">
        <w:tc>
          <w:tcPr>
            <w:tcW w:w="352" w:type="pct"/>
            <w:tcBorders>
              <w:top w:val="outset" w:sz="6" w:space="0" w:color="auto"/>
              <w:left w:val="outset" w:sz="6" w:space="0" w:color="auto"/>
              <w:bottom w:val="outset" w:sz="6" w:space="0" w:color="auto"/>
              <w:right w:val="outset" w:sz="6" w:space="0" w:color="auto"/>
            </w:tcBorders>
            <w:hideMark/>
          </w:tcPr>
          <w:p w:rsidR="00C95CF0" w:rsidRPr="00C95CF0" w:rsidRDefault="00C95CF0" w:rsidP="00C95CF0">
            <w:pPr>
              <w:spacing w:line="360" w:lineRule="auto"/>
              <w:rPr>
                <w:lang w:eastAsia="en-US" w:bidi="lo-LA"/>
              </w:rPr>
            </w:pPr>
            <w:r w:rsidRPr="00C95CF0">
              <w:rPr>
                <w:lang w:eastAsia="en-US" w:bidi="lo-LA"/>
              </w:rPr>
              <w:t>1.</w:t>
            </w:r>
          </w:p>
        </w:tc>
        <w:tc>
          <w:tcPr>
            <w:tcW w:w="1806" w:type="pct"/>
            <w:tcBorders>
              <w:top w:val="outset" w:sz="6" w:space="0" w:color="auto"/>
              <w:left w:val="outset" w:sz="6" w:space="0" w:color="auto"/>
              <w:bottom w:val="outset" w:sz="6" w:space="0" w:color="auto"/>
              <w:right w:val="outset" w:sz="6" w:space="0" w:color="auto"/>
            </w:tcBorders>
            <w:hideMark/>
          </w:tcPr>
          <w:p w:rsidR="00C95CF0" w:rsidRPr="00B662D3" w:rsidRDefault="00C95CF0" w:rsidP="00B662D3">
            <w:pPr>
              <w:rPr>
                <w:lang w:eastAsia="en-US" w:bidi="lo-LA"/>
              </w:rPr>
            </w:pPr>
            <w:r w:rsidRPr="00B662D3">
              <w:rPr>
                <w:lang w:eastAsia="en-US" w:bidi="lo-LA"/>
              </w:rPr>
              <w:t>Saistības pret Eiropas Savienību</w:t>
            </w:r>
          </w:p>
        </w:tc>
        <w:tc>
          <w:tcPr>
            <w:tcW w:w="2843" w:type="pct"/>
            <w:tcBorders>
              <w:top w:val="outset" w:sz="6" w:space="0" w:color="auto"/>
              <w:left w:val="outset" w:sz="6" w:space="0" w:color="auto"/>
              <w:bottom w:val="outset" w:sz="6" w:space="0" w:color="auto"/>
              <w:right w:val="outset" w:sz="6" w:space="0" w:color="auto"/>
            </w:tcBorders>
            <w:hideMark/>
          </w:tcPr>
          <w:p w:rsidR="00B662D3" w:rsidRPr="00196F14" w:rsidRDefault="00B662D3" w:rsidP="005D1086">
            <w:pPr>
              <w:jc w:val="both"/>
            </w:pPr>
            <w:r w:rsidRPr="00B662D3">
              <w:t xml:space="preserve">Ar normatīvo aktu tiek </w:t>
            </w:r>
            <w:r>
              <w:t>nodrošināta šādu</w:t>
            </w:r>
            <w:r w:rsidRPr="00B662D3">
              <w:t xml:space="preserve"> Eiropas Savienības tiesību aktu prasīb</w:t>
            </w:r>
            <w:r>
              <w:t>u ieviešana:</w:t>
            </w:r>
          </w:p>
          <w:p w:rsidR="00B36E8A" w:rsidRDefault="00B662D3" w:rsidP="00B36E8A">
            <w:pPr>
              <w:pStyle w:val="naisf"/>
              <w:numPr>
                <w:ilvl w:val="0"/>
                <w:numId w:val="17"/>
              </w:numPr>
              <w:spacing w:before="0" w:after="0"/>
            </w:pPr>
            <w:r w:rsidRPr="00196F14">
              <w:t>Eiropas Parlamenta un Padomes 2004.gada 29.aprīļa Regula (EK) Nr.</w:t>
            </w:r>
            <w:hyperlink r:id="rId8" w:tgtFrame="_blank" w:tooltip="REGULA" w:history="1">
              <w:r w:rsidRPr="00196F14">
                <w:rPr>
                  <w:rStyle w:val="Hyperlink"/>
                </w:rPr>
                <w:t>883/2004</w:t>
              </w:r>
            </w:hyperlink>
            <w:r w:rsidRPr="00196F14">
              <w:t xml:space="preserve"> par sociālās nodrošināšanas sistēmu koordinēšanu</w:t>
            </w:r>
            <w:r w:rsidR="000C2E59">
              <w:t>;</w:t>
            </w:r>
          </w:p>
          <w:p w:rsidR="00B36E8A" w:rsidRPr="00B36E8A" w:rsidRDefault="00B36E8A" w:rsidP="00B36E8A">
            <w:pPr>
              <w:pStyle w:val="naisf"/>
              <w:numPr>
                <w:ilvl w:val="0"/>
                <w:numId w:val="17"/>
              </w:numPr>
              <w:spacing w:before="0" w:after="0"/>
            </w:pPr>
            <w:r w:rsidRPr="00B36E8A">
              <w:rPr>
                <w:bCs/>
              </w:rPr>
              <w:t>Eiropas Parlam</w:t>
            </w:r>
            <w:r>
              <w:rPr>
                <w:bCs/>
              </w:rPr>
              <w:t>enta un Padomes Regula (EK) Nr.</w:t>
            </w:r>
            <w:r>
              <w:t xml:space="preserve"> </w:t>
            </w:r>
            <w:hyperlink r:id="rId9" w:tgtFrame="_blank" w:tooltip="REGULA" w:history="1">
              <w:r>
                <w:rPr>
                  <w:rStyle w:val="Hyperlink"/>
                </w:rPr>
                <w:t>988</w:t>
              </w:r>
              <w:r w:rsidRPr="00196F14">
                <w:rPr>
                  <w:rStyle w:val="Hyperlink"/>
                </w:rPr>
                <w:t>/2009</w:t>
              </w:r>
            </w:hyperlink>
            <w:r w:rsidRPr="00B36E8A">
              <w:rPr>
                <w:bCs/>
              </w:rPr>
              <w:t xml:space="preserve"> (2009.gada 16.septembris),ar ko groza Regulu (EK) </w:t>
            </w:r>
            <w:hyperlink r:id="rId10" w:tgtFrame="_blank" w:tooltip="REGULA" w:history="1">
              <w:r w:rsidRPr="00196F14">
                <w:rPr>
                  <w:rStyle w:val="Hyperlink"/>
                </w:rPr>
                <w:t>883/2004</w:t>
              </w:r>
            </w:hyperlink>
            <w:r>
              <w:t xml:space="preserve"> </w:t>
            </w:r>
            <w:r w:rsidRPr="00B36E8A">
              <w:rPr>
                <w:bCs/>
              </w:rPr>
              <w:t>par sociālās nodrošināšanas sistēmu koordinēšanu un ar ko nosaka tās pielikumu saturu</w:t>
            </w:r>
            <w:r>
              <w:rPr>
                <w:bCs/>
              </w:rPr>
              <w:t>;</w:t>
            </w:r>
          </w:p>
          <w:p w:rsidR="00AD43F2" w:rsidRDefault="00B36E8A" w:rsidP="00AD43F2">
            <w:pPr>
              <w:pStyle w:val="naisf"/>
              <w:numPr>
                <w:ilvl w:val="0"/>
                <w:numId w:val="17"/>
              </w:numPr>
              <w:spacing w:before="0" w:after="0"/>
            </w:pPr>
            <w:r>
              <w:t xml:space="preserve">Eiropas Parlamenta </w:t>
            </w:r>
            <w:r w:rsidR="00B662D3" w:rsidRPr="00196F14">
              <w:t>un Padomes 2009.gada 16.septembra Regula (EK) Nr.</w:t>
            </w:r>
            <w:hyperlink r:id="rId11" w:tgtFrame="_blank" w:tooltip="REGULA" w:history="1">
              <w:r w:rsidR="00B662D3" w:rsidRPr="00196F14">
                <w:rPr>
                  <w:rStyle w:val="Hyperlink"/>
                </w:rPr>
                <w:t>987/2009</w:t>
              </w:r>
            </w:hyperlink>
            <w:r w:rsidR="00B662D3" w:rsidRPr="00196F14">
              <w:t>, ar ko nosaka īstenošanas kārtību Regulai (EK) Nr.</w:t>
            </w:r>
            <w:hyperlink r:id="rId12" w:tgtFrame="_blank" w:tooltip="REGULA" w:history="1">
              <w:r w:rsidR="00B662D3" w:rsidRPr="00196F14">
                <w:rPr>
                  <w:rStyle w:val="Hyperlink"/>
                </w:rPr>
                <w:t>883/2004</w:t>
              </w:r>
            </w:hyperlink>
            <w:r w:rsidR="00B662D3" w:rsidRPr="00196F14">
              <w:t xml:space="preserve"> par sociālās nodrošināšanas sistēmu koordinēšanu, noteiktos kompetentās iestādes uzdevumus veselības aprūpes jomā;</w:t>
            </w:r>
          </w:p>
          <w:p w:rsidR="00AD43F2" w:rsidRPr="00AD43F2" w:rsidRDefault="00AD43F2" w:rsidP="00AD43F2">
            <w:pPr>
              <w:pStyle w:val="naisf"/>
              <w:numPr>
                <w:ilvl w:val="0"/>
                <w:numId w:val="17"/>
              </w:numPr>
              <w:spacing w:before="0" w:after="0"/>
            </w:pPr>
            <w:r w:rsidRPr="00AD43F2">
              <w:t>Eiropas Parlamenta un Padomes Regula (ES) Nr.</w:t>
            </w:r>
            <w:hyperlink r:id="rId13" w:tgtFrame="_blank" w:tooltip="REGULA" w:history="1">
              <w:r w:rsidRPr="00AD43F2">
                <w:rPr>
                  <w:rStyle w:val="Hyperlink"/>
                </w:rPr>
                <w:t>1231/2010</w:t>
              </w:r>
            </w:hyperlink>
            <w:r w:rsidRPr="00AD43F2">
              <w:t xml:space="preserve">  (2010.gada 24.novembris), ar ko Regulu (EK) Nr.</w:t>
            </w:r>
            <w:hyperlink r:id="rId14" w:tgtFrame="_blank" w:tooltip="REGULA" w:history="1">
              <w:r w:rsidRPr="00AD43F2">
                <w:rPr>
                  <w:rStyle w:val="Hyperlink"/>
                </w:rPr>
                <w:t>883/2004</w:t>
              </w:r>
            </w:hyperlink>
            <w:r w:rsidRPr="00AD43F2">
              <w:t xml:space="preserve"> un Regulu (EK) Nr. </w:t>
            </w:r>
            <w:hyperlink r:id="rId15" w:tgtFrame="_blank" w:tooltip="REGULA" w:history="1">
              <w:r w:rsidRPr="00D14201">
                <w:rPr>
                  <w:rStyle w:val="Hyperlink"/>
                  <w:color w:val="0000FF"/>
                </w:rPr>
                <w:t>987</w:t>
              </w:r>
              <w:r w:rsidRPr="00AD43F2">
                <w:rPr>
                  <w:rStyle w:val="Hyperlink"/>
                </w:rPr>
                <w:t>/2009</w:t>
              </w:r>
            </w:hyperlink>
            <w:r w:rsidRPr="00AD43F2">
              <w:t xml:space="preserve"> attiecina arī uz tiem trešo valstu </w:t>
            </w:r>
            <w:proofErr w:type="spellStart"/>
            <w:r w:rsidRPr="00AD43F2">
              <w:t>valstspiederīgajiem</w:t>
            </w:r>
            <w:proofErr w:type="spellEnd"/>
            <w:r w:rsidRPr="00AD43F2">
              <w:t xml:space="preserve">, uz kuriem minētās regulas neattiecas tikai viņu </w:t>
            </w:r>
            <w:proofErr w:type="spellStart"/>
            <w:r w:rsidRPr="00AD43F2">
              <w:t>valstspiederības</w:t>
            </w:r>
            <w:proofErr w:type="spellEnd"/>
            <w:r w:rsidRPr="00AD43F2">
              <w:t xml:space="preserve"> dēļ;</w:t>
            </w:r>
          </w:p>
          <w:p w:rsidR="00B662D3" w:rsidRDefault="00B662D3" w:rsidP="00AD43F2">
            <w:pPr>
              <w:pStyle w:val="naisf"/>
              <w:numPr>
                <w:ilvl w:val="0"/>
                <w:numId w:val="17"/>
              </w:numPr>
              <w:spacing w:before="0" w:after="0"/>
            </w:pPr>
            <w:r w:rsidRPr="00196F14">
              <w:t>Eiropas Parlamenta un Padomes 2006.gada 12.decembra Regula Nr.</w:t>
            </w:r>
            <w:hyperlink r:id="rId16" w:tgtFrame="_blank" w:tooltip="REGULA" w:history="1">
              <w:r w:rsidRPr="00196F14">
                <w:rPr>
                  <w:rStyle w:val="Hyperlink"/>
                </w:rPr>
                <w:t>1920/2006</w:t>
              </w:r>
            </w:hyperlink>
            <w:r w:rsidRPr="00196F14">
              <w:t xml:space="preserve"> par Eiropas Narkotiku un narkomānijas </w:t>
            </w:r>
            <w:r w:rsidRPr="00196F14">
              <w:lastRenderedPageBreak/>
              <w:t>uzraudzības centru</w:t>
            </w:r>
            <w:r w:rsidR="00B02825">
              <w:t>;</w:t>
            </w:r>
          </w:p>
          <w:p w:rsidR="00B02825" w:rsidRPr="00B662D3" w:rsidRDefault="00B02825" w:rsidP="00AD43F2">
            <w:pPr>
              <w:pStyle w:val="naisf"/>
              <w:numPr>
                <w:ilvl w:val="0"/>
                <w:numId w:val="17"/>
              </w:numPr>
              <w:spacing w:before="0" w:after="0"/>
            </w:pPr>
            <w:r w:rsidRPr="00B02825">
              <w:t xml:space="preserve">2005. gada 10. maija Padomes lēmums </w:t>
            </w:r>
            <w:r w:rsidRPr="00D14201">
              <w:rPr>
                <w:color w:val="0000FF"/>
                <w:u w:val="single"/>
              </w:rPr>
              <w:t>2005/387/TI</w:t>
            </w:r>
            <w:r w:rsidRPr="00B02825">
              <w:t xml:space="preserve"> par informācijas apmaiņu, riska novērtējumu un kontroli attiecībā uz ja</w:t>
            </w:r>
            <w:r>
              <w:t xml:space="preserve">unām </w:t>
            </w:r>
            <w:proofErr w:type="spellStart"/>
            <w:r>
              <w:t>psihoaktīvām</w:t>
            </w:r>
            <w:proofErr w:type="spellEnd"/>
            <w:r>
              <w:t xml:space="preserve"> vielām</w:t>
            </w:r>
            <w:r w:rsidRPr="00B02825">
              <w:t>.</w:t>
            </w:r>
          </w:p>
        </w:tc>
      </w:tr>
      <w:tr w:rsidR="00C95CF0" w:rsidRPr="00C95CF0" w:rsidTr="005C7217">
        <w:tc>
          <w:tcPr>
            <w:tcW w:w="352" w:type="pct"/>
            <w:tcBorders>
              <w:top w:val="outset" w:sz="6" w:space="0" w:color="auto"/>
              <w:left w:val="outset" w:sz="6" w:space="0" w:color="auto"/>
              <w:bottom w:val="outset" w:sz="6" w:space="0" w:color="auto"/>
              <w:right w:val="outset" w:sz="6" w:space="0" w:color="auto"/>
            </w:tcBorders>
            <w:hideMark/>
          </w:tcPr>
          <w:p w:rsidR="00C95CF0" w:rsidRPr="00C95CF0" w:rsidRDefault="00C95CF0" w:rsidP="00C95CF0">
            <w:pPr>
              <w:spacing w:line="360" w:lineRule="auto"/>
              <w:rPr>
                <w:lang w:eastAsia="en-US" w:bidi="lo-LA"/>
              </w:rPr>
            </w:pPr>
            <w:r w:rsidRPr="00C95CF0">
              <w:rPr>
                <w:lang w:eastAsia="en-US" w:bidi="lo-LA"/>
              </w:rPr>
              <w:lastRenderedPageBreak/>
              <w:t>2.</w:t>
            </w:r>
          </w:p>
        </w:tc>
        <w:tc>
          <w:tcPr>
            <w:tcW w:w="1806" w:type="pct"/>
            <w:tcBorders>
              <w:top w:val="outset" w:sz="6" w:space="0" w:color="auto"/>
              <w:left w:val="outset" w:sz="6" w:space="0" w:color="auto"/>
              <w:bottom w:val="outset" w:sz="6" w:space="0" w:color="auto"/>
              <w:right w:val="outset" w:sz="6" w:space="0" w:color="auto"/>
            </w:tcBorders>
            <w:hideMark/>
          </w:tcPr>
          <w:p w:rsidR="00C95CF0" w:rsidRPr="00C95CF0" w:rsidRDefault="00C95CF0" w:rsidP="00C95CF0">
            <w:pPr>
              <w:spacing w:line="360" w:lineRule="auto"/>
              <w:rPr>
                <w:lang w:eastAsia="en-US" w:bidi="lo-LA"/>
              </w:rPr>
            </w:pPr>
            <w:r w:rsidRPr="00C95CF0">
              <w:rPr>
                <w:lang w:eastAsia="en-US" w:bidi="lo-LA"/>
              </w:rPr>
              <w:t>Citas starptautiskās saistības</w:t>
            </w:r>
          </w:p>
        </w:tc>
        <w:tc>
          <w:tcPr>
            <w:tcW w:w="2843" w:type="pct"/>
            <w:tcBorders>
              <w:top w:val="outset" w:sz="6" w:space="0" w:color="auto"/>
              <w:left w:val="outset" w:sz="6" w:space="0" w:color="auto"/>
              <w:bottom w:val="outset" w:sz="6" w:space="0" w:color="auto"/>
              <w:right w:val="outset" w:sz="6" w:space="0" w:color="auto"/>
            </w:tcBorders>
            <w:hideMark/>
          </w:tcPr>
          <w:p w:rsidR="00C95CF0" w:rsidRPr="00C95CF0" w:rsidRDefault="00C95CF0" w:rsidP="00C95CF0">
            <w:pPr>
              <w:spacing w:line="360" w:lineRule="auto"/>
              <w:rPr>
                <w:lang w:eastAsia="en-US" w:bidi="lo-LA"/>
              </w:rPr>
            </w:pPr>
            <w:r>
              <w:rPr>
                <w:lang w:eastAsia="en-US" w:bidi="lo-LA"/>
              </w:rPr>
              <w:t xml:space="preserve">Projekts šo jomu neskar </w:t>
            </w:r>
          </w:p>
        </w:tc>
      </w:tr>
      <w:tr w:rsidR="00C95CF0" w:rsidRPr="00C95CF0" w:rsidTr="005C7217">
        <w:tc>
          <w:tcPr>
            <w:tcW w:w="352" w:type="pct"/>
            <w:tcBorders>
              <w:top w:val="outset" w:sz="6" w:space="0" w:color="auto"/>
              <w:left w:val="outset" w:sz="6" w:space="0" w:color="auto"/>
              <w:bottom w:val="outset" w:sz="6" w:space="0" w:color="auto"/>
              <w:right w:val="outset" w:sz="6" w:space="0" w:color="auto"/>
            </w:tcBorders>
            <w:hideMark/>
          </w:tcPr>
          <w:p w:rsidR="00C95CF0" w:rsidRPr="00C95CF0" w:rsidRDefault="00C95CF0" w:rsidP="00C95CF0">
            <w:pPr>
              <w:spacing w:line="360" w:lineRule="auto"/>
              <w:rPr>
                <w:lang w:eastAsia="en-US" w:bidi="lo-LA"/>
              </w:rPr>
            </w:pPr>
            <w:r w:rsidRPr="00C95CF0">
              <w:rPr>
                <w:lang w:eastAsia="en-US" w:bidi="lo-LA"/>
              </w:rPr>
              <w:t>3.</w:t>
            </w:r>
          </w:p>
        </w:tc>
        <w:tc>
          <w:tcPr>
            <w:tcW w:w="1806" w:type="pct"/>
            <w:tcBorders>
              <w:top w:val="outset" w:sz="6" w:space="0" w:color="auto"/>
              <w:left w:val="outset" w:sz="6" w:space="0" w:color="auto"/>
              <w:bottom w:val="outset" w:sz="6" w:space="0" w:color="auto"/>
              <w:right w:val="outset" w:sz="6" w:space="0" w:color="auto"/>
            </w:tcBorders>
            <w:hideMark/>
          </w:tcPr>
          <w:p w:rsidR="00C95CF0" w:rsidRPr="00C95CF0" w:rsidRDefault="00C95CF0" w:rsidP="00C95CF0">
            <w:pPr>
              <w:spacing w:line="360" w:lineRule="auto"/>
              <w:rPr>
                <w:lang w:eastAsia="en-US" w:bidi="lo-LA"/>
              </w:rPr>
            </w:pPr>
            <w:r w:rsidRPr="00C95CF0">
              <w:rPr>
                <w:lang w:eastAsia="en-US" w:bidi="lo-LA"/>
              </w:rPr>
              <w:t>Cita informācija</w:t>
            </w:r>
          </w:p>
        </w:tc>
        <w:tc>
          <w:tcPr>
            <w:tcW w:w="2843" w:type="pct"/>
            <w:tcBorders>
              <w:top w:val="outset" w:sz="6" w:space="0" w:color="auto"/>
              <w:left w:val="outset" w:sz="6" w:space="0" w:color="auto"/>
              <w:bottom w:val="outset" w:sz="6" w:space="0" w:color="auto"/>
              <w:right w:val="outset" w:sz="6" w:space="0" w:color="auto"/>
            </w:tcBorders>
            <w:hideMark/>
          </w:tcPr>
          <w:p w:rsidR="00C95CF0" w:rsidRPr="00C95CF0" w:rsidRDefault="00C95CF0" w:rsidP="00C95CF0">
            <w:pPr>
              <w:rPr>
                <w:lang w:eastAsia="en-US" w:bidi="lo-LA"/>
              </w:rPr>
            </w:pPr>
            <w:r w:rsidRPr="00C95CF0">
              <w:rPr>
                <w:lang w:eastAsia="en-US" w:bidi="lo-LA"/>
              </w:rPr>
              <w:t>Nav</w:t>
            </w:r>
          </w:p>
        </w:tc>
      </w:tr>
    </w:tbl>
    <w:p w:rsidR="00C95CF0" w:rsidRPr="00C95CF0" w:rsidRDefault="00C95CF0" w:rsidP="00C95CF0">
      <w:pPr>
        <w:spacing w:line="360" w:lineRule="auto"/>
        <w:rPr>
          <w:vanish/>
          <w:lang w:eastAsia="en-US" w:bidi="lo-LA"/>
        </w:rPr>
      </w:pP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2297"/>
        <w:gridCol w:w="1700"/>
        <w:gridCol w:w="2449"/>
        <w:gridCol w:w="2685"/>
      </w:tblGrid>
      <w:tr w:rsidR="00C95CF0" w:rsidRPr="00C95CF0" w:rsidTr="00711B97">
        <w:trPr>
          <w:trHeight w:val="510"/>
        </w:trPr>
        <w:tc>
          <w:tcPr>
            <w:tcW w:w="9131" w:type="dxa"/>
            <w:gridSpan w:val="4"/>
            <w:tcBorders>
              <w:top w:val="outset" w:sz="6" w:space="0" w:color="auto"/>
              <w:left w:val="outset" w:sz="6" w:space="0" w:color="auto"/>
              <w:bottom w:val="outset" w:sz="6" w:space="0" w:color="auto"/>
              <w:right w:val="outset" w:sz="6" w:space="0" w:color="auto"/>
            </w:tcBorders>
            <w:vAlign w:val="center"/>
            <w:hideMark/>
          </w:tcPr>
          <w:p w:rsidR="00C95CF0" w:rsidRPr="00C95CF0" w:rsidRDefault="00C95CF0" w:rsidP="00C95CF0">
            <w:pPr>
              <w:jc w:val="center"/>
              <w:rPr>
                <w:lang w:eastAsia="en-US" w:bidi="lo-LA"/>
              </w:rPr>
            </w:pPr>
            <w:r w:rsidRPr="00C95CF0">
              <w:rPr>
                <w:b/>
                <w:bCs/>
                <w:lang w:eastAsia="en-US" w:bidi="lo-LA"/>
              </w:rPr>
              <w:t>1.tabula</w:t>
            </w:r>
            <w:r w:rsidRPr="00C95CF0">
              <w:rPr>
                <w:b/>
                <w:bCs/>
                <w:lang w:eastAsia="en-US" w:bidi="lo-LA"/>
              </w:rPr>
              <w:br/>
              <w:t>Tiesību akta projekta atbilstība ES tiesību aktiem</w:t>
            </w:r>
          </w:p>
        </w:tc>
      </w:tr>
      <w:tr w:rsidR="00C95CF0" w:rsidRPr="00C95CF0" w:rsidTr="00711B97">
        <w:tc>
          <w:tcPr>
            <w:tcW w:w="1258" w:type="pct"/>
            <w:tcBorders>
              <w:top w:val="outset" w:sz="6" w:space="0" w:color="auto"/>
              <w:left w:val="outset" w:sz="6" w:space="0" w:color="auto"/>
              <w:bottom w:val="outset" w:sz="6" w:space="0" w:color="auto"/>
              <w:right w:val="outset" w:sz="6" w:space="0" w:color="auto"/>
            </w:tcBorders>
            <w:hideMark/>
          </w:tcPr>
          <w:p w:rsidR="00C95CF0" w:rsidRPr="00C95CF0" w:rsidRDefault="00196F14" w:rsidP="00B662D3">
            <w:pPr>
              <w:rPr>
                <w:lang w:eastAsia="en-US" w:bidi="lo-LA"/>
              </w:rPr>
            </w:pPr>
            <w:r>
              <w:rPr>
                <w:lang w:eastAsia="en-US" w:bidi="lo-LA"/>
              </w:rPr>
              <w:t xml:space="preserve">Attiecīgā </w:t>
            </w:r>
            <w:r w:rsidR="00C95CF0" w:rsidRPr="00C95CF0">
              <w:rPr>
                <w:lang w:eastAsia="en-US" w:bidi="lo-LA"/>
              </w:rPr>
              <w:t>ES tiesību akta datums, numurs un nosaukums</w:t>
            </w:r>
          </w:p>
        </w:tc>
        <w:tc>
          <w:tcPr>
            <w:tcW w:w="3742" w:type="pct"/>
            <w:gridSpan w:val="3"/>
            <w:tcBorders>
              <w:top w:val="outset" w:sz="6" w:space="0" w:color="auto"/>
              <w:left w:val="outset" w:sz="6" w:space="0" w:color="auto"/>
              <w:bottom w:val="outset" w:sz="6" w:space="0" w:color="auto"/>
              <w:right w:val="outset" w:sz="6" w:space="0" w:color="auto"/>
            </w:tcBorders>
            <w:hideMark/>
          </w:tcPr>
          <w:p w:rsidR="00196F14" w:rsidRPr="00196F14" w:rsidRDefault="00B662D3" w:rsidP="005D1086">
            <w:pPr>
              <w:jc w:val="both"/>
            </w:pPr>
            <w:r w:rsidRPr="00B662D3">
              <w:t xml:space="preserve">Ar normatīvo aktu tiek </w:t>
            </w:r>
            <w:r>
              <w:t>nodrošināta šādu</w:t>
            </w:r>
            <w:r w:rsidRPr="00B662D3">
              <w:t xml:space="preserve"> Eiropas Savienības tiesību aktu prasīb</w:t>
            </w:r>
            <w:r>
              <w:t>u ieviešana:</w:t>
            </w:r>
          </w:p>
          <w:p w:rsidR="00B36E8A" w:rsidRDefault="00196F14" w:rsidP="00B36E8A">
            <w:pPr>
              <w:pStyle w:val="naisf"/>
              <w:numPr>
                <w:ilvl w:val="0"/>
                <w:numId w:val="16"/>
              </w:numPr>
              <w:spacing w:before="0" w:after="0"/>
            </w:pPr>
            <w:r w:rsidRPr="00196F14">
              <w:t>Eiropas Parlamenta un Padomes 2004.gada 29.aprīļa Regula (EK) Nr.</w:t>
            </w:r>
            <w:hyperlink r:id="rId17" w:tgtFrame="_blank" w:tooltip="REGULA" w:history="1">
              <w:r w:rsidRPr="00196F14">
                <w:rPr>
                  <w:rStyle w:val="Hyperlink"/>
                </w:rPr>
                <w:t>883/2004</w:t>
              </w:r>
            </w:hyperlink>
            <w:r w:rsidRPr="00196F14">
              <w:t xml:space="preserve"> par sociālās nodrošināšanas sistēmu koord</w:t>
            </w:r>
            <w:r w:rsidR="000C2E59">
              <w:t>inēšanu</w:t>
            </w:r>
            <w:r w:rsidR="00B36E8A">
              <w:t>;</w:t>
            </w:r>
            <w:r w:rsidR="000C2E59">
              <w:t xml:space="preserve"> </w:t>
            </w:r>
          </w:p>
          <w:p w:rsidR="00B36E8A" w:rsidRDefault="00196F14" w:rsidP="00B36E8A">
            <w:pPr>
              <w:pStyle w:val="naisf"/>
              <w:numPr>
                <w:ilvl w:val="0"/>
                <w:numId w:val="16"/>
              </w:numPr>
              <w:spacing w:before="0" w:after="0"/>
            </w:pPr>
            <w:r w:rsidRPr="00196F14">
              <w:t xml:space="preserve"> </w:t>
            </w:r>
            <w:r w:rsidR="00B36E8A" w:rsidRPr="00B36E8A">
              <w:rPr>
                <w:bCs/>
              </w:rPr>
              <w:t>Eiropas Parlamenta un Padomes Regula (EK) Nr.</w:t>
            </w:r>
            <w:r w:rsidR="00B36E8A">
              <w:t xml:space="preserve"> </w:t>
            </w:r>
            <w:hyperlink r:id="rId18" w:tgtFrame="_blank" w:tooltip="REGULA" w:history="1">
              <w:r w:rsidR="00B36E8A">
                <w:rPr>
                  <w:rStyle w:val="Hyperlink"/>
                </w:rPr>
                <w:t>988</w:t>
              </w:r>
              <w:r w:rsidR="00B36E8A" w:rsidRPr="00196F14">
                <w:rPr>
                  <w:rStyle w:val="Hyperlink"/>
                </w:rPr>
                <w:t>/2009</w:t>
              </w:r>
            </w:hyperlink>
            <w:r w:rsidR="00B36E8A" w:rsidRPr="00B36E8A">
              <w:rPr>
                <w:bCs/>
              </w:rPr>
              <w:t xml:space="preserve"> (2009.gada 16.septembris),ar ko groza Regulu (EK) </w:t>
            </w:r>
            <w:hyperlink r:id="rId19" w:tgtFrame="_blank" w:tooltip="REGULA" w:history="1">
              <w:r w:rsidR="00B36E8A" w:rsidRPr="00196F14">
                <w:rPr>
                  <w:rStyle w:val="Hyperlink"/>
                </w:rPr>
                <w:t>883/2004</w:t>
              </w:r>
            </w:hyperlink>
            <w:r w:rsidR="00B36E8A">
              <w:t xml:space="preserve"> </w:t>
            </w:r>
            <w:r w:rsidR="00B36E8A" w:rsidRPr="00B36E8A">
              <w:rPr>
                <w:bCs/>
              </w:rPr>
              <w:t>par sociālās nodrošināšanas sistēmu koordinēšanu un ar ko nosaka tās pielikumu saturu</w:t>
            </w:r>
            <w:r w:rsidR="00B36E8A">
              <w:rPr>
                <w:bCs/>
              </w:rPr>
              <w:t>;</w:t>
            </w:r>
            <w:r w:rsidR="00B36E8A" w:rsidRPr="00B36E8A">
              <w:rPr>
                <w:bCs/>
              </w:rPr>
              <w:t xml:space="preserve"> </w:t>
            </w:r>
          </w:p>
          <w:p w:rsidR="00AD43F2" w:rsidRDefault="00B36E8A" w:rsidP="00AD43F2">
            <w:pPr>
              <w:pStyle w:val="naisf"/>
              <w:numPr>
                <w:ilvl w:val="0"/>
                <w:numId w:val="16"/>
              </w:numPr>
              <w:spacing w:before="0" w:after="0"/>
            </w:pPr>
            <w:r>
              <w:t xml:space="preserve">Eiropas Parlamenta un </w:t>
            </w:r>
            <w:r w:rsidR="00196F14" w:rsidRPr="00196F14">
              <w:t>Padomes 2009.gada 16.septembra Regula (EK) Nr.</w:t>
            </w:r>
            <w:hyperlink r:id="rId20" w:tgtFrame="_blank" w:tooltip="REGULA" w:history="1">
              <w:r w:rsidR="00196F14" w:rsidRPr="00196F14">
                <w:rPr>
                  <w:rStyle w:val="Hyperlink"/>
                </w:rPr>
                <w:t>987/2009</w:t>
              </w:r>
            </w:hyperlink>
            <w:r w:rsidR="00196F14" w:rsidRPr="00196F14">
              <w:t>, ar ko nosaka īstenošanas kārtību Regulai (EK) Nr.</w:t>
            </w:r>
            <w:hyperlink r:id="rId21" w:tgtFrame="_blank" w:tooltip="REGULA" w:history="1">
              <w:r w:rsidR="00196F14" w:rsidRPr="00196F14">
                <w:rPr>
                  <w:rStyle w:val="Hyperlink"/>
                </w:rPr>
                <w:t>883/2004</w:t>
              </w:r>
            </w:hyperlink>
            <w:r w:rsidR="00196F14" w:rsidRPr="00196F14">
              <w:t xml:space="preserve"> par sociālās nodrošināšanas sistēmu koordinēšanu, noteiktos kompetentās iestādes uzdevumus veselības aprūpes jomā</w:t>
            </w:r>
            <w:r w:rsidR="00AD43F2">
              <w:t>;</w:t>
            </w:r>
          </w:p>
          <w:p w:rsidR="00AD43F2" w:rsidRDefault="00AD43F2" w:rsidP="00AD43F2">
            <w:pPr>
              <w:pStyle w:val="naisf"/>
              <w:numPr>
                <w:ilvl w:val="0"/>
                <w:numId w:val="16"/>
              </w:numPr>
              <w:spacing w:before="0" w:after="0"/>
            </w:pPr>
            <w:r w:rsidRPr="00AD43F2">
              <w:t>Eiropas Parlamenta un Padomes Regula (ES) Nr.</w:t>
            </w:r>
            <w:hyperlink r:id="rId22" w:tgtFrame="_blank" w:tooltip="REGULA" w:history="1">
              <w:r w:rsidRPr="00AD43F2">
                <w:rPr>
                  <w:rStyle w:val="Hyperlink"/>
                </w:rPr>
                <w:t>1231/2010</w:t>
              </w:r>
            </w:hyperlink>
            <w:r w:rsidRPr="00AD43F2">
              <w:t xml:space="preserve">  (2010.gada 24.novembris), ar ko Regulu (EK) Nr.</w:t>
            </w:r>
            <w:hyperlink r:id="rId23" w:tgtFrame="_blank" w:tooltip="REGULA" w:history="1">
              <w:r w:rsidRPr="00AD43F2">
                <w:rPr>
                  <w:rStyle w:val="Hyperlink"/>
                </w:rPr>
                <w:t>883/2004</w:t>
              </w:r>
            </w:hyperlink>
            <w:r w:rsidRPr="00AD43F2">
              <w:t xml:space="preserve"> un Regulu (EK) Nr. </w:t>
            </w:r>
            <w:hyperlink r:id="rId24" w:tgtFrame="_blank" w:tooltip="REGULA" w:history="1">
              <w:r w:rsidRPr="00AD43F2">
                <w:rPr>
                  <w:rStyle w:val="Hyperlink"/>
                </w:rPr>
                <w:t>987/2009</w:t>
              </w:r>
            </w:hyperlink>
            <w:r w:rsidRPr="00AD43F2">
              <w:t xml:space="preserve"> attiecina arī uz tiem trešo valstu </w:t>
            </w:r>
            <w:proofErr w:type="spellStart"/>
            <w:r w:rsidRPr="00AD43F2">
              <w:t>valstspiederīgajiem</w:t>
            </w:r>
            <w:proofErr w:type="spellEnd"/>
            <w:r w:rsidRPr="00AD43F2">
              <w:t xml:space="preserve">, uz kuriem minētās regulas neattiecas tikai viņu </w:t>
            </w:r>
            <w:proofErr w:type="spellStart"/>
            <w:r w:rsidRPr="00AD43F2">
              <w:t>valstspiederības</w:t>
            </w:r>
            <w:proofErr w:type="spellEnd"/>
            <w:r w:rsidRPr="00AD43F2">
              <w:t xml:space="preserve"> dēļ</w:t>
            </w:r>
            <w:r>
              <w:t>;</w:t>
            </w:r>
          </w:p>
          <w:p w:rsidR="00AD43F2" w:rsidRDefault="00196F14" w:rsidP="0050684E">
            <w:pPr>
              <w:pStyle w:val="naisf"/>
              <w:numPr>
                <w:ilvl w:val="0"/>
                <w:numId w:val="16"/>
              </w:numPr>
              <w:spacing w:before="0" w:after="0"/>
            </w:pPr>
            <w:r w:rsidRPr="00196F14">
              <w:t>Eiropas Parlamenta un Padomes 2006.gada 12.decembra Regula Nr.</w:t>
            </w:r>
            <w:hyperlink r:id="rId25" w:tgtFrame="_blank" w:tooltip="REGULA" w:history="1">
              <w:r w:rsidRPr="00196F14">
                <w:rPr>
                  <w:rStyle w:val="Hyperlink"/>
                </w:rPr>
                <w:t>1920/2006</w:t>
              </w:r>
            </w:hyperlink>
            <w:r w:rsidRPr="00196F14">
              <w:t xml:space="preserve"> par Eiropas Narkotiku un narkomānijas uzraudzības centru</w:t>
            </w:r>
            <w:r w:rsidR="00B02825">
              <w:t>;</w:t>
            </w:r>
            <w:r w:rsidRPr="00196F14">
              <w:t xml:space="preserve"> </w:t>
            </w:r>
          </w:p>
          <w:p w:rsidR="00B02825" w:rsidRPr="00B02825" w:rsidRDefault="00D666AA" w:rsidP="00D666AA">
            <w:pPr>
              <w:pStyle w:val="naisf"/>
              <w:numPr>
                <w:ilvl w:val="0"/>
                <w:numId w:val="16"/>
              </w:numPr>
              <w:spacing w:before="0" w:after="0"/>
            </w:pPr>
            <w:r w:rsidRPr="00B02825">
              <w:t xml:space="preserve">Padomes </w:t>
            </w:r>
            <w:r w:rsidR="00B02825" w:rsidRPr="00B02825">
              <w:t>2005. gada 10. maija lēmums 2005/387/TI par informācijas apmaiņu, riska novērtējumu un kontroli attiecībā uz ja</w:t>
            </w:r>
            <w:r w:rsidR="00B02825">
              <w:t xml:space="preserve">unām </w:t>
            </w:r>
            <w:proofErr w:type="spellStart"/>
            <w:r w:rsidR="00B02825">
              <w:t>psihoaktīvām</w:t>
            </w:r>
            <w:proofErr w:type="spellEnd"/>
            <w:r w:rsidR="00B02825">
              <w:t xml:space="preserve"> vielām</w:t>
            </w:r>
            <w:r w:rsidR="00B02825" w:rsidRPr="00B02825">
              <w:t>.</w:t>
            </w:r>
          </w:p>
        </w:tc>
      </w:tr>
      <w:tr w:rsidR="00C95CF0" w:rsidRPr="00C95CF0" w:rsidTr="00711B97">
        <w:tc>
          <w:tcPr>
            <w:tcW w:w="1258" w:type="pct"/>
            <w:tcBorders>
              <w:top w:val="outset" w:sz="6" w:space="0" w:color="auto"/>
              <w:left w:val="outset" w:sz="6" w:space="0" w:color="auto"/>
              <w:bottom w:val="outset" w:sz="6" w:space="0" w:color="auto"/>
              <w:right w:val="outset" w:sz="6" w:space="0" w:color="auto"/>
            </w:tcBorders>
            <w:vAlign w:val="center"/>
            <w:hideMark/>
          </w:tcPr>
          <w:p w:rsidR="00C95CF0" w:rsidRPr="00C95CF0" w:rsidRDefault="00C95CF0" w:rsidP="00C95CF0">
            <w:pPr>
              <w:jc w:val="center"/>
              <w:rPr>
                <w:lang w:eastAsia="en-US" w:bidi="lo-LA"/>
              </w:rPr>
            </w:pPr>
            <w:r w:rsidRPr="00C95CF0">
              <w:rPr>
                <w:lang w:eastAsia="en-US" w:bidi="lo-LA"/>
              </w:rPr>
              <w:t>A</w:t>
            </w:r>
          </w:p>
        </w:tc>
        <w:tc>
          <w:tcPr>
            <w:tcW w:w="931" w:type="pct"/>
            <w:tcBorders>
              <w:top w:val="outset" w:sz="6" w:space="0" w:color="auto"/>
              <w:left w:val="outset" w:sz="6" w:space="0" w:color="auto"/>
              <w:bottom w:val="outset" w:sz="6" w:space="0" w:color="auto"/>
              <w:right w:val="outset" w:sz="6" w:space="0" w:color="auto"/>
            </w:tcBorders>
            <w:vAlign w:val="center"/>
            <w:hideMark/>
          </w:tcPr>
          <w:p w:rsidR="00C95CF0" w:rsidRPr="00C95CF0" w:rsidRDefault="00C95CF0" w:rsidP="00C95CF0">
            <w:pPr>
              <w:jc w:val="center"/>
              <w:rPr>
                <w:lang w:eastAsia="en-US" w:bidi="lo-LA"/>
              </w:rPr>
            </w:pPr>
            <w:r w:rsidRPr="00C95CF0">
              <w:rPr>
                <w:lang w:eastAsia="en-US" w:bidi="lo-LA"/>
              </w:rPr>
              <w:t>B</w:t>
            </w:r>
          </w:p>
        </w:tc>
        <w:tc>
          <w:tcPr>
            <w:tcW w:w="1341" w:type="pct"/>
            <w:tcBorders>
              <w:top w:val="outset" w:sz="6" w:space="0" w:color="auto"/>
              <w:left w:val="outset" w:sz="6" w:space="0" w:color="auto"/>
              <w:bottom w:val="outset" w:sz="6" w:space="0" w:color="auto"/>
              <w:right w:val="outset" w:sz="6" w:space="0" w:color="auto"/>
            </w:tcBorders>
            <w:vAlign w:val="center"/>
            <w:hideMark/>
          </w:tcPr>
          <w:p w:rsidR="00C95CF0" w:rsidRPr="00C95CF0" w:rsidRDefault="00C95CF0" w:rsidP="00C95CF0">
            <w:pPr>
              <w:jc w:val="center"/>
              <w:rPr>
                <w:lang w:eastAsia="en-US" w:bidi="lo-LA"/>
              </w:rPr>
            </w:pPr>
            <w:r w:rsidRPr="00C95CF0">
              <w:rPr>
                <w:lang w:eastAsia="en-US" w:bidi="lo-LA"/>
              </w:rPr>
              <w:t>C</w:t>
            </w:r>
          </w:p>
        </w:tc>
        <w:tc>
          <w:tcPr>
            <w:tcW w:w="1469" w:type="pct"/>
            <w:tcBorders>
              <w:top w:val="outset" w:sz="6" w:space="0" w:color="auto"/>
              <w:left w:val="outset" w:sz="6" w:space="0" w:color="auto"/>
              <w:bottom w:val="outset" w:sz="6" w:space="0" w:color="auto"/>
              <w:right w:val="outset" w:sz="6" w:space="0" w:color="auto"/>
            </w:tcBorders>
            <w:vAlign w:val="center"/>
            <w:hideMark/>
          </w:tcPr>
          <w:p w:rsidR="00C95CF0" w:rsidRPr="00C95CF0" w:rsidRDefault="00C95CF0" w:rsidP="00C95CF0">
            <w:pPr>
              <w:jc w:val="center"/>
              <w:rPr>
                <w:lang w:eastAsia="en-US" w:bidi="lo-LA"/>
              </w:rPr>
            </w:pPr>
            <w:r w:rsidRPr="00C95CF0">
              <w:rPr>
                <w:lang w:eastAsia="en-US" w:bidi="lo-LA"/>
              </w:rPr>
              <w:t>D</w:t>
            </w:r>
          </w:p>
        </w:tc>
      </w:tr>
      <w:tr w:rsidR="00C95CF0" w:rsidRPr="00C95CF0" w:rsidTr="00711B97">
        <w:tc>
          <w:tcPr>
            <w:tcW w:w="1258" w:type="pct"/>
            <w:tcBorders>
              <w:top w:val="outset" w:sz="6" w:space="0" w:color="auto"/>
              <w:left w:val="outset" w:sz="6" w:space="0" w:color="auto"/>
              <w:bottom w:val="outset" w:sz="6" w:space="0" w:color="auto"/>
              <w:right w:val="outset" w:sz="6" w:space="0" w:color="auto"/>
            </w:tcBorders>
            <w:hideMark/>
          </w:tcPr>
          <w:p w:rsidR="00C95CF0" w:rsidRPr="00C95CF0" w:rsidRDefault="00C95CF0" w:rsidP="00B662D3">
            <w:pPr>
              <w:rPr>
                <w:lang w:eastAsia="en-US" w:bidi="lo-LA"/>
              </w:rPr>
            </w:pPr>
            <w:r w:rsidRPr="00C95CF0">
              <w:rPr>
                <w:lang w:eastAsia="en-US" w:bidi="lo-LA"/>
              </w:rPr>
              <w:t>Attiecīgā ES tiesību akta panta numurs (uzskaitot katru tiesību akta vienību – pantu, daļu, punktu, apakšpunktu)</w:t>
            </w:r>
          </w:p>
        </w:tc>
        <w:tc>
          <w:tcPr>
            <w:tcW w:w="931" w:type="pct"/>
            <w:tcBorders>
              <w:top w:val="outset" w:sz="6" w:space="0" w:color="auto"/>
              <w:left w:val="outset" w:sz="6" w:space="0" w:color="auto"/>
              <w:bottom w:val="outset" w:sz="6" w:space="0" w:color="auto"/>
              <w:right w:val="outset" w:sz="6" w:space="0" w:color="auto"/>
            </w:tcBorders>
            <w:hideMark/>
          </w:tcPr>
          <w:p w:rsidR="00C95CF0" w:rsidRPr="00C95CF0" w:rsidRDefault="00C95CF0" w:rsidP="00B662D3">
            <w:pPr>
              <w:rPr>
                <w:lang w:eastAsia="en-US" w:bidi="lo-LA"/>
              </w:rPr>
            </w:pPr>
            <w:r w:rsidRPr="00C95CF0">
              <w:rPr>
                <w:lang w:eastAsia="en-US" w:bidi="lo-LA"/>
              </w:rPr>
              <w:t>Projekta vienība, kas pārņem vai ievieš katru šīs tabulas A ailē minēto ES tiesību akta vienību, vai tiesību akts, kur attiecīgā ES tiesību akta vienība pārņemta vai ieviesta</w:t>
            </w:r>
          </w:p>
        </w:tc>
        <w:tc>
          <w:tcPr>
            <w:tcW w:w="1341" w:type="pct"/>
            <w:tcBorders>
              <w:top w:val="outset" w:sz="6" w:space="0" w:color="auto"/>
              <w:left w:val="outset" w:sz="6" w:space="0" w:color="auto"/>
              <w:bottom w:val="outset" w:sz="6" w:space="0" w:color="auto"/>
              <w:right w:val="outset" w:sz="6" w:space="0" w:color="auto"/>
            </w:tcBorders>
            <w:hideMark/>
          </w:tcPr>
          <w:p w:rsidR="00C95CF0" w:rsidRPr="00C95CF0" w:rsidRDefault="00C95CF0" w:rsidP="00B662D3">
            <w:pPr>
              <w:rPr>
                <w:lang w:eastAsia="en-US" w:bidi="lo-LA"/>
              </w:rPr>
            </w:pPr>
            <w:r w:rsidRPr="00C95CF0">
              <w:rPr>
                <w:lang w:eastAsia="en-US" w:bidi="lo-LA"/>
              </w:rPr>
              <w:t xml:space="preserve">Informācija par to, vai šīs tabulas A ailē minētās ES tiesību akta vienības tiek pārņemtas vai ieviestas pilnībā vai daļēji. </w:t>
            </w:r>
          </w:p>
          <w:p w:rsidR="00C95CF0" w:rsidRPr="00C95CF0" w:rsidRDefault="00C95CF0" w:rsidP="00B662D3">
            <w:pPr>
              <w:rPr>
                <w:lang w:eastAsia="en-US" w:bidi="lo-LA"/>
              </w:rPr>
            </w:pPr>
            <w:r w:rsidRPr="00C95CF0">
              <w:rPr>
                <w:lang w:eastAsia="en-US" w:bidi="lo-LA"/>
              </w:rPr>
              <w:t xml:space="preserve">Ja attiecīgā ES tiesību akta vienība tiek pārņemta vai ieviesta daļēji, sniedz attiecīgu skaidrojumu, kā arī precīzi norāda, kad un kādā veidā ES tiesību </w:t>
            </w:r>
            <w:r w:rsidRPr="00C95CF0">
              <w:rPr>
                <w:lang w:eastAsia="en-US" w:bidi="lo-LA"/>
              </w:rPr>
              <w:lastRenderedPageBreak/>
              <w:t>akta vienība tiks pārņemta vai ieviesta pilnībā.</w:t>
            </w:r>
          </w:p>
          <w:p w:rsidR="00C95CF0" w:rsidRPr="00C95CF0" w:rsidRDefault="00C95CF0" w:rsidP="00B662D3">
            <w:pPr>
              <w:rPr>
                <w:lang w:eastAsia="en-US" w:bidi="lo-LA"/>
              </w:rPr>
            </w:pPr>
            <w:r w:rsidRPr="00C95CF0">
              <w:rPr>
                <w:lang w:eastAsia="en-US" w:bidi="lo-LA"/>
              </w:rPr>
              <w:t>Norāda institūciju, kas ir atbildīga par šo saistību izpildi pilnībā</w:t>
            </w:r>
          </w:p>
        </w:tc>
        <w:tc>
          <w:tcPr>
            <w:tcW w:w="1469" w:type="pct"/>
            <w:tcBorders>
              <w:top w:val="outset" w:sz="6" w:space="0" w:color="auto"/>
              <w:left w:val="outset" w:sz="6" w:space="0" w:color="auto"/>
              <w:bottom w:val="outset" w:sz="6" w:space="0" w:color="auto"/>
              <w:right w:val="outset" w:sz="6" w:space="0" w:color="auto"/>
            </w:tcBorders>
            <w:hideMark/>
          </w:tcPr>
          <w:p w:rsidR="00C95CF0" w:rsidRPr="00C95CF0" w:rsidRDefault="00C95CF0" w:rsidP="00B662D3">
            <w:pPr>
              <w:rPr>
                <w:lang w:eastAsia="en-US" w:bidi="lo-LA"/>
              </w:rPr>
            </w:pPr>
            <w:r w:rsidRPr="00C95CF0">
              <w:rPr>
                <w:lang w:eastAsia="en-US" w:bidi="lo-LA"/>
              </w:rPr>
              <w:lastRenderedPageBreak/>
              <w:t xml:space="preserve">Informācija par to, vai šīs tabulas B ailē minētās projekta vienības paredz stingrākas prasības nekā šīs tabulas A ailē minētās ES tiesību akta vienības. </w:t>
            </w:r>
          </w:p>
          <w:p w:rsidR="00C95CF0" w:rsidRPr="00C95CF0" w:rsidRDefault="00C95CF0" w:rsidP="00B662D3">
            <w:pPr>
              <w:rPr>
                <w:lang w:eastAsia="en-US" w:bidi="lo-LA"/>
              </w:rPr>
            </w:pPr>
            <w:r w:rsidRPr="00C95CF0">
              <w:rPr>
                <w:lang w:eastAsia="en-US" w:bidi="lo-LA"/>
              </w:rPr>
              <w:t>Ja projekts satur stingrākas prasības nekā attiecīgais ES tiesību akts, norāda pamatojumu un samērīgumu.</w:t>
            </w:r>
          </w:p>
          <w:p w:rsidR="00C95CF0" w:rsidRPr="00C95CF0" w:rsidRDefault="00C95CF0" w:rsidP="00B662D3">
            <w:pPr>
              <w:rPr>
                <w:lang w:eastAsia="en-US" w:bidi="lo-LA"/>
              </w:rPr>
            </w:pPr>
            <w:r w:rsidRPr="00C95CF0">
              <w:rPr>
                <w:lang w:eastAsia="en-US" w:bidi="lo-LA"/>
              </w:rPr>
              <w:t xml:space="preserve">Norāda iespējamās alternatīvas (t.sk. </w:t>
            </w:r>
            <w:r w:rsidRPr="00C95CF0">
              <w:rPr>
                <w:lang w:eastAsia="en-US" w:bidi="lo-LA"/>
              </w:rPr>
              <w:lastRenderedPageBreak/>
              <w:t>alternatīvas, kas neparedz tiesiskā regulējuma izstrādi) – kādos gadījumos būtu iespējams izvairīties no stingrāku prasību noteikšanas, nekā paredzēts attiecīgajos ES tiesību aktos</w:t>
            </w:r>
          </w:p>
        </w:tc>
      </w:tr>
      <w:tr w:rsidR="00B662D3" w:rsidRPr="00C95CF0" w:rsidTr="00711B97">
        <w:tc>
          <w:tcPr>
            <w:tcW w:w="1258" w:type="pct"/>
            <w:tcBorders>
              <w:top w:val="outset" w:sz="6" w:space="0" w:color="auto"/>
              <w:left w:val="outset" w:sz="6" w:space="0" w:color="auto"/>
              <w:bottom w:val="outset" w:sz="6" w:space="0" w:color="auto"/>
              <w:right w:val="outset" w:sz="6" w:space="0" w:color="auto"/>
            </w:tcBorders>
            <w:hideMark/>
          </w:tcPr>
          <w:p w:rsidR="000C2E59" w:rsidRPr="000C2E59" w:rsidRDefault="000C2E59" w:rsidP="000C2E59">
            <w:pPr>
              <w:spacing w:before="75" w:after="75"/>
              <w:rPr>
                <w:i/>
                <w:iCs/>
                <w:color w:val="000000"/>
              </w:rPr>
            </w:pPr>
            <w:r w:rsidRPr="000C2E59">
              <w:rPr>
                <w:i/>
                <w:iCs/>
                <w:color w:val="000000"/>
              </w:rPr>
              <w:lastRenderedPageBreak/>
              <w:t>Regula</w:t>
            </w:r>
            <w:r w:rsidR="00D666AA">
              <w:rPr>
                <w:i/>
                <w:iCs/>
                <w:color w:val="000000"/>
              </w:rPr>
              <w:t>s</w:t>
            </w:r>
            <w:r w:rsidRPr="000C2E59">
              <w:rPr>
                <w:i/>
                <w:iCs/>
                <w:color w:val="000000"/>
              </w:rPr>
              <w:t xml:space="preserve"> (EK) Nr. </w:t>
            </w:r>
            <w:hyperlink r:id="rId26" w:tgtFrame="_blank" w:tooltip="REGULA" w:history="1">
              <w:r w:rsidR="0035637C" w:rsidRPr="00196F14">
                <w:rPr>
                  <w:rStyle w:val="Hyperlink"/>
                </w:rPr>
                <w:t>883/2004</w:t>
              </w:r>
            </w:hyperlink>
          </w:p>
          <w:p w:rsidR="000C2E59" w:rsidRPr="000C2E59" w:rsidRDefault="000C2E59" w:rsidP="000C2E59">
            <w:pPr>
              <w:spacing w:before="75" w:after="75"/>
              <w:rPr>
                <w:i/>
                <w:iCs/>
              </w:rPr>
            </w:pPr>
            <w:r w:rsidRPr="000C2E59">
              <w:rPr>
                <w:i/>
                <w:iCs/>
                <w:color w:val="000000"/>
              </w:rPr>
              <w:t xml:space="preserve">1.panta q </w:t>
            </w:r>
            <w:r w:rsidRPr="000C2E59">
              <w:rPr>
                <w:i/>
                <w:iCs/>
              </w:rPr>
              <w:t xml:space="preserve">punkta   </w:t>
            </w:r>
            <w:proofErr w:type="spellStart"/>
            <w:r w:rsidRPr="000C2E59">
              <w:rPr>
                <w:i/>
                <w:iCs/>
              </w:rPr>
              <w:t>iii</w:t>
            </w:r>
            <w:proofErr w:type="spellEnd"/>
            <w:r w:rsidRPr="000C2E59">
              <w:rPr>
                <w:i/>
                <w:iCs/>
              </w:rPr>
              <w:t>) apakšpunkts</w:t>
            </w:r>
          </w:p>
          <w:p w:rsidR="000C2E59" w:rsidRPr="000C2E59" w:rsidRDefault="000C2E59" w:rsidP="000C2E59">
            <w:pPr>
              <w:spacing w:before="75" w:after="75"/>
              <w:rPr>
                <w:bCs/>
                <w:i/>
                <w:iCs/>
              </w:rPr>
            </w:pPr>
            <w:r w:rsidRPr="000C2E59">
              <w:rPr>
                <w:bCs/>
                <w:i/>
                <w:iCs/>
              </w:rPr>
              <w:t>17.pants</w:t>
            </w:r>
          </w:p>
          <w:p w:rsidR="000C2E59" w:rsidRPr="000C2E59" w:rsidRDefault="000C2E59" w:rsidP="000C2E59">
            <w:pPr>
              <w:spacing w:before="75" w:after="75"/>
              <w:rPr>
                <w:bCs/>
                <w:i/>
                <w:iCs/>
              </w:rPr>
            </w:pPr>
            <w:r w:rsidRPr="000C2E59">
              <w:rPr>
                <w:bCs/>
                <w:i/>
                <w:iCs/>
              </w:rPr>
              <w:t>18.pants</w:t>
            </w:r>
          </w:p>
          <w:p w:rsidR="000C2E59" w:rsidRPr="000C2E59" w:rsidRDefault="000C2E59" w:rsidP="000C2E59">
            <w:pPr>
              <w:spacing w:before="75" w:after="75"/>
              <w:rPr>
                <w:bCs/>
                <w:i/>
                <w:iCs/>
              </w:rPr>
            </w:pPr>
            <w:r w:rsidRPr="000C2E59">
              <w:rPr>
                <w:bCs/>
                <w:i/>
                <w:iCs/>
              </w:rPr>
              <w:t>19.pants</w:t>
            </w:r>
          </w:p>
          <w:p w:rsidR="000C2E59" w:rsidRPr="000C2E59" w:rsidRDefault="000C2E59" w:rsidP="000C2E59">
            <w:pPr>
              <w:spacing w:before="75" w:after="75"/>
              <w:rPr>
                <w:bCs/>
                <w:i/>
                <w:iCs/>
              </w:rPr>
            </w:pPr>
            <w:r w:rsidRPr="000C2E59">
              <w:rPr>
                <w:bCs/>
                <w:i/>
                <w:iCs/>
              </w:rPr>
              <w:t>20.pants</w:t>
            </w:r>
          </w:p>
          <w:p w:rsidR="000C2E59" w:rsidRPr="000C2E59" w:rsidRDefault="000C2E59" w:rsidP="000C2E59">
            <w:pPr>
              <w:spacing w:before="75" w:after="75"/>
              <w:rPr>
                <w:bCs/>
                <w:i/>
                <w:iCs/>
              </w:rPr>
            </w:pPr>
            <w:r w:rsidRPr="000C2E59">
              <w:rPr>
                <w:bCs/>
                <w:i/>
                <w:iCs/>
              </w:rPr>
              <w:t>21.pants</w:t>
            </w:r>
          </w:p>
          <w:p w:rsidR="000C2E59" w:rsidRPr="000C2E59" w:rsidRDefault="000C2E59" w:rsidP="000C2E59">
            <w:pPr>
              <w:spacing w:before="75" w:after="75"/>
              <w:rPr>
                <w:bCs/>
                <w:i/>
                <w:iCs/>
              </w:rPr>
            </w:pPr>
            <w:r w:rsidRPr="000C2E59">
              <w:rPr>
                <w:bCs/>
                <w:i/>
                <w:iCs/>
              </w:rPr>
              <w:t>22.pants</w:t>
            </w:r>
          </w:p>
          <w:p w:rsidR="000C2E59" w:rsidRPr="000C2E59" w:rsidRDefault="000C2E59" w:rsidP="000C2E59">
            <w:pPr>
              <w:spacing w:before="75" w:after="75"/>
              <w:rPr>
                <w:bCs/>
                <w:i/>
                <w:iCs/>
              </w:rPr>
            </w:pPr>
            <w:r w:rsidRPr="000C2E59">
              <w:rPr>
                <w:bCs/>
                <w:i/>
                <w:iCs/>
              </w:rPr>
              <w:t>23.pants</w:t>
            </w:r>
          </w:p>
          <w:p w:rsidR="000C2E59" w:rsidRPr="000C2E59" w:rsidRDefault="000C2E59" w:rsidP="000C2E59">
            <w:pPr>
              <w:spacing w:before="75" w:after="75"/>
              <w:rPr>
                <w:bCs/>
                <w:i/>
                <w:iCs/>
              </w:rPr>
            </w:pPr>
            <w:r w:rsidRPr="000C2E59">
              <w:rPr>
                <w:bCs/>
                <w:i/>
                <w:iCs/>
              </w:rPr>
              <w:t>24.pants</w:t>
            </w:r>
          </w:p>
          <w:p w:rsidR="000C2E59" w:rsidRPr="000C2E59" w:rsidRDefault="000C2E59" w:rsidP="000C2E59">
            <w:pPr>
              <w:spacing w:before="75" w:after="75"/>
              <w:rPr>
                <w:bCs/>
                <w:i/>
                <w:iCs/>
              </w:rPr>
            </w:pPr>
            <w:r w:rsidRPr="000C2E59">
              <w:rPr>
                <w:bCs/>
                <w:i/>
                <w:iCs/>
              </w:rPr>
              <w:t>25.pants</w:t>
            </w:r>
          </w:p>
          <w:p w:rsidR="000C2E59" w:rsidRPr="000C2E59" w:rsidRDefault="000C2E59" w:rsidP="000C2E59">
            <w:pPr>
              <w:spacing w:before="75" w:after="75"/>
              <w:rPr>
                <w:bCs/>
                <w:i/>
                <w:iCs/>
              </w:rPr>
            </w:pPr>
            <w:r w:rsidRPr="000C2E59">
              <w:rPr>
                <w:bCs/>
                <w:i/>
                <w:iCs/>
              </w:rPr>
              <w:t>26.pants</w:t>
            </w:r>
          </w:p>
          <w:p w:rsidR="000C2E59" w:rsidRPr="000C2E59" w:rsidRDefault="000C2E59" w:rsidP="000C2E59">
            <w:pPr>
              <w:spacing w:before="75" w:after="75"/>
              <w:rPr>
                <w:bCs/>
                <w:i/>
                <w:iCs/>
              </w:rPr>
            </w:pPr>
            <w:r w:rsidRPr="000C2E59">
              <w:rPr>
                <w:bCs/>
                <w:i/>
                <w:iCs/>
              </w:rPr>
              <w:t>27.pants</w:t>
            </w:r>
          </w:p>
          <w:p w:rsidR="000C2E59" w:rsidRPr="000C2E59" w:rsidRDefault="000C2E59" w:rsidP="000C2E59">
            <w:pPr>
              <w:spacing w:before="75" w:after="75"/>
              <w:rPr>
                <w:bCs/>
                <w:i/>
                <w:iCs/>
              </w:rPr>
            </w:pPr>
            <w:r w:rsidRPr="000C2E59">
              <w:rPr>
                <w:bCs/>
                <w:i/>
                <w:iCs/>
              </w:rPr>
              <w:t>28.pants</w:t>
            </w:r>
          </w:p>
          <w:p w:rsidR="000C2E59" w:rsidRPr="000C2E59" w:rsidRDefault="000C2E59" w:rsidP="000C2E59">
            <w:pPr>
              <w:spacing w:before="75" w:after="75"/>
              <w:rPr>
                <w:bCs/>
                <w:i/>
                <w:iCs/>
              </w:rPr>
            </w:pPr>
            <w:r w:rsidRPr="000C2E59">
              <w:rPr>
                <w:bCs/>
                <w:i/>
                <w:iCs/>
              </w:rPr>
              <w:t>29.pants</w:t>
            </w:r>
          </w:p>
          <w:p w:rsidR="000C2E59" w:rsidRPr="000C2E59" w:rsidRDefault="000C2E59" w:rsidP="000C2E59">
            <w:pPr>
              <w:spacing w:before="75" w:after="75"/>
              <w:rPr>
                <w:bCs/>
                <w:i/>
                <w:iCs/>
              </w:rPr>
            </w:pPr>
            <w:r w:rsidRPr="000C2E59">
              <w:rPr>
                <w:bCs/>
                <w:i/>
                <w:iCs/>
              </w:rPr>
              <w:t>30.pants</w:t>
            </w:r>
          </w:p>
          <w:p w:rsidR="000C2E59" w:rsidRPr="000C2E59" w:rsidRDefault="000C2E59" w:rsidP="000C2E59">
            <w:pPr>
              <w:spacing w:before="75" w:after="75"/>
              <w:rPr>
                <w:bCs/>
                <w:i/>
                <w:iCs/>
              </w:rPr>
            </w:pPr>
            <w:r w:rsidRPr="000C2E59">
              <w:rPr>
                <w:bCs/>
                <w:i/>
                <w:iCs/>
              </w:rPr>
              <w:t>31.pants</w:t>
            </w:r>
          </w:p>
          <w:p w:rsidR="000C2E59" w:rsidRPr="000C2E59" w:rsidRDefault="000C2E59" w:rsidP="000C2E59">
            <w:pPr>
              <w:spacing w:before="75" w:after="75"/>
              <w:rPr>
                <w:bCs/>
                <w:i/>
                <w:iCs/>
              </w:rPr>
            </w:pPr>
            <w:r w:rsidRPr="000C2E59">
              <w:rPr>
                <w:bCs/>
                <w:i/>
                <w:iCs/>
              </w:rPr>
              <w:t>32.pants</w:t>
            </w:r>
          </w:p>
          <w:p w:rsidR="000C2E59" w:rsidRPr="000C2E59" w:rsidRDefault="000C2E59" w:rsidP="000C2E59">
            <w:pPr>
              <w:spacing w:before="75" w:after="75"/>
              <w:rPr>
                <w:bCs/>
                <w:i/>
                <w:iCs/>
              </w:rPr>
            </w:pPr>
            <w:r w:rsidRPr="000C2E59">
              <w:rPr>
                <w:bCs/>
                <w:i/>
                <w:iCs/>
              </w:rPr>
              <w:t>33.pants</w:t>
            </w:r>
          </w:p>
          <w:p w:rsidR="000C2E59" w:rsidRPr="000C2E59" w:rsidRDefault="000C2E59" w:rsidP="000C2E59">
            <w:pPr>
              <w:spacing w:before="75" w:after="75"/>
              <w:rPr>
                <w:bCs/>
                <w:i/>
                <w:iCs/>
              </w:rPr>
            </w:pPr>
            <w:r w:rsidRPr="000C2E59">
              <w:rPr>
                <w:bCs/>
                <w:i/>
                <w:iCs/>
              </w:rPr>
              <w:t>34.pants</w:t>
            </w:r>
          </w:p>
          <w:p w:rsidR="00B662D3" w:rsidRPr="00B36E8A" w:rsidRDefault="000C2E59" w:rsidP="00B36E8A">
            <w:pPr>
              <w:spacing w:before="75" w:after="75"/>
              <w:rPr>
                <w:bCs/>
                <w:i/>
                <w:iCs/>
              </w:rPr>
            </w:pPr>
            <w:r w:rsidRPr="000C2E59">
              <w:rPr>
                <w:bCs/>
                <w:i/>
                <w:iCs/>
              </w:rPr>
              <w:t>35.pants</w:t>
            </w:r>
          </w:p>
        </w:tc>
        <w:tc>
          <w:tcPr>
            <w:tcW w:w="931" w:type="pct"/>
            <w:tcBorders>
              <w:top w:val="outset" w:sz="6" w:space="0" w:color="auto"/>
              <w:left w:val="outset" w:sz="6" w:space="0" w:color="auto"/>
              <w:bottom w:val="outset" w:sz="6" w:space="0" w:color="auto"/>
              <w:right w:val="outset" w:sz="6" w:space="0" w:color="auto"/>
            </w:tcBorders>
            <w:hideMark/>
          </w:tcPr>
          <w:p w:rsidR="00B662D3" w:rsidRPr="000C2E59" w:rsidRDefault="000C2E59" w:rsidP="00B662D3">
            <w:pPr>
              <w:pStyle w:val="naiskr"/>
              <w:spacing w:before="0" w:after="0"/>
              <w:rPr>
                <w:i/>
                <w:iCs/>
              </w:rPr>
            </w:pPr>
            <w:r w:rsidRPr="000C2E59">
              <w:rPr>
                <w:i/>
                <w:iCs/>
              </w:rPr>
              <w:t>Rīkojuma projekta 3.8</w:t>
            </w:r>
            <w:r w:rsidR="00B662D3" w:rsidRPr="000C2E59">
              <w:rPr>
                <w:i/>
                <w:iCs/>
              </w:rPr>
              <w:t>.</w:t>
            </w:r>
            <w:r w:rsidRPr="000C2E59">
              <w:rPr>
                <w:i/>
                <w:iCs/>
              </w:rPr>
              <w:t>apakš</w:t>
            </w:r>
            <w:r w:rsidR="00B662D3" w:rsidRPr="000C2E59">
              <w:rPr>
                <w:i/>
                <w:iCs/>
              </w:rPr>
              <w:t>punkts</w:t>
            </w:r>
          </w:p>
        </w:tc>
        <w:tc>
          <w:tcPr>
            <w:tcW w:w="1341" w:type="pct"/>
            <w:tcBorders>
              <w:top w:val="outset" w:sz="6" w:space="0" w:color="auto"/>
              <w:left w:val="outset" w:sz="6" w:space="0" w:color="auto"/>
              <w:bottom w:val="outset" w:sz="6" w:space="0" w:color="auto"/>
              <w:right w:val="outset" w:sz="6" w:space="0" w:color="auto"/>
            </w:tcBorders>
            <w:hideMark/>
          </w:tcPr>
          <w:p w:rsidR="00B662D3" w:rsidRPr="000C2E59" w:rsidRDefault="00D666AA" w:rsidP="005C7217">
            <w:pPr>
              <w:pStyle w:val="naiskr"/>
              <w:spacing w:before="0" w:after="0"/>
              <w:rPr>
                <w:i/>
                <w:iCs/>
                <w:sz w:val="28"/>
                <w:szCs w:val="28"/>
              </w:rPr>
            </w:pPr>
            <w:r w:rsidRPr="000C2E59">
              <w:rPr>
                <w:i/>
                <w:iCs/>
              </w:rPr>
              <w:t xml:space="preserve">Rīkojuma projekts </w:t>
            </w:r>
            <w:r>
              <w:rPr>
                <w:i/>
                <w:iCs/>
              </w:rPr>
              <w:t>ievieš</w:t>
            </w:r>
            <w:r w:rsidRPr="000C2E59">
              <w:rPr>
                <w:i/>
                <w:iCs/>
              </w:rPr>
              <w:t xml:space="preserve"> </w:t>
            </w:r>
            <w:r>
              <w:rPr>
                <w:i/>
                <w:iCs/>
              </w:rPr>
              <w:t xml:space="preserve">minētās </w:t>
            </w:r>
            <w:r w:rsidRPr="000C2E59">
              <w:rPr>
                <w:i/>
                <w:iCs/>
              </w:rPr>
              <w:t>regul</w:t>
            </w:r>
            <w:r>
              <w:rPr>
                <w:i/>
                <w:iCs/>
              </w:rPr>
              <w:t>as</w:t>
            </w:r>
            <w:r w:rsidRPr="000C2E59">
              <w:rPr>
                <w:i/>
                <w:iCs/>
              </w:rPr>
              <w:t xml:space="preserve"> </w:t>
            </w:r>
            <w:r>
              <w:rPr>
                <w:i/>
                <w:iCs/>
              </w:rPr>
              <w:t xml:space="preserve">normas </w:t>
            </w:r>
            <w:r w:rsidRPr="000C2E59">
              <w:rPr>
                <w:i/>
                <w:iCs/>
              </w:rPr>
              <w:t>pilnībā</w:t>
            </w:r>
          </w:p>
        </w:tc>
        <w:tc>
          <w:tcPr>
            <w:tcW w:w="1469" w:type="pct"/>
            <w:tcBorders>
              <w:top w:val="outset" w:sz="6" w:space="0" w:color="auto"/>
              <w:left w:val="outset" w:sz="6" w:space="0" w:color="auto"/>
              <w:bottom w:val="outset" w:sz="6" w:space="0" w:color="auto"/>
              <w:right w:val="outset" w:sz="6" w:space="0" w:color="auto"/>
            </w:tcBorders>
            <w:hideMark/>
          </w:tcPr>
          <w:p w:rsidR="00B662D3" w:rsidRPr="000C2E59" w:rsidRDefault="00B662D3" w:rsidP="00B662D3">
            <w:pPr>
              <w:pStyle w:val="naiskr"/>
              <w:spacing w:before="0" w:after="0"/>
              <w:jc w:val="both"/>
              <w:rPr>
                <w:i/>
                <w:iCs/>
              </w:rPr>
            </w:pPr>
            <w:r w:rsidRPr="000C2E59">
              <w:rPr>
                <w:i/>
                <w:iCs/>
              </w:rPr>
              <w:t>Neparedz stingrākas prasības</w:t>
            </w:r>
          </w:p>
        </w:tc>
      </w:tr>
      <w:tr w:rsidR="00B36E8A" w:rsidRPr="00C95CF0" w:rsidTr="00711B97">
        <w:tc>
          <w:tcPr>
            <w:tcW w:w="1258" w:type="pct"/>
            <w:tcBorders>
              <w:top w:val="outset" w:sz="6" w:space="0" w:color="auto"/>
              <w:left w:val="outset" w:sz="6" w:space="0" w:color="auto"/>
              <w:bottom w:val="outset" w:sz="6" w:space="0" w:color="auto"/>
              <w:right w:val="outset" w:sz="6" w:space="0" w:color="auto"/>
            </w:tcBorders>
            <w:hideMark/>
          </w:tcPr>
          <w:p w:rsidR="00B36E8A" w:rsidRPr="00B36E8A" w:rsidRDefault="00B36E8A" w:rsidP="00D666AA">
            <w:pPr>
              <w:pStyle w:val="Default"/>
              <w:rPr>
                <w:lang w:val="lv-LV"/>
              </w:rPr>
            </w:pPr>
            <w:r w:rsidRPr="007A6D95">
              <w:rPr>
                <w:bCs/>
                <w:i/>
                <w:iCs/>
                <w:lang w:val="lv-LV"/>
              </w:rPr>
              <w:t>Regula</w:t>
            </w:r>
            <w:r w:rsidR="00D666AA">
              <w:rPr>
                <w:bCs/>
                <w:i/>
                <w:iCs/>
                <w:lang w:val="lv-LV"/>
              </w:rPr>
              <w:t>s</w:t>
            </w:r>
            <w:r w:rsidRPr="007A6D95">
              <w:rPr>
                <w:bCs/>
                <w:i/>
                <w:iCs/>
                <w:lang w:val="lv-LV"/>
              </w:rPr>
              <w:t xml:space="preserve"> (EK) Nr. </w:t>
            </w:r>
            <w:hyperlink r:id="rId27" w:tgtFrame="_blank" w:tooltip="REGULA" w:history="1">
              <w:r w:rsidR="0035637C">
                <w:rPr>
                  <w:rStyle w:val="Hyperlink"/>
                </w:rPr>
                <w:t>988</w:t>
              </w:r>
              <w:r w:rsidR="0035637C" w:rsidRPr="00196F14">
                <w:rPr>
                  <w:rStyle w:val="Hyperlink"/>
                </w:rPr>
                <w:t>/2009</w:t>
              </w:r>
            </w:hyperlink>
            <w:r w:rsidR="0035637C" w:rsidRPr="007A6D95">
              <w:rPr>
                <w:bCs/>
                <w:i/>
                <w:iCs/>
                <w:lang w:val="lv-LV"/>
              </w:rPr>
              <w:t xml:space="preserve"> </w:t>
            </w:r>
          </w:p>
          <w:p w:rsidR="00B36E8A" w:rsidRPr="00B36E8A" w:rsidRDefault="00B36E8A" w:rsidP="00B36E8A">
            <w:pPr>
              <w:pStyle w:val="Default"/>
              <w:rPr>
                <w:i/>
                <w:iCs/>
                <w:lang w:val="lv-LV"/>
              </w:rPr>
            </w:pPr>
            <w:r w:rsidRPr="00B36E8A">
              <w:rPr>
                <w:i/>
                <w:iCs/>
                <w:lang w:val="lv-LV"/>
              </w:rPr>
              <w:t xml:space="preserve">1.panta </w:t>
            </w:r>
          </w:p>
          <w:p w:rsidR="00B36E8A" w:rsidRPr="00B36E8A" w:rsidRDefault="00B36E8A" w:rsidP="00B36E8A">
            <w:pPr>
              <w:pStyle w:val="Default"/>
              <w:rPr>
                <w:i/>
                <w:iCs/>
                <w:lang w:val="lv-LV"/>
              </w:rPr>
            </w:pPr>
            <w:r w:rsidRPr="00B36E8A">
              <w:rPr>
                <w:i/>
                <w:iCs/>
                <w:lang w:val="lv-LV"/>
              </w:rPr>
              <w:t>7.punkts</w:t>
            </w:r>
          </w:p>
          <w:p w:rsidR="00B36E8A" w:rsidRPr="007A6D95" w:rsidRDefault="00B36E8A" w:rsidP="00B36E8A">
            <w:pPr>
              <w:pStyle w:val="Default"/>
              <w:rPr>
                <w:lang w:val="lv-LV"/>
              </w:rPr>
            </w:pPr>
            <w:r w:rsidRPr="00B36E8A">
              <w:rPr>
                <w:i/>
                <w:iCs/>
                <w:lang w:val="lv-LV"/>
              </w:rPr>
              <w:t>8.punkts</w:t>
            </w:r>
          </w:p>
        </w:tc>
        <w:tc>
          <w:tcPr>
            <w:tcW w:w="931" w:type="pct"/>
            <w:tcBorders>
              <w:top w:val="outset" w:sz="6" w:space="0" w:color="auto"/>
              <w:left w:val="outset" w:sz="6" w:space="0" w:color="auto"/>
              <w:bottom w:val="outset" w:sz="6" w:space="0" w:color="auto"/>
              <w:right w:val="outset" w:sz="6" w:space="0" w:color="auto"/>
            </w:tcBorders>
            <w:hideMark/>
          </w:tcPr>
          <w:p w:rsidR="00B36E8A" w:rsidRPr="000C2E59" w:rsidRDefault="00B36E8A" w:rsidP="00B36E8A">
            <w:pPr>
              <w:pStyle w:val="naiskr"/>
              <w:spacing w:before="0" w:after="0"/>
              <w:rPr>
                <w:i/>
                <w:iCs/>
              </w:rPr>
            </w:pPr>
            <w:r w:rsidRPr="000C2E59">
              <w:rPr>
                <w:i/>
                <w:iCs/>
              </w:rPr>
              <w:t>Rīkojuma projekta 3.8.apakšpunkts</w:t>
            </w:r>
          </w:p>
        </w:tc>
        <w:tc>
          <w:tcPr>
            <w:tcW w:w="1341" w:type="pct"/>
            <w:tcBorders>
              <w:top w:val="outset" w:sz="6" w:space="0" w:color="auto"/>
              <w:left w:val="outset" w:sz="6" w:space="0" w:color="auto"/>
              <w:bottom w:val="outset" w:sz="6" w:space="0" w:color="auto"/>
              <w:right w:val="outset" w:sz="6" w:space="0" w:color="auto"/>
            </w:tcBorders>
            <w:hideMark/>
          </w:tcPr>
          <w:p w:rsidR="00B36E8A" w:rsidRPr="000C2E59" w:rsidRDefault="00D666AA" w:rsidP="00B36E8A">
            <w:pPr>
              <w:pStyle w:val="naiskr"/>
              <w:spacing w:before="0" w:after="0"/>
              <w:rPr>
                <w:i/>
                <w:iCs/>
                <w:sz w:val="28"/>
                <w:szCs w:val="28"/>
              </w:rPr>
            </w:pPr>
            <w:r w:rsidRPr="000C2E59">
              <w:rPr>
                <w:i/>
                <w:iCs/>
              </w:rPr>
              <w:t xml:space="preserve">Rīkojuma projekts </w:t>
            </w:r>
            <w:r>
              <w:rPr>
                <w:i/>
                <w:iCs/>
              </w:rPr>
              <w:t>ievieš</w:t>
            </w:r>
            <w:r w:rsidRPr="000C2E59">
              <w:rPr>
                <w:i/>
                <w:iCs/>
              </w:rPr>
              <w:t xml:space="preserve"> </w:t>
            </w:r>
            <w:r>
              <w:rPr>
                <w:i/>
                <w:iCs/>
              </w:rPr>
              <w:t xml:space="preserve">minētās </w:t>
            </w:r>
            <w:r w:rsidRPr="000C2E59">
              <w:rPr>
                <w:i/>
                <w:iCs/>
              </w:rPr>
              <w:t>regul</w:t>
            </w:r>
            <w:r>
              <w:rPr>
                <w:i/>
                <w:iCs/>
              </w:rPr>
              <w:t>as</w:t>
            </w:r>
            <w:r w:rsidRPr="000C2E59">
              <w:rPr>
                <w:i/>
                <w:iCs/>
              </w:rPr>
              <w:t xml:space="preserve"> </w:t>
            </w:r>
            <w:r>
              <w:rPr>
                <w:i/>
                <w:iCs/>
              </w:rPr>
              <w:t xml:space="preserve">normas </w:t>
            </w:r>
            <w:r w:rsidRPr="000C2E59">
              <w:rPr>
                <w:i/>
                <w:iCs/>
              </w:rPr>
              <w:t>pilnībā</w:t>
            </w:r>
          </w:p>
        </w:tc>
        <w:tc>
          <w:tcPr>
            <w:tcW w:w="1469" w:type="pct"/>
            <w:tcBorders>
              <w:top w:val="outset" w:sz="6" w:space="0" w:color="auto"/>
              <w:left w:val="outset" w:sz="6" w:space="0" w:color="auto"/>
              <w:bottom w:val="outset" w:sz="6" w:space="0" w:color="auto"/>
              <w:right w:val="outset" w:sz="6" w:space="0" w:color="auto"/>
            </w:tcBorders>
            <w:hideMark/>
          </w:tcPr>
          <w:p w:rsidR="00B36E8A" w:rsidRPr="000C2E59" w:rsidRDefault="00B36E8A" w:rsidP="00B36E8A">
            <w:pPr>
              <w:pStyle w:val="naiskr"/>
              <w:spacing w:before="0" w:after="0"/>
              <w:jc w:val="both"/>
              <w:rPr>
                <w:i/>
                <w:iCs/>
              </w:rPr>
            </w:pPr>
            <w:r w:rsidRPr="000C2E59">
              <w:rPr>
                <w:i/>
                <w:iCs/>
              </w:rPr>
              <w:t>Neparedz stingrākas prasības</w:t>
            </w:r>
          </w:p>
        </w:tc>
      </w:tr>
      <w:tr w:rsidR="000C2E59" w:rsidRPr="00C95CF0" w:rsidTr="00711B97">
        <w:tc>
          <w:tcPr>
            <w:tcW w:w="1258" w:type="pct"/>
            <w:tcBorders>
              <w:top w:val="outset" w:sz="6" w:space="0" w:color="auto"/>
              <w:left w:val="outset" w:sz="6" w:space="0" w:color="auto"/>
              <w:bottom w:val="outset" w:sz="6" w:space="0" w:color="auto"/>
              <w:right w:val="outset" w:sz="6" w:space="0" w:color="auto"/>
            </w:tcBorders>
            <w:hideMark/>
          </w:tcPr>
          <w:p w:rsidR="000C2E59" w:rsidRPr="000C2E59" w:rsidRDefault="000C2E59" w:rsidP="000C2E59">
            <w:pPr>
              <w:spacing w:before="75" w:after="75"/>
              <w:rPr>
                <w:bCs/>
                <w:i/>
                <w:iCs/>
              </w:rPr>
            </w:pPr>
            <w:r w:rsidRPr="000C2E59">
              <w:rPr>
                <w:bCs/>
                <w:i/>
                <w:iCs/>
              </w:rPr>
              <w:t>Regula</w:t>
            </w:r>
            <w:r w:rsidR="00D666AA">
              <w:rPr>
                <w:bCs/>
                <w:i/>
                <w:iCs/>
              </w:rPr>
              <w:t>s</w:t>
            </w:r>
            <w:r w:rsidRPr="000C2E59">
              <w:rPr>
                <w:bCs/>
                <w:i/>
                <w:iCs/>
              </w:rPr>
              <w:t xml:space="preserve"> (EK) Nr. </w:t>
            </w:r>
            <w:hyperlink r:id="rId28" w:tgtFrame="_blank" w:tooltip="REGULA" w:history="1">
              <w:r w:rsidR="0035637C" w:rsidRPr="00196F14">
                <w:rPr>
                  <w:rStyle w:val="Hyperlink"/>
                </w:rPr>
                <w:t>987/2009</w:t>
              </w:r>
            </w:hyperlink>
            <w:r w:rsidR="0035637C" w:rsidRPr="000C2E59">
              <w:rPr>
                <w:bCs/>
                <w:i/>
                <w:iCs/>
              </w:rPr>
              <w:t xml:space="preserve"> </w:t>
            </w:r>
            <w:r w:rsidRPr="000C2E59">
              <w:rPr>
                <w:bCs/>
                <w:i/>
                <w:iCs/>
              </w:rPr>
              <w:t>22.pants</w:t>
            </w:r>
          </w:p>
          <w:p w:rsidR="000C2E59" w:rsidRPr="000C2E59" w:rsidRDefault="000C2E59" w:rsidP="000C2E59">
            <w:pPr>
              <w:spacing w:before="75" w:after="75"/>
              <w:rPr>
                <w:bCs/>
                <w:i/>
                <w:iCs/>
              </w:rPr>
            </w:pPr>
            <w:r w:rsidRPr="000C2E59">
              <w:rPr>
                <w:bCs/>
                <w:i/>
                <w:iCs/>
              </w:rPr>
              <w:t>23.pants</w:t>
            </w:r>
          </w:p>
          <w:p w:rsidR="000C2E59" w:rsidRPr="000C2E59" w:rsidRDefault="000C2E59" w:rsidP="000C2E59">
            <w:pPr>
              <w:spacing w:before="75" w:after="75"/>
              <w:rPr>
                <w:bCs/>
                <w:i/>
                <w:iCs/>
              </w:rPr>
            </w:pPr>
            <w:r w:rsidRPr="000C2E59">
              <w:rPr>
                <w:bCs/>
                <w:i/>
                <w:iCs/>
              </w:rPr>
              <w:t>24.pants</w:t>
            </w:r>
          </w:p>
          <w:p w:rsidR="000C2E59" w:rsidRPr="000C2E59" w:rsidRDefault="000C2E59" w:rsidP="000C2E59">
            <w:pPr>
              <w:spacing w:before="75" w:after="75"/>
              <w:rPr>
                <w:bCs/>
                <w:i/>
                <w:iCs/>
              </w:rPr>
            </w:pPr>
            <w:r w:rsidRPr="000C2E59">
              <w:rPr>
                <w:bCs/>
                <w:i/>
                <w:iCs/>
              </w:rPr>
              <w:t>25.pants</w:t>
            </w:r>
          </w:p>
          <w:p w:rsidR="000C2E59" w:rsidRPr="000C2E59" w:rsidRDefault="000C2E59" w:rsidP="000C2E59">
            <w:pPr>
              <w:spacing w:before="75" w:after="75"/>
              <w:rPr>
                <w:bCs/>
                <w:i/>
                <w:iCs/>
              </w:rPr>
            </w:pPr>
            <w:r w:rsidRPr="000C2E59">
              <w:rPr>
                <w:bCs/>
                <w:i/>
                <w:iCs/>
              </w:rPr>
              <w:t>26.pants</w:t>
            </w:r>
          </w:p>
          <w:p w:rsidR="000C2E59" w:rsidRPr="000C2E59" w:rsidRDefault="000C2E59" w:rsidP="000C2E59">
            <w:pPr>
              <w:spacing w:before="75" w:after="75"/>
              <w:rPr>
                <w:bCs/>
                <w:i/>
                <w:iCs/>
              </w:rPr>
            </w:pPr>
            <w:r w:rsidRPr="000C2E59">
              <w:rPr>
                <w:bCs/>
                <w:i/>
                <w:iCs/>
              </w:rPr>
              <w:lastRenderedPageBreak/>
              <w:t>27.pants</w:t>
            </w:r>
          </w:p>
          <w:p w:rsidR="000C2E59" w:rsidRPr="000C2E59" w:rsidRDefault="000C2E59" w:rsidP="000C2E59">
            <w:pPr>
              <w:spacing w:before="75" w:after="75"/>
              <w:rPr>
                <w:bCs/>
                <w:i/>
                <w:iCs/>
              </w:rPr>
            </w:pPr>
            <w:r w:rsidRPr="000C2E59">
              <w:rPr>
                <w:bCs/>
                <w:i/>
                <w:iCs/>
              </w:rPr>
              <w:t>28.pants</w:t>
            </w:r>
          </w:p>
          <w:p w:rsidR="000C2E59" w:rsidRPr="000C2E59" w:rsidRDefault="000C2E59" w:rsidP="000C2E59">
            <w:pPr>
              <w:spacing w:before="75" w:after="75"/>
              <w:rPr>
                <w:bCs/>
                <w:i/>
                <w:iCs/>
              </w:rPr>
            </w:pPr>
            <w:r w:rsidRPr="000C2E59">
              <w:rPr>
                <w:bCs/>
                <w:i/>
                <w:iCs/>
              </w:rPr>
              <w:t>29.pants</w:t>
            </w:r>
          </w:p>
          <w:p w:rsidR="000C2E59" w:rsidRPr="000C2E59" w:rsidRDefault="000C2E59" w:rsidP="000C2E59">
            <w:pPr>
              <w:spacing w:before="75" w:after="75"/>
              <w:rPr>
                <w:bCs/>
                <w:i/>
                <w:iCs/>
              </w:rPr>
            </w:pPr>
            <w:r w:rsidRPr="000C2E59">
              <w:rPr>
                <w:bCs/>
                <w:i/>
                <w:iCs/>
              </w:rPr>
              <w:t>30.pants</w:t>
            </w:r>
          </w:p>
          <w:p w:rsidR="000C2E59" w:rsidRPr="000C2E59" w:rsidRDefault="000C2E59" w:rsidP="000C2E59">
            <w:pPr>
              <w:spacing w:before="75" w:after="75"/>
              <w:rPr>
                <w:bCs/>
                <w:i/>
                <w:iCs/>
              </w:rPr>
            </w:pPr>
            <w:r w:rsidRPr="000C2E59">
              <w:rPr>
                <w:bCs/>
                <w:i/>
                <w:iCs/>
              </w:rPr>
              <w:t>31.pants</w:t>
            </w:r>
          </w:p>
          <w:p w:rsidR="000C2E59" w:rsidRPr="000C2E59" w:rsidRDefault="000C2E59" w:rsidP="000C2E59">
            <w:pPr>
              <w:spacing w:before="75" w:after="75"/>
              <w:rPr>
                <w:bCs/>
                <w:i/>
                <w:iCs/>
              </w:rPr>
            </w:pPr>
            <w:r w:rsidRPr="000C2E59">
              <w:rPr>
                <w:bCs/>
                <w:i/>
                <w:iCs/>
              </w:rPr>
              <w:t>32.pants</w:t>
            </w:r>
          </w:p>
          <w:p w:rsidR="000C2E59" w:rsidRPr="000C2E59" w:rsidRDefault="000C2E59" w:rsidP="000C2E59">
            <w:pPr>
              <w:spacing w:before="75" w:after="75"/>
              <w:rPr>
                <w:bCs/>
                <w:i/>
                <w:iCs/>
              </w:rPr>
            </w:pPr>
            <w:r w:rsidRPr="000C2E59">
              <w:rPr>
                <w:bCs/>
                <w:i/>
                <w:iCs/>
              </w:rPr>
              <w:t>62.pants</w:t>
            </w:r>
          </w:p>
          <w:p w:rsidR="000C2E59" w:rsidRPr="000C2E59" w:rsidRDefault="000C2E59" w:rsidP="000C2E59">
            <w:pPr>
              <w:spacing w:before="75" w:after="75"/>
              <w:rPr>
                <w:bCs/>
                <w:i/>
                <w:iCs/>
              </w:rPr>
            </w:pPr>
            <w:r w:rsidRPr="000C2E59">
              <w:rPr>
                <w:bCs/>
                <w:i/>
                <w:iCs/>
              </w:rPr>
              <w:t>63.pants</w:t>
            </w:r>
          </w:p>
          <w:p w:rsidR="000C2E59" w:rsidRPr="000C2E59" w:rsidRDefault="000C2E59" w:rsidP="000C2E59">
            <w:pPr>
              <w:spacing w:before="75" w:after="75"/>
              <w:rPr>
                <w:bCs/>
                <w:i/>
                <w:iCs/>
              </w:rPr>
            </w:pPr>
            <w:r w:rsidRPr="000C2E59">
              <w:rPr>
                <w:bCs/>
                <w:i/>
                <w:iCs/>
              </w:rPr>
              <w:t>64.pants</w:t>
            </w:r>
          </w:p>
          <w:p w:rsidR="000C2E59" w:rsidRPr="000C2E59" w:rsidRDefault="000C2E59" w:rsidP="000C2E59">
            <w:pPr>
              <w:spacing w:before="75" w:after="75"/>
              <w:rPr>
                <w:bCs/>
                <w:i/>
                <w:iCs/>
              </w:rPr>
            </w:pPr>
            <w:r w:rsidRPr="000C2E59">
              <w:rPr>
                <w:bCs/>
                <w:i/>
                <w:iCs/>
              </w:rPr>
              <w:t>65.pants</w:t>
            </w:r>
          </w:p>
          <w:p w:rsidR="000C2E59" w:rsidRPr="000C2E59" w:rsidRDefault="000C2E59" w:rsidP="000C2E59">
            <w:pPr>
              <w:spacing w:before="75" w:after="75"/>
              <w:rPr>
                <w:bCs/>
                <w:i/>
                <w:iCs/>
              </w:rPr>
            </w:pPr>
            <w:r w:rsidRPr="000C2E59">
              <w:rPr>
                <w:bCs/>
                <w:i/>
                <w:iCs/>
              </w:rPr>
              <w:t>66.pants</w:t>
            </w:r>
          </w:p>
          <w:p w:rsidR="000C2E59" w:rsidRPr="000C2E59" w:rsidRDefault="000C2E59" w:rsidP="000C2E59">
            <w:pPr>
              <w:spacing w:before="75" w:after="75"/>
              <w:rPr>
                <w:bCs/>
                <w:i/>
                <w:iCs/>
              </w:rPr>
            </w:pPr>
            <w:r w:rsidRPr="000C2E59">
              <w:rPr>
                <w:bCs/>
                <w:i/>
                <w:iCs/>
              </w:rPr>
              <w:t>67.pants</w:t>
            </w:r>
          </w:p>
          <w:p w:rsidR="000C2E59" w:rsidRPr="000C2E59" w:rsidRDefault="000C2E59" w:rsidP="000C2E59">
            <w:pPr>
              <w:spacing w:before="75" w:after="75"/>
              <w:rPr>
                <w:bCs/>
                <w:i/>
                <w:iCs/>
              </w:rPr>
            </w:pPr>
            <w:r w:rsidRPr="000C2E59">
              <w:rPr>
                <w:bCs/>
                <w:i/>
                <w:iCs/>
              </w:rPr>
              <w:t>68.pants</w:t>
            </w:r>
          </w:p>
          <w:p w:rsidR="000C2E59" w:rsidRPr="000C2E59" w:rsidRDefault="000C2E59" w:rsidP="000C2E59">
            <w:pPr>
              <w:spacing w:before="75" w:after="75"/>
              <w:rPr>
                <w:bCs/>
                <w:i/>
                <w:iCs/>
              </w:rPr>
            </w:pPr>
            <w:r w:rsidRPr="000C2E59">
              <w:rPr>
                <w:bCs/>
                <w:i/>
                <w:iCs/>
              </w:rPr>
              <w:t>69.pants</w:t>
            </w:r>
          </w:p>
        </w:tc>
        <w:tc>
          <w:tcPr>
            <w:tcW w:w="931" w:type="pct"/>
            <w:tcBorders>
              <w:top w:val="outset" w:sz="6" w:space="0" w:color="auto"/>
              <w:left w:val="outset" w:sz="6" w:space="0" w:color="auto"/>
              <w:bottom w:val="outset" w:sz="6" w:space="0" w:color="auto"/>
              <w:right w:val="outset" w:sz="6" w:space="0" w:color="auto"/>
            </w:tcBorders>
            <w:hideMark/>
          </w:tcPr>
          <w:p w:rsidR="000C2E59" w:rsidRPr="000C2E59" w:rsidRDefault="000C2E59" w:rsidP="005D1086">
            <w:pPr>
              <w:pStyle w:val="naiskr"/>
              <w:spacing w:before="0" w:after="0"/>
              <w:rPr>
                <w:i/>
                <w:iCs/>
              </w:rPr>
            </w:pPr>
            <w:r w:rsidRPr="000C2E59">
              <w:rPr>
                <w:i/>
                <w:iCs/>
              </w:rPr>
              <w:lastRenderedPageBreak/>
              <w:t>Rīkojuma projekta 3.8.apakšpunkts</w:t>
            </w:r>
          </w:p>
        </w:tc>
        <w:tc>
          <w:tcPr>
            <w:tcW w:w="1341" w:type="pct"/>
            <w:tcBorders>
              <w:top w:val="outset" w:sz="6" w:space="0" w:color="auto"/>
              <w:left w:val="outset" w:sz="6" w:space="0" w:color="auto"/>
              <w:bottom w:val="outset" w:sz="6" w:space="0" w:color="auto"/>
              <w:right w:val="outset" w:sz="6" w:space="0" w:color="auto"/>
            </w:tcBorders>
            <w:hideMark/>
          </w:tcPr>
          <w:p w:rsidR="000C2E59" w:rsidRPr="000C2E59" w:rsidRDefault="00D666AA" w:rsidP="005D1086">
            <w:pPr>
              <w:pStyle w:val="naiskr"/>
              <w:spacing w:before="0" w:after="0"/>
              <w:rPr>
                <w:i/>
                <w:iCs/>
                <w:sz w:val="28"/>
                <w:szCs w:val="28"/>
              </w:rPr>
            </w:pPr>
            <w:r w:rsidRPr="000C2E59">
              <w:rPr>
                <w:i/>
                <w:iCs/>
              </w:rPr>
              <w:t xml:space="preserve">Rīkojuma projekts </w:t>
            </w:r>
            <w:r>
              <w:rPr>
                <w:i/>
                <w:iCs/>
              </w:rPr>
              <w:t>ievieš</w:t>
            </w:r>
            <w:r w:rsidRPr="000C2E59">
              <w:rPr>
                <w:i/>
                <w:iCs/>
              </w:rPr>
              <w:t xml:space="preserve"> </w:t>
            </w:r>
            <w:r>
              <w:rPr>
                <w:i/>
                <w:iCs/>
              </w:rPr>
              <w:t xml:space="preserve">minētās </w:t>
            </w:r>
            <w:r w:rsidRPr="000C2E59">
              <w:rPr>
                <w:i/>
                <w:iCs/>
              </w:rPr>
              <w:t>regul</w:t>
            </w:r>
            <w:r>
              <w:rPr>
                <w:i/>
                <w:iCs/>
              </w:rPr>
              <w:t>as</w:t>
            </w:r>
            <w:r w:rsidRPr="000C2E59">
              <w:rPr>
                <w:i/>
                <w:iCs/>
              </w:rPr>
              <w:t xml:space="preserve"> </w:t>
            </w:r>
            <w:r>
              <w:rPr>
                <w:i/>
                <w:iCs/>
              </w:rPr>
              <w:t xml:space="preserve">normas </w:t>
            </w:r>
            <w:r w:rsidRPr="000C2E59">
              <w:rPr>
                <w:i/>
                <w:iCs/>
              </w:rPr>
              <w:t>pilnībā</w:t>
            </w:r>
          </w:p>
        </w:tc>
        <w:tc>
          <w:tcPr>
            <w:tcW w:w="1469" w:type="pct"/>
            <w:tcBorders>
              <w:top w:val="outset" w:sz="6" w:space="0" w:color="auto"/>
              <w:left w:val="outset" w:sz="6" w:space="0" w:color="auto"/>
              <w:bottom w:val="outset" w:sz="6" w:space="0" w:color="auto"/>
              <w:right w:val="outset" w:sz="6" w:space="0" w:color="auto"/>
            </w:tcBorders>
            <w:hideMark/>
          </w:tcPr>
          <w:p w:rsidR="000C2E59" w:rsidRPr="000C2E59" w:rsidRDefault="000C2E59" w:rsidP="005D1086">
            <w:pPr>
              <w:pStyle w:val="naiskr"/>
              <w:spacing w:before="0" w:after="0"/>
              <w:jc w:val="both"/>
              <w:rPr>
                <w:i/>
                <w:iCs/>
              </w:rPr>
            </w:pPr>
            <w:r w:rsidRPr="000C2E59">
              <w:rPr>
                <w:i/>
                <w:iCs/>
              </w:rPr>
              <w:t>Neparedz stingrākas prasības</w:t>
            </w:r>
          </w:p>
        </w:tc>
      </w:tr>
      <w:tr w:rsidR="0050684E" w:rsidRPr="00C95CF0" w:rsidTr="00711B97">
        <w:tc>
          <w:tcPr>
            <w:tcW w:w="1258" w:type="pct"/>
            <w:tcBorders>
              <w:top w:val="outset" w:sz="6" w:space="0" w:color="auto"/>
              <w:left w:val="outset" w:sz="6" w:space="0" w:color="auto"/>
              <w:bottom w:val="outset" w:sz="6" w:space="0" w:color="auto"/>
              <w:right w:val="outset" w:sz="6" w:space="0" w:color="auto"/>
            </w:tcBorders>
            <w:hideMark/>
          </w:tcPr>
          <w:p w:rsidR="0050684E" w:rsidRPr="0035637C" w:rsidRDefault="0050684E" w:rsidP="0035637C">
            <w:pPr>
              <w:pStyle w:val="Default"/>
              <w:rPr>
                <w:i/>
                <w:iCs/>
                <w:lang w:val="lv-LV"/>
              </w:rPr>
            </w:pPr>
            <w:r w:rsidRPr="0035637C">
              <w:rPr>
                <w:i/>
                <w:iCs/>
                <w:lang w:val="lv-LV"/>
              </w:rPr>
              <w:lastRenderedPageBreak/>
              <w:t>Regula</w:t>
            </w:r>
            <w:r w:rsidR="00D666AA">
              <w:rPr>
                <w:i/>
                <w:iCs/>
                <w:lang w:val="lv-LV"/>
              </w:rPr>
              <w:t>s</w:t>
            </w:r>
            <w:r w:rsidRPr="0035637C">
              <w:rPr>
                <w:i/>
                <w:iCs/>
                <w:lang w:val="lv-LV"/>
              </w:rPr>
              <w:t xml:space="preserve"> (ES) Nr.</w:t>
            </w:r>
            <w:hyperlink r:id="rId29" w:tgtFrame="_blank" w:tooltip="REGULA" w:history="1">
              <w:r w:rsidRPr="0035637C">
                <w:rPr>
                  <w:rStyle w:val="Hyperlink"/>
                  <w:i/>
                  <w:iCs/>
                  <w:lang w:val="lv-LV"/>
                </w:rPr>
                <w:t>1231/2010</w:t>
              </w:r>
            </w:hyperlink>
            <w:r w:rsidRPr="0035637C">
              <w:rPr>
                <w:i/>
                <w:iCs/>
                <w:lang w:val="lv-LV"/>
              </w:rPr>
              <w:t xml:space="preserve">  </w:t>
            </w:r>
          </w:p>
          <w:p w:rsidR="0050684E" w:rsidRPr="0035637C" w:rsidRDefault="0050684E" w:rsidP="0035637C">
            <w:pPr>
              <w:pStyle w:val="Default"/>
              <w:rPr>
                <w:lang w:val="lv-LV"/>
              </w:rPr>
            </w:pPr>
            <w:r w:rsidRPr="0035637C">
              <w:rPr>
                <w:i/>
                <w:iCs/>
                <w:lang w:val="lv-LV"/>
              </w:rPr>
              <w:t>1.pants</w:t>
            </w:r>
          </w:p>
        </w:tc>
        <w:tc>
          <w:tcPr>
            <w:tcW w:w="931" w:type="pct"/>
            <w:tcBorders>
              <w:top w:val="outset" w:sz="6" w:space="0" w:color="auto"/>
              <w:left w:val="outset" w:sz="6" w:space="0" w:color="auto"/>
              <w:bottom w:val="outset" w:sz="6" w:space="0" w:color="auto"/>
              <w:right w:val="outset" w:sz="6" w:space="0" w:color="auto"/>
            </w:tcBorders>
            <w:hideMark/>
          </w:tcPr>
          <w:p w:rsidR="0050684E" w:rsidRPr="000C2E59" w:rsidRDefault="0050684E" w:rsidP="00A861A6">
            <w:pPr>
              <w:pStyle w:val="naiskr"/>
              <w:spacing w:before="0" w:after="0"/>
              <w:rPr>
                <w:i/>
                <w:iCs/>
              </w:rPr>
            </w:pPr>
            <w:r w:rsidRPr="000C2E59">
              <w:rPr>
                <w:i/>
                <w:iCs/>
              </w:rPr>
              <w:t>Rīkojuma projekta 3.8.apakšpunkts</w:t>
            </w:r>
          </w:p>
        </w:tc>
        <w:tc>
          <w:tcPr>
            <w:tcW w:w="1341" w:type="pct"/>
            <w:tcBorders>
              <w:top w:val="outset" w:sz="6" w:space="0" w:color="auto"/>
              <w:left w:val="outset" w:sz="6" w:space="0" w:color="auto"/>
              <w:bottom w:val="outset" w:sz="6" w:space="0" w:color="auto"/>
              <w:right w:val="outset" w:sz="6" w:space="0" w:color="auto"/>
            </w:tcBorders>
            <w:hideMark/>
          </w:tcPr>
          <w:p w:rsidR="0050684E" w:rsidRPr="000C2E59" w:rsidRDefault="00D666AA" w:rsidP="00A861A6">
            <w:pPr>
              <w:pStyle w:val="naiskr"/>
              <w:spacing w:before="0" w:after="0"/>
              <w:rPr>
                <w:i/>
                <w:iCs/>
                <w:sz w:val="28"/>
                <w:szCs w:val="28"/>
              </w:rPr>
            </w:pPr>
            <w:r w:rsidRPr="000C2E59">
              <w:rPr>
                <w:i/>
                <w:iCs/>
              </w:rPr>
              <w:t xml:space="preserve">Rīkojuma projekts </w:t>
            </w:r>
            <w:r>
              <w:rPr>
                <w:i/>
                <w:iCs/>
              </w:rPr>
              <w:t>ievieš</w:t>
            </w:r>
            <w:r w:rsidRPr="000C2E59">
              <w:rPr>
                <w:i/>
                <w:iCs/>
              </w:rPr>
              <w:t xml:space="preserve"> </w:t>
            </w:r>
            <w:r>
              <w:rPr>
                <w:i/>
                <w:iCs/>
              </w:rPr>
              <w:t xml:space="preserve">minētās </w:t>
            </w:r>
            <w:r w:rsidRPr="000C2E59">
              <w:rPr>
                <w:i/>
                <w:iCs/>
              </w:rPr>
              <w:t>regul</w:t>
            </w:r>
            <w:r>
              <w:rPr>
                <w:i/>
                <w:iCs/>
              </w:rPr>
              <w:t>as</w:t>
            </w:r>
            <w:r w:rsidRPr="000C2E59">
              <w:rPr>
                <w:i/>
                <w:iCs/>
              </w:rPr>
              <w:t xml:space="preserve"> </w:t>
            </w:r>
            <w:r>
              <w:rPr>
                <w:i/>
                <w:iCs/>
              </w:rPr>
              <w:t xml:space="preserve">normas </w:t>
            </w:r>
            <w:r w:rsidRPr="000C2E59">
              <w:rPr>
                <w:i/>
                <w:iCs/>
              </w:rPr>
              <w:t>pilnībā</w:t>
            </w:r>
          </w:p>
        </w:tc>
        <w:tc>
          <w:tcPr>
            <w:tcW w:w="1469" w:type="pct"/>
            <w:tcBorders>
              <w:top w:val="outset" w:sz="6" w:space="0" w:color="auto"/>
              <w:left w:val="outset" w:sz="6" w:space="0" w:color="auto"/>
              <w:bottom w:val="outset" w:sz="6" w:space="0" w:color="auto"/>
              <w:right w:val="outset" w:sz="6" w:space="0" w:color="auto"/>
            </w:tcBorders>
            <w:hideMark/>
          </w:tcPr>
          <w:p w:rsidR="0050684E" w:rsidRPr="000C2E59" w:rsidRDefault="0050684E" w:rsidP="00A861A6">
            <w:pPr>
              <w:pStyle w:val="naiskr"/>
              <w:spacing w:before="0" w:after="0"/>
              <w:jc w:val="both"/>
              <w:rPr>
                <w:i/>
                <w:iCs/>
              </w:rPr>
            </w:pPr>
            <w:r w:rsidRPr="000C2E59">
              <w:rPr>
                <w:i/>
                <w:iCs/>
              </w:rPr>
              <w:t>Neparedz stingrākas prasības</w:t>
            </w:r>
          </w:p>
        </w:tc>
      </w:tr>
      <w:tr w:rsidR="0093344A" w:rsidRPr="0093344A" w:rsidTr="00711B97">
        <w:tc>
          <w:tcPr>
            <w:tcW w:w="1258" w:type="pct"/>
            <w:tcBorders>
              <w:top w:val="outset" w:sz="6" w:space="0" w:color="auto"/>
              <w:left w:val="outset" w:sz="6" w:space="0" w:color="auto"/>
              <w:bottom w:val="outset" w:sz="6" w:space="0" w:color="auto"/>
              <w:right w:val="outset" w:sz="6" w:space="0" w:color="auto"/>
            </w:tcBorders>
            <w:hideMark/>
          </w:tcPr>
          <w:p w:rsidR="0093344A" w:rsidRDefault="0093344A" w:rsidP="000C2E59">
            <w:pPr>
              <w:spacing w:before="75" w:after="75"/>
              <w:rPr>
                <w:i/>
                <w:iCs/>
              </w:rPr>
            </w:pPr>
            <w:r w:rsidRPr="0093344A">
              <w:rPr>
                <w:i/>
                <w:iCs/>
              </w:rPr>
              <w:t>Regula</w:t>
            </w:r>
            <w:r w:rsidR="00D666AA">
              <w:rPr>
                <w:i/>
                <w:iCs/>
              </w:rPr>
              <w:t>s</w:t>
            </w:r>
            <w:r w:rsidRPr="0093344A">
              <w:rPr>
                <w:i/>
                <w:iCs/>
              </w:rPr>
              <w:t xml:space="preserve"> Nr.</w:t>
            </w:r>
            <w:hyperlink r:id="rId30" w:tgtFrame="_blank" w:tooltip="REGULA" w:history="1">
              <w:r w:rsidRPr="0093344A">
                <w:rPr>
                  <w:rStyle w:val="Hyperlink"/>
                  <w:i/>
                  <w:iCs/>
                </w:rPr>
                <w:t>1920/2006</w:t>
              </w:r>
            </w:hyperlink>
            <w:r w:rsidRPr="0093344A">
              <w:rPr>
                <w:i/>
                <w:iCs/>
              </w:rPr>
              <w:t xml:space="preserve"> </w:t>
            </w:r>
          </w:p>
          <w:p w:rsidR="00A861A6" w:rsidRPr="0093344A" w:rsidRDefault="00A861A6" w:rsidP="000C2E59">
            <w:pPr>
              <w:spacing w:before="75" w:after="75"/>
              <w:rPr>
                <w:bCs/>
                <w:i/>
                <w:iCs/>
              </w:rPr>
            </w:pPr>
            <w:r>
              <w:rPr>
                <w:i/>
                <w:iCs/>
              </w:rPr>
              <w:t xml:space="preserve">5.panta </w:t>
            </w:r>
            <w:r w:rsidR="00B02825">
              <w:rPr>
                <w:i/>
                <w:iCs/>
              </w:rPr>
              <w:t>2.daļa.</w:t>
            </w:r>
          </w:p>
        </w:tc>
        <w:tc>
          <w:tcPr>
            <w:tcW w:w="931" w:type="pct"/>
            <w:tcBorders>
              <w:top w:val="outset" w:sz="6" w:space="0" w:color="auto"/>
              <w:left w:val="outset" w:sz="6" w:space="0" w:color="auto"/>
              <w:bottom w:val="outset" w:sz="6" w:space="0" w:color="auto"/>
              <w:right w:val="outset" w:sz="6" w:space="0" w:color="auto"/>
            </w:tcBorders>
            <w:hideMark/>
          </w:tcPr>
          <w:p w:rsidR="0093344A" w:rsidRPr="0093344A" w:rsidRDefault="0093344A" w:rsidP="005D1086">
            <w:pPr>
              <w:pStyle w:val="naiskr"/>
              <w:spacing w:before="0" w:after="0"/>
              <w:rPr>
                <w:i/>
                <w:iCs/>
              </w:rPr>
            </w:pPr>
            <w:r>
              <w:rPr>
                <w:i/>
                <w:iCs/>
              </w:rPr>
              <w:t>Rīkojuma projekta 3.20.apakšpunkts</w:t>
            </w:r>
          </w:p>
        </w:tc>
        <w:tc>
          <w:tcPr>
            <w:tcW w:w="1341" w:type="pct"/>
            <w:tcBorders>
              <w:top w:val="outset" w:sz="6" w:space="0" w:color="auto"/>
              <w:left w:val="outset" w:sz="6" w:space="0" w:color="auto"/>
              <w:bottom w:val="outset" w:sz="6" w:space="0" w:color="auto"/>
              <w:right w:val="outset" w:sz="6" w:space="0" w:color="auto"/>
            </w:tcBorders>
            <w:hideMark/>
          </w:tcPr>
          <w:p w:rsidR="0093344A" w:rsidRPr="000C2E59" w:rsidRDefault="00D666AA" w:rsidP="007A6D95">
            <w:pPr>
              <w:pStyle w:val="naiskr"/>
              <w:spacing w:before="0" w:after="0"/>
              <w:rPr>
                <w:i/>
                <w:iCs/>
                <w:sz w:val="28"/>
                <w:szCs w:val="28"/>
              </w:rPr>
            </w:pPr>
            <w:r w:rsidRPr="000C2E59">
              <w:rPr>
                <w:i/>
                <w:iCs/>
              </w:rPr>
              <w:t xml:space="preserve">Rīkojuma projekts </w:t>
            </w:r>
            <w:r>
              <w:rPr>
                <w:i/>
                <w:iCs/>
              </w:rPr>
              <w:t>ievieš</w:t>
            </w:r>
            <w:r w:rsidRPr="000C2E59">
              <w:rPr>
                <w:i/>
                <w:iCs/>
              </w:rPr>
              <w:t xml:space="preserve"> </w:t>
            </w:r>
            <w:r>
              <w:rPr>
                <w:i/>
                <w:iCs/>
              </w:rPr>
              <w:t xml:space="preserve">minētās </w:t>
            </w:r>
            <w:r w:rsidRPr="000C2E59">
              <w:rPr>
                <w:i/>
                <w:iCs/>
              </w:rPr>
              <w:t>regul</w:t>
            </w:r>
            <w:r>
              <w:rPr>
                <w:i/>
                <w:iCs/>
              </w:rPr>
              <w:t>as</w:t>
            </w:r>
            <w:r w:rsidRPr="000C2E59">
              <w:rPr>
                <w:i/>
                <w:iCs/>
              </w:rPr>
              <w:t xml:space="preserve"> </w:t>
            </w:r>
            <w:r>
              <w:rPr>
                <w:i/>
                <w:iCs/>
              </w:rPr>
              <w:t xml:space="preserve">normas </w:t>
            </w:r>
            <w:r w:rsidRPr="000C2E59">
              <w:rPr>
                <w:i/>
                <w:iCs/>
              </w:rPr>
              <w:t>pilnībā</w:t>
            </w:r>
          </w:p>
        </w:tc>
        <w:tc>
          <w:tcPr>
            <w:tcW w:w="1469" w:type="pct"/>
            <w:tcBorders>
              <w:top w:val="outset" w:sz="6" w:space="0" w:color="auto"/>
              <w:left w:val="outset" w:sz="6" w:space="0" w:color="auto"/>
              <w:bottom w:val="outset" w:sz="6" w:space="0" w:color="auto"/>
              <w:right w:val="outset" w:sz="6" w:space="0" w:color="auto"/>
            </w:tcBorders>
            <w:hideMark/>
          </w:tcPr>
          <w:p w:rsidR="0093344A" w:rsidRPr="000C2E59" w:rsidRDefault="0093344A" w:rsidP="007A6D95">
            <w:pPr>
              <w:pStyle w:val="naiskr"/>
              <w:spacing w:before="0" w:after="0"/>
              <w:jc w:val="both"/>
              <w:rPr>
                <w:i/>
                <w:iCs/>
              </w:rPr>
            </w:pPr>
            <w:r w:rsidRPr="000C2E59">
              <w:rPr>
                <w:i/>
                <w:iCs/>
              </w:rPr>
              <w:t>Neparedz stingrākas prasības</w:t>
            </w:r>
          </w:p>
        </w:tc>
      </w:tr>
      <w:tr w:rsidR="00B02825" w:rsidRPr="0093344A" w:rsidTr="00711B97">
        <w:tc>
          <w:tcPr>
            <w:tcW w:w="1258" w:type="pct"/>
            <w:tcBorders>
              <w:top w:val="outset" w:sz="6" w:space="0" w:color="auto"/>
              <w:left w:val="outset" w:sz="6" w:space="0" w:color="auto"/>
              <w:bottom w:val="outset" w:sz="6" w:space="0" w:color="auto"/>
              <w:right w:val="outset" w:sz="6" w:space="0" w:color="auto"/>
            </w:tcBorders>
            <w:hideMark/>
          </w:tcPr>
          <w:p w:rsidR="00B02825" w:rsidRPr="00B02825" w:rsidRDefault="00D666AA" w:rsidP="00D666AA">
            <w:pPr>
              <w:spacing w:before="75" w:after="75"/>
              <w:rPr>
                <w:i/>
                <w:iCs/>
              </w:rPr>
            </w:pPr>
            <w:r>
              <w:rPr>
                <w:i/>
                <w:iCs/>
              </w:rPr>
              <w:t>Lēmuma</w:t>
            </w:r>
            <w:r w:rsidR="00B02825" w:rsidRPr="00B02825">
              <w:rPr>
                <w:i/>
                <w:iCs/>
              </w:rPr>
              <w:t xml:space="preserve"> 2005/387/TI 4.pants.</w:t>
            </w:r>
          </w:p>
        </w:tc>
        <w:tc>
          <w:tcPr>
            <w:tcW w:w="931" w:type="pct"/>
            <w:tcBorders>
              <w:top w:val="outset" w:sz="6" w:space="0" w:color="auto"/>
              <w:left w:val="outset" w:sz="6" w:space="0" w:color="auto"/>
              <w:bottom w:val="outset" w:sz="6" w:space="0" w:color="auto"/>
              <w:right w:val="outset" w:sz="6" w:space="0" w:color="auto"/>
            </w:tcBorders>
            <w:hideMark/>
          </w:tcPr>
          <w:p w:rsidR="00B02825" w:rsidRDefault="00B02825" w:rsidP="005D1086">
            <w:pPr>
              <w:pStyle w:val="naiskr"/>
              <w:spacing w:before="0" w:after="0"/>
              <w:rPr>
                <w:i/>
                <w:iCs/>
              </w:rPr>
            </w:pPr>
            <w:r>
              <w:rPr>
                <w:i/>
                <w:iCs/>
              </w:rPr>
              <w:t>3.21.apakšpunkts</w:t>
            </w:r>
          </w:p>
        </w:tc>
        <w:tc>
          <w:tcPr>
            <w:tcW w:w="1341" w:type="pct"/>
            <w:tcBorders>
              <w:top w:val="outset" w:sz="6" w:space="0" w:color="auto"/>
              <w:left w:val="outset" w:sz="6" w:space="0" w:color="auto"/>
              <w:bottom w:val="outset" w:sz="6" w:space="0" w:color="auto"/>
              <w:right w:val="outset" w:sz="6" w:space="0" w:color="auto"/>
            </w:tcBorders>
            <w:hideMark/>
          </w:tcPr>
          <w:p w:rsidR="00B02825" w:rsidRPr="000C2E59" w:rsidRDefault="00D666AA" w:rsidP="00320667">
            <w:pPr>
              <w:pStyle w:val="naiskr"/>
              <w:spacing w:before="0" w:after="0"/>
              <w:rPr>
                <w:i/>
                <w:iCs/>
                <w:sz w:val="28"/>
                <w:szCs w:val="28"/>
              </w:rPr>
            </w:pPr>
            <w:r w:rsidRPr="000C2E59">
              <w:rPr>
                <w:i/>
                <w:iCs/>
              </w:rPr>
              <w:t xml:space="preserve">Rīkojuma projekts </w:t>
            </w:r>
            <w:r>
              <w:rPr>
                <w:i/>
                <w:iCs/>
              </w:rPr>
              <w:t>ievieš</w:t>
            </w:r>
            <w:r w:rsidRPr="000C2E59">
              <w:rPr>
                <w:i/>
                <w:iCs/>
              </w:rPr>
              <w:t xml:space="preserve"> </w:t>
            </w:r>
            <w:r>
              <w:rPr>
                <w:i/>
                <w:iCs/>
              </w:rPr>
              <w:t xml:space="preserve">minētās </w:t>
            </w:r>
            <w:r w:rsidRPr="000C2E59">
              <w:rPr>
                <w:i/>
                <w:iCs/>
              </w:rPr>
              <w:t>regul</w:t>
            </w:r>
            <w:r>
              <w:rPr>
                <w:i/>
                <w:iCs/>
              </w:rPr>
              <w:t>as</w:t>
            </w:r>
            <w:r w:rsidRPr="000C2E59">
              <w:rPr>
                <w:i/>
                <w:iCs/>
              </w:rPr>
              <w:t xml:space="preserve"> </w:t>
            </w:r>
            <w:r>
              <w:rPr>
                <w:i/>
                <w:iCs/>
              </w:rPr>
              <w:t xml:space="preserve">normas </w:t>
            </w:r>
            <w:r w:rsidRPr="000C2E59">
              <w:rPr>
                <w:i/>
                <w:iCs/>
              </w:rPr>
              <w:t>pilnībā</w:t>
            </w:r>
          </w:p>
        </w:tc>
        <w:tc>
          <w:tcPr>
            <w:tcW w:w="1469" w:type="pct"/>
            <w:tcBorders>
              <w:top w:val="outset" w:sz="6" w:space="0" w:color="auto"/>
              <w:left w:val="outset" w:sz="6" w:space="0" w:color="auto"/>
              <w:bottom w:val="outset" w:sz="6" w:space="0" w:color="auto"/>
              <w:right w:val="outset" w:sz="6" w:space="0" w:color="auto"/>
            </w:tcBorders>
            <w:hideMark/>
          </w:tcPr>
          <w:p w:rsidR="00B02825" w:rsidRPr="000C2E59" w:rsidRDefault="00B02825" w:rsidP="00320667">
            <w:pPr>
              <w:pStyle w:val="naiskr"/>
              <w:spacing w:before="0" w:after="0"/>
              <w:jc w:val="both"/>
              <w:rPr>
                <w:i/>
                <w:iCs/>
              </w:rPr>
            </w:pPr>
            <w:r w:rsidRPr="000C2E59">
              <w:rPr>
                <w:i/>
                <w:iCs/>
              </w:rPr>
              <w:t>Neparedz stingrākas prasības</w:t>
            </w:r>
          </w:p>
        </w:tc>
      </w:tr>
      <w:tr w:rsidR="000C2E59" w:rsidRPr="00C95CF0" w:rsidTr="00711B97">
        <w:tc>
          <w:tcPr>
            <w:tcW w:w="1258" w:type="pct"/>
            <w:tcBorders>
              <w:top w:val="outset" w:sz="6" w:space="0" w:color="auto"/>
              <w:left w:val="outset" w:sz="6" w:space="0" w:color="auto"/>
              <w:bottom w:val="outset" w:sz="6" w:space="0" w:color="auto"/>
              <w:right w:val="outset" w:sz="6" w:space="0" w:color="auto"/>
            </w:tcBorders>
            <w:hideMark/>
          </w:tcPr>
          <w:p w:rsidR="000C2E59" w:rsidRPr="00C95CF0" w:rsidRDefault="000C2E59" w:rsidP="000C2E59">
            <w:pPr>
              <w:rPr>
                <w:lang w:eastAsia="en-US" w:bidi="lo-LA"/>
              </w:rPr>
            </w:pPr>
            <w:r w:rsidRPr="00C95CF0">
              <w:rPr>
                <w:lang w:eastAsia="en-US" w:bidi="lo-LA"/>
              </w:rPr>
              <w:t xml:space="preserve">Kā ir izmantota ES tiesību aktā paredzētā rīcības brīvība dalībvalstij pārņemt vai ieviest noteiktas ES tiesību akta normas? </w:t>
            </w:r>
          </w:p>
          <w:p w:rsidR="000C2E59" w:rsidRPr="00C95CF0" w:rsidRDefault="000C2E59" w:rsidP="000C2E59">
            <w:pPr>
              <w:rPr>
                <w:lang w:eastAsia="en-US" w:bidi="lo-LA"/>
              </w:rPr>
            </w:pPr>
            <w:r w:rsidRPr="00C95CF0">
              <w:rPr>
                <w:lang w:eastAsia="en-US" w:bidi="lo-LA"/>
              </w:rPr>
              <w:t>Kādēļ?</w:t>
            </w:r>
          </w:p>
        </w:tc>
        <w:tc>
          <w:tcPr>
            <w:tcW w:w="3742" w:type="pct"/>
            <w:gridSpan w:val="3"/>
            <w:tcBorders>
              <w:top w:val="outset" w:sz="6" w:space="0" w:color="auto"/>
              <w:left w:val="outset" w:sz="6" w:space="0" w:color="auto"/>
              <w:bottom w:val="outset" w:sz="6" w:space="0" w:color="auto"/>
              <w:right w:val="outset" w:sz="6" w:space="0" w:color="auto"/>
            </w:tcBorders>
            <w:hideMark/>
          </w:tcPr>
          <w:p w:rsidR="000C2E59" w:rsidRPr="00C95CF0" w:rsidRDefault="000C2E59" w:rsidP="000C2E59">
            <w:pPr>
              <w:spacing w:line="360" w:lineRule="auto"/>
              <w:rPr>
                <w:lang w:eastAsia="en-US" w:bidi="lo-LA"/>
              </w:rPr>
            </w:pPr>
            <w:r>
              <w:rPr>
                <w:lang w:eastAsia="en-US" w:bidi="lo-LA"/>
              </w:rPr>
              <w:t>Nav attiecināms</w:t>
            </w:r>
          </w:p>
        </w:tc>
      </w:tr>
      <w:tr w:rsidR="000C2E59" w:rsidRPr="00C95CF0" w:rsidTr="00711B97">
        <w:tc>
          <w:tcPr>
            <w:tcW w:w="1258" w:type="pct"/>
            <w:tcBorders>
              <w:top w:val="outset" w:sz="6" w:space="0" w:color="auto"/>
              <w:left w:val="outset" w:sz="6" w:space="0" w:color="auto"/>
              <w:bottom w:val="outset" w:sz="6" w:space="0" w:color="auto"/>
              <w:right w:val="outset" w:sz="6" w:space="0" w:color="auto"/>
            </w:tcBorders>
            <w:hideMark/>
          </w:tcPr>
          <w:p w:rsidR="000C2E59" w:rsidRPr="00C95CF0" w:rsidRDefault="000C2E59" w:rsidP="000C2E59">
            <w:pPr>
              <w:rPr>
                <w:lang w:eastAsia="en-US" w:bidi="lo-LA"/>
              </w:rPr>
            </w:pPr>
            <w:r w:rsidRPr="00C95CF0">
              <w:rPr>
                <w:lang w:eastAsia="en-US" w:bidi="lo-LA"/>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42" w:type="pct"/>
            <w:gridSpan w:val="3"/>
            <w:tcBorders>
              <w:top w:val="outset" w:sz="6" w:space="0" w:color="auto"/>
              <w:left w:val="outset" w:sz="6" w:space="0" w:color="auto"/>
              <w:bottom w:val="outset" w:sz="6" w:space="0" w:color="auto"/>
              <w:right w:val="outset" w:sz="6" w:space="0" w:color="auto"/>
            </w:tcBorders>
            <w:hideMark/>
          </w:tcPr>
          <w:p w:rsidR="000C2E59" w:rsidRPr="00C95CF0" w:rsidRDefault="000C2E59" w:rsidP="000C2E59">
            <w:pPr>
              <w:spacing w:line="360" w:lineRule="auto"/>
              <w:rPr>
                <w:lang w:eastAsia="en-US" w:bidi="lo-LA"/>
              </w:rPr>
            </w:pPr>
            <w:r>
              <w:rPr>
                <w:lang w:eastAsia="en-US" w:bidi="lo-LA"/>
              </w:rPr>
              <w:t>Nav attiecināms</w:t>
            </w:r>
          </w:p>
        </w:tc>
      </w:tr>
      <w:tr w:rsidR="000C2E59" w:rsidRPr="00C95CF0" w:rsidTr="00711B97">
        <w:tc>
          <w:tcPr>
            <w:tcW w:w="1258" w:type="pct"/>
            <w:tcBorders>
              <w:top w:val="outset" w:sz="6" w:space="0" w:color="auto"/>
              <w:left w:val="outset" w:sz="6" w:space="0" w:color="auto"/>
              <w:bottom w:val="outset" w:sz="6" w:space="0" w:color="auto"/>
              <w:right w:val="outset" w:sz="6" w:space="0" w:color="auto"/>
            </w:tcBorders>
            <w:hideMark/>
          </w:tcPr>
          <w:p w:rsidR="000C2E59" w:rsidRPr="00C95CF0" w:rsidRDefault="000C2E59" w:rsidP="000C2E59">
            <w:pPr>
              <w:spacing w:line="360" w:lineRule="auto"/>
              <w:rPr>
                <w:lang w:eastAsia="en-US" w:bidi="lo-LA"/>
              </w:rPr>
            </w:pPr>
            <w:r w:rsidRPr="00C95CF0">
              <w:rPr>
                <w:lang w:eastAsia="en-US" w:bidi="lo-LA"/>
              </w:rPr>
              <w:lastRenderedPageBreak/>
              <w:t>Cita informācija</w:t>
            </w:r>
          </w:p>
        </w:tc>
        <w:tc>
          <w:tcPr>
            <w:tcW w:w="3742" w:type="pct"/>
            <w:gridSpan w:val="3"/>
            <w:tcBorders>
              <w:top w:val="outset" w:sz="6" w:space="0" w:color="auto"/>
              <w:left w:val="outset" w:sz="6" w:space="0" w:color="auto"/>
              <w:bottom w:val="outset" w:sz="6" w:space="0" w:color="auto"/>
              <w:right w:val="outset" w:sz="6" w:space="0" w:color="auto"/>
            </w:tcBorders>
            <w:hideMark/>
          </w:tcPr>
          <w:p w:rsidR="000C2E59" w:rsidRPr="00C95CF0" w:rsidRDefault="000C2E59" w:rsidP="000C2E59">
            <w:pPr>
              <w:rPr>
                <w:lang w:eastAsia="en-US" w:bidi="lo-LA"/>
              </w:rPr>
            </w:pPr>
            <w:r>
              <w:rPr>
                <w:lang w:eastAsia="en-US" w:bidi="lo-LA"/>
              </w:rPr>
              <w:t>Nav</w:t>
            </w:r>
          </w:p>
        </w:tc>
      </w:tr>
    </w:tbl>
    <w:p w:rsidR="00703C92" w:rsidRPr="00FA6049" w:rsidRDefault="00ED5A6C" w:rsidP="00711B97">
      <w:pPr>
        <w:pStyle w:val="naisf"/>
        <w:spacing w:before="0" w:after="0"/>
        <w:ind w:firstLine="0"/>
        <w:jc w:val="center"/>
        <w:rPr>
          <w:i/>
          <w:sz w:val="28"/>
          <w:szCs w:val="28"/>
        </w:rPr>
      </w:pPr>
      <w:r>
        <w:rPr>
          <w:sz w:val="28"/>
          <w:szCs w:val="28"/>
        </w:rPr>
        <w:t>Anotācijas V</w:t>
      </w:r>
      <w:r w:rsidR="00AA1937">
        <w:rPr>
          <w:sz w:val="28"/>
          <w:szCs w:val="28"/>
        </w:rPr>
        <w:t>I</w:t>
      </w:r>
      <w:r w:rsidR="00703C92">
        <w:rPr>
          <w:sz w:val="28"/>
          <w:szCs w:val="28"/>
        </w:rPr>
        <w:t xml:space="preserve"> un VI</w:t>
      </w:r>
      <w:r w:rsidR="00A22404">
        <w:rPr>
          <w:sz w:val="28"/>
          <w:szCs w:val="28"/>
        </w:rPr>
        <w:t xml:space="preserve">I </w:t>
      </w:r>
      <w:r>
        <w:rPr>
          <w:sz w:val="28"/>
          <w:szCs w:val="28"/>
        </w:rPr>
        <w:t>s</w:t>
      </w:r>
      <w:r w:rsidR="00703C92" w:rsidRPr="009008AC">
        <w:rPr>
          <w:sz w:val="28"/>
          <w:szCs w:val="28"/>
        </w:rPr>
        <w:t>adaļa</w:t>
      </w:r>
      <w:r w:rsidR="00A22404">
        <w:rPr>
          <w:sz w:val="28"/>
          <w:szCs w:val="28"/>
        </w:rPr>
        <w:t xml:space="preserve">s </w:t>
      </w:r>
      <w:r w:rsidR="00703C92" w:rsidRPr="009008AC">
        <w:rPr>
          <w:sz w:val="28"/>
          <w:szCs w:val="28"/>
        </w:rPr>
        <w:t xml:space="preserve">– </w:t>
      </w:r>
      <w:r w:rsidR="00991D76">
        <w:rPr>
          <w:i/>
          <w:iCs/>
          <w:sz w:val="28"/>
          <w:szCs w:val="28"/>
        </w:rPr>
        <w:t>p</w:t>
      </w:r>
      <w:r>
        <w:rPr>
          <w:i/>
          <w:sz w:val="28"/>
          <w:szCs w:val="28"/>
        </w:rPr>
        <w:t>rojekts šīs jomas</w:t>
      </w:r>
      <w:r w:rsidR="00703C92" w:rsidRPr="008A4C10">
        <w:rPr>
          <w:i/>
          <w:sz w:val="28"/>
          <w:szCs w:val="28"/>
        </w:rPr>
        <w:t xml:space="preserve"> neskar.</w:t>
      </w:r>
    </w:p>
    <w:p w:rsidR="00690CE3" w:rsidRDefault="00690CE3" w:rsidP="007D1F49">
      <w:pPr>
        <w:rPr>
          <w:sz w:val="28"/>
          <w:szCs w:val="28"/>
        </w:rPr>
      </w:pPr>
    </w:p>
    <w:p w:rsidR="00D42719" w:rsidRDefault="00D42719" w:rsidP="007D1F49">
      <w:pPr>
        <w:rPr>
          <w:sz w:val="28"/>
          <w:szCs w:val="28"/>
        </w:rPr>
      </w:pPr>
    </w:p>
    <w:p w:rsidR="00AA1937" w:rsidRPr="00711B97" w:rsidRDefault="004750D0" w:rsidP="00711B97">
      <w:pPr>
        <w:pStyle w:val="naisf"/>
        <w:tabs>
          <w:tab w:val="left" w:pos="6804"/>
        </w:tabs>
        <w:spacing w:before="0" w:after="0"/>
        <w:ind w:firstLine="720"/>
        <w:rPr>
          <w:sz w:val="28"/>
          <w:szCs w:val="28"/>
        </w:rPr>
      </w:pPr>
      <w:r>
        <w:rPr>
          <w:sz w:val="28"/>
          <w:szCs w:val="28"/>
        </w:rPr>
        <w:t>Veselības</w:t>
      </w:r>
      <w:r w:rsidRPr="007C0F2C">
        <w:rPr>
          <w:sz w:val="28"/>
          <w:szCs w:val="28"/>
        </w:rPr>
        <w:t xml:space="preserve"> ministrs</w:t>
      </w:r>
      <w:r w:rsidRPr="007C0F2C">
        <w:rPr>
          <w:sz w:val="28"/>
          <w:szCs w:val="28"/>
        </w:rPr>
        <w:tab/>
      </w:r>
      <w:proofErr w:type="spellStart"/>
      <w:r>
        <w:rPr>
          <w:sz w:val="28"/>
          <w:szCs w:val="28"/>
        </w:rPr>
        <w:t>J</w:t>
      </w:r>
      <w:r w:rsidRPr="007C0F2C">
        <w:rPr>
          <w:sz w:val="28"/>
          <w:szCs w:val="28"/>
        </w:rPr>
        <w:t>.</w:t>
      </w:r>
      <w:r>
        <w:rPr>
          <w:sz w:val="28"/>
          <w:szCs w:val="28"/>
        </w:rPr>
        <w:t>Bārzdiņš</w:t>
      </w:r>
      <w:proofErr w:type="spellEnd"/>
    </w:p>
    <w:p w:rsidR="00AA1937" w:rsidRDefault="00AA1937" w:rsidP="00D8462A">
      <w:pPr>
        <w:pStyle w:val="naisf"/>
        <w:tabs>
          <w:tab w:val="left" w:pos="720"/>
        </w:tabs>
        <w:spacing w:before="0" w:after="0"/>
        <w:ind w:firstLine="0"/>
        <w:rPr>
          <w:sz w:val="22"/>
          <w:szCs w:val="22"/>
        </w:rPr>
      </w:pPr>
    </w:p>
    <w:p w:rsidR="00ED36C7" w:rsidRDefault="00ED36C7" w:rsidP="00D8462A">
      <w:pPr>
        <w:pStyle w:val="naisf"/>
        <w:tabs>
          <w:tab w:val="left" w:pos="720"/>
        </w:tabs>
        <w:spacing w:before="0" w:after="0"/>
        <w:ind w:firstLine="0"/>
        <w:rPr>
          <w:sz w:val="22"/>
          <w:szCs w:val="22"/>
        </w:rPr>
      </w:pPr>
    </w:p>
    <w:p w:rsidR="00ED36C7" w:rsidRDefault="00ED36C7" w:rsidP="00D8462A">
      <w:pPr>
        <w:pStyle w:val="naisf"/>
        <w:tabs>
          <w:tab w:val="left" w:pos="720"/>
        </w:tabs>
        <w:spacing w:before="0" w:after="0"/>
        <w:ind w:firstLine="0"/>
        <w:rPr>
          <w:sz w:val="22"/>
          <w:szCs w:val="22"/>
        </w:rPr>
      </w:pPr>
    </w:p>
    <w:p w:rsidR="00ED36C7" w:rsidRDefault="00ED36C7" w:rsidP="00D8462A">
      <w:pPr>
        <w:pStyle w:val="naisf"/>
        <w:tabs>
          <w:tab w:val="left" w:pos="720"/>
        </w:tabs>
        <w:spacing w:before="0" w:after="0"/>
        <w:ind w:firstLine="0"/>
        <w:rPr>
          <w:sz w:val="22"/>
          <w:szCs w:val="22"/>
        </w:rPr>
      </w:pPr>
    </w:p>
    <w:p w:rsidR="00ED36C7" w:rsidRDefault="00ED36C7" w:rsidP="00D8462A">
      <w:pPr>
        <w:pStyle w:val="naisf"/>
        <w:tabs>
          <w:tab w:val="left" w:pos="720"/>
        </w:tabs>
        <w:spacing w:before="0" w:after="0"/>
        <w:ind w:firstLine="0"/>
        <w:rPr>
          <w:sz w:val="22"/>
          <w:szCs w:val="22"/>
        </w:rPr>
      </w:pPr>
    </w:p>
    <w:p w:rsidR="00ED36C7" w:rsidRDefault="00ED36C7" w:rsidP="00D8462A">
      <w:pPr>
        <w:pStyle w:val="naisf"/>
        <w:tabs>
          <w:tab w:val="left" w:pos="720"/>
        </w:tabs>
        <w:spacing w:before="0" w:after="0"/>
        <w:ind w:firstLine="0"/>
        <w:rPr>
          <w:sz w:val="22"/>
          <w:szCs w:val="22"/>
        </w:rPr>
      </w:pPr>
    </w:p>
    <w:p w:rsidR="00ED36C7" w:rsidRDefault="00ED36C7" w:rsidP="00D8462A">
      <w:pPr>
        <w:pStyle w:val="naisf"/>
        <w:tabs>
          <w:tab w:val="left" w:pos="720"/>
        </w:tabs>
        <w:spacing w:before="0" w:after="0"/>
        <w:ind w:firstLine="0"/>
        <w:rPr>
          <w:sz w:val="22"/>
          <w:szCs w:val="22"/>
        </w:rPr>
      </w:pPr>
    </w:p>
    <w:p w:rsidR="00ED36C7" w:rsidRDefault="00ED36C7" w:rsidP="00D8462A">
      <w:pPr>
        <w:pStyle w:val="naisf"/>
        <w:tabs>
          <w:tab w:val="left" w:pos="720"/>
        </w:tabs>
        <w:spacing w:before="0" w:after="0"/>
        <w:ind w:firstLine="0"/>
        <w:rPr>
          <w:sz w:val="22"/>
          <w:szCs w:val="22"/>
        </w:rPr>
      </w:pPr>
    </w:p>
    <w:p w:rsidR="00ED36C7" w:rsidRDefault="00ED36C7" w:rsidP="00D8462A">
      <w:pPr>
        <w:pStyle w:val="naisf"/>
        <w:tabs>
          <w:tab w:val="left" w:pos="720"/>
        </w:tabs>
        <w:spacing w:before="0" w:after="0"/>
        <w:ind w:firstLine="0"/>
        <w:rPr>
          <w:sz w:val="22"/>
          <w:szCs w:val="22"/>
        </w:rPr>
      </w:pPr>
    </w:p>
    <w:p w:rsidR="00ED36C7" w:rsidRDefault="00ED36C7" w:rsidP="00D8462A">
      <w:pPr>
        <w:pStyle w:val="naisf"/>
        <w:tabs>
          <w:tab w:val="left" w:pos="720"/>
        </w:tabs>
        <w:spacing w:before="0" w:after="0"/>
        <w:ind w:firstLine="0"/>
        <w:rPr>
          <w:sz w:val="22"/>
          <w:szCs w:val="22"/>
        </w:rPr>
      </w:pPr>
    </w:p>
    <w:p w:rsidR="00ED36C7" w:rsidRDefault="00ED36C7" w:rsidP="00D8462A">
      <w:pPr>
        <w:pStyle w:val="naisf"/>
        <w:tabs>
          <w:tab w:val="left" w:pos="720"/>
        </w:tabs>
        <w:spacing w:before="0" w:after="0"/>
        <w:ind w:firstLine="0"/>
        <w:rPr>
          <w:sz w:val="22"/>
          <w:szCs w:val="22"/>
        </w:rPr>
      </w:pPr>
    </w:p>
    <w:p w:rsidR="00ED36C7" w:rsidRDefault="00ED36C7" w:rsidP="00D8462A">
      <w:pPr>
        <w:pStyle w:val="naisf"/>
        <w:tabs>
          <w:tab w:val="left" w:pos="720"/>
        </w:tabs>
        <w:spacing w:before="0" w:after="0"/>
        <w:ind w:firstLine="0"/>
        <w:rPr>
          <w:sz w:val="22"/>
          <w:szCs w:val="22"/>
        </w:rPr>
      </w:pPr>
    </w:p>
    <w:p w:rsidR="00ED36C7" w:rsidRDefault="00ED36C7" w:rsidP="00D8462A">
      <w:pPr>
        <w:pStyle w:val="naisf"/>
        <w:tabs>
          <w:tab w:val="left" w:pos="720"/>
        </w:tabs>
        <w:spacing w:before="0" w:after="0"/>
        <w:ind w:firstLine="0"/>
        <w:rPr>
          <w:sz w:val="22"/>
          <w:szCs w:val="22"/>
        </w:rPr>
      </w:pPr>
    </w:p>
    <w:p w:rsidR="00ED36C7" w:rsidRDefault="00ED36C7" w:rsidP="00D8462A">
      <w:pPr>
        <w:pStyle w:val="naisf"/>
        <w:tabs>
          <w:tab w:val="left" w:pos="720"/>
        </w:tabs>
        <w:spacing w:before="0" w:after="0"/>
        <w:ind w:firstLine="0"/>
        <w:rPr>
          <w:sz w:val="22"/>
          <w:szCs w:val="22"/>
        </w:rPr>
      </w:pPr>
    </w:p>
    <w:p w:rsidR="00ED36C7" w:rsidRDefault="00ED36C7" w:rsidP="00D8462A">
      <w:pPr>
        <w:pStyle w:val="naisf"/>
        <w:tabs>
          <w:tab w:val="left" w:pos="720"/>
        </w:tabs>
        <w:spacing w:before="0" w:after="0"/>
        <w:ind w:firstLine="0"/>
        <w:rPr>
          <w:sz w:val="22"/>
          <w:szCs w:val="22"/>
        </w:rPr>
      </w:pPr>
    </w:p>
    <w:p w:rsidR="00ED36C7" w:rsidRDefault="00ED36C7" w:rsidP="00D8462A">
      <w:pPr>
        <w:pStyle w:val="naisf"/>
        <w:tabs>
          <w:tab w:val="left" w:pos="720"/>
        </w:tabs>
        <w:spacing w:before="0" w:after="0"/>
        <w:ind w:firstLine="0"/>
        <w:rPr>
          <w:sz w:val="22"/>
          <w:szCs w:val="22"/>
        </w:rPr>
      </w:pPr>
    </w:p>
    <w:p w:rsidR="00ED36C7" w:rsidRDefault="00ED36C7" w:rsidP="00D8462A">
      <w:pPr>
        <w:pStyle w:val="naisf"/>
        <w:tabs>
          <w:tab w:val="left" w:pos="720"/>
        </w:tabs>
        <w:spacing w:before="0" w:after="0"/>
        <w:ind w:firstLine="0"/>
        <w:rPr>
          <w:sz w:val="22"/>
          <w:szCs w:val="22"/>
        </w:rPr>
      </w:pPr>
    </w:p>
    <w:p w:rsidR="00ED36C7" w:rsidRDefault="00ED36C7" w:rsidP="00D8462A">
      <w:pPr>
        <w:pStyle w:val="naisf"/>
        <w:tabs>
          <w:tab w:val="left" w:pos="720"/>
        </w:tabs>
        <w:spacing w:before="0" w:after="0"/>
        <w:ind w:firstLine="0"/>
        <w:rPr>
          <w:sz w:val="22"/>
          <w:szCs w:val="22"/>
        </w:rPr>
      </w:pPr>
    </w:p>
    <w:p w:rsidR="00ED36C7" w:rsidRDefault="00ED36C7" w:rsidP="00D8462A">
      <w:pPr>
        <w:pStyle w:val="naisf"/>
        <w:tabs>
          <w:tab w:val="left" w:pos="720"/>
        </w:tabs>
        <w:spacing w:before="0" w:after="0"/>
        <w:ind w:firstLine="0"/>
        <w:rPr>
          <w:sz w:val="22"/>
          <w:szCs w:val="22"/>
        </w:rPr>
      </w:pPr>
    </w:p>
    <w:p w:rsidR="00ED36C7" w:rsidRDefault="00ED36C7" w:rsidP="00D8462A">
      <w:pPr>
        <w:pStyle w:val="naisf"/>
        <w:tabs>
          <w:tab w:val="left" w:pos="720"/>
        </w:tabs>
        <w:spacing w:before="0" w:after="0"/>
        <w:ind w:firstLine="0"/>
        <w:rPr>
          <w:sz w:val="22"/>
          <w:szCs w:val="22"/>
        </w:rPr>
      </w:pPr>
    </w:p>
    <w:p w:rsidR="00ED36C7" w:rsidRDefault="00ED36C7" w:rsidP="00D8462A">
      <w:pPr>
        <w:pStyle w:val="naisf"/>
        <w:tabs>
          <w:tab w:val="left" w:pos="720"/>
        </w:tabs>
        <w:spacing w:before="0" w:after="0"/>
        <w:ind w:firstLine="0"/>
        <w:rPr>
          <w:sz w:val="22"/>
          <w:szCs w:val="22"/>
        </w:rPr>
      </w:pPr>
    </w:p>
    <w:p w:rsidR="00ED36C7" w:rsidRDefault="00ED36C7" w:rsidP="00D8462A">
      <w:pPr>
        <w:pStyle w:val="naisf"/>
        <w:tabs>
          <w:tab w:val="left" w:pos="720"/>
        </w:tabs>
        <w:spacing w:before="0" w:after="0"/>
        <w:ind w:firstLine="0"/>
        <w:rPr>
          <w:sz w:val="22"/>
          <w:szCs w:val="22"/>
        </w:rPr>
      </w:pPr>
    </w:p>
    <w:p w:rsidR="00ED36C7" w:rsidRDefault="00ED36C7" w:rsidP="00D8462A">
      <w:pPr>
        <w:pStyle w:val="naisf"/>
        <w:tabs>
          <w:tab w:val="left" w:pos="720"/>
        </w:tabs>
        <w:spacing w:before="0" w:after="0"/>
        <w:ind w:firstLine="0"/>
        <w:rPr>
          <w:sz w:val="22"/>
          <w:szCs w:val="22"/>
        </w:rPr>
      </w:pPr>
    </w:p>
    <w:p w:rsidR="00ED36C7" w:rsidRDefault="00ED36C7" w:rsidP="00D8462A">
      <w:pPr>
        <w:pStyle w:val="naisf"/>
        <w:tabs>
          <w:tab w:val="left" w:pos="720"/>
        </w:tabs>
        <w:spacing w:before="0" w:after="0"/>
        <w:ind w:firstLine="0"/>
        <w:rPr>
          <w:sz w:val="22"/>
          <w:szCs w:val="22"/>
        </w:rPr>
      </w:pPr>
    </w:p>
    <w:p w:rsidR="00ED36C7" w:rsidRDefault="00ED36C7" w:rsidP="00D8462A">
      <w:pPr>
        <w:pStyle w:val="naisf"/>
        <w:tabs>
          <w:tab w:val="left" w:pos="720"/>
        </w:tabs>
        <w:spacing w:before="0" w:after="0"/>
        <w:ind w:firstLine="0"/>
        <w:rPr>
          <w:sz w:val="22"/>
          <w:szCs w:val="22"/>
        </w:rPr>
      </w:pPr>
    </w:p>
    <w:p w:rsidR="00ED36C7" w:rsidRDefault="00ED36C7" w:rsidP="00D8462A">
      <w:pPr>
        <w:pStyle w:val="naisf"/>
        <w:tabs>
          <w:tab w:val="left" w:pos="720"/>
        </w:tabs>
        <w:spacing w:before="0" w:after="0"/>
        <w:ind w:firstLine="0"/>
        <w:rPr>
          <w:sz w:val="22"/>
          <w:szCs w:val="22"/>
        </w:rPr>
      </w:pPr>
    </w:p>
    <w:p w:rsidR="00ED36C7" w:rsidRDefault="00ED36C7" w:rsidP="00D8462A">
      <w:pPr>
        <w:pStyle w:val="naisf"/>
        <w:tabs>
          <w:tab w:val="left" w:pos="720"/>
        </w:tabs>
        <w:spacing w:before="0" w:after="0"/>
        <w:ind w:firstLine="0"/>
        <w:rPr>
          <w:sz w:val="22"/>
          <w:szCs w:val="22"/>
        </w:rPr>
      </w:pPr>
    </w:p>
    <w:p w:rsidR="00ED36C7" w:rsidRDefault="00ED36C7" w:rsidP="00D8462A">
      <w:pPr>
        <w:pStyle w:val="naisf"/>
        <w:tabs>
          <w:tab w:val="left" w:pos="720"/>
        </w:tabs>
        <w:spacing w:before="0" w:after="0"/>
        <w:ind w:firstLine="0"/>
        <w:rPr>
          <w:sz w:val="22"/>
          <w:szCs w:val="22"/>
        </w:rPr>
      </w:pPr>
    </w:p>
    <w:p w:rsidR="00ED36C7" w:rsidRDefault="00ED36C7" w:rsidP="00D8462A">
      <w:pPr>
        <w:pStyle w:val="naisf"/>
        <w:tabs>
          <w:tab w:val="left" w:pos="720"/>
        </w:tabs>
        <w:spacing w:before="0" w:after="0"/>
        <w:ind w:firstLine="0"/>
        <w:rPr>
          <w:sz w:val="22"/>
          <w:szCs w:val="22"/>
        </w:rPr>
      </w:pPr>
    </w:p>
    <w:p w:rsidR="00ED36C7" w:rsidRDefault="00ED36C7" w:rsidP="00D8462A">
      <w:pPr>
        <w:pStyle w:val="naisf"/>
        <w:tabs>
          <w:tab w:val="left" w:pos="720"/>
        </w:tabs>
        <w:spacing w:before="0" w:after="0"/>
        <w:ind w:firstLine="0"/>
        <w:rPr>
          <w:sz w:val="22"/>
          <w:szCs w:val="22"/>
        </w:rPr>
      </w:pPr>
    </w:p>
    <w:p w:rsidR="00ED36C7" w:rsidRDefault="00ED36C7" w:rsidP="00D8462A">
      <w:pPr>
        <w:pStyle w:val="naisf"/>
        <w:tabs>
          <w:tab w:val="left" w:pos="720"/>
        </w:tabs>
        <w:spacing w:before="0" w:after="0"/>
        <w:ind w:firstLine="0"/>
        <w:rPr>
          <w:sz w:val="22"/>
          <w:szCs w:val="22"/>
        </w:rPr>
      </w:pPr>
    </w:p>
    <w:p w:rsidR="00ED36C7" w:rsidRDefault="00ED36C7" w:rsidP="00D8462A">
      <w:pPr>
        <w:pStyle w:val="naisf"/>
        <w:tabs>
          <w:tab w:val="left" w:pos="720"/>
        </w:tabs>
        <w:spacing w:before="0" w:after="0"/>
        <w:ind w:firstLine="0"/>
        <w:rPr>
          <w:sz w:val="22"/>
          <w:szCs w:val="22"/>
        </w:rPr>
      </w:pPr>
    </w:p>
    <w:p w:rsidR="00ED36C7" w:rsidRDefault="00ED36C7" w:rsidP="00D8462A">
      <w:pPr>
        <w:pStyle w:val="naisf"/>
        <w:tabs>
          <w:tab w:val="left" w:pos="720"/>
        </w:tabs>
        <w:spacing w:before="0" w:after="0"/>
        <w:ind w:firstLine="0"/>
        <w:rPr>
          <w:sz w:val="22"/>
          <w:szCs w:val="22"/>
        </w:rPr>
      </w:pPr>
    </w:p>
    <w:p w:rsidR="00ED36C7" w:rsidRDefault="00ED36C7" w:rsidP="00D8462A">
      <w:pPr>
        <w:pStyle w:val="naisf"/>
        <w:tabs>
          <w:tab w:val="left" w:pos="720"/>
        </w:tabs>
        <w:spacing w:before="0" w:after="0"/>
        <w:ind w:firstLine="0"/>
        <w:rPr>
          <w:sz w:val="22"/>
          <w:szCs w:val="22"/>
        </w:rPr>
      </w:pPr>
    </w:p>
    <w:p w:rsidR="00ED36C7" w:rsidRDefault="00ED36C7" w:rsidP="00D8462A">
      <w:pPr>
        <w:pStyle w:val="naisf"/>
        <w:tabs>
          <w:tab w:val="left" w:pos="720"/>
        </w:tabs>
        <w:spacing w:before="0" w:after="0"/>
        <w:ind w:firstLine="0"/>
        <w:rPr>
          <w:sz w:val="22"/>
          <w:szCs w:val="22"/>
        </w:rPr>
      </w:pPr>
    </w:p>
    <w:p w:rsidR="00ED36C7" w:rsidRDefault="00ED36C7" w:rsidP="00D8462A">
      <w:pPr>
        <w:pStyle w:val="naisf"/>
        <w:tabs>
          <w:tab w:val="left" w:pos="720"/>
        </w:tabs>
        <w:spacing w:before="0" w:after="0"/>
        <w:ind w:firstLine="0"/>
        <w:rPr>
          <w:sz w:val="22"/>
          <w:szCs w:val="22"/>
        </w:rPr>
      </w:pPr>
    </w:p>
    <w:p w:rsidR="00ED36C7" w:rsidRDefault="00ED36C7" w:rsidP="00D8462A">
      <w:pPr>
        <w:pStyle w:val="naisf"/>
        <w:tabs>
          <w:tab w:val="left" w:pos="720"/>
        </w:tabs>
        <w:spacing w:before="0" w:after="0"/>
        <w:ind w:firstLine="0"/>
        <w:rPr>
          <w:sz w:val="22"/>
          <w:szCs w:val="22"/>
        </w:rPr>
      </w:pPr>
    </w:p>
    <w:p w:rsidR="00D8462A" w:rsidRDefault="00ED36C7" w:rsidP="00D8462A">
      <w:pPr>
        <w:pStyle w:val="naisf"/>
        <w:tabs>
          <w:tab w:val="left" w:pos="720"/>
        </w:tabs>
        <w:spacing w:before="0" w:after="0"/>
        <w:ind w:firstLine="0"/>
        <w:rPr>
          <w:sz w:val="22"/>
          <w:szCs w:val="22"/>
        </w:rPr>
      </w:pPr>
      <w:r>
        <w:rPr>
          <w:sz w:val="22"/>
          <w:szCs w:val="22"/>
        </w:rPr>
        <w:t>26.08.2011 13:01</w:t>
      </w:r>
    </w:p>
    <w:p w:rsidR="00D8462A" w:rsidRDefault="00FA7EA4" w:rsidP="00D8462A">
      <w:pPr>
        <w:pStyle w:val="naisf"/>
        <w:tabs>
          <w:tab w:val="left" w:pos="720"/>
        </w:tabs>
        <w:spacing w:before="0" w:after="0"/>
        <w:ind w:firstLine="0"/>
        <w:rPr>
          <w:sz w:val="22"/>
          <w:szCs w:val="22"/>
        </w:rPr>
      </w:pPr>
      <w:r>
        <w:rPr>
          <w:sz w:val="22"/>
          <w:szCs w:val="22"/>
        </w:rPr>
        <w:t>3 </w:t>
      </w:r>
      <w:r w:rsidR="008D506D">
        <w:rPr>
          <w:sz w:val="22"/>
          <w:szCs w:val="22"/>
        </w:rPr>
        <w:t>458</w:t>
      </w:r>
    </w:p>
    <w:p w:rsidR="00FA7EA4" w:rsidRPr="002729EE" w:rsidRDefault="00FA7EA4" w:rsidP="00D8462A">
      <w:pPr>
        <w:pStyle w:val="naisf"/>
        <w:tabs>
          <w:tab w:val="left" w:pos="720"/>
        </w:tabs>
        <w:spacing w:before="0" w:after="0"/>
        <w:ind w:firstLine="0"/>
        <w:rPr>
          <w:sz w:val="22"/>
          <w:szCs w:val="22"/>
        </w:rPr>
      </w:pPr>
    </w:p>
    <w:p w:rsidR="00D8462A" w:rsidRDefault="00D8462A" w:rsidP="00D8462A">
      <w:pPr>
        <w:jc w:val="both"/>
        <w:rPr>
          <w:sz w:val="22"/>
          <w:szCs w:val="22"/>
        </w:rPr>
      </w:pPr>
      <w:r>
        <w:rPr>
          <w:sz w:val="22"/>
          <w:szCs w:val="22"/>
        </w:rPr>
        <w:t>K.Kļaviņa</w:t>
      </w:r>
    </w:p>
    <w:p w:rsidR="00D8462A" w:rsidRDefault="00D8462A" w:rsidP="00D8462A">
      <w:pPr>
        <w:jc w:val="both"/>
        <w:rPr>
          <w:sz w:val="22"/>
          <w:szCs w:val="22"/>
        </w:rPr>
      </w:pPr>
      <w:r>
        <w:rPr>
          <w:sz w:val="22"/>
          <w:szCs w:val="22"/>
        </w:rPr>
        <w:t>67876095, kristine.klavina</w:t>
      </w:r>
      <w:r w:rsidRPr="00F530A7">
        <w:rPr>
          <w:sz w:val="22"/>
          <w:szCs w:val="22"/>
        </w:rPr>
        <w:t>@vm.gov.lv</w:t>
      </w:r>
    </w:p>
    <w:p w:rsidR="00D8462A" w:rsidRPr="002729EE" w:rsidRDefault="00EA6E8B" w:rsidP="00D8462A">
      <w:pPr>
        <w:jc w:val="both"/>
        <w:rPr>
          <w:sz w:val="22"/>
          <w:szCs w:val="22"/>
        </w:rPr>
      </w:pPr>
      <w:r>
        <w:rPr>
          <w:sz w:val="22"/>
          <w:szCs w:val="22"/>
        </w:rPr>
        <w:t>V.Skudra</w:t>
      </w:r>
    </w:p>
    <w:p w:rsidR="00D8462A" w:rsidRDefault="00D8462A" w:rsidP="00D8462A">
      <w:pPr>
        <w:jc w:val="both"/>
        <w:rPr>
          <w:sz w:val="22"/>
          <w:szCs w:val="22"/>
        </w:rPr>
      </w:pPr>
      <w:r>
        <w:rPr>
          <w:sz w:val="22"/>
          <w:szCs w:val="22"/>
        </w:rPr>
        <w:t>678760</w:t>
      </w:r>
      <w:r w:rsidR="00EA6E8B">
        <w:rPr>
          <w:sz w:val="22"/>
          <w:szCs w:val="22"/>
        </w:rPr>
        <w:t>38</w:t>
      </w:r>
      <w:r w:rsidRPr="002729EE">
        <w:rPr>
          <w:sz w:val="22"/>
          <w:szCs w:val="22"/>
        </w:rPr>
        <w:t xml:space="preserve">, </w:t>
      </w:r>
      <w:r w:rsidR="00EA6E8B">
        <w:rPr>
          <w:sz w:val="22"/>
          <w:szCs w:val="22"/>
        </w:rPr>
        <w:t>vesma.skudra</w:t>
      </w:r>
      <w:r w:rsidRPr="00264757">
        <w:rPr>
          <w:sz w:val="22"/>
          <w:szCs w:val="22"/>
        </w:rPr>
        <w:t>@vm.gov.lv</w:t>
      </w:r>
    </w:p>
    <w:sectPr w:rsidR="00D8462A" w:rsidSect="00F94026">
      <w:headerReference w:type="default" r:id="rId31"/>
      <w:footerReference w:type="default" r:id="rId32"/>
      <w:footerReference w:type="first" r:id="rId33"/>
      <w:pgSz w:w="11906" w:h="16838" w:code="9"/>
      <w:pgMar w:top="1418" w:right="1134" w:bottom="1134" w:left="1701" w:header="709" w:footer="41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E0B" w:rsidRDefault="009A0E0B">
      <w:r>
        <w:separator/>
      </w:r>
    </w:p>
  </w:endnote>
  <w:endnote w:type="continuationSeparator" w:id="0">
    <w:p w:rsidR="009A0E0B" w:rsidRDefault="009A0E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DokChamp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E0B" w:rsidRDefault="009A0E0B" w:rsidP="004750D0">
    <w:pPr>
      <w:pStyle w:val="naisc"/>
      <w:spacing w:before="0" w:after="0"/>
      <w:jc w:val="both"/>
    </w:pPr>
    <w:r>
      <w:t>VManot_260811_889</w:t>
    </w:r>
    <w:r w:rsidRPr="00A31E1A">
      <w:t xml:space="preserve">; </w:t>
    </w:r>
    <w:bookmarkStart w:id="4" w:name="OLE_LINK1"/>
    <w:bookmarkStart w:id="5" w:name="OLE_LINK2"/>
    <w:bookmarkStart w:id="6" w:name="_Hlk300587875"/>
    <w:r w:rsidRPr="00A31E1A">
      <w:rPr>
        <w:bCs/>
      </w:rPr>
      <w:t>Ministru kabineta rīkojuma projekta „</w:t>
    </w:r>
    <w:r w:rsidRPr="00A31E1A">
      <w:t>Par Veselības norēķinu centra un Veselības ekonomikas centra reorganizāciju</w:t>
    </w:r>
    <w:r w:rsidRPr="00A31E1A">
      <w:rPr>
        <w:bCs/>
      </w:rPr>
      <w:t>”</w:t>
    </w:r>
    <w:r w:rsidRPr="00A31E1A">
      <w:t xml:space="preserve"> sākotnējās ietekmes novērtējuma </w:t>
    </w:r>
    <w:smartTag w:uri="schemas-tilde-lv/tildestengine" w:element="veidnes">
      <w:smartTagPr>
        <w:attr w:name="id" w:val="-1"/>
        <w:attr w:name="baseform" w:val="ziņojums"/>
        <w:attr w:name="text" w:val="ziņojums"/>
      </w:smartTagPr>
      <w:r w:rsidRPr="00A31E1A">
        <w:t>ziņojums</w:t>
      </w:r>
    </w:smartTag>
    <w:r w:rsidRPr="00A31E1A">
      <w:t xml:space="preserve"> (anotācija)</w:t>
    </w:r>
    <w:bookmarkEnd w:id="4"/>
    <w:bookmarkEnd w:id="5"/>
    <w:bookmarkEnd w:id="6"/>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E0B" w:rsidRDefault="009A0E0B" w:rsidP="00D42719">
    <w:pPr>
      <w:pStyle w:val="naisc"/>
      <w:spacing w:before="0" w:after="0"/>
      <w:jc w:val="both"/>
    </w:pPr>
    <w:r>
      <w:t>VManot_250811_889</w:t>
    </w:r>
    <w:r w:rsidRPr="00A31E1A">
      <w:t xml:space="preserve">; </w:t>
    </w:r>
    <w:r w:rsidRPr="00A31E1A">
      <w:rPr>
        <w:bCs/>
      </w:rPr>
      <w:t>Ministru kabineta rīkojuma projekta „</w:t>
    </w:r>
    <w:r w:rsidRPr="00A31E1A">
      <w:t>Par Veselības norēķinu centra un Veselības ekonomikas centra reorganizāciju</w:t>
    </w:r>
    <w:r w:rsidRPr="00A31E1A">
      <w:rPr>
        <w:bCs/>
      </w:rPr>
      <w:t>”</w:t>
    </w:r>
    <w:r w:rsidRPr="00A31E1A">
      <w:t xml:space="preserve"> sākotnējās ietekmes novērtējuma </w:t>
    </w:r>
    <w:smartTag w:uri="schemas-tilde-lv/tildestengine" w:element="veidnes">
      <w:smartTagPr>
        <w:attr w:name="id" w:val="-1"/>
        <w:attr w:name="baseform" w:val="ziņojums"/>
        <w:attr w:name="text" w:val="ziņojums"/>
      </w:smartTagPr>
      <w:r w:rsidRPr="00A31E1A">
        <w:t>ziņojums</w:t>
      </w:r>
    </w:smartTag>
    <w:r w:rsidRPr="00A31E1A">
      <w:t xml:space="preserve"> (anotācija)</w:t>
    </w:r>
  </w:p>
  <w:p w:rsidR="009A0E0B" w:rsidRPr="00D42719" w:rsidRDefault="009A0E0B" w:rsidP="00D427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E0B" w:rsidRDefault="009A0E0B">
      <w:r>
        <w:separator/>
      </w:r>
    </w:p>
  </w:footnote>
  <w:footnote w:type="continuationSeparator" w:id="0">
    <w:p w:rsidR="009A0E0B" w:rsidRDefault="009A0E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E0B" w:rsidRDefault="000C1DAE" w:rsidP="001B1A87">
    <w:pPr>
      <w:pStyle w:val="Header"/>
      <w:jc w:val="center"/>
    </w:pPr>
    <w:r>
      <w:rPr>
        <w:rStyle w:val="PageNumber"/>
      </w:rPr>
      <w:fldChar w:fldCharType="begin"/>
    </w:r>
    <w:r w:rsidR="009A0E0B">
      <w:rPr>
        <w:rStyle w:val="PageNumber"/>
      </w:rPr>
      <w:instrText xml:space="preserve"> PAGE </w:instrText>
    </w:r>
    <w:r>
      <w:rPr>
        <w:rStyle w:val="PageNumber"/>
      </w:rPr>
      <w:fldChar w:fldCharType="separate"/>
    </w:r>
    <w:r w:rsidR="008D506D">
      <w:rPr>
        <w:rStyle w:val="PageNumber"/>
        <w:noProof/>
      </w:rPr>
      <w:t>13</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E4115"/>
    <w:multiLevelType w:val="hybridMultilevel"/>
    <w:tmpl w:val="50461516"/>
    <w:lvl w:ilvl="0" w:tplc="0426000F">
      <w:start w:val="1"/>
      <w:numFmt w:val="decimal"/>
      <w:lvlText w:val="%1."/>
      <w:lvlJc w:val="left"/>
      <w:pPr>
        <w:ind w:left="360" w:hanging="360"/>
      </w:pPr>
    </w:lvl>
    <w:lvl w:ilvl="1" w:tplc="52D8AB2C">
      <w:start w:val="1"/>
      <w:numFmt w:val="decimal"/>
      <w:lvlText w:val="%2)"/>
      <w:lvlJc w:val="left"/>
      <w:pPr>
        <w:ind w:left="1080" w:hanging="360"/>
      </w:pPr>
      <w:rPr>
        <w:rFonts w:ascii="Times New Roman" w:eastAsia="Times New Roman" w:hAnsi="Times New Roman" w:cs="Times New Roman"/>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16821EE8"/>
    <w:multiLevelType w:val="hybridMultilevel"/>
    <w:tmpl w:val="2F927892"/>
    <w:lvl w:ilvl="0" w:tplc="01A6BC58">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D36AB1"/>
    <w:multiLevelType w:val="hybridMultilevel"/>
    <w:tmpl w:val="9326B458"/>
    <w:lvl w:ilvl="0" w:tplc="6D16685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E6BF2"/>
    <w:multiLevelType w:val="hybridMultilevel"/>
    <w:tmpl w:val="519AD168"/>
    <w:lvl w:ilvl="0" w:tplc="0409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33629AA6">
      <w:start w:val="1"/>
      <w:numFmt w:val="decimal"/>
      <w:lvlText w:val="%3)"/>
      <w:lvlJc w:val="left"/>
      <w:pPr>
        <w:ind w:left="2160" w:hanging="360"/>
      </w:pPr>
      <w:rPr>
        <w:rFont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21D7AD4"/>
    <w:multiLevelType w:val="hybridMultilevel"/>
    <w:tmpl w:val="1FB84918"/>
    <w:lvl w:ilvl="0" w:tplc="612C3F26">
      <w:start w:val="6"/>
      <w:numFmt w:val="bullet"/>
      <w:lvlText w:val="-"/>
      <w:lvlJc w:val="left"/>
      <w:pPr>
        <w:ind w:left="735" w:hanging="360"/>
      </w:pPr>
      <w:rPr>
        <w:rFonts w:ascii="Times New Roman" w:eastAsia="Times New Roman" w:hAnsi="Times New Roman" w:cs="Times New Roman" w:hint="default"/>
        <w:color w:val="FF0000"/>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32396D97"/>
    <w:multiLevelType w:val="hybridMultilevel"/>
    <w:tmpl w:val="6F1CE3AE"/>
    <w:lvl w:ilvl="0" w:tplc="C674E17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643A31"/>
    <w:multiLevelType w:val="multilevel"/>
    <w:tmpl w:val="DAC8D04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BF308F0"/>
    <w:multiLevelType w:val="hybridMultilevel"/>
    <w:tmpl w:val="43A2F854"/>
    <w:lvl w:ilvl="0" w:tplc="A8CE8A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854B72"/>
    <w:multiLevelType w:val="hybridMultilevel"/>
    <w:tmpl w:val="00669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FF129E"/>
    <w:multiLevelType w:val="hybridMultilevel"/>
    <w:tmpl w:val="3C7CDC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3D5CF7"/>
    <w:multiLevelType w:val="hybridMultilevel"/>
    <w:tmpl w:val="D6AAED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9D41DA"/>
    <w:multiLevelType w:val="hybridMultilevel"/>
    <w:tmpl w:val="793A2740"/>
    <w:lvl w:ilvl="0" w:tplc="8424E9E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535D4ED5"/>
    <w:multiLevelType w:val="hybridMultilevel"/>
    <w:tmpl w:val="6486F570"/>
    <w:lvl w:ilvl="0" w:tplc="C304EDF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33571F"/>
    <w:multiLevelType w:val="hybridMultilevel"/>
    <w:tmpl w:val="6486F570"/>
    <w:lvl w:ilvl="0" w:tplc="C304EDF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9F0221"/>
    <w:multiLevelType w:val="hybridMultilevel"/>
    <w:tmpl w:val="FE4A2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E43862"/>
    <w:multiLevelType w:val="hybridMultilevel"/>
    <w:tmpl w:val="6FE41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8C52EB"/>
    <w:multiLevelType w:val="hybridMultilevel"/>
    <w:tmpl w:val="C218AD6C"/>
    <w:lvl w:ilvl="0" w:tplc="88CA352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A95550"/>
    <w:multiLevelType w:val="hybridMultilevel"/>
    <w:tmpl w:val="00669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DA4FEE"/>
    <w:multiLevelType w:val="hybridMultilevel"/>
    <w:tmpl w:val="6486F570"/>
    <w:lvl w:ilvl="0" w:tplc="C304EDF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827F15"/>
    <w:multiLevelType w:val="hybridMultilevel"/>
    <w:tmpl w:val="EB6E8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6"/>
  </w:num>
  <w:num w:numId="5">
    <w:abstractNumId w:val="4"/>
  </w:num>
  <w:num w:numId="6">
    <w:abstractNumId w:val="11"/>
  </w:num>
  <w:num w:numId="7">
    <w:abstractNumId w:val="16"/>
  </w:num>
  <w:num w:numId="8">
    <w:abstractNumId w:val="5"/>
  </w:num>
  <w:num w:numId="9">
    <w:abstractNumId w:val="14"/>
  </w:num>
  <w:num w:numId="10">
    <w:abstractNumId w:val="15"/>
  </w:num>
  <w:num w:numId="11">
    <w:abstractNumId w:val="1"/>
  </w:num>
  <w:num w:numId="12">
    <w:abstractNumId w:val="19"/>
  </w:num>
  <w:num w:numId="13">
    <w:abstractNumId w:val="2"/>
  </w:num>
  <w:num w:numId="14">
    <w:abstractNumId w:val="10"/>
  </w:num>
  <w:num w:numId="15">
    <w:abstractNumId w:val="9"/>
  </w:num>
  <w:num w:numId="16">
    <w:abstractNumId w:val="8"/>
  </w:num>
  <w:num w:numId="17">
    <w:abstractNumId w:val="18"/>
  </w:num>
  <w:num w:numId="18">
    <w:abstractNumId w:val="13"/>
  </w:num>
  <w:num w:numId="19">
    <w:abstractNumId w:val="17"/>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45F6C"/>
    <w:rsid w:val="0000463A"/>
    <w:rsid w:val="0001604B"/>
    <w:rsid w:val="000341AD"/>
    <w:rsid w:val="00037C3C"/>
    <w:rsid w:val="0004354E"/>
    <w:rsid w:val="000447F3"/>
    <w:rsid w:val="0005611F"/>
    <w:rsid w:val="00060264"/>
    <w:rsid w:val="000743AA"/>
    <w:rsid w:val="00095738"/>
    <w:rsid w:val="000A7E17"/>
    <w:rsid w:val="000C1759"/>
    <w:rsid w:val="000C1DAE"/>
    <w:rsid w:val="000C21D5"/>
    <w:rsid w:val="000C2310"/>
    <w:rsid w:val="000C2E59"/>
    <w:rsid w:val="000D20A9"/>
    <w:rsid w:val="000D23AD"/>
    <w:rsid w:val="000D2DD1"/>
    <w:rsid w:val="000D394D"/>
    <w:rsid w:val="000F36ED"/>
    <w:rsid w:val="000F5441"/>
    <w:rsid w:val="00101650"/>
    <w:rsid w:val="0011002B"/>
    <w:rsid w:val="00110D96"/>
    <w:rsid w:val="00131969"/>
    <w:rsid w:val="0013462A"/>
    <w:rsid w:val="001354D7"/>
    <w:rsid w:val="00154422"/>
    <w:rsid w:val="001571BE"/>
    <w:rsid w:val="0015783E"/>
    <w:rsid w:val="001765C9"/>
    <w:rsid w:val="001800B4"/>
    <w:rsid w:val="00196F14"/>
    <w:rsid w:val="00197D55"/>
    <w:rsid w:val="001A0176"/>
    <w:rsid w:val="001B1A87"/>
    <w:rsid w:val="001C39B4"/>
    <w:rsid w:val="001E3DA7"/>
    <w:rsid w:val="001F1CF2"/>
    <w:rsid w:val="001F660B"/>
    <w:rsid w:val="00201C41"/>
    <w:rsid w:val="00203FA3"/>
    <w:rsid w:val="00222011"/>
    <w:rsid w:val="00234F19"/>
    <w:rsid w:val="00241F67"/>
    <w:rsid w:val="002436E6"/>
    <w:rsid w:val="00243DC1"/>
    <w:rsid w:val="002556FE"/>
    <w:rsid w:val="00264757"/>
    <w:rsid w:val="002729EE"/>
    <w:rsid w:val="00272F6C"/>
    <w:rsid w:val="002A5633"/>
    <w:rsid w:val="002B3141"/>
    <w:rsid w:val="002C33FB"/>
    <w:rsid w:val="002C5C1A"/>
    <w:rsid w:val="002C68B1"/>
    <w:rsid w:val="002D055B"/>
    <w:rsid w:val="002E4028"/>
    <w:rsid w:val="00302DDD"/>
    <w:rsid w:val="0030660D"/>
    <w:rsid w:val="003152E2"/>
    <w:rsid w:val="00315931"/>
    <w:rsid w:val="00320667"/>
    <w:rsid w:val="00325608"/>
    <w:rsid w:val="00330FC5"/>
    <w:rsid w:val="00332B67"/>
    <w:rsid w:val="00342ECB"/>
    <w:rsid w:val="00347019"/>
    <w:rsid w:val="003555D3"/>
    <w:rsid w:val="0035637C"/>
    <w:rsid w:val="00366FEA"/>
    <w:rsid w:val="003A7F47"/>
    <w:rsid w:val="003B77A9"/>
    <w:rsid w:val="003C7C4D"/>
    <w:rsid w:val="003D6032"/>
    <w:rsid w:val="003D6B62"/>
    <w:rsid w:val="003E1E5E"/>
    <w:rsid w:val="003E346E"/>
    <w:rsid w:val="003E5F91"/>
    <w:rsid w:val="003F3BBF"/>
    <w:rsid w:val="00402799"/>
    <w:rsid w:val="00425D66"/>
    <w:rsid w:val="00430004"/>
    <w:rsid w:val="004374E8"/>
    <w:rsid w:val="00463C1B"/>
    <w:rsid w:val="00464AB8"/>
    <w:rsid w:val="004728E8"/>
    <w:rsid w:val="00473B24"/>
    <w:rsid w:val="004750D0"/>
    <w:rsid w:val="00475230"/>
    <w:rsid w:val="00477BD3"/>
    <w:rsid w:val="00480812"/>
    <w:rsid w:val="00482C0F"/>
    <w:rsid w:val="00484A0B"/>
    <w:rsid w:val="004865D9"/>
    <w:rsid w:val="00486CB5"/>
    <w:rsid w:val="00494E2A"/>
    <w:rsid w:val="00495A63"/>
    <w:rsid w:val="004A50FB"/>
    <w:rsid w:val="004B664C"/>
    <w:rsid w:val="004C5C1F"/>
    <w:rsid w:val="004D2E69"/>
    <w:rsid w:val="004D6763"/>
    <w:rsid w:val="004F28D9"/>
    <w:rsid w:val="004F331E"/>
    <w:rsid w:val="004F5B51"/>
    <w:rsid w:val="00500D9E"/>
    <w:rsid w:val="00501080"/>
    <w:rsid w:val="0050684E"/>
    <w:rsid w:val="00507576"/>
    <w:rsid w:val="00512D6A"/>
    <w:rsid w:val="005165A5"/>
    <w:rsid w:val="00516A9F"/>
    <w:rsid w:val="00517D4C"/>
    <w:rsid w:val="00526E62"/>
    <w:rsid w:val="00531901"/>
    <w:rsid w:val="00534005"/>
    <w:rsid w:val="00536DF0"/>
    <w:rsid w:val="00542820"/>
    <w:rsid w:val="0055397F"/>
    <w:rsid w:val="00573D4A"/>
    <w:rsid w:val="00575EB0"/>
    <w:rsid w:val="0057655C"/>
    <w:rsid w:val="00577301"/>
    <w:rsid w:val="005909AC"/>
    <w:rsid w:val="005A5DDE"/>
    <w:rsid w:val="005C383F"/>
    <w:rsid w:val="005C454F"/>
    <w:rsid w:val="005C7217"/>
    <w:rsid w:val="005C7BB4"/>
    <w:rsid w:val="005C7DFB"/>
    <w:rsid w:val="005D0BAD"/>
    <w:rsid w:val="005D1086"/>
    <w:rsid w:val="005D4A9B"/>
    <w:rsid w:val="005D6CB3"/>
    <w:rsid w:val="005F0224"/>
    <w:rsid w:val="005F6837"/>
    <w:rsid w:val="005F78AA"/>
    <w:rsid w:val="006451FD"/>
    <w:rsid w:val="00662964"/>
    <w:rsid w:val="006665BB"/>
    <w:rsid w:val="006672C0"/>
    <w:rsid w:val="00685544"/>
    <w:rsid w:val="00685B3A"/>
    <w:rsid w:val="00690CE3"/>
    <w:rsid w:val="006A0B7C"/>
    <w:rsid w:val="006A1284"/>
    <w:rsid w:val="006A43FB"/>
    <w:rsid w:val="006B2526"/>
    <w:rsid w:val="006B3292"/>
    <w:rsid w:val="006B7A00"/>
    <w:rsid w:val="006C0410"/>
    <w:rsid w:val="006C2605"/>
    <w:rsid w:val="006D009D"/>
    <w:rsid w:val="006D74C8"/>
    <w:rsid w:val="006F5646"/>
    <w:rsid w:val="006F78B6"/>
    <w:rsid w:val="00703C92"/>
    <w:rsid w:val="007071AC"/>
    <w:rsid w:val="0071167F"/>
    <w:rsid w:val="00711B97"/>
    <w:rsid w:val="00713C4F"/>
    <w:rsid w:val="00714EC9"/>
    <w:rsid w:val="00716F56"/>
    <w:rsid w:val="00721A59"/>
    <w:rsid w:val="00745F6C"/>
    <w:rsid w:val="007610A3"/>
    <w:rsid w:val="00763D37"/>
    <w:rsid w:val="00776C10"/>
    <w:rsid w:val="00785201"/>
    <w:rsid w:val="00793446"/>
    <w:rsid w:val="00796313"/>
    <w:rsid w:val="007A6D95"/>
    <w:rsid w:val="007C2A95"/>
    <w:rsid w:val="007D1903"/>
    <w:rsid w:val="007D1F49"/>
    <w:rsid w:val="007D200C"/>
    <w:rsid w:val="007D7CB0"/>
    <w:rsid w:val="007F6B67"/>
    <w:rsid w:val="008002D7"/>
    <w:rsid w:val="00801CE8"/>
    <w:rsid w:val="0080392B"/>
    <w:rsid w:val="00816495"/>
    <w:rsid w:val="00823550"/>
    <w:rsid w:val="00823753"/>
    <w:rsid w:val="00843BC3"/>
    <w:rsid w:val="00854A4E"/>
    <w:rsid w:val="00856A59"/>
    <w:rsid w:val="0086240D"/>
    <w:rsid w:val="00867418"/>
    <w:rsid w:val="00875D13"/>
    <w:rsid w:val="00882DAA"/>
    <w:rsid w:val="00884CC2"/>
    <w:rsid w:val="00891310"/>
    <w:rsid w:val="00897636"/>
    <w:rsid w:val="008A1BEB"/>
    <w:rsid w:val="008B315C"/>
    <w:rsid w:val="008B4652"/>
    <w:rsid w:val="008D506D"/>
    <w:rsid w:val="008D747F"/>
    <w:rsid w:val="008E2F8F"/>
    <w:rsid w:val="008E3BA9"/>
    <w:rsid w:val="008F56B3"/>
    <w:rsid w:val="00902265"/>
    <w:rsid w:val="009077D3"/>
    <w:rsid w:val="009104E8"/>
    <w:rsid w:val="0091132A"/>
    <w:rsid w:val="00911808"/>
    <w:rsid w:val="00915FF3"/>
    <w:rsid w:val="0092380F"/>
    <w:rsid w:val="009273AA"/>
    <w:rsid w:val="0093344A"/>
    <w:rsid w:val="00936EC1"/>
    <w:rsid w:val="00937512"/>
    <w:rsid w:val="009379B9"/>
    <w:rsid w:val="00942E6F"/>
    <w:rsid w:val="009465D3"/>
    <w:rsid w:val="00971F2C"/>
    <w:rsid w:val="00981F54"/>
    <w:rsid w:val="00991D76"/>
    <w:rsid w:val="009A0E0B"/>
    <w:rsid w:val="009A6346"/>
    <w:rsid w:val="009E0F18"/>
    <w:rsid w:val="009E1ADF"/>
    <w:rsid w:val="009E59AB"/>
    <w:rsid w:val="009F0B72"/>
    <w:rsid w:val="00A0151F"/>
    <w:rsid w:val="00A034C7"/>
    <w:rsid w:val="00A173D7"/>
    <w:rsid w:val="00A22404"/>
    <w:rsid w:val="00A27687"/>
    <w:rsid w:val="00A31D8F"/>
    <w:rsid w:val="00A34EF9"/>
    <w:rsid w:val="00A3738B"/>
    <w:rsid w:val="00A722CF"/>
    <w:rsid w:val="00A76503"/>
    <w:rsid w:val="00A81AB5"/>
    <w:rsid w:val="00A85E69"/>
    <w:rsid w:val="00A861A6"/>
    <w:rsid w:val="00A96C91"/>
    <w:rsid w:val="00AA1937"/>
    <w:rsid w:val="00AA4BE1"/>
    <w:rsid w:val="00AB3AF1"/>
    <w:rsid w:val="00AC27A2"/>
    <w:rsid w:val="00AD43F2"/>
    <w:rsid w:val="00AE119B"/>
    <w:rsid w:val="00B02825"/>
    <w:rsid w:val="00B14996"/>
    <w:rsid w:val="00B1714B"/>
    <w:rsid w:val="00B17F54"/>
    <w:rsid w:val="00B20563"/>
    <w:rsid w:val="00B36B83"/>
    <w:rsid w:val="00B36E8A"/>
    <w:rsid w:val="00B453DC"/>
    <w:rsid w:val="00B46B32"/>
    <w:rsid w:val="00B54DE3"/>
    <w:rsid w:val="00B621C1"/>
    <w:rsid w:val="00B64012"/>
    <w:rsid w:val="00B662D3"/>
    <w:rsid w:val="00B71B08"/>
    <w:rsid w:val="00B76F90"/>
    <w:rsid w:val="00B827BB"/>
    <w:rsid w:val="00B86DFE"/>
    <w:rsid w:val="00B90B9A"/>
    <w:rsid w:val="00B941EE"/>
    <w:rsid w:val="00BB1BC9"/>
    <w:rsid w:val="00BB2A5E"/>
    <w:rsid w:val="00BB39B7"/>
    <w:rsid w:val="00BE54B6"/>
    <w:rsid w:val="00BE5FD3"/>
    <w:rsid w:val="00BF5838"/>
    <w:rsid w:val="00BF7AE5"/>
    <w:rsid w:val="00C03467"/>
    <w:rsid w:val="00C20357"/>
    <w:rsid w:val="00C209B3"/>
    <w:rsid w:val="00C22D7C"/>
    <w:rsid w:val="00C23CBF"/>
    <w:rsid w:val="00C413C2"/>
    <w:rsid w:val="00C646E0"/>
    <w:rsid w:val="00C6787B"/>
    <w:rsid w:val="00C73D7D"/>
    <w:rsid w:val="00C76836"/>
    <w:rsid w:val="00C902FF"/>
    <w:rsid w:val="00C94980"/>
    <w:rsid w:val="00C94DEA"/>
    <w:rsid w:val="00C95858"/>
    <w:rsid w:val="00C95CF0"/>
    <w:rsid w:val="00CA4285"/>
    <w:rsid w:val="00CB0F76"/>
    <w:rsid w:val="00CC05C9"/>
    <w:rsid w:val="00CC3583"/>
    <w:rsid w:val="00CE7CCD"/>
    <w:rsid w:val="00CF4BB2"/>
    <w:rsid w:val="00D13D04"/>
    <w:rsid w:val="00D14201"/>
    <w:rsid w:val="00D253CD"/>
    <w:rsid w:val="00D2677D"/>
    <w:rsid w:val="00D34E57"/>
    <w:rsid w:val="00D35F21"/>
    <w:rsid w:val="00D40434"/>
    <w:rsid w:val="00D41076"/>
    <w:rsid w:val="00D42719"/>
    <w:rsid w:val="00D56CFF"/>
    <w:rsid w:val="00D6412B"/>
    <w:rsid w:val="00D666AA"/>
    <w:rsid w:val="00D6703A"/>
    <w:rsid w:val="00D67ECF"/>
    <w:rsid w:val="00D73A24"/>
    <w:rsid w:val="00D7438C"/>
    <w:rsid w:val="00D8112E"/>
    <w:rsid w:val="00D8462A"/>
    <w:rsid w:val="00D8701B"/>
    <w:rsid w:val="00DA0B0E"/>
    <w:rsid w:val="00DA26FC"/>
    <w:rsid w:val="00DA5B31"/>
    <w:rsid w:val="00DC01BE"/>
    <w:rsid w:val="00DC4667"/>
    <w:rsid w:val="00DC6371"/>
    <w:rsid w:val="00DE1C7B"/>
    <w:rsid w:val="00DE32D7"/>
    <w:rsid w:val="00DF14A5"/>
    <w:rsid w:val="00E239BF"/>
    <w:rsid w:val="00E2499F"/>
    <w:rsid w:val="00E41200"/>
    <w:rsid w:val="00E46E0B"/>
    <w:rsid w:val="00E54A4B"/>
    <w:rsid w:val="00E55171"/>
    <w:rsid w:val="00E561DA"/>
    <w:rsid w:val="00E903B6"/>
    <w:rsid w:val="00E912CD"/>
    <w:rsid w:val="00E96A68"/>
    <w:rsid w:val="00EA4CE9"/>
    <w:rsid w:val="00EA64D5"/>
    <w:rsid w:val="00EA6E8B"/>
    <w:rsid w:val="00EB5480"/>
    <w:rsid w:val="00EC18D6"/>
    <w:rsid w:val="00EC1A7F"/>
    <w:rsid w:val="00ED36C7"/>
    <w:rsid w:val="00ED5A6C"/>
    <w:rsid w:val="00F032CB"/>
    <w:rsid w:val="00F06B6A"/>
    <w:rsid w:val="00F136CE"/>
    <w:rsid w:val="00F17F25"/>
    <w:rsid w:val="00F342EC"/>
    <w:rsid w:val="00F40445"/>
    <w:rsid w:val="00F41F0B"/>
    <w:rsid w:val="00F454C7"/>
    <w:rsid w:val="00F5208A"/>
    <w:rsid w:val="00F530A7"/>
    <w:rsid w:val="00F550E3"/>
    <w:rsid w:val="00F553DD"/>
    <w:rsid w:val="00F608E6"/>
    <w:rsid w:val="00F73D09"/>
    <w:rsid w:val="00F85B91"/>
    <w:rsid w:val="00F94026"/>
    <w:rsid w:val="00FA6784"/>
    <w:rsid w:val="00FA70FE"/>
    <w:rsid w:val="00FA7253"/>
    <w:rsid w:val="00FA7EA4"/>
    <w:rsid w:val="00FB484C"/>
    <w:rsid w:val="00FD22EF"/>
    <w:rsid w:val="00FD58F3"/>
    <w:rsid w:val="00FD5EE7"/>
    <w:rsid w:val="00FD67E2"/>
    <w:rsid w:val="00FF0925"/>
    <w:rsid w:val="00FF5965"/>
    <w:rsid w:val="00FF76C8"/>
  </w:rsids>
  <m:mathPr>
    <m:mathFont m:val="Cambria Math"/>
    <m:brkBin m:val="before"/>
    <m:brkBinSub m:val="--"/>
    <m:smallFrac m:val="off"/>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5F6C"/>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5F6C"/>
    <w:pPr>
      <w:tabs>
        <w:tab w:val="center" w:pos="4153"/>
        <w:tab w:val="right" w:pos="8306"/>
      </w:tabs>
    </w:pPr>
  </w:style>
  <w:style w:type="paragraph" w:styleId="Footer">
    <w:name w:val="footer"/>
    <w:basedOn w:val="Normal"/>
    <w:link w:val="FooterChar"/>
    <w:uiPriority w:val="99"/>
    <w:rsid w:val="00745F6C"/>
    <w:pPr>
      <w:tabs>
        <w:tab w:val="center" w:pos="4153"/>
        <w:tab w:val="right" w:pos="8306"/>
      </w:tabs>
    </w:pPr>
  </w:style>
  <w:style w:type="character" w:styleId="PageNumber">
    <w:name w:val="page number"/>
    <w:basedOn w:val="DefaultParagraphFont"/>
    <w:rsid w:val="00745F6C"/>
  </w:style>
  <w:style w:type="paragraph" w:customStyle="1" w:styleId="naisf">
    <w:name w:val="naisf"/>
    <w:basedOn w:val="Normal"/>
    <w:rsid w:val="00745F6C"/>
    <w:pPr>
      <w:spacing w:before="75" w:after="75"/>
      <w:ind w:firstLine="375"/>
      <w:jc w:val="both"/>
    </w:pPr>
  </w:style>
  <w:style w:type="paragraph" w:customStyle="1" w:styleId="naisnod">
    <w:name w:val="naisnod"/>
    <w:basedOn w:val="Normal"/>
    <w:rsid w:val="00875D13"/>
    <w:pPr>
      <w:spacing w:before="150" w:after="150"/>
      <w:jc w:val="center"/>
    </w:pPr>
    <w:rPr>
      <w:rFonts w:eastAsia="Calibri"/>
      <w:b/>
      <w:bCs/>
    </w:rPr>
  </w:style>
  <w:style w:type="paragraph" w:customStyle="1" w:styleId="naiskr">
    <w:name w:val="naiskr"/>
    <w:basedOn w:val="Normal"/>
    <w:uiPriority w:val="99"/>
    <w:rsid w:val="00875D13"/>
    <w:pPr>
      <w:spacing w:before="75" w:after="75"/>
    </w:pPr>
    <w:rPr>
      <w:rFonts w:eastAsia="Calibri"/>
    </w:rPr>
  </w:style>
  <w:style w:type="paragraph" w:styleId="BodyTextIndent2">
    <w:name w:val="Body Text Indent 2"/>
    <w:basedOn w:val="Normal"/>
    <w:link w:val="BodyTextIndent2Char"/>
    <w:rsid w:val="00875D13"/>
    <w:pPr>
      <w:spacing w:after="120" w:line="480" w:lineRule="auto"/>
      <w:ind w:left="283"/>
    </w:pPr>
    <w:rPr>
      <w:rFonts w:eastAsia="Calibri"/>
    </w:rPr>
  </w:style>
  <w:style w:type="character" w:customStyle="1" w:styleId="BodyTextIndent2Char">
    <w:name w:val="Body Text Indent 2 Char"/>
    <w:basedOn w:val="DefaultParagraphFont"/>
    <w:link w:val="BodyTextIndent2"/>
    <w:rsid w:val="00875D13"/>
    <w:rPr>
      <w:rFonts w:eastAsia="Calibri"/>
      <w:sz w:val="24"/>
      <w:szCs w:val="24"/>
      <w:lang w:val="lv-LV" w:eastAsia="lv-LV"/>
    </w:rPr>
  </w:style>
  <w:style w:type="paragraph" w:styleId="ListParagraph">
    <w:name w:val="List Paragraph"/>
    <w:basedOn w:val="Normal"/>
    <w:uiPriority w:val="34"/>
    <w:qFormat/>
    <w:rsid w:val="005C454F"/>
    <w:pPr>
      <w:spacing w:after="200" w:line="276" w:lineRule="auto"/>
      <w:ind w:left="720"/>
      <w:contextualSpacing/>
    </w:pPr>
    <w:rPr>
      <w:rFonts w:ascii="Calibri" w:eastAsia="Calibri" w:hAnsi="Calibri"/>
      <w:sz w:val="22"/>
      <w:szCs w:val="22"/>
      <w:lang w:val="en-US" w:eastAsia="en-US"/>
    </w:rPr>
  </w:style>
  <w:style w:type="paragraph" w:styleId="NormalWeb">
    <w:name w:val="Normal (Web)"/>
    <w:basedOn w:val="Normal"/>
    <w:rsid w:val="00CA4285"/>
    <w:pPr>
      <w:spacing w:before="100" w:beforeAutospacing="1" w:after="119"/>
    </w:pPr>
  </w:style>
  <w:style w:type="paragraph" w:styleId="BalloonText">
    <w:name w:val="Balloon Text"/>
    <w:basedOn w:val="Normal"/>
    <w:link w:val="BalloonTextChar"/>
    <w:rsid w:val="006B3292"/>
    <w:rPr>
      <w:rFonts w:ascii="Tahoma" w:hAnsi="Tahoma" w:cs="Tahoma"/>
      <w:sz w:val="16"/>
      <w:szCs w:val="16"/>
    </w:rPr>
  </w:style>
  <w:style w:type="character" w:customStyle="1" w:styleId="BalloonTextChar">
    <w:name w:val="Balloon Text Char"/>
    <w:basedOn w:val="DefaultParagraphFont"/>
    <w:link w:val="BalloonText"/>
    <w:rsid w:val="006B3292"/>
    <w:rPr>
      <w:rFonts w:ascii="Tahoma" w:hAnsi="Tahoma" w:cs="Tahoma"/>
      <w:sz w:val="16"/>
      <w:szCs w:val="16"/>
      <w:lang w:val="lv-LV" w:eastAsia="lv-LV"/>
    </w:rPr>
  </w:style>
  <w:style w:type="character" w:styleId="Hyperlink">
    <w:name w:val="Hyperlink"/>
    <w:basedOn w:val="DefaultParagraphFont"/>
    <w:rsid w:val="00264757"/>
    <w:rPr>
      <w:color w:val="0000FF" w:themeColor="hyperlink"/>
      <w:u w:val="single"/>
    </w:rPr>
  </w:style>
  <w:style w:type="character" w:customStyle="1" w:styleId="FooterChar">
    <w:name w:val="Footer Char"/>
    <w:basedOn w:val="DefaultParagraphFont"/>
    <w:link w:val="Footer"/>
    <w:uiPriority w:val="99"/>
    <w:rsid w:val="00E41200"/>
    <w:rPr>
      <w:sz w:val="24"/>
      <w:szCs w:val="24"/>
      <w:lang w:val="lv-LV" w:eastAsia="lv-LV"/>
    </w:rPr>
  </w:style>
  <w:style w:type="paragraph" w:styleId="FootnoteText">
    <w:name w:val="footnote text"/>
    <w:basedOn w:val="Normal"/>
    <w:link w:val="FootnoteTextChar"/>
    <w:rsid w:val="00703C92"/>
    <w:rPr>
      <w:sz w:val="20"/>
      <w:szCs w:val="20"/>
    </w:rPr>
  </w:style>
  <w:style w:type="character" w:customStyle="1" w:styleId="FootnoteTextChar">
    <w:name w:val="Footnote Text Char"/>
    <w:basedOn w:val="DefaultParagraphFont"/>
    <w:link w:val="FootnoteText"/>
    <w:rsid w:val="00703C92"/>
    <w:rPr>
      <w:lang w:val="lv-LV" w:eastAsia="lv-LV"/>
    </w:rPr>
  </w:style>
  <w:style w:type="character" w:customStyle="1" w:styleId="spelle">
    <w:name w:val="spelle"/>
    <w:basedOn w:val="DefaultParagraphFont"/>
    <w:rsid w:val="00703C92"/>
  </w:style>
  <w:style w:type="paragraph" w:styleId="NoSpacing">
    <w:name w:val="No Spacing"/>
    <w:uiPriority w:val="1"/>
    <w:qFormat/>
    <w:rsid w:val="00703C92"/>
    <w:rPr>
      <w:sz w:val="24"/>
      <w:szCs w:val="24"/>
      <w:lang w:val="lv-LV" w:eastAsia="lv-LV"/>
    </w:rPr>
  </w:style>
  <w:style w:type="paragraph" w:customStyle="1" w:styleId="tvhtml">
    <w:name w:val="tv_html"/>
    <w:basedOn w:val="Normal"/>
    <w:rsid w:val="00703C92"/>
    <w:pPr>
      <w:spacing w:before="100" w:beforeAutospacing="1" w:after="100" w:afterAutospacing="1"/>
    </w:pPr>
    <w:rPr>
      <w:rFonts w:ascii="Verdana" w:hAnsi="Verdana"/>
      <w:sz w:val="18"/>
      <w:szCs w:val="18"/>
      <w:lang w:val="en-US" w:eastAsia="en-US" w:bidi="lo-LA"/>
    </w:rPr>
  </w:style>
  <w:style w:type="paragraph" w:customStyle="1" w:styleId="naisc">
    <w:name w:val="naisc"/>
    <w:basedOn w:val="Normal"/>
    <w:rsid w:val="004750D0"/>
    <w:pPr>
      <w:spacing w:before="75" w:after="75"/>
      <w:jc w:val="center"/>
    </w:pPr>
  </w:style>
  <w:style w:type="paragraph" w:customStyle="1" w:styleId="Default">
    <w:name w:val="Default"/>
    <w:rsid w:val="007A6D95"/>
    <w:pPr>
      <w:autoSpaceDE w:val="0"/>
      <w:autoSpaceDN w:val="0"/>
      <w:adjustRightInd w:val="0"/>
    </w:pPr>
    <w:rPr>
      <w:rFonts w:ascii="EUAlbertina" w:hAnsi="EUAlbertina" w:cs="EUAlbertina"/>
      <w:color w:val="000000"/>
      <w:sz w:val="24"/>
      <w:szCs w:val="24"/>
      <w:lang w:bidi="lo-LA"/>
    </w:rPr>
  </w:style>
  <w:style w:type="paragraph" w:customStyle="1" w:styleId="CM4">
    <w:name w:val="CM4"/>
    <w:basedOn w:val="Default"/>
    <w:next w:val="Default"/>
    <w:uiPriority w:val="99"/>
    <w:rsid w:val="0035637C"/>
    <w:rPr>
      <w:rFonts w:cs="Arial Unicode MS"/>
      <w:color w:val="auto"/>
    </w:rPr>
  </w:style>
</w:styles>
</file>

<file path=word/webSettings.xml><?xml version="1.0" encoding="utf-8"?>
<w:webSettings xmlns:r="http://schemas.openxmlformats.org/officeDocument/2006/relationships" xmlns:w="http://schemas.openxmlformats.org/wordprocessingml/2006/main">
  <w:divs>
    <w:div w:id="1205097386">
      <w:bodyDiv w:val="1"/>
      <w:marLeft w:val="45"/>
      <w:marRight w:val="45"/>
      <w:marTop w:val="90"/>
      <w:marBottom w:val="90"/>
      <w:divBdr>
        <w:top w:val="none" w:sz="0" w:space="0" w:color="auto"/>
        <w:left w:val="none" w:sz="0" w:space="0" w:color="auto"/>
        <w:bottom w:val="none" w:sz="0" w:space="0" w:color="auto"/>
        <w:right w:val="none" w:sz="0" w:space="0" w:color="auto"/>
      </w:divBdr>
      <w:divsChild>
        <w:div w:id="1845514891">
          <w:marLeft w:val="0"/>
          <w:marRight w:val="0"/>
          <w:marTop w:val="240"/>
          <w:marBottom w:val="0"/>
          <w:divBdr>
            <w:top w:val="none" w:sz="0" w:space="0" w:color="auto"/>
            <w:left w:val="none" w:sz="0" w:space="0" w:color="auto"/>
            <w:bottom w:val="none" w:sz="0" w:space="0" w:color="auto"/>
            <w:right w:val="none" w:sz="0" w:space="0" w:color="auto"/>
          </w:divBdr>
        </w:div>
      </w:divsChild>
    </w:div>
    <w:div w:id="1836677558">
      <w:bodyDiv w:val="1"/>
      <w:marLeft w:val="45"/>
      <w:marRight w:val="45"/>
      <w:marTop w:val="90"/>
      <w:marBottom w:val="90"/>
      <w:divBdr>
        <w:top w:val="none" w:sz="0" w:space="0" w:color="auto"/>
        <w:left w:val="none" w:sz="0" w:space="0" w:color="auto"/>
        <w:bottom w:val="none" w:sz="0" w:space="0" w:color="auto"/>
        <w:right w:val="none" w:sz="0" w:space="0" w:color="auto"/>
      </w:divBdr>
      <w:divsChild>
        <w:div w:id="35986548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esdoc.cfm?esid=32004R0883" TargetMode="External"/><Relationship Id="rId13" Type="http://schemas.openxmlformats.org/officeDocument/2006/relationships/hyperlink" Target="http://pro.nais.lv/naiser/esdoc.cfm?esid=32006R1920" TargetMode="External"/><Relationship Id="rId18" Type="http://schemas.openxmlformats.org/officeDocument/2006/relationships/hyperlink" Target="http://pro.nais.lv/naiser/esdoc.cfm?esid=32009R0987" TargetMode="External"/><Relationship Id="rId26" Type="http://schemas.openxmlformats.org/officeDocument/2006/relationships/hyperlink" Target="http://pro.nais.lv/naiser/esdoc.cfm?esid=32004R0883" TargetMode="External"/><Relationship Id="rId3" Type="http://schemas.openxmlformats.org/officeDocument/2006/relationships/styles" Target="styles.xml"/><Relationship Id="rId21" Type="http://schemas.openxmlformats.org/officeDocument/2006/relationships/hyperlink" Target="http://pro.nais.lv/naiser/esdoc.cfm?esid=32004R088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ro.nais.lv/naiser/esdoc.cfm?esid=32004R0883" TargetMode="External"/><Relationship Id="rId17" Type="http://schemas.openxmlformats.org/officeDocument/2006/relationships/hyperlink" Target="http://pro.nais.lv/naiser/esdoc.cfm?esid=32004R0883" TargetMode="External"/><Relationship Id="rId25" Type="http://schemas.openxmlformats.org/officeDocument/2006/relationships/hyperlink" Target="http://pro.nais.lv/naiser/esdoc.cfm?esid=32006R1920"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ro.nais.lv/naiser/esdoc.cfm?esid=32006R1920" TargetMode="External"/><Relationship Id="rId20" Type="http://schemas.openxmlformats.org/officeDocument/2006/relationships/hyperlink" Target="http://pro.nais.lv/naiser/esdoc.cfm?esid=32009R0987" TargetMode="External"/><Relationship Id="rId29" Type="http://schemas.openxmlformats.org/officeDocument/2006/relationships/hyperlink" Target="http://pro.nais.lv/naiser/esdoc.cfm?esid=32006R1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nais.lv/naiser/esdoc.cfm?esid=32009R0987" TargetMode="External"/><Relationship Id="rId24" Type="http://schemas.openxmlformats.org/officeDocument/2006/relationships/hyperlink" Target="http://pro.nais.lv/naiser/esdoc.cfm?esid=32009R0987"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ro.nais.lv/naiser/esdoc.cfm?esid=32009R0987" TargetMode="External"/><Relationship Id="rId23" Type="http://schemas.openxmlformats.org/officeDocument/2006/relationships/hyperlink" Target="http://pro.nais.lv/naiser/esdoc.cfm?esid=32004R0883" TargetMode="External"/><Relationship Id="rId28" Type="http://schemas.openxmlformats.org/officeDocument/2006/relationships/hyperlink" Target="http://pro.nais.lv/naiser/esdoc.cfm?esid=32009R0987" TargetMode="External"/><Relationship Id="rId10" Type="http://schemas.openxmlformats.org/officeDocument/2006/relationships/hyperlink" Target="http://pro.nais.lv/naiser/esdoc.cfm?esid=32004R0883" TargetMode="External"/><Relationship Id="rId19" Type="http://schemas.openxmlformats.org/officeDocument/2006/relationships/hyperlink" Target="http://pro.nais.lv/naiser/esdoc.cfm?esid=32004R0883"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nais.lv/naiser/esdoc.cfm?esid=32009R0987" TargetMode="External"/><Relationship Id="rId14" Type="http://schemas.openxmlformats.org/officeDocument/2006/relationships/hyperlink" Target="http://pro.nais.lv/naiser/esdoc.cfm?esid=32004R0883" TargetMode="External"/><Relationship Id="rId22" Type="http://schemas.openxmlformats.org/officeDocument/2006/relationships/hyperlink" Target="http://pro.nais.lv/naiser/esdoc.cfm?esid=32006R1920" TargetMode="External"/><Relationship Id="rId27" Type="http://schemas.openxmlformats.org/officeDocument/2006/relationships/hyperlink" Target="http://pro.nais.lv/naiser/esdoc.cfm?esid=32009R0987" TargetMode="External"/><Relationship Id="rId30" Type="http://schemas.openxmlformats.org/officeDocument/2006/relationships/hyperlink" Target="http://pro.nais.lv/naiser/esdoc.cfm?esid=32006R192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65AD1-23A0-4F7C-98D1-EBAAA434C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13</Pages>
  <Words>3458</Words>
  <Characters>26103</Characters>
  <Application>Microsoft Office Word</Application>
  <DocSecurity>0</DocSecurity>
  <Lines>217</Lines>
  <Paragraphs>59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Veselības norēķinu centra un Veselības ekonomikas centra reorganizāciju” sākotnējās ietekmes novērtējuma ziņojums (anotācija)</vt:lpstr>
      <vt:lpstr>Par finanšu līdzekļu piešķiršanu no valsts budžeta programmas Līdzekļi neparedzētiem gadījumiem</vt:lpstr>
    </vt:vector>
  </TitlesOfParts>
  <Company>Veselības ministrija</Company>
  <LinksUpToDate>false</LinksUpToDate>
  <CharactersWithSpaces>29502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Veselības norēķinu centra un Veselības ekonomikas centra reorganizāciju” sākotnējās ietekmes novērtējuma ziņojums (anotācija)</dc:title>
  <dc:subject>Anotācija</dc:subject>
  <dc:creator>Kristīne Kļaviņa </dc:creator>
  <dc:description>67876095, kristine.klavina@vm.gov.lv</dc:description>
  <cp:lastModifiedBy>kklavina</cp:lastModifiedBy>
  <cp:revision>91</cp:revision>
  <cp:lastPrinted>2011-08-05T10:13:00Z</cp:lastPrinted>
  <dcterms:created xsi:type="dcterms:W3CDTF">2011-08-05T10:01:00Z</dcterms:created>
  <dcterms:modified xsi:type="dcterms:W3CDTF">2011-08-26T10:01:00Z</dcterms:modified>
</cp:coreProperties>
</file>