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AF" w:rsidRPr="001B2300" w:rsidRDefault="000B76E3" w:rsidP="008C11A9">
      <w:pPr>
        <w:jc w:val="center"/>
        <w:rPr>
          <w:b/>
          <w:color w:val="000000"/>
          <w:sz w:val="28"/>
          <w:szCs w:val="28"/>
        </w:rPr>
      </w:pPr>
      <w:bookmarkStart w:id="0" w:name="OLE_LINK19"/>
      <w:bookmarkStart w:id="1" w:name="OLE_LINK20"/>
      <w:r w:rsidRPr="001B2300">
        <w:rPr>
          <w:color w:val="000000"/>
          <w:sz w:val="28"/>
          <w:szCs w:val="28"/>
        </w:rPr>
        <w:t xml:space="preserve">Ministru kabineta </w:t>
      </w:r>
      <w:r w:rsidR="009817AF" w:rsidRPr="001B2300">
        <w:rPr>
          <w:color w:val="000000"/>
          <w:sz w:val="28"/>
          <w:szCs w:val="28"/>
        </w:rPr>
        <w:t>noteikumu</w:t>
      </w:r>
      <w:r w:rsidRPr="001B2300">
        <w:rPr>
          <w:color w:val="000000"/>
          <w:sz w:val="28"/>
          <w:szCs w:val="28"/>
        </w:rPr>
        <w:t xml:space="preserve"> projekta</w:t>
      </w:r>
      <w:bookmarkStart w:id="2" w:name="OLE_LINK13"/>
      <w:bookmarkStart w:id="3" w:name="OLE_LINK14"/>
      <w:r w:rsidRPr="001B2300">
        <w:rPr>
          <w:b/>
          <w:color w:val="000000"/>
          <w:sz w:val="28"/>
          <w:szCs w:val="28"/>
        </w:rPr>
        <w:t xml:space="preserve"> </w:t>
      </w:r>
    </w:p>
    <w:p w:rsidR="000B76E3" w:rsidRPr="001B2300" w:rsidRDefault="000B76E3" w:rsidP="008C11A9">
      <w:pPr>
        <w:jc w:val="center"/>
        <w:rPr>
          <w:color w:val="000000"/>
          <w:sz w:val="28"/>
          <w:szCs w:val="28"/>
        </w:rPr>
      </w:pPr>
      <w:r w:rsidRPr="001B2300">
        <w:rPr>
          <w:color w:val="000000"/>
          <w:sz w:val="28"/>
          <w:szCs w:val="28"/>
        </w:rPr>
        <w:t>„</w:t>
      </w:r>
      <w:bookmarkStart w:id="4" w:name="OLE_LINK5"/>
      <w:bookmarkStart w:id="5" w:name="OLE_LINK6"/>
      <w:bookmarkStart w:id="6" w:name="OLE_LINK7"/>
      <w:bookmarkStart w:id="7" w:name="OLE_LINK8"/>
      <w:bookmarkEnd w:id="2"/>
      <w:bookmarkEnd w:id="3"/>
      <w:r w:rsidR="00E234ED" w:rsidRPr="001B2300">
        <w:rPr>
          <w:color w:val="000000"/>
          <w:sz w:val="28"/>
          <w:szCs w:val="28"/>
        </w:rPr>
        <w:t>Grozījum</w:t>
      </w:r>
      <w:r w:rsidR="00531A63" w:rsidRPr="001B2300">
        <w:rPr>
          <w:color w:val="000000"/>
          <w:sz w:val="28"/>
          <w:szCs w:val="28"/>
        </w:rPr>
        <w:t>i</w:t>
      </w:r>
      <w:r w:rsidR="00E234ED" w:rsidRPr="001B2300">
        <w:rPr>
          <w:color w:val="000000"/>
          <w:sz w:val="28"/>
          <w:szCs w:val="28"/>
        </w:rPr>
        <w:t xml:space="preserve"> Ministru kabineta 2011.gada 1.novembra noteikumos Nr.850 „Nacionālā v</w:t>
      </w:r>
      <w:r w:rsidR="00E234ED" w:rsidRPr="001B2300">
        <w:rPr>
          <w:bCs/>
          <w:sz w:val="28"/>
          <w:szCs w:val="28"/>
        </w:rPr>
        <w:t>eselības dienesta nolikums</w:t>
      </w:r>
      <w:r w:rsidR="00E234ED" w:rsidRPr="001B2300">
        <w:rPr>
          <w:color w:val="000000"/>
          <w:sz w:val="28"/>
          <w:szCs w:val="28"/>
        </w:rPr>
        <w:t>”</w:t>
      </w:r>
      <w:bookmarkEnd w:id="4"/>
      <w:bookmarkEnd w:id="5"/>
      <w:bookmarkEnd w:id="6"/>
      <w:bookmarkEnd w:id="7"/>
      <w:r w:rsidRPr="001B2300">
        <w:rPr>
          <w:color w:val="000000"/>
          <w:sz w:val="28"/>
          <w:szCs w:val="28"/>
        </w:rPr>
        <w:t>”</w:t>
      </w:r>
    </w:p>
    <w:p w:rsidR="000B76E3" w:rsidRPr="001B2300" w:rsidRDefault="000B76E3" w:rsidP="000B76E3">
      <w:pPr>
        <w:jc w:val="center"/>
        <w:rPr>
          <w:b/>
          <w:bCs/>
          <w:color w:val="000000"/>
          <w:sz w:val="28"/>
          <w:szCs w:val="28"/>
        </w:rPr>
      </w:pPr>
      <w:r w:rsidRPr="001B2300">
        <w:rPr>
          <w:bCs/>
          <w:color w:val="000000"/>
          <w:sz w:val="28"/>
          <w:szCs w:val="28"/>
        </w:rPr>
        <w:t>sākotnējās ietekmes novērtējuma ziņojums</w:t>
      </w:r>
    </w:p>
    <w:p w:rsidR="000B76E3" w:rsidRPr="001B2300" w:rsidRDefault="000B76E3" w:rsidP="000B76E3">
      <w:pPr>
        <w:jc w:val="center"/>
        <w:rPr>
          <w:bCs/>
          <w:color w:val="000000"/>
          <w:sz w:val="28"/>
          <w:szCs w:val="28"/>
        </w:rPr>
      </w:pPr>
      <w:r w:rsidRPr="001B2300">
        <w:rPr>
          <w:bCs/>
          <w:color w:val="000000"/>
          <w:sz w:val="28"/>
          <w:szCs w:val="28"/>
        </w:rPr>
        <w:t>(anotācija)</w:t>
      </w:r>
      <w:bookmarkEnd w:id="0"/>
      <w:bookmarkEnd w:id="1"/>
    </w:p>
    <w:p w:rsidR="0038044A" w:rsidRPr="001B2300" w:rsidRDefault="0038044A" w:rsidP="000B76E3">
      <w:pPr>
        <w:jc w:val="center"/>
        <w:rPr>
          <w:bCs/>
          <w:color w:val="000000"/>
          <w:sz w:val="28"/>
          <w:szCs w:val="28"/>
        </w:rPr>
      </w:pPr>
    </w:p>
    <w:tbl>
      <w:tblPr>
        <w:tblpPr w:leftFromText="180" w:rightFromText="180" w:vertAnchor="text" w:horzAnchor="margin" w:tblpXSpec="center" w:tblpY="149"/>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50"/>
        <w:gridCol w:w="2739"/>
        <w:gridCol w:w="6095"/>
      </w:tblGrid>
      <w:tr w:rsidR="000B76E3" w:rsidRPr="001B2300" w:rsidTr="007062CF">
        <w:tc>
          <w:tcPr>
            <w:tcW w:w="9384" w:type="dxa"/>
            <w:gridSpan w:val="3"/>
            <w:vAlign w:val="center"/>
          </w:tcPr>
          <w:p w:rsidR="000B76E3" w:rsidRPr="001B2300" w:rsidRDefault="000B76E3" w:rsidP="005A03EE">
            <w:pPr>
              <w:pStyle w:val="naisnod"/>
              <w:spacing w:before="0" w:after="0"/>
              <w:rPr>
                <w:color w:val="000000"/>
              </w:rPr>
            </w:pPr>
            <w:r w:rsidRPr="001B2300">
              <w:rPr>
                <w:color w:val="000000"/>
              </w:rPr>
              <w:t>I. Tiesību akta projekta izstrādes nepieciešamība</w:t>
            </w:r>
          </w:p>
        </w:tc>
      </w:tr>
      <w:tr w:rsidR="000B76E3" w:rsidRPr="001B2300" w:rsidTr="007062CF">
        <w:trPr>
          <w:trHeight w:val="630"/>
        </w:trPr>
        <w:tc>
          <w:tcPr>
            <w:tcW w:w="550" w:type="dxa"/>
          </w:tcPr>
          <w:p w:rsidR="000B76E3" w:rsidRPr="001B2300" w:rsidRDefault="000B76E3" w:rsidP="005A03EE">
            <w:pPr>
              <w:pStyle w:val="naiskr"/>
              <w:spacing w:before="0" w:after="0"/>
              <w:rPr>
                <w:color w:val="000000"/>
                <w:sz w:val="22"/>
                <w:szCs w:val="22"/>
              </w:rPr>
            </w:pPr>
            <w:r w:rsidRPr="001B2300">
              <w:rPr>
                <w:color w:val="000000"/>
                <w:sz w:val="22"/>
                <w:szCs w:val="22"/>
              </w:rPr>
              <w:t>1.</w:t>
            </w:r>
          </w:p>
        </w:tc>
        <w:tc>
          <w:tcPr>
            <w:tcW w:w="2739" w:type="dxa"/>
          </w:tcPr>
          <w:p w:rsidR="000B76E3" w:rsidRPr="001B2300" w:rsidRDefault="000B76E3" w:rsidP="005A03EE">
            <w:pPr>
              <w:pStyle w:val="naiskr"/>
              <w:spacing w:before="0" w:after="0"/>
              <w:ind w:hanging="10"/>
              <w:rPr>
                <w:color w:val="000000"/>
              </w:rPr>
            </w:pPr>
            <w:r w:rsidRPr="001B2300">
              <w:rPr>
                <w:color w:val="000000"/>
              </w:rPr>
              <w:t>Pamatojums</w:t>
            </w:r>
          </w:p>
          <w:p w:rsidR="000B76E3" w:rsidRPr="001B2300" w:rsidRDefault="000B76E3" w:rsidP="005A03EE">
            <w:pPr>
              <w:pStyle w:val="naiskr"/>
              <w:spacing w:before="0" w:after="0"/>
              <w:ind w:hanging="10"/>
              <w:rPr>
                <w:color w:val="000000"/>
              </w:rPr>
            </w:pPr>
          </w:p>
          <w:p w:rsidR="000B76E3" w:rsidRPr="001B2300" w:rsidRDefault="000B76E3" w:rsidP="005A03EE">
            <w:pPr>
              <w:pStyle w:val="NoSpacing"/>
              <w:jc w:val="both"/>
              <w:rPr>
                <w:color w:val="000000"/>
              </w:rPr>
            </w:pPr>
          </w:p>
        </w:tc>
        <w:tc>
          <w:tcPr>
            <w:tcW w:w="6095" w:type="dxa"/>
          </w:tcPr>
          <w:p w:rsidR="00614C6E" w:rsidRPr="001B2300" w:rsidRDefault="00614C6E" w:rsidP="00937AC7">
            <w:pPr>
              <w:jc w:val="both"/>
            </w:pPr>
            <w:r w:rsidRPr="001B2300">
              <w:t xml:space="preserve">Ministru kabineta noteikumu projekts </w:t>
            </w:r>
            <w:r w:rsidR="00531A63" w:rsidRPr="001B2300">
              <w:rPr>
                <w:color w:val="000000"/>
              </w:rPr>
              <w:t>„Grozījumi Ministru kabineta 2011.gada 1.novembra noteikumos Nr.850 „Nacionālā v</w:t>
            </w:r>
            <w:r w:rsidR="00531A63" w:rsidRPr="001B2300">
              <w:rPr>
                <w:bCs/>
              </w:rPr>
              <w:t>eselības dienesta nolikums</w:t>
            </w:r>
            <w:r w:rsidR="00531A63" w:rsidRPr="001B2300">
              <w:rPr>
                <w:color w:val="000000"/>
              </w:rPr>
              <w:t>””</w:t>
            </w:r>
            <w:r w:rsidRPr="001B2300">
              <w:t xml:space="preserve"> (turpmāk – noteikumu projekts) izstrādāts saskaņā ar Ministru kabineta 2012.gada 23.februāra rīkojuma Nr.101 „Par Slimību profilakses un kontroles centra izveidošanu un Veselības ministrijas </w:t>
            </w:r>
            <w:r w:rsidR="009855ED" w:rsidRPr="001B2300">
              <w:t xml:space="preserve"> un Zemkopības ministrijas </w:t>
            </w:r>
            <w:r w:rsidRPr="001B2300">
              <w:t>padotībā esošo valsts pārvaldes iestāžu reorganizāciju” (turpmāk – MK rīkojums) 1.</w:t>
            </w:r>
            <w:r w:rsidR="00130D74" w:rsidRPr="001B2300">
              <w:t>, 5. un 17.punktu un 14.2.apakšpunktu</w:t>
            </w:r>
            <w:r w:rsidRPr="001B2300">
              <w:t>.</w:t>
            </w:r>
          </w:p>
          <w:p w:rsidR="00A30D1D" w:rsidRPr="001B2300" w:rsidRDefault="00A30D1D" w:rsidP="00614C6E">
            <w:pPr>
              <w:jc w:val="both"/>
            </w:pPr>
          </w:p>
        </w:tc>
      </w:tr>
      <w:tr w:rsidR="000B76E3" w:rsidRPr="001B2300" w:rsidTr="007062CF">
        <w:trPr>
          <w:trHeight w:val="472"/>
        </w:trPr>
        <w:tc>
          <w:tcPr>
            <w:tcW w:w="550" w:type="dxa"/>
          </w:tcPr>
          <w:p w:rsidR="000B76E3" w:rsidRPr="001B2300" w:rsidRDefault="000B76E3" w:rsidP="005A03EE">
            <w:pPr>
              <w:pStyle w:val="naiskr"/>
              <w:spacing w:before="0" w:after="0"/>
              <w:rPr>
                <w:color w:val="000000"/>
                <w:sz w:val="22"/>
                <w:szCs w:val="22"/>
              </w:rPr>
            </w:pPr>
            <w:r w:rsidRPr="001B2300">
              <w:rPr>
                <w:color w:val="000000"/>
                <w:sz w:val="22"/>
                <w:szCs w:val="22"/>
              </w:rPr>
              <w:t>2.</w:t>
            </w:r>
          </w:p>
        </w:tc>
        <w:tc>
          <w:tcPr>
            <w:tcW w:w="2739" w:type="dxa"/>
          </w:tcPr>
          <w:p w:rsidR="000B76E3" w:rsidRPr="001B2300" w:rsidRDefault="000B76E3" w:rsidP="005A03EE">
            <w:pPr>
              <w:pStyle w:val="naiskr"/>
              <w:tabs>
                <w:tab w:val="left" w:pos="170"/>
              </w:tabs>
              <w:spacing w:before="0" w:after="0"/>
              <w:rPr>
                <w:color w:val="000000"/>
                <w:sz w:val="22"/>
                <w:szCs w:val="22"/>
              </w:rPr>
            </w:pPr>
            <w:r w:rsidRPr="001B2300">
              <w:rPr>
                <w:color w:val="000000"/>
                <w:sz w:val="22"/>
                <w:szCs w:val="22"/>
              </w:rPr>
              <w:t>Pašreizējā situācija un problēmas</w:t>
            </w:r>
          </w:p>
        </w:tc>
        <w:tc>
          <w:tcPr>
            <w:tcW w:w="6095" w:type="dxa"/>
            <w:shd w:val="clear" w:color="auto" w:fill="auto"/>
          </w:tcPr>
          <w:p w:rsidR="00614C6E" w:rsidRPr="001B2300" w:rsidRDefault="00531A63" w:rsidP="00614C6E">
            <w:pPr>
              <w:jc w:val="both"/>
            </w:pPr>
            <w:r w:rsidRPr="001B2300">
              <w:rPr>
                <w:color w:val="000000"/>
              </w:rPr>
              <w:t>Ministru kabineta 2011.gada 1.novembra noteikumu Nr.850 „Nacionālā v</w:t>
            </w:r>
            <w:r w:rsidRPr="001B2300">
              <w:rPr>
                <w:bCs/>
              </w:rPr>
              <w:t>eselības dienesta nolikums</w:t>
            </w:r>
            <w:r w:rsidRPr="001B2300">
              <w:rPr>
                <w:color w:val="000000"/>
              </w:rPr>
              <w:t>”</w:t>
            </w:r>
            <w:r w:rsidR="00614C6E" w:rsidRPr="001B2300">
              <w:t xml:space="preserve"> (turpmāk – MK noteikumi</w:t>
            </w:r>
            <w:r w:rsidR="00923959" w:rsidRPr="001B2300">
              <w:t xml:space="preserve">  Nr. 850</w:t>
            </w:r>
            <w:r w:rsidR="00614C6E" w:rsidRPr="001B2300">
              <w:t xml:space="preserve">) </w:t>
            </w:r>
            <w:r w:rsidR="0038044A" w:rsidRPr="001B2300">
              <w:t>3.punkts nosaka Nacionālā veselības dienesta funkcijas</w:t>
            </w:r>
            <w:r w:rsidR="00531CBE" w:rsidRPr="001B2300">
              <w:t xml:space="preserve"> (turpmāk – NVD)</w:t>
            </w:r>
            <w:r w:rsidR="00614C6E" w:rsidRPr="001B2300">
              <w:t xml:space="preserve">. </w:t>
            </w:r>
          </w:p>
          <w:p w:rsidR="00531A63" w:rsidRPr="001B2300" w:rsidRDefault="00531A63" w:rsidP="00614C6E">
            <w:pPr>
              <w:jc w:val="both"/>
            </w:pPr>
          </w:p>
          <w:p w:rsidR="00614C6E" w:rsidRPr="001B2300" w:rsidRDefault="00531A63" w:rsidP="00614C6E">
            <w:pPr>
              <w:jc w:val="both"/>
              <w:rPr>
                <w:color w:val="000000"/>
              </w:rPr>
            </w:pPr>
            <w:r w:rsidRPr="001B2300">
              <w:t xml:space="preserve">MK rīkojums </w:t>
            </w:r>
            <w:r w:rsidR="00614C6E" w:rsidRPr="001B2300">
              <w:t xml:space="preserve">paredz </w:t>
            </w:r>
            <w:r w:rsidR="00614C6E" w:rsidRPr="001B2300">
              <w:rPr>
                <w:color w:val="000000"/>
              </w:rPr>
              <w:t xml:space="preserve">2012.gada 1.aprīlī izveidot veselības ministra pakļautībā esošu tiešās pārvaldes iestādi „Slimību profilakses un kontroles centrs” (turpmāk - </w:t>
            </w:r>
            <w:r w:rsidR="00531CBE" w:rsidRPr="001B2300">
              <w:rPr>
                <w:color w:val="000000"/>
              </w:rPr>
              <w:t>SPKC</w:t>
            </w:r>
            <w:r w:rsidR="00614C6E" w:rsidRPr="001B2300">
              <w:rPr>
                <w:color w:val="000000"/>
              </w:rPr>
              <w:t xml:space="preserve">) un nodot </w:t>
            </w:r>
            <w:r w:rsidRPr="001B2300">
              <w:rPr>
                <w:color w:val="000000"/>
              </w:rPr>
              <w:t xml:space="preserve">atsevišķus </w:t>
            </w:r>
            <w:r w:rsidR="00374817" w:rsidRPr="001B2300">
              <w:t>NVD</w:t>
            </w:r>
            <w:r w:rsidR="00374817" w:rsidRPr="001B2300">
              <w:rPr>
                <w:color w:val="000000"/>
              </w:rPr>
              <w:t xml:space="preserve"> </w:t>
            </w:r>
            <w:r w:rsidR="00614C6E" w:rsidRPr="001B2300">
              <w:rPr>
                <w:color w:val="000000"/>
              </w:rPr>
              <w:t xml:space="preserve">pārvaldes uzdevumus </w:t>
            </w:r>
            <w:r w:rsidR="00374817" w:rsidRPr="001B2300">
              <w:rPr>
                <w:color w:val="000000"/>
              </w:rPr>
              <w:t>SPKC</w:t>
            </w:r>
            <w:r w:rsidR="00614C6E" w:rsidRPr="001B2300">
              <w:rPr>
                <w:color w:val="000000"/>
              </w:rPr>
              <w:t>.</w:t>
            </w:r>
          </w:p>
          <w:p w:rsidR="00614C6E" w:rsidRPr="001B2300" w:rsidRDefault="00614C6E" w:rsidP="00614C6E">
            <w:pPr>
              <w:jc w:val="both"/>
              <w:rPr>
                <w:color w:val="000000"/>
              </w:rPr>
            </w:pPr>
          </w:p>
          <w:p w:rsidR="00614C6E" w:rsidRPr="001B2300" w:rsidRDefault="00614C6E" w:rsidP="00614C6E">
            <w:pPr>
              <w:widowControl w:val="0"/>
              <w:autoSpaceDE w:val="0"/>
              <w:autoSpaceDN w:val="0"/>
              <w:adjustRightInd w:val="0"/>
              <w:jc w:val="both"/>
              <w:rPr>
                <w:color w:val="000000"/>
              </w:rPr>
            </w:pPr>
            <w:r w:rsidRPr="001B2300">
              <w:t xml:space="preserve">Saskaņā ar MK rīkojuma </w:t>
            </w:r>
            <w:r w:rsidR="00130D74" w:rsidRPr="001B2300">
              <w:t>5</w:t>
            </w:r>
            <w:r w:rsidR="00531A63" w:rsidRPr="001B2300">
              <w:t>.</w:t>
            </w:r>
            <w:r w:rsidRPr="001B2300">
              <w:t xml:space="preserve">punktu </w:t>
            </w:r>
            <w:r w:rsidR="00531CBE" w:rsidRPr="001B2300">
              <w:rPr>
                <w:color w:val="000000"/>
              </w:rPr>
              <w:t>SPKC</w:t>
            </w:r>
            <w:r w:rsidRPr="001B2300">
              <w:t xml:space="preserve"> pārņem </w:t>
            </w:r>
            <w:r w:rsidR="00531CBE" w:rsidRPr="001B2300">
              <w:t>NVD</w:t>
            </w:r>
            <w:r w:rsidRPr="001B2300">
              <w:t xml:space="preserve"> </w:t>
            </w:r>
            <w:r w:rsidR="00B943F2" w:rsidRPr="001B2300">
              <w:t>pārvaldes uzdevumus</w:t>
            </w:r>
            <w:r w:rsidRPr="001B2300">
              <w:t xml:space="preserve"> šādā</w:t>
            </w:r>
            <w:r w:rsidR="0038044A" w:rsidRPr="001B2300">
              <w:t>s</w:t>
            </w:r>
            <w:r w:rsidRPr="001B2300">
              <w:t xml:space="preserve"> jomā</w:t>
            </w:r>
            <w:r w:rsidR="0038044A" w:rsidRPr="001B2300">
              <w:t>s</w:t>
            </w:r>
            <w:r w:rsidRPr="001B2300">
              <w:t>:</w:t>
            </w:r>
            <w:r w:rsidRPr="001B2300">
              <w:rPr>
                <w:color w:val="000000"/>
              </w:rPr>
              <w:t xml:space="preserve"> </w:t>
            </w:r>
          </w:p>
          <w:p w:rsidR="0038044A" w:rsidRPr="001B2300" w:rsidRDefault="0038044A" w:rsidP="0038044A">
            <w:pPr>
              <w:pStyle w:val="ListParagraph"/>
              <w:numPr>
                <w:ilvl w:val="0"/>
                <w:numId w:val="28"/>
              </w:numPr>
              <w:spacing w:after="0" w:line="240" w:lineRule="auto"/>
              <w:ind w:left="357" w:hanging="357"/>
              <w:jc w:val="both"/>
              <w:rPr>
                <w:rFonts w:ascii="Times New Roman" w:hAnsi="Times New Roman"/>
                <w:sz w:val="24"/>
                <w:szCs w:val="24"/>
                <w:lang w:val="lv-LV"/>
              </w:rPr>
            </w:pPr>
            <w:r w:rsidRPr="001B2300">
              <w:rPr>
                <w:rFonts w:ascii="Times New Roman" w:hAnsi="Times New Roman"/>
                <w:sz w:val="24"/>
                <w:szCs w:val="24"/>
                <w:lang w:val="lv-LV"/>
              </w:rPr>
              <w:t>uz zinātniskiem pierādījumiem balstītu priekšlikumu izstrādāšana veselības aprūpes un sabiedrības veselības politikas veidošanai un priekšlikumu sniegšana par tās prioritātēm;</w:t>
            </w:r>
          </w:p>
          <w:p w:rsidR="0038044A" w:rsidRPr="001B2300" w:rsidRDefault="0038044A" w:rsidP="0038044A">
            <w:pPr>
              <w:pStyle w:val="ListParagraph"/>
              <w:numPr>
                <w:ilvl w:val="0"/>
                <w:numId w:val="28"/>
              </w:numPr>
              <w:spacing w:after="0" w:line="240" w:lineRule="auto"/>
              <w:ind w:left="357" w:hanging="357"/>
              <w:jc w:val="both"/>
              <w:rPr>
                <w:rFonts w:ascii="Times New Roman" w:hAnsi="Times New Roman"/>
                <w:sz w:val="24"/>
                <w:szCs w:val="24"/>
                <w:lang w:val="lv-LV"/>
              </w:rPr>
            </w:pPr>
            <w:r w:rsidRPr="001B2300">
              <w:rPr>
                <w:rFonts w:ascii="Times New Roman" w:hAnsi="Times New Roman"/>
                <w:sz w:val="24"/>
                <w:szCs w:val="24"/>
                <w:lang w:val="lv-LV"/>
              </w:rPr>
              <w:t>sabiedrības veselības un veselības aprūpes statistikas informācijas iegūšana, apkopošana, apstrādāšana un analizēšana;</w:t>
            </w:r>
          </w:p>
          <w:p w:rsidR="0038044A" w:rsidRPr="001B2300" w:rsidRDefault="0038044A" w:rsidP="0038044A">
            <w:pPr>
              <w:pStyle w:val="ListParagraph"/>
              <w:numPr>
                <w:ilvl w:val="0"/>
                <w:numId w:val="28"/>
              </w:numPr>
              <w:spacing w:after="0" w:line="240" w:lineRule="auto"/>
              <w:ind w:left="357" w:hanging="357"/>
              <w:jc w:val="both"/>
              <w:rPr>
                <w:rFonts w:ascii="Times New Roman" w:hAnsi="Times New Roman"/>
                <w:sz w:val="24"/>
                <w:szCs w:val="24"/>
                <w:lang w:val="lv-LV"/>
              </w:rPr>
            </w:pPr>
            <w:r w:rsidRPr="001B2300">
              <w:rPr>
                <w:rFonts w:ascii="Times New Roman" w:hAnsi="Times New Roman"/>
                <w:sz w:val="24"/>
                <w:szCs w:val="24"/>
                <w:lang w:val="lv-LV"/>
              </w:rPr>
              <w:t>sabiedrības veselības monitoringa veikšana;</w:t>
            </w:r>
          </w:p>
          <w:p w:rsidR="0038044A" w:rsidRPr="001B2300" w:rsidRDefault="0038044A" w:rsidP="0038044A">
            <w:pPr>
              <w:pStyle w:val="ListParagraph"/>
              <w:numPr>
                <w:ilvl w:val="0"/>
                <w:numId w:val="28"/>
              </w:numPr>
              <w:spacing w:after="0" w:line="240" w:lineRule="auto"/>
              <w:ind w:left="357" w:hanging="357"/>
              <w:jc w:val="both"/>
              <w:rPr>
                <w:rFonts w:ascii="Times New Roman" w:hAnsi="Times New Roman"/>
                <w:sz w:val="24"/>
                <w:szCs w:val="24"/>
                <w:lang w:val="lv-LV"/>
              </w:rPr>
            </w:pPr>
            <w:r w:rsidRPr="001B2300">
              <w:rPr>
                <w:rFonts w:ascii="Times New Roman" w:hAnsi="Times New Roman"/>
                <w:sz w:val="24"/>
                <w:szCs w:val="24"/>
                <w:lang w:val="lv-LV"/>
              </w:rPr>
              <w:t>Eiropas Narkotiku un narkomānijas uzraudzības centra nacionālā koordinācijas punkta un nacionālā references centra funkciju veikšana atbilstoši Eiropas Parlamenta un Padomes 2006.gada 12.decembra Regulai (EK) Nr. 1920/2006 par Eiropas Narkotiku un narkomānijas uzraudzības centru;</w:t>
            </w:r>
          </w:p>
          <w:p w:rsidR="0038044A" w:rsidRPr="001B2300" w:rsidRDefault="0038044A" w:rsidP="0038044A">
            <w:pPr>
              <w:pStyle w:val="ListParagraph"/>
              <w:numPr>
                <w:ilvl w:val="0"/>
                <w:numId w:val="28"/>
              </w:numPr>
              <w:spacing w:after="0" w:line="240" w:lineRule="auto"/>
              <w:ind w:left="357" w:hanging="357"/>
              <w:jc w:val="both"/>
              <w:rPr>
                <w:rFonts w:ascii="Times New Roman" w:hAnsi="Times New Roman"/>
                <w:sz w:val="24"/>
                <w:szCs w:val="24"/>
                <w:lang w:val="lv-LV"/>
              </w:rPr>
            </w:pPr>
            <w:r w:rsidRPr="001B2300">
              <w:rPr>
                <w:rFonts w:ascii="Times New Roman" w:hAnsi="Times New Roman"/>
                <w:sz w:val="24"/>
                <w:szCs w:val="24"/>
                <w:lang w:val="lv-LV"/>
              </w:rPr>
              <w:t>agrīnās brīdināšanas sistēmas par jaunām psihoaktīvām vielām nodrošināšana atbilstoši Padomes 2005.gada 10.maija Lēmumam 2005/387/TI par informācijas apmaiņu, riska novērtējumu un kontroli attiecībā uz jaunām psihoaktīvām vielām;</w:t>
            </w:r>
          </w:p>
          <w:p w:rsidR="0038044A" w:rsidRPr="001B2300" w:rsidRDefault="0038044A" w:rsidP="0038044A">
            <w:pPr>
              <w:pStyle w:val="ListParagraph"/>
              <w:numPr>
                <w:ilvl w:val="0"/>
                <w:numId w:val="28"/>
              </w:numPr>
              <w:spacing w:after="0" w:line="240" w:lineRule="auto"/>
              <w:ind w:left="357" w:hanging="357"/>
              <w:jc w:val="both"/>
              <w:rPr>
                <w:rFonts w:ascii="Times New Roman" w:hAnsi="Times New Roman"/>
                <w:sz w:val="24"/>
                <w:szCs w:val="24"/>
                <w:lang w:val="lv-LV"/>
              </w:rPr>
            </w:pPr>
            <w:r w:rsidRPr="001B2300">
              <w:rPr>
                <w:rFonts w:ascii="Times New Roman" w:hAnsi="Times New Roman"/>
                <w:sz w:val="24"/>
                <w:szCs w:val="24"/>
                <w:lang w:val="lv-LV"/>
              </w:rPr>
              <w:lastRenderedPageBreak/>
              <w:t>iedzīvotāju genoma valsts reģistra darbības nodrošināšana.</w:t>
            </w:r>
          </w:p>
          <w:p w:rsidR="0038044A" w:rsidRPr="001B2300" w:rsidRDefault="0038044A" w:rsidP="00614C6E">
            <w:pPr>
              <w:widowControl w:val="0"/>
              <w:autoSpaceDE w:val="0"/>
              <w:autoSpaceDN w:val="0"/>
              <w:adjustRightInd w:val="0"/>
              <w:jc w:val="both"/>
              <w:rPr>
                <w:color w:val="000000"/>
              </w:rPr>
            </w:pPr>
          </w:p>
          <w:p w:rsidR="00614C6E" w:rsidRPr="001B2300" w:rsidRDefault="00614C6E" w:rsidP="00614C6E">
            <w:pPr>
              <w:widowControl w:val="0"/>
              <w:autoSpaceDE w:val="0"/>
              <w:autoSpaceDN w:val="0"/>
              <w:adjustRightInd w:val="0"/>
              <w:jc w:val="both"/>
              <w:rPr>
                <w:color w:val="FF0000"/>
              </w:rPr>
            </w:pPr>
            <w:r w:rsidRPr="001B2300">
              <w:t>Līdz ar to nepieciešams veikt grozījumus MK noteikumos</w:t>
            </w:r>
            <w:r w:rsidR="00923959" w:rsidRPr="001B2300">
              <w:t xml:space="preserve">  Nr. 850</w:t>
            </w:r>
            <w:r w:rsidRPr="001B2300">
              <w:t xml:space="preserve">, </w:t>
            </w:r>
            <w:r w:rsidR="0038044A" w:rsidRPr="001B2300">
              <w:t xml:space="preserve">svītrojot no </w:t>
            </w:r>
            <w:r w:rsidR="00531CBE" w:rsidRPr="001B2300">
              <w:t>NVD</w:t>
            </w:r>
            <w:r w:rsidR="0038044A" w:rsidRPr="001B2300">
              <w:t xml:space="preserve"> nolikuma tos punktus, kuros minētās funkcijas </w:t>
            </w:r>
            <w:r w:rsidR="00165C4C" w:rsidRPr="001B2300">
              <w:t xml:space="preserve">un no tām izrietošos uzdevumus </w:t>
            </w:r>
            <w:r w:rsidR="0038044A" w:rsidRPr="001B2300">
              <w:t xml:space="preserve">turpmāk veiks </w:t>
            </w:r>
            <w:r w:rsidRPr="001B2300">
              <w:t xml:space="preserve"> </w:t>
            </w:r>
            <w:r w:rsidR="00531CBE" w:rsidRPr="001B2300">
              <w:rPr>
                <w:color w:val="000000"/>
              </w:rPr>
              <w:t>SPKC</w:t>
            </w:r>
            <w:r w:rsidR="0038044A" w:rsidRPr="001B2300">
              <w:rPr>
                <w:color w:val="000000"/>
              </w:rPr>
              <w:t>.</w:t>
            </w:r>
          </w:p>
          <w:p w:rsidR="0060717F" w:rsidRPr="001B2300" w:rsidRDefault="0060717F" w:rsidP="00825DB5">
            <w:pPr>
              <w:jc w:val="both"/>
              <w:rPr>
                <w:color w:val="000000"/>
              </w:rPr>
            </w:pPr>
          </w:p>
        </w:tc>
      </w:tr>
      <w:tr w:rsidR="000B76E3" w:rsidRPr="001B2300" w:rsidTr="007062CF">
        <w:trPr>
          <w:trHeight w:val="648"/>
        </w:trPr>
        <w:tc>
          <w:tcPr>
            <w:tcW w:w="550" w:type="dxa"/>
          </w:tcPr>
          <w:p w:rsidR="000B76E3" w:rsidRPr="001B2300" w:rsidRDefault="000B76E3" w:rsidP="005A03EE">
            <w:pPr>
              <w:pStyle w:val="naiskr"/>
              <w:spacing w:before="0" w:after="0"/>
              <w:rPr>
                <w:color w:val="000000"/>
                <w:sz w:val="22"/>
                <w:szCs w:val="22"/>
              </w:rPr>
            </w:pPr>
            <w:r w:rsidRPr="001B2300">
              <w:rPr>
                <w:color w:val="000000"/>
                <w:sz w:val="22"/>
                <w:szCs w:val="22"/>
              </w:rPr>
              <w:lastRenderedPageBreak/>
              <w:t>3.</w:t>
            </w:r>
          </w:p>
        </w:tc>
        <w:tc>
          <w:tcPr>
            <w:tcW w:w="2739" w:type="dxa"/>
          </w:tcPr>
          <w:p w:rsidR="000B76E3" w:rsidRPr="001B2300" w:rsidRDefault="000B76E3" w:rsidP="005A03EE">
            <w:pPr>
              <w:pStyle w:val="naiskr"/>
              <w:spacing w:before="0" w:after="0"/>
              <w:rPr>
                <w:color w:val="000000"/>
                <w:sz w:val="22"/>
                <w:szCs w:val="22"/>
              </w:rPr>
            </w:pPr>
            <w:r w:rsidRPr="001B2300">
              <w:rPr>
                <w:color w:val="000000"/>
                <w:sz w:val="22"/>
                <w:szCs w:val="22"/>
              </w:rPr>
              <w:t>Saistītie politikas ietekmes novērtējumi un pētījumi</w:t>
            </w:r>
          </w:p>
        </w:tc>
        <w:tc>
          <w:tcPr>
            <w:tcW w:w="6095" w:type="dxa"/>
            <w:vAlign w:val="center"/>
          </w:tcPr>
          <w:p w:rsidR="000B76E3" w:rsidRPr="001B2300" w:rsidRDefault="0038044A" w:rsidP="003B2FD5">
            <w:pPr>
              <w:pStyle w:val="FootnoteText"/>
              <w:spacing w:before="100" w:beforeAutospacing="1" w:after="100" w:afterAutospacing="1"/>
              <w:rPr>
                <w:color w:val="000000"/>
                <w:sz w:val="24"/>
                <w:szCs w:val="24"/>
              </w:rPr>
            </w:pPr>
            <w:r w:rsidRPr="001B2300">
              <w:rPr>
                <w:color w:val="000000"/>
                <w:sz w:val="24"/>
                <w:szCs w:val="24"/>
              </w:rPr>
              <w:t>N</w:t>
            </w:r>
            <w:r w:rsidR="004C2675" w:rsidRPr="001B2300">
              <w:rPr>
                <w:color w:val="000000"/>
                <w:sz w:val="24"/>
                <w:szCs w:val="24"/>
              </w:rPr>
              <w:t>oteikumu</w:t>
            </w:r>
            <w:r w:rsidR="000B76E3" w:rsidRPr="001B2300">
              <w:rPr>
                <w:color w:val="000000"/>
                <w:sz w:val="24"/>
                <w:szCs w:val="24"/>
              </w:rPr>
              <w:t xml:space="preserve"> projekts šo jomu neskar</w:t>
            </w:r>
          </w:p>
        </w:tc>
      </w:tr>
      <w:tr w:rsidR="000B76E3" w:rsidRPr="001B2300" w:rsidTr="007062CF">
        <w:trPr>
          <w:trHeight w:val="384"/>
        </w:trPr>
        <w:tc>
          <w:tcPr>
            <w:tcW w:w="550" w:type="dxa"/>
          </w:tcPr>
          <w:p w:rsidR="000B76E3" w:rsidRPr="001B2300" w:rsidRDefault="000B76E3" w:rsidP="005A03EE">
            <w:pPr>
              <w:pStyle w:val="naiskr"/>
              <w:spacing w:before="0" w:after="0"/>
              <w:rPr>
                <w:color w:val="000000"/>
                <w:sz w:val="22"/>
                <w:szCs w:val="22"/>
              </w:rPr>
            </w:pPr>
            <w:r w:rsidRPr="001B2300">
              <w:rPr>
                <w:color w:val="000000"/>
                <w:sz w:val="22"/>
                <w:szCs w:val="22"/>
              </w:rPr>
              <w:t>4.</w:t>
            </w:r>
          </w:p>
        </w:tc>
        <w:tc>
          <w:tcPr>
            <w:tcW w:w="2739" w:type="dxa"/>
          </w:tcPr>
          <w:p w:rsidR="000B76E3" w:rsidRPr="001B2300" w:rsidRDefault="000B76E3" w:rsidP="005A03EE">
            <w:pPr>
              <w:pStyle w:val="naiskr"/>
              <w:spacing w:before="0" w:after="0"/>
              <w:rPr>
                <w:color w:val="000000"/>
              </w:rPr>
            </w:pPr>
            <w:r w:rsidRPr="001B2300">
              <w:rPr>
                <w:color w:val="000000"/>
              </w:rPr>
              <w:t>Tiesiskā regulējuma mērķis un būtība</w:t>
            </w:r>
          </w:p>
        </w:tc>
        <w:tc>
          <w:tcPr>
            <w:tcW w:w="6095" w:type="dxa"/>
          </w:tcPr>
          <w:p w:rsidR="0038044A" w:rsidRPr="001B2300" w:rsidRDefault="0038044A" w:rsidP="0038044A">
            <w:pPr>
              <w:jc w:val="both"/>
              <w:rPr>
                <w:color w:val="000000"/>
              </w:rPr>
            </w:pPr>
            <w:r w:rsidRPr="001B2300">
              <w:t>Noteikumu projekts paredz veikt grozījumus MK noteikumos</w:t>
            </w:r>
            <w:r w:rsidR="00923959" w:rsidRPr="001B2300">
              <w:t xml:space="preserve">  Nr. 850</w:t>
            </w:r>
            <w:r w:rsidRPr="001B2300">
              <w:t xml:space="preserve">, svītrojot no </w:t>
            </w:r>
            <w:r w:rsidR="00531CBE" w:rsidRPr="001B2300">
              <w:t>NVD</w:t>
            </w:r>
            <w:r w:rsidRPr="001B2300">
              <w:t xml:space="preserve"> nolikuma tos punktus, kuros minētās funkcijas </w:t>
            </w:r>
            <w:r w:rsidR="00B559D8" w:rsidRPr="001B2300">
              <w:t xml:space="preserve"> un no tām izrietošos uzdevumus </w:t>
            </w:r>
            <w:r w:rsidRPr="001B2300">
              <w:t xml:space="preserve">turpmāk veiks  </w:t>
            </w:r>
            <w:r w:rsidR="00531CBE" w:rsidRPr="001B2300">
              <w:rPr>
                <w:color w:val="000000"/>
              </w:rPr>
              <w:t>SPKC</w:t>
            </w:r>
            <w:r w:rsidRPr="001B2300">
              <w:rPr>
                <w:color w:val="000000"/>
              </w:rPr>
              <w:t>.</w:t>
            </w:r>
          </w:p>
          <w:p w:rsidR="005C54B4" w:rsidRPr="001B2300" w:rsidRDefault="005C54B4" w:rsidP="0038044A">
            <w:pPr>
              <w:jc w:val="both"/>
            </w:pPr>
          </w:p>
          <w:p w:rsidR="00567B91" w:rsidRPr="001B2300" w:rsidRDefault="00923959" w:rsidP="0038044A">
            <w:pPr>
              <w:jc w:val="both"/>
              <w:rPr>
                <w:color w:val="000000"/>
              </w:rPr>
            </w:pPr>
            <w:r w:rsidRPr="001B2300">
              <w:t>Noteikumu projekta 1.5. apakšpunkts paredz svītrot MK noteikumu Nr. 850 4.3.2.5. apakšpunktu, k</w:t>
            </w:r>
            <w:r w:rsidR="005C54B4" w:rsidRPr="001B2300">
              <w:t>as</w:t>
            </w:r>
            <w:r w:rsidRPr="001B2300">
              <w:t xml:space="preserve"> notei</w:t>
            </w:r>
            <w:r w:rsidR="005C54B4" w:rsidRPr="001B2300">
              <w:t>c</w:t>
            </w:r>
            <w:r w:rsidRPr="001B2300">
              <w:t xml:space="preserve">, ka NVD veido, uztur un papildina datu prezentācijas sistēmu. </w:t>
            </w:r>
            <w:r w:rsidRPr="001B2300">
              <w:rPr>
                <w:color w:val="000000"/>
              </w:rPr>
              <w:t>M</w:t>
            </w:r>
            <w:r w:rsidR="00567B91" w:rsidRPr="001B2300">
              <w:rPr>
                <w:color w:val="000000"/>
              </w:rPr>
              <w:t xml:space="preserve">inētā </w:t>
            </w:r>
            <w:r w:rsidR="00567B91" w:rsidRPr="001B2300">
              <w:t xml:space="preserve"> datu prezentācijas sistēma ir </w:t>
            </w:r>
            <w:r w:rsidR="00567B91" w:rsidRPr="001B2300">
              <w:rPr>
                <w:rFonts w:eastAsia="Calibri"/>
                <w:color w:val="000000"/>
                <w:lang w:eastAsia="en-US"/>
              </w:rPr>
              <w:t>Latvijas veselības un vesel</w:t>
            </w:r>
            <w:r w:rsidRPr="001B2300">
              <w:rPr>
                <w:rFonts w:eastAsia="Calibri"/>
                <w:color w:val="000000"/>
                <w:lang w:eastAsia="en-US"/>
              </w:rPr>
              <w:t>ības aprūpes rādītāju datubāze</w:t>
            </w:r>
            <w:r w:rsidR="00567B91" w:rsidRPr="001B2300">
              <w:rPr>
                <w:color w:val="000000"/>
              </w:rPr>
              <w:t xml:space="preserve">. Ņemot vērā, ka MK rīkojuma </w:t>
            </w:r>
            <w:r w:rsidR="00567B91" w:rsidRPr="001B2300">
              <w:t xml:space="preserve">5.2.apakšpunkts paredz no NVD nodot SPKC funkciju </w:t>
            </w:r>
            <w:r w:rsidRPr="001B2300">
              <w:t>–</w:t>
            </w:r>
            <w:r w:rsidR="00567B91" w:rsidRPr="001B2300">
              <w:t xml:space="preserve"> iegūt, apkopot, apstrādāt un analizēt sabiedrības veselības un veselības aprūpes statistikas informāciju, šo uzdevumu </w:t>
            </w:r>
            <w:r w:rsidRPr="001B2300">
              <w:t>–</w:t>
            </w:r>
            <w:r w:rsidR="00567B91" w:rsidRPr="001B2300">
              <w:t xml:space="preserve"> </w:t>
            </w:r>
            <w:r w:rsidR="00567B91" w:rsidRPr="001B2300">
              <w:rPr>
                <w:color w:val="000000"/>
              </w:rPr>
              <w:t xml:space="preserve">veidot, uzturēt un papildināt </w:t>
            </w:r>
            <w:r w:rsidR="00567B91" w:rsidRPr="001B2300">
              <w:t xml:space="preserve">datu prezentācijas sistēmu </w:t>
            </w:r>
            <w:r w:rsidR="006B2785" w:rsidRPr="001B2300">
              <w:t xml:space="preserve">– </w:t>
            </w:r>
            <w:r w:rsidR="00567B91" w:rsidRPr="001B2300">
              <w:t>ir nepieciešams uzticēt SPKC.</w:t>
            </w:r>
            <w:r w:rsidR="002C00F5" w:rsidRPr="001B2300">
              <w:t xml:space="preserve"> Tādēļ ir sagatavots </w:t>
            </w:r>
            <w:r w:rsidR="002C00F5" w:rsidRPr="001B2300">
              <w:rPr>
                <w:color w:val="000000"/>
              </w:rPr>
              <w:t xml:space="preserve"> Ministru kabineta noteikumu  projekts „Slimību profilakses un kontroles centra nolikums”</w:t>
            </w:r>
            <w:r w:rsidR="00967024" w:rsidRPr="001B2300">
              <w:rPr>
                <w:color w:val="000000"/>
              </w:rPr>
              <w:t xml:space="preserve">, iekļaujot punktu, kas paredz, ka </w:t>
            </w:r>
            <w:r w:rsidR="00967024" w:rsidRPr="001B2300">
              <w:t xml:space="preserve"> datu prezentācijas sistēmu </w:t>
            </w:r>
            <w:r w:rsidR="00967024" w:rsidRPr="001B2300">
              <w:rPr>
                <w:color w:val="000000"/>
              </w:rPr>
              <w:t xml:space="preserve"> veidos, uzturēs un papildinās SPKC.</w:t>
            </w:r>
            <w:r w:rsidR="00EA2BE1" w:rsidRPr="001B2300">
              <w:rPr>
                <w:color w:val="000000"/>
              </w:rPr>
              <w:t xml:space="preserve"> Līdz ar to nepieciešams svītrot </w:t>
            </w:r>
            <w:r w:rsidR="00EA2BE1" w:rsidRPr="001B2300">
              <w:t xml:space="preserve"> MK noteikumu Nr. 850 4.3.2.5. apakšpunktu.</w:t>
            </w:r>
          </w:p>
          <w:p w:rsidR="005C54B4" w:rsidRPr="001B2300" w:rsidRDefault="005C54B4" w:rsidP="0038044A">
            <w:pPr>
              <w:jc w:val="both"/>
              <w:rPr>
                <w:color w:val="000000"/>
              </w:rPr>
            </w:pPr>
          </w:p>
          <w:p w:rsidR="005C54B4" w:rsidRPr="001B2300" w:rsidRDefault="005C54B4" w:rsidP="0038044A">
            <w:pPr>
              <w:jc w:val="both"/>
            </w:pPr>
            <w:r w:rsidRPr="001B2300">
              <w:t xml:space="preserve">Saskaņā ar projekta 1.6. apakšpunktu no MK noteikumiem Nr. 850 paredzēts svītrot 4.13. apakšpunktu, kas noteic, ka NVD iegūst, apkopo, apstrādā un analizē datus par veselības aprūpes pakalpojumiem, iedzīvotāju veselības stāvokli, veselības riska faktoriem, sabiedrības veselības problēmām, atkarības slimībām un garīgo veselību. Savukārt MK rīkojuma Nr. 101 5.2. apakšpunkts noteic, ka SPKC tiek  nodots NVD pārvaldes uzdevums </w:t>
            </w:r>
            <w:r w:rsidRPr="001B2300">
              <w:softHyphen/>
              <w:t>– iegūt, apkopot, apstrādāt un analizēt sabiedrības veselības un veselības aprūpes statistikas informāciju</w:t>
            </w:r>
            <w:r w:rsidR="00142A20" w:rsidRPr="001B2300">
              <w:t xml:space="preserve">, kas noteikts  MK noteikumu  Nr. 850 3.18.apakšpunktā. </w:t>
            </w:r>
            <w:r w:rsidR="00D90A99" w:rsidRPr="001B2300">
              <w:t xml:space="preserve"> Ņemot vērā, ka MK noteikumu Nr. 850 4.13. apakšpunktā noteiktais uzdevums izriet no  MK noteikumu  Nr. 850 3.18.apakšpunktā noteiktās funkcijas, </w:t>
            </w:r>
            <w:r w:rsidR="00EA2BE1" w:rsidRPr="001B2300">
              <w:t xml:space="preserve"> šo uzdevumu – iegūt, apkopot, apstrādāt un analizēt datus par veselības aprūpes pakalpojumiem, iedzīvotāju veselības stāvokli, veselības riska faktoriem, sabiedrības veselības problēmām, atkarības slimībām un garīgo veselību – ir nepieciešams uzticēt SPKC.  Tādēļ ir sagatavots </w:t>
            </w:r>
            <w:r w:rsidR="00EA2BE1" w:rsidRPr="001B2300">
              <w:rPr>
                <w:color w:val="000000"/>
              </w:rPr>
              <w:t xml:space="preserve"> Ministru kabineta noteikumu  projekts „Slimību profilakses un kontroles centra nolikums”</w:t>
            </w:r>
            <w:r w:rsidR="00EB414C">
              <w:rPr>
                <w:color w:val="000000"/>
              </w:rPr>
              <w:t xml:space="preserve"> (</w:t>
            </w:r>
            <w:r w:rsidR="00EB414C" w:rsidRPr="008A4C55">
              <w:t>VSS-167, 23.02.2012. Valsts sekretāru sanāksme, prot. Nr. 8 24. §)</w:t>
            </w:r>
            <w:r w:rsidR="00EA2BE1" w:rsidRPr="001B2300">
              <w:rPr>
                <w:color w:val="000000"/>
              </w:rPr>
              <w:t xml:space="preserve">, </w:t>
            </w:r>
            <w:r w:rsidR="00EB414C">
              <w:rPr>
                <w:color w:val="000000"/>
              </w:rPr>
              <w:t xml:space="preserve">precizētajā un </w:t>
            </w:r>
            <w:r w:rsidR="00EB414C">
              <w:rPr>
                <w:color w:val="000000"/>
              </w:rPr>
              <w:lastRenderedPageBreak/>
              <w:t xml:space="preserve">starpministriju saskaņošanai izsūtītajā projektā </w:t>
            </w:r>
            <w:r w:rsidR="00EA2BE1" w:rsidRPr="001B2300">
              <w:rPr>
                <w:color w:val="000000"/>
              </w:rPr>
              <w:t xml:space="preserve">iekļaujot attiecīgus punktus, kas paredz, ka </w:t>
            </w:r>
            <w:r w:rsidR="00EA2BE1" w:rsidRPr="001B2300">
              <w:t>viena no SPKC funkcijām būs iegūt, apkopot, apstrādāt un analizēt sabiedrības veselības un veselības aprūpes statistikas informāciju; un šīs funkcijas izpildei SPKC veiks uzdevumu - iegūs, apkopos, apstrādās un analizēs datus par veselības aprūpes pakalpojumiem, iedzīvotāju veselības stāvokli, infekcijas slimībām, veselības riska faktoriem, sabiedrības veselības problēmām, atkarības slimībām un garīgo veselību.</w:t>
            </w:r>
            <w:r w:rsidR="00374817" w:rsidRPr="001B2300">
              <w:t xml:space="preserve"> </w:t>
            </w:r>
            <w:r w:rsidR="00374817" w:rsidRPr="001B2300">
              <w:rPr>
                <w:color w:val="000000"/>
              </w:rPr>
              <w:t xml:space="preserve"> Līdz ar to nepieciešams svītrot </w:t>
            </w:r>
            <w:r w:rsidR="00374817" w:rsidRPr="001B2300">
              <w:t xml:space="preserve">MK noteikumu Nr. 850 3.18. un 4.13. apakšpunktu.  </w:t>
            </w:r>
          </w:p>
          <w:p w:rsidR="00374817" w:rsidRPr="001B2300" w:rsidRDefault="00374817" w:rsidP="0038044A">
            <w:pPr>
              <w:jc w:val="both"/>
            </w:pPr>
          </w:p>
          <w:p w:rsidR="0038044A" w:rsidRPr="001B2300" w:rsidRDefault="0038044A" w:rsidP="0038044A">
            <w:pPr>
              <w:jc w:val="both"/>
            </w:pPr>
            <w:r w:rsidRPr="001B2300">
              <w:t>Noteikumu projekts atrisinās 2.punktā minētās problēmas.</w:t>
            </w:r>
          </w:p>
          <w:p w:rsidR="00D41270" w:rsidRPr="001B2300" w:rsidRDefault="00D41270" w:rsidP="0038044A">
            <w:pPr>
              <w:pStyle w:val="naiskr"/>
              <w:spacing w:before="0" w:after="0"/>
              <w:jc w:val="both"/>
              <w:rPr>
                <w:color w:val="000000"/>
              </w:rPr>
            </w:pPr>
          </w:p>
        </w:tc>
      </w:tr>
      <w:tr w:rsidR="000B76E3" w:rsidRPr="001B2300" w:rsidTr="007062CF">
        <w:trPr>
          <w:trHeight w:val="476"/>
        </w:trPr>
        <w:tc>
          <w:tcPr>
            <w:tcW w:w="550" w:type="dxa"/>
          </w:tcPr>
          <w:p w:rsidR="000B76E3" w:rsidRPr="001B2300" w:rsidRDefault="000B76E3" w:rsidP="005A03EE">
            <w:pPr>
              <w:pStyle w:val="naiskr"/>
              <w:spacing w:before="0" w:after="0"/>
              <w:rPr>
                <w:color w:val="000000"/>
                <w:sz w:val="22"/>
                <w:szCs w:val="22"/>
              </w:rPr>
            </w:pPr>
            <w:r w:rsidRPr="001B2300">
              <w:rPr>
                <w:color w:val="000000"/>
                <w:sz w:val="22"/>
                <w:szCs w:val="22"/>
              </w:rPr>
              <w:lastRenderedPageBreak/>
              <w:t>5.</w:t>
            </w:r>
          </w:p>
        </w:tc>
        <w:tc>
          <w:tcPr>
            <w:tcW w:w="2739" w:type="dxa"/>
          </w:tcPr>
          <w:p w:rsidR="000B76E3" w:rsidRPr="001B2300" w:rsidRDefault="000B76E3" w:rsidP="005A03EE">
            <w:pPr>
              <w:pStyle w:val="naiskr"/>
              <w:spacing w:before="0" w:after="0"/>
              <w:rPr>
                <w:color w:val="000000"/>
                <w:sz w:val="22"/>
                <w:szCs w:val="22"/>
              </w:rPr>
            </w:pPr>
            <w:r w:rsidRPr="001B2300">
              <w:rPr>
                <w:color w:val="000000"/>
                <w:sz w:val="22"/>
                <w:szCs w:val="22"/>
              </w:rPr>
              <w:t>Projekta izstrādē iesaistītās institūcijas</w:t>
            </w:r>
          </w:p>
        </w:tc>
        <w:tc>
          <w:tcPr>
            <w:tcW w:w="6095" w:type="dxa"/>
          </w:tcPr>
          <w:p w:rsidR="000B76E3" w:rsidRPr="001B2300" w:rsidRDefault="00C33322" w:rsidP="006B456D">
            <w:pPr>
              <w:pStyle w:val="naiskr"/>
              <w:spacing w:before="0" w:after="0"/>
              <w:jc w:val="both"/>
              <w:rPr>
                <w:color w:val="000000"/>
                <w:sz w:val="22"/>
                <w:szCs w:val="22"/>
              </w:rPr>
            </w:pPr>
            <w:r w:rsidRPr="001B2300">
              <w:rPr>
                <w:color w:val="000000"/>
                <w:sz w:val="22"/>
                <w:szCs w:val="22"/>
              </w:rPr>
              <w:t>N</w:t>
            </w:r>
            <w:r w:rsidR="006C0B9D" w:rsidRPr="001B2300">
              <w:rPr>
                <w:color w:val="000000"/>
                <w:sz w:val="22"/>
                <w:szCs w:val="22"/>
              </w:rPr>
              <w:t>oteikumu projekts šo jomu neskar</w:t>
            </w:r>
          </w:p>
        </w:tc>
      </w:tr>
      <w:tr w:rsidR="000B76E3" w:rsidRPr="001B2300" w:rsidTr="007062CF">
        <w:trPr>
          <w:trHeight w:val="719"/>
        </w:trPr>
        <w:tc>
          <w:tcPr>
            <w:tcW w:w="550" w:type="dxa"/>
          </w:tcPr>
          <w:p w:rsidR="000B76E3" w:rsidRPr="001B2300" w:rsidRDefault="000B76E3" w:rsidP="005A03EE">
            <w:pPr>
              <w:pStyle w:val="naiskr"/>
              <w:spacing w:before="0" w:after="0"/>
              <w:rPr>
                <w:color w:val="000000"/>
                <w:sz w:val="22"/>
                <w:szCs w:val="22"/>
              </w:rPr>
            </w:pPr>
            <w:r w:rsidRPr="001B2300">
              <w:rPr>
                <w:color w:val="000000"/>
                <w:sz w:val="22"/>
                <w:szCs w:val="22"/>
              </w:rPr>
              <w:t>6.</w:t>
            </w:r>
          </w:p>
        </w:tc>
        <w:tc>
          <w:tcPr>
            <w:tcW w:w="2739" w:type="dxa"/>
          </w:tcPr>
          <w:p w:rsidR="000B76E3" w:rsidRPr="001B2300" w:rsidRDefault="000B76E3" w:rsidP="005A03EE">
            <w:pPr>
              <w:pStyle w:val="naiskr"/>
              <w:spacing w:before="0" w:after="0"/>
              <w:rPr>
                <w:i/>
                <w:color w:val="000000"/>
                <w:sz w:val="22"/>
                <w:szCs w:val="22"/>
              </w:rPr>
            </w:pPr>
            <w:r w:rsidRPr="001B2300">
              <w:rPr>
                <w:color w:val="000000"/>
                <w:sz w:val="22"/>
                <w:szCs w:val="22"/>
              </w:rPr>
              <w:t>Iemesli, kādēļ netika nodrošināta sabiedrības līdzdalība</w:t>
            </w:r>
          </w:p>
        </w:tc>
        <w:tc>
          <w:tcPr>
            <w:tcW w:w="6095" w:type="dxa"/>
          </w:tcPr>
          <w:p w:rsidR="000B76E3" w:rsidRPr="001B2300" w:rsidRDefault="001C31FD" w:rsidP="00374817">
            <w:pPr>
              <w:pStyle w:val="FootnoteText"/>
              <w:jc w:val="both"/>
              <w:rPr>
                <w:color w:val="000000"/>
                <w:sz w:val="24"/>
                <w:szCs w:val="24"/>
              </w:rPr>
            </w:pPr>
            <w:r w:rsidRPr="001B2300">
              <w:rPr>
                <w:sz w:val="24"/>
                <w:szCs w:val="24"/>
              </w:rPr>
              <w:t xml:space="preserve">Plaša sabiedrības iesaistīšana nebija lietderīga, jo MK noteikumu projekts paredz </w:t>
            </w:r>
            <w:r w:rsidR="00374817" w:rsidRPr="001B2300">
              <w:rPr>
                <w:sz w:val="24"/>
                <w:szCs w:val="24"/>
              </w:rPr>
              <w:t>NVD</w:t>
            </w:r>
            <w:r w:rsidRPr="001B2300">
              <w:rPr>
                <w:sz w:val="24"/>
                <w:szCs w:val="24"/>
              </w:rPr>
              <w:t xml:space="preserve"> darbības jautājumus.</w:t>
            </w:r>
          </w:p>
        </w:tc>
      </w:tr>
      <w:tr w:rsidR="000B76E3" w:rsidRPr="001B2300" w:rsidTr="007062CF">
        <w:tc>
          <w:tcPr>
            <w:tcW w:w="550" w:type="dxa"/>
          </w:tcPr>
          <w:p w:rsidR="000B76E3" w:rsidRPr="001B2300" w:rsidRDefault="000B76E3" w:rsidP="005A03EE">
            <w:pPr>
              <w:pStyle w:val="naiskr"/>
              <w:spacing w:before="0" w:after="0"/>
              <w:rPr>
                <w:color w:val="000000"/>
                <w:sz w:val="22"/>
                <w:szCs w:val="22"/>
              </w:rPr>
            </w:pPr>
            <w:r w:rsidRPr="001B2300">
              <w:rPr>
                <w:color w:val="000000"/>
                <w:sz w:val="22"/>
                <w:szCs w:val="22"/>
              </w:rPr>
              <w:t>7.</w:t>
            </w:r>
          </w:p>
        </w:tc>
        <w:tc>
          <w:tcPr>
            <w:tcW w:w="2739" w:type="dxa"/>
          </w:tcPr>
          <w:p w:rsidR="000B76E3" w:rsidRPr="001B2300" w:rsidRDefault="000B76E3" w:rsidP="005A03EE">
            <w:pPr>
              <w:pStyle w:val="naiskr"/>
              <w:spacing w:before="0" w:after="0"/>
              <w:rPr>
                <w:color w:val="000000"/>
                <w:sz w:val="22"/>
                <w:szCs w:val="22"/>
              </w:rPr>
            </w:pPr>
            <w:r w:rsidRPr="001B2300">
              <w:rPr>
                <w:color w:val="000000"/>
                <w:sz w:val="22"/>
                <w:szCs w:val="22"/>
              </w:rPr>
              <w:t>Cita informācija</w:t>
            </w:r>
          </w:p>
        </w:tc>
        <w:tc>
          <w:tcPr>
            <w:tcW w:w="6095" w:type="dxa"/>
          </w:tcPr>
          <w:p w:rsidR="000B76E3" w:rsidRPr="001B2300" w:rsidRDefault="000B76E3" w:rsidP="005A03EE">
            <w:pPr>
              <w:pStyle w:val="naiskr"/>
              <w:spacing w:before="0" w:after="0"/>
              <w:rPr>
                <w:color w:val="000000"/>
                <w:sz w:val="22"/>
                <w:szCs w:val="22"/>
              </w:rPr>
            </w:pPr>
            <w:r w:rsidRPr="001B2300">
              <w:rPr>
                <w:color w:val="000000"/>
                <w:sz w:val="22"/>
                <w:szCs w:val="22"/>
              </w:rPr>
              <w:t>Nav</w:t>
            </w:r>
          </w:p>
        </w:tc>
      </w:tr>
    </w:tbl>
    <w:p w:rsidR="007F05D8" w:rsidRPr="001B2300" w:rsidRDefault="007F05D8" w:rsidP="000B76E3">
      <w:pPr>
        <w:rPr>
          <w:color w:val="000000"/>
          <w:sz w:val="28"/>
          <w:szCs w:val="28"/>
        </w:rPr>
      </w:pPr>
    </w:p>
    <w:p w:rsidR="001C31FD" w:rsidRPr="001B2300" w:rsidRDefault="001C31FD" w:rsidP="001C31FD">
      <w:pPr>
        <w:pStyle w:val="naisf"/>
        <w:spacing w:before="0" w:after="0"/>
        <w:ind w:firstLine="0"/>
        <w:jc w:val="center"/>
        <w:rPr>
          <w:i/>
          <w:color w:val="000000"/>
          <w:sz w:val="28"/>
          <w:szCs w:val="28"/>
        </w:rPr>
      </w:pPr>
      <w:r w:rsidRPr="001B2300">
        <w:rPr>
          <w:color w:val="000000"/>
          <w:sz w:val="28"/>
          <w:szCs w:val="28"/>
        </w:rPr>
        <w:t>Anotācijas II, III sadaļa –</w:t>
      </w:r>
      <w:r w:rsidRPr="001B2300">
        <w:rPr>
          <w:i/>
          <w:color w:val="000000"/>
          <w:sz w:val="28"/>
          <w:szCs w:val="28"/>
        </w:rPr>
        <w:t xml:space="preserve"> projekts šo jomu neskar.</w:t>
      </w:r>
    </w:p>
    <w:p w:rsidR="001C31FD" w:rsidRPr="001B2300" w:rsidRDefault="001C31FD" w:rsidP="001C31FD">
      <w:pPr>
        <w:pStyle w:val="naisf"/>
        <w:spacing w:before="0" w:after="0"/>
        <w:ind w:firstLine="0"/>
        <w:jc w:val="center"/>
        <w:rPr>
          <w:i/>
          <w:color w:val="000000"/>
          <w:sz w:val="28"/>
          <w:szCs w:val="28"/>
        </w:rPr>
      </w:pPr>
    </w:p>
    <w:tbl>
      <w:tblPr>
        <w:tblW w:w="9447"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037"/>
        <w:gridCol w:w="6014"/>
      </w:tblGrid>
      <w:tr w:rsidR="001C31FD" w:rsidRPr="001B2300" w:rsidTr="001C31FD">
        <w:trPr>
          <w:jc w:val="center"/>
        </w:trPr>
        <w:tc>
          <w:tcPr>
            <w:tcW w:w="9447" w:type="dxa"/>
            <w:gridSpan w:val="3"/>
          </w:tcPr>
          <w:p w:rsidR="001C31FD" w:rsidRPr="001B2300" w:rsidRDefault="001C31FD" w:rsidP="001C31FD">
            <w:pPr>
              <w:pStyle w:val="naisnod"/>
              <w:spacing w:before="0" w:after="0"/>
              <w:rPr>
                <w:color w:val="000000"/>
              </w:rPr>
            </w:pPr>
            <w:r w:rsidRPr="001B2300">
              <w:rPr>
                <w:color w:val="000000"/>
              </w:rPr>
              <w:t>IV. Tiesību akta projekta ietekme uz spēkā esošo tiesību normu sistēmu</w:t>
            </w:r>
          </w:p>
        </w:tc>
      </w:tr>
      <w:tr w:rsidR="001C31FD" w:rsidRPr="001B2300" w:rsidTr="001C31FD">
        <w:trPr>
          <w:jc w:val="center"/>
        </w:trPr>
        <w:tc>
          <w:tcPr>
            <w:tcW w:w="396" w:type="dxa"/>
          </w:tcPr>
          <w:p w:rsidR="001C31FD" w:rsidRPr="001B2300" w:rsidRDefault="001C31FD" w:rsidP="001C31FD">
            <w:pPr>
              <w:pStyle w:val="naiskr"/>
              <w:tabs>
                <w:tab w:val="left" w:pos="2628"/>
              </w:tabs>
              <w:spacing w:before="0" w:after="0"/>
              <w:jc w:val="both"/>
              <w:rPr>
                <w:iCs/>
                <w:color w:val="000000"/>
              </w:rPr>
            </w:pPr>
            <w:r w:rsidRPr="001B2300">
              <w:rPr>
                <w:iCs/>
                <w:color w:val="000000"/>
              </w:rPr>
              <w:t>1.</w:t>
            </w:r>
          </w:p>
        </w:tc>
        <w:tc>
          <w:tcPr>
            <w:tcW w:w="3037" w:type="dxa"/>
          </w:tcPr>
          <w:p w:rsidR="001C31FD" w:rsidRPr="001B2300" w:rsidRDefault="001C31FD" w:rsidP="001C31FD">
            <w:pPr>
              <w:pStyle w:val="naiskr"/>
              <w:tabs>
                <w:tab w:val="left" w:pos="2628"/>
              </w:tabs>
              <w:spacing w:before="0" w:after="0"/>
              <w:jc w:val="both"/>
              <w:rPr>
                <w:iCs/>
                <w:color w:val="000000"/>
              </w:rPr>
            </w:pPr>
            <w:r w:rsidRPr="001B2300">
              <w:rPr>
                <w:color w:val="000000"/>
                <w:sz w:val="22"/>
                <w:szCs w:val="22"/>
              </w:rPr>
              <w:t>Nepieciešamie saistītie tiesību aktu projekti</w:t>
            </w:r>
          </w:p>
        </w:tc>
        <w:tc>
          <w:tcPr>
            <w:tcW w:w="6014" w:type="dxa"/>
          </w:tcPr>
          <w:p w:rsidR="001C31FD" w:rsidRPr="001B2300" w:rsidRDefault="001C31FD" w:rsidP="007A6061">
            <w:pPr>
              <w:jc w:val="both"/>
              <w:rPr>
                <w:color w:val="000000"/>
              </w:rPr>
            </w:pPr>
            <w:r w:rsidRPr="001B2300">
              <w:rPr>
                <w:color w:val="000000"/>
              </w:rPr>
              <w:t>Nepieciešams izstrādāt Ministru kabineta noteikumu projektu „Slimību profilakses un kontroles centra nolikums” (</w:t>
            </w:r>
            <w:r w:rsidRPr="001B2300">
              <w:t>VSS-167, 23.02.2012. Valsts sekretāru sanāksme, prot. Nr. 8 24. §)</w:t>
            </w:r>
            <w:r w:rsidRPr="001B2300">
              <w:rPr>
                <w:color w:val="000000"/>
              </w:rPr>
              <w:t xml:space="preserve">, jo tiek izveidota jauna </w:t>
            </w:r>
            <w:r w:rsidR="00886043">
              <w:rPr>
                <w:color w:val="000000"/>
              </w:rPr>
              <w:t xml:space="preserve">Veselības </w:t>
            </w:r>
            <w:r w:rsidRPr="001B2300">
              <w:rPr>
                <w:color w:val="000000"/>
              </w:rPr>
              <w:t xml:space="preserve">ministrijas padotības iestāde SPKC. </w:t>
            </w:r>
          </w:p>
          <w:p w:rsidR="001C31FD" w:rsidRPr="001B2300" w:rsidRDefault="001C31FD" w:rsidP="007A6061">
            <w:pPr>
              <w:jc w:val="both"/>
              <w:rPr>
                <w:color w:val="000000"/>
              </w:rPr>
            </w:pPr>
          </w:p>
          <w:p w:rsidR="001C31FD" w:rsidRPr="001B2300" w:rsidRDefault="001C31FD" w:rsidP="00833A52">
            <w:pPr>
              <w:jc w:val="both"/>
              <w:rPr>
                <w:color w:val="000000"/>
              </w:rPr>
            </w:pPr>
            <w:r w:rsidRPr="001B2300">
              <w:rPr>
                <w:color w:val="000000"/>
              </w:rPr>
              <w:t xml:space="preserve">Ar SPKC izveidošanu saistītos tiesību aktu projektus izstrādās </w:t>
            </w:r>
            <w:r w:rsidR="00531CBE" w:rsidRPr="001B2300">
              <w:rPr>
                <w:color w:val="000000"/>
              </w:rPr>
              <w:t xml:space="preserve">Veselības </w:t>
            </w:r>
            <w:r w:rsidRPr="001B2300">
              <w:rPr>
                <w:color w:val="000000"/>
              </w:rPr>
              <w:t>ministrija.</w:t>
            </w:r>
          </w:p>
        </w:tc>
      </w:tr>
      <w:tr w:rsidR="001C31FD" w:rsidRPr="001B2300" w:rsidTr="001C31FD">
        <w:trPr>
          <w:jc w:val="center"/>
        </w:trPr>
        <w:tc>
          <w:tcPr>
            <w:tcW w:w="396" w:type="dxa"/>
          </w:tcPr>
          <w:p w:rsidR="001C31FD" w:rsidRPr="001B2300" w:rsidRDefault="001C31FD" w:rsidP="001C31FD">
            <w:pPr>
              <w:pStyle w:val="naiskr"/>
              <w:tabs>
                <w:tab w:val="left" w:pos="2628"/>
              </w:tabs>
              <w:spacing w:before="0" w:after="0"/>
              <w:jc w:val="both"/>
              <w:rPr>
                <w:iCs/>
                <w:color w:val="000000"/>
              </w:rPr>
            </w:pPr>
            <w:r w:rsidRPr="001B2300">
              <w:rPr>
                <w:iCs/>
                <w:color w:val="000000"/>
              </w:rPr>
              <w:t>2.</w:t>
            </w:r>
          </w:p>
        </w:tc>
        <w:tc>
          <w:tcPr>
            <w:tcW w:w="3037" w:type="dxa"/>
          </w:tcPr>
          <w:p w:rsidR="001C31FD" w:rsidRPr="001B2300" w:rsidRDefault="001C31FD" w:rsidP="001C31FD">
            <w:pPr>
              <w:pStyle w:val="naiskr"/>
              <w:tabs>
                <w:tab w:val="left" w:pos="2628"/>
              </w:tabs>
              <w:spacing w:before="0" w:after="0"/>
              <w:jc w:val="both"/>
              <w:rPr>
                <w:iCs/>
                <w:color w:val="000000"/>
              </w:rPr>
            </w:pPr>
            <w:r w:rsidRPr="001B2300">
              <w:rPr>
                <w:color w:val="000000"/>
                <w:sz w:val="22"/>
                <w:szCs w:val="22"/>
              </w:rPr>
              <w:t>Cita informācija</w:t>
            </w:r>
          </w:p>
        </w:tc>
        <w:tc>
          <w:tcPr>
            <w:tcW w:w="6014" w:type="dxa"/>
          </w:tcPr>
          <w:p w:rsidR="001C31FD" w:rsidRPr="001B2300" w:rsidRDefault="001C31FD" w:rsidP="001C31FD">
            <w:pPr>
              <w:pStyle w:val="naiskr"/>
              <w:tabs>
                <w:tab w:val="left" w:pos="2628"/>
              </w:tabs>
              <w:spacing w:before="0" w:after="0"/>
              <w:jc w:val="both"/>
              <w:rPr>
                <w:iCs/>
                <w:color w:val="000000"/>
              </w:rPr>
            </w:pPr>
            <w:r w:rsidRPr="001B2300">
              <w:rPr>
                <w:iCs/>
                <w:color w:val="000000"/>
              </w:rPr>
              <w:t>Nav</w:t>
            </w:r>
          </w:p>
        </w:tc>
      </w:tr>
    </w:tbl>
    <w:p w:rsidR="001C31FD" w:rsidRPr="001B2300" w:rsidRDefault="001C31FD" w:rsidP="001C31FD">
      <w:pPr>
        <w:rPr>
          <w:color w:val="000000"/>
          <w:sz w:val="28"/>
          <w:szCs w:val="28"/>
        </w:rPr>
      </w:pPr>
    </w:p>
    <w:p w:rsidR="001C31FD" w:rsidRPr="001B2300" w:rsidRDefault="001C31FD" w:rsidP="001C31FD">
      <w:pPr>
        <w:pStyle w:val="naisf"/>
        <w:spacing w:before="0" w:after="0"/>
        <w:ind w:firstLine="0"/>
        <w:jc w:val="center"/>
        <w:rPr>
          <w:i/>
          <w:color w:val="000000"/>
          <w:sz w:val="28"/>
          <w:szCs w:val="28"/>
        </w:rPr>
      </w:pPr>
      <w:r w:rsidRPr="001B2300">
        <w:rPr>
          <w:color w:val="000000"/>
          <w:sz w:val="28"/>
          <w:szCs w:val="28"/>
        </w:rPr>
        <w:t>Anotācijas V, VI sadaļa –</w:t>
      </w:r>
      <w:r w:rsidRPr="001B2300">
        <w:rPr>
          <w:i/>
          <w:color w:val="000000"/>
          <w:sz w:val="28"/>
          <w:szCs w:val="28"/>
        </w:rPr>
        <w:t xml:space="preserve"> projekts šo jomu neskar.</w:t>
      </w:r>
    </w:p>
    <w:p w:rsidR="001C31FD" w:rsidRPr="001B2300" w:rsidRDefault="001C31FD" w:rsidP="001C31FD">
      <w:pPr>
        <w:rPr>
          <w:color w:val="000000"/>
          <w:sz w:val="28"/>
          <w:szCs w:val="28"/>
        </w:rPr>
      </w:pPr>
    </w:p>
    <w:tbl>
      <w:tblPr>
        <w:tblW w:w="5123" w:type="pct"/>
        <w:tblInd w:w="-11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3686"/>
        <w:gridCol w:w="5670"/>
      </w:tblGrid>
      <w:tr w:rsidR="001C31FD" w:rsidRPr="001B2300" w:rsidTr="001C31FD">
        <w:tc>
          <w:tcPr>
            <w:tcW w:w="9356" w:type="dxa"/>
            <w:gridSpan w:val="2"/>
            <w:tcBorders>
              <w:top w:val="single" w:sz="4" w:space="0" w:color="auto"/>
              <w:left w:val="outset" w:sz="6" w:space="0" w:color="auto"/>
              <w:bottom w:val="outset" w:sz="6" w:space="0" w:color="auto"/>
              <w:right w:val="outset" w:sz="6" w:space="0" w:color="auto"/>
            </w:tcBorders>
            <w:hideMark/>
          </w:tcPr>
          <w:p w:rsidR="001C31FD" w:rsidRPr="001B2300" w:rsidRDefault="001C31FD" w:rsidP="001C31FD">
            <w:pPr>
              <w:autoSpaceDE w:val="0"/>
              <w:autoSpaceDN w:val="0"/>
              <w:adjustRightInd w:val="0"/>
              <w:jc w:val="center"/>
              <w:rPr>
                <w:rFonts w:ascii="TimesNewRomanPS-BoldMT" w:eastAsia="Calibri" w:hAnsi="TimesNewRomanPS-BoldMT" w:cs="TimesNewRomanPS-BoldMT"/>
                <w:b/>
                <w:bCs/>
                <w:color w:val="000000"/>
                <w:sz w:val="22"/>
                <w:szCs w:val="22"/>
                <w:lang w:eastAsia="en-US"/>
              </w:rPr>
            </w:pPr>
            <w:r w:rsidRPr="001B2300">
              <w:rPr>
                <w:rFonts w:ascii="TimesNewRomanPS-BoldMT" w:eastAsia="Calibri" w:hAnsi="TimesNewRomanPS-BoldMT" w:cs="TimesNewRomanPS-BoldMT"/>
                <w:b/>
                <w:bCs/>
                <w:color w:val="000000"/>
                <w:sz w:val="22"/>
                <w:szCs w:val="22"/>
                <w:lang w:eastAsia="en-US"/>
              </w:rPr>
              <w:t>VII. Tiesību akta projekta izpildes nodrošināšana un tās ietekme uz institūcijām</w:t>
            </w:r>
          </w:p>
          <w:p w:rsidR="001C31FD" w:rsidRPr="001B2300" w:rsidRDefault="001C31FD" w:rsidP="001C31FD">
            <w:pPr>
              <w:spacing w:line="360" w:lineRule="auto"/>
              <w:jc w:val="center"/>
              <w:rPr>
                <w:b/>
                <w:color w:val="000000"/>
                <w:lang w:eastAsia="en-US" w:bidi="lo-LA"/>
              </w:rPr>
            </w:pPr>
          </w:p>
        </w:tc>
      </w:tr>
      <w:tr w:rsidR="001C31FD" w:rsidRPr="001B2300" w:rsidTr="001C31FD">
        <w:tc>
          <w:tcPr>
            <w:tcW w:w="3686" w:type="dxa"/>
            <w:tcBorders>
              <w:top w:val="outset" w:sz="6" w:space="0" w:color="auto"/>
              <w:left w:val="outset" w:sz="6" w:space="0" w:color="auto"/>
              <w:bottom w:val="outset" w:sz="6" w:space="0" w:color="auto"/>
              <w:right w:val="outset" w:sz="6" w:space="0" w:color="auto"/>
            </w:tcBorders>
            <w:hideMark/>
          </w:tcPr>
          <w:p w:rsidR="001C31FD" w:rsidRPr="001B2300" w:rsidRDefault="001C31FD" w:rsidP="001C31FD">
            <w:pPr>
              <w:autoSpaceDE w:val="0"/>
              <w:autoSpaceDN w:val="0"/>
              <w:adjustRightInd w:val="0"/>
              <w:rPr>
                <w:rFonts w:ascii="TimesNewRomanPS-BoldMT" w:eastAsia="Calibri" w:hAnsi="TimesNewRomanPS-BoldMT" w:cs="TimesNewRomanPS-BoldMT"/>
                <w:b/>
                <w:bCs/>
                <w:color w:val="000000"/>
                <w:sz w:val="22"/>
                <w:szCs w:val="22"/>
                <w:lang w:eastAsia="en-US"/>
              </w:rPr>
            </w:pPr>
            <w:r w:rsidRPr="001B2300">
              <w:rPr>
                <w:rFonts w:ascii="TimesNewRomanPSMT" w:eastAsia="Calibri" w:hAnsi="TimesNewRomanPSMT" w:cs="TimesNewRomanPSMT"/>
                <w:color w:val="000000"/>
                <w:sz w:val="22"/>
                <w:szCs w:val="22"/>
                <w:lang w:eastAsia="en-US"/>
              </w:rPr>
              <w:t>1. Projekta izpildē iesaistītās institūcijas</w:t>
            </w:r>
          </w:p>
        </w:tc>
        <w:tc>
          <w:tcPr>
            <w:tcW w:w="5670" w:type="dxa"/>
            <w:tcBorders>
              <w:top w:val="outset" w:sz="6" w:space="0" w:color="auto"/>
              <w:left w:val="outset" w:sz="6" w:space="0" w:color="auto"/>
              <w:bottom w:val="outset" w:sz="6" w:space="0" w:color="auto"/>
              <w:right w:val="outset" w:sz="6" w:space="0" w:color="auto"/>
            </w:tcBorders>
          </w:tcPr>
          <w:p w:rsidR="001C31FD" w:rsidRPr="001B2300" w:rsidRDefault="001C31FD" w:rsidP="001C31FD">
            <w:pPr>
              <w:autoSpaceDE w:val="0"/>
              <w:autoSpaceDN w:val="0"/>
              <w:adjustRightInd w:val="0"/>
              <w:jc w:val="both"/>
              <w:rPr>
                <w:rFonts w:ascii="TimesNewRomanPS-BoldMT" w:eastAsia="Calibri" w:hAnsi="TimesNewRomanPS-BoldMT" w:cs="TimesNewRomanPS-BoldMT"/>
                <w:bCs/>
                <w:color w:val="000000"/>
                <w:lang w:eastAsia="en-US"/>
              </w:rPr>
            </w:pPr>
            <w:r w:rsidRPr="001B2300">
              <w:rPr>
                <w:rFonts w:ascii="TimesNewRomanPS-BoldMT" w:eastAsia="Calibri" w:hAnsi="TimesNewRomanPS-BoldMT" w:cs="TimesNewRomanPS-BoldMT"/>
                <w:bCs/>
                <w:color w:val="000000"/>
                <w:lang w:eastAsia="en-US"/>
              </w:rPr>
              <w:t>NVD</w:t>
            </w:r>
          </w:p>
        </w:tc>
      </w:tr>
      <w:tr w:rsidR="001C31FD" w:rsidRPr="001B2300" w:rsidTr="001C31FD">
        <w:tc>
          <w:tcPr>
            <w:tcW w:w="3686" w:type="dxa"/>
            <w:tcBorders>
              <w:top w:val="outset" w:sz="6" w:space="0" w:color="auto"/>
              <w:left w:val="outset" w:sz="6" w:space="0" w:color="auto"/>
              <w:bottom w:val="outset" w:sz="6" w:space="0" w:color="auto"/>
              <w:right w:val="outset" w:sz="6" w:space="0" w:color="auto"/>
            </w:tcBorders>
            <w:hideMark/>
          </w:tcPr>
          <w:p w:rsidR="001C31FD" w:rsidRPr="001B2300" w:rsidRDefault="001C31FD" w:rsidP="001C31FD">
            <w:pPr>
              <w:autoSpaceDE w:val="0"/>
              <w:autoSpaceDN w:val="0"/>
              <w:adjustRightInd w:val="0"/>
              <w:rPr>
                <w:rFonts w:ascii="TimesNewRomanPS-BoldMT" w:eastAsia="Calibri" w:hAnsi="TimesNewRomanPS-BoldMT" w:cs="TimesNewRomanPS-BoldMT"/>
                <w:b/>
                <w:bCs/>
                <w:color w:val="000000"/>
                <w:sz w:val="22"/>
                <w:szCs w:val="22"/>
                <w:lang w:eastAsia="en-US"/>
              </w:rPr>
            </w:pPr>
            <w:r w:rsidRPr="001B2300">
              <w:rPr>
                <w:rFonts w:ascii="TimesNewRomanPSMT" w:eastAsia="Calibri" w:hAnsi="TimesNewRomanPSMT" w:cs="TimesNewRomanPSMT"/>
                <w:color w:val="000000"/>
                <w:sz w:val="22"/>
                <w:szCs w:val="22"/>
                <w:lang w:eastAsia="en-US"/>
              </w:rPr>
              <w:t>2. Projekta izpildes ietekme uz pārvaldes funkcijām</w:t>
            </w:r>
          </w:p>
        </w:tc>
        <w:tc>
          <w:tcPr>
            <w:tcW w:w="5670" w:type="dxa"/>
            <w:tcBorders>
              <w:top w:val="outset" w:sz="6" w:space="0" w:color="auto"/>
              <w:left w:val="outset" w:sz="6" w:space="0" w:color="auto"/>
              <w:bottom w:val="outset" w:sz="6" w:space="0" w:color="auto"/>
              <w:right w:val="outset" w:sz="6" w:space="0" w:color="auto"/>
            </w:tcBorders>
          </w:tcPr>
          <w:p w:rsidR="001C31FD" w:rsidRPr="001B2300" w:rsidRDefault="007E3847" w:rsidP="007E3847">
            <w:pPr>
              <w:pStyle w:val="naiskr"/>
              <w:spacing w:before="0" w:after="0"/>
              <w:jc w:val="both"/>
              <w:rPr>
                <w:rFonts w:ascii="TimesNewRomanPS-BoldMT" w:hAnsi="TimesNewRomanPS-BoldMT" w:cs="TimesNewRomanPS-BoldMT"/>
                <w:bCs/>
                <w:color w:val="000000"/>
                <w:lang w:eastAsia="en-US"/>
              </w:rPr>
            </w:pPr>
            <w:r w:rsidRPr="001B2300">
              <w:rPr>
                <w:rFonts w:ascii="TimesNewRomanPS-BoldMT" w:hAnsi="TimesNewRomanPS-BoldMT" w:cs="TimesNewRomanPS-BoldMT"/>
                <w:bCs/>
                <w:color w:val="000000"/>
                <w:lang w:eastAsia="en-US"/>
              </w:rPr>
              <w:t>NVD funkcijas tiek sašaurinātas</w:t>
            </w:r>
            <w:r w:rsidR="001C31FD" w:rsidRPr="001B2300">
              <w:rPr>
                <w:rFonts w:ascii="TimesNewRomanPS-BoldMT" w:hAnsi="TimesNewRomanPS-BoldMT" w:cs="TimesNewRomanPS-BoldMT"/>
                <w:bCs/>
                <w:color w:val="000000"/>
                <w:lang w:eastAsia="en-US"/>
              </w:rPr>
              <w:t xml:space="preserve">. </w:t>
            </w:r>
          </w:p>
        </w:tc>
      </w:tr>
      <w:tr w:rsidR="001C31FD" w:rsidRPr="001B2300" w:rsidTr="001C31FD">
        <w:tc>
          <w:tcPr>
            <w:tcW w:w="3686" w:type="dxa"/>
            <w:tcBorders>
              <w:top w:val="outset" w:sz="6" w:space="0" w:color="auto"/>
              <w:left w:val="outset" w:sz="6" w:space="0" w:color="auto"/>
              <w:bottom w:val="outset" w:sz="6" w:space="0" w:color="auto"/>
              <w:right w:val="outset" w:sz="6" w:space="0" w:color="auto"/>
            </w:tcBorders>
            <w:hideMark/>
          </w:tcPr>
          <w:p w:rsidR="001C31FD" w:rsidRPr="001B2300" w:rsidRDefault="001C31FD" w:rsidP="001C31FD">
            <w:pPr>
              <w:autoSpaceDE w:val="0"/>
              <w:autoSpaceDN w:val="0"/>
              <w:adjustRightInd w:val="0"/>
              <w:rPr>
                <w:rFonts w:ascii="TimesNewRomanPSMT" w:eastAsia="Calibri" w:hAnsi="TimesNewRomanPSMT" w:cs="TimesNewRomanPSMT"/>
                <w:color w:val="000000"/>
                <w:sz w:val="22"/>
                <w:szCs w:val="22"/>
                <w:lang w:eastAsia="en-US"/>
              </w:rPr>
            </w:pPr>
            <w:r w:rsidRPr="001B2300">
              <w:rPr>
                <w:rFonts w:ascii="TimesNewRomanPSMT" w:eastAsia="Calibri" w:hAnsi="TimesNewRomanPSMT" w:cs="TimesNewRomanPSMT"/>
                <w:color w:val="000000"/>
                <w:sz w:val="22"/>
                <w:szCs w:val="22"/>
                <w:lang w:eastAsia="en-US"/>
              </w:rPr>
              <w:t>3. Projekta izpildes ietekme uz pārvaldes</w:t>
            </w:r>
          </w:p>
          <w:p w:rsidR="001C31FD" w:rsidRPr="001B2300" w:rsidRDefault="001C31FD" w:rsidP="001C31FD">
            <w:pPr>
              <w:autoSpaceDE w:val="0"/>
              <w:autoSpaceDN w:val="0"/>
              <w:adjustRightInd w:val="0"/>
              <w:rPr>
                <w:rFonts w:ascii="TimesNewRomanPSMT" w:eastAsia="Calibri" w:hAnsi="TimesNewRomanPSMT" w:cs="TimesNewRomanPSMT"/>
                <w:color w:val="000000"/>
                <w:sz w:val="22"/>
                <w:szCs w:val="22"/>
                <w:lang w:eastAsia="en-US"/>
              </w:rPr>
            </w:pPr>
            <w:r w:rsidRPr="001B2300">
              <w:rPr>
                <w:rFonts w:ascii="TimesNewRomanPSMT" w:eastAsia="Calibri" w:hAnsi="TimesNewRomanPSMT" w:cs="TimesNewRomanPSMT"/>
                <w:color w:val="000000"/>
                <w:sz w:val="22"/>
                <w:szCs w:val="22"/>
                <w:lang w:eastAsia="en-US"/>
              </w:rPr>
              <w:t>institucionālo struktūru.</w:t>
            </w:r>
          </w:p>
          <w:p w:rsidR="001C31FD" w:rsidRPr="001B2300" w:rsidRDefault="001C31FD" w:rsidP="001C31FD">
            <w:pPr>
              <w:autoSpaceDE w:val="0"/>
              <w:autoSpaceDN w:val="0"/>
              <w:adjustRightInd w:val="0"/>
              <w:rPr>
                <w:rFonts w:ascii="TimesNewRomanPSMT" w:eastAsia="Calibri" w:hAnsi="TimesNewRomanPSMT" w:cs="TimesNewRomanPSMT"/>
                <w:color w:val="000000"/>
                <w:sz w:val="22"/>
                <w:szCs w:val="22"/>
                <w:lang w:eastAsia="en-US"/>
              </w:rPr>
            </w:pPr>
          </w:p>
          <w:p w:rsidR="001C31FD" w:rsidRPr="001B2300" w:rsidRDefault="001C31FD" w:rsidP="001C31FD">
            <w:pPr>
              <w:autoSpaceDE w:val="0"/>
              <w:autoSpaceDN w:val="0"/>
              <w:adjustRightInd w:val="0"/>
              <w:rPr>
                <w:rFonts w:ascii="TimesNewRomanPSMT" w:eastAsia="Calibri" w:hAnsi="TimesNewRomanPSMT" w:cs="TimesNewRomanPSMT"/>
                <w:color w:val="000000"/>
                <w:sz w:val="22"/>
                <w:szCs w:val="22"/>
                <w:lang w:eastAsia="en-US"/>
              </w:rPr>
            </w:pPr>
            <w:r w:rsidRPr="001B2300">
              <w:rPr>
                <w:rFonts w:ascii="TimesNewRomanPSMT" w:eastAsia="Calibri" w:hAnsi="TimesNewRomanPSMT" w:cs="TimesNewRomanPSMT"/>
                <w:color w:val="000000"/>
                <w:sz w:val="22"/>
                <w:szCs w:val="22"/>
                <w:lang w:eastAsia="en-US"/>
              </w:rPr>
              <w:t>Jaunu institūciju izveide</w:t>
            </w:r>
          </w:p>
          <w:p w:rsidR="001C31FD" w:rsidRPr="001B2300" w:rsidRDefault="001C31FD" w:rsidP="001C31FD">
            <w:pPr>
              <w:autoSpaceDE w:val="0"/>
              <w:autoSpaceDN w:val="0"/>
              <w:adjustRightInd w:val="0"/>
              <w:rPr>
                <w:rFonts w:ascii="TimesNewRomanPS-BoldMT" w:eastAsia="Calibri" w:hAnsi="TimesNewRomanPS-BoldMT" w:cs="TimesNewRomanPS-BoldMT"/>
                <w:b/>
                <w:bCs/>
                <w:color w:val="000000"/>
                <w:sz w:val="22"/>
                <w:szCs w:val="22"/>
                <w:lang w:eastAsia="en-US"/>
              </w:rPr>
            </w:pPr>
          </w:p>
        </w:tc>
        <w:tc>
          <w:tcPr>
            <w:tcW w:w="5670" w:type="dxa"/>
            <w:tcBorders>
              <w:top w:val="outset" w:sz="6" w:space="0" w:color="auto"/>
              <w:left w:val="outset" w:sz="6" w:space="0" w:color="auto"/>
              <w:bottom w:val="outset" w:sz="6" w:space="0" w:color="auto"/>
              <w:right w:val="outset" w:sz="6" w:space="0" w:color="auto"/>
            </w:tcBorders>
          </w:tcPr>
          <w:p w:rsidR="001C31FD" w:rsidRPr="001B2300" w:rsidRDefault="0055194C" w:rsidP="001C31FD">
            <w:pPr>
              <w:autoSpaceDE w:val="0"/>
              <w:autoSpaceDN w:val="0"/>
              <w:adjustRightInd w:val="0"/>
              <w:jc w:val="both"/>
              <w:rPr>
                <w:rFonts w:ascii="TimesNewRomanPS-BoldMT" w:eastAsia="Calibri" w:hAnsi="TimesNewRomanPS-BoldMT" w:cs="TimesNewRomanPS-BoldMT"/>
                <w:bCs/>
                <w:color w:val="000000"/>
                <w:lang w:eastAsia="en-US"/>
              </w:rPr>
            </w:pPr>
            <w:r w:rsidRPr="008A4C55">
              <w:rPr>
                <w:rFonts w:eastAsia="Calibri"/>
                <w:bCs/>
                <w:lang w:eastAsia="en-US"/>
              </w:rPr>
              <w:t xml:space="preserve">Atbilstoši MK rīkojumam </w:t>
            </w:r>
            <w:r w:rsidRPr="008A4C55">
              <w:t xml:space="preserve">Nr.101 </w:t>
            </w:r>
            <w:r w:rsidRPr="008A4C55">
              <w:rPr>
                <w:rFonts w:eastAsia="Calibri"/>
                <w:bCs/>
                <w:lang w:eastAsia="en-US"/>
              </w:rPr>
              <w:t>ar 2012.gada 1.aprīli tiek izveidota jauna veselības ministra</w:t>
            </w:r>
            <w:r w:rsidRPr="008A4C55">
              <w:t xml:space="preserve"> pakļautībā esoša tiešās pārvaldes iestāde Slimību profilakses un kontroles centrs.</w:t>
            </w:r>
          </w:p>
        </w:tc>
      </w:tr>
      <w:tr w:rsidR="001C31FD" w:rsidRPr="001B2300" w:rsidTr="001C31FD">
        <w:tc>
          <w:tcPr>
            <w:tcW w:w="3686" w:type="dxa"/>
            <w:tcBorders>
              <w:top w:val="outset" w:sz="6" w:space="0" w:color="auto"/>
              <w:left w:val="outset" w:sz="6" w:space="0" w:color="auto"/>
              <w:bottom w:val="outset" w:sz="6" w:space="0" w:color="auto"/>
              <w:right w:val="outset" w:sz="6" w:space="0" w:color="auto"/>
            </w:tcBorders>
            <w:hideMark/>
          </w:tcPr>
          <w:p w:rsidR="001C31FD" w:rsidRPr="001B2300" w:rsidRDefault="001C31FD" w:rsidP="001C31FD">
            <w:pPr>
              <w:autoSpaceDE w:val="0"/>
              <w:autoSpaceDN w:val="0"/>
              <w:adjustRightInd w:val="0"/>
              <w:rPr>
                <w:rFonts w:ascii="TimesNewRomanPSMT" w:eastAsia="Calibri" w:hAnsi="TimesNewRomanPSMT" w:cs="TimesNewRomanPSMT"/>
                <w:color w:val="000000"/>
                <w:sz w:val="22"/>
                <w:szCs w:val="22"/>
                <w:lang w:eastAsia="en-US"/>
              </w:rPr>
            </w:pPr>
            <w:r w:rsidRPr="001B2300">
              <w:rPr>
                <w:rFonts w:ascii="TimesNewRomanPSMT" w:eastAsia="Calibri" w:hAnsi="TimesNewRomanPSMT" w:cs="TimesNewRomanPSMT"/>
                <w:color w:val="000000"/>
                <w:sz w:val="22"/>
                <w:szCs w:val="22"/>
                <w:lang w:eastAsia="en-US"/>
              </w:rPr>
              <w:t>4. Projekta izpildes ietekme uz pārvaldes</w:t>
            </w:r>
          </w:p>
          <w:p w:rsidR="001C31FD" w:rsidRPr="001B2300" w:rsidRDefault="001C31FD" w:rsidP="001C31FD">
            <w:pPr>
              <w:autoSpaceDE w:val="0"/>
              <w:autoSpaceDN w:val="0"/>
              <w:adjustRightInd w:val="0"/>
              <w:rPr>
                <w:rFonts w:ascii="TimesNewRomanPSMT" w:eastAsia="Calibri" w:hAnsi="TimesNewRomanPSMT" w:cs="TimesNewRomanPSMT"/>
                <w:color w:val="000000"/>
                <w:sz w:val="22"/>
                <w:szCs w:val="22"/>
                <w:lang w:eastAsia="en-US"/>
              </w:rPr>
            </w:pPr>
            <w:r w:rsidRPr="001B2300">
              <w:rPr>
                <w:rFonts w:ascii="TimesNewRomanPSMT" w:eastAsia="Calibri" w:hAnsi="TimesNewRomanPSMT" w:cs="TimesNewRomanPSMT"/>
                <w:color w:val="000000"/>
                <w:sz w:val="22"/>
                <w:szCs w:val="22"/>
                <w:lang w:eastAsia="en-US"/>
              </w:rPr>
              <w:t>institucionālo struktūru.</w:t>
            </w:r>
          </w:p>
          <w:p w:rsidR="001C31FD" w:rsidRPr="001B2300" w:rsidRDefault="001C31FD" w:rsidP="001C31FD">
            <w:pPr>
              <w:autoSpaceDE w:val="0"/>
              <w:autoSpaceDN w:val="0"/>
              <w:adjustRightInd w:val="0"/>
              <w:rPr>
                <w:rFonts w:ascii="TimesNewRomanPSMT" w:eastAsia="Calibri" w:hAnsi="TimesNewRomanPSMT" w:cs="TimesNewRomanPSMT"/>
                <w:color w:val="000000"/>
                <w:sz w:val="22"/>
                <w:szCs w:val="22"/>
                <w:lang w:eastAsia="en-US"/>
              </w:rPr>
            </w:pPr>
          </w:p>
          <w:p w:rsidR="001C31FD" w:rsidRPr="001B2300" w:rsidRDefault="001C31FD" w:rsidP="001C31FD">
            <w:pPr>
              <w:autoSpaceDE w:val="0"/>
              <w:autoSpaceDN w:val="0"/>
              <w:adjustRightInd w:val="0"/>
              <w:rPr>
                <w:rFonts w:ascii="TimesNewRomanPSMT" w:eastAsia="Calibri" w:hAnsi="TimesNewRomanPSMT" w:cs="TimesNewRomanPSMT"/>
                <w:color w:val="000000"/>
                <w:sz w:val="22"/>
                <w:szCs w:val="22"/>
                <w:lang w:eastAsia="en-US"/>
              </w:rPr>
            </w:pPr>
            <w:r w:rsidRPr="001B2300">
              <w:rPr>
                <w:rFonts w:ascii="TimesNewRomanPSMT" w:eastAsia="Calibri" w:hAnsi="TimesNewRomanPSMT" w:cs="TimesNewRomanPSMT"/>
                <w:color w:val="000000"/>
                <w:sz w:val="22"/>
                <w:szCs w:val="22"/>
                <w:lang w:eastAsia="en-US"/>
              </w:rPr>
              <w:t>Esošu institūciju likvidācija</w:t>
            </w:r>
          </w:p>
          <w:p w:rsidR="001C31FD" w:rsidRPr="001B2300" w:rsidRDefault="001C31FD" w:rsidP="001C31FD">
            <w:pPr>
              <w:autoSpaceDE w:val="0"/>
              <w:autoSpaceDN w:val="0"/>
              <w:adjustRightInd w:val="0"/>
              <w:jc w:val="center"/>
              <w:rPr>
                <w:rFonts w:ascii="TimesNewRomanPS-BoldMT" w:eastAsia="Calibri" w:hAnsi="TimesNewRomanPS-BoldMT" w:cs="TimesNewRomanPS-BoldMT"/>
                <w:b/>
                <w:bCs/>
                <w:color w:val="000000"/>
                <w:sz w:val="22"/>
                <w:szCs w:val="22"/>
                <w:lang w:eastAsia="en-US"/>
              </w:rPr>
            </w:pPr>
          </w:p>
        </w:tc>
        <w:tc>
          <w:tcPr>
            <w:tcW w:w="5670" w:type="dxa"/>
            <w:tcBorders>
              <w:top w:val="outset" w:sz="6" w:space="0" w:color="auto"/>
              <w:left w:val="outset" w:sz="6" w:space="0" w:color="auto"/>
              <w:bottom w:val="outset" w:sz="6" w:space="0" w:color="auto"/>
              <w:right w:val="outset" w:sz="6" w:space="0" w:color="auto"/>
            </w:tcBorders>
          </w:tcPr>
          <w:p w:rsidR="001C31FD" w:rsidRPr="001B2300" w:rsidRDefault="0055194C" w:rsidP="001C31FD">
            <w:pPr>
              <w:jc w:val="both"/>
              <w:rPr>
                <w:rFonts w:ascii="TimesNewRomanPS-BoldMT" w:eastAsia="Calibri" w:hAnsi="TimesNewRomanPS-BoldMT" w:cs="TimesNewRomanPS-BoldMT"/>
                <w:bCs/>
                <w:color w:val="000000"/>
                <w:lang w:eastAsia="en-US"/>
              </w:rPr>
            </w:pPr>
            <w:r w:rsidRPr="008A4C55">
              <w:t>Atbilstoši MK rīkojuma Nr.101 2.punktam, ar 2012.gada 1.aprīli Latvijas Infektoloģijas centrs beidz pastāvēt.</w:t>
            </w:r>
          </w:p>
        </w:tc>
      </w:tr>
      <w:tr w:rsidR="001C31FD" w:rsidRPr="001B2300" w:rsidTr="001C31FD">
        <w:tc>
          <w:tcPr>
            <w:tcW w:w="3686" w:type="dxa"/>
            <w:tcBorders>
              <w:top w:val="outset" w:sz="6" w:space="0" w:color="auto"/>
              <w:left w:val="outset" w:sz="6" w:space="0" w:color="auto"/>
              <w:bottom w:val="outset" w:sz="6" w:space="0" w:color="auto"/>
              <w:right w:val="outset" w:sz="6" w:space="0" w:color="auto"/>
            </w:tcBorders>
            <w:hideMark/>
          </w:tcPr>
          <w:p w:rsidR="001C31FD" w:rsidRPr="001B2300" w:rsidRDefault="001C31FD" w:rsidP="001C31FD">
            <w:pPr>
              <w:autoSpaceDE w:val="0"/>
              <w:autoSpaceDN w:val="0"/>
              <w:adjustRightInd w:val="0"/>
              <w:rPr>
                <w:rFonts w:ascii="TimesNewRomanPSMT" w:eastAsia="Calibri" w:hAnsi="TimesNewRomanPSMT" w:cs="TimesNewRomanPSMT"/>
                <w:color w:val="000000"/>
                <w:sz w:val="22"/>
                <w:szCs w:val="22"/>
                <w:lang w:eastAsia="en-US"/>
              </w:rPr>
            </w:pPr>
            <w:r w:rsidRPr="001B2300">
              <w:rPr>
                <w:rFonts w:ascii="TimesNewRomanPSMT" w:eastAsia="Calibri" w:hAnsi="TimesNewRomanPSMT" w:cs="TimesNewRomanPSMT"/>
                <w:color w:val="000000"/>
                <w:sz w:val="22"/>
                <w:szCs w:val="22"/>
                <w:lang w:eastAsia="en-US"/>
              </w:rPr>
              <w:lastRenderedPageBreak/>
              <w:t>5. Projekta izpildes ietekme uz pārvaldes</w:t>
            </w:r>
          </w:p>
          <w:p w:rsidR="001C31FD" w:rsidRPr="001B2300" w:rsidRDefault="001C31FD" w:rsidP="001C31FD">
            <w:pPr>
              <w:autoSpaceDE w:val="0"/>
              <w:autoSpaceDN w:val="0"/>
              <w:adjustRightInd w:val="0"/>
              <w:rPr>
                <w:rFonts w:ascii="TimesNewRomanPSMT" w:eastAsia="Calibri" w:hAnsi="TimesNewRomanPSMT" w:cs="TimesNewRomanPSMT"/>
                <w:color w:val="000000"/>
                <w:sz w:val="22"/>
                <w:szCs w:val="22"/>
                <w:lang w:eastAsia="en-US"/>
              </w:rPr>
            </w:pPr>
            <w:r w:rsidRPr="001B2300">
              <w:rPr>
                <w:rFonts w:ascii="TimesNewRomanPSMT" w:eastAsia="Calibri" w:hAnsi="TimesNewRomanPSMT" w:cs="TimesNewRomanPSMT"/>
                <w:color w:val="000000"/>
                <w:sz w:val="22"/>
                <w:szCs w:val="22"/>
                <w:lang w:eastAsia="en-US"/>
              </w:rPr>
              <w:t>institucionālo struktūru.</w:t>
            </w:r>
          </w:p>
          <w:p w:rsidR="001C31FD" w:rsidRPr="001B2300" w:rsidRDefault="001C31FD" w:rsidP="001C31FD">
            <w:pPr>
              <w:autoSpaceDE w:val="0"/>
              <w:autoSpaceDN w:val="0"/>
              <w:adjustRightInd w:val="0"/>
              <w:rPr>
                <w:rFonts w:ascii="TimesNewRomanPSMT" w:eastAsia="Calibri" w:hAnsi="TimesNewRomanPSMT" w:cs="TimesNewRomanPSMT"/>
                <w:color w:val="000000"/>
                <w:sz w:val="22"/>
                <w:szCs w:val="22"/>
                <w:lang w:eastAsia="en-US"/>
              </w:rPr>
            </w:pPr>
            <w:r w:rsidRPr="001B2300">
              <w:rPr>
                <w:rFonts w:ascii="TimesNewRomanPSMT" w:eastAsia="Calibri" w:hAnsi="TimesNewRomanPSMT" w:cs="TimesNewRomanPSMT"/>
                <w:color w:val="000000"/>
                <w:sz w:val="22"/>
                <w:szCs w:val="22"/>
                <w:lang w:eastAsia="en-US"/>
              </w:rPr>
              <w:t>Esošu institūciju reorganizācija</w:t>
            </w:r>
          </w:p>
          <w:p w:rsidR="001C31FD" w:rsidRPr="001B2300" w:rsidRDefault="001C31FD" w:rsidP="001C31FD">
            <w:pPr>
              <w:autoSpaceDE w:val="0"/>
              <w:autoSpaceDN w:val="0"/>
              <w:adjustRightInd w:val="0"/>
              <w:rPr>
                <w:rFonts w:ascii="TimesNewRomanPSMT" w:eastAsia="Calibri" w:hAnsi="TimesNewRomanPSMT" w:cs="TimesNewRomanPSMT"/>
                <w:color w:val="000000"/>
                <w:sz w:val="22"/>
                <w:szCs w:val="22"/>
                <w:lang w:eastAsia="en-US"/>
              </w:rPr>
            </w:pPr>
          </w:p>
        </w:tc>
        <w:tc>
          <w:tcPr>
            <w:tcW w:w="5670" w:type="dxa"/>
            <w:tcBorders>
              <w:top w:val="outset" w:sz="6" w:space="0" w:color="auto"/>
              <w:left w:val="outset" w:sz="6" w:space="0" w:color="auto"/>
              <w:bottom w:val="outset" w:sz="6" w:space="0" w:color="auto"/>
              <w:right w:val="outset" w:sz="6" w:space="0" w:color="auto"/>
            </w:tcBorders>
          </w:tcPr>
          <w:p w:rsidR="001C31FD" w:rsidRPr="001B2300" w:rsidRDefault="001C31FD" w:rsidP="009855ED">
            <w:pPr>
              <w:widowControl w:val="0"/>
              <w:autoSpaceDE w:val="0"/>
              <w:autoSpaceDN w:val="0"/>
              <w:adjustRightInd w:val="0"/>
              <w:jc w:val="both"/>
              <w:rPr>
                <w:rFonts w:ascii="TimesNewRomanPS-BoldMT" w:eastAsia="Calibri" w:hAnsi="TimesNewRomanPS-BoldMT" w:cs="TimesNewRomanPS-BoldMT"/>
                <w:bCs/>
                <w:color w:val="000000"/>
                <w:lang w:eastAsia="en-US"/>
              </w:rPr>
            </w:pPr>
            <w:r w:rsidRPr="001B2300">
              <w:t xml:space="preserve">Atbilstoši MK rīkojumam Nr.101 </w:t>
            </w:r>
            <w:r w:rsidRPr="001B2300">
              <w:rPr>
                <w:rFonts w:eastAsia="Calibri"/>
                <w:bCs/>
                <w:color w:val="000000"/>
                <w:lang w:eastAsia="en-US"/>
              </w:rPr>
              <w:t>SPKC veiks tādus pārvaldes uzdevumus sabiedrības veselības jomā, ko līdz šim veica NVD, līdz ar to NVD tiek reorganizēts</w:t>
            </w:r>
            <w:r w:rsidR="009855ED" w:rsidRPr="001B2300">
              <w:rPr>
                <w:rFonts w:eastAsia="Calibri"/>
                <w:bCs/>
                <w:color w:val="000000"/>
                <w:lang w:eastAsia="en-US"/>
              </w:rPr>
              <w:t xml:space="preserve"> un tā funkcijas tiek sašaurinātas</w:t>
            </w:r>
            <w:r w:rsidRPr="001B2300">
              <w:rPr>
                <w:rFonts w:eastAsia="Calibri"/>
                <w:bCs/>
                <w:color w:val="000000"/>
                <w:lang w:eastAsia="en-US"/>
              </w:rPr>
              <w:t>.</w:t>
            </w:r>
          </w:p>
        </w:tc>
      </w:tr>
      <w:tr w:rsidR="001C31FD" w:rsidRPr="001B2300" w:rsidTr="001C31FD">
        <w:tc>
          <w:tcPr>
            <w:tcW w:w="3686" w:type="dxa"/>
            <w:tcBorders>
              <w:top w:val="outset" w:sz="6" w:space="0" w:color="auto"/>
              <w:left w:val="outset" w:sz="6" w:space="0" w:color="auto"/>
              <w:bottom w:val="outset" w:sz="6" w:space="0" w:color="auto"/>
              <w:right w:val="outset" w:sz="6" w:space="0" w:color="auto"/>
            </w:tcBorders>
            <w:hideMark/>
          </w:tcPr>
          <w:p w:rsidR="001C31FD" w:rsidRPr="001B2300" w:rsidRDefault="001C31FD" w:rsidP="001C31FD">
            <w:pPr>
              <w:autoSpaceDE w:val="0"/>
              <w:autoSpaceDN w:val="0"/>
              <w:adjustRightInd w:val="0"/>
              <w:rPr>
                <w:rFonts w:ascii="TimesNewRomanPSMT" w:eastAsia="Calibri" w:hAnsi="TimesNewRomanPSMT" w:cs="TimesNewRomanPSMT"/>
                <w:color w:val="000000"/>
                <w:sz w:val="22"/>
                <w:szCs w:val="22"/>
                <w:lang w:eastAsia="en-US"/>
              </w:rPr>
            </w:pPr>
            <w:r w:rsidRPr="001B2300">
              <w:rPr>
                <w:rFonts w:ascii="TimesNewRomanPSMT" w:eastAsia="Calibri" w:hAnsi="TimesNewRomanPSMT" w:cs="TimesNewRomanPSMT"/>
                <w:color w:val="000000"/>
                <w:sz w:val="22"/>
                <w:szCs w:val="22"/>
                <w:lang w:eastAsia="en-US"/>
              </w:rPr>
              <w:t>6. Cita informācija</w:t>
            </w:r>
          </w:p>
        </w:tc>
        <w:tc>
          <w:tcPr>
            <w:tcW w:w="5670" w:type="dxa"/>
            <w:tcBorders>
              <w:top w:val="outset" w:sz="6" w:space="0" w:color="auto"/>
              <w:left w:val="outset" w:sz="6" w:space="0" w:color="auto"/>
              <w:bottom w:val="outset" w:sz="6" w:space="0" w:color="auto"/>
              <w:right w:val="outset" w:sz="6" w:space="0" w:color="auto"/>
            </w:tcBorders>
          </w:tcPr>
          <w:p w:rsidR="001C31FD" w:rsidRPr="001B2300" w:rsidRDefault="001C31FD" w:rsidP="001C31FD">
            <w:pPr>
              <w:autoSpaceDE w:val="0"/>
              <w:autoSpaceDN w:val="0"/>
              <w:adjustRightInd w:val="0"/>
              <w:rPr>
                <w:rFonts w:ascii="TimesNewRomanPS-BoldMT" w:eastAsia="Calibri" w:hAnsi="TimesNewRomanPS-BoldMT" w:cs="TimesNewRomanPS-BoldMT"/>
                <w:bCs/>
                <w:color w:val="000000"/>
                <w:lang w:eastAsia="en-US"/>
              </w:rPr>
            </w:pPr>
            <w:r w:rsidRPr="001B2300">
              <w:rPr>
                <w:rFonts w:ascii="TimesNewRomanPS-BoldMT" w:eastAsia="Calibri" w:hAnsi="TimesNewRomanPS-BoldMT" w:cs="TimesNewRomanPS-BoldMT"/>
                <w:bCs/>
                <w:color w:val="000000"/>
                <w:lang w:eastAsia="en-US"/>
              </w:rPr>
              <w:t>Nav</w:t>
            </w:r>
          </w:p>
        </w:tc>
      </w:tr>
    </w:tbl>
    <w:p w:rsidR="001C31FD" w:rsidRPr="001B2300" w:rsidRDefault="001C31FD" w:rsidP="001C31FD">
      <w:pPr>
        <w:rPr>
          <w:color w:val="000000"/>
          <w:sz w:val="28"/>
          <w:szCs w:val="28"/>
        </w:rPr>
      </w:pPr>
    </w:p>
    <w:p w:rsidR="001C7E12" w:rsidRDefault="001C7E12" w:rsidP="001C7E12">
      <w:pPr>
        <w:autoSpaceDE w:val="0"/>
        <w:autoSpaceDN w:val="0"/>
        <w:adjustRightInd w:val="0"/>
        <w:rPr>
          <w:color w:val="000000"/>
          <w:sz w:val="28"/>
          <w:szCs w:val="28"/>
        </w:rPr>
      </w:pPr>
    </w:p>
    <w:p w:rsidR="00F3087F" w:rsidRDefault="00F3087F" w:rsidP="00F3087F">
      <w:pPr>
        <w:autoSpaceDE w:val="0"/>
        <w:autoSpaceDN w:val="0"/>
        <w:adjustRightInd w:val="0"/>
        <w:rPr>
          <w:rFonts w:eastAsia="Calibri"/>
          <w:bCs/>
          <w:color w:val="000000"/>
          <w:sz w:val="28"/>
          <w:szCs w:val="28"/>
        </w:rPr>
      </w:pPr>
      <w:r>
        <w:rPr>
          <w:rFonts w:eastAsia="Calibri"/>
          <w:bCs/>
          <w:color w:val="000000"/>
          <w:sz w:val="28"/>
          <w:szCs w:val="28"/>
        </w:rPr>
        <w:t xml:space="preserve">Veselības ministre                                                                               </w:t>
      </w:r>
      <w:proofErr w:type="spellStart"/>
      <w:r>
        <w:rPr>
          <w:rFonts w:eastAsia="Calibri"/>
          <w:bCs/>
          <w:color w:val="000000"/>
          <w:sz w:val="28"/>
          <w:szCs w:val="28"/>
        </w:rPr>
        <w:t>I.Circene</w:t>
      </w:r>
      <w:proofErr w:type="spellEnd"/>
    </w:p>
    <w:p w:rsidR="000B76E3" w:rsidRPr="001B2300" w:rsidRDefault="000B76E3" w:rsidP="000B76E3">
      <w:pPr>
        <w:pStyle w:val="naisf"/>
        <w:tabs>
          <w:tab w:val="left" w:pos="720"/>
        </w:tabs>
        <w:spacing w:before="0" w:after="0"/>
        <w:ind w:firstLine="0"/>
        <w:rPr>
          <w:color w:val="000000"/>
          <w:sz w:val="22"/>
          <w:szCs w:val="22"/>
        </w:rPr>
      </w:pPr>
    </w:p>
    <w:p w:rsidR="00D71F34" w:rsidRPr="001B2300" w:rsidRDefault="00D71F34" w:rsidP="00500326">
      <w:pPr>
        <w:pStyle w:val="naisf"/>
        <w:tabs>
          <w:tab w:val="left" w:pos="720"/>
        </w:tabs>
        <w:spacing w:before="0" w:after="0"/>
        <w:ind w:firstLine="0"/>
        <w:rPr>
          <w:color w:val="000000"/>
          <w:sz w:val="18"/>
          <w:szCs w:val="18"/>
        </w:rPr>
      </w:pPr>
    </w:p>
    <w:p w:rsidR="00D71F34" w:rsidRPr="001B2300" w:rsidRDefault="00D71F34" w:rsidP="00500326">
      <w:pPr>
        <w:pStyle w:val="naisf"/>
        <w:tabs>
          <w:tab w:val="left" w:pos="720"/>
        </w:tabs>
        <w:spacing w:before="0" w:after="0"/>
        <w:ind w:firstLine="0"/>
        <w:rPr>
          <w:color w:val="000000"/>
          <w:sz w:val="18"/>
          <w:szCs w:val="18"/>
        </w:rPr>
      </w:pPr>
    </w:p>
    <w:p w:rsidR="002A467C" w:rsidRDefault="002A467C"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86043" w:rsidRDefault="00886043" w:rsidP="00500326">
      <w:pPr>
        <w:pStyle w:val="naisf"/>
        <w:tabs>
          <w:tab w:val="left" w:pos="720"/>
        </w:tabs>
        <w:spacing w:before="0" w:after="0"/>
        <w:ind w:firstLine="0"/>
        <w:rPr>
          <w:color w:val="000000"/>
          <w:sz w:val="18"/>
          <w:szCs w:val="18"/>
        </w:rPr>
      </w:pPr>
    </w:p>
    <w:p w:rsidR="00833A52" w:rsidRDefault="00833A52" w:rsidP="00500326">
      <w:pPr>
        <w:pStyle w:val="naisf"/>
        <w:tabs>
          <w:tab w:val="left" w:pos="720"/>
        </w:tabs>
        <w:spacing w:before="0" w:after="0"/>
        <w:ind w:firstLine="0"/>
        <w:rPr>
          <w:color w:val="000000"/>
          <w:sz w:val="18"/>
          <w:szCs w:val="18"/>
        </w:rPr>
      </w:pPr>
    </w:p>
    <w:p w:rsidR="00833A52" w:rsidRPr="001B2300" w:rsidRDefault="00833A52" w:rsidP="00500326">
      <w:pPr>
        <w:pStyle w:val="naisf"/>
        <w:tabs>
          <w:tab w:val="left" w:pos="720"/>
        </w:tabs>
        <w:spacing w:before="0" w:after="0"/>
        <w:ind w:firstLine="0"/>
        <w:rPr>
          <w:color w:val="000000"/>
          <w:sz w:val="18"/>
          <w:szCs w:val="18"/>
        </w:rPr>
      </w:pPr>
    </w:p>
    <w:p w:rsidR="002A467C" w:rsidRPr="001B2300" w:rsidRDefault="002A467C" w:rsidP="00500326">
      <w:pPr>
        <w:pStyle w:val="naisf"/>
        <w:tabs>
          <w:tab w:val="left" w:pos="720"/>
        </w:tabs>
        <w:spacing w:before="0" w:after="0"/>
        <w:ind w:firstLine="0"/>
        <w:rPr>
          <w:color w:val="000000"/>
          <w:sz w:val="18"/>
          <w:szCs w:val="18"/>
        </w:rPr>
      </w:pPr>
    </w:p>
    <w:p w:rsidR="00500326" w:rsidRPr="001B2300" w:rsidRDefault="001C7E12" w:rsidP="00500326">
      <w:pPr>
        <w:pStyle w:val="naisf"/>
        <w:tabs>
          <w:tab w:val="left" w:pos="720"/>
        </w:tabs>
        <w:spacing w:before="0" w:after="0"/>
        <w:ind w:firstLine="0"/>
        <w:rPr>
          <w:color w:val="000000"/>
          <w:sz w:val="22"/>
          <w:szCs w:val="22"/>
        </w:rPr>
      </w:pPr>
      <w:r>
        <w:rPr>
          <w:color w:val="000000"/>
          <w:sz w:val="22"/>
          <w:szCs w:val="22"/>
        </w:rPr>
        <w:t>2</w:t>
      </w:r>
      <w:r w:rsidR="00833A52">
        <w:rPr>
          <w:color w:val="000000"/>
          <w:sz w:val="22"/>
          <w:szCs w:val="22"/>
        </w:rPr>
        <w:t>8</w:t>
      </w:r>
      <w:r w:rsidR="00D9033C" w:rsidRPr="001B2300">
        <w:rPr>
          <w:color w:val="000000"/>
          <w:sz w:val="22"/>
          <w:szCs w:val="22"/>
        </w:rPr>
        <w:t>.</w:t>
      </w:r>
      <w:r w:rsidR="00B21682" w:rsidRPr="001B2300">
        <w:rPr>
          <w:color w:val="000000"/>
          <w:sz w:val="22"/>
          <w:szCs w:val="22"/>
        </w:rPr>
        <w:t>0</w:t>
      </w:r>
      <w:r w:rsidR="00593DCF" w:rsidRPr="001B2300">
        <w:rPr>
          <w:color w:val="000000"/>
          <w:sz w:val="22"/>
          <w:szCs w:val="22"/>
        </w:rPr>
        <w:t>3</w:t>
      </w:r>
      <w:r w:rsidR="006D1CCB" w:rsidRPr="001B2300">
        <w:rPr>
          <w:color w:val="000000"/>
          <w:sz w:val="22"/>
          <w:szCs w:val="22"/>
        </w:rPr>
        <w:t>.2012</w:t>
      </w:r>
      <w:r w:rsidR="00442B0D" w:rsidRPr="001B2300">
        <w:rPr>
          <w:color w:val="000000"/>
          <w:sz w:val="22"/>
          <w:szCs w:val="22"/>
        </w:rPr>
        <w:t xml:space="preserve"> </w:t>
      </w:r>
      <w:r w:rsidR="00833A52">
        <w:rPr>
          <w:color w:val="000000"/>
          <w:sz w:val="22"/>
          <w:szCs w:val="22"/>
        </w:rPr>
        <w:t>10:54</w:t>
      </w:r>
    </w:p>
    <w:p w:rsidR="00500326" w:rsidRPr="001B2300" w:rsidRDefault="00833A52" w:rsidP="00500326">
      <w:pPr>
        <w:pStyle w:val="naisf"/>
        <w:tabs>
          <w:tab w:val="left" w:pos="720"/>
        </w:tabs>
        <w:spacing w:before="0" w:after="0"/>
        <w:ind w:firstLine="0"/>
        <w:rPr>
          <w:color w:val="000000"/>
          <w:sz w:val="22"/>
          <w:szCs w:val="22"/>
        </w:rPr>
      </w:pPr>
      <w:r>
        <w:rPr>
          <w:color w:val="000000"/>
          <w:sz w:val="22"/>
          <w:szCs w:val="22"/>
        </w:rPr>
        <w:t>917</w:t>
      </w:r>
    </w:p>
    <w:p w:rsidR="00500326" w:rsidRPr="001B2300" w:rsidRDefault="00E92573" w:rsidP="00500326">
      <w:pPr>
        <w:jc w:val="both"/>
        <w:rPr>
          <w:color w:val="000000"/>
          <w:sz w:val="22"/>
          <w:szCs w:val="22"/>
        </w:rPr>
      </w:pPr>
      <w:r w:rsidRPr="001B2300">
        <w:rPr>
          <w:color w:val="000000"/>
          <w:sz w:val="22"/>
          <w:szCs w:val="22"/>
        </w:rPr>
        <w:t>I.Straume</w:t>
      </w:r>
    </w:p>
    <w:p w:rsidR="00500326" w:rsidRPr="002546D4" w:rsidRDefault="00E92573" w:rsidP="00500326">
      <w:pPr>
        <w:jc w:val="both"/>
        <w:rPr>
          <w:color w:val="000000"/>
          <w:sz w:val="22"/>
          <w:szCs w:val="22"/>
        </w:rPr>
      </w:pPr>
      <w:r w:rsidRPr="001B2300">
        <w:rPr>
          <w:sz w:val="22"/>
          <w:szCs w:val="22"/>
        </w:rPr>
        <w:t>Ilze.Straume</w:t>
      </w:r>
      <w:r w:rsidR="00814DFE" w:rsidRPr="001B2300">
        <w:rPr>
          <w:sz w:val="22"/>
          <w:szCs w:val="22"/>
        </w:rPr>
        <w:t>@vm.gov.lv</w:t>
      </w:r>
      <w:r w:rsidR="00500326" w:rsidRPr="001B2300">
        <w:rPr>
          <w:color w:val="000000"/>
          <w:sz w:val="22"/>
          <w:szCs w:val="22"/>
        </w:rPr>
        <w:t>, 67876</w:t>
      </w:r>
      <w:r w:rsidRPr="001B2300">
        <w:rPr>
          <w:color w:val="000000"/>
          <w:sz w:val="22"/>
          <w:szCs w:val="22"/>
        </w:rPr>
        <w:t>076</w:t>
      </w:r>
    </w:p>
    <w:p w:rsidR="00E04EDE" w:rsidRPr="005F39AB" w:rsidRDefault="00E04EDE">
      <w:pPr>
        <w:rPr>
          <w:color w:val="000000"/>
        </w:rPr>
      </w:pPr>
    </w:p>
    <w:sectPr w:rsidR="00E04EDE" w:rsidRPr="005F39AB" w:rsidSect="00295EE9">
      <w:headerReference w:type="default" r:id="rId8"/>
      <w:footerReference w:type="default" r:id="rId9"/>
      <w:footerReference w:type="first" r:id="rId10"/>
      <w:pgSz w:w="11906" w:h="16838" w:code="9"/>
      <w:pgMar w:top="1418" w:right="1134" w:bottom="1134" w:left="1701" w:header="709" w:footer="4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B91" w:rsidRDefault="00567B91" w:rsidP="000B76E3">
      <w:r>
        <w:separator/>
      </w:r>
    </w:p>
  </w:endnote>
  <w:endnote w:type="continuationSeparator" w:id="0">
    <w:p w:rsidR="00567B91" w:rsidRDefault="00567B91" w:rsidP="000B76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91" w:rsidRPr="00C33322" w:rsidRDefault="00567B91" w:rsidP="00C33322">
    <w:pPr>
      <w:pStyle w:val="Footer"/>
      <w:rPr>
        <w:szCs w:val="20"/>
      </w:rPr>
    </w:pPr>
    <w:r w:rsidRPr="00C33322">
      <w:rPr>
        <w:sz w:val="20"/>
        <w:szCs w:val="20"/>
      </w:rPr>
      <w:t>VManot_</w:t>
    </w:r>
    <w:r w:rsidR="001C7E12">
      <w:rPr>
        <w:sz w:val="20"/>
        <w:szCs w:val="20"/>
      </w:rPr>
      <w:t>2</w:t>
    </w:r>
    <w:r w:rsidR="00833A52">
      <w:rPr>
        <w:sz w:val="20"/>
        <w:szCs w:val="20"/>
      </w:rPr>
      <w:t>8</w:t>
    </w:r>
    <w:r>
      <w:rPr>
        <w:sz w:val="20"/>
        <w:szCs w:val="20"/>
      </w:rPr>
      <w:t>03</w:t>
    </w:r>
    <w:r w:rsidRPr="00C33322">
      <w:rPr>
        <w:sz w:val="20"/>
        <w:szCs w:val="20"/>
      </w:rPr>
      <w:t>12</w:t>
    </w:r>
    <w:r>
      <w:rPr>
        <w:sz w:val="20"/>
        <w:szCs w:val="20"/>
      </w:rPr>
      <w:t>_NVDnolik</w:t>
    </w:r>
    <w:r w:rsidRPr="00C33322">
      <w:rPr>
        <w:sz w:val="20"/>
        <w:szCs w:val="20"/>
      </w:rPr>
      <w:t xml:space="preserve">; </w:t>
    </w:r>
    <w:r w:rsidRPr="00C33322">
      <w:rPr>
        <w:bCs/>
        <w:sz w:val="20"/>
        <w:szCs w:val="20"/>
      </w:rPr>
      <w:t xml:space="preserve">Ministru kabineta noteikumu projekta </w:t>
    </w:r>
    <w:r w:rsidRPr="00C33322">
      <w:rPr>
        <w:color w:val="000000"/>
        <w:sz w:val="20"/>
        <w:szCs w:val="20"/>
      </w:rPr>
      <w:t>„Grozījumi Ministru kabineta 2011.gada 1.novembra noteikumos Nr.850 „Nacionālā v</w:t>
    </w:r>
    <w:r w:rsidRPr="00C33322">
      <w:rPr>
        <w:bCs/>
        <w:sz w:val="20"/>
        <w:szCs w:val="20"/>
      </w:rPr>
      <w:t>eselības dienesta nolikums</w:t>
    </w:r>
    <w:r w:rsidRPr="00C33322">
      <w:rPr>
        <w:color w:val="000000"/>
        <w:sz w:val="20"/>
        <w:szCs w:val="20"/>
      </w:rPr>
      <w:t xml:space="preserve">”” </w:t>
    </w:r>
    <w:r w:rsidRPr="00C33322">
      <w:rPr>
        <w:sz w:val="20"/>
        <w:szCs w:val="20"/>
      </w:rPr>
      <w:t xml:space="preserve">sākotnējās ietekmes novērtējuma </w:t>
    </w:r>
    <w:smartTag w:uri="schemas-tilde-lv/tildestengine" w:element="veidnes">
      <w:smartTagPr>
        <w:attr w:name="id" w:val="-1"/>
        <w:attr w:name="baseform" w:val="ziņojums"/>
        <w:attr w:name="text" w:val="ziņojums"/>
      </w:smartTagPr>
      <w:r w:rsidRPr="00C33322">
        <w:rPr>
          <w:sz w:val="20"/>
          <w:szCs w:val="20"/>
        </w:rPr>
        <w:t>ziņojums</w:t>
      </w:r>
    </w:smartTag>
    <w:r w:rsidRPr="00C33322">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91" w:rsidRPr="00C33322" w:rsidRDefault="00567B91" w:rsidP="004B5405">
    <w:pPr>
      <w:pStyle w:val="naisc"/>
      <w:spacing w:before="0" w:after="0"/>
      <w:jc w:val="both"/>
      <w:rPr>
        <w:sz w:val="20"/>
        <w:szCs w:val="20"/>
      </w:rPr>
    </w:pPr>
    <w:r w:rsidRPr="00C33322">
      <w:rPr>
        <w:sz w:val="20"/>
        <w:szCs w:val="20"/>
      </w:rPr>
      <w:t>VManot_</w:t>
    </w:r>
    <w:r w:rsidR="001C7E12">
      <w:rPr>
        <w:sz w:val="20"/>
        <w:szCs w:val="20"/>
      </w:rPr>
      <w:t>2</w:t>
    </w:r>
    <w:r w:rsidR="00833A52">
      <w:rPr>
        <w:sz w:val="20"/>
        <w:szCs w:val="20"/>
      </w:rPr>
      <w:t>8</w:t>
    </w:r>
    <w:r>
      <w:rPr>
        <w:sz w:val="20"/>
        <w:szCs w:val="20"/>
      </w:rPr>
      <w:t>03</w:t>
    </w:r>
    <w:r w:rsidRPr="00C33322">
      <w:rPr>
        <w:sz w:val="20"/>
        <w:szCs w:val="20"/>
      </w:rPr>
      <w:t>12</w:t>
    </w:r>
    <w:r>
      <w:rPr>
        <w:sz w:val="20"/>
        <w:szCs w:val="20"/>
      </w:rPr>
      <w:t>_NVDnolik</w:t>
    </w:r>
    <w:r w:rsidRPr="00C33322">
      <w:rPr>
        <w:sz w:val="20"/>
        <w:szCs w:val="20"/>
      </w:rPr>
      <w:t xml:space="preserve">; </w:t>
    </w:r>
    <w:r w:rsidRPr="00C33322">
      <w:rPr>
        <w:bCs/>
        <w:sz w:val="20"/>
        <w:szCs w:val="20"/>
      </w:rPr>
      <w:t xml:space="preserve">Ministru kabineta noteikumu projekta </w:t>
    </w:r>
    <w:r w:rsidRPr="00C33322">
      <w:rPr>
        <w:color w:val="000000"/>
        <w:sz w:val="20"/>
        <w:szCs w:val="20"/>
      </w:rPr>
      <w:t>„Grozījumi Ministru kabineta 2011.gada 1.novembra noteikumos Nr.850 „Nacionālā v</w:t>
    </w:r>
    <w:r w:rsidRPr="00C33322">
      <w:rPr>
        <w:bCs/>
        <w:sz w:val="20"/>
        <w:szCs w:val="20"/>
      </w:rPr>
      <w:t>eselības dienesta nolikums</w:t>
    </w:r>
    <w:r w:rsidRPr="00C33322">
      <w:rPr>
        <w:color w:val="000000"/>
        <w:sz w:val="20"/>
        <w:szCs w:val="20"/>
      </w:rPr>
      <w:t xml:space="preserve">”” </w:t>
    </w:r>
    <w:r w:rsidRPr="00C33322">
      <w:rPr>
        <w:sz w:val="20"/>
        <w:szCs w:val="20"/>
      </w:rPr>
      <w:t xml:space="preserve">sākotnējās ietekmes novērtējuma </w:t>
    </w:r>
    <w:smartTag w:uri="schemas-tilde-lv/tildestengine" w:element="veidnes">
      <w:smartTagPr>
        <w:attr w:name="id" w:val="-1"/>
        <w:attr w:name="baseform" w:val="ziņojums"/>
        <w:attr w:name="text" w:val="ziņojums"/>
      </w:smartTagPr>
      <w:r w:rsidRPr="00C33322">
        <w:rPr>
          <w:sz w:val="20"/>
          <w:szCs w:val="20"/>
        </w:rPr>
        <w:t>ziņojums</w:t>
      </w:r>
    </w:smartTag>
    <w:r w:rsidRPr="00C33322">
      <w:rPr>
        <w:sz w:val="20"/>
        <w:szCs w:val="20"/>
      </w:rPr>
      <w:t xml:space="preserve"> (anotācija)</w:t>
    </w:r>
  </w:p>
  <w:p w:rsidR="00567B91" w:rsidRPr="00D42719" w:rsidRDefault="00567B91" w:rsidP="005A0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B91" w:rsidRDefault="00567B91" w:rsidP="000B76E3">
      <w:r>
        <w:separator/>
      </w:r>
    </w:p>
  </w:footnote>
  <w:footnote w:type="continuationSeparator" w:id="0">
    <w:p w:rsidR="00567B91" w:rsidRDefault="00567B91" w:rsidP="000B7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91" w:rsidRDefault="00416462">
    <w:pPr>
      <w:pStyle w:val="Header"/>
      <w:jc w:val="center"/>
    </w:pPr>
    <w:fldSimple w:instr=" PAGE   \* MERGEFORMAT ">
      <w:r w:rsidR="00833A52">
        <w:rPr>
          <w:noProof/>
        </w:rPr>
        <w:t>4</w:t>
      </w:r>
    </w:fldSimple>
  </w:p>
  <w:p w:rsidR="00567B91" w:rsidRDefault="00567B91" w:rsidP="005A03E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8CB"/>
    <w:multiLevelType w:val="hybridMultilevel"/>
    <w:tmpl w:val="09AEBB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A3541A8"/>
    <w:multiLevelType w:val="hybridMultilevel"/>
    <w:tmpl w:val="3D10E7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8C6DEE"/>
    <w:multiLevelType w:val="hybridMultilevel"/>
    <w:tmpl w:val="198433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02700"/>
    <w:multiLevelType w:val="hybridMultilevel"/>
    <w:tmpl w:val="80EA03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1940DA"/>
    <w:multiLevelType w:val="hybridMultilevel"/>
    <w:tmpl w:val="C5ACE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1408BD"/>
    <w:multiLevelType w:val="hybridMultilevel"/>
    <w:tmpl w:val="76204570"/>
    <w:lvl w:ilvl="0" w:tplc="4E9AD95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42CB1"/>
    <w:multiLevelType w:val="hybridMultilevel"/>
    <w:tmpl w:val="78B08A86"/>
    <w:lvl w:ilvl="0" w:tplc="0409000F">
      <w:start w:val="1"/>
      <w:numFmt w:val="decimal"/>
      <w:lvlText w:val="%1."/>
      <w:lvlJc w:val="left"/>
      <w:pPr>
        <w:ind w:left="-351" w:hanging="360"/>
      </w:p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7">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90828"/>
    <w:multiLevelType w:val="hybridMultilevel"/>
    <w:tmpl w:val="B016C6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1741293"/>
    <w:multiLevelType w:val="hybridMultilevel"/>
    <w:tmpl w:val="637AD080"/>
    <w:lvl w:ilvl="0" w:tplc="45D2E6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B4962"/>
    <w:multiLevelType w:val="hybridMultilevel"/>
    <w:tmpl w:val="22043C1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924246"/>
    <w:multiLevelType w:val="hybridMultilevel"/>
    <w:tmpl w:val="61E4E13C"/>
    <w:lvl w:ilvl="0" w:tplc="423A045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768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2D55C30"/>
    <w:multiLevelType w:val="hybridMultilevel"/>
    <w:tmpl w:val="F27289F6"/>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nsid w:val="35D02CDF"/>
    <w:multiLevelType w:val="hybridMultilevel"/>
    <w:tmpl w:val="9ABA5592"/>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DDB32B2"/>
    <w:multiLevelType w:val="hybridMultilevel"/>
    <w:tmpl w:val="86DC0F2A"/>
    <w:lvl w:ilvl="0" w:tplc="FEE67E74">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E68637A"/>
    <w:multiLevelType w:val="hybridMultilevel"/>
    <w:tmpl w:val="0D2E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9209E4"/>
    <w:multiLevelType w:val="hybridMultilevel"/>
    <w:tmpl w:val="5BBCC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7E5B08"/>
    <w:multiLevelType w:val="hybridMultilevel"/>
    <w:tmpl w:val="AA0E5FBC"/>
    <w:lvl w:ilvl="0" w:tplc="21647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A951EE"/>
    <w:multiLevelType w:val="hybridMultilevel"/>
    <w:tmpl w:val="ABFC58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0A4666C"/>
    <w:multiLevelType w:val="hybridMultilevel"/>
    <w:tmpl w:val="D7E4D7CA"/>
    <w:lvl w:ilvl="0" w:tplc="89C6006E">
      <w:start w:val="7"/>
      <w:numFmt w:val="bullet"/>
      <w:lvlText w:val="-"/>
      <w:lvlJc w:val="left"/>
      <w:pPr>
        <w:ind w:left="492" w:hanging="360"/>
      </w:pPr>
      <w:rPr>
        <w:rFonts w:ascii="Times New Roman" w:eastAsia="Times New Roman" w:hAnsi="Times New Roman" w:cs="Times New Roman" w:hint="default"/>
        <w:color w:val="000000"/>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22">
    <w:nsid w:val="56EE38CA"/>
    <w:multiLevelType w:val="hybridMultilevel"/>
    <w:tmpl w:val="FA26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DF5A00"/>
    <w:multiLevelType w:val="multilevel"/>
    <w:tmpl w:val="BA5273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2B90C48"/>
    <w:multiLevelType w:val="multilevel"/>
    <w:tmpl w:val="F2507556"/>
    <w:lvl w:ilvl="0">
      <w:start w:val="1"/>
      <w:numFmt w:val="decimal"/>
      <w:lvlText w:val="%1."/>
      <w:lvlJc w:val="left"/>
      <w:pPr>
        <w:ind w:left="405" w:hanging="405"/>
      </w:pPr>
      <w:rPr>
        <w:rFonts w:hint="default"/>
        <w:color w:val="000000"/>
      </w:rPr>
    </w:lvl>
    <w:lvl w:ilvl="1">
      <w:start w:val="1"/>
      <w:numFmt w:val="decimal"/>
      <w:isLgl/>
      <w:lvlText w:val="%1.%2."/>
      <w:lvlJc w:val="left"/>
      <w:pPr>
        <w:ind w:left="915" w:hanging="915"/>
      </w:pPr>
      <w:rPr>
        <w:rFonts w:hint="default"/>
      </w:rPr>
    </w:lvl>
    <w:lvl w:ilvl="2">
      <w:start w:val="2"/>
      <w:numFmt w:val="decimal"/>
      <w:isLgl/>
      <w:lvlText w:val="%1.%2.%3."/>
      <w:lvlJc w:val="left"/>
      <w:pPr>
        <w:ind w:left="915" w:hanging="915"/>
      </w:pPr>
      <w:rPr>
        <w:rFonts w:hint="default"/>
      </w:rPr>
    </w:lvl>
    <w:lvl w:ilvl="3">
      <w:start w:val="4"/>
      <w:numFmt w:val="decimal"/>
      <w:isLgl/>
      <w:lvlText w:val="%1.%2.%3.%4."/>
      <w:lvlJc w:val="left"/>
      <w:pPr>
        <w:ind w:left="915" w:hanging="91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643A4990"/>
    <w:multiLevelType w:val="hybridMultilevel"/>
    <w:tmpl w:val="A5C4FB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B0A3305"/>
    <w:multiLevelType w:val="hybridMultilevel"/>
    <w:tmpl w:val="640458B8"/>
    <w:lvl w:ilvl="0" w:tplc="BE9AD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52756A"/>
    <w:multiLevelType w:val="hybridMultilevel"/>
    <w:tmpl w:val="58CAA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BE5026"/>
    <w:multiLevelType w:val="hybridMultilevel"/>
    <w:tmpl w:val="FF68F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29"/>
  </w:num>
  <w:num w:numId="4">
    <w:abstractNumId w:val="24"/>
  </w:num>
  <w:num w:numId="5">
    <w:abstractNumId w:val="1"/>
  </w:num>
  <w:num w:numId="6">
    <w:abstractNumId w:val="15"/>
  </w:num>
  <w:num w:numId="7">
    <w:abstractNumId w:val="22"/>
  </w:num>
  <w:num w:numId="8">
    <w:abstractNumId w:val="6"/>
  </w:num>
  <w:num w:numId="9">
    <w:abstractNumId w:val="8"/>
  </w:num>
  <w:num w:numId="10">
    <w:abstractNumId w:val="4"/>
  </w:num>
  <w:num w:numId="11">
    <w:abstractNumId w:val="23"/>
  </w:num>
  <w:num w:numId="12">
    <w:abstractNumId w:val="17"/>
  </w:num>
  <w:num w:numId="13">
    <w:abstractNumId w:val="25"/>
  </w:num>
  <w:num w:numId="14">
    <w:abstractNumId w:val="20"/>
  </w:num>
  <w:num w:numId="15">
    <w:abstractNumId w:val="3"/>
  </w:num>
  <w:num w:numId="16">
    <w:abstractNumId w:val="14"/>
  </w:num>
  <w:num w:numId="17">
    <w:abstractNumId w:val="27"/>
  </w:num>
  <w:num w:numId="18">
    <w:abstractNumId w:val="2"/>
  </w:num>
  <w:num w:numId="19">
    <w:abstractNumId w:val="12"/>
  </w:num>
  <w:num w:numId="20">
    <w:abstractNumId w:val="19"/>
  </w:num>
  <w:num w:numId="21">
    <w:abstractNumId w:val="26"/>
  </w:num>
  <w:num w:numId="22">
    <w:abstractNumId w:val="11"/>
  </w:num>
  <w:num w:numId="23">
    <w:abstractNumId w:val="5"/>
  </w:num>
  <w:num w:numId="24">
    <w:abstractNumId w:val="10"/>
  </w:num>
  <w:num w:numId="25">
    <w:abstractNumId w:val="9"/>
  </w:num>
  <w:num w:numId="26">
    <w:abstractNumId w:val="0"/>
  </w:num>
  <w:num w:numId="27">
    <w:abstractNumId w:val="21"/>
  </w:num>
  <w:num w:numId="28">
    <w:abstractNumId w:val="16"/>
  </w:num>
  <w:num w:numId="29">
    <w:abstractNumId w:val="28"/>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rsids>
    <w:rsidRoot w:val="000B76E3"/>
    <w:rsid w:val="00001721"/>
    <w:rsid w:val="000066F8"/>
    <w:rsid w:val="00011B21"/>
    <w:rsid w:val="000165C2"/>
    <w:rsid w:val="00023880"/>
    <w:rsid w:val="00035F91"/>
    <w:rsid w:val="00053A12"/>
    <w:rsid w:val="0006054B"/>
    <w:rsid w:val="00060668"/>
    <w:rsid w:val="000609A8"/>
    <w:rsid w:val="00066762"/>
    <w:rsid w:val="00074D83"/>
    <w:rsid w:val="0008123A"/>
    <w:rsid w:val="00090363"/>
    <w:rsid w:val="00095F36"/>
    <w:rsid w:val="000A2F77"/>
    <w:rsid w:val="000B76E3"/>
    <w:rsid w:val="000B7F78"/>
    <w:rsid w:val="000C31C5"/>
    <w:rsid w:val="000D3C2C"/>
    <w:rsid w:val="000D4D87"/>
    <w:rsid w:val="000D6AF2"/>
    <w:rsid w:val="000F4943"/>
    <w:rsid w:val="00122C08"/>
    <w:rsid w:val="0012419B"/>
    <w:rsid w:val="001257D1"/>
    <w:rsid w:val="00130D74"/>
    <w:rsid w:val="00132D18"/>
    <w:rsid w:val="00135F97"/>
    <w:rsid w:val="00142A20"/>
    <w:rsid w:val="001440A4"/>
    <w:rsid w:val="0014497A"/>
    <w:rsid w:val="00152EEF"/>
    <w:rsid w:val="00156F2A"/>
    <w:rsid w:val="00162C8E"/>
    <w:rsid w:val="0016548C"/>
    <w:rsid w:val="00165C4C"/>
    <w:rsid w:val="00167F19"/>
    <w:rsid w:val="00176477"/>
    <w:rsid w:val="00185FDF"/>
    <w:rsid w:val="00186DA0"/>
    <w:rsid w:val="001A1824"/>
    <w:rsid w:val="001A2258"/>
    <w:rsid w:val="001A24F0"/>
    <w:rsid w:val="001A24F8"/>
    <w:rsid w:val="001A50F6"/>
    <w:rsid w:val="001B12E5"/>
    <w:rsid w:val="001B1720"/>
    <w:rsid w:val="001B2300"/>
    <w:rsid w:val="001C2327"/>
    <w:rsid w:val="001C31FD"/>
    <w:rsid w:val="001C500B"/>
    <w:rsid w:val="001C524F"/>
    <w:rsid w:val="001C7E12"/>
    <w:rsid w:val="001D5587"/>
    <w:rsid w:val="001E378B"/>
    <w:rsid w:val="001F14A7"/>
    <w:rsid w:val="001F4AF0"/>
    <w:rsid w:val="001F5A34"/>
    <w:rsid w:val="00201227"/>
    <w:rsid w:val="002018AC"/>
    <w:rsid w:val="002028ED"/>
    <w:rsid w:val="002121D4"/>
    <w:rsid w:val="00227A67"/>
    <w:rsid w:val="00231C9C"/>
    <w:rsid w:val="002428BD"/>
    <w:rsid w:val="00243F04"/>
    <w:rsid w:val="00250CCD"/>
    <w:rsid w:val="00253602"/>
    <w:rsid w:val="002546D4"/>
    <w:rsid w:val="00255E07"/>
    <w:rsid w:val="00256492"/>
    <w:rsid w:val="00295DE3"/>
    <w:rsid w:val="00295EE9"/>
    <w:rsid w:val="002A13CC"/>
    <w:rsid w:val="002A467C"/>
    <w:rsid w:val="002A4E72"/>
    <w:rsid w:val="002B2F6F"/>
    <w:rsid w:val="002B4BF4"/>
    <w:rsid w:val="002C00F5"/>
    <w:rsid w:val="002C03AA"/>
    <w:rsid w:val="002D1E65"/>
    <w:rsid w:val="002D75F0"/>
    <w:rsid w:val="002E00F5"/>
    <w:rsid w:val="002E29AF"/>
    <w:rsid w:val="002E6DC4"/>
    <w:rsid w:val="00301CC0"/>
    <w:rsid w:val="00305197"/>
    <w:rsid w:val="00317202"/>
    <w:rsid w:val="00320D86"/>
    <w:rsid w:val="00326942"/>
    <w:rsid w:val="00327A87"/>
    <w:rsid w:val="00327CFE"/>
    <w:rsid w:val="003347A2"/>
    <w:rsid w:val="00335701"/>
    <w:rsid w:val="00336061"/>
    <w:rsid w:val="00352159"/>
    <w:rsid w:val="003549CF"/>
    <w:rsid w:val="00357193"/>
    <w:rsid w:val="00374817"/>
    <w:rsid w:val="0038044A"/>
    <w:rsid w:val="00386F70"/>
    <w:rsid w:val="00395271"/>
    <w:rsid w:val="003A06D4"/>
    <w:rsid w:val="003B2FD5"/>
    <w:rsid w:val="003B357A"/>
    <w:rsid w:val="003C0767"/>
    <w:rsid w:val="003C269D"/>
    <w:rsid w:val="003D6E95"/>
    <w:rsid w:val="003F0A3E"/>
    <w:rsid w:val="003F2D0A"/>
    <w:rsid w:val="003F4C44"/>
    <w:rsid w:val="00401E97"/>
    <w:rsid w:val="00416462"/>
    <w:rsid w:val="0042086E"/>
    <w:rsid w:val="00421D50"/>
    <w:rsid w:val="00432F14"/>
    <w:rsid w:val="0044240A"/>
    <w:rsid w:val="00442B0D"/>
    <w:rsid w:val="0044418B"/>
    <w:rsid w:val="004456F9"/>
    <w:rsid w:val="00451DD8"/>
    <w:rsid w:val="00453BF5"/>
    <w:rsid w:val="00453FB6"/>
    <w:rsid w:val="00454373"/>
    <w:rsid w:val="0045449C"/>
    <w:rsid w:val="004617A2"/>
    <w:rsid w:val="0046276B"/>
    <w:rsid w:val="00483BDE"/>
    <w:rsid w:val="00494A26"/>
    <w:rsid w:val="00495A00"/>
    <w:rsid w:val="00495D19"/>
    <w:rsid w:val="00497D14"/>
    <w:rsid w:val="004A2B5D"/>
    <w:rsid w:val="004B3A37"/>
    <w:rsid w:val="004B5330"/>
    <w:rsid w:val="004B5405"/>
    <w:rsid w:val="004B6D17"/>
    <w:rsid w:val="004C2675"/>
    <w:rsid w:val="004C2A00"/>
    <w:rsid w:val="004C513F"/>
    <w:rsid w:val="004D194F"/>
    <w:rsid w:val="004D4AFF"/>
    <w:rsid w:val="004D6724"/>
    <w:rsid w:val="004E6C3D"/>
    <w:rsid w:val="004E798B"/>
    <w:rsid w:val="004E7D32"/>
    <w:rsid w:val="00500326"/>
    <w:rsid w:val="00510BDA"/>
    <w:rsid w:val="00511C54"/>
    <w:rsid w:val="00512E91"/>
    <w:rsid w:val="00526EED"/>
    <w:rsid w:val="00531A63"/>
    <w:rsid w:val="00531CBE"/>
    <w:rsid w:val="0053243E"/>
    <w:rsid w:val="0055194C"/>
    <w:rsid w:val="00567B91"/>
    <w:rsid w:val="0057119B"/>
    <w:rsid w:val="00590AD1"/>
    <w:rsid w:val="00593DCF"/>
    <w:rsid w:val="005A03EE"/>
    <w:rsid w:val="005A250A"/>
    <w:rsid w:val="005A5181"/>
    <w:rsid w:val="005B1314"/>
    <w:rsid w:val="005B4405"/>
    <w:rsid w:val="005B6E82"/>
    <w:rsid w:val="005B7066"/>
    <w:rsid w:val="005C54B4"/>
    <w:rsid w:val="005D1E80"/>
    <w:rsid w:val="005D2D4B"/>
    <w:rsid w:val="005D621A"/>
    <w:rsid w:val="005E64CE"/>
    <w:rsid w:val="005F0427"/>
    <w:rsid w:val="005F39AB"/>
    <w:rsid w:val="005F5A77"/>
    <w:rsid w:val="005F6AFA"/>
    <w:rsid w:val="0060717F"/>
    <w:rsid w:val="00614C6E"/>
    <w:rsid w:val="00626E32"/>
    <w:rsid w:val="00642BC9"/>
    <w:rsid w:val="00663DCF"/>
    <w:rsid w:val="006670B7"/>
    <w:rsid w:val="00670481"/>
    <w:rsid w:val="00682C0C"/>
    <w:rsid w:val="00685C32"/>
    <w:rsid w:val="006915F8"/>
    <w:rsid w:val="006A0582"/>
    <w:rsid w:val="006A49F0"/>
    <w:rsid w:val="006B2785"/>
    <w:rsid w:val="006B456D"/>
    <w:rsid w:val="006B7D37"/>
    <w:rsid w:val="006C0B9D"/>
    <w:rsid w:val="006C0E9F"/>
    <w:rsid w:val="006C2A41"/>
    <w:rsid w:val="006C6AFA"/>
    <w:rsid w:val="006D0421"/>
    <w:rsid w:val="006D1CCB"/>
    <w:rsid w:val="006D74AB"/>
    <w:rsid w:val="006D75A7"/>
    <w:rsid w:val="006F0712"/>
    <w:rsid w:val="006F7F39"/>
    <w:rsid w:val="0070386C"/>
    <w:rsid w:val="007062CF"/>
    <w:rsid w:val="00712174"/>
    <w:rsid w:val="00722551"/>
    <w:rsid w:val="00727F85"/>
    <w:rsid w:val="007303CC"/>
    <w:rsid w:val="007304E7"/>
    <w:rsid w:val="00732F56"/>
    <w:rsid w:val="00736B19"/>
    <w:rsid w:val="00747917"/>
    <w:rsid w:val="0075138D"/>
    <w:rsid w:val="00760867"/>
    <w:rsid w:val="007707CF"/>
    <w:rsid w:val="0077346F"/>
    <w:rsid w:val="0077572E"/>
    <w:rsid w:val="00777FFA"/>
    <w:rsid w:val="00780DC4"/>
    <w:rsid w:val="00797123"/>
    <w:rsid w:val="007A1CC6"/>
    <w:rsid w:val="007A6061"/>
    <w:rsid w:val="007B2E1A"/>
    <w:rsid w:val="007B31EF"/>
    <w:rsid w:val="007B459E"/>
    <w:rsid w:val="007D5389"/>
    <w:rsid w:val="007D53CB"/>
    <w:rsid w:val="007D5EC2"/>
    <w:rsid w:val="007E3847"/>
    <w:rsid w:val="007F05D8"/>
    <w:rsid w:val="007F2512"/>
    <w:rsid w:val="007F5B83"/>
    <w:rsid w:val="007F601D"/>
    <w:rsid w:val="00800393"/>
    <w:rsid w:val="00805BDF"/>
    <w:rsid w:val="00806D35"/>
    <w:rsid w:val="00814DFE"/>
    <w:rsid w:val="00820760"/>
    <w:rsid w:val="00822D6E"/>
    <w:rsid w:val="008231CE"/>
    <w:rsid w:val="00825193"/>
    <w:rsid w:val="00825DB5"/>
    <w:rsid w:val="00833A52"/>
    <w:rsid w:val="00833D4B"/>
    <w:rsid w:val="00835DB6"/>
    <w:rsid w:val="0084116E"/>
    <w:rsid w:val="0084175A"/>
    <w:rsid w:val="00847A7D"/>
    <w:rsid w:val="0085389D"/>
    <w:rsid w:val="00855F0E"/>
    <w:rsid w:val="008667CF"/>
    <w:rsid w:val="00867FDE"/>
    <w:rsid w:val="00871D62"/>
    <w:rsid w:val="00876DC1"/>
    <w:rsid w:val="008776B6"/>
    <w:rsid w:val="00886043"/>
    <w:rsid w:val="00895A5F"/>
    <w:rsid w:val="008A6535"/>
    <w:rsid w:val="008B1B91"/>
    <w:rsid w:val="008B35A1"/>
    <w:rsid w:val="008B68A5"/>
    <w:rsid w:val="008C11A9"/>
    <w:rsid w:val="008C1F66"/>
    <w:rsid w:val="008C394E"/>
    <w:rsid w:val="008D3414"/>
    <w:rsid w:val="008D5F7E"/>
    <w:rsid w:val="008D7B8A"/>
    <w:rsid w:val="008E108F"/>
    <w:rsid w:val="008F7A09"/>
    <w:rsid w:val="00900D24"/>
    <w:rsid w:val="0092090C"/>
    <w:rsid w:val="00923959"/>
    <w:rsid w:val="00926885"/>
    <w:rsid w:val="00926F1B"/>
    <w:rsid w:val="00936CC2"/>
    <w:rsid w:val="00937AC7"/>
    <w:rsid w:val="00945315"/>
    <w:rsid w:val="00950C23"/>
    <w:rsid w:val="0095440D"/>
    <w:rsid w:val="00961501"/>
    <w:rsid w:val="00961D68"/>
    <w:rsid w:val="00967024"/>
    <w:rsid w:val="00972AC5"/>
    <w:rsid w:val="00977DBB"/>
    <w:rsid w:val="009817AF"/>
    <w:rsid w:val="009847BA"/>
    <w:rsid w:val="009855ED"/>
    <w:rsid w:val="00987EEC"/>
    <w:rsid w:val="00990750"/>
    <w:rsid w:val="0099423D"/>
    <w:rsid w:val="00996EAD"/>
    <w:rsid w:val="009A1226"/>
    <w:rsid w:val="009B163C"/>
    <w:rsid w:val="009B1A7F"/>
    <w:rsid w:val="009B2AE7"/>
    <w:rsid w:val="009D043A"/>
    <w:rsid w:val="009D2119"/>
    <w:rsid w:val="009E0566"/>
    <w:rsid w:val="009E41FF"/>
    <w:rsid w:val="009E5A31"/>
    <w:rsid w:val="009E61F9"/>
    <w:rsid w:val="00A1068A"/>
    <w:rsid w:val="00A23816"/>
    <w:rsid w:val="00A30D1D"/>
    <w:rsid w:val="00A3592E"/>
    <w:rsid w:val="00A40083"/>
    <w:rsid w:val="00A4101F"/>
    <w:rsid w:val="00A5186A"/>
    <w:rsid w:val="00A52AF8"/>
    <w:rsid w:val="00A6799B"/>
    <w:rsid w:val="00A731D0"/>
    <w:rsid w:val="00A73C4B"/>
    <w:rsid w:val="00A916C2"/>
    <w:rsid w:val="00AA3CFE"/>
    <w:rsid w:val="00AB0572"/>
    <w:rsid w:val="00AB4AF1"/>
    <w:rsid w:val="00AC3081"/>
    <w:rsid w:val="00AE2001"/>
    <w:rsid w:val="00AE3E2F"/>
    <w:rsid w:val="00AE7052"/>
    <w:rsid w:val="00AF05C8"/>
    <w:rsid w:val="00AF44A0"/>
    <w:rsid w:val="00AF68C7"/>
    <w:rsid w:val="00B01FD8"/>
    <w:rsid w:val="00B035EF"/>
    <w:rsid w:val="00B1322B"/>
    <w:rsid w:val="00B21682"/>
    <w:rsid w:val="00B23190"/>
    <w:rsid w:val="00B33F2E"/>
    <w:rsid w:val="00B34935"/>
    <w:rsid w:val="00B35ED5"/>
    <w:rsid w:val="00B44A56"/>
    <w:rsid w:val="00B51361"/>
    <w:rsid w:val="00B559D8"/>
    <w:rsid w:val="00B65409"/>
    <w:rsid w:val="00B730D3"/>
    <w:rsid w:val="00B74719"/>
    <w:rsid w:val="00B74847"/>
    <w:rsid w:val="00B76D59"/>
    <w:rsid w:val="00B81836"/>
    <w:rsid w:val="00B84422"/>
    <w:rsid w:val="00B943F2"/>
    <w:rsid w:val="00BA077F"/>
    <w:rsid w:val="00BA2450"/>
    <w:rsid w:val="00BA77C0"/>
    <w:rsid w:val="00BB1E11"/>
    <w:rsid w:val="00BB473B"/>
    <w:rsid w:val="00BB698F"/>
    <w:rsid w:val="00BC07AD"/>
    <w:rsid w:val="00BC1B14"/>
    <w:rsid w:val="00BC259F"/>
    <w:rsid w:val="00BC65B9"/>
    <w:rsid w:val="00BD0F23"/>
    <w:rsid w:val="00BD3B1F"/>
    <w:rsid w:val="00BD63B2"/>
    <w:rsid w:val="00BD73DC"/>
    <w:rsid w:val="00BE61BE"/>
    <w:rsid w:val="00C011B1"/>
    <w:rsid w:val="00C127B5"/>
    <w:rsid w:val="00C146CB"/>
    <w:rsid w:val="00C14D72"/>
    <w:rsid w:val="00C223AB"/>
    <w:rsid w:val="00C237E1"/>
    <w:rsid w:val="00C33322"/>
    <w:rsid w:val="00C3534F"/>
    <w:rsid w:val="00C3545F"/>
    <w:rsid w:val="00C41841"/>
    <w:rsid w:val="00C4339B"/>
    <w:rsid w:val="00C46B17"/>
    <w:rsid w:val="00C54D60"/>
    <w:rsid w:val="00C703CD"/>
    <w:rsid w:val="00C81A36"/>
    <w:rsid w:val="00C8401B"/>
    <w:rsid w:val="00C84917"/>
    <w:rsid w:val="00C84E2E"/>
    <w:rsid w:val="00C85858"/>
    <w:rsid w:val="00C87D54"/>
    <w:rsid w:val="00C96452"/>
    <w:rsid w:val="00CA5DAE"/>
    <w:rsid w:val="00CC4C06"/>
    <w:rsid w:val="00CC59AC"/>
    <w:rsid w:val="00CC77E7"/>
    <w:rsid w:val="00CD1947"/>
    <w:rsid w:val="00CD454D"/>
    <w:rsid w:val="00CD6891"/>
    <w:rsid w:val="00CF5746"/>
    <w:rsid w:val="00D04B4E"/>
    <w:rsid w:val="00D14A21"/>
    <w:rsid w:val="00D159BA"/>
    <w:rsid w:val="00D216CD"/>
    <w:rsid w:val="00D2521E"/>
    <w:rsid w:val="00D36529"/>
    <w:rsid w:val="00D41270"/>
    <w:rsid w:val="00D41E83"/>
    <w:rsid w:val="00D4453E"/>
    <w:rsid w:val="00D677E1"/>
    <w:rsid w:val="00D70A08"/>
    <w:rsid w:val="00D71F34"/>
    <w:rsid w:val="00D76C17"/>
    <w:rsid w:val="00D85401"/>
    <w:rsid w:val="00D85417"/>
    <w:rsid w:val="00D9033C"/>
    <w:rsid w:val="00D90A99"/>
    <w:rsid w:val="00D9433A"/>
    <w:rsid w:val="00D966F0"/>
    <w:rsid w:val="00DA1605"/>
    <w:rsid w:val="00DB6994"/>
    <w:rsid w:val="00DB7874"/>
    <w:rsid w:val="00DC1F29"/>
    <w:rsid w:val="00DC5E84"/>
    <w:rsid w:val="00DD1FBC"/>
    <w:rsid w:val="00DE1120"/>
    <w:rsid w:val="00DE70EB"/>
    <w:rsid w:val="00DF196B"/>
    <w:rsid w:val="00DF1E4C"/>
    <w:rsid w:val="00DF498A"/>
    <w:rsid w:val="00E04EDE"/>
    <w:rsid w:val="00E064DA"/>
    <w:rsid w:val="00E15105"/>
    <w:rsid w:val="00E157C4"/>
    <w:rsid w:val="00E234ED"/>
    <w:rsid w:val="00E27407"/>
    <w:rsid w:val="00E3092E"/>
    <w:rsid w:val="00E340D5"/>
    <w:rsid w:val="00E36150"/>
    <w:rsid w:val="00E367C3"/>
    <w:rsid w:val="00E40CDF"/>
    <w:rsid w:val="00E42087"/>
    <w:rsid w:val="00E46208"/>
    <w:rsid w:val="00E54AC6"/>
    <w:rsid w:val="00E6711B"/>
    <w:rsid w:val="00E674E2"/>
    <w:rsid w:val="00E708F8"/>
    <w:rsid w:val="00E74532"/>
    <w:rsid w:val="00E77897"/>
    <w:rsid w:val="00E82D7F"/>
    <w:rsid w:val="00E924FE"/>
    <w:rsid w:val="00E92573"/>
    <w:rsid w:val="00E92A75"/>
    <w:rsid w:val="00E94500"/>
    <w:rsid w:val="00E979FC"/>
    <w:rsid w:val="00EA2BE1"/>
    <w:rsid w:val="00EA7E47"/>
    <w:rsid w:val="00EB22E1"/>
    <w:rsid w:val="00EB414C"/>
    <w:rsid w:val="00EB4318"/>
    <w:rsid w:val="00EB6594"/>
    <w:rsid w:val="00EC057A"/>
    <w:rsid w:val="00EC097D"/>
    <w:rsid w:val="00ED14B4"/>
    <w:rsid w:val="00ED1664"/>
    <w:rsid w:val="00ED5180"/>
    <w:rsid w:val="00EE6C91"/>
    <w:rsid w:val="00EF1B26"/>
    <w:rsid w:val="00EF44EC"/>
    <w:rsid w:val="00EF7F37"/>
    <w:rsid w:val="00F01EA0"/>
    <w:rsid w:val="00F07A55"/>
    <w:rsid w:val="00F11448"/>
    <w:rsid w:val="00F15386"/>
    <w:rsid w:val="00F16B09"/>
    <w:rsid w:val="00F27797"/>
    <w:rsid w:val="00F3087F"/>
    <w:rsid w:val="00F35653"/>
    <w:rsid w:val="00F35A23"/>
    <w:rsid w:val="00F4217C"/>
    <w:rsid w:val="00F42275"/>
    <w:rsid w:val="00F4280A"/>
    <w:rsid w:val="00F42F4F"/>
    <w:rsid w:val="00F43E23"/>
    <w:rsid w:val="00F4444D"/>
    <w:rsid w:val="00F45D58"/>
    <w:rsid w:val="00F51704"/>
    <w:rsid w:val="00F55ED0"/>
    <w:rsid w:val="00F60526"/>
    <w:rsid w:val="00F7748F"/>
    <w:rsid w:val="00F77A3C"/>
    <w:rsid w:val="00F8427B"/>
    <w:rsid w:val="00F931F7"/>
    <w:rsid w:val="00F94808"/>
    <w:rsid w:val="00FA0CB2"/>
    <w:rsid w:val="00FA3D97"/>
    <w:rsid w:val="00FA3E96"/>
    <w:rsid w:val="00FB08E4"/>
    <w:rsid w:val="00FB58B0"/>
    <w:rsid w:val="00FC09FC"/>
    <w:rsid w:val="00FC5B62"/>
    <w:rsid w:val="00FC7845"/>
    <w:rsid w:val="00FE0AA8"/>
    <w:rsid w:val="00FE6303"/>
    <w:rsid w:val="00FF1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E3"/>
    <w:rPr>
      <w:rFonts w:ascii="Times New Roman" w:eastAsia="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76E3"/>
    <w:pPr>
      <w:tabs>
        <w:tab w:val="center" w:pos="4153"/>
        <w:tab w:val="right" w:pos="8306"/>
      </w:tabs>
    </w:pPr>
  </w:style>
  <w:style w:type="character" w:customStyle="1" w:styleId="HeaderChar">
    <w:name w:val="Header Char"/>
    <w:basedOn w:val="DefaultParagraphFont"/>
    <w:link w:val="Header"/>
    <w:uiPriority w:val="99"/>
    <w:rsid w:val="000B76E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0B76E3"/>
    <w:pPr>
      <w:tabs>
        <w:tab w:val="center" w:pos="4153"/>
        <w:tab w:val="right" w:pos="8306"/>
      </w:tabs>
    </w:pPr>
  </w:style>
  <w:style w:type="character" w:customStyle="1" w:styleId="FooterChar">
    <w:name w:val="Footer Char"/>
    <w:basedOn w:val="DefaultParagraphFont"/>
    <w:link w:val="Footer"/>
    <w:uiPriority w:val="99"/>
    <w:rsid w:val="000B76E3"/>
    <w:rPr>
      <w:rFonts w:ascii="Times New Roman" w:eastAsia="Times New Roman" w:hAnsi="Times New Roman" w:cs="Times New Roman"/>
      <w:sz w:val="24"/>
      <w:szCs w:val="24"/>
      <w:lang w:val="lv-LV" w:eastAsia="lv-LV"/>
    </w:rPr>
  </w:style>
  <w:style w:type="character" w:styleId="PageNumber">
    <w:name w:val="page number"/>
    <w:basedOn w:val="DefaultParagraphFont"/>
    <w:rsid w:val="000B76E3"/>
  </w:style>
  <w:style w:type="paragraph" w:customStyle="1" w:styleId="naisf">
    <w:name w:val="naisf"/>
    <w:basedOn w:val="Normal"/>
    <w:rsid w:val="000B76E3"/>
    <w:pPr>
      <w:spacing w:before="75" w:after="75"/>
      <w:ind w:firstLine="375"/>
      <w:jc w:val="both"/>
    </w:pPr>
  </w:style>
  <w:style w:type="paragraph" w:customStyle="1" w:styleId="naisnod">
    <w:name w:val="naisnod"/>
    <w:basedOn w:val="Normal"/>
    <w:rsid w:val="000B76E3"/>
    <w:pPr>
      <w:spacing w:before="150" w:after="150"/>
      <w:jc w:val="center"/>
    </w:pPr>
    <w:rPr>
      <w:rFonts w:eastAsia="Calibri"/>
      <w:b/>
      <w:bCs/>
    </w:rPr>
  </w:style>
  <w:style w:type="paragraph" w:customStyle="1" w:styleId="naiskr">
    <w:name w:val="naiskr"/>
    <w:basedOn w:val="Normal"/>
    <w:rsid w:val="000B76E3"/>
    <w:pPr>
      <w:spacing w:before="75" w:after="75"/>
    </w:pPr>
    <w:rPr>
      <w:rFonts w:eastAsia="Calibri"/>
    </w:rPr>
  </w:style>
  <w:style w:type="paragraph" w:styleId="ListParagraph">
    <w:name w:val="List Paragraph"/>
    <w:basedOn w:val="Normal"/>
    <w:uiPriority w:val="34"/>
    <w:qFormat/>
    <w:rsid w:val="000B76E3"/>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rsid w:val="000B76E3"/>
    <w:pPr>
      <w:spacing w:before="100" w:beforeAutospacing="1" w:after="119"/>
    </w:pPr>
  </w:style>
  <w:style w:type="character" w:styleId="Hyperlink">
    <w:name w:val="Hyperlink"/>
    <w:basedOn w:val="DefaultParagraphFont"/>
    <w:rsid w:val="000B76E3"/>
    <w:rPr>
      <w:color w:val="0000FF"/>
      <w:u w:val="single"/>
    </w:rPr>
  </w:style>
  <w:style w:type="paragraph" w:styleId="FootnoteText">
    <w:name w:val="footnote text"/>
    <w:basedOn w:val="Normal"/>
    <w:link w:val="FootnoteTextChar"/>
    <w:rsid w:val="000B76E3"/>
    <w:rPr>
      <w:sz w:val="20"/>
      <w:szCs w:val="20"/>
    </w:rPr>
  </w:style>
  <w:style w:type="character" w:customStyle="1" w:styleId="FootnoteTextChar">
    <w:name w:val="Footnote Text Char"/>
    <w:basedOn w:val="DefaultParagraphFont"/>
    <w:link w:val="FootnoteText"/>
    <w:rsid w:val="000B76E3"/>
    <w:rPr>
      <w:rFonts w:ascii="Times New Roman" w:eastAsia="Times New Roman" w:hAnsi="Times New Roman" w:cs="Times New Roman"/>
      <w:sz w:val="20"/>
      <w:szCs w:val="20"/>
      <w:lang w:val="lv-LV" w:eastAsia="lv-LV"/>
    </w:rPr>
  </w:style>
  <w:style w:type="paragraph" w:styleId="NoSpacing">
    <w:name w:val="No Spacing"/>
    <w:uiPriority w:val="1"/>
    <w:qFormat/>
    <w:rsid w:val="000B76E3"/>
    <w:rPr>
      <w:rFonts w:ascii="Times New Roman" w:eastAsia="Times New Roman" w:hAnsi="Times New Roman"/>
      <w:sz w:val="24"/>
      <w:szCs w:val="24"/>
      <w:lang w:val="lv-LV" w:eastAsia="lv-LV"/>
    </w:rPr>
  </w:style>
  <w:style w:type="paragraph" w:customStyle="1" w:styleId="tvhtml">
    <w:name w:val="tv_html"/>
    <w:basedOn w:val="Normal"/>
    <w:rsid w:val="000B76E3"/>
    <w:pPr>
      <w:spacing w:before="100" w:beforeAutospacing="1" w:after="100" w:afterAutospacing="1"/>
    </w:pPr>
    <w:rPr>
      <w:rFonts w:ascii="Verdana" w:hAnsi="Verdana"/>
      <w:sz w:val="18"/>
      <w:szCs w:val="18"/>
      <w:lang w:val="en-US" w:eastAsia="en-US" w:bidi="lo-LA"/>
    </w:rPr>
  </w:style>
  <w:style w:type="paragraph" w:customStyle="1" w:styleId="naisc">
    <w:name w:val="naisc"/>
    <w:basedOn w:val="Normal"/>
    <w:rsid w:val="000B76E3"/>
    <w:pPr>
      <w:spacing w:before="75" w:after="75"/>
      <w:jc w:val="center"/>
    </w:pPr>
  </w:style>
  <w:style w:type="paragraph" w:customStyle="1" w:styleId="Default">
    <w:name w:val="Default"/>
    <w:rsid w:val="000B76E3"/>
    <w:pPr>
      <w:autoSpaceDE w:val="0"/>
      <w:autoSpaceDN w:val="0"/>
      <w:adjustRightInd w:val="0"/>
    </w:pPr>
    <w:rPr>
      <w:rFonts w:ascii="EUAlbertina" w:eastAsia="Times New Roman" w:hAnsi="EUAlbertina" w:cs="EUAlbertina"/>
      <w:color w:val="000000"/>
      <w:sz w:val="24"/>
      <w:szCs w:val="24"/>
      <w:lang w:bidi="lo-LA"/>
    </w:rPr>
  </w:style>
  <w:style w:type="character" w:styleId="CommentReference">
    <w:name w:val="annotation reference"/>
    <w:basedOn w:val="DefaultParagraphFont"/>
    <w:uiPriority w:val="99"/>
    <w:semiHidden/>
    <w:unhideWhenUsed/>
    <w:rsid w:val="00F07A55"/>
    <w:rPr>
      <w:sz w:val="16"/>
      <w:szCs w:val="16"/>
    </w:rPr>
  </w:style>
  <w:style w:type="paragraph" w:styleId="CommentText">
    <w:name w:val="annotation text"/>
    <w:basedOn w:val="Normal"/>
    <w:link w:val="CommentTextChar"/>
    <w:uiPriority w:val="99"/>
    <w:semiHidden/>
    <w:unhideWhenUsed/>
    <w:rsid w:val="00F07A55"/>
    <w:rPr>
      <w:sz w:val="20"/>
      <w:szCs w:val="20"/>
    </w:rPr>
  </w:style>
  <w:style w:type="character" w:customStyle="1" w:styleId="CommentTextChar">
    <w:name w:val="Comment Text Char"/>
    <w:basedOn w:val="DefaultParagraphFont"/>
    <w:link w:val="CommentText"/>
    <w:uiPriority w:val="99"/>
    <w:semiHidden/>
    <w:rsid w:val="00F07A55"/>
    <w:rPr>
      <w:rFonts w:ascii="Times New Roman" w:eastAsia="Times New Roman" w:hAnsi="Times New Roman"/>
      <w:lang w:val="lv-LV" w:eastAsia="lv-LV"/>
    </w:rPr>
  </w:style>
  <w:style w:type="paragraph" w:styleId="CommentSubject">
    <w:name w:val="annotation subject"/>
    <w:basedOn w:val="CommentText"/>
    <w:next w:val="CommentText"/>
    <w:link w:val="CommentSubjectChar"/>
    <w:uiPriority w:val="99"/>
    <w:semiHidden/>
    <w:unhideWhenUsed/>
    <w:rsid w:val="00F07A55"/>
    <w:rPr>
      <w:b/>
      <w:bCs/>
    </w:rPr>
  </w:style>
  <w:style w:type="character" w:customStyle="1" w:styleId="CommentSubjectChar">
    <w:name w:val="Comment Subject Char"/>
    <w:basedOn w:val="CommentTextChar"/>
    <w:link w:val="CommentSubject"/>
    <w:uiPriority w:val="99"/>
    <w:semiHidden/>
    <w:rsid w:val="00F07A55"/>
    <w:rPr>
      <w:b/>
      <w:bCs/>
    </w:rPr>
  </w:style>
  <w:style w:type="paragraph" w:styleId="BalloonText">
    <w:name w:val="Balloon Text"/>
    <w:basedOn w:val="Normal"/>
    <w:link w:val="BalloonTextChar"/>
    <w:uiPriority w:val="99"/>
    <w:semiHidden/>
    <w:unhideWhenUsed/>
    <w:rsid w:val="00F07A55"/>
    <w:rPr>
      <w:rFonts w:ascii="Tahoma" w:hAnsi="Tahoma" w:cs="Tahoma"/>
      <w:sz w:val="16"/>
      <w:szCs w:val="16"/>
    </w:rPr>
  </w:style>
  <w:style w:type="character" w:customStyle="1" w:styleId="BalloonTextChar">
    <w:name w:val="Balloon Text Char"/>
    <w:basedOn w:val="DefaultParagraphFont"/>
    <w:link w:val="BalloonText"/>
    <w:uiPriority w:val="99"/>
    <w:semiHidden/>
    <w:rsid w:val="00F07A55"/>
    <w:rPr>
      <w:rFonts w:ascii="Tahoma" w:eastAsia="Times New Roman" w:hAnsi="Tahoma" w:cs="Tahoma"/>
      <w:sz w:val="16"/>
      <w:szCs w:val="16"/>
      <w:lang w:val="lv-LV" w:eastAsia="lv-LV"/>
    </w:rPr>
  </w:style>
  <w:style w:type="character" w:styleId="FootnoteReference">
    <w:name w:val="footnote reference"/>
    <w:basedOn w:val="DefaultParagraphFont"/>
    <w:uiPriority w:val="99"/>
    <w:semiHidden/>
    <w:unhideWhenUsed/>
    <w:rsid w:val="003C269D"/>
    <w:rPr>
      <w:vertAlign w:val="superscript"/>
    </w:rPr>
  </w:style>
  <w:style w:type="paragraph" w:styleId="BodyText">
    <w:name w:val="Body Text"/>
    <w:basedOn w:val="Normal"/>
    <w:link w:val="BodyTextChar"/>
    <w:rsid w:val="004C2675"/>
    <w:pPr>
      <w:jc w:val="center"/>
    </w:pPr>
    <w:rPr>
      <w:b/>
      <w:bCs/>
      <w:sz w:val="28"/>
      <w:lang w:eastAsia="en-US"/>
    </w:rPr>
  </w:style>
  <w:style w:type="character" w:customStyle="1" w:styleId="BodyTextChar">
    <w:name w:val="Body Text Char"/>
    <w:basedOn w:val="DefaultParagraphFont"/>
    <w:link w:val="BodyText"/>
    <w:rsid w:val="004C2675"/>
    <w:rPr>
      <w:rFonts w:ascii="Times New Roman" w:eastAsia="Times New Roman" w:hAnsi="Times New Roman"/>
      <w:b/>
      <w:bCs/>
      <w:sz w:val="28"/>
      <w:szCs w:val="24"/>
      <w:lang w:val="lv-LV"/>
    </w:rPr>
  </w:style>
</w:styles>
</file>

<file path=word/webSettings.xml><?xml version="1.0" encoding="utf-8"?>
<w:webSettings xmlns:r="http://schemas.openxmlformats.org/officeDocument/2006/relationships" xmlns:w="http://schemas.openxmlformats.org/wordprocessingml/2006/main">
  <w:divs>
    <w:div w:id="214590619">
      <w:bodyDiv w:val="1"/>
      <w:marLeft w:val="0"/>
      <w:marRight w:val="0"/>
      <w:marTop w:val="0"/>
      <w:marBottom w:val="0"/>
      <w:divBdr>
        <w:top w:val="none" w:sz="0" w:space="0" w:color="auto"/>
        <w:left w:val="none" w:sz="0" w:space="0" w:color="auto"/>
        <w:bottom w:val="none" w:sz="0" w:space="0" w:color="auto"/>
        <w:right w:val="none" w:sz="0" w:space="0" w:color="auto"/>
      </w:divBdr>
      <w:divsChild>
        <w:div w:id="1480069879">
          <w:marLeft w:val="0"/>
          <w:marRight w:val="0"/>
          <w:marTop w:val="0"/>
          <w:marBottom w:val="0"/>
          <w:divBdr>
            <w:top w:val="none" w:sz="0" w:space="0" w:color="auto"/>
            <w:left w:val="none" w:sz="0" w:space="0" w:color="auto"/>
            <w:bottom w:val="none" w:sz="0" w:space="0" w:color="auto"/>
            <w:right w:val="none" w:sz="0" w:space="0" w:color="auto"/>
          </w:divBdr>
          <w:divsChild>
            <w:div w:id="1784155252">
              <w:marLeft w:val="0"/>
              <w:marRight w:val="0"/>
              <w:marTop w:val="0"/>
              <w:marBottom w:val="0"/>
              <w:divBdr>
                <w:top w:val="none" w:sz="0" w:space="0" w:color="auto"/>
                <w:left w:val="none" w:sz="0" w:space="0" w:color="auto"/>
                <w:bottom w:val="none" w:sz="0" w:space="0" w:color="auto"/>
                <w:right w:val="none" w:sz="0" w:space="0" w:color="auto"/>
              </w:divBdr>
              <w:divsChild>
                <w:div w:id="120422121">
                  <w:marLeft w:val="0"/>
                  <w:marRight w:val="0"/>
                  <w:marTop w:val="0"/>
                  <w:marBottom w:val="0"/>
                  <w:divBdr>
                    <w:top w:val="none" w:sz="0" w:space="0" w:color="auto"/>
                    <w:left w:val="none" w:sz="0" w:space="0" w:color="auto"/>
                    <w:bottom w:val="none" w:sz="0" w:space="0" w:color="auto"/>
                    <w:right w:val="none" w:sz="0" w:space="0" w:color="auto"/>
                  </w:divBdr>
                  <w:divsChild>
                    <w:div w:id="170532142">
                      <w:marLeft w:val="0"/>
                      <w:marRight w:val="0"/>
                      <w:marTop w:val="0"/>
                      <w:marBottom w:val="0"/>
                      <w:divBdr>
                        <w:top w:val="none" w:sz="0" w:space="0" w:color="auto"/>
                        <w:left w:val="none" w:sz="0" w:space="0" w:color="auto"/>
                        <w:bottom w:val="none" w:sz="0" w:space="0" w:color="auto"/>
                        <w:right w:val="none" w:sz="0" w:space="0" w:color="auto"/>
                      </w:divBdr>
                      <w:divsChild>
                        <w:div w:id="160630314">
                          <w:marLeft w:val="0"/>
                          <w:marRight w:val="0"/>
                          <w:marTop w:val="0"/>
                          <w:marBottom w:val="0"/>
                          <w:divBdr>
                            <w:top w:val="none" w:sz="0" w:space="0" w:color="auto"/>
                            <w:left w:val="none" w:sz="0" w:space="0" w:color="auto"/>
                            <w:bottom w:val="none" w:sz="0" w:space="0" w:color="auto"/>
                            <w:right w:val="none" w:sz="0" w:space="0" w:color="auto"/>
                          </w:divBdr>
                          <w:divsChild>
                            <w:div w:id="227883866">
                              <w:marLeft w:val="0"/>
                              <w:marRight w:val="0"/>
                              <w:marTop w:val="0"/>
                              <w:marBottom w:val="0"/>
                              <w:divBdr>
                                <w:top w:val="none" w:sz="0" w:space="0" w:color="auto"/>
                                <w:left w:val="none" w:sz="0" w:space="0" w:color="auto"/>
                                <w:bottom w:val="none" w:sz="0" w:space="0" w:color="auto"/>
                                <w:right w:val="none" w:sz="0" w:space="0" w:color="auto"/>
                              </w:divBdr>
                              <w:divsChild>
                                <w:div w:id="15835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13908">
      <w:bodyDiv w:val="1"/>
      <w:marLeft w:val="0"/>
      <w:marRight w:val="0"/>
      <w:marTop w:val="0"/>
      <w:marBottom w:val="0"/>
      <w:divBdr>
        <w:top w:val="none" w:sz="0" w:space="0" w:color="auto"/>
        <w:left w:val="none" w:sz="0" w:space="0" w:color="auto"/>
        <w:bottom w:val="none" w:sz="0" w:space="0" w:color="auto"/>
        <w:right w:val="none" w:sz="0" w:space="0" w:color="auto"/>
      </w:divBdr>
      <w:divsChild>
        <w:div w:id="2116829669">
          <w:marLeft w:val="0"/>
          <w:marRight w:val="0"/>
          <w:marTop w:val="0"/>
          <w:marBottom w:val="0"/>
          <w:divBdr>
            <w:top w:val="none" w:sz="0" w:space="0" w:color="auto"/>
            <w:left w:val="none" w:sz="0" w:space="0" w:color="auto"/>
            <w:bottom w:val="none" w:sz="0" w:space="0" w:color="auto"/>
            <w:right w:val="none" w:sz="0" w:space="0" w:color="auto"/>
          </w:divBdr>
          <w:divsChild>
            <w:div w:id="10604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3422">
      <w:bodyDiv w:val="1"/>
      <w:marLeft w:val="45"/>
      <w:marRight w:val="45"/>
      <w:marTop w:val="90"/>
      <w:marBottom w:val="90"/>
      <w:divBdr>
        <w:top w:val="none" w:sz="0" w:space="0" w:color="auto"/>
        <w:left w:val="none" w:sz="0" w:space="0" w:color="auto"/>
        <w:bottom w:val="none" w:sz="0" w:space="0" w:color="auto"/>
        <w:right w:val="none" w:sz="0" w:space="0" w:color="auto"/>
      </w:divBdr>
      <w:divsChild>
        <w:div w:id="120614306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C9C65-82E8-4F46-A352-3CB5CD69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Ministru kabineta noteikumu projekts “Grozījums Ministru kabineta 2011.gada 1.novembra noteikumos Nr.850 „Nacionālā veselības dienesta nolikums”” </vt:lpstr>
    </vt:vector>
  </TitlesOfParts>
  <Company>Veselības ministrija</Company>
  <LinksUpToDate>false</LinksUpToDate>
  <CharactersWithSpaces>7476</CharactersWithSpaces>
  <SharedDoc>false</SharedDoc>
  <HLinks>
    <vt:vector size="54" baseType="variant">
      <vt:variant>
        <vt:i4>3342349</vt:i4>
      </vt:variant>
      <vt:variant>
        <vt:i4>24</vt:i4>
      </vt:variant>
      <vt:variant>
        <vt:i4>0</vt:i4>
      </vt:variant>
      <vt:variant>
        <vt:i4>5</vt:i4>
      </vt:variant>
      <vt:variant>
        <vt:lpwstr>mailto:raimonds.osis@vm.gov.lv</vt:lpwstr>
      </vt:variant>
      <vt:variant>
        <vt:lpwstr/>
      </vt:variant>
      <vt:variant>
        <vt:i4>3473436</vt:i4>
      </vt:variant>
      <vt:variant>
        <vt:i4>21</vt:i4>
      </vt:variant>
      <vt:variant>
        <vt:i4>0</vt:i4>
      </vt:variant>
      <vt:variant>
        <vt:i4>5</vt:i4>
      </vt:variant>
      <vt:variant>
        <vt:lpwstr>mailto:arturs.veidemanis@vm.gov.lv</vt:lpwstr>
      </vt:variant>
      <vt:variant>
        <vt:lpwstr/>
      </vt:variant>
      <vt:variant>
        <vt:i4>4718692</vt:i4>
      </vt:variant>
      <vt:variant>
        <vt:i4>18</vt:i4>
      </vt:variant>
      <vt:variant>
        <vt:i4>0</vt:i4>
      </vt:variant>
      <vt:variant>
        <vt:i4>5</vt:i4>
      </vt:variant>
      <vt:variant>
        <vt:lpwstr>mailto:laura.selakova@vm.gov.lv</vt:lpwstr>
      </vt:variant>
      <vt:variant>
        <vt:lpwstr/>
      </vt:variant>
      <vt:variant>
        <vt:i4>7078000</vt:i4>
      </vt:variant>
      <vt:variant>
        <vt:i4>15</vt:i4>
      </vt:variant>
      <vt:variant>
        <vt:i4>0</vt:i4>
      </vt:variant>
      <vt:variant>
        <vt:i4>5</vt:i4>
      </vt:variant>
      <vt:variant>
        <vt:lpwstr>http://pro.nais.lv/naiser/esdoc.cfm?esid=32006R1920</vt:lpwstr>
      </vt:variant>
      <vt:variant>
        <vt:lpwstr/>
      </vt:variant>
      <vt:variant>
        <vt:i4>6881342</vt:i4>
      </vt:variant>
      <vt:variant>
        <vt:i4>12</vt:i4>
      </vt:variant>
      <vt:variant>
        <vt:i4>0</vt:i4>
      </vt:variant>
      <vt:variant>
        <vt:i4>5</vt:i4>
      </vt:variant>
      <vt:variant>
        <vt:lpwstr>http://eur-lex.europa.eu/LexUriServ/LexUriServ.do?uri=OJ:L:2006:376:0001:01:LV:HTML</vt:lpwstr>
      </vt:variant>
      <vt:variant>
        <vt:lpwstr/>
      </vt:variant>
      <vt:variant>
        <vt:i4>6881342</vt:i4>
      </vt:variant>
      <vt:variant>
        <vt:i4>9</vt:i4>
      </vt:variant>
      <vt:variant>
        <vt:i4>0</vt:i4>
      </vt:variant>
      <vt:variant>
        <vt:i4>5</vt:i4>
      </vt:variant>
      <vt:variant>
        <vt:lpwstr>http://eur-lex.europa.eu/LexUriServ/LexUriServ.do?uri=OJ:L:2006:376:0001:01:LV:HTML</vt:lpwstr>
      </vt:variant>
      <vt:variant>
        <vt:lpwstr/>
      </vt:variant>
      <vt:variant>
        <vt:i4>7536676</vt:i4>
      </vt:variant>
      <vt:variant>
        <vt:i4>6</vt:i4>
      </vt:variant>
      <vt:variant>
        <vt:i4>0</vt:i4>
      </vt:variant>
      <vt:variant>
        <vt:i4>5</vt:i4>
      </vt:variant>
      <vt:variant>
        <vt:lpwstr>http://www.likumi.lv/doc.php?id=180617</vt:lpwstr>
      </vt:variant>
      <vt:variant>
        <vt:lpwstr/>
      </vt:variant>
      <vt:variant>
        <vt:i4>5046295</vt:i4>
      </vt:variant>
      <vt:variant>
        <vt:i4>3</vt:i4>
      </vt:variant>
      <vt:variant>
        <vt:i4>0</vt:i4>
      </vt:variant>
      <vt:variant>
        <vt:i4>5</vt:i4>
      </vt:variant>
      <vt:variant>
        <vt:lpwstr>http://www.likumi.lv/doc.php?id=63545</vt:lpwstr>
      </vt:variant>
      <vt:variant>
        <vt:lpwstr/>
      </vt:variant>
      <vt:variant>
        <vt:i4>7208994</vt:i4>
      </vt:variant>
      <vt:variant>
        <vt:i4>0</vt:i4>
      </vt:variant>
      <vt:variant>
        <vt:i4>0</vt:i4>
      </vt:variant>
      <vt:variant>
        <vt:i4>5</vt:i4>
      </vt:variant>
      <vt:variant>
        <vt:lpwstr>http://polsis.mk.gov.lv/view.do?id=1675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2011.gada 1.novembra noteikumos Nr.850 „Nacionālā veselības dienesta nolikums”” </dc:title>
  <dc:subject>Anotācija</dc:subject>
  <dc:creator>Ilze Straume</dc:creator>
  <cp:keywords/>
  <dc:description>ilze.straume@vm.gov.lv, 67876076</dc:description>
  <cp:lastModifiedBy>istraume</cp:lastModifiedBy>
  <cp:revision>8</cp:revision>
  <cp:lastPrinted>2012-01-30T09:11:00Z</cp:lastPrinted>
  <dcterms:created xsi:type="dcterms:W3CDTF">2012-03-22T07:55:00Z</dcterms:created>
  <dcterms:modified xsi:type="dcterms:W3CDTF">2012-03-28T07:54:00Z</dcterms:modified>
</cp:coreProperties>
</file>