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D395" w14:textId="77777777" w:rsidR="00F72FB9" w:rsidRPr="00F5458C" w:rsidRDefault="00F72FB9" w:rsidP="00F72F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08EB1F2" w14:textId="77777777" w:rsidR="00F72FB9" w:rsidRPr="00F5458C" w:rsidRDefault="00F72FB9" w:rsidP="00F72FB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D5E04" w14:textId="77777777" w:rsidR="00F72FB9" w:rsidRPr="00F5458C" w:rsidRDefault="00F72FB9" w:rsidP="00F72FB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C95C6" w14:textId="77777777" w:rsidR="00F72FB9" w:rsidRPr="00F5458C" w:rsidRDefault="00F72FB9" w:rsidP="00F72FB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AA89FF" w14:textId="3C6DAA54" w:rsidR="00F72FB9" w:rsidRPr="00F72FB9" w:rsidRDefault="00F72FB9" w:rsidP="00F72FB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2FB9">
        <w:rPr>
          <w:rFonts w:ascii="Times New Roman" w:hAnsi="Times New Roman"/>
          <w:sz w:val="28"/>
          <w:szCs w:val="28"/>
        </w:rPr>
        <w:t xml:space="preserve">2013.gada </w:t>
      </w:r>
      <w:r w:rsidR="004E5CCA">
        <w:rPr>
          <w:rFonts w:ascii="Times New Roman" w:hAnsi="Times New Roman"/>
          <w:sz w:val="28"/>
          <w:szCs w:val="28"/>
        </w:rPr>
        <w:t>20.augustā</w:t>
      </w:r>
      <w:r w:rsidRPr="00F72FB9">
        <w:rPr>
          <w:rFonts w:ascii="Times New Roman" w:hAnsi="Times New Roman"/>
          <w:sz w:val="28"/>
          <w:szCs w:val="28"/>
        </w:rPr>
        <w:tab/>
        <w:t>Noteikumi Nr.</w:t>
      </w:r>
      <w:r w:rsidR="004E5CCA">
        <w:rPr>
          <w:rFonts w:ascii="Times New Roman" w:hAnsi="Times New Roman"/>
          <w:sz w:val="28"/>
          <w:szCs w:val="28"/>
        </w:rPr>
        <w:t xml:space="preserve"> 597</w:t>
      </w:r>
    </w:p>
    <w:p w14:paraId="2C7CD6E7" w14:textId="0C7CDADF" w:rsidR="00F72FB9" w:rsidRPr="00F5458C" w:rsidRDefault="00F72FB9" w:rsidP="00F72FB9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4E5CCA">
        <w:rPr>
          <w:rFonts w:ascii="Times New Roman" w:hAnsi="Times New Roman"/>
          <w:sz w:val="28"/>
          <w:szCs w:val="28"/>
        </w:rPr>
        <w:t>45 86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2C48D93C" w14:textId="77777777" w:rsidR="00B15CFE" w:rsidRPr="00DE5684" w:rsidRDefault="00B15CFE" w:rsidP="00F7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14:paraId="2C48D93D" w14:textId="49E5E068" w:rsidR="00B15CFE" w:rsidRPr="00DE5684" w:rsidRDefault="00B15CFE" w:rsidP="00F72FB9">
      <w:pPr>
        <w:pStyle w:val="tv20787921"/>
        <w:spacing w:after="0" w:line="240" w:lineRule="auto"/>
        <w:rPr>
          <w:rFonts w:ascii="Times New Roman" w:hAnsi="Times New Roman"/>
          <w:b w:val="0"/>
        </w:rPr>
      </w:pPr>
      <w:r w:rsidRPr="00DE5684">
        <w:rPr>
          <w:rFonts w:ascii="Times New Roman" w:hAnsi="Times New Roman"/>
        </w:rPr>
        <w:t>Grozījumi Ministru kabineta 2001.gada 27.novembra noteikumos Nr.494</w:t>
      </w:r>
      <w:r w:rsidRPr="00DE5684">
        <w:rPr>
          <w:rFonts w:ascii="Times New Roman" w:hAnsi="Times New Roman"/>
          <w:b w:val="0"/>
        </w:rPr>
        <w:t xml:space="preserve"> </w:t>
      </w:r>
      <w:r w:rsidR="00F72FB9" w:rsidRPr="00655C3A">
        <w:rPr>
          <w:rFonts w:ascii="Times New Roman" w:hAnsi="Times New Roman"/>
        </w:rPr>
        <w:t>"</w:t>
      </w:r>
      <w:r w:rsidRPr="00DE5684">
        <w:rPr>
          <w:rFonts w:ascii="Times New Roman" w:hAnsi="Times New Roman"/>
        </w:rPr>
        <w:t>Noteikumi par darbiem, kas saistīti ar iespējamu risku citu cilvēku veselībai un kuros nodarbinātās personas tiek pakļautas obligātajām veselības pārbaudēm</w:t>
      </w:r>
      <w:r w:rsidR="00F72FB9">
        <w:rPr>
          <w:rFonts w:ascii="Times New Roman" w:hAnsi="Times New Roman"/>
        </w:rPr>
        <w:t>"</w:t>
      </w:r>
    </w:p>
    <w:p w14:paraId="2C48D93F" w14:textId="77777777" w:rsidR="00BA4B62" w:rsidRPr="00DE5684" w:rsidRDefault="00BA4B62" w:rsidP="00F72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2C48D940" w14:textId="77777777" w:rsidR="00BA4B62" w:rsidRPr="00DE5684" w:rsidRDefault="00B15CFE" w:rsidP="00F72F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E5684">
        <w:rPr>
          <w:rFonts w:ascii="Times New Roman" w:hAnsi="Times New Roman"/>
          <w:sz w:val="28"/>
          <w:szCs w:val="28"/>
          <w:lang w:eastAsia="lv-LV"/>
        </w:rPr>
        <w:t xml:space="preserve">Izdoti </w:t>
      </w:r>
      <w:r w:rsidR="00BA4B62" w:rsidRPr="00DE5684">
        <w:rPr>
          <w:rFonts w:ascii="Times New Roman" w:hAnsi="Times New Roman"/>
          <w:sz w:val="28"/>
          <w:szCs w:val="28"/>
          <w:lang w:eastAsia="lv-LV"/>
        </w:rPr>
        <w:t>saskaņā ar Epidemioloģiskās</w:t>
      </w:r>
    </w:p>
    <w:p w14:paraId="2C48D941" w14:textId="0CA283FF" w:rsidR="00B15CFE" w:rsidRPr="00DE5684" w:rsidRDefault="00B15CFE" w:rsidP="00F72F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E5684">
        <w:rPr>
          <w:rFonts w:ascii="Times New Roman" w:hAnsi="Times New Roman"/>
          <w:sz w:val="28"/>
          <w:szCs w:val="28"/>
          <w:lang w:eastAsia="lv-LV"/>
        </w:rPr>
        <w:t>drošības likuma 34.</w:t>
      </w:r>
      <w:r w:rsidRPr="00DE5684">
        <w:rPr>
          <w:rFonts w:ascii="Times New Roman" w:hAnsi="Times New Roman"/>
          <w:sz w:val="28"/>
          <w:szCs w:val="28"/>
          <w:shd w:val="clear" w:color="auto" w:fill="FFFFFF"/>
          <w:lang w:eastAsia="lv-LV"/>
        </w:rPr>
        <w:t>pantu</w:t>
      </w:r>
    </w:p>
    <w:p w14:paraId="2C48D943" w14:textId="77777777" w:rsidR="00BA4B62" w:rsidRPr="00DE5684" w:rsidRDefault="00BA4B62" w:rsidP="00F72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8D944" w14:textId="2AF3B2CC" w:rsidR="00B15CFE" w:rsidRDefault="00B15CFE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5684">
        <w:rPr>
          <w:rFonts w:ascii="Times New Roman" w:hAnsi="Times New Roman"/>
          <w:sz w:val="28"/>
          <w:szCs w:val="28"/>
        </w:rPr>
        <w:t xml:space="preserve">Izdarīt Ministru kabineta 2001.gada 27.novembra noteikumos Nr.494 </w:t>
      </w:r>
      <w:r w:rsidR="00F72FB9">
        <w:rPr>
          <w:rFonts w:ascii="Times New Roman" w:hAnsi="Times New Roman"/>
          <w:sz w:val="28"/>
          <w:szCs w:val="28"/>
        </w:rPr>
        <w:t>"</w:t>
      </w:r>
      <w:r w:rsidRPr="00DE5684">
        <w:rPr>
          <w:rFonts w:ascii="Times New Roman" w:hAnsi="Times New Roman"/>
          <w:sz w:val="28"/>
          <w:szCs w:val="28"/>
        </w:rPr>
        <w:t>Noteikumi par darbiem, kas saistīti ar iespējamu risku citu cilvēku veselībai un kuros nodarbinātās personas tiek pakļautas obligātajām veselības pārbaudēm</w:t>
      </w:r>
      <w:r w:rsidR="00F72FB9">
        <w:rPr>
          <w:rFonts w:ascii="Times New Roman" w:hAnsi="Times New Roman"/>
          <w:sz w:val="28"/>
          <w:szCs w:val="28"/>
        </w:rPr>
        <w:t>"</w:t>
      </w:r>
      <w:r w:rsidRPr="00DE5684">
        <w:rPr>
          <w:rFonts w:ascii="Times New Roman" w:hAnsi="Times New Roman"/>
          <w:sz w:val="28"/>
          <w:szCs w:val="28"/>
        </w:rPr>
        <w:t xml:space="preserve"> (Latvijas Vēstnesis, 2001, 174.nr.; 2004, 73.nr.; 2007, 28., 137.nr.; 2008, 53.nr.) šādus grozījumus: </w:t>
      </w:r>
    </w:p>
    <w:p w14:paraId="673DCC86" w14:textId="77777777" w:rsidR="00655C3A" w:rsidRDefault="00655C3A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48D945" w14:textId="4ECD7DEE" w:rsidR="00B15CFE" w:rsidRDefault="00655C3A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</w:t>
      </w:r>
      <w:r w:rsidR="00B15CFE" w:rsidRPr="00DE5684">
        <w:rPr>
          <w:rFonts w:ascii="Times New Roman" w:hAnsi="Times New Roman"/>
          <w:sz w:val="28"/>
          <w:szCs w:val="28"/>
        </w:rPr>
        <w:t>apildināt noteikumus ar 2.11.apakšpunktu šādā redakcijā:</w:t>
      </w:r>
    </w:p>
    <w:p w14:paraId="1208B665" w14:textId="77777777" w:rsidR="00F72FB9" w:rsidRPr="00DE5684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48D946" w14:textId="64839F7C" w:rsidR="00B15CFE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15CFE" w:rsidRPr="00DE5684">
        <w:rPr>
          <w:rFonts w:ascii="Times New Roman" w:hAnsi="Times New Roman"/>
          <w:sz w:val="28"/>
          <w:szCs w:val="28"/>
        </w:rPr>
        <w:t>2.11. bērnu uzraudzības pakalpojuma sniegšanas vietās</w:t>
      </w:r>
      <w:r w:rsidR="002E4D6D">
        <w:rPr>
          <w:rFonts w:ascii="Times New Roman" w:hAnsi="Times New Roman"/>
          <w:sz w:val="28"/>
          <w:szCs w:val="28"/>
        </w:rPr>
        <w:t>.</w:t>
      </w:r>
      <w:r w:rsidR="00655C3A">
        <w:rPr>
          <w:rFonts w:ascii="Times New Roman" w:hAnsi="Times New Roman"/>
          <w:sz w:val="28"/>
          <w:szCs w:val="28"/>
        </w:rPr>
        <w:t>"</w:t>
      </w:r>
    </w:p>
    <w:p w14:paraId="564BACE1" w14:textId="77777777" w:rsidR="00F72FB9" w:rsidRPr="00DE5684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48D947" w14:textId="0D059067" w:rsidR="00B15CFE" w:rsidRDefault="00DD718F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5684">
        <w:rPr>
          <w:rFonts w:ascii="Times New Roman" w:hAnsi="Times New Roman"/>
          <w:sz w:val="28"/>
          <w:szCs w:val="28"/>
        </w:rPr>
        <w:t xml:space="preserve">2. </w:t>
      </w:r>
      <w:r w:rsidR="00655C3A">
        <w:rPr>
          <w:rFonts w:ascii="Times New Roman" w:hAnsi="Times New Roman"/>
          <w:sz w:val="28"/>
          <w:szCs w:val="28"/>
        </w:rPr>
        <w:t>P</w:t>
      </w:r>
      <w:r w:rsidRPr="00DE5684">
        <w:rPr>
          <w:rFonts w:ascii="Times New Roman" w:hAnsi="Times New Roman"/>
          <w:sz w:val="28"/>
          <w:szCs w:val="28"/>
        </w:rPr>
        <w:t>apildināt 1.pielikumu</w:t>
      </w:r>
      <w:r w:rsidR="00B15CFE" w:rsidRPr="00DE5684">
        <w:rPr>
          <w:rFonts w:ascii="Times New Roman" w:hAnsi="Times New Roman"/>
          <w:sz w:val="28"/>
          <w:szCs w:val="28"/>
        </w:rPr>
        <w:t xml:space="preserve"> ar 3.7.apakšpunktu šādā redakcijā:</w:t>
      </w:r>
    </w:p>
    <w:p w14:paraId="79DBEC95" w14:textId="77777777" w:rsidR="00F72FB9" w:rsidRPr="00DE5684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48D948" w14:textId="7ABF62E6" w:rsidR="00B15CFE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15CFE" w:rsidRPr="00DE5684">
        <w:rPr>
          <w:rFonts w:ascii="Times New Roman" w:hAnsi="Times New Roman"/>
          <w:sz w:val="28"/>
          <w:szCs w:val="28"/>
        </w:rPr>
        <w:t>3.7. bērnu uzraudzības pakalpojuma sniegšanas vietās</w:t>
      </w:r>
      <w:r>
        <w:rPr>
          <w:rFonts w:ascii="Times New Roman" w:hAnsi="Times New Roman"/>
          <w:sz w:val="28"/>
          <w:szCs w:val="28"/>
        </w:rPr>
        <w:t>"</w:t>
      </w:r>
      <w:r w:rsidR="002E4D6D">
        <w:rPr>
          <w:rFonts w:ascii="Times New Roman" w:hAnsi="Times New Roman"/>
          <w:sz w:val="28"/>
          <w:szCs w:val="28"/>
        </w:rPr>
        <w:t>.</w:t>
      </w:r>
    </w:p>
    <w:p w14:paraId="051008EB" w14:textId="77777777" w:rsidR="00F72FB9" w:rsidRPr="00DE5684" w:rsidRDefault="00F72FB9" w:rsidP="00F72F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32CB5A" w14:textId="77777777" w:rsidR="00F72FB9" w:rsidRDefault="00F72FB9" w:rsidP="00F72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F08D90" w14:textId="77777777" w:rsidR="00F72FB9" w:rsidRPr="00DE5684" w:rsidRDefault="00F72FB9" w:rsidP="00F72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8D94B" w14:textId="378CE3E6" w:rsidR="00B15CFE" w:rsidRPr="00DE5684" w:rsidRDefault="00B15CFE" w:rsidP="00F72FB9">
      <w:pPr>
        <w:pStyle w:val="naisf"/>
        <w:tabs>
          <w:tab w:val="left" w:pos="6521"/>
          <w:tab w:val="right" w:pos="907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E5684">
        <w:rPr>
          <w:sz w:val="28"/>
          <w:szCs w:val="28"/>
        </w:rPr>
        <w:t xml:space="preserve">Ministru prezidents </w:t>
      </w:r>
      <w:r w:rsidRPr="00DE5684">
        <w:rPr>
          <w:sz w:val="28"/>
          <w:szCs w:val="28"/>
        </w:rPr>
        <w:tab/>
        <w:t>V</w:t>
      </w:r>
      <w:r w:rsidR="00DE5684">
        <w:rPr>
          <w:sz w:val="28"/>
          <w:szCs w:val="28"/>
        </w:rPr>
        <w:t xml:space="preserve">aldis </w:t>
      </w:r>
      <w:r w:rsidRPr="00DE5684">
        <w:rPr>
          <w:sz w:val="28"/>
          <w:szCs w:val="28"/>
        </w:rPr>
        <w:t>Dombrovskis</w:t>
      </w:r>
    </w:p>
    <w:p w14:paraId="2C48D94C" w14:textId="77777777" w:rsidR="00B15CFE" w:rsidRDefault="00B15CFE" w:rsidP="00F72FB9">
      <w:pPr>
        <w:pStyle w:val="naisf"/>
        <w:tabs>
          <w:tab w:val="left" w:pos="6521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B02D6F" w14:textId="77777777" w:rsidR="00F72FB9" w:rsidRDefault="00F72FB9" w:rsidP="00F72FB9">
      <w:pPr>
        <w:pStyle w:val="naisf"/>
        <w:tabs>
          <w:tab w:val="left" w:pos="6521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7CBF130" w14:textId="77777777" w:rsidR="00F72FB9" w:rsidRPr="00DE5684" w:rsidRDefault="00F72FB9" w:rsidP="00F72FB9">
      <w:pPr>
        <w:pStyle w:val="naisf"/>
        <w:tabs>
          <w:tab w:val="left" w:pos="6521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C48D94D" w14:textId="1494F978" w:rsidR="00B15CFE" w:rsidRPr="00DE5684" w:rsidRDefault="00A236E2" w:rsidP="00F72FB9">
      <w:pPr>
        <w:pStyle w:val="naisf"/>
        <w:tabs>
          <w:tab w:val="left" w:pos="6521"/>
          <w:tab w:val="left" w:pos="6804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E5684">
        <w:rPr>
          <w:sz w:val="28"/>
          <w:szCs w:val="28"/>
        </w:rPr>
        <w:t>Veselības</w:t>
      </w:r>
      <w:r w:rsidR="00B15CFE" w:rsidRPr="00DE5684">
        <w:rPr>
          <w:sz w:val="28"/>
          <w:szCs w:val="28"/>
        </w:rPr>
        <w:t xml:space="preserve"> ministre </w:t>
      </w:r>
      <w:r w:rsidR="00B15CFE" w:rsidRPr="00DE5684">
        <w:rPr>
          <w:sz w:val="28"/>
          <w:szCs w:val="28"/>
        </w:rPr>
        <w:tab/>
        <w:t>I</w:t>
      </w:r>
      <w:r w:rsidR="00DE5684">
        <w:rPr>
          <w:sz w:val="28"/>
          <w:szCs w:val="28"/>
        </w:rPr>
        <w:t xml:space="preserve">ngrīda </w:t>
      </w:r>
      <w:r w:rsidRPr="00DE5684">
        <w:rPr>
          <w:sz w:val="28"/>
          <w:szCs w:val="28"/>
        </w:rPr>
        <w:t>Circene</w:t>
      </w:r>
    </w:p>
    <w:p w14:paraId="2C48D94E" w14:textId="77777777" w:rsidR="00B15CFE" w:rsidRPr="00DE5684" w:rsidRDefault="00B15CFE" w:rsidP="00F72FB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5CFE" w:rsidRPr="00DE5684" w:rsidSect="00F72FB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D955" w14:textId="77777777" w:rsidR="00B15CFE" w:rsidRDefault="00B15CFE" w:rsidP="00DB6347">
      <w:pPr>
        <w:spacing w:after="0" w:line="240" w:lineRule="auto"/>
      </w:pPr>
      <w:r>
        <w:separator/>
      </w:r>
    </w:p>
  </w:endnote>
  <w:endnote w:type="continuationSeparator" w:id="0">
    <w:p w14:paraId="2C48D956" w14:textId="77777777" w:rsidR="00B15CFE" w:rsidRDefault="00B15CFE" w:rsidP="00DB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D957" w14:textId="24595AC0" w:rsidR="00B15CFE" w:rsidRPr="00F72FB9" w:rsidRDefault="00F72FB9" w:rsidP="00BE7741">
    <w:pPr>
      <w:pStyle w:val="Footer"/>
      <w:jc w:val="both"/>
      <w:rPr>
        <w:rFonts w:ascii="Times New Roman" w:hAnsi="Times New Roman"/>
        <w:sz w:val="16"/>
        <w:szCs w:val="16"/>
      </w:rPr>
    </w:pPr>
    <w:r w:rsidRPr="00F72FB9">
      <w:rPr>
        <w:rFonts w:ascii="Times New Roman" w:hAnsi="Times New Roman"/>
        <w:sz w:val="16"/>
        <w:szCs w:val="16"/>
      </w:rPr>
      <w:t>N2234_3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D953" w14:textId="77777777" w:rsidR="00B15CFE" w:rsidRDefault="00B15CFE" w:rsidP="00DB6347">
      <w:pPr>
        <w:spacing w:after="0" w:line="240" w:lineRule="auto"/>
      </w:pPr>
      <w:r>
        <w:separator/>
      </w:r>
    </w:p>
  </w:footnote>
  <w:footnote w:type="continuationSeparator" w:id="0">
    <w:p w14:paraId="2C48D954" w14:textId="77777777" w:rsidR="00B15CFE" w:rsidRDefault="00B15CFE" w:rsidP="00DB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931B" w14:textId="0DEC2F20" w:rsidR="00F72FB9" w:rsidRDefault="00F72FB9" w:rsidP="00F72FB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FC16885" wp14:editId="0A16209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5F0"/>
    <w:rsid w:val="000F2819"/>
    <w:rsid w:val="00103603"/>
    <w:rsid w:val="00123A4D"/>
    <w:rsid w:val="00131A77"/>
    <w:rsid w:val="00165313"/>
    <w:rsid w:val="001670C7"/>
    <w:rsid w:val="00187AFA"/>
    <w:rsid w:val="001D087C"/>
    <w:rsid w:val="001D69F7"/>
    <w:rsid w:val="001E38E1"/>
    <w:rsid w:val="00223BF3"/>
    <w:rsid w:val="002A75C9"/>
    <w:rsid w:val="002D5A94"/>
    <w:rsid w:val="002E4D6D"/>
    <w:rsid w:val="003266CF"/>
    <w:rsid w:val="00340DC0"/>
    <w:rsid w:val="0040223A"/>
    <w:rsid w:val="004468BA"/>
    <w:rsid w:val="004734D8"/>
    <w:rsid w:val="00490C67"/>
    <w:rsid w:val="004C597E"/>
    <w:rsid w:val="004D7AD4"/>
    <w:rsid w:val="004E5CCA"/>
    <w:rsid w:val="00535237"/>
    <w:rsid w:val="00593093"/>
    <w:rsid w:val="005A22FA"/>
    <w:rsid w:val="006114A8"/>
    <w:rsid w:val="00611EB8"/>
    <w:rsid w:val="00655C3A"/>
    <w:rsid w:val="006612BB"/>
    <w:rsid w:val="006A3AB0"/>
    <w:rsid w:val="00731D72"/>
    <w:rsid w:val="00751AB8"/>
    <w:rsid w:val="00783BAD"/>
    <w:rsid w:val="007925F0"/>
    <w:rsid w:val="007A4028"/>
    <w:rsid w:val="007A5DD8"/>
    <w:rsid w:val="007B0F75"/>
    <w:rsid w:val="007F3641"/>
    <w:rsid w:val="00847DD5"/>
    <w:rsid w:val="00855E3B"/>
    <w:rsid w:val="008562F9"/>
    <w:rsid w:val="008A5E76"/>
    <w:rsid w:val="008E1951"/>
    <w:rsid w:val="00913732"/>
    <w:rsid w:val="00927D6F"/>
    <w:rsid w:val="00950D42"/>
    <w:rsid w:val="0098070E"/>
    <w:rsid w:val="009A0335"/>
    <w:rsid w:val="009C1491"/>
    <w:rsid w:val="009E3720"/>
    <w:rsid w:val="00A05F4A"/>
    <w:rsid w:val="00A079B7"/>
    <w:rsid w:val="00A236E2"/>
    <w:rsid w:val="00A32F2F"/>
    <w:rsid w:val="00A34F65"/>
    <w:rsid w:val="00A92446"/>
    <w:rsid w:val="00B15CFE"/>
    <w:rsid w:val="00B47DE2"/>
    <w:rsid w:val="00B5268F"/>
    <w:rsid w:val="00BA4B62"/>
    <w:rsid w:val="00BE7741"/>
    <w:rsid w:val="00C326C7"/>
    <w:rsid w:val="00C36973"/>
    <w:rsid w:val="00DB6347"/>
    <w:rsid w:val="00DD143F"/>
    <w:rsid w:val="00DD718F"/>
    <w:rsid w:val="00DE5684"/>
    <w:rsid w:val="00DE6ACB"/>
    <w:rsid w:val="00E858E0"/>
    <w:rsid w:val="00F0449B"/>
    <w:rsid w:val="00F33417"/>
    <w:rsid w:val="00F62E07"/>
    <w:rsid w:val="00F6482C"/>
    <w:rsid w:val="00F72FB9"/>
    <w:rsid w:val="00F93B57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D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47"/>
    <w:rPr>
      <w:rFonts w:ascii="Tahoma" w:hAnsi="Tahoma" w:cs="Tahoma"/>
      <w:sz w:val="16"/>
      <w:szCs w:val="16"/>
    </w:rPr>
  </w:style>
  <w:style w:type="paragraph" w:customStyle="1" w:styleId="tv20687921">
    <w:name w:val="tv206_87_921"/>
    <w:basedOn w:val="Normal"/>
    <w:uiPriority w:val="99"/>
    <w:rsid w:val="007925F0"/>
    <w:pPr>
      <w:spacing w:before="480" w:after="24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uiPriority w:val="99"/>
    <w:rsid w:val="007925F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semiHidden/>
    <w:rsid w:val="00927D6F"/>
    <w:rPr>
      <w:rFonts w:cs="Times New Roman"/>
      <w:color w:val="40407C"/>
      <w:u w:val="none"/>
      <w:effect w:val="none"/>
    </w:rPr>
  </w:style>
  <w:style w:type="paragraph" w:customStyle="1" w:styleId="naisf">
    <w:name w:val="naisf"/>
    <w:basedOn w:val="Normal"/>
    <w:uiPriority w:val="99"/>
    <w:rsid w:val="009A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DB6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3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347"/>
    <w:rPr>
      <w:rFonts w:cs="Times New Roman"/>
    </w:rPr>
  </w:style>
  <w:style w:type="paragraph" w:styleId="NoSpacing">
    <w:name w:val="No Spacing"/>
    <w:uiPriority w:val="1"/>
    <w:qFormat/>
    <w:rsid w:val="00DD718F"/>
    <w:rPr>
      <w:lang w:eastAsia="en-US"/>
    </w:rPr>
  </w:style>
  <w:style w:type="paragraph" w:styleId="ListParagraph">
    <w:name w:val="List Paragraph"/>
    <w:basedOn w:val="Normal"/>
    <w:uiPriority w:val="34"/>
    <w:qFormat/>
    <w:rsid w:val="00F7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27.novembra noteikumos Nr. 494 „Noteikumi par darbiem, kas saistīti ar iespējamu risku citu cilvēku veselībai un kuros nodarbinātās personas tiek pakļautas obligātajām veselības pārbaudēm"</vt:lpstr>
    </vt:vector>
  </TitlesOfParts>
  <Company>Veselības ministrija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27.novembra noteikumos Nr. 494 „Noteikumi par darbiem, kas saistīti ar iespējamu risku citu cilvēku veselībai un kuros nodarbinātās personas tiek pakļautas obligātajām veselības pārbaudēm"</dc:title>
  <dc:subject>Noteikumu projekts</dc:subject>
  <dc:creator>Astra Kalniņa</dc:creator>
  <dc:description>astra.kalnina@vm.gov.lv; tālr.: 67876148</dc:description>
  <cp:lastModifiedBy>Leontīne Babkina</cp:lastModifiedBy>
  <cp:revision>18</cp:revision>
  <cp:lastPrinted>2013-08-13T12:03:00Z</cp:lastPrinted>
  <dcterms:created xsi:type="dcterms:W3CDTF">2013-07-24T09:00:00Z</dcterms:created>
  <dcterms:modified xsi:type="dcterms:W3CDTF">2013-08-21T10:07:00Z</dcterms:modified>
</cp:coreProperties>
</file>