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BB7" w:rsidRPr="0010722C" w:rsidRDefault="00BB2BB7" w:rsidP="00BB2BB7">
      <w:pPr>
        <w:spacing w:after="0" w:line="240" w:lineRule="auto"/>
        <w:jc w:val="right"/>
        <w:rPr>
          <w:rFonts w:ascii="Times New Roman" w:eastAsia="Times New Roman" w:hAnsi="Times New Roman" w:cs="Times New Roman"/>
          <w:sz w:val="24"/>
          <w:szCs w:val="24"/>
          <w:lang w:eastAsia="lv-LV"/>
        </w:rPr>
      </w:pPr>
      <w:r w:rsidRPr="0010722C">
        <w:rPr>
          <w:rFonts w:ascii="Times New Roman" w:eastAsia="Times New Roman" w:hAnsi="Times New Roman" w:cs="Times New Roman"/>
          <w:sz w:val="24"/>
          <w:szCs w:val="24"/>
          <w:lang w:eastAsia="lv-LV"/>
        </w:rPr>
        <w:t>18.pielikums</w:t>
      </w:r>
    </w:p>
    <w:p w:rsidR="00BB2BB7" w:rsidRPr="0010722C" w:rsidRDefault="00BB2BB7" w:rsidP="00BB2BB7">
      <w:pPr>
        <w:spacing w:after="0" w:line="240" w:lineRule="auto"/>
        <w:jc w:val="right"/>
        <w:rPr>
          <w:rFonts w:ascii="Times New Roman" w:eastAsia="Times New Roman" w:hAnsi="Times New Roman" w:cs="Times New Roman"/>
          <w:sz w:val="24"/>
          <w:szCs w:val="24"/>
          <w:lang w:eastAsia="lv-LV"/>
        </w:rPr>
      </w:pPr>
      <w:r w:rsidRPr="0010722C">
        <w:rPr>
          <w:rFonts w:ascii="Times New Roman" w:eastAsia="Times New Roman" w:hAnsi="Times New Roman" w:cs="Times New Roman"/>
          <w:sz w:val="24"/>
          <w:szCs w:val="24"/>
          <w:lang w:eastAsia="lv-LV"/>
        </w:rPr>
        <w:t>Ministru kabineta 2013.gada ___._________</w:t>
      </w:r>
    </w:p>
    <w:p w:rsidR="00BB2BB7" w:rsidRPr="0010722C" w:rsidRDefault="00BB2BB7" w:rsidP="00BB2BB7">
      <w:pPr>
        <w:spacing w:after="0" w:line="240" w:lineRule="auto"/>
        <w:jc w:val="right"/>
        <w:rPr>
          <w:rFonts w:ascii="Times New Roman" w:eastAsia="Times New Roman" w:hAnsi="Times New Roman" w:cs="Times New Roman"/>
          <w:sz w:val="24"/>
          <w:szCs w:val="24"/>
          <w:lang w:eastAsia="lv-LV"/>
        </w:rPr>
      </w:pPr>
      <w:r w:rsidRPr="0010722C">
        <w:rPr>
          <w:rFonts w:ascii="Times New Roman" w:eastAsia="Times New Roman" w:hAnsi="Times New Roman" w:cs="Times New Roman"/>
          <w:sz w:val="24"/>
          <w:szCs w:val="24"/>
          <w:lang w:eastAsia="lv-LV"/>
        </w:rPr>
        <w:t>noteikumiem Nr.______</w:t>
      </w:r>
    </w:p>
    <w:p w:rsidR="006C1FA0" w:rsidRPr="0010722C" w:rsidRDefault="006C1FA0" w:rsidP="006C1FA0">
      <w:pPr>
        <w:pStyle w:val="tv218"/>
        <w:spacing w:before="0" w:beforeAutospacing="0" w:after="0" w:afterAutospacing="0"/>
        <w:jc w:val="right"/>
      </w:pPr>
      <w:r w:rsidRPr="0010722C">
        <w:br/>
      </w:r>
    </w:p>
    <w:p w:rsidR="006C1FA0" w:rsidRPr="0010722C" w:rsidRDefault="006C1FA0" w:rsidP="006C1FA0">
      <w:pPr>
        <w:pStyle w:val="tv212"/>
        <w:spacing w:before="0" w:beforeAutospacing="0" w:after="0" w:afterAutospacing="0"/>
        <w:jc w:val="center"/>
        <w:rPr>
          <w:b/>
          <w:sz w:val="28"/>
          <w:szCs w:val="28"/>
        </w:rPr>
      </w:pPr>
      <w:bookmarkStart w:id="0" w:name="445235"/>
      <w:r w:rsidRPr="0010722C">
        <w:rPr>
          <w:b/>
          <w:sz w:val="28"/>
          <w:szCs w:val="28"/>
        </w:rPr>
        <w:t>Medicīniskās indikācijas lielo locītavu endoprotezēšanai steidzamības kārtā un bezcementa endoprotezēšanas komponenta izvēlei</w:t>
      </w:r>
      <w:bookmarkEnd w:id="0"/>
    </w:p>
    <w:p w:rsidR="006C1FA0" w:rsidRPr="0010722C" w:rsidRDefault="006C1FA0" w:rsidP="006C1FA0">
      <w:pPr>
        <w:pStyle w:val="tv213"/>
        <w:spacing w:before="0" w:beforeAutospacing="0" w:after="0" w:afterAutospacing="0"/>
        <w:rPr>
          <w:sz w:val="28"/>
          <w:szCs w:val="28"/>
        </w:rPr>
      </w:pPr>
      <w:bookmarkStart w:id="1" w:name="p1"/>
      <w:bookmarkEnd w:id="1"/>
    </w:p>
    <w:p w:rsidR="006C1FA0" w:rsidRPr="0010722C" w:rsidRDefault="006C1FA0" w:rsidP="006C1FA0">
      <w:pPr>
        <w:pStyle w:val="tv213"/>
        <w:spacing w:before="0" w:beforeAutospacing="0" w:after="0" w:afterAutospacing="0"/>
        <w:rPr>
          <w:sz w:val="28"/>
          <w:szCs w:val="28"/>
        </w:rPr>
      </w:pPr>
      <w:r w:rsidRPr="0010722C">
        <w:rPr>
          <w:sz w:val="28"/>
          <w:szCs w:val="28"/>
        </w:rPr>
        <w:t>1. Medicīniskās indikācijas lielo locītavu endoprotezēšanai steidzamības kārtā:</w:t>
      </w:r>
    </w:p>
    <w:p w:rsidR="006C1FA0" w:rsidRPr="0010722C" w:rsidRDefault="006C1FA0" w:rsidP="006C1FA0">
      <w:pPr>
        <w:pStyle w:val="tv213"/>
        <w:spacing w:before="0" w:beforeAutospacing="0" w:after="0" w:afterAutospacing="0"/>
        <w:rPr>
          <w:sz w:val="28"/>
          <w:szCs w:val="28"/>
        </w:rPr>
      </w:pPr>
      <w:r w:rsidRPr="0010722C">
        <w:rPr>
          <w:sz w:val="28"/>
          <w:szCs w:val="28"/>
        </w:rPr>
        <w:t xml:space="preserve">1.1. gūžas locītavas endoprotezēšanai steidzamības kārtā: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1.1.1. ciskas kaula galviņas novirzīšanās kraniāli vairāk par 10 mm gada laikā;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1.1.2. ciskas kaula galviņas novirzīšanās mediāli aiz Kohera līnijas;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1.1.3. abu gūžas locītavu koksartroze, ja pēc vienas gūžas locītavas operācijas kāju garuma atšķirība ir lielāka par 30 mm;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1.1.4. strauji progresējoša gūžas locītavas deģenerācija vai kontraktūra pacientiem, kas jaunāki par 50 gadiem;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1.1.5. nesaaudzis augšstilba kaula kakliņa lūzums;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 ceļa locītavas endoprotezēšanai steidzamības kārtā: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1.2.1. ceļa locītavas laterāli vai mediāli vērsta deformācija, kas lielāka par 25 grādiem;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1.2.2. ceļa locītavas lielā lielkaula kondiļa defekts, kas distāli pārsniedz mazā lielkaula galviņas līmeni;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1.2.3. ceļa locītavas ekstensijas iztrūkums vairāk par 20 grādiem;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1.2.4. strauji progresējoša ceļa locītavas deģenerācija vai kontraktūra pacientiem, kas jaunāki par 50 gadiem;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1.2.5. paraartikulāri nesaauguši lūzumi endoprotezētai locītavai vai locītavai ar deģeneratīvām izmaiņām;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1.3. pleca locītavas endoprotezēšanai steidzamības kārtā: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1.3.1. pleca kaula galviņas pseidartoze vai nesaaudzis lūzums un nav iespējama adekvāta osteosintēze;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1.3.2. pleca kaula proksimāla gala audzējs; </w:t>
      </w:r>
    </w:p>
    <w:p w:rsidR="006C1FA0" w:rsidRPr="0010722C" w:rsidRDefault="006C1FA0" w:rsidP="00D61A7F">
      <w:pPr>
        <w:pStyle w:val="tv213"/>
        <w:spacing w:before="0" w:beforeAutospacing="0" w:after="0" w:afterAutospacing="0"/>
        <w:jc w:val="both"/>
        <w:rPr>
          <w:sz w:val="28"/>
          <w:szCs w:val="28"/>
        </w:rPr>
      </w:pPr>
      <w:r w:rsidRPr="0010722C">
        <w:rPr>
          <w:sz w:val="28"/>
          <w:szCs w:val="28"/>
        </w:rPr>
        <w:t xml:space="preserve">1.3.3. pleca locītavas progresējoša rotatoru manžetes artropātija ar glenoīda malas nodilumu vairāk par 2 mm un subakromiālas telpas samazinājumu zem 5 mm (saskaņā ar datortomogrāfiskiem izmeklējumiem); </w:t>
      </w:r>
    </w:p>
    <w:p w:rsidR="006C1FA0" w:rsidRPr="0010722C" w:rsidRDefault="006C1FA0" w:rsidP="00D61A7F">
      <w:pPr>
        <w:pStyle w:val="tv213"/>
        <w:spacing w:before="0" w:beforeAutospacing="0" w:after="0" w:afterAutospacing="0"/>
        <w:jc w:val="both"/>
        <w:rPr>
          <w:sz w:val="28"/>
          <w:szCs w:val="28"/>
        </w:rPr>
      </w:pPr>
      <w:r w:rsidRPr="0010722C">
        <w:rPr>
          <w:sz w:val="28"/>
          <w:szCs w:val="28"/>
        </w:rPr>
        <w:t>1.3.4. reimatoīdā artrīta pacienti ar glenoīda malas vai centrālo nodilumu virs 2 mm (saskaņā ar datortomogrāfiskiem izmeklējumiem);</w:t>
      </w:r>
    </w:p>
    <w:p w:rsidR="006C1FA0" w:rsidRPr="0010722C" w:rsidRDefault="006C1FA0" w:rsidP="00D61A7F">
      <w:pPr>
        <w:pStyle w:val="tv213"/>
        <w:spacing w:before="0" w:beforeAutospacing="0" w:after="0" w:afterAutospacing="0"/>
        <w:jc w:val="both"/>
        <w:rPr>
          <w:sz w:val="28"/>
          <w:szCs w:val="28"/>
        </w:rPr>
      </w:pPr>
      <w:r w:rsidRPr="0010722C">
        <w:rPr>
          <w:sz w:val="28"/>
          <w:szCs w:val="28"/>
        </w:rPr>
        <w:t>1.4. citos neatliekamos gadījumos saskaņā ar valsts sabiedrības ar ierobežotu atbildību "Traumatoloģijas un ortopēdijas slimnīca" konsilija atzinumu.</w:t>
      </w:r>
    </w:p>
    <w:p w:rsidR="00D61A7F" w:rsidRPr="0010722C" w:rsidRDefault="00D61A7F" w:rsidP="006C1FA0">
      <w:pPr>
        <w:pStyle w:val="tv213"/>
        <w:spacing w:before="0" w:beforeAutospacing="0" w:after="0" w:afterAutospacing="0"/>
        <w:rPr>
          <w:sz w:val="28"/>
          <w:szCs w:val="28"/>
        </w:rPr>
      </w:pPr>
    </w:p>
    <w:p w:rsidR="006C1FA0" w:rsidRPr="0010722C" w:rsidRDefault="006C1FA0" w:rsidP="00D61A7F">
      <w:pPr>
        <w:pStyle w:val="tv213"/>
        <w:spacing w:before="0" w:beforeAutospacing="0" w:after="0" w:afterAutospacing="0"/>
        <w:jc w:val="both"/>
        <w:rPr>
          <w:sz w:val="28"/>
          <w:szCs w:val="28"/>
        </w:rPr>
      </w:pPr>
      <w:r w:rsidRPr="0010722C">
        <w:rPr>
          <w:sz w:val="28"/>
          <w:szCs w:val="28"/>
        </w:rPr>
        <w:t>2. Medicīniskās indikācijas gūžas locītavas bezcementa endoprotezēšanas komponenta izvēlei:</w:t>
      </w:r>
    </w:p>
    <w:p w:rsidR="006C1FA0" w:rsidRPr="0010722C" w:rsidRDefault="006C1FA0" w:rsidP="00D61A7F">
      <w:pPr>
        <w:pStyle w:val="tv213"/>
        <w:spacing w:before="0" w:beforeAutospacing="0" w:after="0" w:afterAutospacing="0"/>
        <w:jc w:val="both"/>
        <w:rPr>
          <w:sz w:val="28"/>
          <w:szCs w:val="28"/>
        </w:rPr>
      </w:pPr>
      <w:r w:rsidRPr="0010722C">
        <w:rPr>
          <w:sz w:val="28"/>
          <w:szCs w:val="28"/>
        </w:rPr>
        <w:t>2.1. izteikta gūžas locītavas bedrītes (</w:t>
      </w:r>
      <w:r w:rsidRPr="0010722C">
        <w:rPr>
          <w:i/>
          <w:iCs/>
          <w:sz w:val="28"/>
          <w:szCs w:val="28"/>
        </w:rPr>
        <w:t>acetabulum</w:t>
      </w:r>
      <w:r w:rsidRPr="0010722C">
        <w:rPr>
          <w:sz w:val="28"/>
          <w:szCs w:val="28"/>
        </w:rPr>
        <w:t xml:space="preserve">) displāzija (neattīstība) vai sabrukums, kur primāras cementējamas endoprotēzes komponentes stabila </w:t>
      </w:r>
      <w:r w:rsidRPr="0010722C">
        <w:rPr>
          <w:sz w:val="28"/>
          <w:szCs w:val="28"/>
        </w:rPr>
        <w:lastRenderedPageBreak/>
        <w:t>fiksācija nav iespējama un nepieciešams izveidot papildu atbalsta virsmu no autokaula, allokaula vai metāla augmentiem;</w:t>
      </w:r>
    </w:p>
    <w:p w:rsidR="006C1FA0" w:rsidRPr="0010722C" w:rsidRDefault="006C1FA0" w:rsidP="00D61A7F">
      <w:pPr>
        <w:pStyle w:val="tv213"/>
        <w:spacing w:before="0" w:beforeAutospacing="0" w:after="0" w:afterAutospacing="0"/>
        <w:jc w:val="both"/>
        <w:rPr>
          <w:sz w:val="28"/>
          <w:szCs w:val="28"/>
        </w:rPr>
      </w:pPr>
      <w:r w:rsidRPr="0010722C">
        <w:rPr>
          <w:sz w:val="28"/>
          <w:szCs w:val="28"/>
        </w:rPr>
        <w:t>2.2. augšstilba kaula proksimālā gala iedzimtas vai iegūtas (saslimšanas, traumas vai operācijas) kaula formas un struktūras izmaiņas, kuru dēļ šajā zonā nav iespējama endoprotēzes komponentes stabila fiksācija ar cementu, bet iespējama bezcementa endoprotēzes kājiņas distālās daļas ieķīlēšana kaula kanālā;</w:t>
      </w:r>
    </w:p>
    <w:p w:rsidR="006C1FA0" w:rsidRPr="0010722C" w:rsidRDefault="006C1FA0" w:rsidP="00D61A7F">
      <w:pPr>
        <w:pStyle w:val="tv213"/>
        <w:spacing w:before="0" w:beforeAutospacing="0" w:after="0" w:afterAutospacing="0"/>
        <w:jc w:val="both"/>
        <w:rPr>
          <w:sz w:val="28"/>
          <w:szCs w:val="28"/>
        </w:rPr>
      </w:pPr>
      <w:r w:rsidRPr="0010722C">
        <w:rPr>
          <w:sz w:val="28"/>
          <w:szCs w:val="28"/>
        </w:rPr>
        <w:t>2.3. augšstilba kaula proksimālas daļas kortikāla slāņa defekti pēc metāla fiksatoru izņemšanas no kaula.</w:t>
      </w:r>
    </w:p>
    <w:p w:rsidR="007C51E9" w:rsidRPr="0010722C" w:rsidRDefault="007C51E9" w:rsidP="006C1FA0">
      <w:pPr>
        <w:spacing w:after="0" w:line="240" w:lineRule="auto"/>
        <w:rPr>
          <w:sz w:val="28"/>
          <w:szCs w:val="28"/>
        </w:rPr>
      </w:pPr>
    </w:p>
    <w:p w:rsidR="001F0E1F" w:rsidRPr="0010722C" w:rsidRDefault="001F0E1F" w:rsidP="006C1FA0">
      <w:pPr>
        <w:spacing w:after="0" w:line="240" w:lineRule="auto"/>
        <w:rPr>
          <w:sz w:val="28"/>
          <w:szCs w:val="28"/>
        </w:rPr>
      </w:pPr>
    </w:p>
    <w:p w:rsidR="001F0E1F" w:rsidRPr="0010722C" w:rsidRDefault="001F0E1F" w:rsidP="001F0E1F">
      <w:pPr>
        <w:spacing w:after="0" w:line="240" w:lineRule="auto"/>
        <w:ind w:firstLine="720"/>
        <w:rPr>
          <w:rFonts w:ascii="Times New Roman" w:hAnsi="Times New Roman" w:cs="Times New Roman"/>
          <w:sz w:val="28"/>
          <w:szCs w:val="28"/>
        </w:rPr>
      </w:pPr>
      <w:r w:rsidRPr="0010722C">
        <w:rPr>
          <w:rFonts w:ascii="Times New Roman" w:hAnsi="Times New Roman" w:cs="Times New Roman"/>
          <w:sz w:val="28"/>
          <w:szCs w:val="28"/>
        </w:rPr>
        <w:t>Veselības ministre</w:t>
      </w:r>
      <w:r w:rsidRPr="0010722C">
        <w:rPr>
          <w:rFonts w:ascii="Times New Roman" w:hAnsi="Times New Roman" w:cs="Times New Roman"/>
          <w:sz w:val="28"/>
          <w:szCs w:val="28"/>
        </w:rPr>
        <w:tab/>
        <w:t xml:space="preserve">                                                                         </w:t>
      </w:r>
      <w:proofErr w:type="spellStart"/>
      <w:r w:rsidRPr="0010722C">
        <w:rPr>
          <w:rFonts w:ascii="Times New Roman" w:hAnsi="Times New Roman" w:cs="Times New Roman"/>
          <w:sz w:val="28"/>
          <w:szCs w:val="28"/>
        </w:rPr>
        <w:t>I.Circene</w:t>
      </w:r>
      <w:proofErr w:type="spellEnd"/>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CF2A6E" w:rsidRPr="0010722C" w:rsidRDefault="00CF2A6E"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0722C" w:rsidP="001F0E1F">
      <w:pPr>
        <w:spacing w:after="0" w:line="240" w:lineRule="auto"/>
        <w:rPr>
          <w:rFonts w:ascii="Times New Roman" w:hAnsi="Times New Roman" w:cs="Times New Roman"/>
          <w:sz w:val="24"/>
          <w:szCs w:val="24"/>
        </w:rPr>
      </w:pPr>
      <w:r w:rsidRPr="0010722C">
        <w:rPr>
          <w:rFonts w:ascii="Times New Roman" w:hAnsi="Times New Roman" w:cs="Times New Roman"/>
          <w:sz w:val="24"/>
          <w:szCs w:val="24"/>
        </w:rPr>
        <w:t>13</w:t>
      </w:r>
      <w:r w:rsidR="001F0E1F" w:rsidRPr="0010722C">
        <w:rPr>
          <w:rFonts w:ascii="Times New Roman" w:hAnsi="Times New Roman" w:cs="Times New Roman"/>
          <w:sz w:val="24"/>
          <w:szCs w:val="24"/>
        </w:rPr>
        <w:t>.1</w:t>
      </w:r>
      <w:r w:rsidRPr="0010722C">
        <w:rPr>
          <w:rFonts w:ascii="Times New Roman" w:hAnsi="Times New Roman" w:cs="Times New Roman"/>
          <w:sz w:val="24"/>
          <w:szCs w:val="24"/>
        </w:rPr>
        <w:t>2</w:t>
      </w:r>
      <w:r w:rsidR="001F0E1F" w:rsidRPr="0010722C">
        <w:rPr>
          <w:rFonts w:ascii="Times New Roman" w:hAnsi="Times New Roman" w:cs="Times New Roman"/>
          <w:sz w:val="24"/>
          <w:szCs w:val="24"/>
        </w:rPr>
        <w:t>.2013    1</w:t>
      </w:r>
      <w:r w:rsidRPr="0010722C">
        <w:rPr>
          <w:rFonts w:ascii="Times New Roman" w:hAnsi="Times New Roman" w:cs="Times New Roman"/>
          <w:sz w:val="24"/>
          <w:szCs w:val="24"/>
        </w:rPr>
        <w:t>2</w:t>
      </w:r>
      <w:r w:rsidR="001F0E1F" w:rsidRPr="0010722C">
        <w:rPr>
          <w:rFonts w:ascii="Times New Roman" w:hAnsi="Times New Roman" w:cs="Times New Roman"/>
          <w:sz w:val="24"/>
          <w:szCs w:val="24"/>
        </w:rPr>
        <w:t>:</w:t>
      </w:r>
      <w:r w:rsidRPr="0010722C">
        <w:rPr>
          <w:rFonts w:ascii="Times New Roman" w:hAnsi="Times New Roman" w:cs="Times New Roman"/>
          <w:sz w:val="24"/>
          <w:szCs w:val="24"/>
        </w:rPr>
        <w:t>43</w:t>
      </w:r>
    </w:p>
    <w:p w:rsidR="001F0E1F" w:rsidRPr="0010722C" w:rsidRDefault="00964D0D" w:rsidP="001F0E1F">
      <w:pPr>
        <w:spacing w:after="0" w:line="240" w:lineRule="auto"/>
        <w:rPr>
          <w:rFonts w:ascii="Times New Roman" w:hAnsi="Times New Roman" w:cs="Times New Roman"/>
          <w:sz w:val="24"/>
          <w:szCs w:val="24"/>
        </w:rPr>
      </w:pPr>
      <w:r w:rsidRPr="0010722C">
        <w:rPr>
          <w:rFonts w:ascii="Times New Roman" w:hAnsi="Times New Roman" w:cs="Times New Roman"/>
          <w:sz w:val="24"/>
          <w:szCs w:val="24"/>
        </w:rPr>
        <w:t>349</w:t>
      </w:r>
    </w:p>
    <w:p w:rsidR="001F0E1F" w:rsidRPr="0010722C" w:rsidRDefault="001F0E1F" w:rsidP="001F0E1F">
      <w:pPr>
        <w:spacing w:after="0" w:line="240" w:lineRule="auto"/>
        <w:rPr>
          <w:rFonts w:ascii="Times New Roman" w:hAnsi="Times New Roman" w:cs="Times New Roman"/>
          <w:sz w:val="24"/>
          <w:szCs w:val="24"/>
        </w:rPr>
      </w:pPr>
      <w:r w:rsidRPr="0010722C">
        <w:rPr>
          <w:rFonts w:ascii="Times New Roman" w:hAnsi="Times New Roman" w:cs="Times New Roman"/>
          <w:sz w:val="24"/>
          <w:szCs w:val="24"/>
        </w:rPr>
        <w:t>L.Eglīte</w:t>
      </w:r>
    </w:p>
    <w:p w:rsidR="001F0E1F" w:rsidRPr="0010722C" w:rsidRDefault="00382262" w:rsidP="001F0E1F">
      <w:pPr>
        <w:spacing w:after="0" w:line="240" w:lineRule="auto"/>
        <w:rPr>
          <w:rFonts w:ascii="Times New Roman" w:hAnsi="Times New Roman" w:cs="Times New Roman"/>
          <w:sz w:val="24"/>
          <w:szCs w:val="24"/>
        </w:rPr>
      </w:pPr>
      <w:hyperlink r:id="rId6" w:history="1">
        <w:r w:rsidR="001F0E1F" w:rsidRPr="0010722C">
          <w:rPr>
            <w:rStyle w:val="Hyperlink"/>
            <w:rFonts w:ascii="Times New Roman" w:hAnsi="Times New Roman" w:cs="Times New Roman"/>
            <w:sz w:val="24"/>
            <w:szCs w:val="24"/>
          </w:rPr>
          <w:t>Leonora.Eglite@vm.gov.lv</w:t>
        </w:r>
      </w:hyperlink>
    </w:p>
    <w:p w:rsidR="001F0E1F" w:rsidRPr="0010722C" w:rsidRDefault="001F0E1F" w:rsidP="001F0E1F">
      <w:pPr>
        <w:spacing w:after="0" w:line="240" w:lineRule="auto"/>
        <w:rPr>
          <w:rFonts w:ascii="Times New Roman" w:hAnsi="Times New Roman" w:cs="Times New Roman"/>
          <w:sz w:val="24"/>
          <w:szCs w:val="24"/>
        </w:rPr>
      </w:pPr>
    </w:p>
    <w:p w:rsidR="001F0E1F" w:rsidRPr="0010722C" w:rsidRDefault="001F0E1F" w:rsidP="001F0E1F">
      <w:pPr>
        <w:spacing w:after="0" w:line="240" w:lineRule="auto"/>
        <w:rPr>
          <w:rFonts w:ascii="Times New Roman" w:hAnsi="Times New Roman" w:cs="Times New Roman"/>
          <w:sz w:val="24"/>
          <w:szCs w:val="24"/>
        </w:rPr>
      </w:pPr>
      <w:r w:rsidRPr="0010722C">
        <w:rPr>
          <w:rFonts w:ascii="Times New Roman" w:hAnsi="Times New Roman" w:cs="Times New Roman"/>
          <w:sz w:val="24"/>
          <w:szCs w:val="24"/>
        </w:rPr>
        <w:t>A.Reinika 67043780</w:t>
      </w:r>
    </w:p>
    <w:p w:rsidR="001F0E1F" w:rsidRPr="0010722C" w:rsidRDefault="00382262" w:rsidP="001F0E1F">
      <w:pPr>
        <w:spacing w:after="0" w:line="240" w:lineRule="auto"/>
        <w:rPr>
          <w:rFonts w:ascii="Times New Roman" w:hAnsi="Times New Roman" w:cs="Times New Roman"/>
          <w:sz w:val="24"/>
          <w:szCs w:val="24"/>
        </w:rPr>
      </w:pPr>
      <w:hyperlink r:id="rId7" w:history="1">
        <w:r w:rsidR="001F0E1F" w:rsidRPr="0010722C">
          <w:rPr>
            <w:rStyle w:val="Hyperlink"/>
            <w:rFonts w:ascii="Times New Roman" w:hAnsi="Times New Roman" w:cs="Times New Roman"/>
            <w:sz w:val="24"/>
            <w:szCs w:val="24"/>
          </w:rPr>
          <w:t>Alda.Reinika@vmnvd.gov.lv</w:t>
        </w:r>
      </w:hyperlink>
    </w:p>
    <w:p w:rsidR="001F0E1F" w:rsidRDefault="001F0E1F" w:rsidP="001F0E1F">
      <w:pPr>
        <w:spacing w:after="0" w:line="240" w:lineRule="auto"/>
        <w:rPr>
          <w:rFonts w:ascii="Times New Roman" w:hAnsi="Times New Roman" w:cs="Times New Roman"/>
          <w:sz w:val="24"/>
          <w:szCs w:val="24"/>
        </w:rPr>
      </w:pPr>
    </w:p>
    <w:p w:rsidR="001F0E1F" w:rsidRDefault="001F0E1F" w:rsidP="006C1FA0">
      <w:pPr>
        <w:spacing w:after="0" w:line="240" w:lineRule="auto"/>
      </w:pPr>
    </w:p>
    <w:sectPr w:rsidR="001F0E1F" w:rsidSect="001F0E1F">
      <w:headerReference w:type="default" r:id="rId8"/>
      <w:footerReference w:type="default" r:id="rId9"/>
      <w:footerReference w:type="first" r:id="rId10"/>
      <w:pgSz w:w="11906" w:h="16838"/>
      <w:pgMar w:top="1440" w:right="991" w:bottom="1276"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E1F" w:rsidRDefault="001F0E1F" w:rsidP="001F0E1F">
      <w:pPr>
        <w:spacing w:after="0" w:line="240" w:lineRule="auto"/>
      </w:pPr>
      <w:r>
        <w:separator/>
      </w:r>
    </w:p>
  </w:endnote>
  <w:endnote w:type="continuationSeparator" w:id="0">
    <w:p w:rsidR="001F0E1F" w:rsidRDefault="001F0E1F" w:rsidP="001F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1F" w:rsidRPr="00187A81" w:rsidRDefault="001F0E1F" w:rsidP="001F0E1F">
    <w:pPr>
      <w:jc w:val="both"/>
      <w:rPr>
        <w:rFonts w:ascii="Times New Roman" w:hAnsi="Times New Roman" w:cs="Times New Roman"/>
        <w:sz w:val="20"/>
        <w:szCs w:val="20"/>
      </w:rPr>
    </w:pPr>
    <w:r w:rsidRPr="00187A81">
      <w:rPr>
        <w:rFonts w:ascii="Times New Roman" w:hAnsi="Times New Roman" w:cs="Times New Roman"/>
        <w:sz w:val="20"/>
        <w:szCs w:val="20"/>
      </w:rPr>
      <w:t>VMnotp1</w:t>
    </w:r>
    <w:r w:rsidR="007314BE">
      <w:rPr>
        <w:rFonts w:ascii="Times New Roman" w:hAnsi="Times New Roman" w:cs="Times New Roman"/>
        <w:sz w:val="20"/>
        <w:szCs w:val="20"/>
      </w:rPr>
      <w:t>8</w:t>
    </w:r>
    <w:r w:rsidRPr="00187A81">
      <w:rPr>
        <w:rFonts w:ascii="Times New Roman" w:hAnsi="Times New Roman" w:cs="Times New Roman"/>
        <w:sz w:val="20"/>
        <w:szCs w:val="20"/>
      </w:rPr>
      <w:t>_</w:t>
    </w:r>
    <w:r w:rsidR="0010722C">
      <w:rPr>
        <w:rFonts w:ascii="Times New Roman" w:hAnsi="Times New Roman" w:cs="Times New Roman"/>
        <w:sz w:val="20"/>
        <w:szCs w:val="20"/>
      </w:rPr>
      <w:t>13</w:t>
    </w:r>
    <w:r w:rsidRPr="00187A81">
      <w:rPr>
        <w:rFonts w:ascii="Times New Roman" w:hAnsi="Times New Roman" w:cs="Times New Roman"/>
        <w:sz w:val="20"/>
        <w:szCs w:val="20"/>
      </w:rPr>
      <w:t>1</w:t>
    </w:r>
    <w:r w:rsidR="0010722C">
      <w:rPr>
        <w:rFonts w:ascii="Times New Roman" w:hAnsi="Times New Roman" w:cs="Times New Roman"/>
        <w:sz w:val="20"/>
        <w:szCs w:val="20"/>
      </w:rPr>
      <w:t>2</w:t>
    </w:r>
    <w:r w:rsidRPr="00187A81">
      <w:rPr>
        <w:rFonts w:ascii="Times New Roman" w:hAnsi="Times New Roman" w:cs="Times New Roman"/>
        <w:sz w:val="20"/>
        <w:szCs w:val="20"/>
      </w:rPr>
      <w:t xml:space="preserve">13; </w:t>
    </w:r>
    <w:bookmarkStart w:id="2" w:name="OLE_LINK1"/>
    <w:bookmarkStart w:id="3" w:name="OLE_LINK2"/>
    <w:r w:rsidRPr="00187A81">
      <w:rPr>
        <w:rFonts w:ascii="Times New Roman" w:hAnsi="Times New Roman" w:cs="Times New Roman"/>
        <w:sz w:val="20"/>
        <w:szCs w:val="20"/>
      </w:rPr>
      <w:t>Ministru kabineta noteikumu projekts „Veselības aprūpes organizēšanas un finansēšanas kārtība”</w:t>
    </w:r>
  </w:p>
  <w:bookmarkEnd w:id="2"/>
  <w:bookmarkEnd w:id="3"/>
  <w:p w:rsidR="001F0E1F" w:rsidRDefault="001F0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E1F" w:rsidRPr="00187A81" w:rsidRDefault="001F0E1F" w:rsidP="001F0E1F">
    <w:pPr>
      <w:jc w:val="both"/>
      <w:rPr>
        <w:rFonts w:ascii="Times New Roman" w:hAnsi="Times New Roman" w:cs="Times New Roman"/>
        <w:sz w:val="20"/>
        <w:szCs w:val="20"/>
      </w:rPr>
    </w:pPr>
    <w:r w:rsidRPr="00187A81">
      <w:rPr>
        <w:rFonts w:ascii="Times New Roman" w:hAnsi="Times New Roman" w:cs="Times New Roman"/>
        <w:sz w:val="20"/>
        <w:szCs w:val="20"/>
      </w:rPr>
      <w:t>VMnotp1</w:t>
    </w:r>
    <w:r w:rsidR="007314BE">
      <w:rPr>
        <w:rFonts w:ascii="Times New Roman" w:hAnsi="Times New Roman" w:cs="Times New Roman"/>
        <w:sz w:val="20"/>
        <w:szCs w:val="20"/>
      </w:rPr>
      <w:t>8</w:t>
    </w:r>
    <w:r w:rsidRPr="00187A81">
      <w:rPr>
        <w:rFonts w:ascii="Times New Roman" w:hAnsi="Times New Roman" w:cs="Times New Roman"/>
        <w:sz w:val="20"/>
        <w:szCs w:val="20"/>
      </w:rPr>
      <w:t>_</w:t>
    </w:r>
    <w:r w:rsidR="0010722C">
      <w:rPr>
        <w:rFonts w:ascii="Times New Roman" w:hAnsi="Times New Roman" w:cs="Times New Roman"/>
        <w:sz w:val="20"/>
        <w:szCs w:val="20"/>
      </w:rPr>
      <w:t>13</w:t>
    </w:r>
    <w:r w:rsidRPr="00187A81">
      <w:rPr>
        <w:rFonts w:ascii="Times New Roman" w:hAnsi="Times New Roman" w:cs="Times New Roman"/>
        <w:sz w:val="20"/>
        <w:szCs w:val="20"/>
      </w:rPr>
      <w:t>1</w:t>
    </w:r>
    <w:r w:rsidR="0010722C">
      <w:rPr>
        <w:rFonts w:ascii="Times New Roman" w:hAnsi="Times New Roman" w:cs="Times New Roman"/>
        <w:sz w:val="20"/>
        <w:szCs w:val="20"/>
      </w:rPr>
      <w:t>2</w:t>
    </w:r>
    <w:r w:rsidRPr="00187A81">
      <w:rPr>
        <w:rFonts w:ascii="Times New Roman" w:hAnsi="Times New Roman" w:cs="Times New Roman"/>
        <w:sz w:val="20"/>
        <w:szCs w:val="20"/>
      </w:rPr>
      <w:t>13; Ministru kabineta noteikumu projekts „Veselības aprūpes organizēšanas un finansēšanas kārtība”</w:t>
    </w:r>
  </w:p>
  <w:p w:rsidR="001F0E1F" w:rsidRDefault="001F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E1F" w:rsidRDefault="001F0E1F" w:rsidP="001F0E1F">
      <w:pPr>
        <w:spacing w:after="0" w:line="240" w:lineRule="auto"/>
      </w:pPr>
      <w:r>
        <w:separator/>
      </w:r>
    </w:p>
  </w:footnote>
  <w:footnote w:type="continuationSeparator" w:id="0">
    <w:p w:rsidR="001F0E1F" w:rsidRDefault="001F0E1F" w:rsidP="001F0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7054"/>
      <w:docPartObj>
        <w:docPartGallery w:val="Page Numbers (Top of Page)"/>
        <w:docPartUnique/>
      </w:docPartObj>
    </w:sdtPr>
    <w:sdtContent>
      <w:p w:rsidR="001F0E1F" w:rsidRDefault="00382262">
        <w:pPr>
          <w:pStyle w:val="Header"/>
          <w:jc w:val="center"/>
        </w:pPr>
        <w:fldSimple w:instr=" PAGE   \* MERGEFORMAT ">
          <w:r w:rsidR="0010722C">
            <w:rPr>
              <w:noProof/>
            </w:rPr>
            <w:t>2</w:t>
          </w:r>
        </w:fldSimple>
      </w:p>
    </w:sdtContent>
  </w:sdt>
  <w:p w:rsidR="001F0E1F" w:rsidRDefault="001F0E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C1FA0"/>
    <w:rsid w:val="0010722C"/>
    <w:rsid w:val="001572A0"/>
    <w:rsid w:val="001A4B3F"/>
    <w:rsid w:val="001F0E1F"/>
    <w:rsid w:val="0031662C"/>
    <w:rsid w:val="00382262"/>
    <w:rsid w:val="00464DF4"/>
    <w:rsid w:val="00564F84"/>
    <w:rsid w:val="00577095"/>
    <w:rsid w:val="006C1FA0"/>
    <w:rsid w:val="006D4B7D"/>
    <w:rsid w:val="00707B56"/>
    <w:rsid w:val="007314BE"/>
    <w:rsid w:val="007C51E9"/>
    <w:rsid w:val="00964D0D"/>
    <w:rsid w:val="00BB2BB7"/>
    <w:rsid w:val="00CA0355"/>
    <w:rsid w:val="00CF2A6E"/>
    <w:rsid w:val="00D61A7F"/>
    <w:rsid w:val="00E344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1F0E1F"/>
    <w:rPr>
      <w:color w:val="0000FF" w:themeColor="hyperlink"/>
      <w:u w:val="single"/>
    </w:rPr>
  </w:style>
  <w:style w:type="paragraph" w:styleId="Header">
    <w:name w:val="header"/>
    <w:basedOn w:val="Normal"/>
    <w:link w:val="HeaderChar"/>
    <w:uiPriority w:val="99"/>
    <w:unhideWhenUsed/>
    <w:rsid w:val="001F0E1F"/>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0E1F"/>
  </w:style>
  <w:style w:type="paragraph" w:styleId="Footer">
    <w:name w:val="footer"/>
    <w:basedOn w:val="Normal"/>
    <w:link w:val="FooterChar"/>
    <w:uiPriority w:val="99"/>
    <w:semiHidden/>
    <w:unhideWhenUsed/>
    <w:rsid w:val="001F0E1F"/>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F0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8">
    <w:name w:val="tv218"/>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
    <w:name w:val="tv212"/>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6C1FA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97305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Alda.Reinika@vmnvd.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onora.Eglite@v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1990</Words>
  <Characters>1135</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18.pielikums Ministru kabineta noteikumu projektam „Veselības aprūpes organizēšanas un finansēšanas kārtība”</vt:lpstr>
    </vt:vector>
  </TitlesOfParts>
  <Company>Veselības ministrija</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18.pielikums Ministru kabineta noteikumu projektam „Veselības aprūpes organizēšanas un finansēšanas kārtība”</dc:title>
  <dc:subject>18.pielikums</dc:subject>
  <dc:creator>Leonora Eglīte</dc:creator>
  <dc:description>Leonora.Eglite@vm.gov.lv; tālr.67876091</dc:description>
  <cp:lastModifiedBy>leglite</cp:lastModifiedBy>
  <cp:revision>12</cp:revision>
  <dcterms:created xsi:type="dcterms:W3CDTF">2013-11-06T12:25:00Z</dcterms:created>
  <dcterms:modified xsi:type="dcterms:W3CDTF">2013-12-13T10:44:00Z</dcterms:modified>
</cp:coreProperties>
</file>